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5358C" w14:textId="4F994186" w:rsidR="006726CF" w:rsidRPr="00B04B2E" w:rsidRDefault="006726CF" w:rsidP="006726CF">
      <w:pPr>
        <w:spacing w:after="160" w:line="360" w:lineRule="auto"/>
        <w:jc w:val="both"/>
        <w:rPr>
          <w:rFonts w:ascii="Times New Roman" w:hAnsi="Times New Roman"/>
          <w:sz w:val="24"/>
          <w:szCs w:val="24"/>
        </w:rPr>
      </w:pPr>
      <w:r w:rsidRPr="00B04B2E">
        <w:rPr>
          <w:rFonts w:ascii="Times New Roman" w:eastAsia="Calibri" w:hAnsi="Times New Roman"/>
          <w:b/>
          <w:bCs/>
          <w:sz w:val="24"/>
          <w:szCs w:val="24"/>
        </w:rPr>
        <w:t>Pattern and Outcomes of Pregnancies Complicated by Hypertensive Disorders in Pregnancy: A Review of 504 Women Managed at Federal Teaching Hospital Gombe, Nigeria</w:t>
      </w:r>
    </w:p>
    <w:p w14:paraId="720402F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EF2A60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DD854C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ABSTRACT</w:t>
      </w:r>
    </w:p>
    <w:p w14:paraId="4F382D6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BACKGROUND:</w:t>
      </w:r>
    </w:p>
    <w:p w14:paraId="3932B89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Hypertensive disorders in pregnancy (HDP) represent a group of conditions associated with elevated blood pressure during pregnancy. It is an important cause of perinatal and maternal morbidity and mortality, particularly in developing countries.</w:t>
      </w:r>
    </w:p>
    <w:p w14:paraId="69E0291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OBJECTIVES:</w:t>
      </w:r>
    </w:p>
    <w:p w14:paraId="5795F01C" w14:textId="420539D5"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objectives of this study </w:t>
      </w:r>
      <w:proofErr w:type="gramStart"/>
      <w:r w:rsidR="00E71926">
        <w:rPr>
          <w:rFonts w:ascii="Times New Roman" w:hAnsi="Times New Roman"/>
          <w:sz w:val="24"/>
          <w:szCs w:val="24"/>
        </w:rPr>
        <w:t>was</w:t>
      </w:r>
      <w:proofErr w:type="gramEnd"/>
      <w:r w:rsidRPr="00B04B2E">
        <w:rPr>
          <w:rFonts w:ascii="Times New Roman" w:hAnsi="Times New Roman"/>
          <w:sz w:val="24"/>
          <w:szCs w:val="24"/>
        </w:rPr>
        <w:t xml:space="preserve"> to assess the pattern of HDP among patients managed in Federal Teaching Hospital Gombe (FTHG) and to describe maternal and perinatal outcomes and identify factors associated with the pregnancy outcomes.</w:t>
      </w:r>
    </w:p>
    <w:p w14:paraId="2E295351"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MATERIALS AND METHODS:</w:t>
      </w:r>
    </w:p>
    <w:p w14:paraId="026E088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This was a retrospective study of 504 consecutive women with HDP seen at FTHG from January 2022 to August 2022. Data obtained from patients’ case note on the e-folder entered into google form and then analyzed.</w:t>
      </w:r>
    </w:p>
    <w:p w14:paraId="524A863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RESULTS:</w:t>
      </w:r>
    </w:p>
    <w:p w14:paraId="100C2EB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incidence of hypertensive disorders was 31.0% of all deliveries. Most women were booked outside FTH Gombe for antenatal care (59.3%). Majority of deliveries (69.2%) occurred between 37-42 weeks of gestation, and the mode of delivery was mostly caesarean section (49.8%) followed by spontaneous vaginal delivery (48.8%). The most common complication was abruptio placenta, occurring in 37.8% of the cases followed by Eclampsia which occurred in 30.4% of the cases. Women who were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had a higher rate of fetal death (44.40%) compared to those booked elsewhere (20.40%) and at the hospital (3.0%). CHTN + SSPE and </w:t>
      </w:r>
      <w:r w:rsidRPr="00B04B2E">
        <w:rPr>
          <w:rFonts w:ascii="Times New Roman" w:hAnsi="Times New Roman"/>
          <w:sz w:val="24"/>
          <w:szCs w:val="24"/>
        </w:rPr>
        <w:lastRenderedPageBreak/>
        <w:t>Eclampsia having higher rates of mortality (32.1% - 21.8%) compared to CHTN and PIH (4.2% - 11.5%). Preeclampsia was the most common subtype of HDP.</w:t>
      </w:r>
    </w:p>
    <w:p w14:paraId="3E693CE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65277F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CONCLUSION:</w:t>
      </w:r>
    </w:p>
    <w:p w14:paraId="04D1C10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Hypertensive disorders in pregnancy are common and associated with high maternal and perinatal mortality and morbidities in our centre. Booking status of women is a significant risk </w:t>
      </w:r>
      <w:proofErr w:type="gramStart"/>
      <w:r w:rsidRPr="00B04B2E">
        <w:rPr>
          <w:rFonts w:ascii="Times New Roman" w:hAnsi="Times New Roman"/>
          <w:sz w:val="24"/>
          <w:szCs w:val="24"/>
        </w:rPr>
        <w:t>factor..</w:t>
      </w:r>
      <w:proofErr w:type="gramEnd"/>
      <w:r w:rsidRPr="00B04B2E">
        <w:rPr>
          <w:rFonts w:ascii="Times New Roman" w:hAnsi="Times New Roman"/>
          <w:sz w:val="24"/>
          <w:szCs w:val="24"/>
        </w:rPr>
        <w:t xml:space="preserve"> </w:t>
      </w:r>
    </w:p>
    <w:p w14:paraId="7DE647FC" w14:textId="3792087F" w:rsidR="006726CF" w:rsidRPr="00A830A8"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KEY WORDS</w:t>
      </w:r>
      <w:r w:rsidR="00A830A8" w:rsidRPr="00A830A8">
        <w:rPr>
          <w:rFonts w:ascii="Times New Roman" w:hAnsi="Times New Roman"/>
          <w:bCs/>
          <w:sz w:val="24"/>
          <w:szCs w:val="24"/>
        </w:rPr>
        <w:t xml:space="preserve">: </w:t>
      </w:r>
      <w:r w:rsidR="00A830A8">
        <w:rPr>
          <w:rFonts w:ascii="Times New Roman" w:hAnsi="Times New Roman"/>
          <w:bCs/>
          <w:sz w:val="24"/>
          <w:szCs w:val="24"/>
        </w:rPr>
        <w:t>H</w:t>
      </w:r>
      <w:r w:rsidRPr="00A830A8">
        <w:rPr>
          <w:rFonts w:ascii="Times New Roman" w:hAnsi="Times New Roman"/>
          <w:bCs/>
          <w:sz w:val="24"/>
          <w:szCs w:val="24"/>
        </w:rPr>
        <w:t xml:space="preserve">ypertensive disorder pregnancy, </w:t>
      </w:r>
      <w:r w:rsidR="00A830A8" w:rsidRPr="00A830A8">
        <w:rPr>
          <w:rFonts w:ascii="Times New Roman" w:hAnsi="Times New Roman"/>
          <w:bCs/>
          <w:sz w:val="24"/>
          <w:szCs w:val="24"/>
        </w:rPr>
        <w:t>perinatal outcomes, abruptio placenta, maternal morbidity and mortality</w:t>
      </w:r>
    </w:p>
    <w:p w14:paraId="06647BB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INTRODUCTION</w:t>
      </w:r>
    </w:p>
    <w:p w14:paraId="57EB0E5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Hypertension is defined as blood pressure of ≥140/90mmHg obtained on two occasions at least 4-6hours apart or an absolute blood pressure of 160/110mmHg or more on one occasion or a mean arterial blood pressure of &gt;105. However, if systolic BP is ≥ 160 and diastolic BP ≥110 mmHg, the high BP should be confirmed within 15 minutes.</w:t>
      </w:r>
      <w:r w:rsidR="00ED2B12" w:rsidRPr="00B04B2E">
        <w:rPr>
          <w:rFonts w:ascii="Times New Roman" w:hAnsi="Times New Roman"/>
          <w:sz w:val="24"/>
          <w:szCs w:val="24"/>
        </w:rPr>
        <w:fldChar w:fldCharType="begin"/>
      </w:r>
      <w:r w:rsidR="00ED2B12" w:rsidRPr="00B04B2E">
        <w:rPr>
          <w:rFonts w:ascii="Times New Roman" w:hAnsi="Times New Roman"/>
          <w:sz w:val="24"/>
          <w:szCs w:val="24"/>
        </w:rPr>
        <w:instrText xml:space="preserve"> ADDIN ZOTERO_ITEM CSL_CITATION {"citationID":"jQ7cRq7y","properties":{"formattedCitation":"\\super 1,2\\nosupersub{}","plainCitation":"1,2","noteIndex":0},"citationItems":[{"id":1,"uris":["http://zotero.org/users/local/Xqbf4Pjx/items/I56ZHGJH"],"itemData":{"id":1,"type":"chapter","container-title":"Comprehensive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Salahuddin"}],"accessed":{"date-parts":[["2025",3,17]]},"issued":{"date-parts":[["2022",10,21]]}},"label":"page"}],"schema":"https://github.com/citation-style-language/schema/raw/master/csl-citation.json"} </w:instrText>
      </w:r>
      <w:r w:rsidR="00ED2B12" w:rsidRPr="00B04B2E">
        <w:rPr>
          <w:rFonts w:ascii="Times New Roman" w:hAnsi="Times New Roman"/>
          <w:sz w:val="24"/>
          <w:szCs w:val="24"/>
        </w:rPr>
        <w:fldChar w:fldCharType="separate"/>
      </w:r>
      <w:r w:rsidR="00ED2B12" w:rsidRPr="00B04B2E">
        <w:rPr>
          <w:rFonts w:ascii="Times New Roman" w:hAnsi="Times New Roman"/>
          <w:sz w:val="24"/>
          <w:szCs w:val="24"/>
          <w:vertAlign w:val="superscript"/>
        </w:rPr>
        <w:t>1,2</w:t>
      </w:r>
      <w:r w:rsidR="00ED2B12" w:rsidRPr="00B04B2E">
        <w:rPr>
          <w:rFonts w:ascii="Times New Roman" w:hAnsi="Times New Roman"/>
          <w:sz w:val="24"/>
          <w:szCs w:val="24"/>
        </w:rPr>
        <w:fldChar w:fldCharType="end"/>
      </w:r>
      <w:r w:rsidRPr="00B04B2E">
        <w:rPr>
          <w:rFonts w:ascii="Times New Roman" w:hAnsi="Times New Roman"/>
          <w:sz w:val="24"/>
          <w:szCs w:val="24"/>
        </w:rPr>
        <w:t xml:space="preserve"> </w:t>
      </w:r>
    </w:p>
    <w:p w14:paraId="6F92314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There are various forms of classifying HDP, however, the modified classification by the International Society for the Study of Hypertension in Pregnancy (ISSHP), is widely accepted.</w:t>
      </w:r>
      <w:r w:rsidR="00ED2B12" w:rsidRPr="00B04B2E">
        <w:rPr>
          <w:rFonts w:ascii="Times New Roman" w:hAnsi="Times New Roman"/>
          <w:sz w:val="24"/>
          <w:szCs w:val="24"/>
        </w:rPr>
        <w:fldChar w:fldCharType="begin"/>
      </w:r>
      <w:r w:rsidR="00ED2B12" w:rsidRPr="00B04B2E">
        <w:rPr>
          <w:rFonts w:ascii="Times New Roman" w:hAnsi="Times New Roman"/>
          <w:sz w:val="24"/>
          <w:szCs w:val="24"/>
        </w:rPr>
        <w:instrText xml:space="preserve"> ADDIN ZOTERO_ITEM CSL_CITATION {"citationID":"Zi6tFRtz","properties":{"formattedCitation":"\\super 1,3\\nosupersub{}","plainCitation":"1,3","noteIndex":0},"citationItems":[{"id":1,"uris":["http://zotero.org/users/local/Xqbf4Pjx/items/I56ZHGJH"],"itemData":{"id":1,"type":"chapter","container-title":"Comprehensive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pregnancy","URL":"https;//doi.org/10.1007/978-3-030-25324-0","author":[{"family":"Shah","given":"Silvi"}],"issued":{"date-parts":[["2020"]]}},"label":"page"}],"schema":"https://github.com/citation-style-language/schema/raw/master/csl-citation.json"} </w:instrText>
      </w:r>
      <w:r w:rsidR="00ED2B12" w:rsidRPr="00B04B2E">
        <w:rPr>
          <w:rFonts w:ascii="Times New Roman" w:hAnsi="Times New Roman"/>
          <w:sz w:val="24"/>
          <w:szCs w:val="24"/>
        </w:rPr>
        <w:fldChar w:fldCharType="separate"/>
      </w:r>
      <w:r w:rsidR="00ED2B12" w:rsidRPr="00B04B2E">
        <w:rPr>
          <w:rFonts w:ascii="Times New Roman" w:hAnsi="Times New Roman"/>
          <w:sz w:val="24"/>
          <w:szCs w:val="24"/>
          <w:vertAlign w:val="superscript"/>
        </w:rPr>
        <w:t>1,3</w:t>
      </w:r>
      <w:r w:rsidR="00ED2B12" w:rsidRPr="00B04B2E">
        <w:rPr>
          <w:rFonts w:ascii="Times New Roman" w:hAnsi="Times New Roman"/>
          <w:sz w:val="24"/>
          <w:szCs w:val="24"/>
        </w:rPr>
        <w:fldChar w:fldCharType="end"/>
      </w:r>
      <w:r w:rsidRPr="00B04B2E">
        <w:rPr>
          <w:rFonts w:ascii="Times New Roman" w:hAnsi="Times New Roman"/>
          <w:sz w:val="24"/>
          <w:szCs w:val="24"/>
        </w:rPr>
        <w:t>It classifies HDP into gestational hypertension (pregnancy induced hypertension),  preeclampsia, eclampsia, chronic hypertension and chronic hypertension with superimposed severe preeclampsia.</w:t>
      </w:r>
    </w:p>
    <w:p w14:paraId="5678DBB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Hypertension in pregnancy is characterized by widespread vascular reactivity which predisposes to acute or chronic uteroplacental insufficiency, resulting in prenatal and intrapartum fetal hypoxia, which in turn is associated with several adverse outcomes such as intrauterine growth restriction (IUGR), premature birth with its attendant complications, and fetal demise or increased risk of perinatal death.</w:t>
      </w:r>
      <w:r w:rsidR="0064613F" w:rsidRPr="00B04B2E">
        <w:rPr>
          <w:rFonts w:ascii="Times New Roman" w:hAnsi="Times New Roman"/>
          <w:sz w:val="24"/>
          <w:szCs w:val="24"/>
        </w:rPr>
        <w:fldChar w:fldCharType="begin"/>
      </w:r>
      <w:r w:rsidR="0064613F" w:rsidRPr="00B04B2E">
        <w:rPr>
          <w:rFonts w:ascii="Times New Roman" w:hAnsi="Times New Roman"/>
          <w:sz w:val="24"/>
          <w:szCs w:val="24"/>
        </w:rPr>
        <w:instrText xml:space="preserve"> ADDIN ZOTERO_ITEM CSL_CITATION {"citationID":"FbvZUw9G","properties":{"formattedCitation":"\\super 1\\uc0\\u8211{}4\\nosupersub{}","plainCitation":"1–4","noteIndex":0},"citationItems":[{"id":1,"uris":["http://zotero.org/users/local/Xqbf4Pjx/items/I56ZHGJH"],"itemData":{"id":1,"type":"chapter","container-title":"Comprehensive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label":"page"}],"schema":"https://github.com/citation-style-language/schema/raw/master/csl-citation.json"} </w:instrText>
      </w:r>
      <w:r w:rsidR="0064613F" w:rsidRPr="00B04B2E">
        <w:rPr>
          <w:rFonts w:ascii="Times New Roman" w:hAnsi="Times New Roman"/>
          <w:sz w:val="24"/>
          <w:szCs w:val="24"/>
        </w:rPr>
        <w:fldChar w:fldCharType="separate"/>
      </w:r>
      <w:r w:rsidR="0064613F" w:rsidRPr="00B04B2E">
        <w:rPr>
          <w:rFonts w:ascii="Times New Roman" w:hAnsi="Times New Roman"/>
          <w:sz w:val="24"/>
          <w:szCs w:val="24"/>
          <w:vertAlign w:val="superscript"/>
        </w:rPr>
        <w:t>1–4</w:t>
      </w:r>
      <w:r w:rsidR="0064613F" w:rsidRPr="00B04B2E">
        <w:rPr>
          <w:rFonts w:ascii="Times New Roman" w:hAnsi="Times New Roman"/>
          <w:sz w:val="24"/>
          <w:szCs w:val="24"/>
        </w:rPr>
        <w:fldChar w:fldCharType="end"/>
      </w:r>
      <w:r w:rsidRPr="00B04B2E">
        <w:rPr>
          <w:rFonts w:ascii="Times New Roman" w:hAnsi="Times New Roman"/>
          <w:sz w:val="24"/>
          <w:szCs w:val="24"/>
        </w:rPr>
        <w:t xml:space="preserve"> In addition, HDP predisposes to potentially lethal maternal morbidities, including pulmonary edema, disseminated intravascular coagulopathy, abruptio placentae, acute renal injury, hemolysis, elevated liver enzymes, and low platelet count, cerebrovascular accident, and cardiac failure.</w:t>
      </w:r>
      <w:r w:rsidR="0064613F" w:rsidRPr="00B04B2E">
        <w:rPr>
          <w:rFonts w:ascii="Times New Roman" w:hAnsi="Times New Roman"/>
          <w:sz w:val="24"/>
          <w:szCs w:val="24"/>
        </w:rPr>
        <w:fldChar w:fldCharType="begin"/>
      </w:r>
      <w:r w:rsidR="0064613F" w:rsidRPr="00B04B2E">
        <w:rPr>
          <w:rFonts w:ascii="Times New Roman" w:hAnsi="Times New Roman"/>
          <w:sz w:val="24"/>
          <w:szCs w:val="24"/>
        </w:rPr>
        <w:instrText xml:space="preserve"> ADDIN ZOTERO_ITEM CSL_CITATION {"citationID":"Z7r4dryh","properties":{"formattedCitation":"\\super 1,5\\uc0\\u8211{}8\\nosupersub{}","plainCitation":"1,5–8","noteIndex":0},"citationItems":[{"id":1,"uris":["http://zotero.org/users/local/Xqbf4Pjx/items/I56ZHGJH"],"itemData":{"id":1,"type":"chapter","container-title":"Comprehensive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37,"uris":["http://zotero.org/users/local/Xqbf4Pjx/items/XVGT72N2"],"itemData":{"id":37,"type":"article-journal","abstract":"Maternal mortality continues to increase in the US, with hypertensive disorders of pregnancy (HDP) remaining one of the leading causes of morbidity and mortality. In this article, the definition, classification, and pathophysiology of the different forms of HDP, current management of these disorders, disparities in prevalence and management of these conditions, and potential strategies to improve HDP outcomes and combat disparities to reduce maternal morbidity and mortality are reviewed. Current management favors a more conservative approach to treating mild chronic hypertension (140–160/90–100 mmHg) in pregnancy. However, recent data suggests active treatment of mild chronic hypertension improves maternofetal pregnancy related outcomes.","container-title":"US Cardiology Review","DOI":"10.15420/usc.2023.01","ISSN":"1758-3896","journalAbbreviation":"US Cardiol","note":"PMID: 39494413\nPMCID: PMC11526487","page":"e03","source":"PubMed Central","title":"Hypertensive Disorders of Pregnancy: A Literature Review – Pathophysiology, Current Management, Future Perspectives, and Healthcare Disparities","title-short":"Hypertensive Disorders of Pregnancy","URL":"https://www.ncbi.nlm.nih.gov/pmc/articles/PMC11526487/","volume":"18","author":[{"family":"Traub","given":"Ariana"},{"family":"Sharma","given":"Apoorva"},{"family":"Gongora","given":"M Carolina"}],"accessed":{"date-parts":[["2025",3,17]]},"issued":{"date-parts":[["2024",2,12]]}},"label":"page"},{"id":5,"uris":["http://zotero.org/users/local/Xqbf4Pjx/items/S7UYUBR8"],"itemData":{"id":5,"type":"article-journal","abstract":"Objective: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E."}],"accessed":{"date-parts":[["2025",3,17]]},"issued":{"date-parts":[["2007"]]}},"label":"page"},{"id":7,"uris":["http://zotero.org/users/local/Xqbf4Pjx/items/E43Y2DFU"],"itemData":{"id":7,"type":"article-journal","abstract":"Objective\nTo describe the pattern of eclampsia between 1995 and 2004 at the Usmanu Danfodiyo University Teaching Hospital, Sokoto, northwestern Nigeria.\nStudy design\nA retrospective cohort of all deliveries and eclamptics seen from 1st January 1995 to 31st December 2004. Clusters of eclampsia were identified using purely temporal scan statistics.\nResults\nOf 15,318 deliveries during the period, 657(4.29%) had eclampsia. The yearly incidence of eclampsia at the beginning of the study period (1995) was 0.39% but this had increased to 7.0% in 2004 at a background exponential rate best described by quadratic curve fitting prediction model and a forecast curve that predicts an incidence of eclampsia of at least 32.4% of total deliveries by 2009. Temporal clusters occurred in 1996, 2001 and 2003–2004.\nConclusion\nThe incidence of eclampsia is unusually high and is increasing. It has shown 3 clusters in the last 10 years.","container-title":"International Journal of Gynecology &amp; Obstetrics","DOI":"10.1016/j.ijgo.2006.09.027","ISSN":"0020-7292","issue":"1","journalAbbreviation":"International Journal of Gynecology &amp; Obstetrics","page":"62-66","source":"ScienceDirect","title":"Clusters of eclampsia in a Nigerian teaching hospital","URL":"https://www.sciencedirect.com/science/article/pii/S0020729206004905","volume":"96","author":[{"family":"Ekele","given":"B. A."},{"family":"Bello","given":"S. O."},{"family":"Adamu","given":"A. N."}],"accessed":{"date-parts":[["2025",3,17]]},"issued":{"date-parts":[["2007",1,1]]}},"label":"page"},{"id":9,"uris":["http://zotero.org/users/local/Xqbf4Pjx/items/CXEZFL2X"],"itemData":{"id":9,"type":"article-journal","abstract":"CONTEXT: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Aliyu"}],"issued":{"date-parts":[["2020"]]}},"label":"page"}],"schema":"https://github.com/citation-style-language/schema/raw/master/csl-citation.json"} </w:instrText>
      </w:r>
      <w:r w:rsidR="0064613F" w:rsidRPr="00B04B2E">
        <w:rPr>
          <w:rFonts w:ascii="Times New Roman" w:hAnsi="Times New Roman"/>
          <w:sz w:val="24"/>
          <w:szCs w:val="24"/>
        </w:rPr>
        <w:fldChar w:fldCharType="separate"/>
      </w:r>
      <w:r w:rsidR="0064613F" w:rsidRPr="00B04B2E">
        <w:rPr>
          <w:rFonts w:ascii="Times New Roman" w:hAnsi="Times New Roman"/>
          <w:sz w:val="24"/>
          <w:szCs w:val="24"/>
          <w:vertAlign w:val="superscript"/>
        </w:rPr>
        <w:t>1,5–8</w:t>
      </w:r>
      <w:r w:rsidR="0064613F" w:rsidRPr="00B04B2E">
        <w:rPr>
          <w:rFonts w:ascii="Times New Roman" w:hAnsi="Times New Roman"/>
          <w:sz w:val="24"/>
          <w:szCs w:val="24"/>
        </w:rPr>
        <w:fldChar w:fldCharType="end"/>
      </w:r>
      <w:r w:rsidRPr="00B04B2E">
        <w:rPr>
          <w:rFonts w:ascii="Times New Roman" w:hAnsi="Times New Roman"/>
          <w:sz w:val="24"/>
          <w:szCs w:val="24"/>
        </w:rPr>
        <w:t xml:space="preserve"> Globally, HDP is a major cause of maternal </w:t>
      </w:r>
      <w:r w:rsidRPr="00B04B2E">
        <w:rPr>
          <w:rFonts w:ascii="Times New Roman" w:hAnsi="Times New Roman"/>
          <w:sz w:val="24"/>
          <w:szCs w:val="24"/>
        </w:rPr>
        <w:lastRenderedPageBreak/>
        <w:t>and perinatal morbidity and mortality. It accounts for about 12% of maternal death worldwide.</w:t>
      </w:r>
      <w:r w:rsidR="0064613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{"citationID":"6SycJeOK","properties":{"formattedCitation":"\\super 9,10\\nosupersub{}","plainCitation":"9,10","noteIndex":0},"citationItems":[{"id":11,"uris":["http://zotero.org/users/local/Xqbf4Pjx/items/2N2J7ATP"],"itemData":{"id":11,"type":"article-journal","abstract":"OBJECTIVE: We sought to estimate the incidence and risk factors associated with development of pre-eclampsia (PET) in Jos, Nigeria.\nMETHODS: 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USA.\nRESULTS: 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1.5-10.0).\nCONCLUSION: 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Sciences","DOI":"10.4314/ahs.v18i3.16","ISSN":"1729-0503","issue":"3","journalAbbreviation":"Afr Health Sci","language":"eng","note":"PMID: 30602991\nPMCID: PMC6307024","page":"584-595","source":"PubMed","title":"Incidence and risk factors for pre-eclampsia in Jos Nigeria","volume":"18","author":[{"family":"Musa","given":"Jonah"},{"family":"Mohammed","given":"Caleb"},{"family":"Ocheke","given":"Amaka"},{"family":"Kahansim","given":"Makswhar"},{"family":"Pam","given":"Victor"},{"family":"Daru","given":"Patrick"}],"issued":{"date-parts":[["2018",9]]}}},{"id":46,"uris":["http://zotero.org/users/local/Xqbf4Pjx/items/7BHPRSTY"],"itemData":{"id":46,"type":"book","ISBN":"978-92-4-154833-5","title":"WHO recommendations for prevention and treatment of preeclampsia and eclampsia","URL":"extension://mjdgandcagmikhlbjnilkmfnjeamfikk/https://iris.who.int/bitstream/handle/10665/44703/9789241548335_eng.pdf?sequence=1&amp;isAllowed=y","issued":{"date-parts":[["2011"]]}}}],"schema":"https://github.com/citation-style-language/schema/raw/master/csl-citation.json"} </w:instrText>
      </w:r>
      <w:r w:rsidR="0064613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9,10</w:t>
      </w:r>
      <w:r w:rsidR="0064613F" w:rsidRPr="00B04B2E">
        <w:rPr>
          <w:rFonts w:ascii="Times New Roman" w:hAnsi="Times New Roman"/>
          <w:sz w:val="24"/>
          <w:szCs w:val="24"/>
        </w:rPr>
        <w:fldChar w:fldCharType="end"/>
      </w:r>
      <w:r w:rsidRPr="00B04B2E">
        <w:rPr>
          <w:rFonts w:ascii="Times New Roman" w:hAnsi="Times New Roman"/>
          <w:sz w:val="24"/>
          <w:szCs w:val="24"/>
        </w:rPr>
        <w:t xml:space="preserve"> The World Health Organization estimated that 100,000 women die from preeclampsia and eclampsia annually.</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{"citationID":"QbbnihRH","properties":{"formattedCitation":"\\super 2,4,10,11\\nosupersub{}","plainCitation":"2,4,10,11","noteIndex":0},"citationItems":[{"id":40,"uris":["http://zotero.org/users/local/Xqbf4Pjx/items/P2NPS4RL"],"itemData":{"id":40,"type":"article-journal","container-title":"Journal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id":46,"uris":["http://zotero.org/users/local/Xqbf4Pjx/items/7BHPRSTY"],"itemData":{"id":46,"type":"book","ISBN":"978-92-4-154833-5","title":"WHO recommendations for prevention and treatment of preeclampsia and eclampsia","URL":"extension://mjdgandcagmikhlbjnilkmfnjeamfikk/https://iris.who.int/bitstream/handle/10665/44703/9789241548335_eng.pdf?sequence=1&amp;isAllowed=y","issued":{"date-parts":[["2011"]]}}},{"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2,4,10,11</w:t>
      </w:r>
      <w:r w:rsidR="006F454F" w:rsidRPr="00B04B2E">
        <w:rPr>
          <w:rFonts w:ascii="Times New Roman" w:hAnsi="Times New Roman"/>
          <w:sz w:val="24"/>
          <w:szCs w:val="24"/>
        </w:rPr>
        <w:fldChar w:fldCharType="end"/>
      </w:r>
      <w:r w:rsidRPr="00B04B2E">
        <w:rPr>
          <w:rFonts w:ascii="Times New Roman" w:hAnsi="Times New Roman"/>
          <w:sz w:val="24"/>
          <w:szCs w:val="24"/>
        </w:rPr>
        <w:t xml:space="preserve"> In South Africa, the incidence of HDP was found to be 12%, while HDP contributed about 20.7% to maternal mortality; making it the most common cause of maternal death in the country.</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{"citationID":"tpJWT7Nm","properties":{"formattedCitation":"\\super 12,13\\nosupersub{}","plainCitation":"12,13","noteIndex":0},"citationItems":[{"id":48,"uris":["http://zotero.org/users/local/Xqbf4Pjx/items/HMT24DA8"],"itemData":{"id":48,"type":"article-journal","abstract":"BACKGROUND: Hypertensive disorders in pregnancy (HDP) represent a group of conditions associated with high blood pressure during pregnancy. It is an important cause of feto-maternal morbidity and mortality, particularly in developing countries. The aims of the study were to find the prevalence of hypertensive disorders and its associated risk factors among women attending the antenatal clinic of Usmanu Danfodiyo University Teaching Hospital,(UDUTH) Sokoto.\nMATERIALS AND METHODS: A longitudinal study of 216 consecutively recruited women that were less than 20 weeks pregnant at booking was carried out. Blood pressure was measured for each woman at booking and at subsequent visits. Urinalysis was done at booking and whenever blood pressure was elevated. Patients were followed-up to delivery and 6 weeks postpartum. Data entry and analysis was done using Statistical Analysis System (SAS) statistical package.\nRESULTS: The prevalence of HDP in the study was 17% while preeclampsia was 6%. Previous history of preeclampsia (P &lt; 0.001; Relative risk (RR) 4.2; conficence interval (CI) 2.144-6.812), multiple gestation (P &lt; 0.03; RR 3.8; CI 1.037-6.235), gestational diabetes (P &lt; 0.02; RR 4.8; CI 1.910-6.751) and obesity (P &lt; 0.002; RR 2.7; CI 1.373-5.511) were the significant risk factors in the development of HDP among the study population.\nCONCLUSION: The prevalence of HDP in the study group is high. Therefore, paying attention to the risk factors will ensure early detection and prevention of the progression of the disease and its sequelae.","container-title":"Nigerian Medical Journal: Journal of the Nigeria Medical Association","DOI":"10.4103/0300-1652.140377","ISSN":"0300-1652","issue":"5","journalAbbreviation":"Niger Med J","language":"eng","note":"PMID: 25298602\nPMCID: PMC4178334","page":"384-388","source":"PubMed","title":"Hypertensive disorders in pregnancy among pregnant women in a Nigerian Teaching Hospital","volume":"55","author":[{"family":"Singh","given":"Swati"},{"family":"Ahmed","given":"Ekele Bissallah"},{"family":"Egondu","given":"Shehu Constance"},{"family":"Ikechukwu","given":"Nwobodo Emmanuel"}],"issued":{"date-parts":[["2014",9]]}},"label":"page"},{"id":17,"uris":["http://zotero.org/users/local/Xqbf4Pjx/items/NQ9I2QW2"],"itemData":{"id":17,"type":"article-journal","abstract":"Hypertensive disorders of pregnancy (HDP) remain one of the major causes of pregnancy-related maternal and fetal morbidity and mortality worldwide. Affected women are also at increased risk for cardiovascular disease later in life, independently of traditional cardiovascular disease risks. Despite the immediate and long-term cardiovascular disease risks, recommendations for diagnosis and treatment of HDP in the United States have changed little, if at all, over past decades, unlike hypertension guidelines for the general population. The reasons for this approach include the question of benefit from normalization of blood pressure treatment for pregnant women, coupled with theoretical concerns for fetal well-being from a reduction in utero-placental perfusion and in utero exposure to antihypertensive medication. This report is based on a review of current literature and includes normal physiological changes in pregnancy that may affect clinical presentation of HDP; HDP epidemiology and the immediate and long-term sequelae of HDP; the pathophysiology of preeclampsia, an HDP commonly associated with proteinuria and increasingly recognized as a heterogeneous disease with different clinical phenotypes and likely distinct pathological mechanisms; a critical overview of current national and international HDP guidelines; emerging evidence that reducing blood pressure treatment goals in pregnancy may reduce maternal severe hypertension without increasing the risk of pregnancy loss, high-level neonatal care, or overall maternal complications; and the increasingly recognized morbidity associated with postpartum hypertension/preeclampsia. Finally, we discuss the future of research in the field and the pressing need to study socioeconomic and biological factors that may contribute to racial and ethnic maternal health care disparities.","container-title":"Hypertension (Dallas, Tex.: 1979)","DOI":"10.1161/HYP.0000000000000208","ISSN":"1524-4563","issue":"2","journalAbbreviation":"Hypertension","language":"eng","note":"PMID: 34905954\nPMCID: PMC9031058","page":"e21-e41","source":"PubMed","title":"Hypertension in Pregnancy: Diagnosis, Blood Pressure Goals, and Pharmacotherapy: A Scientific Statement From the American Heart Association","title-short":"Hypertension in Pregnancy","volume":"79","author":[{"family":"Garovic","given":"Vesna D."},{"family":"Dechend","given":"Ralf"},{"family":"Easterling","given":"Thomas"},{"family":"Karumanchi","given":"S. Ananth"},{"family":"McMurtry Baird","given":"Suzanne"},{"family":"Magee","given":"Laura A."},{"family":"Rana","given":"Sarosh"},{"family":"Vermunt","given":"Jane V."},{"family":"August","given":"Phyllis"},{"literal":"American Heart Association Council on Hypertension; Council on the Kidney in Cardiovascular Disease, Kidney in Heart Disease Science Committee; Council on Arteriosclerosis, Thrombosis and Vascular Biology; Council on Lifestyle and Cardiometabolic Health; Council on Peripheral Vascular Disease; and Stroke Council"}],"issued":{"date-parts":[["2022",2]]}}}],"schema":"https://github.com/citation-style-language/schema/raw/master/csl-citation.json"}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12,13</w:t>
      </w:r>
      <w:r w:rsidR="006F454F" w:rsidRPr="00B04B2E">
        <w:rPr>
          <w:rFonts w:ascii="Times New Roman" w:hAnsi="Times New Roman"/>
          <w:sz w:val="24"/>
          <w:szCs w:val="24"/>
        </w:rPr>
        <w:fldChar w:fldCharType="end"/>
      </w:r>
      <w:r w:rsidRPr="00B04B2E">
        <w:rPr>
          <w:rFonts w:ascii="Times New Roman" w:hAnsi="Times New Roman"/>
          <w:sz w:val="24"/>
          <w:szCs w:val="24"/>
        </w:rPr>
        <w:t xml:space="preserve"> In Nigeria, HDP was responsible for 15% of maternal death.</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{"citationID":"O6VOo3xZ","properties":{"formattedCitation":"\\super 1,4,7,11\\nosupersub{}","plainCitation":"1,4,7,11","noteIndex":0},"citationItems":[{"id":1,"uris":["http://zotero.org/users/local/Xqbf4Pjx/items/I56ZHGJH"],"itemData":{"id":1,"type":"chapter","container-title":"Comprehensive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id":7,"uris":["http://zotero.org/users/local/Xqbf4Pjx/items/E43Y2DFU"],"itemData":{"id":7,"type":"article-journal","abstract":"Objective\nTo describe the pattern of eclampsia between 1995 and 2004 at the Usmanu Danfodiyo University Teaching Hospital, Sokoto, northwestern Nigeria.\nStudy design\nA retrospective cohort of all deliveries and eclamptics seen from 1st January 1995 to 31st December 2004. Clusters of eclampsia were identified using purely temporal scan statistics.\nResults\nOf 15,318 deliveries during the period, 657(4.29%) had eclampsia. The yearly incidence of eclampsia at the beginning of the study period (1995) was 0.39% but this had increased to 7.0% in 2004 at a background exponential rate best described by quadratic curve fitting prediction model and a forecast curve that predicts an incidence of eclampsia of at least 32.4% of total deliveries by 2009. Temporal clusters occurred in 1996, 2001 and 2003–2004.\nConclusion\nThe incidence of eclampsia is unusually high and is increasing. It has shown 3 clusters in the last 10 years.","container-title":"International Journal of Gynecology &amp; Obstetrics","DOI":"10.1016/j.ijgo.2006.09.027","ISSN":"0020-7292","issue":"1","journalAbbreviation":"International Journal of Gynecology &amp; Obstetrics","page":"62-66","source":"ScienceDirect","title":"Clusters of eclampsia in a Nigerian teaching hospital","URL":"https://www.sciencedirect.com/science/article/pii/S0020729206004905","volume":"96","author":[{"family":"Ekele","given":"B. A."},{"family":"Bello","given":"S. O."},{"family":"Adamu","given":"A. N."}],"accessed":{"date-parts":[["2025",3,17]]},"issued":{"date-parts":[["2007",1,1]]}},"label":"page"},{"id":15,"uris":["http://zotero.org/users/local/Xqbf4Pjx/items/SERR7QKA"],"itemData":{"id":15,"type":"article-journal","abstract":"BACKGROUND: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1,4,7,11</w:t>
      </w:r>
      <w:r w:rsidR="006F454F" w:rsidRPr="00B04B2E">
        <w:rPr>
          <w:rFonts w:ascii="Times New Roman" w:hAnsi="Times New Roman"/>
          <w:sz w:val="24"/>
          <w:szCs w:val="24"/>
        </w:rPr>
        <w:fldChar w:fldCharType="end"/>
      </w:r>
      <w:r w:rsidRPr="00B04B2E">
        <w:rPr>
          <w:rFonts w:ascii="Times New Roman" w:hAnsi="Times New Roman"/>
          <w:sz w:val="24"/>
          <w:szCs w:val="24"/>
        </w:rPr>
        <w:t xml:space="preserve"> To prevent adverse maternal and perinatal outcomes, prompt diagnosis and aggressive management are mandatory. In a nationwide analysis of 76,563 deliveries across Nigeria, HDP accounted for 32% of maternal deaths and most are preventable with timely and effective care.</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{"citationID":"vvAxWanZ","properties":{"formattedCitation":"\\super 14\\uc0\\u8211{}17\\nosupersub{}","plainCitation":"14–17","noteIndex":0},"citationItems":[{"id":19,"uris":["http://zotero.org/users/local/Xqbf4Pjx/items/5N5JRA5M"],"itemData":{"id":19,"type":"article-journal","abstract":"BACKGROUND: Hypertensive disorders of pregnancy, including hypertension, are a leading cause of maternal mortality in Nigeria. However, there is a paucity of data on pregnant women with hypertension who receive care in primary health care facilities. This study presents the results from a cross-sectional analysis of pregnant women enrolled in the Hypertension Treatment in Nigeria Program which is aimed at integrating and strengthening hypertension care in primary health care centres.\nMETHODS: A descriptive analysis of the baseline results from the Hypertension Treatment in Nigeria Program was performed. Baseline blood pressures, treatment and control rates of pregnant women were analysed and compared to other adult women of reproductive age. A complete case analysis was performed, and a two-sided p value &lt; 0.05 was considered statistically significant.\nRESULTS: Between January 2020 to October 2022, 5972 women of reproductive age were enrolled in the 60 primary healthcare centres participating in the Hypertension Treatment in Nigeria Program and 112 (2%) were pregnant. Overall mean age (SD) was 39.6 years (6.3). Co-morbidities were rare in both groups, and blood pressures were similar amongst pregnant and non-pregnant women (overall mean (SD) first systolic and diastolic blood pressures were 157.4 (20.6)/100.7 (13.6) mm Hg and overall mean (SD) second systolic and diastolic blood pressures were 151.7 (20.1)/98.4 (13.5) mm Hg). However, compared to non-pregnant women, pregnant women had a higher rate of newly diagnosed hypertension (65.2% versus 54.4% p = 0.02) and lower baseline walk-in treatment (32.1% versus 42.1%, p = 0.03). The control rate was numerically lower among pregnant patients (6.3% versus 10.2%, p = 0.17), but was not statistically significant. Some pregnant patients (8.3%) were on medications contraindicated in pregnancy, and none of the pregnant women were on aspirin for primary prevention of preeclampsia.\nCONCLUSIONS: These findings indicate significant gaps in care and important areas for future studies to improve the quality of care and outcomes for pregnant women with hypertension in Nigeria, a country with the highest burden of maternal mortality globally.","container-title":"BMC pregnancy and childbirth","DOI":"10.1186/s12884-023-05723-1","ISSN":"1471-2393","issue":"1","journalAbbreviation":"BMC Pregnancy Childbirth","language":"eng","note":"PMID: 37270521\nPMCID: PMC10239596","page":"416","source":"PubMed","title":"Clinical characteristics and treatment patterns of pregnant women with hypertension in primary care in the Federal Capital Territory of Nigeria: cross-sectional results from the hypertension treatment in Nigeria Program","title-short":"Clinical characteristics and treatment patterns of pregnant women with hypertension in primary care in the Federal Capital Territory of Nigeria","volume":"23","author":[{"family":"Mahmoud","given":"Zainab"},{"family":"Orji","given":"Ikechukwu A."},{"family":"Shedul","given":"Gabriel L."},{"family":"Aluka-Omitiran","given":"Kasarachi"},{"family":"Ripiye","given":"Nanna"},{"family":"Akor","given":"Blessing"},{"family":"Eze","given":"Helen"},{"family":"Ojo","given":"Tunde"},{"family":"Iyer","given":"Guhan"},{"family":"Baldridge","given":"Abigail S."},{"family":"Hirschhorn","given":"Lisa R."},{"family":"Huffman","given":"Mark D."},{"family":"Ojji","given":"Dike B."}],"issued":{"date-parts":[["2023",6,3]]}},"label":"page"},{"id":23,"uris":["http://zotero.org/users/local/Xqbf4Pjx/items/4TFF7FQD"],"itemData":{"id":23,"type":"article-journal","abstract":"BACKGROUND: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Network"}],"issued":{"date-parts":[["2022",5]]}},"label":"page"},{"id":26,"uris":["http://zotero.org/users/local/Xqbf4Pjx/items/JB6ITLAS"],"itemData":{"id":26,"type":"article-journal","abstract":"BACKGROUND: Eclampsia, defined as the occurrence of generalised, tonic-clonic convulsions or coma that is unrelated to other medical conditions in a woman with hypertensive disorder of pregnancy, is a leading cause of maternal and perinatal morbidity and mortality.\nMETHODS: Retrospective review of cases of eclampsia managed over 15 years (2006 to 2020) at the University of Maiduguri Teaching Hospital, Borno State, Nigeria. Factors associated with adverse maternal and perinatal outcomes were determined using appropriate bivariate analysis. Statistical significance was set at P &lt; 0.05.\nRESULTS: The prevalence of eclampsia was 2.96%. Most of the patients, 55.2% (420/761) were &gt;35 years, 76% (579/761) were primigravidae and 80.4% (612/761) were unbooked. In 59.1% (450/761) of the cases, the eclampsia was antepartum and 40.3% (301/761) were delivered through a caesarean section. The commonest risk factor was previous eclampsia. There were 58(7.6%) maternal deaths, and the perinatal mortality was 18.1% (138/761). There was a statistically significant association between adverse maternal outcomes and having no formal education (P&lt;0.001), being unemployed (P&lt;0.001), being in coma for &gt;10 hours(P=0.029), caesarean delivery (P&lt;0.001), SBP &gt;160mmHg (P&lt;0.001) and DBP &gt;110mmHg (P&lt;0.001). Adverse perinatal outcome was significantly associated with having no formal education (P&lt;0.001), being unemployed (P=0.004), unbooked status (P=0.015), multiple pregnancy (P=0.021), preterm delivery(P&lt;0.001), caesarean delivery (P=0.012) and Systolic BP &gt;160mmHg (P&lt;0.001).\nCONCLUSION: The prevalence of eclampsia is high. Having no formal education, unemployment, coma of 10 hours or more, vaginal delivery and severe hypertension, unbooked status, and multiple gestation are significantly associated with poor maternal or fetal outcomes.","container-title":"West African Journal of Medicine","ISSN":"0189-160X","issue":"1","journalAbbreviation":"West Afr J Med","language":"eng","note":"PMID: 36718654","page":"97-103","source":"PubMed","title":"Prevalence, Risk Factors, Maternal and Perinatal Outcome of Patients with Eclampsia in University of Maiduguri Teaching Hospital, Maiduguri, Nigeria: A 15-Year Retrospective Review","title-short":"Prevalence, Risk Factors, Maternal and Perinatal Outcome of Patients with Eclampsia in University of Maiduguri Teaching Hospital, Maiduguri, Nigeria","volume":"40","author":[{"family":"Geidam","given":"A. D."},{"family":"Atterwahmie","given":"A."},{"family":"Usman","given":"A."},{"family":"Idrisa","given":"A."}],"issued":{"date-parts":[["2023",1,30]]}},"label":"page"},{"id":67,"uris":["http://zotero.org/users/local/Xqbf4Pjx/items/VHYKFAFZ"],"itemData":{"id":67,"type":"webpage","title":"Prevalence of hypertensive disorders of pregnancy, associated factors and pregnancy complications in a primigravida population - ScienceDirect","URL":"https://www.sciencedirect.com/science/article/pii/S2667164623000039","accessed":{"date-parts":[["2025",3,18]]}},"label":"page"}],"schema":"https://github.com/citation-style-language/schema/raw/master/csl-citation.json"}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14–17</w:t>
      </w:r>
      <w:r w:rsidR="006F454F" w:rsidRPr="00B04B2E">
        <w:rPr>
          <w:rFonts w:ascii="Times New Roman" w:hAnsi="Times New Roman"/>
          <w:sz w:val="24"/>
          <w:szCs w:val="24"/>
        </w:rPr>
        <w:fldChar w:fldCharType="end"/>
      </w:r>
    </w:p>
    <w:p w14:paraId="7592B9F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However, in Africa, a relatively higher prevalence of HDP is reported, as it affects 1 in 10 women.</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{"citationID":"m9BJfPxb","properties":{"formattedCitation":"\\super 4,15,17\\nosupersub{}","plainCitation":"4,15,17","noteIndex":0},"citationItems":[{"id":47,"uris":["http://zotero.org/users/local/Xqbf4Pjx/items/PKGBXPEW"],"itemData":{"id":47,"type":"book","ISBN":"978-92-4-006875-","title":"Trends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Network"}],"issued":{"date-parts":[["2022",5]]}},"label":"page"},{"id":67,"uris":["http://zotero.org/users/local/Xqbf4Pjx/items/VHYKFAFZ"],"itemData":{"id":67,"type":"webpage","title":"Prevalence of hypertensive disorders of pregnancy, associated factors and pregnancy complications in a primigravida population - ScienceDirect","URL":"https://www.sciencedirect.com/science/article/pii/S2667164623000039","accessed":{"date-parts":[["2025",3,18]]}},"label":"page"}],"schema":"https://github.com/citation-style-language/schema/raw/master/csl-citation.json"}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4,15,17</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Furthermore, there is concern that recent reports on the global burden of HDP underrepresent sub Saharan African populations, indicating the importance of further research addressing HDP among this population.</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{"citationID":"XOh0mifW","properties":{"formattedCitation":"\\super 15\\nosupersub{}","plainCitation":"15","noteIndex":0},"citationItems":[{"id":23,"uris":["http://zotero.org/users/local/Xqbf4Pjx/items/4TFF7FQD"],"itemData":{"id":23,"type":"article-journal","abstract":"BACKGROUND: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15</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The burden of hypertension has been increasing over the past few decades in sub Saharan Africa; however, a large percentage of the population with hypertension remains untreated, ineffectively treated, or even undiagnosed, contributing to the growing cardiovascular disorder problem in this region.</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{"citationID":"PVxiOajt","properties":{"formattedCitation":"\\super 2,18\\nosupersub{}","plainCitation":"2,18","noteIndex":0},"citationItems":[{"id":40,"uris":["http://zotero.org/users/local/Xqbf4Pjx/items/P2NPS4RL"],"itemData":{"id":40,"type":"article-journal","container-title":"Journal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Salahuddin"}],"accessed":{"date-parts":[["2025",3,17]]},"issued":{"date-parts":[["2022",10,21]]}},"label":"page"},{"id":28,"uris":["http://zotero.org/users/local/Xqbf4Pjx/items/MF4WT5DS"],"itemData":{"id":28,"type":"article-journal","abstract":"The pattern and factors affecting the outcome of pregnancy in hypertensive patients at the Olabisi Onabanjo University Teaching Hospital, Sagamu, Nigeria between January 1997 and December 2002 were studied. There were 2,393 deliveries, with 127 (5.3%) patients fulfilling the criteria for hypertensive disorder of pregnancy. 26.2% had de-novo (gestational) hypertension, 19.7% had pre-eclampsia (PET) superimposed on chronic hypertension and 54.1% had PET/eclampsia. All patients with prepregnancy chronic hypertension had superimposed PET or eclampsia in this study. The PET/eclampsia group had the worst maternal and fetal outcomes as demonstrated by maternal mortality (6.1%), fetal mortality (36.4%), fetal respiratory distress (66.7%) and abruptio (6.1%). They also had more target organ damage (18.2%). 50.8% of these were categorized as high risk. Furthermore, patients in the PET/eclampsia group tended to be illiterate, attended antenatal clinic (ANC) less regularly and had more maternal and fetal adverse outcomes. Twenty percent of the patients had poorly controlled blood pressures (BP) at discharge, and only one out of five of the chronic hypertensive patients attended the medical hypertension clinic on discharge. These poor outcomes further emphasize the need for patient education; regular antenatal clinic attendance; prompt treatment of elevated BP; compliance with postnatal clinic follow-up, including medical outpatient care in these patients.","container-title":"Journal of the National Medical Association","ISSN":"0027-9684","issue":"12","journalAbbreviation":"J Natl Med Assoc","language":"eng","note":"PMID: 15622693\nPMCID: PMC2568649","page":"1626-1631","source":"PubMed","title":"Pattern and factors affecting the outcome of pregnancy in hypertensive patients","volume":"96","author":[{"family":"Familoni","given":"Oluranti B."},{"family":"Adefuye","given":"Peter O."},{"family":"Olunuga","given":"Taiwo O."}],"issued":{"date-parts":[["2004",12]]}},"label":"page"}],"schema":"https://github.com/citation-style-language/schema/raw/master/csl-citation.json"}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2,18</w:t>
      </w:r>
      <w:r w:rsidR="00C52F58" w:rsidRPr="00B04B2E">
        <w:rPr>
          <w:rFonts w:ascii="Times New Roman" w:hAnsi="Times New Roman"/>
          <w:sz w:val="24"/>
          <w:szCs w:val="24"/>
        </w:rPr>
        <w:fldChar w:fldCharType="end"/>
      </w:r>
    </w:p>
    <w:p w14:paraId="18F671C3" w14:textId="0133EC78"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objectives of this study </w:t>
      </w:r>
      <w:proofErr w:type="gramStart"/>
      <w:r w:rsidR="00E71926">
        <w:rPr>
          <w:rFonts w:ascii="Times New Roman" w:hAnsi="Times New Roman"/>
          <w:sz w:val="24"/>
          <w:szCs w:val="24"/>
        </w:rPr>
        <w:t>was</w:t>
      </w:r>
      <w:bookmarkStart w:id="0" w:name="_GoBack"/>
      <w:bookmarkEnd w:id="0"/>
      <w:proofErr w:type="gramEnd"/>
      <w:r w:rsidRPr="00B04B2E">
        <w:rPr>
          <w:rFonts w:ascii="Times New Roman" w:hAnsi="Times New Roman"/>
          <w:sz w:val="24"/>
          <w:szCs w:val="24"/>
        </w:rPr>
        <w:t xml:space="preserve"> to assess the pattern of HDP among patients managed in Federal Teaching Hospital Gombe (FTHG) and to describe maternal and perinatal outcomes and identify factors associated with the pregnancy outcomes.</w:t>
      </w:r>
    </w:p>
    <w:p w14:paraId="4176FEB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D1660C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METHODOLOGY</w:t>
      </w:r>
    </w:p>
    <w:p w14:paraId="2E8BE29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This was a retrospective study of all cases of hypertensive disorders of pregnancy managed at FTHG between 1</w:t>
      </w:r>
      <w:r w:rsidRPr="00B04B2E">
        <w:rPr>
          <w:rFonts w:ascii="Times New Roman" w:hAnsi="Times New Roman"/>
          <w:sz w:val="24"/>
          <w:szCs w:val="24"/>
          <w:vertAlign w:val="superscript"/>
        </w:rPr>
        <w:t>st</w:t>
      </w:r>
      <w:r w:rsidRPr="00B04B2E">
        <w:rPr>
          <w:rFonts w:ascii="Times New Roman" w:hAnsi="Times New Roman"/>
          <w:sz w:val="24"/>
          <w:szCs w:val="24"/>
        </w:rPr>
        <w:t xml:space="preserve"> January 2022 to 31</w:t>
      </w:r>
      <w:r w:rsidRPr="00B04B2E">
        <w:rPr>
          <w:rFonts w:ascii="Times New Roman" w:hAnsi="Times New Roman"/>
          <w:sz w:val="24"/>
          <w:szCs w:val="24"/>
          <w:vertAlign w:val="superscript"/>
        </w:rPr>
        <w:t>st</w:t>
      </w:r>
      <w:r w:rsidRPr="00B04B2E">
        <w:rPr>
          <w:rFonts w:ascii="Times New Roman" w:hAnsi="Times New Roman"/>
          <w:sz w:val="24"/>
          <w:szCs w:val="24"/>
        </w:rPr>
        <w:t xml:space="preserve"> August 2022 who presented to the obstetric emergency or were admitted into the antenatal ward, </w:t>
      </w:r>
      <w:proofErr w:type="spellStart"/>
      <w:r w:rsidRPr="00B04B2E">
        <w:rPr>
          <w:rFonts w:ascii="Times New Roman" w:hAnsi="Times New Roman"/>
          <w:sz w:val="24"/>
          <w:szCs w:val="24"/>
        </w:rPr>
        <w:t>labour</w:t>
      </w:r>
      <w:proofErr w:type="spellEnd"/>
      <w:r w:rsidRPr="00B04B2E">
        <w:rPr>
          <w:rFonts w:ascii="Times New Roman" w:hAnsi="Times New Roman"/>
          <w:sz w:val="24"/>
          <w:szCs w:val="24"/>
        </w:rPr>
        <w:t xml:space="preserve"> room or postnatal ward. The patients were identified by reviewing the register of patients with hypertensive disorders in pregnancy and their folders retrieved and reviewed. Data was collected on google form and Statistical Package for Social Sciences (SPSS) software version 21.0 were used for data entry and analysis.</w:t>
      </w:r>
    </w:p>
    <w:p w14:paraId="4780F0C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RESULT</w:t>
      </w:r>
    </w:p>
    <w:p w14:paraId="38A2036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From January 2022 to August 2022, 504 women with HDP managed at the FTHG were analyzed. The patients included all women who delivered at FTHG and those that delivered outside and presented in the puerperium with hypertensive disease.</w:t>
      </w:r>
    </w:p>
    <w:p w14:paraId="3A69124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Within the period of the study a total of 1624 obstetric cases were managed, 504 of them had HDP giving an incidence of 31.0%.</w:t>
      </w:r>
    </w:p>
    <w:p w14:paraId="6BEE3C4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8B428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 xml:space="preserve">Table 1: Age distribution of the patients with HDP </w:t>
      </w:r>
    </w:p>
    <w:tbl>
      <w:tblPr>
        <w:tblW w:w="0" w:type="auto"/>
        <w:tblLook w:val="04A0" w:firstRow="1" w:lastRow="0" w:firstColumn="1" w:lastColumn="0" w:noHBand="0" w:noVBand="1"/>
      </w:tblPr>
      <w:tblGrid>
        <w:gridCol w:w="2781"/>
        <w:gridCol w:w="2781"/>
        <w:gridCol w:w="2781"/>
      </w:tblGrid>
      <w:tr w:rsidR="006726CF" w:rsidRPr="00B04B2E" w14:paraId="193BADE7" w14:textId="77777777" w:rsidTr="006726CF">
        <w:trPr>
          <w:trHeight w:val="565"/>
        </w:trPr>
        <w:tc>
          <w:tcPr>
            <w:tcW w:w="2781" w:type="dxa"/>
            <w:tcBorders>
              <w:top w:val="single" w:sz="18" w:space="0" w:color="auto"/>
              <w:left w:val="nil"/>
              <w:bottom w:val="single" w:sz="18" w:space="0" w:color="auto"/>
              <w:right w:val="nil"/>
            </w:tcBorders>
            <w:hideMark/>
          </w:tcPr>
          <w:p w14:paraId="528389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w:t>
            </w:r>
          </w:p>
        </w:tc>
        <w:tc>
          <w:tcPr>
            <w:tcW w:w="2781" w:type="dxa"/>
            <w:tcBorders>
              <w:top w:val="single" w:sz="18" w:space="0" w:color="auto"/>
              <w:left w:val="nil"/>
              <w:bottom w:val="single" w:sz="18" w:space="0" w:color="auto"/>
              <w:right w:val="nil"/>
            </w:tcBorders>
            <w:hideMark/>
          </w:tcPr>
          <w:p w14:paraId="1B4AAB7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 (n=504)</w:t>
            </w:r>
          </w:p>
        </w:tc>
        <w:tc>
          <w:tcPr>
            <w:tcW w:w="2781" w:type="dxa"/>
            <w:tcBorders>
              <w:top w:val="single" w:sz="18" w:space="0" w:color="auto"/>
              <w:left w:val="nil"/>
              <w:bottom w:val="single" w:sz="18" w:space="0" w:color="auto"/>
              <w:right w:val="nil"/>
            </w:tcBorders>
            <w:hideMark/>
          </w:tcPr>
          <w:p w14:paraId="1AA0788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w:t>
            </w:r>
          </w:p>
        </w:tc>
      </w:tr>
      <w:tr w:rsidR="006726CF" w:rsidRPr="00B04B2E" w14:paraId="459D7C97" w14:textId="77777777" w:rsidTr="006726CF">
        <w:trPr>
          <w:trHeight w:val="565"/>
        </w:trPr>
        <w:tc>
          <w:tcPr>
            <w:tcW w:w="2781" w:type="dxa"/>
            <w:tcBorders>
              <w:top w:val="single" w:sz="18" w:space="0" w:color="auto"/>
              <w:left w:val="nil"/>
              <w:bottom w:val="nil"/>
              <w:right w:val="nil"/>
            </w:tcBorders>
            <w:hideMark/>
          </w:tcPr>
          <w:p w14:paraId="218B43D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Age group</w:t>
            </w:r>
          </w:p>
        </w:tc>
        <w:tc>
          <w:tcPr>
            <w:tcW w:w="2781" w:type="dxa"/>
            <w:tcBorders>
              <w:top w:val="single" w:sz="18" w:space="0" w:color="auto"/>
              <w:left w:val="nil"/>
              <w:bottom w:val="nil"/>
              <w:right w:val="nil"/>
            </w:tcBorders>
          </w:tcPr>
          <w:p w14:paraId="76B78A64" w14:textId="77777777" w:rsidR="006726CF" w:rsidRPr="00B04B2E" w:rsidRDefault="006726CF">
            <w:pPr>
              <w:spacing w:before="100" w:beforeAutospacing="1" w:line="360" w:lineRule="auto"/>
              <w:rPr>
                <w:rFonts w:ascii="Times New Roman" w:hAnsi="Times New Roman"/>
                <w:sz w:val="24"/>
                <w:szCs w:val="24"/>
              </w:rPr>
            </w:pPr>
          </w:p>
        </w:tc>
        <w:tc>
          <w:tcPr>
            <w:tcW w:w="2781" w:type="dxa"/>
            <w:tcBorders>
              <w:top w:val="single" w:sz="18" w:space="0" w:color="auto"/>
              <w:left w:val="nil"/>
              <w:bottom w:val="nil"/>
              <w:right w:val="nil"/>
            </w:tcBorders>
          </w:tcPr>
          <w:p w14:paraId="7A4509F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6AEA41F" w14:textId="77777777" w:rsidTr="006726CF">
        <w:trPr>
          <w:trHeight w:val="553"/>
        </w:trPr>
        <w:tc>
          <w:tcPr>
            <w:tcW w:w="2781" w:type="dxa"/>
            <w:tcBorders>
              <w:top w:val="nil"/>
              <w:left w:val="nil"/>
              <w:bottom w:val="nil"/>
              <w:right w:val="nil"/>
            </w:tcBorders>
            <w:hideMark/>
          </w:tcPr>
          <w:p w14:paraId="45C1778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&lt;20</w:t>
            </w:r>
          </w:p>
        </w:tc>
        <w:tc>
          <w:tcPr>
            <w:tcW w:w="2781" w:type="dxa"/>
            <w:tcBorders>
              <w:top w:val="nil"/>
              <w:left w:val="nil"/>
              <w:bottom w:val="nil"/>
              <w:right w:val="nil"/>
            </w:tcBorders>
            <w:hideMark/>
          </w:tcPr>
          <w:p w14:paraId="2A14867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54</w:t>
            </w:r>
          </w:p>
        </w:tc>
        <w:tc>
          <w:tcPr>
            <w:tcW w:w="2781" w:type="dxa"/>
            <w:tcBorders>
              <w:top w:val="nil"/>
              <w:left w:val="nil"/>
              <w:bottom w:val="nil"/>
              <w:right w:val="nil"/>
            </w:tcBorders>
            <w:hideMark/>
          </w:tcPr>
          <w:p w14:paraId="70772AB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10.7</w:t>
            </w:r>
          </w:p>
        </w:tc>
      </w:tr>
      <w:tr w:rsidR="006726CF" w:rsidRPr="00B04B2E" w14:paraId="729B55F1" w14:textId="77777777" w:rsidTr="006726CF">
        <w:trPr>
          <w:trHeight w:val="565"/>
        </w:trPr>
        <w:tc>
          <w:tcPr>
            <w:tcW w:w="2781" w:type="dxa"/>
            <w:tcBorders>
              <w:top w:val="nil"/>
              <w:left w:val="nil"/>
              <w:bottom w:val="nil"/>
              <w:right w:val="nil"/>
            </w:tcBorders>
            <w:hideMark/>
          </w:tcPr>
          <w:p w14:paraId="14DAF3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20-24</w:t>
            </w:r>
          </w:p>
        </w:tc>
        <w:tc>
          <w:tcPr>
            <w:tcW w:w="2781" w:type="dxa"/>
            <w:tcBorders>
              <w:top w:val="nil"/>
              <w:left w:val="nil"/>
              <w:bottom w:val="nil"/>
              <w:right w:val="nil"/>
            </w:tcBorders>
            <w:hideMark/>
          </w:tcPr>
          <w:p w14:paraId="2EC154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103</w:t>
            </w:r>
          </w:p>
        </w:tc>
        <w:tc>
          <w:tcPr>
            <w:tcW w:w="2781" w:type="dxa"/>
            <w:tcBorders>
              <w:top w:val="nil"/>
              <w:left w:val="nil"/>
              <w:bottom w:val="nil"/>
              <w:right w:val="nil"/>
            </w:tcBorders>
            <w:hideMark/>
          </w:tcPr>
          <w:p w14:paraId="49D1043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20.4</w:t>
            </w:r>
          </w:p>
        </w:tc>
      </w:tr>
      <w:tr w:rsidR="006726CF" w:rsidRPr="00B04B2E" w14:paraId="2A5C7ABA" w14:textId="77777777" w:rsidTr="006726CF">
        <w:trPr>
          <w:trHeight w:val="565"/>
        </w:trPr>
        <w:tc>
          <w:tcPr>
            <w:tcW w:w="2781" w:type="dxa"/>
            <w:tcBorders>
              <w:top w:val="nil"/>
              <w:left w:val="nil"/>
              <w:bottom w:val="nil"/>
              <w:right w:val="nil"/>
            </w:tcBorders>
            <w:hideMark/>
          </w:tcPr>
          <w:p w14:paraId="4C3D05F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25-29</w:t>
            </w:r>
          </w:p>
        </w:tc>
        <w:tc>
          <w:tcPr>
            <w:tcW w:w="2781" w:type="dxa"/>
            <w:tcBorders>
              <w:top w:val="nil"/>
              <w:left w:val="nil"/>
              <w:bottom w:val="nil"/>
              <w:right w:val="nil"/>
            </w:tcBorders>
            <w:hideMark/>
          </w:tcPr>
          <w:p w14:paraId="5C19F77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113</w:t>
            </w:r>
          </w:p>
        </w:tc>
        <w:tc>
          <w:tcPr>
            <w:tcW w:w="2781" w:type="dxa"/>
            <w:tcBorders>
              <w:top w:val="nil"/>
              <w:left w:val="nil"/>
              <w:bottom w:val="nil"/>
              <w:right w:val="nil"/>
            </w:tcBorders>
            <w:hideMark/>
          </w:tcPr>
          <w:p w14:paraId="6B36A4C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22.4</w:t>
            </w:r>
          </w:p>
        </w:tc>
      </w:tr>
      <w:tr w:rsidR="006726CF" w:rsidRPr="00B04B2E" w14:paraId="5B508B36" w14:textId="77777777" w:rsidTr="006726CF">
        <w:trPr>
          <w:trHeight w:val="565"/>
        </w:trPr>
        <w:tc>
          <w:tcPr>
            <w:tcW w:w="2781" w:type="dxa"/>
            <w:tcBorders>
              <w:top w:val="nil"/>
              <w:left w:val="nil"/>
              <w:bottom w:val="nil"/>
              <w:right w:val="nil"/>
            </w:tcBorders>
            <w:hideMark/>
          </w:tcPr>
          <w:p w14:paraId="38DD04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30-34</w:t>
            </w:r>
          </w:p>
        </w:tc>
        <w:tc>
          <w:tcPr>
            <w:tcW w:w="2781" w:type="dxa"/>
            <w:tcBorders>
              <w:top w:val="nil"/>
              <w:left w:val="nil"/>
              <w:bottom w:val="nil"/>
              <w:right w:val="nil"/>
            </w:tcBorders>
            <w:hideMark/>
          </w:tcPr>
          <w:p w14:paraId="121457F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105</w:t>
            </w:r>
          </w:p>
        </w:tc>
        <w:tc>
          <w:tcPr>
            <w:tcW w:w="2781" w:type="dxa"/>
            <w:tcBorders>
              <w:top w:val="nil"/>
              <w:left w:val="nil"/>
              <w:bottom w:val="nil"/>
              <w:right w:val="nil"/>
            </w:tcBorders>
            <w:hideMark/>
          </w:tcPr>
          <w:p w14:paraId="317E74B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20.8</w:t>
            </w:r>
          </w:p>
        </w:tc>
      </w:tr>
      <w:tr w:rsidR="006726CF" w:rsidRPr="00B04B2E" w14:paraId="08D36CB6" w14:textId="77777777" w:rsidTr="006726CF">
        <w:trPr>
          <w:trHeight w:val="565"/>
        </w:trPr>
        <w:tc>
          <w:tcPr>
            <w:tcW w:w="2781" w:type="dxa"/>
            <w:tcBorders>
              <w:top w:val="nil"/>
              <w:left w:val="nil"/>
              <w:bottom w:val="nil"/>
              <w:right w:val="nil"/>
            </w:tcBorders>
            <w:hideMark/>
          </w:tcPr>
          <w:p w14:paraId="3BF984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35-39</w:t>
            </w:r>
          </w:p>
        </w:tc>
        <w:tc>
          <w:tcPr>
            <w:tcW w:w="2781" w:type="dxa"/>
            <w:tcBorders>
              <w:top w:val="nil"/>
              <w:left w:val="nil"/>
              <w:bottom w:val="nil"/>
              <w:right w:val="nil"/>
            </w:tcBorders>
            <w:hideMark/>
          </w:tcPr>
          <w:p w14:paraId="6E64274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w:t>
            </w:r>
          </w:p>
        </w:tc>
        <w:tc>
          <w:tcPr>
            <w:tcW w:w="2781" w:type="dxa"/>
            <w:tcBorders>
              <w:top w:val="nil"/>
              <w:left w:val="nil"/>
              <w:bottom w:val="nil"/>
              <w:right w:val="nil"/>
            </w:tcBorders>
            <w:hideMark/>
          </w:tcPr>
          <w:p w14:paraId="1342E83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17.3</w:t>
            </w:r>
          </w:p>
        </w:tc>
      </w:tr>
      <w:tr w:rsidR="006726CF" w:rsidRPr="00B04B2E" w14:paraId="67C3BA9C" w14:textId="77777777" w:rsidTr="006726CF">
        <w:trPr>
          <w:trHeight w:val="565"/>
        </w:trPr>
        <w:tc>
          <w:tcPr>
            <w:tcW w:w="2781" w:type="dxa"/>
            <w:tcBorders>
              <w:top w:val="nil"/>
              <w:left w:val="nil"/>
              <w:bottom w:val="single" w:sz="18" w:space="0" w:color="auto"/>
              <w:right w:val="nil"/>
            </w:tcBorders>
            <w:hideMark/>
          </w:tcPr>
          <w:p w14:paraId="31FE36B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w:t>
            </w:r>
          </w:p>
        </w:tc>
        <w:tc>
          <w:tcPr>
            <w:tcW w:w="2781" w:type="dxa"/>
            <w:tcBorders>
              <w:top w:val="nil"/>
              <w:left w:val="nil"/>
              <w:bottom w:val="single" w:sz="18" w:space="0" w:color="auto"/>
              <w:right w:val="nil"/>
            </w:tcBorders>
            <w:hideMark/>
          </w:tcPr>
          <w:p w14:paraId="0085F7F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w:t>
            </w:r>
          </w:p>
        </w:tc>
        <w:tc>
          <w:tcPr>
            <w:tcW w:w="2781" w:type="dxa"/>
            <w:tcBorders>
              <w:top w:val="nil"/>
              <w:left w:val="nil"/>
              <w:bottom w:val="single" w:sz="18" w:space="0" w:color="auto"/>
              <w:right w:val="nil"/>
            </w:tcBorders>
            <w:hideMark/>
          </w:tcPr>
          <w:p w14:paraId="2E860D9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8.3</w:t>
            </w:r>
          </w:p>
        </w:tc>
      </w:tr>
    </w:tbl>
    <w:p w14:paraId="5ADAE1D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A165A6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age distribution of women with hypertensive disorders in pregnancy (HDP) at the FTHG showed a significant proportion of women across various age groups. Majority of women with HDP were in the 25-29 age group, comprising 22.4% of the total, followed by those in the 30-34 age group, accounting for 20.8%. The 20-24 age group had 20.4% of the cases, while the 35-39 age group had 17.3%. The youngest age group (&lt;20) had 10.7% of the cases, and the oldest age group (≥40) had 8.3%.</w:t>
      </w:r>
    </w:p>
    <w:p w14:paraId="669814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35E7EE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Table 2: Obstetric characteristics of the patients with HDP</w:t>
      </w:r>
    </w:p>
    <w:tbl>
      <w:tblPr>
        <w:tblW w:w="0" w:type="auto"/>
        <w:tblLook w:val="04A0" w:firstRow="1" w:lastRow="0" w:firstColumn="1" w:lastColumn="0" w:noHBand="0" w:noVBand="1"/>
      </w:tblPr>
      <w:tblGrid>
        <w:gridCol w:w="3005"/>
        <w:gridCol w:w="3005"/>
        <w:gridCol w:w="3006"/>
      </w:tblGrid>
      <w:tr w:rsidR="006726CF" w:rsidRPr="00B04B2E" w14:paraId="6B271796" w14:textId="77777777" w:rsidTr="006726CF">
        <w:tc>
          <w:tcPr>
            <w:tcW w:w="3005" w:type="dxa"/>
            <w:tcBorders>
              <w:top w:val="single" w:sz="18" w:space="0" w:color="auto"/>
              <w:left w:val="nil"/>
              <w:bottom w:val="single" w:sz="18" w:space="0" w:color="auto"/>
              <w:right w:val="nil"/>
            </w:tcBorders>
            <w:hideMark/>
          </w:tcPr>
          <w:p w14:paraId="0B372B0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lastRenderedPageBreak/>
              <w:t>Variables</w:t>
            </w:r>
          </w:p>
        </w:tc>
        <w:tc>
          <w:tcPr>
            <w:tcW w:w="3005" w:type="dxa"/>
            <w:tcBorders>
              <w:top w:val="single" w:sz="18" w:space="0" w:color="auto"/>
              <w:left w:val="nil"/>
              <w:bottom w:val="single" w:sz="18" w:space="0" w:color="auto"/>
              <w:right w:val="nil"/>
            </w:tcBorders>
            <w:hideMark/>
          </w:tcPr>
          <w:p w14:paraId="5E7A6D8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3006" w:type="dxa"/>
            <w:tcBorders>
              <w:top w:val="single" w:sz="18" w:space="0" w:color="auto"/>
              <w:left w:val="nil"/>
              <w:bottom w:val="single" w:sz="18" w:space="0" w:color="auto"/>
              <w:right w:val="nil"/>
            </w:tcBorders>
            <w:hideMark/>
          </w:tcPr>
          <w:p w14:paraId="19C9BB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r>
      <w:tr w:rsidR="006726CF" w:rsidRPr="00B04B2E" w14:paraId="4ED9D17B" w14:textId="77777777" w:rsidTr="006726CF">
        <w:tc>
          <w:tcPr>
            <w:tcW w:w="3005" w:type="dxa"/>
            <w:tcBorders>
              <w:top w:val="single" w:sz="18" w:space="0" w:color="auto"/>
              <w:left w:val="nil"/>
              <w:bottom w:val="nil"/>
              <w:right w:val="nil"/>
            </w:tcBorders>
            <w:hideMark/>
          </w:tcPr>
          <w:p w14:paraId="55C0C60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Parity</w:t>
            </w:r>
          </w:p>
        </w:tc>
        <w:tc>
          <w:tcPr>
            <w:tcW w:w="3005" w:type="dxa"/>
            <w:tcBorders>
              <w:top w:val="single" w:sz="18" w:space="0" w:color="auto"/>
              <w:left w:val="nil"/>
              <w:bottom w:val="nil"/>
              <w:right w:val="nil"/>
            </w:tcBorders>
          </w:tcPr>
          <w:p w14:paraId="5F7A1A83" w14:textId="77777777" w:rsidR="006726CF" w:rsidRPr="00B04B2E" w:rsidRDefault="006726CF">
            <w:pPr>
              <w:spacing w:before="100" w:beforeAutospacing="1" w:line="360" w:lineRule="auto"/>
              <w:rPr>
                <w:rFonts w:ascii="Times New Roman" w:hAnsi="Times New Roman"/>
                <w:sz w:val="24"/>
                <w:szCs w:val="24"/>
              </w:rPr>
            </w:pPr>
          </w:p>
        </w:tc>
        <w:tc>
          <w:tcPr>
            <w:tcW w:w="3006" w:type="dxa"/>
            <w:tcBorders>
              <w:top w:val="single" w:sz="18" w:space="0" w:color="auto"/>
              <w:left w:val="nil"/>
              <w:bottom w:val="nil"/>
              <w:right w:val="nil"/>
            </w:tcBorders>
          </w:tcPr>
          <w:p w14:paraId="6A580C3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E10F663" w14:textId="77777777" w:rsidTr="006726CF">
        <w:tc>
          <w:tcPr>
            <w:tcW w:w="3005" w:type="dxa"/>
            <w:tcBorders>
              <w:top w:val="nil"/>
              <w:left w:val="nil"/>
              <w:bottom w:val="nil"/>
              <w:right w:val="nil"/>
            </w:tcBorders>
            <w:hideMark/>
          </w:tcPr>
          <w:p w14:paraId="15462F4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Nullipara</w:t>
            </w:r>
          </w:p>
        </w:tc>
        <w:tc>
          <w:tcPr>
            <w:tcW w:w="3005" w:type="dxa"/>
            <w:tcBorders>
              <w:top w:val="nil"/>
              <w:left w:val="nil"/>
              <w:bottom w:val="nil"/>
              <w:right w:val="nil"/>
            </w:tcBorders>
            <w:hideMark/>
          </w:tcPr>
          <w:p w14:paraId="4091921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142</w:t>
            </w:r>
          </w:p>
        </w:tc>
        <w:tc>
          <w:tcPr>
            <w:tcW w:w="3006" w:type="dxa"/>
            <w:tcBorders>
              <w:top w:val="nil"/>
              <w:left w:val="nil"/>
              <w:bottom w:val="nil"/>
              <w:right w:val="nil"/>
            </w:tcBorders>
            <w:hideMark/>
          </w:tcPr>
          <w:p w14:paraId="2B9E2C2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28.2</w:t>
            </w:r>
          </w:p>
        </w:tc>
      </w:tr>
      <w:tr w:rsidR="006726CF" w:rsidRPr="00B04B2E" w14:paraId="2621DAC8" w14:textId="77777777" w:rsidTr="006726CF">
        <w:tc>
          <w:tcPr>
            <w:tcW w:w="3005" w:type="dxa"/>
            <w:tcBorders>
              <w:top w:val="nil"/>
              <w:left w:val="nil"/>
              <w:bottom w:val="nil"/>
              <w:right w:val="nil"/>
            </w:tcBorders>
            <w:hideMark/>
          </w:tcPr>
          <w:p w14:paraId="1BC9177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Primipara</w:t>
            </w:r>
          </w:p>
        </w:tc>
        <w:tc>
          <w:tcPr>
            <w:tcW w:w="3005" w:type="dxa"/>
            <w:tcBorders>
              <w:top w:val="nil"/>
              <w:left w:val="nil"/>
              <w:bottom w:val="nil"/>
              <w:right w:val="nil"/>
            </w:tcBorders>
            <w:hideMark/>
          </w:tcPr>
          <w:p w14:paraId="0C9638D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92</w:t>
            </w:r>
          </w:p>
        </w:tc>
        <w:tc>
          <w:tcPr>
            <w:tcW w:w="3006" w:type="dxa"/>
            <w:tcBorders>
              <w:top w:val="nil"/>
              <w:left w:val="nil"/>
              <w:bottom w:val="nil"/>
              <w:right w:val="nil"/>
            </w:tcBorders>
            <w:hideMark/>
          </w:tcPr>
          <w:p w14:paraId="7A0ED58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18.3</w:t>
            </w:r>
          </w:p>
        </w:tc>
      </w:tr>
      <w:tr w:rsidR="006726CF" w:rsidRPr="00B04B2E" w14:paraId="67E35496" w14:textId="77777777" w:rsidTr="006726CF">
        <w:tc>
          <w:tcPr>
            <w:tcW w:w="3005" w:type="dxa"/>
            <w:tcBorders>
              <w:top w:val="nil"/>
              <w:left w:val="nil"/>
              <w:bottom w:val="nil"/>
              <w:right w:val="nil"/>
            </w:tcBorders>
            <w:hideMark/>
          </w:tcPr>
          <w:p w14:paraId="7BD2FC8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Multipara</w:t>
            </w:r>
          </w:p>
        </w:tc>
        <w:tc>
          <w:tcPr>
            <w:tcW w:w="3005" w:type="dxa"/>
            <w:tcBorders>
              <w:top w:val="nil"/>
              <w:left w:val="nil"/>
              <w:bottom w:val="nil"/>
              <w:right w:val="nil"/>
            </w:tcBorders>
            <w:hideMark/>
          </w:tcPr>
          <w:p w14:paraId="682F9B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142</w:t>
            </w:r>
          </w:p>
        </w:tc>
        <w:tc>
          <w:tcPr>
            <w:tcW w:w="3006" w:type="dxa"/>
            <w:tcBorders>
              <w:top w:val="nil"/>
              <w:left w:val="nil"/>
              <w:bottom w:val="nil"/>
              <w:right w:val="nil"/>
            </w:tcBorders>
            <w:hideMark/>
          </w:tcPr>
          <w:p w14:paraId="056DFF2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28.2</w:t>
            </w:r>
          </w:p>
        </w:tc>
      </w:tr>
      <w:tr w:rsidR="006726CF" w:rsidRPr="00B04B2E" w14:paraId="22A522FA" w14:textId="77777777" w:rsidTr="006726CF">
        <w:tc>
          <w:tcPr>
            <w:tcW w:w="3005" w:type="dxa"/>
            <w:tcBorders>
              <w:top w:val="nil"/>
              <w:left w:val="nil"/>
              <w:bottom w:val="nil"/>
              <w:right w:val="nil"/>
            </w:tcBorders>
            <w:hideMark/>
          </w:tcPr>
          <w:p w14:paraId="1730E64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Grand multipara</w:t>
            </w:r>
          </w:p>
        </w:tc>
        <w:tc>
          <w:tcPr>
            <w:tcW w:w="3005" w:type="dxa"/>
            <w:tcBorders>
              <w:top w:val="nil"/>
              <w:left w:val="nil"/>
              <w:bottom w:val="nil"/>
              <w:right w:val="nil"/>
            </w:tcBorders>
            <w:hideMark/>
          </w:tcPr>
          <w:p w14:paraId="49FEAE7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128</w:t>
            </w:r>
          </w:p>
        </w:tc>
        <w:tc>
          <w:tcPr>
            <w:tcW w:w="3006" w:type="dxa"/>
            <w:tcBorders>
              <w:top w:val="nil"/>
              <w:left w:val="nil"/>
              <w:bottom w:val="nil"/>
              <w:right w:val="nil"/>
            </w:tcBorders>
            <w:hideMark/>
          </w:tcPr>
          <w:p w14:paraId="4A79184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25.4</w:t>
            </w:r>
          </w:p>
        </w:tc>
      </w:tr>
      <w:tr w:rsidR="006726CF" w:rsidRPr="00B04B2E" w14:paraId="2497CB27" w14:textId="77777777" w:rsidTr="006726CF">
        <w:tc>
          <w:tcPr>
            <w:tcW w:w="3005" w:type="dxa"/>
            <w:tcBorders>
              <w:top w:val="nil"/>
              <w:left w:val="nil"/>
              <w:bottom w:val="nil"/>
              <w:right w:val="nil"/>
            </w:tcBorders>
            <w:hideMark/>
          </w:tcPr>
          <w:p w14:paraId="343B99B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Booking status</w:t>
            </w:r>
          </w:p>
        </w:tc>
        <w:tc>
          <w:tcPr>
            <w:tcW w:w="3005" w:type="dxa"/>
            <w:tcBorders>
              <w:top w:val="nil"/>
              <w:left w:val="nil"/>
              <w:bottom w:val="nil"/>
              <w:right w:val="nil"/>
            </w:tcBorders>
          </w:tcPr>
          <w:p w14:paraId="6D85444B" w14:textId="77777777" w:rsidR="006726CF" w:rsidRPr="00B04B2E" w:rsidRDefault="006726CF">
            <w:pPr>
              <w:spacing w:before="100" w:beforeAutospacing="1" w:line="360" w:lineRule="auto"/>
              <w:rPr>
                <w:rFonts w:ascii="Times New Roman" w:hAnsi="Times New Roman"/>
                <w:sz w:val="24"/>
                <w:szCs w:val="24"/>
              </w:rPr>
            </w:pPr>
          </w:p>
        </w:tc>
        <w:tc>
          <w:tcPr>
            <w:tcW w:w="3006" w:type="dxa"/>
            <w:tcBorders>
              <w:top w:val="nil"/>
              <w:left w:val="nil"/>
              <w:bottom w:val="nil"/>
              <w:right w:val="nil"/>
            </w:tcBorders>
          </w:tcPr>
          <w:p w14:paraId="2C99D54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4CC62F7" w14:textId="77777777" w:rsidTr="006726CF">
        <w:tc>
          <w:tcPr>
            <w:tcW w:w="3005" w:type="dxa"/>
            <w:tcBorders>
              <w:top w:val="nil"/>
              <w:left w:val="nil"/>
              <w:bottom w:val="nil"/>
              <w:right w:val="nil"/>
            </w:tcBorders>
            <w:hideMark/>
          </w:tcPr>
          <w:p w14:paraId="6E59602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w:t>
            </w:r>
          </w:p>
        </w:tc>
        <w:tc>
          <w:tcPr>
            <w:tcW w:w="3005" w:type="dxa"/>
            <w:tcBorders>
              <w:top w:val="nil"/>
              <w:left w:val="nil"/>
              <w:bottom w:val="nil"/>
              <w:right w:val="nil"/>
            </w:tcBorders>
            <w:hideMark/>
          </w:tcPr>
          <w:p w14:paraId="75CA687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169</w:t>
            </w:r>
          </w:p>
        </w:tc>
        <w:tc>
          <w:tcPr>
            <w:tcW w:w="3006" w:type="dxa"/>
            <w:tcBorders>
              <w:top w:val="nil"/>
              <w:left w:val="nil"/>
              <w:bottom w:val="nil"/>
              <w:right w:val="nil"/>
            </w:tcBorders>
            <w:hideMark/>
          </w:tcPr>
          <w:p w14:paraId="7117B01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33.5</w:t>
            </w:r>
          </w:p>
        </w:tc>
      </w:tr>
      <w:tr w:rsidR="006726CF" w:rsidRPr="00B04B2E" w14:paraId="2DB27F5A" w14:textId="77777777" w:rsidTr="006726CF">
        <w:tc>
          <w:tcPr>
            <w:tcW w:w="3005" w:type="dxa"/>
            <w:tcBorders>
              <w:top w:val="nil"/>
              <w:left w:val="nil"/>
              <w:bottom w:val="nil"/>
              <w:right w:val="nil"/>
            </w:tcBorders>
            <w:hideMark/>
          </w:tcPr>
          <w:p w14:paraId="1FFD5F2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 Elsewhere</w:t>
            </w:r>
          </w:p>
        </w:tc>
        <w:tc>
          <w:tcPr>
            <w:tcW w:w="3005" w:type="dxa"/>
            <w:tcBorders>
              <w:top w:val="nil"/>
              <w:left w:val="nil"/>
              <w:bottom w:val="nil"/>
              <w:right w:val="nil"/>
            </w:tcBorders>
            <w:hideMark/>
          </w:tcPr>
          <w:p w14:paraId="5637D7D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299</w:t>
            </w:r>
          </w:p>
        </w:tc>
        <w:tc>
          <w:tcPr>
            <w:tcW w:w="3006" w:type="dxa"/>
            <w:tcBorders>
              <w:top w:val="nil"/>
              <w:left w:val="nil"/>
              <w:bottom w:val="nil"/>
              <w:right w:val="nil"/>
            </w:tcBorders>
            <w:hideMark/>
          </w:tcPr>
          <w:p w14:paraId="3761602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59.3</w:t>
            </w:r>
          </w:p>
        </w:tc>
      </w:tr>
      <w:tr w:rsidR="006726CF" w:rsidRPr="00B04B2E" w14:paraId="46AAD573" w14:textId="77777777" w:rsidTr="006726CF">
        <w:tc>
          <w:tcPr>
            <w:tcW w:w="3005" w:type="dxa"/>
            <w:tcBorders>
              <w:top w:val="nil"/>
              <w:left w:val="nil"/>
              <w:bottom w:val="nil"/>
              <w:right w:val="nil"/>
            </w:tcBorders>
            <w:hideMark/>
          </w:tcPr>
          <w:p w14:paraId="33CC689A"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Unbooked</w:t>
            </w:r>
            <w:proofErr w:type="spellEnd"/>
          </w:p>
        </w:tc>
        <w:tc>
          <w:tcPr>
            <w:tcW w:w="3005" w:type="dxa"/>
            <w:tcBorders>
              <w:top w:val="nil"/>
              <w:left w:val="nil"/>
              <w:bottom w:val="nil"/>
              <w:right w:val="nil"/>
            </w:tcBorders>
            <w:hideMark/>
          </w:tcPr>
          <w:p w14:paraId="43D5ABA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36</w:t>
            </w:r>
          </w:p>
        </w:tc>
        <w:tc>
          <w:tcPr>
            <w:tcW w:w="3006" w:type="dxa"/>
            <w:tcBorders>
              <w:top w:val="nil"/>
              <w:left w:val="nil"/>
              <w:bottom w:val="nil"/>
              <w:right w:val="nil"/>
            </w:tcBorders>
            <w:hideMark/>
          </w:tcPr>
          <w:p w14:paraId="7727A32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7.1</w:t>
            </w:r>
          </w:p>
        </w:tc>
      </w:tr>
      <w:tr w:rsidR="006726CF" w:rsidRPr="00B04B2E" w14:paraId="2B796481" w14:textId="77777777" w:rsidTr="006726CF">
        <w:tc>
          <w:tcPr>
            <w:tcW w:w="3005" w:type="dxa"/>
            <w:tcBorders>
              <w:top w:val="nil"/>
              <w:left w:val="nil"/>
              <w:bottom w:val="nil"/>
              <w:right w:val="nil"/>
            </w:tcBorders>
            <w:hideMark/>
          </w:tcPr>
          <w:p w14:paraId="22CB854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Gestational age at delivery</w:t>
            </w:r>
          </w:p>
        </w:tc>
        <w:tc>
          <w:tcPr>
            <w:tcW w:w="3005" w:type="dxa"/>
            <w:tcBorders>
              <w:top w:val="nil"/>
              <w:left w:val="nil"/>
              <w:bottom w:val="nil"/>
              <w:right w:val="nil"/>
            </w:tcBorders>
          </w:tcPr>
          <w:p w14:paraId="74C5C3B8" w14:textId="77777777" w:rsidR="006726CF" w:rsidRPr="00B04B2E" w:rsidRDefault="006726CF">
            <w:pPr>
              <w:spacing w:before="100" w:beforeAutospacing="1" w:line="360" w:lineRule="auto"/>
              <w:rPr>
                <w:rFonts w:ascii="Times New Roman" w:hAnsi="Times New Roman"/>
                <w:sz w:val="24"/>
                <w:szCs w:val="24"/>
              </w:rPr>
            </w:pPr>
          </w:p>
        </w:tc>
        <w:tc>
          <w:tcPr>
            <w:tcW w:w="3006" w:type="dxa"/>
            <w:tcBorders>
              <w:top w:val="nil"/>
              <w:left w:val="nil"/>
              <w:bottom w:val="nil"/>
              <w:right w:val="nil"/>
            </w:tcBorders>
          </w:tcPr>
          <w:p w14:paraId="61F2677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9DFC68A" w14:textId="77777777" w:rsidTr="006726CF">
        <w:tc>
          <w:tcPr>
            <w:tcW w:w="3005" w:type="dxa"/>
            <w:tcBorders>
              <w:top w:val="nil"/>
              <w:left w:val="nil"/>
              <w:bottom w:val="nil"/>
              <w:right w:val="nil"/>
            </w:tcBorders>
            <w:hideMark/>
          </w:tcPr>
          <w:p w14:paraId="6B117BE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&lt;28</w:t>
            </w:r>
          </w:p>
        </w:tc>
        <w:tc>
          <w:tcPr>
            <w:tcW w:w="3005" w:type="dxa"/>
            <w:tcBorders>
              <w:top w:val="nil"/>
              <w:left w:val="nil"/>
              <w:bottom w:val="nil"/>
              <w:right w:val="nil"/>
            </w:tcBorders>
            <w:hideMark/>
          </w:tcPr>
          <w:p w14:paraId="18CA70D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w:t>
            </w:r>
          </w:p>
        </w:tc>
        <w:tc>
          <w:tcPr>
            <w:tcW w:w="3006" w:type="dxa"/>
            <w:tcBorders>
              <w:top w:val="nil"/>
              <w:left w:val="nil"/>
              <w:bottom w:val="nil"/>
              <w:right w:val="nil"/>
            </w:tcBorders>
            <w:hideMark/>
          </w:tcPr>
          <w:p w14:paraId="29576C3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51893D13" w14:textId="77777777" w:rsidTr="006726CF">
        <w:tc>
          <w:tcPr>
            <w:tcW w:w="3005" w:type="dxa"/>
            <w:tcBorders>
              <w:top w:val="nil"/>
              <w:left w:val="nil"/>
              <w:bottom w:val="nil"/>
              <w:right w:val="nil"/>
            </w:tcBorders>
            <w:hideMark/>
          </w:tcPr>
          <w:p w14:paraId="38D04A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28-36</w:t>
            </w:r>
          </w:p>
        </w:tc>
        <w:tc>
          <w:tcPr>
            <w:tcW w:w="3005" w:type="dxa"/>
            <w:tcBorders>
              <w:top w:val="nil"/>
              <w:left w:val="nil"/>
              <w:bottom w:val="nil"/>
              <w:right w:val="nil"/>
            </w:tcBorders>
            <w:hideMark/>
          </w:tcPr>
          <w:p w14:paraId="29D8AD5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137</w:t>
            </w:r>
          </w:p>
        </w:tc>
        <w:tc>
          <w:tcPr>
            <w:tcW w:w="3006" w:type="dxa"/>
            <w:tcBorders>
              <w:top w:val="nil"/>
              <w:left w:val="nil"/>
              <w:bottom w:val="nil"/>
              <w:right w:val="nil"/>
            </w:tcBorders>
            <w:hideMark/>
          </w:tcPr>
          <w:p w14:paraId="787F952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27.2</w:t>
            </w:r>
          </w:p>
        </w:tc>
      </w:tr>
      <w:tr w:rsidR="006726CF" w:rsidRPr="00B04B2E" w14:paraId="6E649860" w14:textId="77777777" w:rsidTr="006726CF">
        <w:tc>
          <w:tcPr>
            <w:tcW w:w="3005" w:type="dxa"/>
            <w:tcBorders>
              <w:top w:val="nil"/>
              <w:left w:val="nil"/>
              <w:bottom w:val="nil"/>
              <w:right w:val="nil"/>
            </w:tcBorders>
            <w:hideMark/>
          </w:tcPr>
          <w:p w14:paraId="18F8E85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37-42</w:t>
            </w:r>
          </w:p>
        </w:tc>
        <w:tc>
          <w:tcPr>
            <w:tcW w:w="3005" w:type="dxa"/>
            <w:tcBorders>
              <w:top w:val="nil"/>
              <w:left w:val="nil"/>
              <w:bottom w:val="nil"/>
              <w:right w:val="nil"/>
            </w:tcBorders>
            <w:hideMark/>
          </w:tcPr>
          <w:p w14:paraId="1FF5C3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349</w:t>
            </w:r>
          </w:p>
        </w:tc>
        <w:tc>
          <w:tcPr>
            <w:tcW w:w="3006" w:type="dxa"/>
            <w:tcBorders>
              <w:top w:val="nil"/>
              <w:left w:val="nil"/>
              <w:bottom w:val="nil"/>
              <w:right w:val="nil"/>
            </w:tcBorders>
            <w:hideMark/>
          </w:tcPr>
          <w:p w14:paraId="326BD8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69.2</w:t>
            </w:r>
          </w:p>
        </w:tc>
      </w:tr>
      <w:tr w:rsidR="006726CF" w:rsidRPr="00B04B2E" w14:paraId="2FB9BAF7" w14:textId="77777777" w:rsidTr="006726CF">
        <w:tc>
          <w:tcPr>
            <w:tcW w:w="3005" w:type="dxa"/>
            <w:tcBorders>
              <w:top w:val="nil"/>
              <w:left w:val="nil"/>
              <w:bottom w:val="single" w:sz="18" w:space="0" w:color="auto"/>
              <w:right w:val="nil"/>
            </w:tcBorders>
            <w:hideMark/>
          </w:tcPr>
          <w:p w14:paraId="24367C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&gt;42</w:t>
            </w:r>
          </w:p>
        </w:tc>
        <w:tc>
          <w:tcPr>
            <w:tcW w:w="3005" w:type="dxa"/>
            <w:tcBorders>
              <w:top w:val="nil"/>
              <w:left w:val="nil"/>
              <w:bottom w:val="single" w:sz="18" w:space="0" w:color="auto"/>
              <w:right w:val="nil"/>
            </w:tcBorders>
            <w:hideMark/>
          </w:tcPr>
          <w:p w14:paraId="595ED44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w:t>
            </w:r>
          </w:p>
        </w:tc>
        <w:tc>
          <w:tcPr>
            <w:tcW w:w="3006" w:type="dxa"/>
            <w:tcBorders>
              <w:top w:val="nil"/>
              <w:left w:val="nil"/>
              <w:bottom w:val="single" w:sz="18" w:space="0" w:color="auto"/>
              <w:right w:val="nil"/>
            </w:tcBorders>
            <w:hideMark/>
          </w:tcPr>
          <w:p w14:paraId="2601D79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2.2</w:t>
            </w:r>
          </w:p>
        </w:tc>
      </w:tr>
    </w:tbl>
    <w:p w14:paraId="0346652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EA377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obstetric characteristics of women with HDP at the FTHG are presented in Table 2 above. Majority of the women were nulliparous (28.2%), and multiparous (28.2%) followed by grand multiparous women (25.4%). Most women were booked outside FTH Gombe for antenatal care (59.3%), while 33.5% were booked at the hospital. Majority of deliveries (69.2%) occurred between 37-42 weeks of gestation, and the mode of delivery was mostly caesarean section (49.8%) followed by spontaneous vaginal delivery (48.8%).</w:t>
      </w:r>
    </w:p>
    <w:p w14:paraId="203371B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09E044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lastRenderedPageBreak/>
        <w:t>Objective 1: To assess the pattern of HDP among the women in FTH Gombe</w:t>
      </w:r>
    </w:p>
    <w:p w14:paraId="7916AAE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3: Pattern of HDP among the women in FTH Gombe</w:t>
      </w:r>
    </w:p>
    <w:p w14:paraId="75A71FA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tbl>
      <w:tblPr>
        <w:tblW w:w="0" w:type="auto"/>
        <w:tblLook w:val="04A0" w:firstRow="1" w:lastRow="0" w:firstColumn="1" w:lastColumn="0" w:noHBand="0" w:noVBand="1"/>
      </w:tblPr>
      <w:tblGrid>
        <w:gridCol w:w="2591"/>
        <w:gridCol w:w="2591"/>
        <w:gridCol w:w="2591"/>
      </w:tblGrid>
      <w:tr w:rsidR="006726CF" w:rsidRPr="00B04B2E" w14:paraId="2E4579C4" w14:textId="77777777" w:rsidTr="006726CF">
        <w:trPr>
          <w:trHeight w:val="535"/>
        </w:trPr>
        <w:tc>
          <w:tcPr>
            <w:tcW w:w="2591" w:type="dxa"/>
            <w:tcBorders>
              <w:top w:val="single" w:sz="18" w:space="0" w:color="auto"/>
              <w:left w:val="nil"/>
              <w:bottom w:val="single" w:sz="18" w:space="0" w:color="auto"/>
              <w:right w:val="nil"/>
            </w:tcBorders>
            <w:hideMark/>
          </w:tcPr>
          <w:p w14:paraId="2777463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Variables</w:t>
            </w:r>
          </w:p>
        </w:tc>
        <w:tc>
          <w:tcPr>
            <w:tcW w:w="2591" w:type="dxa"/>
            <w:tcBorders>
              <w:top w:val="single" w:sz="18" w:space="0" w:color="auto"/>
              <w:left w:val="nil"/>
              <w:bottom w:val="single" w:sz="18" w:space="0" w:color="auto"/>
              <w:right w:val="nil"/>
            </w:tcBorders>
            <w:hideMark/>
          </w:tcPr>
          <w:p w14:paraId="25CE0E3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2591" w:type="dxa"/>
            <w:tcBorders>
              <w:top w:val="single" w:sz="18" w:space="0" w:color="auto"/>
              <w:left w:val="nil"/>
              <w:bottom w:val="single" w:sz="18" w:space="0" w:color="auto"/>
              <w:right w:val="nil"/>
            </w:tcBorders>
            <w:hideMark/>
          </w:tcPr>
          <w:p w14:paraId="6D032F9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w:t>
            </w:r>
          </w:p>
        </w:tc>
      </w:tr>
      <w:tr w:rsidR="006726CF" w:rsidRPr="00B04B2E" w14:paraId="428C2311" w14:textId="77777777" w:rsidTr="006726CF">
        <w:trPr>
          <w:trHeight w:val="547"/>
        </w:trPr>
        <w:tc>
          <w:tcPr>
            <w:tcW w:w="2591" w:type="dxa"/>
            <w:tcBorders>
              <w:top w:val="single" w:sz="18" w:space="0" w:color="auto"/>
              <w:left w:val="nil"/>
              <w:bottom w:val="nil"/>
              <w:right w:val="nil"/>
            </w:tcBorders>
            <w:hideMark/>
          </w:tcPr>
          <w:p w14:paraId="3A5D19D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HDP subtypes</w:t>
            </w:r>
          </w:p>
        </w:tc>
        <w:tc>
          <w:tcPr>
            <w:tcW w:w="2591" w:type="dxa"/>
            <w:tcBorders>
              <w:top w:val="single" w:sz="18" w:space="0" w:color="auto"/>
              <w:left w:val="nil"/>
              <w:bottom w:val="nil"/>
              <w:right w:val="nil"/>
            </w:tcBorders>
          </w:tcPr>
          <w:p w14:paraId="20B41097" w14:textId="77777777" w:rsidR="006726CF" w:rsidRPr="00B04B2E" w:rsidRDefault="006726CF">
            <w:pPr>
              <w:spacing w:before="100" w:beforeAutospacing="1" w:line="360" w:lineRule="auto"/>
              <w:rPr>
                <w:rFonts w:ascii="Times New Roman" w:hAnsi="Times New Roman"/>
                <w:sz w:val="24"/>
                <w:szCs w:val="24"/>
              </w:rPr>
            </w:pPr>
          </w:p>
        </w:tc>
        <w:tc>
          <w:tcPr>
            <w:tcW w:w="2591" w:type="dxa"/>
            <w:tcBorders>
              <w:top w:val="single" w:sz="18" w:space="0" w:color="auto"/>
              <w:left w:val="nil"/>
              <w:bottom w:val="nil"/>
              <w:right w:val="nil"/>
            </w:tcBorders>
          </w:tcPr>
          <w:p w14:paraId="36ED2408"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2C1F813" w14:textId="77777777" w:rsidTr="006726CF">
        <w:trPr>
          <w:trHeight w:val="535"/>
        </w:trPr>
        <w:tc>
          <w:tcPr>
            <w:tcW w:w="2591" w:type="dxa"/>
            <w:tcBorders>
              <w:top w:val="nil"/>
              <w:left w:val="nil"/>
              <w:bottom w:val="nil"/>
              <w:right w:val="nil"/>
            </w:tcBorders>
            <w:hideMark/>
          </w:tcPr>
          <w:p w14:paraId="152A2D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PIH</w:t>
            </w:r>
          </w:p>
        </w:tc>
        <w:tc>
          <w:tcPr>
            <w:tcW w:w="2591" w:type="dxa"/>
            <w:tcBorders>
              <w:top w:val="nil"/>
              <w:left w:val="nil"/>
              <w:bottom w:val="nil"/>
              <w:right w:val="nil"/>
            </w:tcBorders>
            <w:hideMark/>
          </w:tcPr>
          <w:p w14:paraId="0E0F187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174</w:t>
            </w:r>
          </w:p>
        </w:tc>
        <w:tc>
          <w:tcPr>
            <w:tcW w:w="2591" w:type="dxa"/>
            <w:tcBorders>
              <w:top w:val="nil"/>
              <w:left w:val="nil"/>
              <w:bottom w:val="nil"/>
              <w:right w:val="nil"/>
            </w:tcBorders>
            <w:hideMark/>
          </w:tcPr>
          <w:p w14:paraId="7429CD9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34.5</w:t>
            </w:r>
          </w:p>
        </w:tc>
      </w:tr>
      <w:tr w:rsidR="006726CF" w:rsidRPr="00B04B2E" w14:paraId="047E70FC" w14:textId="77777777" w:rsidTr="006726CF">
        <w:trPr>
          <w:trHeight w:val="535"/>
        </w:trPr>
        <w:tc>
          <w:tcPr>
            <w:tcW w:w="2591" w:type="dxa"/>
            <w:tcBorders>
              <w:top w:val="nil"/>
              <w:left w:val="nil"/>
              <w:bottom w:val="nil"/>
              <w:right w:val="nil"/>
            </w:tcBorders>
            <w:hideMark/>
          </w:tcPr>
          <w:p w14:paraId="6656A41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PE/SPE</w:t>
            </w:r>
          </w:p>
        </w:tc>
        <w:tc>
          <w:tcPr>
            <w:tcW w:w="2591" w:type="dxa"/>
            <w:tcBorders>
              <w:top w:val="nil"/>
              <w:left w:val="nil"/>
              <w:bottom w:val="nil"/>
              <w:right w:val="nil"/>
            </w:tcBorders>
            <w:hideMark/>
          </w:tcPr>
          <w:p w14:paraId="24E16F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176</w:t>
            </w:r>
          </w:p>
        </w:tc>
        <w:tc>
          <w:tcPr>
            <w:tcW w:w="2591" w:type="dxa"/>
            <w:tcBorders>
              <w:top w:val="nil"/>
              <w:left w:val="nil"/>
              <w:bottom w:val="nil"/>
              <w:right w:val="nil"/>
            </w:tcBorders>
            <w:hideMark/>
          </w:tcPr>
          <w:p w14:paraId="777CA97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34.9</w:t>
            </w:r>
          </w:p>
        </w:tc>
      </w:tr>
      <w:tr w:rsidR="006726CF" w:rsidRPr="00B04B2E" w14:paraId="5EF58827" w14:textId="77777777" w:rsidTr="006726CF">
        <w:trPr>
          <w:trHeight w:val="547"/>
        </w:trPr>
        <w:tc>
          <w:tcPr>
            <w:tcW w:w="2591" w:type="dxa"/>
            <w:tcBorders>
              <w:top w:val="nil"/>
              <w:left w:val="nil"/>
              <w:bottom w:val="nil"/>
              <w:right w:val="nil"/>
            </w:tcBorders>
            <w:hideMark/>
          </w:tcPr>
          <w:p w14:paraId="01C127E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w:t>
            </w:r>
          </w:p>
        </w:tc>
        <w:tc>
          <w:tcPr>
            <w:tcW w:w="2591" w:type="dxa"/>
            <w:tcBorders>
              <w:top w:val="nil"/>
              <w:left w:val="nil"/>
              <w:bottom w:val="nil"/>
              <w:right w:val="nil"/>
            </w:tcBorders>
            <w:hideMark/>
          </w:tcPr>
          <w:p w14:paraId="6A25614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48</w:t>
            </w:r>
          </w:p>
        </w:tc>
        <w:tc>
          <w:tcPr>
            <w:tcW w:w="2591" w:type="dxa"/>
            <w:tcBorders>
              <w:top w:val="nil"/>
              <w:left w:val="nil"/>
              <w:bottom w:val="nil"/>
              <w:right w:val="nil"/>
            </w:tcBorders>
            <w:hideMark/>
          </w:tcPr>
          <w:p w14:paraId="3712954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9.5</w:t>
            </w:r>
          </w:p>
        </w:tc>
      </w:tr>
      <w:tr w:rsidR="006726CF" w:rsidRPr="00B04B2E" w14:paraId="0A719C43" w14:textId="77777777" w:rsidTr="006726CF">
        <w:trPr>
          <w:trHeight w:val="535"/>
        </w:trPr>
        <w:tc>
          <w:tcPr>
            <w:tcW w:w="2591" w:type="dxa"/>
            <w:tcBorders>
              <w:top w:val="nil"/>
              <w:left w:val="nil"/>
              <w:bottom w:val="nil"/>
              <w:right w:val="nil"/>
            </w:tcBorders>
            <w:hideMark/>
          </w:tcPr>
          <w:p w14:paraId="0C7525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 + SSPE</w:t>
            </w:r>
          </w:p>
        </w:tc>
        <w:tc>
          <w:tcPr>
            <w:tcW w:w="2591" w:type="dxa"/>
            <w:tcBorders>
              <w:top w:val="nil"/>
              <w:left w:val="nil"/>
              <w:bottom w:val="nil"/>
              <w:right w:val="nil"/>
            </w:tcBorders>
            <w:hideMark/>
          </w:tcPr>
          <w:p w14:paraId="05259CE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w:t>
            </w:r>
          </w:p>
        </w:tc>
        <w:tc>
          <w:tcPr>
            <w:tcW w:w="2591" w:type="dxa"/>
            <w:tcBorders>
              <w:top w:val="nil"/>
              <w:left w:val="nil"/>
              <w:bottom w:val="nil"/>
              <w:right w:val="nil"/>
            </w:tcBorders>
            <w:hideMark/>
          </w:tcPr>
          <w:p w14:paraId="0EFFE7F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5.6</w:t>
            </w:r>
          </w:p>
        </w:tc>
      </w:tr>
      <w:tr w:rsidR="006726CF" w:rsidRPr="00B04B2E" w14:paraId="1BD0ECF6" w14:textId="77777777" w:rsidTr="006726CF">
        <w:trPr>
          <w:trHeight w:val="547"/>
        </w:trPr>
        <w:tc>
          <w:tcPr>
            <w:tcW w:w="2591" w:type="dxa"/>
            <w:tcBorders>
              <w:top w:val="nil"/>
              <w:left w:val="nil"/>
              <w:bottom w:val="single" w:sz="18" w:space="0" w:color="auto"/>
              <w:right w:val="nil"/>
            </w:tcBorders>
            <w:hideMark/>
          </w:tcPr>
          <w:p w14:paraId="438461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w:t>
            </w:r>
          </w:p>
        </w:tc>
        <w:tc>
          <w:tcPr>
            <w:tcW w:w="2591" w:type="dxa"/>
            <w:tcBorders>
              <w:top w:val="nil"/>
              <w:left w:val="nil"/>
              <w:bottom w:val="single" w:sz="18" w:space="0" w:color="auto"/>
              <w:right w:val="nil"/>
            </w:tcBorders>
            <w:hideMark/>
          </w:tcPr>
          <w:p w14:paraId="488BF7B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78</w:t>
            </w:r>
          </w:p>
        </w:tc>
        <w:tc>
          <w:tcPr>
            <w:tcW w:w="2591" w:type="dxa"/>
            <w:tcBorders>
              <w:top w:val="nil"/>
              <w:left w:val="nil"/>
              <w:bottom w:val="single" w:sz="18" w:space="0" w:color="auto"/>
              <w:right w:val="nil"/>
            </w:tcBorders>
            <w:hideMark/>
          </w:tcPr>
          <w:p w14:paraId="3CAB89C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15.5</w:t>
            </w:r>
          </w:p>
        </w:tc>
      </w:tr>
    </w:tbl>
    <w:p w14:paraId="391F5B2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2F8D37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pattern of HDP among women at the FTH Gombe is presented in Table 3. Majority of cases were classified as either preeclampsia/severe preeclampsia (PE/SPE) or pregnancy-induced hypertension (PIH) accounting for 34.9% and 34.5% of the cases, respectively. </w:t>
      </w:r>
    </w:p>
    <w:p w14:paraId="1ED45B9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Chronic hypertension with superimposed preeclampsia (CHTN + SSPE) and Chronic hypertension (CHTN) were less common occurring in 5.6% and 9.5% of the cases, respectively. Eclampsia accounted for 15.5% of the cases.</w:t>
      </w:r>
    </w:p>
    <w:p w14:paraId="53CA528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3CDB98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 xml:space="preserve">Objective 2: </w:t>
      </w:r>
      <w:proofErr w:type="spellStart"/>
      <w:r w:rsidRPr="00B04B2E">
        <w:rPr>
          <w:rFonts w:ascii="Times New Roman" w:hAnsi="Times New Roman"/>
          <w:b/>
          <w:bCs/>
          <w:sz w:val="24"/>
          <w:szCs w:val="24"/>
        </w:rPr>
        <w:t>Feto</w:t>
      </w:r>
      <w:proofErr w:type="spellEnd"/>
      <w:r w:rsidRPr="00B04B2E">
        <w:rPr>
          <w:rFonts w:ascii="Times New Roman" w:hAnsi="Times New Roman"/>
          <w:b/>
          <w:bCs/>
          <w:sz w:val="24"/>
          <w:szCs w:val="24"/>
        </w:rPr>
        <w:t>-maternal outcomes of pregnancies among the HDP patients</w:t>
      </w:r>
    </w:p>
    <w:p w14:paraId="56531C66" w14:textId="6375F009"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r w:rsidR="00B70D2E" w:rsidRPr="004B5AF3">
        <w:rPr>
          <w:rFonts w:ascii="Times New Roman" w:hAnsi="Times New Roman"/>
          <w:noProof/>
          <w:sz w:val="24"/>
          <w:szCs w:val="24"/>
        </w:rPr>
        <w:drawing>
          <wp:inline distT="0" distB="0" distL="0" distR="0" wp14:anchorId="3E866F53" wp14:editId="466985C3">
            <wp:extent cx="5780405" cy="3864334"/>
            <wp:effectExtent l="0" t="0" r="10795" b="3175"/>
            <wp:docPr id="96606270" name="Chart 1">
              <a:extLst xmlns:a="http://schemas.openxmlformats.org/drawingml/2006/main">
                <a:ext uri="{FF2B5EF4-FFF2-40B4-BE49-F238E27FC236}">
                  <a16:creationId xmlns:a16="http://schemas.microsoft.com/office/drawing/2014/main" id="{D015E484-0B66-84CD-4E22-B9986A95E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D75634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B6E55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Figure 1: Fetal outcomes among women with HDP at the FTH Gombe</w:t>
      </w:r>
    </w:p>
    <w:p w14:paraId="42DA11E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2EEE53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fetal outcomes among women with HDP at FTH Gombe are presented in figure 1 above. Majority of the fetuses (83.7%) were alive, while 16.3% were stillborn or died shortly after birth.</w:t>
      </w:r>
    </w:p>
    <w:p w14:paraId="61DCAF05" w14:textId="173BE31F"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r w:rsidR="00B70D2E" w:rsidRPr="004B5AF3">
        <w:rPr>
          <w:rFonts w:ascii="Times New Roman" w:hAnsi="Times New Roman"/>
          <w:noProof/>
          <w:sz w:val="24"/>
          <w:szCs w:val="24"/>
        </w:rPr>
        <w:drawing>
          <wp:inline distT="0" distB="0" distL="0" distR="0" wp14:anchorId="6F84C791" wp14:editId="53E9056D">
            <wp:extent cx="5375082" cy="3919855"/>
            <wp:effectExtent l="0" t="0" r="16510" b="4445"/>
            <wp:docPr id="26011005" name="Chart 1">
              <a:extLst xmlns:a="http://schemas.openxmlformats.org/drawingml/2006/main">
                <a:ext uri="{FF2B5EF4-FFF2-40B4-BE49-F238E27FC236}">
                  <a16:creationId xmlns:a16="http://schemas.microsoft.com/office/drawing/2014/main" id="{4A6EB54C-CEE8-992A-1A4D-5A1E7B15F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A33418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B66F69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Figure 2: Complications among women with HDP at the FTH Gombe</w:t>
      </w:r>
    </w:p>
    <w:p w14:paraId="48100C4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outcomes among women with HDP at the FTH Gombe are presented in figure 2 above. Slightly less than a third (29.4%) of the women had complications, while 70.6% had none.</w:t>
      </w:r>
    </w:p>
    <w:p w14:paraId="2AB3C374" w14:textId="51CC885E"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r w:rsidR="00B70D2E" w:rsidRPr="004B5AF3">
        <w:rPr>
          <w:rFonts w:ascii="Times New Roman" w:hAnsi="Times New Roman"/>
          <w:noProof/>
          <w:sz w:val="24"/>
          <w:szCs w:val="24"/>
        </w:rPr>
        <w:drawing>
          <wp:inline distT="0" distB="0" distL="0" distR="0" wp14:anchorId="2E9867E0" wp14:editId="27D5BB2B">
            <wp:extent cx="5709920" cy="3596640"/>
            <wp:effectExtent l="0" t="0" r="5080" b="3810"/>
            <wp:docPr id="1176858531" name="Chart 1">
              <a:extLst xmlns:a="http://schemas.openxmlformats.org/drawingml/2006/main">
                <a:ext uri="{FF2B5EF4-FFF2-40B4-BE49-F238E27FC236}">
                  <a16:creationId xmlns:a16="http://schemas.microsoft.com/office/drawing/2014/main" id="{041A0E73-AFD7-25F3-0EB6-5AE16352F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57A27DB" w14:textId="6DDEEE5F"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Figure 3: Mode of delivery among the women with HDP in FTH Gombe</w:t>
      </w:r>
    </w:p>
    <w:p w14:paraId="7A57CC9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Majority of the patients (49.8%) had CS this was closely followed by those that had spontaneous vaginal deliveries (48.8%). Only 1.4% of the patients had instrumental vaginal delivery</w:t>
      </w:r>
    </w:p>
    <w:p w14:paraId="155049A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427015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4: Types of complications among women with HDP in FTH Gombe</w:t>
      </w:r>
    </w:p>
    <w:tbl>
      <w:tblPr>
        <w:tblW w:w="9209" w:type="dxa"/>
        <w:tblLook w:val="04A0" w:firstRow="1" w:lastRow="0" w:firstColumn="1" w:lastColumn="0" w:noHBand="0" w:noVBand="1"/>
      </w:tblPr>
      <w:tblGrid>
        <w:gridCol w:w="5148"/>
        <w:gridCol w:w="2218"/>
        <w:gridCol w:w="1843"/>
      </w:tblGrid>
      <w:tr w:rsidR="006726CF" w:rsidRPr="00B04B2E" w14:paraId="329A5B58"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76BF0E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w:t>
            </w:r>
          </w:p>
        </w:tc>
        <w:tc>
          <w:tcPr>
            <w:tcW w:w="2218" w:type="dxa"/>
            <w:tcBorders>
              <w:top w:val="single" w:sz="4" w:space="0" w:color="auto"/>
              <w:left w:val="nil"/>
              <w:bottom w:val="single" w:sz="4" w:space="0" w:color="auto"/>
              <w:right w:val="single" w:sz="4" w:space="0" w:color="auto"/>
            </w:tcBorders>
            <w:hideMark/>
          </w:tcPr>
          <w:p w14:paraId="7305968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 (n=148)</w:t>
            </w:r>
          </w:p>
        </w:tc>
        <w:tc>
          <w:tcPr>
            <w:tcW w:w="1843" w:type="dxa"/>
            <w:tcBorders>
              <w:top w:val="single" w:sz="4" w:space="0" w:color="auto"/>
              <w:left w:val="nil"/>
              <w:bottom w:val="single" w:sz="4" w:space="0" w:color="auto"/>
              <w:right w:val="single" w:sz="4" w:space="0" w:color="auto"/>
            </w:tcBorders>
            <w:hideMark/>
          </w:tcPr>
          <w:p w14:paraId="386C6CE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r>
      <w:tr w:rsidR="006726CF" w:rsidRPr="00B04B2E" w14:paraId="2AD366AB"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6AF03C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Complications</w:t>
            </w:r>
          </w:p>
        </w:tc>
        <w:tc>
          <w:tcPr>
            <w:tcW w:w="2218" w:type="dxa"/>
            <w:tcBorders>
              <w:top w:val="single" w:sz="4" w:space="0" w:color="auto"/>
              <w:left w:val="nil"/>
              <w:bottom w:val="single" w:sz="4" w:space="0" w:color="auto"/>
              <w:right w:val="single" w:sz="4" w:space="0" w:color="auto"/>
            </w:tcBorders>
          </w:tcPr>
          <w:p w14:paraId="632FD336" w14:textId="77777777" w:rsidR="006726CF" w:rsidRPr="00B04B2E" w:rsidRDefault="006726CF">
            <w:pPr>
              <w:spacing w:before="100" w:beforeAutospacing="1" w:line="360" w:lineRule="auto"/>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tcPr>
          <w:p w14:paraId="3CC69F20"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94047FE"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B16720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w:t>
            </w:r>
          </w:p>
        </w:tc>
        <w:tc>
          <w:tcPr>
            <w:tcW w:w="2218" w:type="dxa"/>
            <w:tcBorders>
              <w:top w:val="single" w:sz="4" w:space="0" w:color="auto"/>
              <w:left w:val="nil"/>
              <w:bottom w:val="single" w:sz="4" w:space="0" w:color="auto"/>
              <w:right w:val="single" w:sz="4" w:space="0" w:color="auto"/>
            </w:tcBorders>
            <w:hideMark/>
          </w:tcPr>
          <w:p w14:paraId="77207FE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56</w:t>
            </w:r>
          </w:p>
        </w:tc>
        <w:tc>
          <w:tcPr>
            <w:tcW w:w="1843" w:type="dxa"/>
            <w:tcBorders>
              <w:top w:val="single" w:sz="4" w:space="0" w:color="auto"/>
              <w:left w:val="nil"/>
              <w:bottom w:val="single" w:sz="4" w:space="0" w:color="auto"/>
              <w:right w:val="single" w:sz="4" w:space="0" w:color="auto"/>
            </w:tcBorders>
            <w:hideMark/>
          </w:tcPr>
          <w:p w14:paraId="34D8B90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37.8</w:t>
            </w:r>
          </w:p>
        </w:tc>
      </w:tr>
      <w:tr w:rsidR="006726CF" w:rsidRPr="00B04B2E" w14:paraId="0B5A27E7"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3216C96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 AKI</w:t>
            </w:r>
          </w:p>
        </w:tc>
        <w:tc>
          <w:tcPr>
            <w:tcW w:w="2218" w:type="dxa"/>
            <w:tcBorders>
              <w:top w:val="single" w:sz="4" w:space="0" w:color="auto"/>
              <w:left w:val="nil"/>
              <w:bottom w:val="single" w:sz="4" w:space="0" w:color="auto"/>
              <w:right w:val="single" w:sz="4" w:space="0" w:color="auto"/>
            </w:tcBorders>
            <w:hideMark/>
          </w:tcPr>
          <w:p w14:paraId="2F39E85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5B9201C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16F28A42"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1CB973C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 HELLP syndrome</w:t>
            </w:r>
          </w:p>
        </w:tc>
        <w:tc>
          <w:tcPr>
            <w:tcW w:w="2218" w:type="dxa"/>
            <w:tcBorders>
              <w:top w:val="single" w:sz="4" w:space="0" w:color="auto"/>
              <w:left w:val="nil"/>
              <w:bottom w:val="single" w:sz="4" w:space="0" w:color="auto"/>
              <w:right w:val="single" w:sz="4" w:space="0" w:color="auto"/>
            </w:tcBorders>
            <w:hideMark/>
          </w:tcPr>
          <w:p w14:paraId="119B6F3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130737C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1A02BE68"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1AEC0B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 Others</w:t>
            </w:r>
          </w:p>
        </w:tc>
        <w:tc>
          <w:tcPr>
            <w:tcW w:w="2218" w:type="dxa"/>
            <w:tcBorders>
              <w:top w:val="single" w:sz="4" w:space="0" w:color="auto"/>
              <w:left w:val="nil"/>
              <w:bottom w:val="single" w:sz="4" w:space="0" w:color="auto"/>
              <w:right w:val="single" w:sz="4" w:space="0" w:color="auto"/>
            </w:tcBorders>
            <w:hideMark/>
          </w:tcPr>
          <w:p w14:paraId="58243C4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0128EC6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3F10E68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64F671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AKI</w:t>
            </w:r>
          </w:p>
        </w:tc>
        <w:tc>
          <w:tcPr>
            <w:tcW w:w="2218" w:type="dxa"/>
            <w:tcBorders>
              <w:top w:val="single" w:sz="4" w:space="0" w:color="auto"/>
              <w:left w:val="nil"/>
              <w:bottom w:val="single" w:sz="4" w:space="0" w:color="auto"/>
              <w:right w:val="single" w:sz="4" w:space="0" w:color="auto"/>
            </w:tcBorders>
            <w:hideMark/>
          </w:tcPr>
          <w:p w14:paraId="5F328B0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310C471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984329A"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66864F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Death</w:t>
            </w:r>
          </w:p>
        </w:tc>
        <w:tc>
          <w:tcPr>
            <w:tcW w:w="2218" w:type="dxa"/>
            <w:tcBorders>
              <w:top w:val="single" w:sz="4" w:space="0" w:color="auto"/>
              <w:left w:val="nil"/>
              <w:bottom w:val="single" w:sz="4" w:space="0" w:color="auto"/>
              <w:right w:val="single" w:sz="4" w:space="0" w:color="auto"/>
            </w:tcBorders>
            <w:hideMark/>
          </w:tcPr>
          <w:p w14:paraId="6DF7349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3FA9A0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23D62CD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F96304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Death, Others</w:t>
            </w:r>
          </w:p>
        </w:tc>
        <w:tc>
          <w:tcPr>
            <w:tcW w:w="2218" w:type="dxa"/>
            <w:tcBorders>
              <w:top w:val="single" w:sz="4" w:space="0" w:color="auto"/>
              <w:left w:val="nil"/>
              <w:bottom w:val="single" w:sz="4" w:space="0" w:color="auto"/>
              <w:right w:val="single" w:sz="4" w:space="0" w:color="auto"/>
            </w:tcBorders>
            <w:hideMark/>
          </w:tcPr>
          <w:p w14:paraId="0FC7416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6A24E0E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91D09BF"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A82B27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ICU Admission, HELLP syndrome</w:t>
            </w:r>
          </w:p>
        </w:tc>
        <w:tc>
          <w:tcPr>
            <w:tcW w:w="2218" w:type="dxa"/>
            <w:tcBorders>
              <w:top w:val="single" w:sz="4" w:space="0" w:color="auto"/>
              <w:left w:val="nil"/>
              <w:bottom w:val="single" w:sz="4" w:space="0" w:color="auto"/>
              <w:right w:val="single" w:sz="4" w:space="0" w:color="auto"/>
            </w:tcBorders>
            <w:hideMark/>
          </w:tcPr>
          <w:p w14:paraId="33050C7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63BD1D6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413A3D26"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1A0BD9B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Others</w:t>
            </w:r>
          </w:p>
        </w:tc>
        <w:tc>
          <w:tcPr>
            <w:tcW w:w="2218" w:type="dxa"/>
            <w:tcBorders>
              <w:top w:val="single" w:sz="4" w:space="0" w:color="auto"/>
              <w:left w:val="nil"/>
              <w:bottom w:val="single" w:sz="4" w:space="0" w:color="auto"/>
              <w:right w:val="single" w:sz="4" w:space="0" w:color="auto"/>
            </w:tcBorders>
            <w:hideMark/>
          </w:tcPr>
          <w:p w14:paraId="53AC794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1AB5884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1F1674D1"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248B27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Pulmonary oedema</w:t>
            </w:r>
          </w:p>
        </w:tc>
        <w:tc>
          <w:tcPr>
            <w:tcW w:w="2218" w:type="dxa"/>
            <w:tcBorders>
              <w:top w:val="single" w:sz="4" w:space="0" w:color="auto"/>
              <w:left w:val="nil"/>
              <w:bottom w:val="single" w:sz="4" w:space="0" w:color="auto"/>
              <w:right w:val="single" w:sz="4" w:space="0" w:color="auto"/>
            </w:tcBorders>
            <w:hideMark/>
          </w:tcPr>
          <w:p w14:paraId="69F3935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406934A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30C59614"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3B8C309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w:t>
            </w:r>
          </w:p>
        </w:tc>
        <w:tc>
          <w:tcPr>
            <w:tcW w:w="2218" w:type="dxa"/>
            <w:tcBorders>
              <w:top w:val="single" w:sz="4" w:space="0" w:color="auto"/>
              <w:left w:val="nil"/>
              <w:bottom w:val="single" w:sz="4" w:space="0" w:color="auto"/>
              <w:right w:val="single" w:sz="4" w:space="0" w:color="auto"/>
            </w:tcBorders>
            <w:hideMark/>
          </w:tcPr>
          <w:p w14:paraId="0C3119A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843" w:type="dxa"/>
            <w:tcBorders>
              <w:top w:val="single" w:sz="4" w:space="0" w:color="auto"/>
              <w:left w:val="nil"/>
              <w:bottom w:val="single" w:sz="4" w:space="0" w:color="auto"/>
              <w:right w:val="single" w:sz="4" w:space="0" w:color="auto"/>
            </w:tcBorders>
            <w:hideMark/>
          </w:tcPr>
          <w:p w14:paraId="52B2CF3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r>
      <w:tr w:rsidR="006726CF" w:rsidRPr="00B04B2E" w14:paraId="55973479"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71B50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 HELLP syndrome</w:t>
            </w:r>
          </w:p>
        </w:tc>
        <w:tc>
          <w:tcPr>
            <w:tcW w:w="2218" w:type="dxa"/>
            <w:tcBorders>
              <w:top w:val="single" w:sz="4" w:space="0" w:color="auto"/>
              <w:left w:val="nil"/>
              <w:bottom w:val="single" w:sz="4" w:space="0" w:color="auto"/>
              <w:right w:val="single" w:sz="4" w:space="0" w:color="auto"/>
            </w:tcBorders>
            <w:hideMark/>
          </w:tcPr>
          <w:p w14:paraId="5DE1046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1C71D22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5ED82B1"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4C4E2C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 ICU Admission</w:t>
            </w:r>
          </w:p>
        </w:tc>
        <w:tc>
          <w:tcPr>
            <w:tcW w:w="2218" w:type="dxa"/>
            <w:tcBorders>
              <w:top w:val="single" w:sz="4" w:space="0" w:color="auto"/>
              <w:left w:val="nil"/>
              <w:bottom w:val="single" w:sz="4" w:space="0" w:color="auto"/>
              <w:right w:val="single" w:sz="4" w:space="0" w:color="auto"/>
            </w:tcBorders>
            <w:hideMark/>
          </w:tcPr>
          <w:p w14:paraId="303D61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3DD66BA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B998210"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3BBBF0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 Others</w:t>
            </w:r>
          </w:p>
        </w:tc>
        <w:tc>
          <w:tcPr>
            <w:tcW w:w="2218" w:type="dxa"/>
            <w:tcBorders>
              <w:top w:val="single" w:sz="4" w:space="0" w:color="auto"/>
              <w:left w:val="nil"/>
              <w:bottom w:val="single" w:sz="4" w:space="0" w:color="auto"/>
              <w:right w:val="single" w:sz="4" w:space="0" w:color="auto"/>
            </w:tcBorders>
            <w:hideMark/>
          </w:tcPr>
          <w:p w14:paraId="349B691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843" w:type="dxa"/>
            <w:tcBorders>
              <w:top w:val="single" w:sz="4" w:space="0" w:color="auto"/>
              <w:left w:val="nil"/>
              <w:bottom w:val="single" w:sz="4" w:space="0" w:color="auto"/>
              <w:right w:val="single" w:sz="4" w:space="0" w:color="auto"/>
            </w:tcBorders>
            <w:hideMark/>
          </w:tcPr>
          <w:p w14:paraId="491CA95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r>
      <w:tr w:rsidR="006726CF" w:rsidRPr="00B04B2E" w14:paraId="734E8E49"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B1F8B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w:t>
            </w:r>
          </w:p>
        </w:tc>
        <w:tc>
          <w:tcPr>
            <w:tcW w:w="2218" w:type="dxa"/>
            <w:tcBorders>
              <w:top w:val="single" w:sz="4" w:space="0" w:color="auto"/>
              <w:left w:val="nil"/>
              <w:bottom w:val="single" w:sz="4" w:space="0" w:color="auto"/>
              <w:right w:val="single" w:sz="4" w:space="0" w:color="auto"/>
            </w:tcBorders>
            <w:hideMark/>
          </w:tcPr>
          <w:p w14:paraId="043CAE6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45</w:t>
            </w:r>
          </w:p>
        </w:tc>
        <w:tc>
          <w:tcPr>
            <w:tcW w:w="1843" w:type="dxa"/>
            <w:tcBorders>
              <w:top w:val="single" w:sz="4" w:space="0" w:color="auto"/>
              <w:left w:val="nil"/>
              <w:bottom w:val="single" w:sz="4" w:space="0" w:color="auto"/>
              <w:right w:val="single" w:sz="4" w:space="0" w:color="auto"/>
            </w:tcBorders>
            <w:hideMark/>
          </w:tcPr>
          <w:p w14:paraId="26FA81B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30.4</w:t>
            </w:r>
          </w:p>
        </w:tc>
      </w:tr>
      <w:tr w:rsidR="006726CF" w:rsidRPr="00B04B2E" w14:paraId="4D033B9A"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7B573B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 AKI</w:t>
            </w:r>
          </w:p>
        </w:tc>
        <w:tc>
          <w:tcPr>
            <w:tcW w:w="2218" w:type="dxa"/>
            <w:tcBorders>
              <w:top w:val="single" w:sz="4" w:space="0" w:color="auto"/>
              <w:left w:val="nil"/>
              <w:bottom w:val="single" w:sz="4" w:space="0" w:color="auto"/>
              <w:right w:val="single" w:sz="4" w:space="0" w:color="auto"/>
            </w:tcBorders>
            <w:hideMark/>
          </w:tcPr>
          <w:p w14:paraId="772419C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3EFEB8C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1F6E7F4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10125B37"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thatEclampsia</w:t>
            </w:r>
            <w:proofErr w:type="spellEnd"/>
            <w:r w:rsidRPr="00B04B2E">
              <w:rPr>
                <w:rFonts w:ascii="Times New Roman" w:hAnsi="Times New Roman"/>
                <w:sz w:val="24"/>
                <w:szCs w:val="24"/>
              </w:rPr>
              <w:t>, AKI, Others</w:t>
            </w:r>
          </w:p>
        </w:tc>
        <w:tc>
          <w:tcPr>
            <w:tcW w:w="2218" w:type="dxa"/>
            <w:tcBorders>
              <w:top w:val="single" w:sz="4" w:space="0" w:color="auto"/>
              <w:left w:val="nil"/>
              <w:bottom w:val="single" w:sz="4" w:space="0" w:color="auto"/>
              <w:right w:val="single" w:sz="4" w:space="0" w:color="auto"/>
            </w:tcBorders>
            <w:hideMark/>
          </w:tcPr>
          <w:p w14:paraId="2B41FF6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1DF01BF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434D8161"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D15430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 Death, Others</w:t>
            </w:r>
          </w:p>
        </w:tc>
        <w:tc>
          <w:tcPr>
            <w:tcW w:w="2218" w:type="dxa"/>
            <w:tcBorders>
              <w:top w:val="single" w:sz="4" w:space="0" w:color="auto"/>
              <w:left w:val="nil"/>
              <w:bottom w:val="single" w:sz="4" w:space="0" w:color="auto"/>
              <w:right w:val="single" w:sz="4" w:space="0" w:color="auto"/>
            </w:tcBorders>
            <w:hideMark/>
          </w:tcPr>
          <w:p w14:paraId="63B9FA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70BAA4B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4D33EEA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F6946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 ICU Admission</w:t>
            </w:r>
          </w:p>
        </w:tc>
        <w:tc>
          <w:tcPr>
            <w:tcW w:w="2218" w:type="dxa"/>
            <w:tcBorders>
              <w:top w:val="single" w:sz="4" w:space="0" w:color="auto"/>
              <w:left w:val="nil"/>
              <w:bottom w:val="single" w:sz="4" w:space="0" w:color="auto"/>
              <w:right w:val="single" w:sz="4" w:space="0" w:color="auto"/>
            </w:tcBorders>
            <w:hideMark/>
          </w:tcPr>
          <w:p w14:paraId="54D485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7800AE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4FFABFF9"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5C5710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HELLP syndrome</w:t>
            </w:r>
          </w:p>
        </w:tc>
        <w:tc>
          <w:tcPr>
            <w:tcW w:w="2218" w:type="dxa"/>
            <w:tcBorders>
              <w:top w:val="single" w:sz="4" w:space="0" w:color="auto"/>
              <w:left w:val="nil"/>
              <w:bottom w:val="single" w:sz="4" w:space="0" w:color="auto"/>
              <w:right w:val="single" w:sz="4" w:space="0" w:color="auto"/>
            </w:tcBorders>
            <w:hideMark/>
          </w:tcPr>
          <w:p w14:paraId="133302E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843" w:type="dxa"/>
            <w:tcBorders>
              <w:top w:val="single" w:sz="4" w:space="0" w:color="auto"/>
              <w:left w:val="nil"/>
              <w:bottom w:val="single" w:sz="4" w:space="0" w:color="auto"/>
              <w:right w:val="single" w:sz="4" w:space="0" w:color="auto"/>
            </w:tcBorders>
            <w:hideMark/>
          </w:tcPr>
          <w:p w14:paraId="2703986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w:t>
            </w:r>
          </w:p>
        </w:tc>
      </w:tr>
      <w:tr w:rsidR="006726CF" w:rsidRPr="00B04B2E" w14:paraId="5AF98B6E"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1A386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ICU Admission</w:t>
            </w:r>
          </w:p>
        </w:tc>
        <w:tc>
          <w:tcPr>
            <w:tcW w:w="2218" w:type="dxa"/>
            <w:tcBorders>
              <w:top w:val="single" w:sz="4" w:space="0" w:color="auto"/>
              <w:left w:val="nil"/>
              <w:bottom w:val="single" w:sz="4" w:space="0" w:color="auto"/>
              <w:right w:val="single" w:sz="4" w:space="0" w:color="auto"/>
            </w:tcBorders>
            <w:hideMark/>
          </w:tcPr>
          <w:p w14:paraId="5967FA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04F58B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2D5313B7"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3266D7C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ICU Admission, Others</w:t>
            </w:r>
          </w:p>
        </w:tc>
        <w:tc>
          <w:tcPr>
            <w:tcW w:w="2218" w:type="dxa"/>
            <w:tcBorders>
              <w:top w:val="single" w:sz="4" w:space="0" w:color="auto"/>
              <w:left w:val="nil"/>
              <w:bottom w:val="single" w:sz="4" w:space="0" w:color="auto"/>
              <w:right w:val="single" w:sz="4" w:space="0" w:color="auto"/>
            </w:tcBorders>
            <w:hideMark/>
          </w:tcPr>
          <w:p w14:paraId="2E7188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54A0867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2DFDEA26"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7282B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Pulmonary oedema</w:t>
            </w:r>
          </w:p>
        </w:tc>
        <w:tc>
          <w:tcPr>
            <w:tcW w:w="2218" w:type="dxa"/>
            <w:tcBorders>
              <w:top w:val="single" w:sz="4" w:space="0" w:color="auto"/>
              <w:left w:val="nil"/>
              <w:bottom w:val="single" w:sz="4" w:space="0" w:color="auto"/>
              <w:right w:val="single" w:sz="4" w:space="0" w:color="auto"/>
            </w:tcBorders>
            <w:hideMark/>
          </w:tcPr>
          <w:p w14:paraId="0B25F7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4A83667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23FEBC23"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10C794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Others</w:t>
            </w:r>
          </w:p>
        </w:tc>
        <w:tc>
          <w:tcPr>
            <w:tcW w:w="2218" w:type="dxa"/>
            <w:tcBorders>
              <w:top w:val="single" w:sz="4" w:space="0" w:color="auto"/>
              <w:left w:val="nil"/>
              <w:bottom w:val="single" w:sz="4" w:space="0" w:color="auto"/>
              <w:right w:val="single" w:sz="4" w:space="0" w:color="auto"/>
            </w:tcBorders>
            <w:hideMark/>
          </w:tcPr>
          <w:p w14:paraId="5694E7C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w:t>
            </w:r>
          </w:p>
        </w:tc>
        <w:tc>
          <w:tcPr>
            <w:tcW w:w="1843" w:type="dxa"/>
            <w:tcBorders>
              <w:top w:val="single" w:sz="4" w:space="0" w:color="auto"/>
              <w:left w:val="nil"/>
              <w:bottom w:val="single" w:sz="4" w:space="0" w:color="auto"/>
              <w:right w:val="single" w:sz="4" w:space="0" w:color="auto"/>
            </w:tcBorders>
            <w:hideMark/>
          </w:tcPr>
          <w:p w14:paraId="298D12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10.1</w:t>
            </w:r>
          </w:p>
        </w:tc>
      </w:tr>
    </w:tbl>
    <w:p w14:paraId="7E844D3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494757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3E6BB27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4 above depicts the types of complications experienced by women with HDP at FTH Gombe. The most common complication was abruptio placenta, occurring in 37.8% of the cases followed by Eclampsia which occurred in 30.4% of the cases. Other complications included acute kidney injury (AKI), HELLP syndrome, and death, which were less frequent but still significant. The presence of multiple complications was also observed, such as AKI with death or ICU admission.</w:t>
      </w:r>
    </w:p>
    <w:p w14:paraId="44A9932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8804EC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5A5CC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EA5A171"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32F6EE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DBD66E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621C2D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83BEBB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CFE91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C2DBDA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1D135D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20A425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EA0761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CDE88A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02D28A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F7DCBD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802A96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592A0FF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DB3430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11E7A1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Objective 3: Demographic and obstetrics factors associated with fetal and maternal outcomes</w:t>
      </w:r>
    </w:p>
    <w:p w14:paraId="293FBB4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Table 5: Relationship between demographic and obstetrics characteristics with fetal outcomes (i.e., alive or dead) </w:t>
      </w:r>
    </w:p>
    <w:tbl>
      <w:tblPr>
        <w:tblW w:w="8306" w:type="dxa"/>
        <w:tblLook w:val="04A0" w:firstRow="1" w:lastRow="0" w:firstColumn="1" w:lastColumn="0" w:noHBand="0" w:noVBand="1"/>
      </w:tblPr>
      <w:tblGrid>
        <w:gridCol w:w="1430"/>
        <w:gridCol w:w="1310"/>
        <w:gridCol w:w="1349"/>
        <w:gridCol w:w="1310"/>
        <w:gridCol w:w="1349"/>
        <w:gridCol w:w="876"/>
        <w:gridCol w:w="1013"/>
      </w:tblGrid>
      <w:tr w:rsidR="006726CF" w:rsidRPr="00B04B2E" w14:paraId="0096F30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tcPr>
          <w:p w14:paraId="0D0129C1" w14:textId="77777777" w:rsidR="006726CF" w:rsidRPr="00B04B2E" w:rsidRDefault="006726CF">
            <w:pPr>
              <w:spacing w:before="100" w:beforeAutospacing="1" w:line="360" w:lineRule="auto"/>
              <w:rPr>
                <w:rFonts w:ascii="Times New Roman" w:hAnsi="Times New Roman"/>
                <w:sz w:val="24"/>
                <w:szCs w:val="24"/>
              </w:rPr>
            </w:pPr>
          </w:p>
        </w:tc>
        <w:tc>
          <w:tcPr>
            <w:tcW w:w="2798" w:type="dxa"/>
            <w:gridSpan w:val="2"/>
            <w:tcBorders>
              <w:top w:val="single" w:sz="4" w:space="0" w:color="auto"/>
              <w:left w:val="nil"/>
              <w:bottom w:val="single" w:sz="4" w:space="0" w:color="auto"/>
              <w:right w:val="single" w:sz="4" w:space="0" w:color="auto"/>
            </w:tcBorders>
            <w:hideMark/>
          </w:tcPr>
          <w:p w14:paraId="00AB8E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Alive</w:t>
            </w:r>
          </w:p>
        </w:tc>
        <w:tc>
          <w:tcPr>
            <w:tcW w:w="2798" w:type="dxa"/>
            <w:gridSpan w:val="2"/>
            <w:tcBorders>
              <w:top w:val="single" w:sz="4" w:space="0" w:color="auto"/>
              <w:left w:val="nil"/>
              <w:bottom w:val="single" w:sz="4" w:space="0" w:color="auto"/>
              <w:right w:val="single" w:sz="4" w:space="0" w:color="auto"/>
            </w:tcBorders>
            <w:hideMark/>
          </w:tcPr>
          <w:p w14:paraId="5077761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Dead</w:t>
            </w:r>
          </w:p>
        </w:tc>
        <w:tc>
          <w:tcPr>
            <w:tcW w:w="971" w:type="dxa"/>
            <w:tcBorders>
              <w:top w:val="single" w:sz="4" w:space="0" w:color="auto"/>
              <w:left w:val="nil"/>
              <w:bottom w:val="single" w:sz="4" w:space="0" w:color="auto"/>
              <w:right w:val="single" w:sz="4" w:space="0" w:color="auto"/>
            </w:tcBorders>
          </w:tcPr>
          <w:p w14:paraId="11FAAA8D"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86D9FC3"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E7ED0B9"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9F7133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Variables</w:t>
            </w:r>
          </w:p>
        </w:tc>
        <w:tc>
          <w:tcPr>
            <w:tcW w:w="1344" w:type="dxa"/>
            <w:tcBorders>
              <w:top w:val="single" w:sz="4" w:space="0" w:color="auto"/>
              <w:left w:val="nil"/>
              <w:bottom w:val="single" w:sz="4" w:space="0" w:color="auto"/>
              <w:right w:val="single" w:sz="4" w:space="0" w:color="auto"/>
            </w:tcBorders>
            <w:hideMark/>
          </w:tcPr>
          <w:p w14:paraId="56A7ED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035432F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1344" w:type="dxa"/>
            <w:tcBorders>
              <w:top w:val="single" w:sz="4" w:space="0" w:color="auto"/>
              <w:left w:val="nil"/>
              <w:bottom w:val="single" w:sz="4" w:space="0" w:color="auto"/>
              <w:right w:val="single" w:sz="4" w:space="0" w:color="auto"/>
            </w:tcBorders>
            <w:hideMark/>
          </w:tcPr>
          <w:p w14:paraId="503358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5CDB4B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971" w:type="dxa"/>
            <w:tcBorders>
              <w:top w:val="single" w:sz="4" w:space="0" w:color="auto"/>
              <w:left w:val="nil"/>
              <w:bottom w:val="single" w:sz="4" w:space="0" w:color="auto"/>
              <w:right w:val="single" w:sz="4" w:space="0" w:color="auto"/>
            </w:tcBorders>
            <w:hideMark/>
          </w:tcPr>
          <w:p w14:paraId="63F388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i/>
                <w:iCs/>
                <w:sz w:val="24"/>
                <w:szCs w:val="24"/>
              </w:rPr>
              <w:t>X</w:t>
            </w:r>
            <w:r w:rsidRPr="00B04B2E">
              <w:rPr>
                <w:rFonts w:ascii="Times New Roman" w:hAnsi="Times New Roman"/>
                <w:b/>
                <w:bCs/>
                <w:sz w:val="24"/>
                <w:szCs w:val="24"/>
                <w:vertAlign w:val="superscript"/>
              </w:rPr>
              <w:t>2</w:t>
            </w:r>
          </w:p>
        </w:tc>
        <w:tc>
          <w:tcPr>
            <w:tcW w:w="1058" w:type="dxa"/>
            <w:tcBorders>
              <w:top w:val="single" w:sz="4" w:space="0" w:color="auto"/>
              <w:left w:val="nil"/>
              <w:bottom w:val="single" w:sz="4" w:space="0" w:color="auto"/>
              <w:right w:val="single" w:sz="4" w:space="0" w:color="auto"/>
            </w:tcBorders>
            <w:hideMark/>
          </w:tcPr>
          <w:p w14:paraId="10D4604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P-value</w:t>
            </w:r>
          </w:p>
        </w:tc>
      </w:tr>
      <w:tr w:rsidR="006726CF" w:rsidRPr="00B04B2E" w14:paraId="0FC5F48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21A1AE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Age group</w:t>
            </w:r>
          </w:p>
        </w:tc>
        <w:tc>
          <w:tcPr>
            <w:tcW w:w="1344" w:type="dxa"/>
            <w:tcBorders>
              <w:top w:val="single" w:sz="4" w:space="0" w:color="auto"/>
              <w:left w:val="nil"/>
              <w:bottom w:val="single" w:sz="4" w:space="0" w:color="auto"/>
              <w:right w:val="single" w:sz="4" w:space="0" w:color="auto"/>
            </w:tcBorders>
          </w:tcPr>
          <w:p w14:paraId="5E860320"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5632D736"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777724BB"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30C90C47"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2BE8BA7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3.226</w:t>
            </w:r>
          </w:p>
        </w:tc>
        <w:tc>
          <w:tcPr>
            <w:tcW w:w="1058" w:type="dxa"/>
            <w:tcBorders>
              <w:top w:val="single" w:sz="4" w:space="0" w:color="auto"/>
              <w:left w:val="nil"/>
              <w:bottom w:val="single" w:sz="4" w:space="0" w:color="auto"/>
              <w:right w:val="single" w:sz="4" w:space="0" w:color="auto"/>
            </w:tcBorders>
            <w:hideMark/>
          </w:tcPr>
          <w:p w14:paraId="1A4623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0.665</w:t>
            </w:r>
          </w:p>
        </w:tc>
      </w:tr>
      <w:tr w:rsidR="006726CF" w:rsidRPr="00B04B2E" w14:paraId="3BC501E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843B76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&lt;20</w:t>
            </w:r>
          </w:p>
        </w:tc>
        <w:tc>
          <w:tcPr>
            <w:tcW w:w="1344" w:type="dxa"/>
            <w:tcBorders>
              <w:top w:val="single" w:sz="4" w:space="0" w:color="auto"/>
              <w:left w:val="nil"/>
              <w:bottom w:val="single" w:sz="4" w:space="0" w:color="auto"/>
              <w:right w:val="single" w:sz="4" w:space="0" w:color="auto"/>
            </w:tcBorders>
            <w:hideMark/>
          </w:tcPr>
          <w:p w14:paraId="18E0307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45</w:t>
            </w:r>
          </w:p>
        </w:tc>
        <w:tc>
          <w:tcPr>
            <w:tcW w:w="1454" w:type="dxa"/>
            <w:tcBorders>
              <w:top w:val="single" w:sz="4" w:space="0" w:color="auto"/>
              <w:left w:val="nil"/>
              <w:bottom w:val="single" w:sz="4" w:space="0" w:color="auto"/>
              <w:right w:val="single" w:sz="4" w:space="0" w:color="auto"/>
            </w:tcBorders>
            <w:hideMark/>
          </w:tcPr>
          <w:p w14:paraId="6BAFAEE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(83.30)</w:t>
            </w:r>
          </w:p>
        </w:tc>
        <w:tc>
          <w:tcPr>
            <w:tcW w:w="1344" w:type="dxa"/>
            <w:tcBorders>
              <w:top w:val="single" w:sz="4" w:space="0" w:color="auto"/>
              <w:left w:val="nil"/>
              <w:bottom w:val="single" w:sz="4" w:space="0" w:color="auto"/>
              <w:right w:val="single" w:sz="4" w:space="0" w:color="auto"/>
            </w:tcBorders>
            <w:hideMark/>
          </w:tcPr>
          <w:p w14:paraId="4DD5A8D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w:t>
            </w:r>
          </w:p>
        </w:tc>
        <w:tc>
          <w:tcPr>
            <w:tcW w:w="1454" w:type="dxa"/>
            <w:tcBorders>
              <w:top w:val="single" w:sz="4" w:space="0" w:color="auto"/>
              <w:left w:val="nil"/>
              <w:bottom w:val="single" w:sz="4" w:space="0" w:color="auto"/>
              <w:right w:val="single" w:sz="4" w:space="0" w:color="auto"/>
            </w:tcBorders>
            <w:hideMark/>
          </w:tcPr>
          <w:p w14:paraId="18BA05C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(16.70)</w:t>
            </w:r>
          </w:p>
        </w:tc>
        <w:tc>
          <w:tcPr>
            <w:tcW w:w="971" w:type="dxa"/>
            <w:tcBorders>
              <w:top w:val="single" w:sz="4" w:space="0" w:color="auto"/>
              <w:left w:val="nil"/>
              <w:bottom w:val="single" w:sz="4" w:space="0" w:color="auto"/>
              <w:right w:val="single" w:sz="4" w:space="0" w:color="auto"/>
            </w:tcBorders>
          </w:tcPr>
          <w:p w14:paraId="337BC74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E98ECE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BDD11F4"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0FE7E12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20-24</w:t>
            </w:r>
          </w:p>
        </w:tc>
        <w:tc>
          <w:tcPr>
            <w:tcW w:w="1344" w:type="dxa"/>
            <w:tcBorders>
              <w:top w:val="single" w:sz="4" w:space="0" w:color="auto"/>
              <w:left w:val="nil"/>
              <w:bottom w:val="single" w:sz="4" w:space="0" w:color="auto"/>
              <w:right w:val="single" w:sz="4" w:space="0" w:color="auto"/>
            </w:tcBorders>
            <w:hideMark/>
          </w:tcPr>
          <w:p w14:paraId="4DB558E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82</w:t>
            </w:r>
          </w:p>
        </w:tc>
        <w:tc>
          <w:tcPr>
            <w:tcW w:w="1454" w:type="dxa"/>
            <w:tcBorders>
              <w:top w:val="single" w:sz="4" w:space="0" w:color="auto"/>
              <w:left w:val="nil"/>
              <w:bottom w:val="single" w:sz="4" w:space="0" w:color="auto"/>
              <w:right w:val="single" w:sz="4" w:space="0" w:color="auto"/>
            </w:tcBorders>
            <w:hideMark/>
          </w:tcPr>
          <w:p w14:paraId="4120778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(79.60)</w:t>
            </w:r>
          </w:p>
        </w:tc>
        <w:tc>
          <w:tcPr>
            <w:tcW w:w="1344" w:type="dxa"/>
            <w:tcBorders>
              <w:top w:val="single" w:sz="4" w:space="0" w:color="auto"/>
              <w:left w:val="nil"/>
              <w:bottom w:val="single" w:sz="4" w:space="0" w:color="auto"/>
              <w:right w:val="single" w:sz="4" w:space="0" w:color="auto"/>
            </w:tcBorders>
            <w:hideMark/>
          </w:tcPr>
          <w:p w14:paraId="159729B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w:t>
            </w:r>
          </w:p>
        </w:tc>
        <w:tc>
          <w:tcPr>
            <w:tcW w:w="1454" w:type="dxa"/>
            <w:tcBorders>
              <w:top w:val="single" w:sz="4" w:space="0" w:color="auto"/>
              <w:left w:val="nil"/>
              <w:bottom w:val="single" w:sz="4" w:space="0" w:color="auto"/>
              <w:right w:val="single" w:sz="4" w:space="0" w:color="auto"/>
            </w:tcBorders>
            <w:hideMark/>
          </w:tcPr>
          <w:p w14:paraId="63278A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(20.40)</w:t>
            </w:r>
          </w:p>
        </w:tc>
        <w:tc>
          <w:tcPr>
            <w:tcW w:w="971" w:type="dxa"/>
            <w:tcBorders>
              <w:top w:val="single" w:sz="4" w:space="0" w:color="auto"/>
              <w:left w:val="nil"/>
              <w:bottom w:val="single" w:sz="4" w:space="0" w:color="auto"/>
              <w:right w:val="single" w:sz="4" w:space="0" w:color="auto"/>
            </w:tcBorders>
          </w:tcPr>
          <w:p w14:paraId="7F058F79"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35E187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8B708D8"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0B06822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25-29</w:t>
            </w:r>
          </w:p>
        </w:tc>
        <w:tc>
          <w:tcPr>
            <w:tcW w:w="1344" w:type="dxa"/>
            <w:tcBorders>
              <w:top w:val="single" w:sz="4" w:space="0" w:color="auto"/>
              <w:left w:val="nil"/>
              <w:bottom w:val="single" w:sz="4" w:space="0" w:color="auto"/>
              <w:right w:val="single" w:sz="4" w:space="0" w:color="auto"/>
            </w:tcBorders>
            <w:hideMark/>
          </w:tcPr>
          <w:p w14:paraId="13BAE0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99</w:t>
            </w:r>
          </w:p>
        </w:tc>
        <w:tc>
          <w:tcPr>
            <w:tcW w:w="1454" w:type="dxa"/>
            <w:tcBorders>
              <w:top w:val="single" w:sz="4" w:space="0" w:color="auto"/>
              <w:left w:val="nil"/>
              <w:bottom w:val="single" w:sz="4" w:space="0" w:color="auto"/>
              <w:right w:val="single" w:sz="4" w:space="0" w:color="auto"/>
            </w:tcBorders>
            <w:hideMark/>
          </w:tcPr>
          <w:p w14:paraId="0338689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(87.60)</w:t>
            </w:r>
          </w:p>
        </w:tc>
        <w:tc>
          <w:tcPr>
            <w:tcW w:w="1344" w:type="dxa"/>
            <w:tcBorders>
              <w:top w:val="single" w:sz="4" w:space="0" w:color="auto"/>
              <w:left w:val="nil"/>
              <w:bottom w:val="single" w:sz="4" w:space="0" w:color="auto"/>
              <w:right w:val="single" w:sz="4" w:space="0" w:color="auto"/>
            </w:tcBorders>
            <w:hideMark/>
          </w:tcPr>
          <w:p w14:paraId="2611FF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c>
          <w:tcPr>
            <w:tcW w:w="1454" w:type="dxa"/>
            <w:tcBorders>
              <w:top w:val="single" w:sz="4" w:space="0" w:color="auto"/>
              <w:left w:val="nil"/>
              <w:bottom w:val="single" w:sz="4" w:space="0" w:color="auto"/>
              <w:right w:val="single" w:sz="4" w:space="0" w:color="auto"/>
            </w:tcBorders>
            <w:hideMark/>
          </w:tcPr>
          <w:p w14:paraId="1B78B2F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(12.40)</w:t>
            </w:r>
          </w:p>
        </w:tc>
        <w:tc>
          <w:tcPr>
            <w:tcW w:w="971" w:type="dxa"/>
            <w:tcBorders>
              <w:top w:val="single" w:sz="4" w:space="0" w:color="auto"/>
              <w:left w:val="nil"/>
              <w:bottom w:val="single" w:sz="4" w:space="0" w:color="auto"/>
              <w:right w:val="single" w:sz="4" w:space="0" w:color="auto"/>
            </w:tcBorders>
          </w:tcPr>
          <w:p w14:paraId="0076208C"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ECB4F8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C36A575"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50DB36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30-34</w:t>
            </w:r>
          </w:p>
        </w:tc>
        <w:tc>
          <w:tcPr>
            <w:tcW w:w="1344" w:type="dxa"/>
            <w:tcBorders>
              <w:top w:val="single" w:sz="4" w:space="0" w:color="auto"/>
              <w:left w:val="nil"/>
              <w:bottom w:val="single" w:sz="4" w:space="0" w:color="auto"/>
              <w:right w:val="single" w:sz="4" w:space="0" w:color="auto"/>
            </w:tcBorders>
            <w:hideMark/>
          </w:tcPr>
          <w:p w14:paraId="04B7C2B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w:t>
            </w:r>
          </w:p>
        </w:tc>
        <w:tc>
          <w:tcPr>
            <w:tcW w:w="1454" w:type="dxa"/>
            <w:tcBorders>
              <w:top w:val="single" w:sz="4" w:space="0" w:color="auto"/>
              <w:left w:val="nil"/>
              <w:bottom w:val="single" w:sz="4" w:space="0" w:color="auto"/>
              <w:right w:val="single" w:sz="4" w:space="0" w:color="auto"/>
            </w:tcBorders>
            <w:hideMark/>
          </w:tcPr>
          <w:p w14:paraId="18B69C1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(82.90)</w:t>
            </w:r>
          </w:p>
        </w:tc>
        <w:tc>
          <w:tcPr>
            <w:tcW w:w="1344" w:type="dxa"/>
            <w:tcBorders>
              <w:top w:val="single" w:sz="4" w:space="0" w:color="auto"/>
              <w:left w:val="nil"/>
              <w:bottom w:val="single" w:sz="4" w:space="0" w:color="auto"/>
              <w:right w:val="single" w:sz="4" w:space="0" w:color="auto"/>
            </w:tcBorders>
            <w:hideMark/>
          </w:tcPr>
          <w:p w14:paraId="308EC02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w:t>
            </w:r>
          </w:p>
        </w:tc>
        <w:tc>
          <w:tcPr>
            <w:tcW w:w="1454" w:type="dxa"/>
            <w:tcBorders>
              <w:top w:val="single" w:sz="4" w:space="0" w:color="auto"/>
              <w:left w:val="nil"/>
              <w:bottom w:val="single" w:sz="4" w:space="0" w:color="auto"/>
              <w:right w:val="single" w:sz="4" w:space="0" w:color="auto"/>
            </w:tcBorders>
            <w:hideMark/>
          </w:tcPr>
          <w:p w14:paraId="6F6E489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(17.10)</w:t>
            </w:r>
          </w:p>
        </w:tc>
        <w:tc>
          <w:tcPr>
            <w:tcW w:w="971" w:type="dxa"/>
            <w:tcBorders>
              <w:top w:val="single" w:sz="4" w:space="0" w:color="auto"/>
              <w:left w:val="nil"/>
              <w:bottom w:val="single" w:sz="4" w:space="0" w:color="auto"/>
              <w:right w:val="single" w:sz="4" w:space="0" w:color="auto"/>
            </w:tcBorders>
          </w:tcPr>
          <w:p w14:paraId="74E2EFEA"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11ACCFC"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8C51D77"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17763F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35-39</w:t>
            </w:r>
          </w:p>
        </w:tc>
        <w:tc>
          <w:tcPr>
            <w:tcW w:w="1344" w:type="dxa"/>
            <w:tcBorders>
              <w:top w:val="single" w:sz="4" w:space="0" w:color="auto"/>
              <w:left w:val="nil"/>
              <w:bottom w:val="single" w:sz="4" w:space="0" w:color="auto"/>
              <w:right w:val="single" w:sz="4" w:space="0" w:color="auto"/>
            </w:tcBorders>
            <w:hideMark/>
          </w:tcPr>
          <w:p w14:paraId="2E5D2B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w:t>
            </w:r>
          </w:p>
        </w:tc>
        <w:tc>
          <w:tcPr>
            <w:tcW w:w="1454" w:type="dxa"/>
            <w:tcBorders>
              <w:top w:val="single" w:sz="4" w:space="0" w:color="auto"/>
              <w:left w:val="nil"/>
              <w:bottom w:val="single" w:sz="4" w:space="0" w:color="auto"/>
              <w:right w:val="single" w:sz="4" w:space="0" w:color="auto"/>
            </w:tcBorders>
            <w:hideMark/>
          </w:tcPr>
          <w:p w14:paraId="4761DC9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(86.20)</w:t>
            </w:r>
          </w:p>
        </w:tc>
        <w:tc>
          <w:tcPr>
            <w:tcW w:w="1344" w:type="dxa"/>
            <w:tcBorders>
              <w:top w:val="single" w:sz="4" w:space="0" w:color="auto"/>
              <w:left w:val="nil"/>
              <w:bottom w:val="single" w:sz="4" w:space="0" w:color="auto"/>
              <w:right w:val="single" w:sz="4" w:space="0" w:color="auto"/>
            </w:tcBorders>
            <w:hideMark/>
          </w:tcPr>
          <w:p w14:paraId="1058B55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w:t>
            </w:r>
          </w:p>
        </w:tc>
        <w:tc>
          <w:tcPr>
            <w:tcW w:w="1454" w:type="dxa"/>
            <w:tcBorders>
              <w:top w:val="single" w:sz="4" w:space="0" w:color="auto"/>
              <w:left w:val="nil"/>
              <w:bottom w:val="single" w:sz="4" w:space="0" w:color="auto"/>
              <w:right w:val="single" w:sz="4" w:space="0" w:color="auto"/>
            </w:tcBorders>
            <w:hideMark/>
          </w:tcPr>
          <w:p w14:paraId="3632C48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(13.80)</w:t>
            </w:r>
          </w:p>
        </w:tc>
        <w:tc>
          <w:tcPr>
            <w:tcW w:w="971" w:type="dxa"/>
            <w:tcBorders>
              <w:top w:val="single" w:sz="4" w:space="0" w:color="auto"/>
              <w:left w:val="nil"/>
              <w:bottom w:val="single" w:sz="4" w:space="0" w:color="auto"/>
              <w:right w:val="single" w:sz="4" w:space="0" w:color="auto"/>
            </w:tcBorders>
          </w:tcPr>
          <w:p w14:paraId="54AAE9D4"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3BD941FB"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8B086DF"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5D082B8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w:t>
            </w:r>
          </w:p>
        </w:tc>
        <w:tc>
          <w:tcPr>
            <w:tcW w:w="1344" w:type="dxa"/>
            <w:tcBorders>
              <w:top w:val="single" w:sz="4" w:space="0" w:color="auto"/>
              <w:left w:val="nil"/>
              <w:bottom w:val="single" w:sz="4" w:space="0" w:color="auto"/>
              <w:right w:val="single" w:sz="4" w:space="0" w:color="auto"/>
            </w:tcBorders>
            <w:hideMark/>
          </w:tcPr>
          <w:p w14:paraId="1D7BD1D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w:t>
            </w:r>
          </w:p>
        </w:tc>
        <w:tc>
          <w:tcPr>
            <w:tcW w:w="1454" w:type="dxa"/>
            <w:tcBorders>
              <w:top w:val="single" w:sz="4" w:space="0" w:color="auto"/>
              <w:left w:val="nil"/>
              <w:bottom w:val="single" w:sz="4" w:space="0" w:color="auto"/>
              <w:right w:val="single" w:sz="4" w:space="0" w:color="auto"/>
            </w:tcBorders>
            <w:hideMark/>
          </w:tcPr>
          <w:p w14:paraId="322CC94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(81.00)</w:t>
            </w:r>
          </w:p>
        </w:tc>
        <w:tc>
          <w:tcPr>
            <w:tcW w:w="1344" w:type="dxa"/>
            <w:tcBorders>
              <w:top w:val="single" w:sz="4" w:space="0" w:color="auto"/>
              <w:left w:val="nil"/>
              <w:bottom w:val="single" w:sz="4" w:space="0" w:color="auto"/>
              <w:right w:val="single" w:sz="4" w:space="0" w:color="auto"/>
            </w:tcBorders>
            <w:hideMark/>
          </w:tcPr>
          <w:p w14:paraId="7B32121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w:t>
            </w:r>
          </w:p>
        </w:tc>
        <w:tc>
          <w:tcPr>
            <w:tcW w:w="1454" w:type="dxa"/>
            <w:tcBorders>
              <w:top w:val="single" w:sz="4" w:space="0" w:color="auto"/>
              <w:left w:val="nil"/>
              <w:bottom w:val="single" w:sz="4" w:space="0" w:color="auto"/>
              <w:right w:val="single" w:sz="4" w:space="0" w:color="auto"/>
            </w:tcBorders>
            <w:hideMark/>
          </w:tcPr>
          <w:p w14:paraId="4AECD4C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(19.00)</w:t>
            </w:r>
          </w:p>
        </w:tc>
        <w:tc>
          <w:tcPr>
            <w:tcW w:w="971" w:type="dxa"/>
            <w:tcBorders>
              <w:top w:val="single" w:sz="4" w:space="0" w:color="auto"/>
              <w:left w:val="nil"/>
              <w:bottom w:val="single" w:sz="4" w:space="0" w:color="auto"/>
              <w:right w:val="single" w:sz="4" w:space="0" w:color="auto"/>
            </w:tcBorders>
          </w:tcPr>
          <w:p w14:paraId="7AAB704A"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DFFC83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7FBE065"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7330F4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Parity</w:t>
            </w:r>
          </w:p>
        </w:tc>
        <w:tc>
          <w:tcPr>
            <w:tcW w:w="1344" w:type="dxa"/>
            <w:tcBorders>
              <w:top w:val="single" w:sz="4" w:space="0" w:color="auto"/>
              <w:left w:val="nil"/>
              <w:bottom w:val="single" w:sz="4" w:space="0" w:color="auto"/>
              <w:right w:val="single" w:sz="4" w:space="0" w:color="auto"/>
            </w:tcBorders>
          </w:tcPr>
          <w:p w14:paraId="6CDCD600"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F0AB057"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081BDAA4"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F9F81BF"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154150C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12.455</w:t>
            </w:r>
          </w:p>
        </w:tc>
        <w:tc>
          <w:tcPr>
            <w:tcW w:w="1058" w:type="dxa"/>
            <w:tcBorders>
              <w:top w:val="single" w:sz="4" w:space="0" w:color="auto"/>
              <w:left w:val="nil"/>
              <w:bottom w:val="single" w:sz="4" w:space="0" w:color="auto"/>
              <w:right w:val="single" w:sz="4" w:space="0" w:color="auto"/>
            </w:tcBorders>
            <w:hideMark/>
          </w:tcPr>
          <w:p w14:paraId="05C3EA3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0.006</w:t>
            </w:r>
          </w:p>
        </w:tc>
      </w:tr>
      <w:tr w:rsidR="006726CF" w:rsidRPr="00B04B2E" w14:paraId="14145541"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4DC5BE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Nullipara</w:t>
            </w:r>
          </w:p>
        </w:tc>
        <w:tc>
          <w:tcPr>
            <w:tcW w:w="1344" w:type="dxa"/>
            <w:tcBorders>
              <w:top w:val="single" w:sz="4" w:space="0" w:color="auto"/>
              <w:left w:val="nil"/>
              <w:bottom w:val="single" w:sz="4" w:space="0" w:color="auto"/>
              <w:right w:val="single" w:sz="4" w:space="0" w:color="auto"/>
            </w:tcBorders>
            <w:hideMark/>
          </w:tcPr>
          <w:p w14:paraId="34BFA01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124</w:t>
            </w:r>
          </w:p>
        </w:tc>
        <w:tc>
          <w:tcPr>
            <w:tcW w:w="1454" w:type="dxa"/>
            <w:tcBorders>
              <w:top w:val="single" w:sz="4" w:space="0" w:color="auto"/>
              <w:left w:val="nil"/>
              <w:bottom w:val="single" w:sz="4" w:space="0" w:color="auto"/>
              <w:right w:val="single" w:sz="4" w:space="0" w:color="auto"/>
            </w:tcBorders>
            <w:hideMark/>
          </w:tcPr>
          <w:p w14:paraId="366E4C8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(87.30)</w:t>
            </w:r>
          </w:p>
        </w:tc>
        <w:tc>
          <w:tcPr>
            <w:tcW w:w="1344" w:type="dxa"/>
            <w:tcBorders>
              <w:top w:val="single" w:sz="4" w:space="0" w:color="auto"/>
              <w:left w:val="nil"/>
              <w:bottom w:val="single" w:sz="4" w:space="0" w:color="auto"/>
              <w:right w:val="single" w:sz="4" w:space="0" w:color="auto"/>
            </w:tcBorders>
            <w:hideMark/>
          </w:tcPr>
          <w:p w14:paraId="407AC8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w:t>
            </w:r>
          </w:p>
        </w:tc>
        <w:tc>
          <w:tcPr>
            <w:tcW w:w="1454" w:type="dxa"/>
            <w:tcBorders>
              <w:top w:val="single" w:sz="4" w:space="0" w:color="auto"/>
              <w:left w:val="nil"/>
              <w:bottom w:val="single" w:sz="4" w:space="0" w:color="auto"/>
              <w:right w:val="single" w:sz="4" w:space="0" w:color="auto"/>
            </w:tcBorders>
            <w:hideMark/>
          </w:tcPr>
          <w:p w14:paraId="416FD6C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(12.70)</w:t>
            </w:r>
          </w:p>
        </w:tc>
        <w:tc>
          <w:tcPr>
            <w:tcW w:w="971" w:type="dxa"/>
            <w:tcBorders>
              <w:top w:val="single" w:sz="4" w:space="0" w:color="auto"/>
              <w:left w:val="nil"/>
              <w:bottom w:val="single" w:sz="4" w:space="0" w:color="auto"/>
              <w:right w:val="single" w:sz="4" w:space="0" w:color="auto"/>
            </w:tcBorders>
          </w:tcPr>
          <w:p w14:paraId="7A8F67A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6A88904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F299FA6"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B17677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Primipara</w:t>
            </w:r>
          </w:p>
        </w:tc>
        <w:tc>
          <w:tcPr>
            <w:tcW w:w="1344" w:type="dxa"/>
            <w:tcBorders>
              <w:top w:val="single" w:sz="4" w:space="0" w:color="auto"/>
              <w:left w:val="nil"/>
              <w:bottom w:val="single" w:sz="4" w:space="0" w:color="auto"/>
              <w:right w:val="single" w:sz="4" w:space="0" w:color="auto"/>
            </w:tcBorders>
            <w:hideMark/>
          </w:tcPr>
          <w:p w14:paraId="7BE849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77</w:t>
            </w:r>
          </w:p>
        </w:tc>
        <w:tc>
          <w:tcPr>
            <w:tcW w:w="1454" w:type="dxa"/>
            <w:tcBorders>
              <w:top w:val="single" w:sz="4" w:space="0" w:color="auto"/>
              <w:left w:val="nil"/>
              <w:bottom w:val="single" w:sz="4" w:space="0" w:color="auto"/>
              <w:right w:val="single" w:sz="4" w:space="0" w:color="auto"/>
            </w:tcBorders>
            <w:hideMark/>
          </w:tcPr>
          <w:p w14:paraId="194BDED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(83.70)</w:t>
            </w:r>
          </w:p>
        </w:tc>
        <w:tc>
          <w:tcPr>
            <w:tcW w:w="1344" w:type="dxa"/>
            <w:tcBorders>
              <w:top w:val="single" w:sz="4" w:space="0" w:color="auto"/>
              <w:left w:val="nil"/>
              <w:bottom w:val="single" w:sz="4" w:space="0" w:color="auto"/>
              <w:right w:val="single" w:sz="4" w:space="0" w:color="auto"/>
            </w:tcBorders>
            <w:hideMark/>
          </w:tcPr>
          <w:p w14:paraId="0EB0F7C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w:t>
            </w:r>
          </w:p>
        </w:tc>
        <w:tc>
          <w:tcPr>
            <w:tcW w:w="1454" w:type="dxa"/>
            <w:tcBorders>
              <w:top w:val="single" w:sz="4" w:space="0" w:color="auto"/>
              <w:left w:val="nil"/>
              <w:bottom w:val="single" w:sz="4" w:space="0" w:color="auto"/>
              <w:right w:val="single" w:sz="4" w:space="0" w:color="auto"/>
            </w:tcBorders>
            <w:hideMark/>
          </w:tcPr>
          <w:p w14:paraId="361EA2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(16.30)</w:t>
            </w:r>
          </w:p>
        </w:tc>
        <w:tc>
          <w:tcPr>
            <w:tcW w:w="971" w:type="dxa"/>
            <w:tcBorders>
              <w:top w:val="single" w:sz="4" w:space="0" w:color="auto"/>
              <w:left w:val="nil"/>
              <w:bottom w:val="single" w:sz="4" w:space="0" w:color="auto"/>
              <w:right w:val="single" w:sz="4" w:space="0" w:color="auto"/>
            </w:tcBorders>
          </w:tcPr>
          <w:p w14:paraId="50490EBA"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DC6D01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557EA388"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ADEA45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Multipara</w:t>
            </w:r>
          </w:p>
        </w:tc>
        <w:tc>
          <w:tcPr>
            <w:tcW w:w="1344" w:type="dxa"/>
            <w:tcBorders>
              <w:top w:val="single" w:sz="4" w:space="0" w:color="auto"/>
              <w:left w:val="nil"/>
              <w:bottom w:val="single" w:sz="4" w:space="0" w:color="auto"/>
              <w:right w:val="single" w:sz="4" w:space="0" w:color="auto"/>
            </w:tcBorders>
            <w:hideMark/>
          </w:tcPr>
          <w:p w14:paraId="3A5322A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126</w:t>
            </w:r>
          </w:p>
        </w:tc>
        <w:tc>
          <w:tcPr>
            <w:tcW w:w="1454" w:type="dxa"/>
            <w:tcBorders>
              <w:top w:val="single" w:sz="4" w:space="0" w:color="auto"/>
              <w:left w:val="nil"/>
              <w:bottom w:val="single" w:sz="4" w:space="0" w:color="auto"/>
              <w:right w:val="single" w:sz="4" w:space="0" w:color="auto"/>
            </w:tcBorders>
            <w:hideMark/>
          </w:tcPr>
          <w:p w14:paraId="2264347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(88.70)</w:t>
            </w:r>
          </w:p>
        </w:tc>
        <w:tc>
          <w:tcPr>
            <w:tcW w:w="1344" w:type="dxa"/>
            <w:tcBorders>
              <w:top w:val="single" w:sz="4" w:space="0" w:color="auto"/>
              <w:left w:val="nil"/>
              <w:bottom w:val="single" w:sz="4" w:space="0" w:color="auto"/>
              <w:right w:val="single" w:sz="4" w:space="0" w:color="auto"/>
            </w:tcBorders>
            <w:hideMark/>
          </w:tcPr>
          <w:p w14:paraId="793E432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w:t>
            </w:r>
          </w:p>
        </w:tc>
        <w:tc>
          <w:tcPr>
            <w:tcW w:w="1454" w:type="dxa"/>
            <w:tcBorders>
              <w:top w:val="single" w:sz="4" w:space="0" w:color="auto"/>
              <w:left w:val="nil"/>
              <w:bottom w:val="single" w:sz="4" w:space="0" w:color="auto"/>
              <w:right w:val="single" w:sz="4" w:space="0" w:color="auto"/>
            </w:tcBorders>
            <w:hideMark/>
          </w:tcPr>
          <w:p w14:paraId="64A2FB4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(11.30)</w:t>
            </w:r>
          </w:p>
        </w:tc>
        <w:tc>
          <w:tcPr>
            <w:tcW w:w="971" w:type="dxa"/>
            <w:tcBorders>
              <w:top w:val="single" w:sz="4" w:space="0" w:color="auto"/>
              <w:left w:val="nil"/>
              <w:bottom w:val="single" w:sz="4" w:space="0" w:color="auto"/>
              <w:right w:val="single" w:sz="4" w:space="0" w:color="auto"/>
            </w:tcBorders>
          </w:tcPr>
          <w:p w14:paraId="5B8F5B10"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5A5677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98D887C"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65482C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 xml:space="preserve">Grand </w:t>
            </w:r>
            <w:r w:rsidRPr="00B04B2E">
              <w:rPr>
                <w:rFonts w:ascii="Times New Roman" w:hAnsi="Times New Roman"/>
                <w:sz w:val="24"/>
                <w:szCs w:val="24"/>
              </w:rPr>
              <w:lastRenderedPageBreak/>
              <w:t>multipara</w:t>
            </w:r>
          </w:p>
        </w:tc>
        <w:tc>
          <w:tcPr>
            <w:tcW w:w="1344" w:type="dxa"/>
            <w:tcBorders>
              <w:top w:val="single" w:sz="4" w:space="0" w:color="auto"/>
              <w:left w:val="nil"/>
              <w:bottom w:val="single" w:sz="4" w:space="0" w:color="auto"/>
              <w:right w:val="single" w:sz="4" w:space="0" w:color="auto"/>
            </w:tcBorders>
            <w:hideMark/>
          </w:tcPr>
          <w:p w14:paraId="232AEFF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95</w:t>
            </w:r>
          </w:p>
        </w:tc>
        <w:tc>
          <w:tcPr>
            <w:tcW w:w="1454" w:type="dxa"/>
            <w:tcBorders>
              <w:top w:val="single" w:sz="4" w:space="0" w:color="auto"/>
              <w:left w:val="nil"/>
              <w:bottom w:val="single" w:sz="4" w:space="0" w:color="auto"/>
              <w:right w:val="single" w:sz="4" w:space="0" w:color="auto"/>
            </w:tcBorders>
            <w:hideMark/>
          </w:tcPr>
          <w:p w14:paraId="41452D4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(74.20)</w:t>
            </w:r>
          </w:p>
        </w:tc>
        <w:tc>
          <w:tcPr>
            <w:tcW w:w="1344" w:type="dxa"/>
            <w:tcBorders>
              <w:top w:val="single" w:sz="4" w:space="0" w:color="auto"/>
              <w:left w:val="nil"/>
              <w:bottom w:val="single" w:sz="4" w:space="0" w:color="auto"/>
              <w:right w:val="single" w:sz="4" w:space="0" w:color="auto"/>
            </w:tcBorders>
            <w:hideMark/>
          </w:tcPr>
          <w:p w14:paraId="15E5CB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33</w:t>
            </w:r>
          </w:p>
        </w:tc>
        <w:tc>
          <w:tcPr>
            <w:tcW w:w="1454" w:type="dxa"/>
            <w:tcBorders>
              <w:top w:val="single" w:sz="4" w:space="0" w:color="auto"/>
              <w:left w:val="nil"/>
              <w:bottom w:val="single" w:sz="4" w:space="0" w:color="auto"/>
              <w:right w:val="single" w:sz="4" w:space="0" w:color="auto"/>
            </w:tcBorders>
            <w:hideMark/>
          </w:tcPr>
          <w:p w14:paraId="2BBD439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(25.80)</w:t>
            </w:r>
          </w:p>
        </w:tc>
        <w:tc>
          <w:tcPr>
            <w:tcW w:w="971" w:type="dxa"/>
            <w:tcBorders>
              <w:top w:val="single" w:sz="4" w:space="0" w:color="auto"/>
              <w:left w:val="nil"/>
              <w:bottom w:val="single" w:sz="4" w:space="0" w:color="auto"/>
              <w:right w:val="single" w:sz="4" w:space="0" w:color="auto"/>
            </w:tcBorders>
          </w:tcPr>
          <w:p w14:paraId="16D60FDC"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D2B19E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C75086E" w14:textId="77777777" w:rsidTr="006726CF">
        <w:trPr>
          <w:trHeight w:val="305"/>
        </w:trPr>
        <w:tc>
          <w:tcPr>
            <w:tcW w:w="4520" w:type="dxa"/>
            <w:gridSpan w:val="3"/>
            <w:tcBorders>
              <w:top w:val="single" w:sz="4" w:space="0" w:color="auto"/>
              <w:left w:val="single" w:sz="4" w:space="0" w:color="auto"/>
              <w:bottom w:val="single" w:sz="4" w:space="0" w:color="auto"/>
              <w:right w:val="single" w:sz="4" w:space="0" w:color="auto"/>
            </w:tcBorders>
            <w:hideMark/>
          </w:tcPr>
          <w:p w14:paraId="75B9E7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Booking status</w:t>
            </w:r>
          </w:p>
        </w:tc>
        <w:tc>
          <w:tcPr>
            <w:tcW w:w="1344" w:type="dxa"/>
            <w:tcBorders>
              <w:top w:val="single" w:sz="4" w:space="0" w:color="auto"/>
              <w:left w:val="nil"/>
              <w:bottom w:val="single" w:sz="4" w:space="0" w:color="auto"/>
              <w:right w:val="single" w:sz="4" w:space="0" w:color="auto"/>
            </w:tcBorders>
          </w:tcPr>
          <w:p w14:paraId="77F3B76C"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5BD0AFD5"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6FF6531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46.706</w:t>
            </w:r>
          </w:p>
        </w:tc>
        <w:tc>
          <w:tcPr>
            <w:tcW w:w="1058" w:type="dxa"/>
            <w:tcBorders>
              <w:top w:val="single" w:sz="4" w:space="0" w:color="auto"/>
              <w:left w:val="nil"/>
              <w:bottom w:val="single" w:sz="4" w:space="0" w:color="auto"/>
              <w:right w:val="single" w:sz="4" w:space="0" w:color="auto"/>
            </w:tcBorders>
            <w:hideMark/>
          </w:tcPr>
          <w:p w14:paraId="57DFB6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17270BE4"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0D126A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w:t>
            </w:r>
          </w:p>
        </w:tc>
        <w:tc>
          <w:tcPr>
            <w:tcW w:w="1344" w:type="dxa"/>
            <w:tcBorders>
              <w:top w:val="single" w:sz="4" w:space="0" w:color="auto"/>
              <w:left w:val="nil"/>
              <w:bottom w:val="single" w:sz="4" w:space="0" w:color="auto"/>
              <w:right w:val="single" w:sz="4" w:space="0" w:color="auto"/>
            </w:tcBorders>
            <w:hideMark/>
          </w:tcPr>
          <w:p w14:paraId="22C47B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164</w:t>
            </w:r>
          </w:p>
        </w:tc>
        <w:tc>
          <w:tcPr>
            <w:tcW w:w="1454" w:type="dxa"/>
            <w:tcBorders>
              <w:top w:val="single" w:sz="4" w:space="0" w:color="auto"/>
              <w:left w:val="nil"/>
              <w:bottom w:val="single" w:sz="4" w:space="0" w:color="auto"/>
              <w:right w:val="single" w:sz="4" w:space="0" w:color="auto"/>
            </w:tcBorders>
            <w:hideMark/>
          </w:tcPr>
          <w:p w14:paraId="66B39B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(97.00)</w:t>
            </w:r>
          </w:p>
        </w:tc>
        <w:tc>
          <w:tcPr>
            <w:tcW w:w="1344" w:type="dxa"/>
            <w:tcBorders>
              <w:top w:val="single" w:sz="4" w:space="0" w:color="auto"/>
              <w:left w:val="nil"/>
              <w:bottom w:val="single" w:sz="4" w:space="0" w:color="auto"/>
              <w:right w:val="single" w:sz="4" w:space="0" w:color="auto"/>
            </w:tcBorders>
            <w:hideMark/>
          </w:tcPr>
          <w:p w14:paraId="1368A9D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w:t>
            </w:r>
          </w:p>
        </w:tc>
        <w:tc>
          <w:tcPr>
            <w:tcW w:w="1454" w:type="dxa"/>
            <w:tcBorders>
              <w:top w:val="single" w:sz="4" w:space="0" w:color="auto"/>
              <w:left w:val="nil"/>
              <w:bottom w:val="single" w:sz="4" w:space="0" w:color="auto"/>
              <w:right w:val="single" w:sz="4" w:space="0" w:color="auto"/>
            </w:tcBorders>
            <w:hideMark/>
          </w:tcPr>
          <w:p w14:paraId="3147B2E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(3.00)</w:t>
            </w:r>
          </w:p>
        </w:tc>
        <w:tc>
          <w:tcPr>
            <w:tcW w:w="971" w:type="dxa"/>
            <w:tcBorders>
              <w:top w:val="single" w:sz="4" w:space="0" w:color="auto"/>
              <w:left w:val="nil"/>
              <w:bottom w:val="single" w:sz="4" w:space="0" w:color="auto"/>
              <w:right w:val="single" w:sz="4" w:space="0" w:color="auto"/>
            </w:tcBorders>
          </w:tcPr>
          <w:p w14:paraId="26A845E7"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08E88E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EBE4E3F"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FFFFAF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 Elsewhere</w:t>
            </w:r>
          </w:p>
        </w:tc>
        <w:tc>
          <w:tcPr>
            <w:tcW w:w="1344" w:type="dxa"/>
            <w:tcBorders>
              <w:top w:val="single" w:sz="4" w:space="0" w:color="auto"/>
              <w:left w:val="nil"/>
              <w:bottom w:val="single" w:sz="4" w:space="0" w:color="auto"/>
              <w:right w:val="single" w:sz="4" w:space="0" w:color="auto"/>
            </w:tcBorders>
            <w:hideMark/>
          </w:tcPr>
          <w:p w14:paraId="2A4C17C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238</w:t>
            </w:r>
          </w:p>
        </w:tc>
        <w:tc>
          <w:tcPr>
            <w:tcW w:w="1454" w:type="dxa"/>
            <w:tcBorders>
              <w:top w:val="single" w:sz="4" w:space="0" w:color="auto"/>
              <w:left w:val="nil"/>
              <w:bottom w:val="single" w:sz="4" w:space="0" w:color="auto"/>
              <w:right w:val="single" w:sz="4" w:space="0" w:color="auto"/>
            </w:tcBorders>
            <w:hideMark/>
          </w:tcPr>
          <w:p w14:paraId="4439B1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(79.60)</w:t>
            </w:r>
          </w:p>
        </w:tc>
        <w:tc>
          <w:tcPr>
            <w:tcW w:w="1344" w:type="dxa"/>
            <w:tcBorders>
              <w:top w:val="single" w:sz="4" w:space="0" w:color="auto"/>
              <w:left w:val="nil"/>
              <w:bottom w:val="single" w:sz="4" w:space="0" w:color="auto"/>
              <w:right w:val="single" w:sz="4" w:space="0" w:color="auto"/>
            </w:tcBorders>
            <w:hideMark/>
          </w:tcPr>
          <w:p w14:paraId="74678E6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w:t>
            </w:r>
          </w:p>
        </w:tc>
        <w:tc>
          <w:tcPr>
            <w:tcW w:w="1454" w:type="dxa"/>
            <w:tcBorders>
              <w:top w:val="single" w:sz="4" w:space="0" w:color="auto"/>
              <w:left w:val="nil"/>
              <w:bottom w:val="single" w:sz="4" w:space="0" w:color="auto"/>
              <w:right w:val="single" w:sz="4" w:space="0" w:color="auto"/>
            </w:tcBorders>
            <w:hideMark/>
          </w:tcPr>
          <w:p w14:paraId="43CF838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(20.40)</w:t>
            </w:r>
          </w:p>
        </w:tc>
        <w:tc>
          <w:tcPr>
            <w:tcW w:w="971" w:type="dxa"/>
            <w:tcBorders>
              <w:top w:val="single" w:sz="4" w:space="0" w:color="auto"/>
              <w:left w:val="nil"/>
              <w:bottom w:val="single" w:sz="4" w:space="0" w:color="auto"/>
              <w:right w:val="single" w:sz="4" w:space="0" w:color="auto"/>
            </w:tcBorders>
          </w:tcPr>
          <w:p w14:paraId="0AF49D3F"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654121E5"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5C6ACAD"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5CC8A9F"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Unbooked</w:t>
            </w:r>
            <w:proofErr w:type="spellEnd"/>
          </w:p>
        </w:tc>
        <w:tc>
          <w:tcPr>
            <w:tcW w:w="1344" w:type="dxa"/>
            <w:tcBorders>
              <w:top w:val="single" w:sz="4" w:space="0" w:color="auto"/>
              <w:left w:val="nil"/>
              <w:bottom w:val="single" w:sz="4" w:space="0" w:color="auto"/>
              <w:right w:val="single" w:sz="4" w:space="0" w:color="auto"/>
            </w:tcBorders>
            <w:hideMark/>
          </w:tcPr>
          <w:p w14:paraId="02EED76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w:t>
            </w:r>
          </w:p>
        </w:tc>
        <w:tc>
          <w:tcPr>
            <w:tcW w:w="1454" w:type="dxa"/>
            <w:tcBorders>
              <w:top w:val="single" w:sz="4" w:space="0" w:color="auto"/>
              <w:left w:val="nil"/>
              <w:bottom w:val="single" w:sz="4" w:space="0" w:color="auto"/>
              <w:right w:val="single" w:sz="4" w:space="0" w:color="auto"/>
            </w:tcBorders>
            <w:hideMark/>
          </w:tcPr>
          <w:p w14:paraId="1FCA0B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(55.60)</w:t>
            </w:r>
          </w:p>
        </w:tc>
        <w:tc>
          <w:tcPr>
            <w:tcW w:w="1344" w:type="dxa"/>
            <w:tcBorders>
              <w:top w:val="single" w:sz="4" w:space="0" w:color="auto"/>
              <w:left w:val="nil"/>
              <w:bottom w:val="single" w:sz="4" w:space="0" w:color="auto"/>
              <w:right w:val="single" w:sz="4" w:space="0" w:color="auto"/>
            </w:tcBorders>
            <w:hideMark/>
          </w:tcPr>
          <w:p w14:paraId="251B436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w:t>
            </w:r>
          </w:p>
        </w:tc>
        <w:tc>
          <w:tcPr>
            <w:tcW w:w="1454" w:type="dxa"/>
            <w:tcBorders>
              <w:top w:val="single" w:sz="4" w:space="0" w:color="auto"/>
              <w:left w:val="nil"/>
              <w:bottom w:val="single" w:sz="4" w:space="0" w:color="auto"/>
              <w:right w:val="single" w:sz="4" w:space="0" w:color="auto"/>
            </w:tcBorders>
            <w:hideMark/>
          </w:tcPr>
          <w:p w14:paraId="21F645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(44.40)</w:t>
            </w:r>
          </w:p>
        </w:tc>
        <w:tc>
          <w:tcPr>
            <w:tcW w:w="971" w:type="dxa"/>
            <w:tcBorders>
              <w:top w:val="single" w:sz="4" w:space="0" w:color="auto"/>
              <w:left w:val="nil"/>
              <w:bottom w:val="single" w:sz="4" w:space="0" w:color="auto"/>
              <w:right w:val="single" w:sz="4" w:space="0" w:color="auto"/>
            </w:tcBorders>
          </w:tcPr>
          <w:p w14:paraId="7FDCB81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18F694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56E556C"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1DB213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GA at delivery (weeks)</w:t>
            </w:r>
          </w:p>
        </w:tc>
        <w:tc>
          <w:tcPr>
            <w:tcW w:w="1344" w:type="dxa"/>
            <w:tcBorders>
              <w:top w:val="single" w:sz="4" w:space="0" w:color="auto"/>
              <w:left w:val="nil"/>
              <w:bottom w:val="single" w:sz="4" w:space="0" w:color="auto"/>
              <w:right w:val="single" w:sz="4" w:space="0" w:color="auto"/>
            </w:tcBorders>
          </w:tcPr>
          <w:p w14:paraId="3E95456B"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7F94F3EE"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105EFE67"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7528285"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2365FEA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43.025</w:t>
            </w:r>
          </w:p>
        </w:tc>
        <w:tc>
          <w:tcPr>
            <w:tcW w:w="1058" w:type="dxa"/>
            <w:tcBorders>
              <w:top w:val="single" w:sz="4" w:space="0" w:color="auto"/>
              <w:left w:val="nil"/>
              <w:bottom w:val="single" w:sz="4" w:space="0" w:color="auto"/>
              <w:right w:val="single" w:sz="4" w:space="0" w:color="auto"/>
            </w:tcBorders>
            <w:hideMark/>
          </w:tcPr>
          <w:p w14:paraId="1AE6704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697C8531"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4CFCCD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&lt;28</w:t>
            </w:r>
          </w:p>
        </w:tc>
        <w:tc>
          <w:tcPr>
            <w:tcW w:w="1344" w:type="dxa"/>
            <w:tcBorders>
              <w:top w:val="single" w:sz="4" w:space="0" w:color="auto"/>
              <w:left w:val="nil"/>
              <w:bottom w:val="single" w:sz="4" w:space="0" w:color="auto"/>
              <w:right w:val="single" w:sz="4" w:space="0" w:color="auto"/>
            </w:tcBorders>
            <w:hideMark/>
          </w:tcPr>
          <w:p w14:paraId="72F29F0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w:t>
            </w:r>
          </w:p>
        </w:tc>
        <w:tc>
          <w:tcPr>
            <w:tcW w:w="1454" w:type="dxa"/>
            <w:tcBorders>
              <w:top w:val="single" w:sz="4" w:space="0" w:color="auto"/>
              <w:left w:val="nil"/>
              <w:bottom w:val="single" w:sz="4" w:space="0" w:color="auto"/>
              <w:right w:val="single" w:sz="4" w:space="0" w:color="auto"/>
            </w:tcBorders>
            <w:hideMark/>
          </w:tcPr>
          <w:p w14:paraId="60CB0B6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(0.00)</w:t>
            </w:r>
          </w:p>
        </w:tc>
        <w:tc>
          <w:tcPr>
            <w:tcW w:w="1344" w:type="dxa"/>
            <w:tcBorders>
              <w:top w:val="single" w:sz="4" w:space="0" w:color="auto"/>
              <w:left w:val="nil"/>
              <w:bottom w:val="single" w:sz="4" w:space="0" w:color="auto"/>
              <w:right w:val="single" w:sz="4" w:space="0" w:color="auto"/>
            </w:tcBorders>
            <w:hideMark/>
          </w:tcPr>
          <w:p w14:paraId="688276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w:t>
            </w:r>
          </w:p>
        </w:tc>
        <w:tc>
          <w:tcPr>
            <w:tcW w:w="1454" w:type="dxa"/>
            <w:tcBorders>
              <w:top w:val="single" w:sz="4" w:space="0" w:color="auto"/>
              <w:left w:val="nil"/>
              <w:bottom w:val="single" w:sz="4" w:space="0" w:color="auto"/>
              <w:right w:val="single" w:sz="4" w:space="0" w:color="auto"/>
            </w:tcBorders>
            <w:hideMark/>
          </w:tcPr>
          <w:p w14:paraId="701AD3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(100.00)</w:t>
            </w:r>
          </w:p>
        </w:tc>
        <w:tc>
          <w:tcPr>
            <w:tcW w:w="971" w:type="dxa"/>
            <w:tcBorders>
              <w:top w:val="single" w:sz="4" w:space="0" w:color="auto"/>
              <w:left w:val="nil"/>
              <w:bottom w:val="single" w:sz="4" w:space="0" w:color="auto"/>
              <w:right w:val="single" w:sz="4" w:space="0" w:color="auto"/>
            </w:tcBorders>
          </w:tcPr>
          <w:p w14:paraId="502418F9"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3DEE825"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A2D183D"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90E9A0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28-36</w:t>
            </w:r>
          </w:p>
        </w:tc>
        <w:tc>
          <w:tcPr>
            <w:tcW w:w="1344" w:type="dxa"/>
            <w:tcBorders>
              <w:top w:val="single" w:sz="4" w:space="0" w:color="auto"/>
              <w:left w:val="nil"/>
              <w:bottom w:val="single" w:sz="4" w:space="0" w:color="auto"/>
              <w:right w:val="single" w:sz="4" w:space="0" w:color="auto"/>
            </w:tcBorders>
            <w:hideMark/>
          </w:tcPr>
          <w:p w14:paraId="703776E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100</w:t>
            </w:r>
          </w:p>
        </w:tc>
        <w:tc>
          <w:tcPr>
            <w:tcW w:w="1454" w:type="dxa"/>
            <w:tcBorders>
              <w:top w:val="single" w:sz="4" w:space="0" w:color="auto"/>
              <w:left w:val="nil"/>
              <w:bottom w:val="single" w:sz="4" w:space="0" w:color="auto"/>
              <w:right w:val="single" w:sz="4" w:space="0" w:color="auto"/>
            </w:tcBorders>
            <w:hideMark/>
          </w:tcPr>
          <w:p w14:paraId="1AD9418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(73.00)</w:t>
            </w:r>
          </w:p>
        </w:tc>
        <w:tc>
          <w:tcPr>
            <w:tcW w:w="1344" w:type="dxa"/>
            <w:tcBorders>
              <w:top w:val="single" w:sz="4" w:space="0" w:color="auto"/>
              <w:left w:val="nil"/>
              <w:bottom w:val="single" w:sz="4" w:space="0" w:color="auto"/>
              <w:right w:val="single" w:sz="4" w:space="0" w:color="auto"/>
            </w:tcBorders>
            <w:hideMark/>
          </w:tcPr>
          <w:p w14:paraId="1BB3A82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w:t>
            </w:r>
          </w:p>
        </w:tc>
        <w:tc>
          <w:tcPr>
            <w:tcW w:w="1454" w:type="dxa"/>
            <w:tcBorders>
              <w:top w:val="single" w:sz="4" w:space="0" w:color="auto"/>
              <w:left w:val="nil"/>
              <w:bottom w:val="single" w:sz="4" w:space="0" w:color="auto"/>
              <w:right w:val="single" w:sz="4" w:space="0" w:color="auto"/>
            </w:tcBorders>
            <w:hideMark/>
          </w:tcPr>
          <w:p w14:paraId="56464D9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(27.00)</w:t>
            </w:r>
          </w:p>
        </w:tc>
        <w:tc>
          <w:tcPr>
            <w:tcW w:w="971" w:type="dxa"/>
            <w:tcBorders>
              <w:top w:val="single" w:sz="4" w:space="0" w:color="auto"/>
              <w:left w:val="nil"/>
              <w:bottom w:val="single" w:sz="4" w:space="0" w:color="auto"/>
              <w:right w:val="single" w:sz="4" w:space="0" w:color="auto"/>
            </w:tcBorders>
          </w:tcPr>
          <w:p w14:paraId="621B4B8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C2D8AA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D4B9C75"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F07A16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37-42</w:t>
            </w:r>
          </w:p>
        </w:tc>
        <w:tc>
          <w:tcPr>
            <w:tcW w:w="1344" w:type="dxa"/>
            <w:tcBorders>
              <w:top w:val="single" w:sz="4" w:space="0" w:color="auto"/>
              <w:left w:val="nil"/>
              <w:bottom w:val="single" w:sz="4" w:space="0" w:color="auto"/>
              <w:right w:val="single" w:sz="4" w:space="0" w:color="auto"/>
            </w:tcBorders>
            <w:hideMark/>
          </w:tcPr>
          <w:p w14:paraId="62C7733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312</w:t>
            </w:r>
          </w:p>
        </w:tc>
        <w:tc>
          <w:tcPr>
            <w:tcW w:w="1454" w:type="dxa"/>
            <w:tcBorders>
              <w:top w:val="single" w:sz="4" w:space="0" w:color="auto"/>
              <w:left w:val="nil"/>
              <w:bottom w:val="single" w:sz="4" w:space="0" w:color="auto"/>
              <w:right w:val="single" w:sz="4" w:space="0" w:color="auto"/>
            </w:tcBorders>
            <w:hideMark/>
          </w:tcPr>
          <w:p w14:paraId="189CB30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(89.40)</w:t>
            </w:r>
          </w:p>
        </w:tc>
        <w:tc>
          <w:tcPr>
            <w:tcW w:w="1344" w:type="dxa"/>
            <w:tcBorders>
              <w:top w:val="single" w:sz="4" w:space="0" w:color="auto"/>
              <w:left w:val="nil"/>
              <w:bottom w:val="single" w:sz="4" w:space="0" w:color="auto"/>
              <w:right w:val="single" w:sz="4" w:space="0" w:color="auto"/>
            </w:tcBorders>
            <w:hideMark/>
          </w:tcPr>
          <w:p w14:paraId="4E8C81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w:t>
            </w:r>
          </w:p>
        </w:tc>
        <w:tc>
          <w:tcPr>
            <w:tcW w:w="1454" w:type="dxa"/>
            <w:tcBorders>
              <w:top w:val="single" w:sz="4" w:space="0" w:color="auto"/>
              <w:left w:val="nil"/>
              <w:bottom w:val="single" w:sz="4" w:space="0" w:color="auto"/>
              <w:right w:val="single" w:sz="4" w:space="0" w:color="auto"/>
            </w:tcBorders>
            <w:hideMark/>
          </w:tcPr>
          <w:p w14:paraId="7F58F4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(10.60)</w:t>
            </w:r>
          </w:p>
        </w:tc>
        <w:tc>
          <w:tcPr>
            <w:tcW w:w="971" w:type="dxa"/>
            <w:tcBorders>
              <w:top w:val="single" w:sz="4" w:space="0" w:color="auto"/>
              <w:left w:val="nil"/>
              <w:bottom w:val="single" w:sz="4" w:space="0" w:color="auto"/>
              <w:right w:val="single" w:sz="4" w:space="0" w:color="auto"/>
            </w:tcBorders>
          </w:tcPr>
          <w:p w14:paraId="1299E3F0"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34CA3B2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4874653"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8BE202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&gt;42</w:t>
            </w:r>
          </w:p>
        </w:tc>
        <w:tc>
          <w:tcPr>
            <w:tcW w:w="1344" w:type="dxa"/>
            <w:tcBorders>
              <w:top w:val="single" w:sz="4" w:space="0" w:color="auto"/>
              <w:left w:val="nil"/>
              <w:bottom w:val="single" w:sz="4" w:space="0" w:color="auto"/>
              <w:right w:val="single" w:sz="4" w:space="0" w:color="auto"/>
            </w:tcBorders>
            <w:hideMark/>
          </w:tcPr>
          <w:p w14:paraId="60E538D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w:t>
            </w:r>
          </w:p>
        </w:tc>
        <w:tc>
          <w:tcPr>
            <w:tcW w:w="1454" w:type="dxa"/>
            <w:tcBorders>
              <w:top w:val="single" w:sz="4" w:space="0" w:color="auto"/>
              <w:left w:val="nil"/>
              <w:bottom w:val="single" w:sz="4" w:space="0" w:color="auto"/>
              <w:right w:val="single" w:sz="4" w:space="0" w:color="auto"/>
            </w:tcBorders>
            <w:hideMark/>
          </w:tcPr>
          <w:p w14:paraId="54C339F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(90.90)</w:t>
            </w:r>
          </w:p>
        </w:tc>
        <w:tc>
          <w:tcPr>
            <w:tcW w:w="1344" w:type="dxa"/>
            <w:tcBorders>
              <w:top w:val="single" w:sz="4" w:space="0" w:color="auto"/>
              <w:left w:val="nil"/>
              <w:bottom w:val="single" w:sz="4" w:space="0" w:color="auto"/>
              <w:right w:val="single" w:sz="4" w:space="0" w:color="auto"/>
            </w:tcBorders>
            <w:hideMark/>
          </w:tcPr>
          <w:p w14:paraId="6092D39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454" w:type="dxa"/>
            <w:tcBorders>
              <w:top w:val="single" w:sz="4" w:space="0" w:color="auto"/>
              <w:left w:val="nil"/>
              <w:bottom w:val="single" w:sz="4" w:space="0" w:color="auto"/>
              <w:right w:val="single" w:sz="4" w:space="0" w:color="auto"/>
            </w:tcBorders>
            <w:hideMark/>
          </w:tcPr>
          <w:p w14:paraId="7BCBA65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(9.10)</w:t>
            </w:r>
          </w:p>
        </w:tc>
        <w:tc>
          <w:tcPr>
            <w:tcW w:w="971" w:type="dxa"/>
            <w:tcBorders>
              <w:top w:val="single" w:sz="4" w:space="0" w:color="auto"/>
              <w:left w:val="nil"/>
              <w:bottom w:val="single" w:sz="4" w:space="0" w:color="auto"/>
              <w:right w:val="single" w:sz="4" w:space="0" w:color="auto"/>
            </w:tcBorders>
          </w:tcPr>
          <w:p w14:paraId="4EBA1035"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30C939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029473A"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4A1ADA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Mode of delivery</w:t>
            </w:r>
          </w:p>
        </w:tc>
        <w:tc>
          <w:tcPr>
            <w:tcW w:w="1344" w:type="dxa"/>
            <w:tcBorders>
              <w:top w:val="single" w:sz="4" w:space="0" w:color="auto"/>
              <w:left w:val="nil"/>
              <w:bottom w:val="single" w:sz="4" w:space="0" w:color="auto"/>
              <w:right w:val="single" w:sz="4" w:space="0" w:color="auto"/>
            </w:tcBorders>
          </w:tcPr>
          <w:p w14:paraId="798FAECA"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18317465"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3C4B07A8"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5717E04"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0DFC2BF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38.332</w:t>
            </w:r>
          </w:p>
        </w:tc>
        <w:tc>
          <w:tcPr>
            <w:tcW w:w="1058" w:type="dxa"/>
            <w:tcBorders>
              <w:top w:val="single" w:sz="4" w:space="0" w:color="auto"/>
              <w:left w:val="nil"/>
              <w:bottom w:val="single" w:sz="4" w:space="0" w:color="auto"/>
              <w:right w:val="single" w:sz="4" w:space="0" w:color="auto"/>
            </w:tcBorders>
            <w:hideMark/>
          </w:tcPr>
          <w:p w14:paraId="1E2F1AF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3FD9EC49"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1A9E2DF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SVD</w:t>
            </w:r>
          </w:p>
        </w:tc>
        <w:tc>
          <w:tcPr>
            <w:tcW w:w="1344" w:type="dxa"/>
            <w:tcBorders>
              <w:top w:val="single" w:sz="4" w:space="0" w:color="auto"/>
              <w:left w:val="nil"/>
              <w:bottom w:val="single" w:sz="4" w:space="0" w:color="auto"/>
              <w:right w:val="single" w:sz="4" w:space="0" w:color="auto"/>
            </w:tcBorders>
            <w:hideMark/>
          </w:tcPr>
          <w:p w14:paraId="4156823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185</w:t>
            </w:r>
          </w:p>
        </w:tc>
        <w:tc>
          <w:tcPr>
            <w:tcW w:w="1454" w:type="dxa"/>
            <w:tcBorders>
              <w:top w:val="single" w:sz="4" w:space="0" w:color="auto"/>
              <w:left w:val="nil"/>
              <w:bottom w:val="single" w:sz="4" w:space="0" w:color="auto"/>
              <w:right w:val="single" w:sz="4" w:space="0" w:color="auto"/>
            </w:tcBorders>
            <w:hideMark/>
          </w:tcPr>
          <w:p w14:paraId="2ECF8E1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(75.20)</w:t>
            </w:r>
          </w:p>
        </w:tc>
        <w:tc>
          <w:tcPr>
            <w:tcW w:w="1344" w:type="dxa"/>
            <w:tcBorders>
              <w:top w:val="single" w:sz="4" w:space="0" w:color="auto"/>
              <w:left w:val="nil"/>
              <w:bottom w:val="single" w:sz="4" w:space="0" w:color="auto"/>
              <w:right w:val="single" w:sz="4" w:space="0" w:color="auto"/>
            </w:tcBorders>
            <w:hideMark/>
          </w:tcPr>
          <w:p w14:paraId="6B8AF51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w:t>
            </w:r>
          </w:p>
        </w:tc>
        <w:tc>
          <w:tcPr>
            <w:tcW w:w="1454" w:type="dxa"/>
            <w:tcBorders>
              <w:top w:val="single" w:sz="4" w:space="0" w:color="auto"/>
              <w:left w:val="nil"/>
              <w:bottom w:val="single" w:sz="4" w:space="0" w:color="auto"/>
              <w:right w:val="single" w:sz="4" w:space="0" w:color="auto"/>
            </w:tcBorders>
            <w:hideMark/>
          </w:tcPr>
          <w:p w14:paraId="4CE8C93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(24.80)</w:t>
            </w:r>
          </w:p>
        </w:tc>
        <w:tc>
          <w:tcPr>
            <w:tcW w:w="971" w:type="dxa"/>
            <w:tcBorders>
              <w:top w:val="single" w:sz="4" w:space="0" w:color="auto"/>
              <w:left w:val="nil"/>
              <w:bottom w:val="single" w:sz="4" w:space="0" w:color="auto"/>
              <w:right w:val="single" w:sz="4" w:space="0" w:color="auto"/>
            </w:tcBorders>
          </w:tcPr>
          <w:p w14:paraId="197D4CBB"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76F5696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B3050C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64A923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Instrumental delivery</w:t>
            </w:r>
          </w:p>
        </w:tc>
        <w:tc>
          <w:tcPr>
            <w:tcW w:w="1344" w:type="dxa"/>
            <w:tcBorders>
              <w:top w:val="single" w:sz="4" w:space="0" w:color="auto"/>
              <w:left w:val="nil"/>
              <w:bottom w:val="single" w:sz="4" w:space="0" w:color="auto"/>
              <w:right w:val="single" w:sz="4" w:space="0" w:color="auto"/>
            </w:tcBorders>
            <w:hideMark/>
          </w:tcPr>
          <w:p w14:paraId="15D774A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454" w:type="dxa"/>
            <w:tcBorders>
              <w:top w:val="single" w:sz="4" w:space="0" w:color="auto"/>
              <w:left w:val="nil"/>
              <w:bottom w:val="single" w:sz="4" w:space="0" w:color="auto"/>
              <w:right w:val="single" w:sz="4" w:space="0" w:color="auto"/>
            </w:tcBorders>
            <w:hideMark/>
          </w:tcPr>
          <w:p w14:paraId="05A351D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(42.90)</w:t>
            </w:r>
          </w:p>
        </w:tc>
        <w:tc>
          <w:tcPr>
            <w:tcW w:w="1344" w:type="dxa"/>
            <w:tcBorders>
              <w:top w:val="single" w:sz="4" w:space="0" w:color="auto"/>
              <w:left w:val="nil"/>
              <w:bottom w:val="single" w:sz="4" w:space="0" w:color="auto"/>
              <w:right w:val="single" w:sz="4" w:space="0" w:color="auto"/>
            </w:tcBorders>
            <w:hideMark/>
          </w:tcPr>
          <w:p w14:paraId="65873B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454" w:type="dxa"/>
            <w:tcBorders>
              <w:top w:val="single" w:sz="4" w:space="0" w:color="auto"/>
              <w:left w:val="nil"/>
              <w:bottom w:val="single" w:sz="4" w:space="0" w:color="auto"/>
              <w:right w:val="single" w:sz="4" w:space="0" w:color="auto"/>
            </w:tcBorders>
            <w:hideMark/>
          </w:tcPr>
          <w:p w14:paraId="0FFFF01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(57.10)</w:t>
            </w:r>
          </w:p>
        </w:tc>
        <w:tc>
          <w:tcPr>
            <w:tcW w:w="971" w:type="dxa"/>
            <w:tcBorders>
              <w:top w:val="single" w:sz="4" w:space="0" w:color="auto"/>
              <w:left w:val="nil"/>
              <w:bottom w:val="single" w:sz="4" w:space="0" w:color="auto"/>
              <w:right w:val="single" w:sz="4" w:space="0" w:color="auto"/>
            </w:tcBorders>
          </w:tcPr>
          <w:p w14:paraId="68AB3364"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0ADF7FA3"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F8CC55B"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798B85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CS</w:t>
            </w:r>
          </w:p>
        </w:tc>
        <w:tc>
          <w:tcPr>
            <w:tcW w:w="1344" w:type="dxa"/>
            <w:tcBorders>
              <w:top w:val="single" w:sz="4" w:space="0" w:color="auto"/>
              <w:left w:val="nil"/>
              <w:bottom w:val="single" w:sz="4" w:space="0" w:color="auto"/>
              <w:right w:val="single" w:sz="4" w:space="0" w:color="auto"/>
            </w:tcBorders>
            <w:hideMark/>
          </w:tcPr>
          <w:p w14:paraId="48E4C2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234</w:t>
            </w:r>
          </w:p>
        </w:tc>
        <w:tc>
          <w:tcPr>
            <w:tcW w:w="1454" w:type="dxa"/>
            <w:tcBorders>
              <w:top w:val="single" w:sz="4" w:space="0" w:color="auto"/>
              <w:left w:val="nil"/>
              <w:bottom w:val="single" w:sz="4" w:space="0" w:color="auto"/>
              <w:right w:val="single" w:sz="4" w:space="0" w:color="auto"/>
            </w:tcBorders>
            <w:hideMark/>
          </w:tcPr>
          <w:p w14:paraId="0B0EA98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(93.20)</w:t>
            </w:r>
          </w:p>
        </w:tc>
        <w:tc>
          <w:tcPr>
            <w:tcW w:w="1344" w:type="dxa"/>
            <w:tcBorders>
              <w:top w:val="single" w:sz="4" w:space="0" w:color="auto"/>
              <w:left w:val="nil"/>
              <w:bottom w:val="single" w:sz="4" w:space="0" w:color="auto"/>
              <w:right w:val="single" w:sz="4" w:space="0" w:color="auto"/>
            </w:tcBorders>
            <w:hideMark/>
          </w:tcPr>
          <w:p w14:paraId="4C8B02C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w:t>
            </w:r>
          </w:p>
        </w:tc>
        <w:tc>
          <w:tcPr>
            <w:tcW w:w="1454" w:type="dxa"/>
            <w:tcBorders>
              <w:top w:val="single" w:sz="4" w:space="0" w:color="auto"/>
              <w:left w:val="nil"/>
              <w:bottom w:val="single" w:sz="4" w:space="0" w:color="auto"/>
              <w:right w:val="single" w:sz="4" w:space="0" w:color="auto"/>
            </w:tcBorders>
            <w:hideMark/>
          </w:tcPr>
          <w:p w14:paraId="0BF6588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(6.80)</w:t>
            </w:r>
          </w:p>
        </w:tc>
        <w:tc>
          <w:tcPr>
            <w:tcW w:w="971" w:type="dxa"/>
            <w:tcBorders>
              <w:top w:val="single" w:sz="4" w:space="0" w:color="auto"/>
              <w:left w:val="nil"/>
              <w:bottom w:val="single" w:sz="4" w:space="0" w:color="auto"/>
              <w:right w:val="single" w:sz="4" w:space="0" w:color="auto"/>
            </w:tcBorders>
          </w:tcPr>
          <w:p w14:paraId="04ADCF91"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B008F7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F0A4074"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567C414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HDP subtypes</w:t>
            </w:r>
          </w:p>
        </w:tc>
        <w:tc>
          <w:tcPr>
            <w:tcW w:w="1344" w:type="dxa"/>
            <w:tcBorders>
              <w:top w:val="single" w:sz="4" w:space="0" w:color="auto"/>
              <w:left w:val="nil"/>
              <w:bottom w:val="single" w:sz="4" w:space="0" w:color="auto"/>
              <w:right w:val="single" w:sz="4" w:space="0" w:color="auto"/>
            </w:tcBorders>
          </w:tcPr>
          <w:p w14:paraId="77E1E995"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30CAE554"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72CC8614"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B40A0CF"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6965DC4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16.201</w:t>
            </w:r>
          </w:p>
        </w:tc>
        <w:tc>
          <w:tcPr>
            <w:tcW w:w="1058" w:type="dxa"/>
            <w:tcBorders>
              <w:top w:val="single" w:sz="4" w:space="0" w:color="auto"/>
              <w:left w:val="nil"/>
              <w:bottom w:val="single" w:sz="4" w:space="0" w:color="auto"/>
              <w:right w:val="single" w:sz="4" w:space="0" w:color="auto"/>
            </w:tcBorders>
            <w:hideMark/>
          </w:tcPr>
          <w:p w14:paraId="03C0305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0.003</w:t>
            </w:r>
          </w:p>
        </w:tc>
      </w:tr>
      <w:tr w:rsidR="006726CF" w:rsidRPr="00B04B2E" w14:paraId="57835A6F"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757A8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PIH</w:t>
            </w:r>
          </w:p>
        </w:tc>
        <w:tc>
          <w:tcPr>
            <w:tcW w:w="1344" w:type="dxa"/>
            <w:tcBorders>
              <w:top w:val="single" w:sz="4" w:space="0" w:color="auto"/>
              <w:left w:val="nil"/>
              <w:bottom w:val="single" w:sz="4" w:space="0" w:color="auto"/>
              <w:right w:val="single" w:sz="4" w:space="0" w:color="auto"/>
            </w:tcBorders>
            <w:hideMark/>
          </w:tcPr>
          <w:p w14:paraId="08F030A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154</w:t>
            </w:r>
          </w:p>
        </w:tc>
        <w:tc>
          <w:tcPr>
            <w:tcW w:w="1454" w:type="dxa"/>
            <w:tcBorders>
              <w:top w:val="single" w:sz="4" w:space="0" w:color="auto"/>
              <w:left w:val="nil"/>
              <w:bottom w:val="single" w:sz="4" w:space="0" w:color="auto"/>
              <w:right w:val="single" w:sz="4" w:space="0" w:color="auto"/>
            </w:tcBorders>
            <w:hideMark/>
          </w:tcPr>
          <w:p w14:paraId="018724A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(88.5)</w:t>
            </w:r>
          </w:p>
        </w:tc>
        <w:tc>
          <w:tcPr>
            <w:tcW w:w="1344" w:type="dxa"/>
            <w:tcBorders>
              <w:top w:val="single" w:sz="4" w:space="0" w:color="auto"/>
              <w:left w:val="nil"/>
              <w:bottom w:val="single" w:sz="4" w:space="0" w:color="auto"/>
              <w:right w:val="single" w:sz="4" w:space="0" w:color="auto"/>
            </w:tcBorders>
            <w:hideMark/>
          </w:tcPr>
          <w:p w14:paraId="3896C88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w:t>
            </w:r>
          </w:p>
        </w:tc>
        <w:tc>
          <w:tcPr>
            <w:tcW w:w="1454" w:type="dxa"/>
            <w:tcBorders>
              <w:top w:val="single" w:sz="4" w:space="0" w:color="auto"/>
              <w:left w:val="nil"/>
              <w:bottom w:val="single" w:sz="4" w:space="0" w:color="auto"/>
              <w:right w:val="single" w:sz="4" w:space="0" w:color="auto"/>
            </w:tcBorders>
            <w:hideMark/>
          </w:tcPr>
          <w:p w14:paraId="0B98C2E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(11.5)</w:t>
            </w:r>
          </w:p>
        </w:tc>
        <w:tc>
          <w:tcPr>
            <w:tcW w:w="971" w:type="dxa"/>
            <w:tcBorders>
              <w:top w:val="single" w:sz="4" w:space="0" w:color="auto"/>
              <w:left w:val="nil"/>
              <w:bottom w:val="single" w:sz="4" w:space="0" w:color="auto"/>
              <w:right w:val="single" w:sz="4" w:space="0" w:color="auto"/>
            </w:tcBorders>
          </w:tcPr>
          <w:p w14:paraId="7E7A22FB"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E9CFC2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976EC3D"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531397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PE/SPE</w:t>
            </w:r>
          </w:p>
        </w:tc>
        <w:tc>
          <w:tcPr>
            <w:tcW w:w="1344" w:type="dxa"/>
            <w:tcBorders>
              <w:top w:val="single" w:sz="4" w:space="0" w:color="auto"/>
              <w:left w:val="nil"/>
              <w:bottom w:val="single" w:sz="4" w:space="0" w:color="auto"/>
              <w:right w:val="single" w:sz="4" w:space="0" w:color="auto"/>
            </w:tcBorders>
            <w:hideMark/>
          </w:tcPr>
          <w:p w14:paraId="2C76DF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142</w:t>
            </w:r>
          </w:p>
        </w:tc>
        <w:tc>
          <w:tcPr>
            <w:tcW w:w="1454" w:type="dxa"/>
            <w:tcBorders>
              <w:top w:val="single" w:sz="4" w:space="0" w:color="auto"/>
              <w:left w:val="nil"/>
              <w:bottom w:val="single" w:sz="4" w:space="0" w:color="auto"/>
              <w:right w:val="single" w:sz="4" w:space="0" w:color="auto"/>
            </w:tcBorders>
            <w:hideMark/>
          </w:tcPr>
          <w:p w14:paraId="6765435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(80.7)</w:t>
            </w:r>
          </w:p>
        </w:tc>
        <w:tc>
          <w:tcPr>
            <w:tcW w:w="1344" w:type="dxa"/>
            <w:tcBorders>
              <w:top w:val="single" w:sz="4" w:space="0" w:color="auto"/>
              <w:left w:val="nil"/>
              <w:bottom w:val="single" w:sz="4" w:space="0" w:color="auto"/>
              <w:right w:val="single" w:sz="4" w:space="0" w:color="auto"/>
            </w:tcBorders>
            <w:hideMark/>
          </w:tcPr>
          <w:p w14:paraId="32D541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w:t>
            </w:r>
          </w:p>
        </w:tc>
        <w:tc>
          <w:tcPr>
            <w:tcW w:w="1454" w:type="dxa"/>
            <w:tcBorders>
              <w:top w:val="single" w:sz="4" w:space="0" w:color="auto"/>
              <w:left w:val="nil"/>
              <w:bottom w:val="single" w:sz="4" w:space="0" w:color="auto"/>
              <w:right w:val="single" w:sz="4" w:space="0" w:color="auto"/>
            </w:tcBorders>
            <w:hideMark/>
          </w:tcPr>
          <w:p w14:paraId="3A2CEDB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(19.3)</w:t>
            </w:r>
          </w:p>
        </w:tc>
        <w:tc>
          <w:tcPr>
            <w:tcW w:w="971" w:type="dxa"/>
            <w:tcBorders>
              <w:top w:val="single" w:sz="4" w:space="0" w:color="auto"/>
              <w:left w:val="nil"/>
              <w:bottom w:val="single" w:sz="4" w:space="0" w:color="auto"/>
              <w:right w:val="single" w:sz="4" w:space="0" w:color="auto"/>
            </w:tcBorders>
          </w:tcPr>
          <w:p w14:paraId="68A800C2"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03201AC"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3BC73B9"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1251C85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w:t>
            </w:r>
          </w:p>
        </w:tc>
        <w:tc>
          <w:tcPr>
            <w:tcW w:w="1344" w:type="dxa"/>
            <w:tcBorders>
              <w:top w:val="single" w:sz="4" w:space="0" w:color="auto"/>
              <w:left w:val="nil"/>
              <w:bottom w:val="single" w:sz="4" w:space="0" w:color="auto"/>
              <w:right w:val="single" w:sz="4" w:space="0" w:color="auto"/>
            </w:tcBorders>
            <w:hideMark/>
          </w:tcPr>
          <w:p w14:paraId="667E6AF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46</w:t>
            </w:r>
          </w:p>
        </w:tc>
        <w:tc>
          <w:tcPr>
            <w:tcW w:w="1454" w:type="dxa"/>
            <w:tcBorders>
              <w:top w:val="single" w:sz="4" w:space="0" w:color="auto"/>
              <w:left w:val="nil"/>
              <w:bottom w:val="single" w:sz="4" w:space="0" w:color="auto"/>
              <w:right w:val="single" w:sz="4" w:space="0" w:color="auto"/>
            </w:tcBorders>
            <w:hideMark/>
          </w:tcPr>
          <w:p w14:paraId="1ADA97F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(95.8)</w:t>
            </w:r>
          </w:p>
        </w:tc>
        <w:tc>
          <w:tcPr>
            <w:tcW w:w="1344" w:type="dxa"/>
            <w:tcBorders>
              <w:top w:val="single" w:sz="4" w:space="0" w:color="auto"/>
              <w:left w:val="nil"/>
              <w:bottom w:val="single" w:sz="4" w:space="0" w:color="auto"/>
              <w:right w:val="single" w:sz="4" w:space="0" w:color="auto"/>
            </w:tcBorders>
            <w:hideMark/>
          </w:tcPr>
          <w:p w14:paraId="4F05B45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454" w:type="dxa"/>
            <w:tcBorders>
              <w:top w:val="single" w:sz="4" w:space="0" w:color="auto"/>
              <w:left w:val="nil"/>
              <w:bottom w:val="single" w:sz="4" w:space="0" w:color="auto"/>
              <w:right w:val="single" w:sz="4" w:space="0" w:color="auto"/>
            </w:tcBorders>
            <w:hideMark/>
          </w:tcPr>
          <w:p w14:paraId="28E3D82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w:t>
            </w:r>
          </w:p>
        </w:tc>
        <w:tc>
          <w:tcPr>
            <w:tcW w:w="971" w:type="dxa"/>
            <w:tcBorders>
              <w:top w:val="single" w:sz="4" w:space="0" w:color="auto"/>
              <w:left w:val="nil"/>
              <w:bottom w:val="single" w:sz="4" w:space="0" w:color="auto"/>
              <w:right w:val="single" w:sz="4" w:space="0" w:color="auto"/>
            </w:tcBorders>
          </w:tcPr>
          <w:p w14:paraId="47E91222"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3698FB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D4F88A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FB031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 + SSPE</w:t>
            </w:r>
          </w:p>
        </w:tc>
        <w:tc>
          <w:tcPr>
            <w:tcW w:w="1344" w:type="dxa"/>
            <w:tcBorders>
              <w:top w:val="single" w:sz="4" w:space="0" w:color="auto"/>
              <w:left w:val="nil"/>
              <w:bottom w:val="single" w:sz="4" w:space="0" w:color="auto"/>
              <w:right w:val="single" w:sz="4" w:space="0" w:color="auto"/>
            </w:tcBorders>
            <w:hideMark/>
          </w:tcPr>
          <w:p w14:paraId="6573B57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19</w:t>
            </w:r>
          </w:p>
        </w:tc>
        <w:tc>
          <w:tcPr>
            <w:tcW w:w="1454" w:type="dxa"/>
            <w:tcBorders>
              <w:top w:val="single" w:sz="4" w:space="0" w:color="auto"/>
              <w:left w:val="nil"/>
              <w:bottom w:val="single" w:sz="4" w:space="0" w:color="auto"/>
              <w:right w:val="single" w:sz="4" w:space="0" w:color="auto"/>
            </w:tcBorders>
            <w:hideMark/>
          </w:tcPr>
          <w:p w14:paraId="2305FD0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(67.9)</w:t>
            </w:r>
          </w:p>
        </w:tc>
        <w:tc>
          <w:tcPr>
            <w:tcW w:w="1344" w:type="dxa"/>
            <w:tcBorders>
              <w:top w:val="single" w:sz="4" w:space="0" w:color="auto"/>
              <w:left w:val="nil"/>
              <w:bottom w:val="single" w:sz="4" w:space="0" w:color="auto"/>
              <w:right w:val="single" w:sz="4" w:space="0" w:color="auto"/>
            </w:tcBorders>
            <w:hideMark/>
          </w:tcPr>
          <w:p w14:paraId="37C820F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w:t>
            </w:r>
          </w:p>
        </w:tc>
        <w:tc>
          <w:tcPr>
            <w:tcW w:w="1454" w:type="dxa"/>
            <w:tcBorders>
              <w:top w:val="single" w:sz="4" w:space="0" w:color="auto"/>
              <w:left w:val="nil"/>
              <w:bottom w:val="single" w:sz="4" w:space="0" w:color="auto"/>
              <w:right w:val="single" w:sz="4" w:space="0" w:color="auto"/>
            </w:tcBorders>
            <w:hideMark/>
          </w:tcPr>
          <w:p w14:paraId="13A4E15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(32.1)</w:t>
            </w:r>
          </w:p>
        </w:tc>
        <w:tc>
          <w:tcPr>
            <w:tcW w:w="971" w:type="dxa"/>
            <w:tcBorders>
              <w:top w:val="single" w:sz="4" w:space="0" w:color="auto"/>
              <w:left w:val="nil"/>
              <w:bottom w:val="single" w:sz="4" w:space="0" w:color="auto"/>
              <w:right w:val="single" w:sz="4" w:space="0" w:color="auto"/>
            </w:tcBorders>
          </w:tcPr>
          <w:p w14:paraId="3765C95B"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6EA807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861E82A"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F3B7C8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w:t>
            </w:r>
          </w:p>
        </w:tc>
        <w:tc>
          <w:tcPr>
            <w:tcW w:w="1344" w:type="dxa"/>
            <w:tcBorders>
              <w:top w:val="single" w:sz="4" w:space="0" w:color="auto"/>
              <w:left w:val="nil"/>
              <w:bottom w:val="single" w:sz="4" w:space="0" w:color="auto"/>
              <w:right w:val="single" w:sz="4" w:space="0" w:color="auto"/>
            </w:tcBorders>
            <w:hideMark/>
          </w:tcPr>
          <w:p w14:paraId="5825816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w:t>
            </w:r>
          </w:p>
        </w:tc>
        <w:tc>
          <w:tcPr>
            <w:tcW w:w="1454" w:type="dxa"/>
            <w:tcBorders>
              <w:top w:val="single" w:sz="4" w:space="0" w:color="auto"/>
              <w:left w:val="nil"/>
              <w:bottom w:val="single" w:sz="4" w:space="0" w:color="auto"/>
              <w:right w:val="single" w:sz="4" w:space="0" w:color="auto"/>
            </w:tcBorders>
            <w:hideMark/>
          </w:tcPr>
          <w:p w14:paraId="31E1A94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(78.2)</w:t>
            </w:r>
          </w:p>
        </w:tc>
        <w:tc>
          <w:tcPr>
            <w:tcW w:w="1344" w:type="dxa"/>
            <w:tcBorders>
              <w:top w:val="single" w:sz="4" w:space="0" w:color="auto"/>
              <w:left w:val="nil"/>
              <w:bottom w:val="single" w:sz="4" w:space="0" w:color="auto"/>
              <w:right w:val="single" w:sz="4" w:space="0" w:color="auto"/>
            </w:tcBorders>
            <w:hideMark/>
          </w:tcPr>
          <w:p w14:paraId="3927DB5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w:t>
            </w:r>
          </w:p>
        </w:tc>
        <w:tc>
          <w:tcPr>
            <w:tcW w:w="1454" w:type="dxa"/>
            <w:tcBorders>
              <w:top w:val="single" w:sz="4" w:space="0" w:color="auto"/>
              <w:left w:val="nil"/>
              <w:bottom w:val="single" w:sz="4" w:space="0" w:color="auto"/>
              <w:right w:val="single" w:sz="4" w:space="0" w:color="auto"/>
            </w:tcBorders>
            <w:hideMark/>
          </w:tcPr>
          <w:p w14:paraId="49175F1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(21.8)</w:t>
            </w:r>
          </w:p>
        </w:tc>
        <w:tc>
          <w:tcPr>
            <w:tcW w:w="971" w:type="dxa"/>
            <w:tcBorders>
              <w:top w:val="single" w:sz="4" w:space="0" w:color="auto"/>
              <w:left w:val="nil"/>
              <w:bottom w:val="single" w:sz="4" w:space="0" w:color="auto"/>
              <w:right w:val="single" w:sz="4" w:space="0" w:color="auto"/>
            </w:tcBorders>
          </w:tcPr>
          <w:p w14:paraId="20A6F8AD"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09ED519" w14:textId="77777777" w:rsidR="006726CF" w:rsidRPr="00B04B2E" w:rsidRDefault="006726CF">
            <w:pPr>
              <w:spacing w:before="100" w:beforeAutospacing="1" w:line="360" w:lineRule="auto"/>
              <w:rPr>
                <w:rFonts w:ascii="Times New Roman" w:hAnsi="Times New Roman"/>
                <w:sz w:val="24"/>
                <w:szCs w:val="24"/>
              </w:rPr>
            </w:pPr>
          </w:p>
        </w:tc>
      </w:tr>
    </w:tbl>
    <w:p w14:paraId="4F14630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Fishers exact test used because more than 20% of the cells have expected counts of less than five.</w:t>
      </w:r>
    </w:p>
    <w:p w14:paraId="5C28FB1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table presents the relationship between demographic and obstetric characteristics and fetal outcomes among women with HDP at the FTH Gombe. The results show that parity, booking status, gestational age at delivery, mode of delivery and HDP subtypes were significantly associated with fetal outcomes. Nulliparas had a lower rate of fetal death (12.7%) compared to primiparas (16.3%) and grand multiparas (25.8%). Women who were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had a higher rate of fetal death (44.40%) compared to those booked elsewhere (20.40%) and at the hospital (3.0%). Fetal outcomes were also influenced by gestational age at delivery, with a higher rate of fetal death among those delivered before 28 weeks (100.0%). The mode of delivery also played a significant role, with caesarean sections (93.2%) having a lower rate of fetal death compared to spontaneous vaginal deliveries (24.8%) and instrumental deliveries (57.1%). HDP subtypes were associated with fetal outcomes, with CHTN + SSPE and Eclampsia having higher rates of mortality (32.1% - 21.8%) compared to CHTN and PIH (4.2% - 11.5%).</w:t>
      </w:r>
    </w:p>
    <w:p w14:paraId="2B353D2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477E9E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755B3A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DA4B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A966AF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79353C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A01303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3AA46A2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08A2E4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01DD27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31F674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6C934E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FFE76C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01F7E5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6: Relationship between demographic and obstetrics characteristics with maternal outcomes (i.e., absence or presence of complications)</w:t>
      </w:r>
    </w:p>
    <w:tbl>
      <w:tblPr>
        <w:tblW w:w="10445" w:type="dxa"/>
        <w:tblInd w:w="-431" w:type="dxa"/>
        <w:tblLook w:val="04A0" w:firstRow="1" w:lastRow="0" w:firstColumn="1" w:lastColumn="0" w:noHBand="0" w:noVBand="1"/>
      </w:tblPr>
      <w:tblGrid>
        <w:gridCol w:w="2591"/>
        <w:gridCol w:w="1352"/>
        <w:gridCol w:w="1454"/>
        <w:gridCol w:w="1352"/>
        <w:gridCol w:w="1454"/>
        <w:gridCol w:w="1119"/>
        <w:gridCol w:w="1123"/>
      </w:tblGrid>
      <w:tr w:rsidR="006726CF" w:rsidRPr="00B04B2E" w14:paraId="3D59B75B"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33FC0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 xml:space="preserve"> </w:t>
            </w:r>
          </w:p>
        </w:tc>
        <w:tc>
          <w:tcPr>
            <w:tcW w:w="2806" w:type="dxa"/>
            <w:gridSpan w:val="2"/>
            <w:tcBorders>
              <w:top w:val="single" w:sz="4" w:space="0" w:color="auto"/>
              <w:left w:val="nil"/>
              <w:bottom w:val="single" w:sz="4" w:space="0" w:color="auto"/>
              <w:right w:val="single" w:sz="4" w:space="0" w:color="auto"/>
            </w:tcBorders>
            <w:hideMark/>
          </w:tcPr>
          <w:p w14:paraId="6FC22AB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No</w:t>
            </w:r>
          </w:p>
        </w:tc>
        <w:tc>
          <w:tcPr>
            <w:tcW w:w="2806" w:type="dxa"/>
            <w:gridSpan w:val="2"/>
            <w:tcBorders>
              <w:top w:val="single" w:sz="4" w:space="0" w:color="auto"/>
              <w:left w:val="nil"/>
              <w:bottom w:val="single" w:sz="4" w:space="0" w:color="auto"/>
              <w:right w:val="single" w:sz="4" w:space="0" w:color="auto"/>
            </w:tcBorders>
            <w:hideMark/>
          </w:tcPr>
          <w:p w14:paraId="06EE4E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Yes</w:t>
            </w:r>
          </w:p>
        </w:tc>
        <w:tc>
          <w:tcPr>
            <w:tcW w:w="1119" w:type="dxa"/>
            <w:tcBorders>
              <w:top w:val="single" w:sz="4" w:space="0" w:color="auto"/>
              <w:left w:val="nil"/>
              <w:bottom w:val="single" w:sz="4" w:space="0" w:color="auto"/>
              <w:right w:val="single" w:sz="4" w:space="0" w:color="auto"/>
            </w:tcBorders>
          </w:tcPr>
          <w:p w14:paraId="7F43AD98"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6267A60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5BA93AA"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tcPr>
          <w:p w14:paraId="35DC0336"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hideMark/>
          </w:tcPr>
          <w:p w14:paraId="547410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03B173F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1352" w:type="dxa"/>
            <w:tcBorders>
              <w:top w:val="single" w:sz="4" w:space="0" w:color="auto"/>
              <w:left w:val="nil"/>
              <w:bottom w:val="single" w:sz="4" w:space="0" w:color="auto"/>
              <w:right w:val="single" w:sz="4" w:space="0" w:color="auto"/>
            </w:tcBorders>
            <w:hideMark/>
          </w:tcPr>
          <w:p w14:paraId="49BA11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0246443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1119" w:type="dxa"/>
            <w:tcBorders>
              <w:top w:val="single" w:sz="4" w:space="0" w:color="auto"/>
              <w:left w:val="nil"/>
              <w:bottom w:val="single" w:sz="4" w:space="0" w:color="auto"/>
              <w:right w:val="single" w:sz="4" w:space="0" w:color="auto"/>
            </w:tcBorders>
            <w:hideMark/>
          </w:tcPr>
          <w:p w14:paraId="5CB2D3C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i/>
                <w:iCs/>
                <w:sz w:val="24"/>
                <w:szCs w:val="24"/>
              </w:rPr>
              <w:t>X</w:t>
            </w:r>
            <w:r w:rsidRPr="00B04B2E">
              <w:rPr>
                <w:rFonts w:ascii="Times New Roman" w:hAnsi="Times New Roman"/>
                <w:b/>
                <w:bCs/>
                <w:sz w:val="24"/>
                <w:szCs w:val="24"/>
                <w:vertAlign w:val="superscript"/>
              </w:rPr>
              <w:t>2</w:t>
            </w:r>
          </w:p>
        </w:tc>
        <w:tc>
          <w:tcPr>
            <w:tcW w:w="1123" w:type="dxa"/>
            <w:tcBorders>
              <w:top w:val="single" w:sz="4" w:space="0" w:color="auto"/>
              <w:left w:val="nil"/>
              <w:bottom w:val="single" w:sz="4" w:space="0" w:color="auto"/>
              <w:right w:val="single" w:sz="4" w:space="0" w:color="auto"/>
            </w:tcBorders>
            <w:hideMark/>
          </w:tcPr>
          <w:p w14:paraId="5374750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P-value</w:t>
            </w:r>
          </w:p>
        </w:tc>
      </w:tr>
      <w:tr w:rsidR="006726CF" w:rsidRPr="00B04B2E" w14:paraId="13A19BFB"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51BFBFD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Age group</w:t>
            </w:r>
          </w:p>
        </w:tc>
        <w:tc>
          <w:tcPr>
            <w:tcW w:w="1352" w:type="dxa"/>
            <w:tcBorders>
              <w:top w:val="single" w:sz="4" w:space="0" w:color="auto"/>
              <w:left w:val="nil"/>
              <w:bottom w:val="single" w:sz="4" w:space="0" w:color="auto"/>
              <w:right w:val="single" w:sz="4" w:space="0" w:color="auto"/>
            </w:tcBorders>
          </w:tcPr>
          <w:p w14:paraId="442F8833"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E88F859"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17AC56C9"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498A1896"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51DE1BD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19.883</w:t>
            </w:r>
          </w:p>
        </w:tc>
        <w:tc>
          <w:tcPr>
            <w:tcW w:w="1123" w:type="dxa"/>
            <w:tcBorders>
              <w:top w:val="single" w:sz="4" w:space="0" w:color="auto"/>
              <w:left w:val="nil"/>
              <w:bottom w:val="single" w:sz="4" w:space="0" w:color="auto"/>
              <w:right w:val="single" w:sz="4" w:space="0" w:color="auto"/>
            </w:tcBorders>
            <w:hideMark/>
          </w:tcPr>
          <w:p w14:paraId="50DEEFC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0.001</w:t>
            </w:r>
          </w:p>
        </w:tc>
      </w:tr>
      <w:tr w:rsidR="006726CF" w:rsidRPr="00B04B2E" w14:paraId="7E6800F8"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39E9BB3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&lt;20</w:t>
            </w:r>
          </w:p>
        </w:tc>
        <w:tc>
          <w:tcPr>
            <w:tcW w:w="1352" w:type="dxa"/>
            <w:tcBorders>
              <w:top w:val="single" w:sz="4" w:space="0" w:color="auto"/>
              <w:left w:val="nil"/>
              <w:bottom w:val="single" w:sz="4" w:space="0" w:color="auto"/>
              <w:right w:val="single" w:sz="4" w:space="0" w:color="auto"/>
            </w:tcBorders>
            <w:hideMark/>
          </w:tcPr>
          <w:p w14:paraId="56C0B87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33</w:t>
            </w:r>
          </w:p>
        </w:tc>
        <w:tc>
          <w:tcPr>
            <w:tcW w:w="1454" w:type="dxa"/>
            <w:tcBorders>
              <w:top w:val="single" w:sz="4" w:space="0" w:color="auto"/>
              <w:left w:val="nil"/>
              <w:bottom w:val="single" w:sz="4" w:space="0" w:color="auto"/>
              <w:right w:val="single" w:sz="4" w:space="0" w:color="auto"/>
            </w:tcBorders>
            <w:hideMark/>
          </w:tcPr>
          <w:p w14:paraId="3A71E55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(61.10)</w:t>
            </w:r>
          </w:p>
        </w:tc>
        <w:tc>
          <w:tcPr>
            <w:tcW w:w="1352" w:type="dxa"/>
            <w:tcBorders>
              <w:top w:val="single" w:sz="4" w:space="0" w:color="auto"/>
              <w:left w:val="nil"/>
              <w:bottom w:val="single" w:sz="4" w:space="0" w:color="auto"/>
              <w:right w:val="single" w:sz="4" w:space="0" w:color="auto"/>
            </w:tcBorders>
            <w:hideMark/>
          </w:tcPr>
          <w:p w14:paraId="3E77AC8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w:t>
            </w:r>
          </w:p>
        </w:tc>
        <w:tc>
          <w:tcPr>
            <w:tcW w:w="1454" w:type="dxa"/>
            <w:tcBorders>
              <w:top w:val="single" w:sz="4" w:space="0" w:color="auto"/>
              <w:left w:val="nil"/>
              <w:bottom w:val="single" w:sz="4" w:space="0" w:color="auto"/>
              <w:right w:val="single" w:sz="4" w:space="0" w:color="auto"/>
            </w:tcBorders>
            <w:hideMark/>
          </w:tcPr>
          <w:p w14:paraId="10223E7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(38.90)</w:t>
            </w:r>
          </w:p>
        </w:tc>
        <w:tc>
          <w:tcPr>
            <w:tcW w:w="1119" w:type="dxa"/>
            <w:tcBorders>
              <w:top w:val="single" w:sz="4" w:space="0" w:color="auto"/>
              <w:left w:val="nil"/>
              <w:bottom w:val="single" w:sz="4" w:space="0" w:color="auto"/>
              <w:right w:val="single" w:sz="4" w:space="0" w:color="auto"/>
            </w:tcBorders>
          </w:tcPr>
          <w:p w14:paraId="0CC30E09"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31FE289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75FDB73"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6FA1B4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20-24</w:t>
            </w:r>
          </w:p>
        </w:tc>
        <w:tc>
          <w:tcPr>
            <w:tcW w:w="1352" w:type="dxa"/>
            <w:tcBorders>
              <w:top w:val="single" w:sz="4" w:space="0" w:color="auto"/>
              <w:left w:val="nil"/>
              <w:bottom w:val="single" w:sz="4" w:space="0" w:color="auto"/>
              <w:right w:val="single" w:sz="4" w:space="0" w:color="auto"/>
            </w:tcBorders>
            <w:hideMark/>
          </w:tcPr>
          <w:p w14:paraId="73F6913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60</w:t>
            </w:r>
          </w:p>
        </w:tc>
        <w:tc>
          <w:tcPr>
            <w:tcW w:w="1454" w:type="dxa"/>
            <w:tcBorders>
              <w:top w:val="single" w:sz="4" w:space="0" w:color="auto"/>
              <w:left w:val="nil"/>
              <w:bottom w:val="single" w:sz="4" w:space="0" w:color="auto"/>
              <w:right w:val="single" w:sz="4" w:space="0" w:color="auto"/>
            </w:tcBorders>
            <w:hideMark/>
          </w:tcPr>
          <w:p w14:paraId="552E045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(58.30)</w:t>
            </w:r>
          </w:p>
        </w:tc>
        <w:tc>
          <w:tcPr>
            <w:tcW w:w="1352" w:type="dxa"/>
            <w:tcBorders>
              <w:top w:val="single" w:sz="4" w:space="0" w:color="auto"/>
              <w:left w:val="nil"/>
              <w:bottom w:val="single" w:sz="4" w:space="0" w:color="auto"/>
              <w:right w:val="single" w:sz="4" w:space="0" w:color="auto"/>
            </w:tcBorders>
            <w:hideMark/>
          </w:tcPr>
          <w:p w14:paraId="616A105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43</w:t>
            </w:r>
          </w:p>
        </w:tc>
        <w:tc>
          <w:tcPr>
            <w:tcW w:w="1454" w:type="dxa"/>
            <w:tcBorders>
              <w:top w:val="single" w:sz="4" w:space="0" w:color="auto"/>
              <w:left w:val="nil"/>
              <w:bottom w:val="single" w:sz="4" w:space="0" w:color="auto"/>
              <w:right w:val="single" w:sz="4" w:space="0" w:color="auto"/>
            </w:tcBorders>
            <w:hideMark/>
          </w:tcPr>
          <w:p w14:paraId="3D02C2E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(41.70)</w:t>
            </w:r>
          </w:p>
        </w:tc>
        <w:tc>
          <w:tcPr>
            <w:tcW w:w="1119" w:type="dxa"/>
            <w:tcBorders>
              <w:top w:val="single" w:sz="4" w:space="0" w:color="auto"/>
              <w:left w:val="nil"/>
              <w:bottom w:val="single" w:sz="4" w:space="0" w:color="auto"/>
              <w:right w:val="single" w:sz="4" w:space="0" w:color="auto"/>
            </w:tcBorders>
          </w:tcPr>
          <w:p w14:paraId="2DFC398A"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0383541"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E17FD7E"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4372A6A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25-29</w:t>
            </w:r>
          </w:p>
        </w:tc>
        <w:tc>
          <w:tcPr>
            <w:tcW w:w="1352" w:type="dxa"/>
            <w:tcBorders>
              <w:top w:val="single" w:sz="4" w:space="0" w:color="auto"/>
              <w:left w:val="nil"/>
              <w:bottom w:val="single" w:sz="4" w:space="0" w:color="auto"/>
              <w:right w:val="single" w:sz="4" w:space="0" w:color="auto"/>
            </w:tcBorders>
            <w:hideMark/>
          </w:tcPr>
          <w:p w14:paraId="206FAF9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81</w:t>
            </w:r>
          </w:p>
        </w:tc>
        <w:tc>
          <w:tcPr>
            <w:tcW w:w="1454" w:type="dxa"/>
            <w:tcBorders>
              <w:top w:val="single" w:sz="4" w:space="0" w:color="auto"/>
              <w:left w:val="nil"/>
              <w:bottom w:val="single" w:sz="4" w:space="0" w:color="auto"/>
              <w:right w:val="single" w:sz="4" w:space="0" w:color="auto"/>
            </w:tcBorders>
            <w:hideMark/>
          </w:tcPr>
          <w:p w14:paraId="77AF9D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(71.70)</w:t>
            </w:r>
          </w:p>
        </w:tc>
        <w:tc>
          <w:tcPr>
            <w:tcW w:w="1352" w:type="dxa"/>
            <w:tcBorders>
              <w:top w:val="single" w:sz="4" w:space="0" w:color="auto"/>
              <w:left w:val="nil"/>
              <w:bottom w:val="single" w:sz="4" w:space="0" w:color="auto"/>
              <w:right w:val="single" w:sz="4" w:space="0" w:color="auto"/>
            </w:tcBorders>
            <w:hideMark/>
          </w:tcPr>
          <w:p w14:paraId="274C582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w:t>
            </w:r>
          </w:p>
        </w:tc>
        <w:tc>
          <w:tcPr>
            <w:tcW w:w="1454" w:type="dxa"/>
            <w:tcBorders>
              <w:top w:val="single" w:sz="4" w:space="0" w:color="auto"/>
              <w:left w:val="nil"/>
              <w:bottom w:val="single" w:sz="4" w:space="0" w:color="auto"/>
              <w:right w:val="single" w:sz="4" w:space="0" w:color="auto"/>
            </w:tcBorders>
            <w:hideMark/>
          </w:tcPr>
          <w:p w14:paraId="36DEFCB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(28.30)</w:t>
            </w:r>
          </w:p>
        </w:tc>
        <w:tc>
          <w:tcPr>
            <w:tcW w:w="1119" w:type="dxa"/>
            <w:tcBorders>
              <w:top w:val="single" w:sz="4" w:space="0" w:color="auto"/>
              <w:left w:val="nil"/>
              <w:bottom w:val="single" w:sz="4" w:space="0" w:color="auto"/>
              <w:right w:val="single" w:sz="4" w:space="0" w:color="auto"/>
            </w:tcBorders>
          </w:tcPr>
          <w:p w14:paraId="239251A0"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3F5229BD"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D2EF147"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964AFB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30-34</w:t>
            </w:r>
          </w:p>
        </w:tc>
        <w:tc>
          <w:tcPr>
            <w:tcW w:w="1352" w:type="dxa"/>
            <w:tcBorders>
              <w:top w:val="single" w:sz="4" w:space="0" w:color="auto"/>
              <w:left w:val="nil"/>
              <w:bottom w:val="single" w:sz="4" w:space="0" w:color="auto"/>
              <w:right w:val="single" w:sz="4" w:space="0" w:color="auto"/>
            </w:tcBorders>
            <w:hideMark/>
          </w:tcPr>
          <w:p w14:paraId="76B5599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w:t>
            </w:r>
          </w:p>
        </w:tc>
        <w:tc>
          <w:tcPr>
            <w:tcW w:w="1454" w:type="dxa"/>
            <w:tcBorders>
              <w:top w:val="single" w:sz="4" w:space="0" w:color="auto"/>
              <w:left w:val="nil"/>
              <w:bottom w:val="single" w:sz="4" w:space="0" w:color="auto"/>
              <w:right w:val="single" w:sz="4" w:space="0" w:color="auto"/>
            </w:tcBorders>
            <w:hideMark/>
          </w:tcPr>
          <w:p w14:paraId="2639EC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(75.20)</w:t>
            </w:r>
          </w:p>
        </w:tc>
        <w:tc>
          <w:tcPr>
            <w:tcW w:w="1352" w:type="dxa"/>
            <w:tcBorders>
              <w:top w:val="single" w:sz="4" w:space="0" w:color="auto"/>
              <w:left w:val="nil"/>
              <w:bottom w:val="single" w:sz="4" w:space="0" w:color="auto"/>
              <w:right w:val="single" w:sz="4" w:space="0" w:color="auto"/>
            </w:tcBorders>
            <w:hideMark/>
          </w:tcPr>
          <w:p w14:paraId="174478C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w:t>
            </w:r>
          </w:p>
        </w:tc>
        <w:tc>
          <w:tcPr>
            <w:tcW w:w="1454" w:type="dxa"/>
            <w:tcBorders>
              <w:top w:val="single" w:sz="4" w:space="0" w:color="auto"/>
              <w:left w:val="nil"/>
              <w:bottom w:val="single" w:sz="4" w:space="0" w:color="auto"/>
              <w:right w:val="single" w:sz="4" w:space="0" w:color="auto"/>
            </w:tcBorders>
            <w:hideMark/>
          </w:tcPr>
          <w:p w14:paraId="38D9405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(24.80)</w:t>
            </w:r>
          </w:p>
        </w:tc>
        <w:tc>
          <w:tcPr>
            <w:tcW w:w="1119" w:type="dxa"/>
            <w:tcBorders>
              <w:top w:val="single" w:sz="4" w:space="0" w:color="auto"/>
              <w:left w:val="nil"/>
              <w:bottom w:val="single" w:sz="4" w:space="0" w:color="auto"/>
              <w:right w:val="single" w:sz="4" w:space="0" w:color="auto"/>
            </w:tcBorders>
          </w:tcPr>
          <w:p w14:paraId="0186BE66"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294312A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AE15C71"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5CEAEBA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35-39</w:t>
            </w:r>
          </w:p>
        </w:tc>
        <w:tc>
          <w:tcPr>
            <w:tcW w:w="1352" w:type="dxa"/>
            <w:tcBorders>
              <w:top w:val="single" w:sz="4" w:space="0" w:color="auto"/>
              <w:left w:val="nil"/>
              <w:bottom w:val="single" w:sz="4" w:space="0" w:color="auto"/>
              <w:right w:val="single" w:sz="4" w:space="0" w:color="auto"/>
            </w:tcBorders>
            <w:hideMark/>
          </w:tcPr>
          <w:p w14:paraId="3B5F200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74</w:t>
            </w:r>
          </w:p>
        </w:tc>
        <w:tc>
          <w:tcPr>
            <w:tcW w:w="1454" w:type="dxa"/>
            <w:tcBorders>
              <w:top w:val="single" w:sz="4" w:space="0" w:color="auto"/>
              <w:left w:val="nil"/>
              <w:bottom w:val="single" w:sz="4" w:space="0" w:color="auto"/>
              <w:right w:val="single" w:sz="4" w:space="0" w:color="auto"/>
            </w:tcBorders>
            <w:hideMark/>
          </w:tcPr>
          <w:p w14:paraId="4B5B765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(85.10)</w:t>
            </w:r>
          </w:p>
        </w:tc>
        <w:tc>
          <w:tcPr>
            <w:tcW w:w="1352" w:type="dxa"/>
            <w:tcBorders>
              <w:top w:val="single" w:sz="4" w:space="0" w:color="auto"/>
              <w:left w:val="nil"/>
              <w:bottom w:val="single" w:sz="4" w:space="0" w:color="auto"/>
              <w:right w:val="single" w:sz="4" w:space="0" w:color="auto"/>
            </w:tcBorders>
            <w:hideMark/>
          </w:tcPr>
          <w:p w14:paraId="0ED6E4D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w:t>
            </w:r>
          </w:p>
        </w:tc>
        <w:tc>
          <w:tcPr>
            <w:tcW w:w="1454" w:type="dxa"/>
            <w:tcBorders>
              <w:top w:val="single" w:sz="4" w:space="0" w:color="auto"/>
              <w:left w:val="nil"/>
              <w:bottom w:val="single" w:sz="4" w:space="0" w:color="auto"/>
              <w:right w:val="single" w:sz="4" w:space="0" w:color="auto"/>
            </w:tcBorders>
            <w:hideMark/>
          </w:tcPr>
          <w:p w14:paraId="651680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(14.90)</w:t>
            </w:r>
          </w:p>
        </w:tc>
        <w:tc>
          <w:tcPr>
            <w:tcW w:w="1119" w:type="dxa"/>
            <w:tcBorders>
              <w:top w:val="single" w:sz="4" w:space="0" w:color="auto"/>
              <w:left w:val="nil"/>
              <w:bottom w:val="single" w:sz="4" w:space="0" w:color="auto"/>
              <w:right w:val="single" w:sz="4" w:space="0" w:color="auto"/>
            </w:tcBorders>
          </w:tcPr>
          <w:p w14:paraId="2B58DB45"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0AE0BDE3"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60D08A1"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2A456F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w:t>
            </w:r>
          </w:p>
        </w:tc>
        <w:tc>
          <w:tcPr>
            <w:tcW w:w="1352" w:type="dxa"/>
            <w:tcBorders>
              <w:top w:val="single" w:sz="4" w:space="0" w:color="auto"/>
              <w:left w:val="nil"/>
              <w:bottom w:val="single" w:sz="4" w:space="0" w:color="auto"/>
              <w:right w:val="single" w:sz="4" w:space="0" w:color="auto"/>
            </w:tcBorders>
            <w:hideMark/>
          </w:tcPr>
          <w:p w14:paraId="55A9C5C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29</w:t>
            </w:r>
          </w:p>
        </w:tc>
        <w:tc>
          <w:tcPr>
            <w:tcW w:w="1454" w:type="dxa"/>
            <w:tcBorders>
              <w:top w:val="single" w:sz="4" w:space="0" w:color="auto"/>
              <w:left w:val="nil"/>
              <w:bottom w:val="single" w:sz="4" w:space="0" w:color="auto"/>
              <w:right w:val="single" w:sz="4" w:space="0" w:color="auto"/>
            </w:tcBorders>
            <w:hideMark/>
          </w:tcPr>
          <w:p w14:paraId="6D165BE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(69.00)</w:t>
            </w:r>
          </w:p>
        </w:tc>
        <w:tc>
          <w:tcPr>
            <w:tcW w:w="1352" w:type="dxa"/>
            <w:tcBorders>
              <w:top w:val="single" w:sz="4" w:space="0" w:color="auto"/>
              <w:left w:val="nil"/>
              <w:bottom w:val="single" w:sz="4" w:space="0" w:color="auto"/>
              <w:right w:val="single" w:sz="4" w:space="0" w:color="auto"/>
            </w:tcBorders>
            <w:hideMark/>
          </w:tcPr>
          <w:p w14:paraId="0DCFC41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w:t>
            </w:r>
          </w:p>
        </w:tc>
        <w:tc>
          <w:tcPr>
            <w:tcW w:w="1454" w:type="dxa"/>
            <w:tcBorders>
              <w:top w:val="single" w:sz="4" w:space="0" w:color="auto"/>
              <w:left w:val="nil"/>
              <w:bottom w:val="single" w:sz="4" w:space="0" w:color="auto"/>
              <w:right w:val="single" w:sz="4" w:space="0" w:color="auto"/>
            </w:tcBorders>
            <w:hideMark/>
          </w:tcPr>
          <w:p w14:paraId="76A2A23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(31.00)</w:t>
            </w:r>
          </w:p>
        </w:tc>
        <w:tc>
          <w:tcPr>
            <w:tcW w:w="1119" w:type="dxa"/>
            <w:tcBorders>
              <w:top w:val="single" w:sz="4" w:space="0" w:color="auto"/>
              <w:left w:val="nil"/>
              <w:bottom w:val="single" w:sz="4" w:space="0" w:color="auto"/>
              <w:right w:val="single" w:sz="4" w:space="0" w:color="auto"/>
            </w:tcBorders>
          </w:tcPr>
          <w:p w14:paraId="5835D51F"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243DE87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E1A85FC"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D1107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Parity</w:t>
            </w:r>
          </w:p>
        </w:tc>
        <w:tc>
          <w:tcPr>
            <w:tcW w:w="1352" w:type="dxa"/>
            <w:tcBorders>
              <w:top w:val="single" w:sz="4" w:space="0" w:color="auto"/>
              <w:left w:val="nil"/>
              <w:bottom w:val="single" w:sz="4" w:space="0" w:color="auto"/>
              <w:right w:val="single" w:sz="4" w:space="0" w:color="auto"/>
            </w:tcBorders>
          </w:tcPr>
          <w:p w14:paraId="414802E5"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02A3D334"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61EA145B"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C1BD62D"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02F47B8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2.089</w:t>
            </w:r>
          </w:p>
        </w:tc>
        <w:tc>
          <w:tcPr>
            <w:tcW w:w="1123" w:type="dxa"/>
            <w:tcBorders>
              <w:top w:val="single" w:sz="4" w:space="0" w:color="auto"/>
              <w:left w:val="nil"/>
              <w:bottom w:val="single" w:sz="4" w:space="0" w:color="auto"/>
              <w:right w:val="single" w:sz="4" w:space="0" w:color="auto"/>
            </w:tcBorders>
            <w:hideMark/>
          </w:tcPr>
          <w:p w14:paraId="7832C0C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0.554</w:t>
            </w:r>
          </w:p>
        </w:tc>
      </w:tr>
      <w:tr w:rsidR="006726CF" w:rsidRPr="00B04B2E" w14:paraId="31C5326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A92F07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Nullipara</w:t>
            </w:r>
          </w:p>
        </w:tc>
        <w:tc>
          <w:tcPr>
            <w:tcW w:w="1352" w:type="dxa"/>
            <w:tcBorders>
              <w:top w:val="single" w:sz="4" w:space="0" w:color="auto"/>
              <w:left w:val="nil"/>
              <w:bottom w:val="single" w:sz="4" w:space="0" w:color="auto"/>
              <w:right w:val="single" w:sz="4" w:space="0" w:color="auto"/>
            </w:tcBorders>
            <w:hideMark/>
          </w:tcPr>
          <w:p w14:paraId="22209A0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103</w:t>
            </w:r>
          </w:p>
        </w:tc>
        <w:tc>
          <w:tcPr>
            <w:tcW w:w="1454" w:type="dxa"/>
            <w:tcBorders>
              <w:top w:val="single" w:sz="4" w:space="0" w:color="auto"/>
              <w:left w:val="nil"/>
              <w:bottom w:val="single" w:sz="4" w:space="0" w:color="auto"/>
              <w:right w:val="single" w:sz="4" w:space="0" w:color="auto"/>
            </w:tcBorders>
            <w:hideMark/>
          </w:tcPr>
          <w:p w14:paraId="57C1648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(72.50)</w:t>
            </w:r>
          </w:p>
        </w:tc>
        <w:tc>
          <w:tcPr>
            <w:tcW w:w="1352" w:type="dxa"/>
            <w:tcBorders>
              <w:top w:val="single" w:sz="4" w:space="0" w:color="auto"/>
              <w:left w:val="nil"/>
              <w:bottom w:val="single" w:sz="4" w:space="0" w:color="auto"/>
              <w:right w:val="single" w:sz="4" w:space="0" w:color="auto"/>
            </w:tcBorders>
            <w:hideMark/>
          </w:tcPr>
          <w:p w14:paraId="313B013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39</w:t>
            </w:r>
          </w:p>
        </w:tc>
        <w:tc>
          <w:tcPr>
            <w:tcW w:w="1454" w:type="dxa"/>
            <w:tcBorders>
              <w:top w:val="single" w:sz="4" w:space="0" w:color="auto"/>
              <w:left w:val="nil"/>
              <w:bottom w:val="single" w:sz="4" w:space="0" w:color="auto"/>
              <w:right w:val="single" w:sz="4" w:space="0" w:color="auto"/>
            </w:tcBorders>
            <w:hideMark/>
          </w:tcPr>
          <w:p w14:paraId="3FAA50D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(27.50)</w:t>
            </w:r>
          </w:p>
        </w:tc>
        <w:tc>
          <w:tcPr>
            <w:tcW w:w="1119" w:type="dxa"/>
            <w:tcBorders>
              <w:top w:val="single" w:sz="4" w:space="0" w:color="auto"/>
              <w:left w:val="nil"/>
              <w:bottom w:val="single" w:sz="4" w:space="0" w:color="auto"/>
              <w:right w:val="single" w:sz="4" w:space="0" w:color="auto"/>
            </w:tcBorders>
          </w:tcPr>
          <w:p w14:paraId="03ECAC0B"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2990C43D"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D09E46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52A5B0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Primipara</w:t>
            </w:r>
          </w:p>
        </w:tc>
        <w:tc>
          <w:tcPr>
            <w:tcW w:w="1352" w:type="dxa"/>
            <w:tcBorders>
              <w:top w:val="single" w:sz="4" w:space="0" w:color="auto"/>
              <w:left w:val="nil"/>
              <w:bottom w:val="single" w:sz="4" w:space="0" w:color="auto"/>
              <w:right w:val="single" w:sz="4" w:space="0" w:color="auto"/>
            </w:tcBorders>
            <w:hideMark/>
          </w:tcPr>
          <w:p w14:paraId="74F2E0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60</w:t>
            </w:r>
          </w:p>
        </w:tc>
        <w:tc>
          <w:tcPr>
            <w:tcW w:w="1454" w:type="dxa"/>
            <w:tcBorders>
              <w:top w:val="single" w:sz="4" w:space="0" w:color="auto"/>
              <w:left w:val="nil"/>
              <w:bottom w:val="single" w:sz="4" w:space="0" w:color="auto"/>
              <w:right w:val="single" w:sz="4" w:space="0" w:color="auto"/>
            </w:tcBorders>
            <w:hideMark/>
          </w:tcPr>
          <w:p w14:paraId="2494C6C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(65.20)</w:t>
            </w:r>
          </w:p>
        </w:tc>
        <w:tc>
          <w:tcPr>
            <w:tcW w:w="1352" w:type="dxa"/>
            <w:tcBorders>
              <w:top w:val="single" w:sz="4" w:space="0" w:color="auto"/>
              <w:left w:val="nil"/>
              <w:bottom w:val="single" w:sz="4" w:space="0" w:color="auto"/>
              <w:right w:val="single" w:sz="4" w:space="0" w:color="auto"/>
            </w:tcBorders>
            <w:hideMark/>
          </w:tcPr>
          <w:p w14:paraId="7A9A155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w:t>
            </w:r>
          </w:p>
        </w:tc>
        <w:tc>
          <w:tcPr>
            <w:tcW w:w="1454" w:type="dxa"/>
            <w:tcBorders>
              <w:top w:val="single" w:sz="4" w:space="0" w:color="auto"/>
              <w:left w:val="nil"/>
              <w:bottom w:val="single" w:sz="4" w:space="0" w:color="auto"/>
              <w:right w:val="single" w:sz="4" w:space="0" w:color="auto"/>
            </w:tcBorders>
            <w:hideMark/>
          </w:tcPr>
          <w:p w14:paraId="0432413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(34.80)</w:t>
            </w:r>
          </w:p>
        </w:tc>
        <w:tc>
          <w:tcPr>
            <w:tcW w:w="1119" w:type="dxa"/>
            <w:tcBorders>
              <w:top w:val="single" w:sz="4" w:space="0" w:color="auto"/>
              <w:left w:val="nil"/>
              <w:bottom w:val="single" w:sz="4" w:space="0" w:color="auto"/>
              <w:right w:val="single" w:sz="4" w:space="0" w:color="auto"/>
            </w:tcBorders>
          </w:tcPr>
          <w:p w14:paraId="16FBB577"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516D66B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C7E3059"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2F8B20A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Multipara</w:t>
            </w:r>
          </w:p>
        </w:tc>
        <w:tc>
          <w:tcPr>
            <w:tcW w:w="1352" w:type="dxa"/>
            <w:tcBorders>
              <w:top w:val="single" w:sz="4" w:space="0" w:color="auto"/>
              <w:left w:val="nil"/>
              <w:bottom w:val="single" w:sz="4" w:space="0" w:color="auto"/>
              <w:right w:val="single" w:sz="4" w:space="0" w:color="auto"/>
            </w:tcBorders>
            <w:hideMark/>
          </w:tcPr>
          <w:p w14:paraId="077152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104</w:t>
            </w:r>
          </w:p>
        </w:tc>
        <w:tc>
          <w:tcPr>
            <w:tcW w:w="1454" w:type="dxa"/>
            <w:tcBorders>
              <w:top w:val="single" w:sz="4" w:space="0" w:color="auto"/>
              <w:left w:val="nil"/>
              <w:bottom w:val="single" w:sz="4" w:space="0" w:color="auto"/>
              <w:right w:val="single" w:sz="4" w:space="0" w:color="auto"/>
            </w:tcBorders>
            <w:hideMark/>
          </w:tcPr>
          <w:p w14:paraId="217AE24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(73.20)</w:t>
            </w:r>
          </w:p>
        </w:tc>
        <w:tc>
          <w:tcPr>
            <w:tcW w:w="1352" w:type="dxa"/>
            <w:tcBorders>
              <w:top w:val="single" w:sz="4" w:space="0" w:color="auto"/>
              <w:left w:val="nil"/>
              <w:bottom w:val="single" w:sz="4" w:space="0" w:color="auto"/>
              <w:right w:val="single" w:sz="4" w:space="0" w:color="auto"/>
            </w:tcBorders>
            <w:hideMark/>
          </w:tcPr>
          <w:p w14:paraId="0247425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38</w:t>
            </w:r>
          </w:p>
        </w:tc>
        <w:tc>
          <w:tcPr>
            <w:tcW w:w="1454" w:type="dxa"/>
            <w:tcBorders>
              <w:top w:val="single" w:sz="4" w:space="0" w:color="auto"/>
              <w:left w:val="nil"/>
              <w:bottom w:val="single" w:sz="4" w:space="0" w:color="auto"/>
              <w:right w:val="single" w:sz="4" w:space="0" w:color="auto"/>
            </w:tcBorders>
            <w:hideMark/>
          </w:tcPr>
          <w:p w14:paraId="02C9C6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(26.80)</w:t>
            </w:r>
          </w:p>
        </w:tc>
        <w:tc>
          <w:tcPr>
            <w:tcW w:w="1119" w:type="dxa"/>
            <w:tcBorders>
              <w:top w:val="single" w:sz="4" w:space="0" w:color="auto"/>
              <w:left w:val="nil"/>
              <w:bottom w:val="single" w:sz="4" w:space="0" w:color="auto"/>
              <w:right w:val="single" w:sz="4" w:space="0" w:color="auto"/>
            </w:tcBorders>
          </w:tcPr>
          <w:p w14:paraId="11D87D80"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3953520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DC59BF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2011A63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Grand multipara</w:t>
            </w:r>
          </w:p>
        </w:tc>
        <w:tc>
          <w:tcPr>
            <w:tcW w:w="1352" w:type="dxa"/>
            <w:tcBorders>
              <w:top w:val="single" w:sz="4" w:space="0" w:color="auto"/>
              <w:left w:val="nil"/>
              <w:bottom w:val="single" w:sz="4" w:space="0" w:color="auto"/>
              <w:right w:val="single" w:sz="4" w:space="0" w:color="auto"/>
            </w:tcBorders>
            <w:hideMark/>
          </w:tcPr>
          <w:p w14:paraId="60235F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89</w:t>
            </w:r>
          </w:p>
        </w:tc>
        <w:tc>
          <w:tcPr>
            <w:tcW w:w="1454" w:type="dxa"/>
            <w:tcBorders>
              <w:top w:val="single" w:sz="4" w:space="0" w:color="auto"/>
              <w:left w:val="nil"/>
              <w:bottom w:val="single" w:sz="4" w:space="0" w:color="auto"/>
              <w:right w:val="single" w:sz="4" w:space="0" w:color="auto"/>
            </w:tcBorders>
            <w:hideMark/>
          </w:tcPr>
          <w:p w14:paraId="48074C9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(69.50)</w:t>
            </w:r>
          </w:p>
        </w:tc>
        <w:tc>
          <w:tcPr>
            <w:tcW w:w="1352" w:type="dxa"/>
            <w:tcBorders>
              <w:top w:val="single" w:sz="4" w:space="0" w:color="auto"/>
              <w:left w:val="nil"/>
              <w:bottom w:val="single" w:sz="4" w:space="0" w:color="auto"/>
              <w:right w:val="single" w:sz="4" w:space="0" w:color="auto"/>
            </w:tcBorders>
            <w:hideMark/>
          </w:tcPr>
          <w:p w14:paraId="5B111CE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39</w:t>
            </w:r>
          </w:p>
        </w:tc>
        <w:tc>
          <w:tcPr>
            <w:tcW w:w="1454" w:type="dxa"/>
            <w:tcBorders>
              <w:top w:val="single" w:sz="4" w:space="0" w:color="auto"/>
              <w:left w:val="nil"/>
              <w:bottom w:val="single" w:sz="4" w:space="0" w:color="auto"/>
              <w:right w:val="single" w:sz="4" w:space="0" w:color="auto"/>
            </w:tcBorders>
            <w:hideMark/>
          </w:tcPr>
          <w:p w14:paraId="3A8DEB8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(30.50)</w:t>
            </w:r>
          </w:p>
        </w:tc>
        <w:tc>
          <w:tcPr>
            <w:tcW w:w="1119" w:type="dxa"/>
            <w:tcBorders>
              <w:top w:val="single" w:sz="4" w:space="0" w:color="auto"/>
              <w:left w:val="nil"/>
              <w:bottom w:val="single" w:sz="4" w:space="0" w:color="auto"/>
              <w:right w:val="single" w:sz="4" w:space="0" w:color="auto"/>
            </w:tcBorders>
          </w:tcPr>
          <w:p w14:paraId="7190B928"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581C390D"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75EB8D2"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30FC157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Booking status</w:t>
            </w:r>
          </w:p>
        </w:tc>
        <w:tc>
          <w:tcPr>
            <w:tcW w:w="1352" w:type="dxa"/>
            <w:tcBorders>
              <w:top w:val="single" w:sz="4" w:space="0" w:color="auto"/>
              <w:left w:val="nil"/>
              <w:bottom w:val="single" w:sz="4" w:space="0" w:color="auto"/>
              <w:right w:val="single" w:sz="4" w:space="0" w:color="auto"/>
            </w:tcBorders>
          </w:tcPr>
          <w:p w14:paraId="51D03073"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3ADF8AC9"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2CDC2726"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14D6A663"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09B9E5A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57.614</w:t>
            </w:r>
          </w:p>
        </w:tc>
        <w:tc>
          <w:tcPr>
            <w:tcW w:w="1123" w:type="dxa"/>
            <w:tcBorders>
              <w:top w:val="single" w:sz="4" w:space="0" w:color="auto"/>
              <w:left w:val="nil"/>
              <w:bottom w:val="single" w:sz="4" w:space="0" w:color="auto"/>
              <w:right w:val="single" w:sz="4" w:space="0" w:color="auto"/>
            </w:tcBorders>
            <w:hideMark/>
          </w:tcPr>
          <w:p w14:paraId="3BAD032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04D95CD8"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7E53F5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w:t>
            </w:r>
          </w:p>
        </w:tc>
        <w:tc>
          <w:tcPr>
            <w:tcW w:w="1352" w:type="dxa"/>
            <w:tcBorders>
              <w:top w:val="single" w:sz="4" w:space="0" w:color="auto"/>
              <w:left w:val="nil"/>
              <w:bottom w:val="single" w:sz="4" w:space="0" w:color="auto"/>
              <w:right w:val="single" w:sz="4" w:space="0" w:color="auto"/>
            </w:tcBorders>
            <w:hideMark/>
          </w:tcPr>
          <w:p w14:paraId="00BB81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156</w:t>
            </w:r>
          </w:p>
        </w:tc>
        <w:tc>
          <w:tcPr>
            <w:tcW w:w="1454" w:type="dxa"/>
            <w:tcBorders>
              <w:top w:val="single" w:sz="4" w:space="0" w:color="auto"/>
              <w:left w:val="nil"/>
              <w:bottom w:val="single" w:sz="4" w:space="0" w:color="auto"/>
              <w:right w:val="single" w:sz="4" w:space="0" w:color="auto"/>
            </w:tcBorders>
            <w:hideMark/>
          </w:tcPr>
          <w:p w14:paraId="3458CC9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(92.30)</w:t>
            </w:r>
          </w:p>
        </w:tc>
        <w:tc>
          <w:tcPr>
            <w:tcW w:w="1352" w:type="dxa"/>
            <w:tcBorders>
              <w:top w:val="single" w:sz="4" w:space="0" w:color="auto"/>
              <w:left w:val="nil"/>
              <w:bottom w:val="single" w:sz="4" w:space="0" w:color="auto"/>
              <w:right w:val="single" w:sz="4" w:space="0" w:color="auto"/>
            </w:tcBorders>
            <w:hideMark/>
          </w:tcPr>
          <w:p w14:paraId="4DAD536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w:t>
            </w:r>
          </w:p>
        </w:tc>
        <w:tc>
          <w:tcPr>
            <w:tcW w:w="1454" w:type="dxa"/>
            <w:tcBorders>
              <w:top w:val="single" w:sz="4" w:space="0" w:color="auto"/>
              <w:left w:val="nil"/>
              <w:bottom w:val="single" w:sz="4" w:space="0" w:color="auto"/>
              <w:right w:val="single" w:sz="4" w:space="0" w:color="auto"/>
            </w:tcBorders>
            <w:hideMark/>
          </w:tcPr>
          <w:p w14:paraId="0D65BBF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(7.70)</w:t>
            </w:r>
          </w:p>
        </w:tc>
        <w:tc>
          <w:tcPr>
            <w:tcW w:w="1119" w:type="dxa"/>
            <w:tcBorders>
              <w:top w:val="single" w:sz="4" w:space="0" w:color="auto"/>
              <w:left w:val="nil"/>
              <w:bottom w:val="single" w:sz="4" w:space="0" w:color="auto"/>
              <w:right w:val="single" w:sz="4" w:space="0" w:color="auto"/>
            </w:tcBorders>
          </w:tcPr>
          <w:p w14:paraId="12E912EE"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1287F54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E6A8AC3"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21CB78D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 Elsewhere</w:t>
            </w:r>
          </w:p>
        </w:tc>
        <w:tc>
          <w:tcPr>
            <w:tcW w:w="1352" w:type="dxa"/>
            <w:tcBorders>
              <w:top w:val="single" w:sz="4" w:space="0" w:color="auto"/>
              <w:left w:val="nil"/>
              <w:bottom w:val="single" w:sz="4" w:space="0" w:color="auto"/>
              <w:right w:val="single" w:sz="4" w:space="0" w:color="auto"/>
            </w:tcBorders>
            <w:hideMark/>
          </w:tcPr>
          <w:p w14:paraId="15E8076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179</w:t>
            </w:r>
          </w:p>
        </w:tc>
        <w:tc>
          <w:tcPr>
            <w:tcW w:w="1454" w:type="dxa"/>
            <w:tcBorders>
              <w:top w:val="single" w:sz="4" w:space="0" w:color="auto"/>
              <w:left w:val="nil"/>
              <w:bottom w:val="single" w:sz="4" w:space="0" w:color="auto"/>
              <w:right w:val="single" w:sz="4" w:space="0" w:color="auto"/>
            </w:tcBorders>
            <w:hideMark/>
          </w:tcPr>
          <w:p w14:paraId="016FF95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(59.90)</w:t>
            </w:r>
          </w:p>
        </w:tc>
        <w:tc>
          <w:tcPr>
            <w:tcW w:w="1352" w:type="dxa"/>
            <w:tcBorders>
              <w:top w:val="single" w:sz="4" w:space="0" w:color="auto"/>
              <w:left w:val="nil"/>
              <w:bottom w:val="single" w:sz="4" w:space="0" w:color="auto"/>
              <w:right w:val="single" w:sz="4" w:space="0" w:color="auto"/>
            </w:tcBorders>
            <w:hideMark/>
          </w:tcPr>
          <w:p w14:paraId="3FBC738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120</w:t>
            </w:r>
          </w:p>
        </w:tc>
        <w:tc>
          <w:tcPr>
            <w:tcW w:w="1454" w:type="dxa"/>
            <w:tcBorders>
              <w:top w:val="single" w:sz="4" w:space="0" w:color="auto"/>
              <w:left w:val="nil"/>
              <w:bottom w:val="single" w:sz="4" w:space="0" w:color="auto"/>
              <w:right w:val="single" w:sz="4" w:space="0" w:color="auto"/>
            </w:tcBorders>
            <w:hideMark/>
          </w:tcPr>
          <w:p w14:paraId="3BA94A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(40.10)</w:t>
            </w:r>
          </w:p>
        </w:tc>
        <w:tc>
          <w:tcPr>
            <w:tcW w:w="1119" w:type="dxa"/>
            <w:tcBorders>
              <w:top w:val="single" w:sz="4" w:space="0" w:color="auto"/>
              <w:left w:val="nil"/>
              <w:bottom w:val="single" w:sz="4" w:space="0" w:color="auto"/>
              <w:right w:val="single" w:sz="4" w:space="0" w:color="auto"/>
            </w:tcBorders>
          </w:tcPr>
          <w:p w14:paraId="688F8BDE"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65F5B69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725455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85A0E63"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Unbooked</w:t>
            </w:r>
            <w:proofErr w:type="spellEnd"/>
          </w:p>
        </w:tc>
        <w:tc>
          <w:tcPr>
            <w:tcW w:w="1352" w:type="dxa"/>
            <w:tcBorders>
              <w:top w:val="single" w:sz="4" w:space="0" w:color="auto"/>
              <w:left w:val="nil"/>
              <w:bottom w:val="single" w:sz="4" w:space="0" w:color="auto"/>
              <w:right w:val="single" w:sz="4" w:space="0" w:color="auto"/>
            </w:tcBorders>
            <w:hideMark/>
          </w:tcPr>
          <w:p w14:paraId="31E6EAF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w:t>
            </w:r>
          </w:p>
        </w:tc>
        <w:tc>
          <w:tcPr>
            <w:tcW w:w="1454" w:type="dxa"/>
            <w:tcBorders>
              <w:top w:val="single" w:sz="4" w:space="0" w:color="auto"/>
              <w:left w:val="nil"/>
              <w:bottom w:val="single" w:sz="4" w:space="0" w:color="auto"/>
              <w:right w:val="single" w:sz="4" w:space="0" w:color="auto"/>
            </w:tcBorders>
            <w:hideMark/>
          </w:tcPr>
          <w:p w14:paraId="02D1017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(58.30)</w:t>
            </w:r>
          </w:p>
        </w:tc>
        <w:tc>
          <w:tcPr>
            <w:tcW w:w="1352" w:type="dxa"/>
            <w:tcBorders>
              <w:top w:val="single" w:sz="4" w:space="0" w:color="auto"/>
              <w:left w:val="nil"/>
              <w:bottom w:val="single" w:sz="4" w:space="0" w:color="auto"/>
              <w:right w:val="single" w:sz="4" w:space="0" w:color="auto"/>
            </w:tcBorders>
            <w:hideMark/>
          </w:tcPr>
          <w:p w14:paraId="2730FB4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w:t>
            </w:r>
          </w:p>
        </w:tc>
        <w:tc>
          <w:tcPr>
            <w:tcW w:w="1454" w:type="dxa"/>
            <w:tcBorders>
              <w:top w:val="single" w:sz="4" w:space="0" w:color="auto"/>
              <w:left w:val="nil"/>
              <w:bottom w:val="single" w:sz="4" w:space="0" w:color="auto"/>
              <w:right w:val="single" w:sz="4" w:space="0" w:color="auto"/>
            </w:tcBorders>
            <w:hideMark/>
          </w:tcPr>
          <w:p w14:paraId="1D23D71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(41.70)</w:t>
            </w:r>
          </w:p>
        </w:tc>
        <w:tc>
          <w:tcPr>
            <w:tcW w:w="1119" w:type="dxa"/>
            <w:tcBorders>
              <w:top w:val="single" w:sz="4" w:space="0" w:color="auto"/>
              <w:left w:val="nil"/>
              <w:bottom w:val="single" w:sz="4" w:space="0" w:color="auto"/>
              <w:right w:val="single" w:sz="4" w:space="0" w:color="auto"/>
            </w:tcBorders>
          </w:tcPr>
          <w:p w14:paraId="02FF5C1C"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197D4DFB"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E39A24C"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BE1089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GA at delivery (weeks)</w:t>
            </w:r>
          </w:p>
        </w:tc>
        <w:tc>
          <w:tcPr>
            <w:tcW w:w="1352" w:type="dxa"/>
            <w:tcBorders>
              <w:top w:val="single" w:sz="4" w:space="0" w:color="auto"/>
              <w:left w:val="nil"/>
              <w:bottom w:val="single" w:sz="4" w:space="0" w:color="auto"/>
              <w:right w:val="single" w:sz="4" w:space="0" w:color="auto"/>
            </w:tcBorders>
          </w:tcPr>
          <w:p w14:paraId="3312A248"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CE86484"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2A651D48"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04211A6B"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04FF246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19.321</w:t>
            </w:r>
          </w:p>
        </w:tc>
        <w:tc>
          <w:tcPr>
            <w:tcW w:w="1123" w:type="dxa"/>
            <w:tcBorders>
              <w:top w:val="single" w:sz="4" w:space="0" w:color="auto"/>
              <w:left w:val="nil"/>
              <w:bottom w:val="single" w:sz="4" w:space="0" w:color="auto"/>
              <w:right w:val="single" w:sz="4" w:space="0" w:color="auto"/>
            </w:tcBorders>
            <w:hideMark/>
          </w:tcPr>
          <w:p w14:paraId="4B238F3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79431055"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414005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&lt;28</w:t>
            </w:r>
          </w:p>
        </w:tc>
        <w:tc>
          <w:tcPr>
            <w:tcW w:w="1352" w:type="dxa"/>
            <w:tcBorders>
              <w:top w:val="single" w:sz="4" w:space="0" w:color="auto"/>
              <w:left w:val="nil"/>
              <w:bottom w:val="single" w:sz="4" w:space="0" w:color="auto"/>
              <w:right w:val="single" w:sz="4" w:space="0" w:color="auto"/>
            </w:tcBorders>
            <w:hideMark/>
          </w:tcPr>
          <w:p w14:paraId="3E5F104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454" w:type="dxa"/>
            <w:tcBorders>
              <w:top w:val="single" w:sz="4" w:space="0" w:color="auto"/>
              <w:left w:val="nil"/>
              <w:bottom w:val="single" w:sz="4" w:space="0" w:color="auto"/>
              <w:right w:val="single" w:sz="4" w:space="0" w:color="auto"/>
            </w:tcBorders>
            <w:hideMark/>
          </w:tcPr>
          <w:p w14:paraId="600076F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(42.90)</w:t>
            </w:r>
          </w:p>
        </w:tc>
        <w:tc>
          <w:tcPr>
            <w:tcW w:w="1352" w:type="dxa"/>
            <w:tcBorders>
              <w:top w:val="single" w:sz="4" w:space="0" w:color="auto"/>
              <w:left w:val="nil"/>
              <w:bottom w:val="single" w:sz="4" w:space="0" w:color="auto"/>
              <w:right w:val="single" w:sz="4" w:space="0" w:color="auto"/>
            </w:tcBorders>
            <w:hideMark/>
          </w:tcPr>
          <w:p w14:paraId="0CE1CA2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454" w:type="dxa"/>
            <w:tcBorders>
              <w:top w:val="single" w:sz="4" w:space="0" w:color="auto"/>
              <w:left w:val="nil"/>
              <w:bottom w:val="single" w:sz="4" w:space="0" w:color="auto"/>
              <w:right w:val="single" w:sz="4" w:space="0" w:color="auto"/>
            </w:tcBorders>
            <w:hideMark/>
          </w:tcPr>
          <w:p w14:paraId="4D146EB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(57.10)</w:t>
            </w:r>
          </w:p>
        </w:tc>
        <w:tc>
          <w:tcPr>
            <w:tcW w:w="1119" w:type="dxa"/>
            <w:tcBorders>
              <w:top w:val="single" w:sz="4" w:space="0" w:color="auto"/>
              <w:left w:val="nil"/>
              <w:bottom w:val="single" w:sz="4" w:space="0" w:color="auto"/>
              <w:right w:val="single" w:sz="4" w:space="0" w:color="auto"/>
            </w:tcBorders>
          </w:tcPr>
          <w:p w14:paraId="23E83FB1"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1FE041A5"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55F423C5"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1CD6925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28-36</w:t>
            </w:r>
          </w:p>
        </w:tc>
        <w:tc>
          <w:tcPr>
            <w:tcW w:w="1352" w:type="dxa"/>
            <w:tcBorders>
              <w:top w:val="single" w:sz="4" w:space="0" w:color="auto"/>
              <w:left w:val="nil"/>
              <w:bottom w:val="single" w:sz="4" w:space="0" w:color="auto"/>
              <w:right w:val="single" w:sz="4" w:space="0" w:color="auto"/>
            </w:tcBorders>
            <w:hideMark/>
          </w:tcPr>
          <w:p w14:paraId="6EB8675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w:t>
            </w:r>
          </w:p>
        </w:tc>
        <w:tc>
          <w:tcPr>
            <w:tcW w:w="1454" w:type="dxa"/>
            <w:tcBorders>
              <w:top w:val="single" w:sz="4" w:space="0" w:color="auto"/>
              <w:left w:val="nil"/>
              <w:bottom w:val="single" w:sz="4" w:space="0" w:color="auto"/>
              <w:right w:val="single" w:sz="4" w:space="0" w:color="auto"/>
            </w:tcBorders>
            <w:hideMark/>
          </w:tcPr>
          <w:p w14:paraId="3360A79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(57.70)</w:t>
            </w:r>
          </w:p>
        </w:tc>
        <w:tc>
          <w:tcPr>
            <w:tcW w:w="1352" w:type="dxa"/>
            <w:tcBorders>
              <w:top w:val="single" w:sz="4" w:space="0" w:color="auto"/>
              <w:left w:val="nil"/>
              <w:bottom w:val="single" w:sz="4" w:space="0" w:color="auto"/>
              <w:right w:val="single" w:sz="4" w:space="0" w:color="auto"/>
            </w:tcBorders>
            <w:hideMark/>
          </w:tcPr>
          <w:p w14:paraId="1E09BD1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58</w:t>
            </w:r>
          </w:p>
        </w:tc>
        <w:tc>
          <w:tcPr>
            <w:tcW w:w="1454" w:type="dxa"/>
            <w:tcBorders>
              <w:top w:val="single" w:sz="4" w:space="0" w:color="auto"/>
              <w:left w:val="nil"/>
              <w:bottom w:val="single" w:sz="4" w:space="0" w:color="auto"/>
              <w:right w:val="single" w:sz="4" w:space="0" w:color="auto"/>
            </w:tcBorders>
            <w:hideMark/>
          </w:tcPr>
          <w:p w14:paraId="76A823D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(42.30)</w:t>
            </w:r>
          </w:p>
        </w:tc>
        <w:tc>
          <w:tcPr>
            <w:tcW w:w="1119" w:type="dxa"/>
            <w:tcBorders>
              <w:top w:val="single" w:sz="4" w:space="0" w:color="auto"/>
              <w:left w:val="nil"/>
              <w:bottom w:val="single" w:sz="4" w:space="0" w:color="auto"/>
              <w:right w:val="single" w:sz="4" w:space="0" w:color="auto"/>
            </w:tcBorders>
          </w:tcPr>
          <w:p w14:paraId="2B752044"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763AD1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7E64724"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120D234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37-42</w:t>
            </w:r>
          </w:p>
        </w:tc>
        <w:tc>
          <w:tcPr>
            <w:tcW w:w="1352" w:type="dxa"/>
            <w:tcBorders>
              <w:top w:val="single" w:sz="4" w:space="0" w:color="auto"/>
              <w:left w:val="nil"/>
              <w:bottom w:val="single" w:sz="4" w:space="0" w:color="auto"/>
              <w:right w:val="single" w:sz="4" w:space="0" w:color="auto"/>
            </w:tcBorders>
            <w:hideMark/>
          </w:tcPr>
          <w:p w14:paraId="1D0FCF3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264</w:t>
            </w:r>
          </w:p>
        </w:tc>
        <w:tc>
          <w:tcPr>
            <w:tcW w:w="1454" w:type="dxa"/>
            <w:tcBorders>
              <w:top w:val="single" w:sz="4" w:space="0" w:color="auto"/>
              <w:left w:val="nil"/>
              <w:bottom w:val="single" w:sz="4" w:space="0" w:color="auto"/>
              <w:right w:val="single" w:sz="4" w:space="0" w:color="auto"/>
            </w:tcBorders>
            <w:hideMark/>
          </w:tcPr>
          <w:p w14:paraId="028D11B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(75.60)</w:t>
            </w:r>
          </w:p>
        </w:tc>
        <w:tc>
          <w:tcPr>
            <w:tcW w:w="1352" w:type="dxa"/>
            <w:tcBorders>
              <w:top w:val="single" w:sz="4" w:space="0" w:color="auto"/>
              <w:left w:val="nil"/>
              <w:bottom w:val="single" w:sz="4" w:space="0" w:color="auto"/>
              <w:right w:val="single" w:sz="4" w:space="0" w:color="auto"/>
            </w:tcBorders>
            <w:hideMark/>
          </w:tcPr>
          <w:p w14:paraId="78EDCE8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85</w:t>
            </w:r>
          </w:p>
        </w:tc>
        <w:tc>
          <w:tcPr>
            <w:tcW w:w="1454" w:type="dxa"/>
            <w:tcBorders>
              <w:top w:val="single" w:sz="4" w:space="0" w:color="auto"/>
              <w:left w:val="nil"/>
              <w:bottom w:val="single" w:sz="4" w:space="0" w:color="auto"/>
              <w:right w:val="single" w:sz="4" w:space="0" w:color="auto"/>
            </w:tcBorders>
            <w:hideMark/>
          </w:tcPr>
          <w:p w14:paraId="5618251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(24.40)</w:t>
            </w:r>
          </w:p>
        </w:tc>
        <w:tc>
          <w:tcPr>
            <w:tcW w:w="1119" w:type="dxa"/>
            <w:tcBorders>
              <w:top w:val="single" w:sz="4" w:space="0" w:color="auto"/>
              <w:left w:val="nil"/>
              <w:bottom w:val="single" w:sz="4" w:space="0" w:color="auto"/>
              <w:right w:val="single" w:sz="4" w:space="0" w:color="auto"/>
            </w:tcBorders>
          </w:tcPr>
          <w:p w14:paraId="77531E32"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ABA4B4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1EEE383"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8442F4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&gt;42</w:t>
            </w:r>
          </w:p>
        </w:tc>
        <w:tc>
          <w:tcPr>
            <w:tcW w:w="1352" w:type="dxa"/>
            <w:tcBorders>
              <w:top w:val="single" w:sz="4" w:space="0" w:color="auto"/>
              <w:left w:val="nil"/>
              <w:bottom w:val="single" w:sz="4" w:space="0" w:color="auto"/>
              <w:right w:val="single" w:sz="4" w:space="0" w:color="auto"/>
            </w:tcBorders>
            <w:hideMark/>
          </w:tcPr>
          <w:p w14:paraId="3AD7AD8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w:t>
            </w:r>
          </w:p>
        </w:tc>
        <w:tc>
          <w:tcPr>
            <w:tcW w:w="1454" w:type="dxa"/>
            <w:tcBorders>
              <w:top w:val="single" w:sz="4" w:space="0" w:color="auto"/>
              <w:left w:val="nil"/>
              <w:bottom w:val="single" w:sz="4" w:space="0" w:color="auto"/>
              <w:right w:val="single" w:sz="4" w:space="0" w:color="auto"/>
            </w:tcBorders>
            <w:hideMark/>
          </w:tcPr>
          <w:p w14:paraId="7F283CD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(90.90)</w:t>
            </w:r>
          </w:p>
        </w:tc>
        <w:tc>
          <w:tcPr>
            <w:tcW w:w="1352" w:type="dxa"/>
            <w:tcBorders>
              <w:top w:val="single" w:sz="4" w:space="0" w:color="auto"/>
              <w:left w:val="nil"/>
              <w:bottom w:val="single" w:sz="4" w:space="0" w:color="auto"/>
              <w:right w:val="single" w:sz="4" w:space="0" w:color="auto"/>
            </w:tcBorders>
            <w:hideMark/>
          </w:tcPr>
          <w:p w14:paraId="45B25A5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454" w:type="dxa"/>
            <w:tcBorders>
              <w:top w:val="single" w:sz="4" w:space="0" w:color="auto"/>
              <w:left w:val="nil"/>
              <w:bottom w:val="single" w:sz="4" w:space="0" w:color="auto"/>
              <w:right w:val="single" w:sz="4" w:space="0" w:color="auto"/>
            </w:tcBorders>
            <w:hideMark/>
          </w:tcPr>
          <w:p w14:paraId="6641C1C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(9.10)</w:t>
            </w:r>
          </w:p>
        </w:tc>
        <w:tc>
          <w:tcPr>
            <w:tcW w:w="1119" w:type="dxa"/>
            <w:tcBorders>
              <w:top w:val="single" w:sz="4" w:space="0" w:color="auto"/>
              <w:left w:val="nil"/>
              <w:bottom w:val="single" w:sz="4" w:space="0" w:color="auto"/>
              <w:right w:val="single" w:sz="4" w:space="0" w:color="auto"/>
            </w:tcBorders>
          </w:tcPr>
          <w:p w14:paraId="03B301C0"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0556E72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4DBBCDF"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49B0D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Mode of delivery</w:t>
            </w:r>
          </w:p>
        </w:tc>
        <w:tc>
          <w:tcPr>
            <w:tcW w:w="1352" w:type="dxa"/>
            <w:tcBorders>
              <w:top w:val="single" w:sz="4" w:space="0" w:color="auto"/>
              <w:left w:val="nil"/>
              <w:bottom w:val="single" w:sz="4" w:space="0" w:color="auto"/>
              <w:right w:val="single" w:sz="4" w:space="0" w:color="auto"/>
            </w:tcBorders>
          </w:tcPr>
          <w:p w14:paraId="7B6988A1"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1AAB8B64"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420F3B64"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5D6650C8"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3935E04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2.655</w:t>
            </w:r>
          </w:p>
        </w:tc>
        <w:tc>
          <w:tcPr>
            <w:tcW w:w="1123" w:type="dxa"/>
            <w:tcBorders>
              <w:top w:val="single" w:sz="4" w:space="0" w:color="auto"/>
              <w:left w:val="nil"/>
              <w:bottom w:val="single" w:sz="4" w:space="0" w:color="auto"/>
              <w:right w:val="single" w:sz="4" w:space="0" w:color="auto"/>
            </w:tcBorders>
            <w:hideMark/>
          </w:tcPr>
          <w:p w14:paraId="62E8B7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0.298*</w:t>
            </w:r>
          </w:p>
        </w:tc>
      </w:tr>
      <w:tr w:rsidR="006726CF" w:rsidRPr="00B04B2E" w14:paraId="02AF0366"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4CE979F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SVD</w:t>
            </w:r>
          </w:p>
        </w:tc>
        <w:tc>
          <w:tcPr>
            <w:tcW w:w="1352" w:type="dxa"/>
            <w:tcBorders>
              <w:top w:val="single" w:sz="4" w:space="0" w:color="auto"/>
              <w:left w:val="nil"/>
              <w:bottom w:val="single" w:sz="4" w:space="0" w:color="auto"/>
              <w:right w:val="single" w:sz="4" w:space="0" w:color="auto"/>
            </w:tcBorders>
            <w:hideMark/>
          </w:tcPr>
          <w:p w14:paraId="33FA145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176</w:t>
            </w:r>
          </w:p>
        </w:tc>
        <w:tc>
          <w:tcPr>
            <w:tcW w:w="1454" w:type="dxa"/>
            <w:tcBorders>
              <w:top w:val="single" w:sz="4" w:space="0" w:color="auto"/>
              <w:left w:val="nil"/>
              <w:bottom w:val="single" w:sz="4" w:space="0" w:color="auto"/>
              <w:right w:val="single" w:sz="4" w:space="0" w:color="auto"/>
            </w:tcBorders>
            <w:hideMark/>
          </w:tcPr>
          <w:p w14:paraId="1BEA116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(71.50)</w:t>
            </w:r>
          </w:p>
        </w:tc>
        <w:tc>
          <w:tcPr>
            <w:tcW w:w="1352" w:type="dxa"/>
            <w:tcBorders>
              <w:top w:val="single" w:sz="4" w:space="0" w:color="auto"/>
              <w:left w:val="nil"/>
              <w:bottom w:val="single" w:sz="4" w:space="0" w:color="auto"/>
              <w:right w:val="single" w:sz="4" w:space="0" w:color="auto"/>
            </w:tcBorders>
            <w:hideMark/>
          </w:tcPr>
          <w:p w14:paraId="7DA9D20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70</w:t>
            </w:r>
          </w:p>
        </w:tc>
        <w:tc>
          <w:tcPr>
            <w:tcW w:w="1454" w:type="dxa"/>
            <w:tcBorders>
              <w:top w:val="single" w:sz="4" w:space="0" w:color="auto"/>
              <w:left w:val="nil"/>
              <w:bottom w:val="single" w:sz="4" w:space="0" w:color="auto"/>
              <w:right w:val="single" w:sz="4" w:space="0" w:color="auto"/>
            </w:tcBorders>
            <w:hideMark/>
          </w:tcPr>
          <w:p w14:paraId="76EAAF2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(28.50)</w:t>
            </w:r>
          </w:p>
        </w:tc>
        <w:tc>
          <w:tcPr>
            <w:tcW w:w="1119" w:type="dxa"/>
            <w:tcBorders>
              <w:top w:val="single" w:sz="4" w:space="0" w:color="auto"/>
              <w:left w:val="nil"/>
              <w:bottom w:val="single" w:sz="4" w:space="0" w:color="auto"/>
              <w:right w:val="single" w:sz="4" w:space="0" w:color="auto"/>
            </w:tcBorders>
          </w:tcPr>
          <w:p w14:paraId="244D7083"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9E21E3E"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51961DD"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F220F7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Instrumental delivery</w:t>
            </w:r>
          </w:p>
        </w:tc>
        <w:tc>
          <w:tcPr>
            <w:tcW w:w="1352" w:type="dxa"/>
            <w:tcBorders>
              <w:top w:val="single" w:sz="4" w:space="0" w:color="auto"/>
              <w:left w:val="nil"/>
              <w:bottom w:val="single" w:sz="4" w:space="0" w:color="auto"/>
              <w:right w:val="single" w:sz="4" w:space="0" w:color="auto"/>
            </w:tcBorders>
            <w:hideMark/>
          </w:tcPr>
          <w:p w14:paraId="28B8E11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454" w:type="dxa"/>
            <w:tcBorders>
              <w:top w:val="single" w:sz="4" w:space="0" w:color="auto"/>
              <w:left w:val="nil"/>
              <w:bottom w:val="single" w:sz="4" w:space="0" w:color="auto"/>
              <w:right w:val="single" w:sz="4" w:space="0" w:color="auto"/>
            </w:tcBorders>
            <w:hideMark/>
          </w:tcPr>
          <w:p w14:paraId="579F0B9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(42.90)</w:t>
            </w:r>
          </w:p>
        </w:tc>
        <w:tc>
          <w:tcPr>
            <w:tcW w:w="1352" w:type="dxa"/>
            <w:tcBorders>
              <w:top w:val="single" w:sz="4" w:space="0" w:color="auto"/>
              <w:left w:val="nil"/>
              <w:bottom w:val="single" w:sz="4" w:space="0" w:color="auto"/>
              <w:right w:val="single" w:sz="4" w:space="0" w:color="auto"/>
            </w:tcBorders>
            <w:hideMark/>
          </w:tcPr>
          <w:p w14:paraId="0B8B6A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454" w:type="dxa"/>
            <w:tcBorders>
              <w:top w:val="single" w:sz="4" w:space="0" w:color="auto"/>
              <w:left w:val="nil"/>
              <w:bottom w:val="single" w:sz="4" w:space="0" w:color="auto"/>
              <w:right w:val="single" w:sz="4" w:space="0" w:color="auto"/>
            </w:tcBorders>
            <w:hideMark/>
          </w:tcPr>
          <w:p w14:paraId="7E85873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(57.10)</w:t>
            </w:r>
          </w:p>
        </w:tc>
        <w:tc>
          <w:tcPr>
            <w:tcW w:w="1119" w:type="dxa"/>
            <w:tcBorders>
              <w:top w:val="single" w:sz="4" w:space="0" w:color="auto"/>
              <w:left w:val="nil"/>
              <w:bottom w:val="single" w:sz="4" w:space="0" w:color="auto"/>
              <w:right w:val="single" w:sz="4" w:space="0" w:color="auto"/>
            </w:tcBorders>
          </w:tcPr>
          <w:p w14:paraId="63A1FB36"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582F2E8B"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5797CF2E"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59CC2D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CS</w:t>
            </w:r>
          </w:p>
        </w:tc>
        <w:tc>
          <w:tcPr>
            <w:tcW w:w="1352" w:type="dxa"/>
            <w:tcBorders>
              <w:top w:val="single" w:sz="4" w:space="0" w:color="auto"/>
              <w:left w:val="nil"/>
              <w:bottom w:val="single" w:sz="4" w:space="0" w:color="auto"/>
              <w:right w:val="single" w:sz="4" w:space="0" w:color="auto"/>
            </w:tcBorders>
            <w:hideMark/>
          </w:tcPr>
          <w:p w14:paraId="08EE2C0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177</w:t>
            </w:r>
          </w:p>
        </w:tc>
        <w:tc>
          <w:tcPr>
            <w:tcW w:w="1454" w:type="dxa"/>
            <w:tcBorders>
              <w:top w:val="single" w:sz="4" w:space="0" w:color="auto"/>
              <w:left w:val="nil"/>
              <w:bottom w:val="single" w:sz="4" w:space="0" w:color="auto"/>
              <w:right w:val="single" w:sz="4" w:space="0" w:color="auto"/>
            </w:tcBorders>
            <w:hideMark/>
          </w:tcPr>
          <w:p w14:paraId="341B0A9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(70.50)</w:t>
            </w:r>
          </w:p>
        </w:tc>
        <w:tc>
          <w:tcPr>
            <w:tcW w:w="1352" w:type="dxa"/>
            <w:tcBorders>
              <w:top w:val="single" w:sz="4" w:space="0" w:color="auto"/>
              <w:left w:val="nil"/>
              <w:bottom w:val="single" w:sz="4" w:space="0" w:color="auto"/>
              <w:right w:val="single" w:sz="4" w:space="0" w:color="auto"/>
            </w:tcBorders>
            <w:hideMark/>
          </w:tcPr>
          <w:p w14:paraId="0C720FB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74</w:t>
            </w:r>
          </w:p>
        </w:tc>
        <w:tc>
          <w:tcPr>
            <w:tcW w:w="1454" w:type="dxa"/>
            <w:tcBorders>
              <w:top w:val="single" w:sz="4" w:space="0" w:color="auto"/>
              <w:left w:val="nil"/>
              <w:bottom w:val="single" w:sz="4" w:space="0" w:color="auto"/>
              <w:right w:val="single" w:sz="4" w:space="0" w:color="auto"/>
            </w:tcBorders>
            <w:hideMark/>
          </w:tcPr>
          <w:p w14:paraId="0ED260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(29.50)</w:t>
            </w:r>
          </w:p>
        </w:tc>
        <w:tc>
          <w:tcPr>
            <w:tcW w:w="1119" w:type="dxa"/>
            <w:tcBorders>
              <w:top w:val="single" w:sz="4" w:space="0" w:color="auto"/>
              <w:left w:val="nil"/>
              <w:bottom w:val="single" w:sz="4" w:space="0" w:color="auto"/>
              <w:right w:val="single" w:sz="4" w:space="0" w:color="auto"/>
            </w:tcBorders>
          </w:tcPr>
          <w:p w14:paraId="37D4EF8C"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7EF6A7FF" w14:textId="77777777" w:rsidR="006726CF" w:rsidRPr="00B04B2E" w:rsidRDefault="006726CF">
            <w:pPr>
              <w:spacing w:before="100" w:beforeAutospacing="1" w:line="360" w:lineRule="auto"/>
              <w:rPr>
                <w:rFonts w:ascii="Times New Roman" w:hAnsi="Times New Roman"/>
                <w:sz w:val="24"/>
                <w:szCs w:val="24"/>
              </w:rPr>
            </w:pPr>
          </w:p>
        </w:tc>
      </w:tr>
    </w:tbl>
    <w:p w14:paraId="75F4072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Fishers exact test used because more than 20% of the cells have expected counts of less than five.</w:t>
      </w:r>
    </w:p>
    <w:p w14:paraId="2DC25AA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41C6E3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table presents the relationship between demographic and obstetric characteristics and complications among women with HDP at the FTH Gombe. The results show that age, booking status, and gestational age at delivery were significantly associated with maternal complications.</w:t>
      </w:r>
    </w:p>
    <w:p w14:paraId="21BE157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The results show that the younger maternal age groups (&lt;20 and 20-24 years) were significantly associated with a higher rate of complications (38.9% and 41.70% respectively), while the older age group (35-39 years) had the lowest rate (14.9%). Booking status was also found to be a significant factor, with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and booked elsewhere patients having higher complication rates (41.7% and 40.1%, respectively) compared to booked patients (7.7%). Gestational age at delivery was another significant factor, with preterm deliveries (&lt;37 weeks) having higher complication rates (42.3-57.1%). In contrast, parity and mode of delivery did not significantly impact complication rates.</w:t>
      </w:r>
    </w:p>
    <w:p w14:paraId="144B5BD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A10060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3C30A3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DISCUSSION</w:t>
      </w:r>
    </w:p>
    <w:p w14:paraId="2C6C90A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incidence of hypertensive disorders of pregnancy was 31.0% in this study. The incidence from this study is significantly higher than most other recent studies that have reported incidences of 11.6% and 9.4% respectively.</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{"citationID":"Bt3jrcGD","properties":{"formattedCitation":"\\super 6,8\\nosupersub{}","plainCitation":"6,8","noteIndex":0},"citationItems":[{"id":5,"uris":["http://zotero.org/users/local/Xqbf4Pjx/items/S7UYUBR8"],"itemData":{"id":5,"type":"article-journal","abstract":"Objective: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6,8</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The reason for the increased incidence rate may be because FTHG is a referral center hence a pool for most of these cases. This is supported by the fact that most of the cases were booked elsewhere and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The high incidence may however be a true reflection of the overall incidence of HDP at Gombe and this requires further studies.  A study carried out in Gombe</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{"citationID":"nr4oiVNv","properties":{"formattedCitation":"\\super 19\\nosupersub{}","plainCitation":"19","noteIndex":0},"citationItems":[{"id":30,"uris":["http://zotero.org/users/local/Xqbf4Pjx/items/4JN6SQEA"],"itemData":{"id":30,"type":"article-journal","container-title":"International Journal of Gynaecology and Obstetrics: The Official Organ of the International Federation of Gynaecology and Obstetrics","DOI":"10.1016/j.ijgo.2005.10.029","ISSN":"0020-7292","issue":"3","journalAbbreviation":"Int J Gynaecol Obstet","language":"eng","note":"PMID: 16413552","page":"251-252","source":"PubMed","title":"Pregnancy outcomes of women with eclampsia in Gombe, Nigeria","volume":"92","author":[{"family":"Melah","given":"G. S."},{"family":"Massa","given":"A. A."},{"family":"El-Nafaty","given":"A. U."}],"issued":{"date-parts":[["2006",3]]}}}],"schema":"https://github.com/citation-style-language/schema/raw/master/csl-citation.json"}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19</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reported incidence of eclampsia of 3.7% compared to similar studies performed around the same time in Lagos and Kaduna that reported incidences of 0.25% and 1.18% respectively.</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{"citationID":"lNkIYq0p","properties":{"formattedCitation":"\\super 19,20\\nosupersub{}","plainCitation":"19,20","noteIndex":0},"citationItems":[{"id":30,"uris":["http://zotero.org/users/local/Xqbf4Pjx/items/4JN6SQEA"],"itemData":{"id":30,"type":"article-journal","container-title":"International Journal of Gynaecology and Obstetrics: The Official Organ of the International Federation of Gynaecology and Obstetrics","DOI":"10.1016/j.ijgo.2005.10.029","ISSN":"0020-7292","issue":"3","journalAbbreviation":"Int J Gynaecol Obstet","language":"eng","note":"PMID: 16413552","page":"251-252","source":"PubMed","title":"Pregnancy outcomes of women with eclampsia in Gombe, Nigeria","volume":"92","author":[{"family":"Melah","given":"G. S."},{"family":"Massa","given":"A. A."},{"family":"El-Nafaty","given":"A. U."}],"issued":{"date-parts":[["2006",3]]}}},{"id":32,"uris":["http://zotero.org/users/local/Xqbf4Pjx/items/RICRC64K"],"itemData":{"id":32,"type":"article-journal","abstract":"A review of eclampsia at a University Teaching Hospital in Nigeria is presented with the objective of determining the incidence, clinical features and management outcome and to make recommendations for better outcome. Antepartum eclampsia occurred in 60% of the patients. The most important symptom was headache (100%), while hypertension (88.88%) and fever (42.22%) were the most common signs. Fit control was achieved in 66.6% of the patients with diazepam. Abdominal delivery occurred in 53.3% of the patients. There were 19 maternal and 20 perinatal deaths. There were 45 cases of eclampsia and 10,572 deliveries during the period of study. The incidence of eclampsia was 0.42% (1/235 deliveries); it was highest in the less than 20 years age group (1.68%), the nulliparae (1.27%) and the unbooked patients (1.23%). Eclampsia remains a serious obstetric disorder in tropical obstetric practice. Provision of good quality antenatal care, improving the emergency capability of hospitals and the establishment of Intensive Care Units for the care of eclamptic patients are recommended.","container-title":"Nigerian Journal of Medicine: Journal of the National Association of Resident Doctors of Nigeria","ISSN":"1115-2613","issue":"2","journalAbbreviation":"Niger J Med","language":"eng","note":"PMID: 11705065","page":"81-84","source":"PubMed","title":"Eclampsia in Kaduna State of Nigeria--a proposal for a better outcome","volume":"10","author":[{"family":"Onwuhafua","given":"P. I."},{"family":"Onwuhafua","given":"A."},{"family":"Adze","given":"J."},{"family":"Mairami","given":"Z."}],"issued":{"date-parts":[["2001"]]}},"label":"page"}],"schema":"https://github.com/citation-style-language/schema/raw/master/csl-citation.json"}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19,20</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The finding however showed a  much higher incidence than most studies in Northern Nigeria have reported. One study in Jos, Plateau state reported an incidence of 8.8%.</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{"citationID":"Nrdw5YmX","properties":{"formattedCitation":"\\super 9\\nosupersub{}","plainCitation":"9","noteIndex":0},"citationItems":[{"id":11,"uris":["http://zotero.org/users/local/Xqbf4Pjx/items/2N2J7ATP"],"itemData":{"id":11,"type":"article-journal","abstract":"OBJECTIVE: We sought to estimate the incidence and risk factors associated with development of pre-eclampsia (PET) in Jos, Nigeria.\nMETHODS: 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USA.\nRESULTS: 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1.5-10.0).\nCONCLUSION: 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Sciences","DOI":"10.4314/ahs.v18i3.16","ISSN":"1729-0503","issue":"3","journalAbbreviation":"Afr Health Sci","language":"eng","note":"PMID: 30602991\nPMCID: PMC6307024","page":"584-595","source":"PubMed","title":"Incidence and risk factors for pre-eclampsia in Jos Nigeria","volume":"18","author":[{"family":"Musa","given":"Jonah"},{"family":"Mohammed","given":"Caleb"},{"family":"Ocheke","given":"Amaka"},{"family":"Kahansim","given":"Makswhar"},{"family":"Pam","given":"Victor"},{"family":"Daru","given":"Patrick"}],"issued":{"date-parts":[["2018",9]]}}}],"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9</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Most studies on HDP are streamlined to particular definitions especially severe preeclampsia/eclampsia. In this study all patients with hypertensive disorders in </w:t>
      </w:r>
      <w:proofErr w:type="gramStart"/>
      <w:r w:rsidRPr="00B04B2E">
        <w:rPr>
          <w:rFonts w:ascii="Times New Roman" w:hAnsi="Times New Roman"/>
          <w:sz w:val="24"/>
          <w:szCs w:val="24"/>
        </w:rPr>
        <w:t>pregnancy  ranging</w:t>
      </w:r>
      <w:proofErr w:type="gramEnd"/>
      <w:r w:rsidRPr="00B04B2E">
        <w:rPr>
          <w:rFonts w:ascii="Times New Roman" w:hAnsi="Times New Roman"/>
          <w:sz w:val="24"/>
          <w:szCs w:val="24"/>
        </w:rPr>
        <w:t xml:space="preserve"> from pregnancy induced hypertension to preeclampsia, eclampsia and chronic hypertension occurring during the antepartum, intrapartum and postpartum periods were considered. </w:t>
      </w:r>
    </w:p>
    <w:p w14:paraId="5BF5AC2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Preeclampsia was the most common presentation 176(34.92%) observed in women in this study.  A similar pattern has been reported by different workers.</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{"citationID":"jyH7ieFN","properties":{"formattedCitation":"\\super 6,8,17\\nosupersub{}","plainCitation":"6,8,17","noteIndex":0},"citationItems":[{"id":5,"uris":["http://zotero.org/users/local/Xqbf4Pjx/items/S7UYUBR8"],"itemData":{"id":5,"type":"article-journal","abstract":"Objective: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Aliyu"}],"issued":{"date-parts":[["2020"]]}},"label":"page"},{"id":67,"uris":["http://zotero.org/users/local/Xqbf4Pjx/items/VHYKFAFZ"],"itemData":{"id":67,"type":"webpage","title":"Prevalence of hypertensive disorders of pregnancy, associated factors and pregnancy complications in a primigravida population - ScienceDirect","URL":"https://www.sciencedirect.com/science/article/pii/S2667164623000039","accessed":{"date-parts":[["2025",3,18]]}},"label":"page"}],"schema":"https://github.com/citation-style-language/schema/raw/master/csl-citation.json"}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6,8,17</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Preeclampsia was closely followed up by PIH 174(34.52%). Perhaps, the relative predominance of nullipara (28.17%) may have </w:t>
      </w:r>
      <w:r w:rsidRPr="00B04B2E">
        <w:rPr>
          <w:rFonts w:ascii="Times New Roman" w:hAnsi="Times New Roman"/>
          <w:sz w:val="24"/>
          <w:szCs w:val="24"/>
        </w:rPr>
        <w:lastRenderedPageBreak/>
        <w:t>been responsible since PIH has been reported to be more common among primigravidae. Other studies, however, reported PIH to be the most common form of HDP.</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{"citationID":"nzmFFiLJ","properties":{"formattedCitation":"\\super 11\\nosupersub{}","plainCitation":"11","noteIndex":0},"citationItems":[{"id":15,"uris":["http://zotero.org/users/local/Xqbf4Pjx/items/SERR7QKA"],"itemData":{"id":15,"type":"article-journal","abstract":"BACKGROUND: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11</w:t>
      </w:r>
      <w:r w:rsidR="00B04B2E" w:rsidRPr="00B04B2E">
        <w:rPr>
          <w:rFonts w:ascii="Times New Roman" w:hAnsi="Times New Roman"/>
          <w:sz w:val="24"/>
          <w:szCs w:val="24"/>
        </w:rPr>
        <w:fldChar w:fldCharType="end"/>
      </w:r>
    </w:p>
    <w:p w14:paraId="7ADB614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D30220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mean maternal age of 28.7years may be explained by the age of optimum obstetric performance of 22-29years.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{"citationID":"ImNKHnhP","properties":{"formattedCitation":"\\super 3,11\\nosupersub{}","plainCitation":"3,11","noteIndex":0},"citationItems":[{"id":43,"uris":["http://zotero.org/users/local/Xqbf4Pjx/items/7TR55JH3"],"itemData":{"id":43,"type":"chapter","container-title":"Obstetric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3,11</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This was similar to report from a similar study at Bida with a mean maternal age of  27.6years.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{"citationID":"zII9mxdJ","properties":{"formattedCitation":"\\super 8\\nosupersub{}","plainCitation":"8","noteIndex":0},"citationItems":[{"id":9,"uris":["http://zotero.org/users/local/Xqbf4Pjx/items/CXEZFL2X"],"itemData":{"id":9,"type":"article-journal","abstract":"CONTEXT: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8</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w:t>
      </w:r>
    </w:p>
    <w:p w14:paraId="4A967821"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Majority of the patients were not booked in FTHG elsewhere. Being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or booked elsewhere was associated with significantly worse maternal and perinatal outcome in this study. Similar findings were reported by several workers.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{"citationID":"Cc5bwWHL","properties":{"formattedCitation":"\\super 6,8,9,12\\nosupersub{}","plainCitation":"6,8,9,12","noteIndex":0},"citationItems":[{"id":5,"uris":["http://zotero.org/users/local/Xqbf4Pjx/items/S7UYUBR8"],"itemData":{"id":5,"type":"article-journal","abstract":"Objective: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Aliyu"}],"issued":{"date-parts":[["2020"]]}},"label":"page"},{"id":11,"uris":["http://zotero.org/users/local/Xqbf4Pjx/items/2N2J7ATP"],"itemData":{"id":11,"type":"article-journal","abstract":"OBJECTIVE: We sought to estimate the incidence and risk factors associated with development of pre-eclampsia (PET) in Jos, Nigeria.\nMETHODS: 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USA.\nRESULTS: 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1.5-10.0).\nCONCLUSION: 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Sciences","DOI":"10.4314/ahs.v18i3.16","ISSN":"1729-0503","issue":"3","journalAbbreviation":"Afr Health Sci","language":"eng","note":"PMID: 30602991\nPMCID: PMC6307024","page":"584-595","source":"PubMed","title":"Incidence and risk factors for pre-eclampsia in Jos Nigeria","volume":"18","author":[{"family":"Musa","given":"Jonah"},{"family":"Mohammed","given":"Caleb"},{"family":"Ocheke","given":"Amaka"},{"family":"Kahansim","given":"Makswhar"},{"family":"Pam","given":"Victor"},{"family":"Daru","given":"Patrick"}],"issued":{"date-parts":[["2018",9]]}},"label":"page"},{"id":48,"uris":["http://zotero.org/users/local/Xqbf4Pjx/items/HMT24DA8"],"itemData":{"id":48,"type":"article-journal","abstract":"BACKGROUND: Hypertensive disorders in pregnancy (HDP) represent a group of conditions associated with high blood pressure during pregnancy. It is an important cause of feto-maternal morbidity and mortality, particularly in developing countries. The aims of the study were to find the prevalence of hypertensive disorders and its associated risk factors among women attending the antenatal clinic of Usmanu Danfodiyo University Teaching Hospital,(UDUTH) Sokoto.\nMATERIALS AND METHODS: A longitudinal study of 216 consecutively recruited women that were less than 20 weeks pregnant at booking was carried out. Blood pressure was measured for each woman at booking and at subsequent visits. Urinalysis was done at booking and whenever blood pressure was elevated. Patients were followed-up to delivery and 6 weeks postpartum. Data entry and analysis was done using Statistical Analysis System (SAS) statistical package.\nRESULTS: The prevalence of HDP in the study was 17% while preeclampsia was 6%. Previous history of preeclampsia (P &lt; 0.001; Relative risk (RR) 4.2; conficence interval (CI) 2.144-6.812), multiple gestation (P &lt; 0.03; RR 3.8; CI 1.037-6.235), gestational diabetes (P &lt; 0.02; RR 4.8; CI 1.910-6.751) and obesity (P &lt; 0.002; RR 2.7; CI 1.373-5.511) were the significant risk factors in the development of HDP among the study population.\nCONCLUSION: The prevalence of HDP in the study group is high. Therefore, paying attention to the risk factors will ensure early detection and prevention of the progression of the disease and its sequelae.","container-title":"Nigerian Medical Journal: Journal of the Nigeria Medical Association","DOI":"10.4103/0300-1652.140377","ISSN":"0300-1652","issue":"5","journalAbbreviation":"Niger Med J","language":"eng","note":"PMID: 25298602\nPMCID: PMC4178334","page":"384-388","source":"PubMed","title":"Hypertensive disorders in pregnancy among pregnant women in a Nigerian Teaching Hospital","volume":"55","author":[{"family":"Singh","given":"Swati"},{"family":"Ahmed","given":"Ekele Bissallah"},{"family":"Egondu","given":"Shehu Constance"},{"family":"Ikechukwu","given":"Nwobodo Emmanuel"}],"issued":{"date-parts":[["2014",9]]}},"label":"page"}],"schema":"https://github.com/citation-style-language/schema/raw/master/csl-citation.json"}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6,8,9,12</w:t>
      </w:r>
      <w:r w:rsidR="00B04B2E" w:rsidRPr="00B04B2E">
        <w:rPr>
          <w:rFonts w:ascii="Times New Roman" w:hAnsi="Times New Roman"/>
          <w:sz w:val="24"/>
          <w:szCs w:val="24"/>
        </w:rPr>
        <w:fldChar w:fldCharType="end"/>
      </w:r>
    </w:p>
    <w:p w14:paraId="098B610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In this study, about a half of the patients had a cesarean delivery. Other studies have also corroborated this finding.</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{"citationID":"MUDyTNA4","properties":{"formattedCitation":"\\super 6,8,11,15\\nosupersub{}","plainCitation":"6,8,11,15","noteIndex":0},"citationItems":[{"id":5,"uris":["http://zotero.org/users/local/Xqbf4Pjx/items/S7UYUBR8"],"itemData":{"id":5,"type":"article-journal","abstract":"Objective: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6,8,11,15</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Timely delivery is an essential component of the management protocol in women with hypertensive disorders of pregnancy.</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{"citationID":"DGK1DpnS","properties":{"formattedCitation":"\\super 6\\nosupersub{}","plainCitation":"6","noteIndex":0},"citationItems":[{"id":5,"uris":["http://zotero.org/users/local/Xqbf4Pjx/items/S7UYUBR8"],"itemData":{"id":5,"type":"article-journal","abstract":"Objective: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w:t>
      </w:r>
      <w:r w:rsidR="00B04B2E" w:rsidRPr="00B04B2E">
        <w:rPr>
          <w:rFonts w:ascii="Times New Roman" w:hAnsi="Times New Roman"/>
          <w:sz w:val="24"/>
          <w:szCs w:val="24"/>
        </w:rPr>
        <w:fldChar w:fldCharType="end"/>
      </w:r>
    </w:p>
    <w:p w14:paraId="4317327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At the time of delivery, a stillbirth rate of 16.27% was observed. This finding is similar to reports from studies conducted in Nnewi that reported a stillbirth rate of 17.4%.</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{"citationID":"cfAWTUVQ","properties":{"formattedCitation":"\\super 11\\nosupersub{}","plainCitation":"11","noteIndex":0},"citationItems":[{"id":15,"uris":["http://zotero.org/users/local/Xqbf4Pjx/items/SERR7QKA"],"itemData":{"id":15,"type":"article-journal","abstract":"BACKGROUND: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11</w:t>
      </w:r>
      <w:r w:rsidR="00B04B2E" w:rsidRPr="00B04B2E">
        <w:rPr>
          <w:rFonts w:ascii="Times New Roman" w:hAnsi="Times New Roman"/>
          <w:sz w:val="24"/>
          <w:szCs w:val="24"/>
        </w:rPr>
        <w:fldChar w:fldCharType="end"/>
      </w:r>
    </w:p>
    <w:p w14:paraId="6BF8245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One hundred and forty-eight women developed at least one complication. Abruptio placenta was the commonest complication observed. This was closely followed up by eclampsia. The effect of booking status on the severity and complications of HDP has been observed by many workers.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{"citationID":"fdbUFSnG","properties":{"formattedCitation":"\\super 2,6,8,11\\nosupersub{}","plainCitation":"2,6,8,11","noteIndex":0},"citationItems":[{"id":40,"uris":["http://zotero.org/users/local/Xqbf4Pjx/items/P2NPS4RL"],"itemData":{"id":40,"type":"article-journal","container-title":"Journal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2,6,8,11</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Maternal complications in this study include abruptio placentae, eclampsia, acute renal injury, maternal death, pulmonary edema, cardiovascular accident, and cardiac failure. Similar observation has been reported from other centers.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{"citationID":"mBHpWLvl","properties":{"formattedCitation":"\\super 6,8,11,14\\nosupersub{}","plainCitation":"6,8,11,14","noteIndex":0},"citationItems":[{"id":5,"uris":["http://zotero.org/users/local/Xqbf4Pjx/items/S7UYUBR8"],"itemData":{"id":5,"type":"article-journal","abstract":"Objective: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U."}],"issued":{"date-parts":[["2013"]]}},"label":"page"},{"id":19,"uris":["http://zotero.org/users/local/Xqbf4Pjx/items/5N5JRA5M"],"itemData":{"id":19,"type":"article-journal","abstract":"BACKGROUND: Hypertensive disorders of pregnancy, including hypertension, are a leading cause of maternal mortality in Nigeria. However, there is a paucity of data on pregnant women with hypertension who receive care in primary health care facilities. This study presents the results from a cross-sectional analysis of pregnant women enrolled in the Hypertension Treatment in Nigeria Program which is aimed at integrating and strengthening hypertension care in primary health care centres.\nMETHODS: A descriptive analysis of the baseline results from the Hypertension Treatment in Nigeria Program was performed. Baseline blood pressures, treatment and control rates of pregnant women were analysed and compared to other adult women of reproductive age. A complete case analysis was performed, and a two-sided p value &lt; 0.05 was considered statistically significant.\nRESULTS: Between January 2020 to October 2022, 5972 women of reproductive age were enrolled in the 60 primary healthcare centres participating in the Hypertension Treatment in Nigeria Program and 112 (2%) were pregnant. Overall mean age (SD) was 39.6 years (6.3). Co-morbidities were rare in both groups, and blood pressures were similar amongst pregnant and non-pregnant women (overall mean (SD) first systolic and diastolic blood pressures were 157.4 (20.6)/100.7 (13.6) mm Hg and overall mean (SD) second systolic and diastolic blood pressures were 151.7 (20.1)/98.4 (13.5) mm Hg). However, compared to non-pregnant women, pregnant women had a higher rate of newly diagnosed hypertension (65.2% versus 54.4% p = 0.02) and lower baseline walk-in treatment (32.1% versus 42.1%, p = 0.03). The control rate was numerically lower among pregnant patients (6.3% versus 10.2%, p = 0.17), but was not statistically significant. Some pregnant patients (8.3%) were on medications contraindicated in pregnancy, and none of the pregnant women were on aspirin for primary prevention of preeclampsia.\nCONCLUSIONS: These findings indicate significant gaps in care and important areas for future studies to improve the quality of care and outcomes for pregnant women with hypertension in Nigeria, a country with the highest burden of maternal mortality globally.","container-title":"BMC pregnancy and childbirth","DOI":"10.1186/s12884-023-05723-1","ISSN":"1471-2393","issue":"1","journalAbbreviation":"BMC Pregnancy Childbirth","language":"eng","note":"PMID: 37270521\nPMCID: PMC10239596","page":"416","source":"PubMed","title":"Clinical characteristics and treatment patterns of pregnant women with hypertension in primary care in the Federal Capital Territory of Nigeria: cross-sectional results from the hypertension treatment in Nigeria Program","title-short":"Clinical characteristics and treatment patterns of pregnant women with hypertension in primary care in the Federal Capital Territory of Nigeria","volume":"23","author":[{"family":"Mahmoud","given":"Zainab"},{"family":"Orji","given":"Ikechukwu A."},{"family":"Shedul","given":"Gabriel L."},{"family":"Aluka-Omitiran","given":"Kasarachi"},{"family":"Ripiye","given":"Nanna"},{"family":"Akor","given":"Blessing"},{"family":"Eze","given":"Helen"},{"family":"Ojo","given":"Tunde"},{"family":"Iyer","given":"Guhan"},{"family":"Baldridge","given":"Abigail S."},{"family":"Hirschhorn","given":"Lisa R."},{"family":"Huffman","given":"Mark D."},{"family":"Ojji","given":"Dike B."}],"issued":{"date-parts":[["2023",6,3]]}},"label":"page"}],"schema":"https://github.com/citation-style-language/schema/raw/master/csl-citation.json"}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6,8,11,14</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Majority of these complications were seen among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women. Over 94% of women with eclampsia in this study were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This is similar to the work reported from Sokoto, Nigeria, by </w:t>
      </w:r>
      <w:proofErr w:type="spellStart"/>
      <w:r w:rsidRPr="00B04B2E">
        <w:rPr>
          <w:rFonts w:ascii="Times New Roman" w:hAnsi="Times New Roman"/>
          <w:sz w:val="24"/>
          <w:szCs w:val="24"/>
        </w:rPr>
        <w:t>Ekele</w:t>
      </w:r>
      <w:proofErr w:type="spellEnd"/>
      <w:r w:rsidRPr="00B04B2E">
        <w:rPr>
          <w:rFonts w:ascii="Times New Roman" w:hAnsi="Times New Roman"/>
          <w:sz w:val="24"/>
          <w:szCs w:val="24"/>
        </w:rPr>
        <w:t xml:space="preserve"> et al., 7 90% of abruptio placentae seen in this study occurred among women who did not receive prenatal care.</w:t>
      </w:r>
    </w:p>
    <w:p w14:paraId="2998373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Women that delivered before the 37weeks of gestation had significantly more maternal complications.</w:t>
      </w:r>
    </w:p>
    <w:p w14:paraId="4F8BFA3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Maternal death was record in seven patients giving a case fatality rate of 1.4%% this rate is similar to rates from other studies.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{"citationID":"ZAymWCS1","properties":{"formattedCitation":"\\super 3,6,11,19,21\\nosupersub{}","plainCitation":"3,6,11,19,21","noteIndex":0},"citationItems":[{"id":43,"uris":["http://zotero.org/users/local/Xqbf4Pjx/items/7TR55JH3"],"itemData":{"id":43,"type":"chapter","container-title":"Obstetric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U."}],"issued":{"date-parts":[["2013"]]}},"label":"page"},{"id":30,"uris":["http://zotero.org/users/local/Xqbf4Pjx/items/4JN6SQEA"],"itemData":{"id":30,"type":"article-journal","container-title":"International Journal of Gynaecology and Obstetrics: The Official Organ of the International Federation of Gynaecology and Obstetrics","DOI":"10.1016/j.ijgo.2005.10.029","ISSN":"0020-7292","issue":"3","journalAbbreviation":"Int J Gynaecol Obstet","language":"eng","note":"PMID: 16413552","page":"251-252","source":"PubMed","title":"Pregnancy outcomes of women with eclampsia in Gombe, Nigeria","volume":"92","author":[{"family":"Melah","given":"G. S."},{"family":"Massa","given":"A. A."},{"family":"El-Nafaty","given":"A. U."}],"issued":{"date-parts":[["2006",3]]}},"label":"page"},{"id":34,"uris":["http://zotero.org/users/local/Xqbf4Pjx/items/E5PZKXH8"],"itemData":{"id":34,"type":"article-journal","abstract":"BACKGROUND: Nigeria has one of the highest rates of maternal mortality in the world (576/100,000 births), with a significant proportion of death attributed to hypertensive disorders in pregnancy (HDPs). High quality antenatal care (ANC) plays a crucial role in early detection and management of HDPs. We conducted an assessment of quality of antenatal care, and its capacity to detect and manage HDPs, in two tiers of Nigerian facilities, with the aim of describing the state of service delivery and identifying the most urgent gaps.\nMETHODS: Quality of antenatal care was assessed and compared between primary healthcare centers (PHCs) (n = 56) and hospitals (secondary + tertiary facilities, n = 39) in seven states of Nigeria. A cross-sectional design captured quality of care using facility inventory checklists, semi-structured interviews with healthcare providers and clients, and observations of ANC consultations. A quality of care framework and scoring system was established based on aspects of structure, process, and outcome. Average scores were compared using independent sample t-tests and measures of effect were assessed by multivariate linear regression.\nRESULTS: All domains of quality except provider interpersonal skills scored below 55%. The lowest overall scores were observed in provider knowledge (49.9%) and provider technical skill (47.7%). PHCs performed significantly worse than hospitals in all elements of quality except for provider interpersonal skills. Provider knowledge was significantly associated with their level of designation (i.e., obstetrician vs. other providers).\nCONCLUSIONS: In order to provide high quality care, ANC in Nigeria must experience massive improvements to inventory, infrastructure and provider knowledge and training. In particular, ANC programs in PHCs must be revitalized to minimize the disparity in quality of care provided between PHCs and hospitals. The relatively low quality of care observed may be contributing to Nigeria's high rate of maternal mortality and burden of disease attributed to HDPs.","container-title":"BMC health services research","DOI":"10.1186/s12913-019-4217-8","ISSN":"1472-6963","issue":"1","journalAbbreviation":"BMC Health Serv Res","language":"eng","note":"PMID: 31234838\nPMCID: PMC6591953","page":"411","source":"PubMed","title":"Detecting and managing hypertensive disorders in pregnancy: a cross-sectional analysis of the quality of antenatal care in Nigeria","title-short":"Detecting and managing hypertensive disorders in pregnancy","volume":"19","author":[{"family":"Salomon","given":"Angela"},{"family":"Ishaku","given":"Salisu"},{"family":"Kirk","given":"Karen R."},{"family":"Warren","given":"Charlotte E."}],"issued":{"date-parts":[["2019",6,24]]}},"label":"page"}],"schema":"https://github.com/citation-style-language/schema/raw/master/csl-citation.json"}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3,6,11,19,21</w:t>
      </w:r>
      <w:r w:rsidR="00B04B2E" w:rsidRPr="00B04B2E">
        <w:rPr>
          <w:rFonts w:ascii="Times New Roman" w:hAnsi="Times New Roman"/>
          <w:sz w:val="24"/>
          <w:szCs w:val="24"/>
        </w:rPr>
        <w:fldChar w:fldCharType="end"/>
      </w:r>
    </w:p>
    <w:p w14:paraId="480A449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4CF6AC2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E361BD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CONCLUSION</w:t>
      </w:r>
    </w:p>
    <w:p w14:paraId="6CD70D9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Hypertensive disorders in pregnancy in this study were observed have a high incidence rate. </w:t>
      </w:r>
    </w:p>
    <w:p w14:paraId="1131A88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HDP is associated with increased maternal and fetal morbidities and mortalities in Gombe, Nigeria. There was a strong relationship between booking status and development of maternal and fetal complications therefore strengthening antenatal care services will enable early identification of cases. The provision of affordable and accessible prenatal care services would promote the early diagnosis and prompt treatment of the disease.</w:t>
      </w:r>
    </w:p>
    <w:p w14:paraId="58A451B0" w14:textId="77777777" w:rsidR="006726CF" w:rsidRPr="00DF5314" w:rsidRDefault="006726CF" w:rsidP="006726CF">
      <w:pPr>
        <w:rPr>
          <w:rFonts w:ascii="Times New Roman" w:hAnsi="Times New Roman"/>
          <w:b/>
          <w:sz w:val="24"/>
          <w:szCs w:val="24"/>
        </w:rPr>
      </w:pPr>
      <w:r w:rsidRPr="00DF5314">
        <w:rPr>
          <w:rFonts w:ascii="Times New Roman" w:hAnsi="Times New Roman"/>
          <w:b/>
          <w:sz w:val="24"/>
          <w:szCs w:val="24"/>
        </w:rPr>
        <w:t>Disclaimer (Artificial intelligence)</w:t>
      </w:r>
    </w:p>
    <w:p w14:paraId="32DEAAAD" w14:textId="77777777" w:rsidR="006726CF" w:rsidRPr="00B04B2E" w:rsidRDefault="006726CF" w:rsidP="006726CF">
      <w:pPr>
        <w:rPr>
          <w:rFonts w:ascii="Times New Roman" w:hAnsi="Times New Roman"/>
          <w:sz w:val="24"/>
          <w:szCs w:val="24"/>
        </w:rPr>
      </w:pPr>
      <w:r w:rsidRPr="00B04B2E">
        <w:rPr>
          <w:rFonts w:ascii="Times New Roman" w:hAnsi="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0DEBA698" w14:textId="77777777" w:rsidR="00B026AD" w:rsidRPr="00B04B2E" w:rsidRDefault="006726CF" w:rsidP="00B026AD">
      <w:pPr>
        <w:spacing w:line="360" w:lineRule="auto"/>
        <w:rPr>
          <w:rFonts w:ascii="Times New Roman" w:hAnsi="Times New Roman"/>
          <w:sz w:val="24"/>
          <w:szCs w:val="24"/>
        </w:rPr>
      </w:pPr>
      <w:r w:rsidRPr="00B04B2E">
        <w:rPr>
          <w:rFonts w:ascii="Times New Roman" w:hAnsi="Times New Roman"/>
          <w:sz w:val="24"/>
          <w:szCs w:val="24"/>
        </w:rPr>
        <w:t xml:space="preserve"> </w:t>
      </w:r>
      <w:r w:rsidR="00B026AD" w:rsidRPr="00B04B2E">
        <w:rPr>
          <w:rFonts w:ascii="Times New Roman" w:hAnsi="Times New Roman"/>
          <w:b/>
          <w:bCs/>
          <w:sz w:val="24"/>
          <w:szCs w:val="24"/>
          <w:u w:val="single"/>
        </w:rPr>
        <w:t>REFERENCES</w:t>
      </w:r>
    </w:p>
    <w:p w14:paraId="2346823F" w14:textId="2462C852" w:rsidR="006726CF" w:rsidRPr="00B04B2E" w:rsidRDefault="006726CF" w:rsidP="006726CF">
      <w:pPr>
        <w:spacing w:line="360" w:lineRule="auto"/>
        <w:rPr>
          <w:rFonts w:ascii="Times New Roman" w:hAnsi="Times New Roman"/>
          <w:sz w:val="24"/>
          <w:szCs w:val="24"/>
        </w:rPr>
      </w:pPr>
    </w:p>
    <w:p w14:paraId="62FF64BB" w14:textId="77777777" w:rsidR="00B04B2E" w:rsidRPr="00B04B2E" w:rsidRDefault="006726CF" w:rsidP="00B04B2E">
      <w:pPr>
        <w:pStyle w:val="Bibliography"/>
        <w:rPr>
          <w:rFonts w:ascii="Times New Roman" w:hAnsi="Times New Roman"/>
          <w:sz w:val="24"/>
          <w:szCs w:val="24"/>
        </w:rPr>
      </w:pPr>
      <w:r w:rsidRPr="00B04B2E">
        <w:rPr>
          <w:rFonts w:ascii="Times New Roman" w:hAnsi="Times New Roman"/>
          <w:sz w:val="24"/>
          <w:szCs w:val="24"/>
        </w:rPr>
        <w:t xml:space="preserve"> </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ZOTERO_BIBL {"uncited":[],"omitted":[],"custom":[]} CSL_BIBLIOGRAPHY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rPr>
        <w:t xml:space="preserve">1. </w:t>
      </w:r>
      <w:r w:rsidR="00B04B2E" w:rsidRPr="00B04B2E">
        <w:rPr>
          <w:rFonts w:ascii="Times New Roman" w:hAnsi="Times New Roman"/>
          <w:sz w:val="24"/>
          <w:szCs w:val="24"/>
        </w:rPr>
        <w:tab/>
        <w:t xml:space="preserve">Kwawukume EY, Ekele BA, Danso KA, Emuvayen EE. Hypertensive disorders in pregnancy. In: Comprehensive Obstetrics in the tropics. second edition. Accra-North Ghana: Assemblies of God Literature centre; 2015. </w:t>
      </w:r>
    </w:p>
    <w:p w14:paraId="7AC83C76"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2. </w:t>
      </w:r>
      <w:r w:rsidRPr="00B04B2E">
        <w:rPr>
          <w:rFonts w:ascii="Times New Roman" w:hAnsi="Times New Roman"/>
          <w:sz w:val="24"/>
          <w:szCs w:val="24"/>
        </w:rPr>
        <w:tab/>
        <w:t>Laila TR, Ahmed SS. Hypertensive Disorders of Pregnancy – A Review. Journal of Advances in Medicine and Medical Research [Internet]. 2022 Oct 21 [cited 2025 Mar 17];13–9. Available from: https://journaljammr.com/index.php/JAMMR/article/view/4835</w:t>
      </w:r>
    </w:p>
    <w:p w14:paraId="6EC47599"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3. </w:t>
      </w:r>
      <w:r w:rsidRPr="00B04B2E">
        <w:rPr>
          <w:rFonts w:ascii="Times New Roman" w:hAnsi="Times New Roman"/>
          <w:sz w:val="24"/>
          <w:szCs w:val="24"/>
        </w:rPr>
        <w:tab/>
        <w:t>Shah S. Hypertensive disorders in pregnancy. In: Obstetric and gynecology nephrology: Women’s health issues in the patient with kidney disease [Internet]. Switzeland: Springer; 2020. p. 11–23. Available from: https;//doi.org/10.1007/978-3-030-25324-0</w:t>
      </w:r>
    </w:p>
    <w:p w14:paraId="01E05CCE"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4. </w:t>
      </w:r>
      <w:r w:rsidRPr="00B04B2E">
        <w:rPr>
          <w:rFonts w:ascii="Times New Roman" w:hAnsi="Times New Roman"/>
          <w:sz w:val="24"/>
          <w:szCs w:val="24"/>
        </w:rPr>
        <w:tab/>
        <w:t>Trends in maternal mortality 2000 to 2020 Estimates by WHO, UNICEF, UNFPA, World Bank Group and UNDESA/Population Division [Internet]. 2023. Available from: extension://mjdgandcagmikhlbjnilkmfnjeamfikk/https://iris.who.int/bitstream/handle/10665/366225/9789240068759-eng.pdf?sequence=1</w:t>
      </w:r>
    </w:p>
    <w:p w14:paraId="175505CF"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5. </w:t>
      </w:r>
      <w:r w:rsidRPr="00B04B2E">
        <w:rPr>
          <w:rFonts w:ascii="Times New Roman" w:hAnsi="Times New Roman"/>
          <w:sz w:val="24"/>
          <w:szCs w:val="24"/>
        </w:rPr>
        <w:tab/>
        <w:t xml:space="preserve">Traub A, Sharma A, Gongora MC. Hypertensive Disorders of Pregnancy: A Literature Review – Pathophysiology, Current Management, Future Perspectives, and Healthcare </w:t>
      </w:r>
      <w:r w:rsidRPr="00B04B2E">
        <w:rPr>
          <w:rFonts w:ascii="Times New Roman" w:hAnsi="Times New Roman"/>
          <w:sz w:val="24"/>
          <w:szCs w:val="24"/>
        </w:rPr>
        <w:lastRenderedPageBreak/>
        <w:t>Disparities. US Cardiol [Internet]. 2024 Feb 12 [cited 2025 Mar 17];18:e03. Available from: https://www.ncbi.nlm.nih.gov/pmc/articles/PMC11526487/</w:t>
      </w:r>
    </w:p>
    <w:p w14:paraId="33CC87CE"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6. </w:t>
      </w:r>
      <w:r w:rsidRPr="00B04B2E">
        <w:rPr>
          <w:rFonts w:ascii="Times New Roman" w:hAnsi="Times New Roman"/>
          <w:sz w:val="24"/>
          <w:szCs w:val="24"/>
        </w:rPr>
        <w:tab/>
        <w:t>Ebeigbe PN, Igberase GO, Aziken ME. Hypertensive disorders in pregnancy: experience with 442 recent consecutive cases in Benin city, Nigeria. Nigerian Medical Journal [Internet]. 2007 [cited 2025 Mar 17];48(4). Available from: https://www.ajol.info/index.php/nmj/article/view/50895</w:t>
      </w:r>
    </w:p>
    <w:p w14:paraId="4882BDC1"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7. </w:t>
      </w:r>
      <w:r w:rsidRPr="00B04B2E">
        <w:rPr>
          <w:rFonts w:ascii="Times New Roman" w:hAnsi="Times New Roman"/>
          <w:sz w:val="24"/>
          <w:szCs w:val="24"/>
        </w:rPr>
        <w:tab/>
        <w:t>Ekele BA, Bello SO, Adamu AN. Clusters of eclampsia in a Nigerian teaching hospital. International Journal of Gynecology &amp; Obstetrics [Internet]. 2007 Jan 1 [cited 2025 Mar 17];96(1):62–6. Available from: https://www.sciencedirect.com/science/article/pii/S0020729206004905</w:t>
      </w:r>
    </w:p>
    <w:p w14:paraId="5AB67FBC"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8. </w:t>
      </w:r>
      <w:r w:rsidRPr="00B04B2E">
        <w:rPr>
          <w:rFonts w:ascii="Times New Roman" w:hAnsi="Times New Roman"/>
          <w:sz w:val="24"/>
          <w:szCs w:val="24"/>
        </w:rPr>
        <w:tab/>
        <w:t xml:space="preserve">Idris H, Duum NCN, Adamu UG, Abdullateef RM, Yabagi IA. Hypertensive Disorders in Pregnancy: Pattern and Obstetric Outcome in Bida, Nigeria. Niger Med J. 2020;61(1):42–7. </w:t>
      </w:r>
    </w:p>
    <w:p w14:paraId="264F3B58"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9. </w:t>
      </w:r>
      <w:r w:rsidRPr="00B04B2E">
        <w:rPr>
          <w:rFonts w:ascii="Times New Roman" w:hAnsi="Times New Roman"/>
          <w:sz w:val="24"/>
          <w:szCs w:val="24"/>
        </w:rPr>
        <w:tab/>
        <w:t xml:space="preserve">Musa J, Mohammed C, Ocheke A, Kahansim M, Pam V, Daru P. Incidence and risk factors for pre-eclampsia in Jos Nigeria. Afr Health Sci. 2018 Sep;18(3):584–95. </w:t>
      </w:r>
    </w:p>
    <w:p w14:paraId="48A475F6"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10. </w:t>
      </w:r>
      <w:r w:rsidRPr="00B04B2E">
        <w:rPr>
          <w:rFonts w:ascii="Times New Roman" w:hAnsi="Times New Roman"/>
          <w:sz w:val="24"/>
          <w:szCs w:val="24"/>
        </w:rPr>
        <w:tab/>
        <w:t>WHO recommendations for prevention and treatment of preeclampsia and eclampsia [Internet]. 2011. Available from: extension://mjdgandcagmikhlbjnilkmfnjeamfikk/https://iris.who.int/bitstream/handle/10665/44703/9789241548335_eng.pdf?sequence=1&amp;isAllowed=y</w:t>
      </w:r>
    </w:p>
    <w:p w14:paraId="684E33C9"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11. </w:t>
      </w:r>
      <w:r w:rsidRPr="00B04B2E">
        <w:rPr>
          <w:rFonts w:ascii="Times New Roman" w:hAnsi="Times New Roman"/>
          <w:sz w:val="24"/>
          <w:szCs w:val="24"/>
        </w:rPr>
        <w:tab/>
        <w:t xml:space="preserve">Mbachu II, Udigwe GO, Okafor CI, Umeonunihu OS, Ezeama C, Eleje GU. The pattern and obstetric outcome of hypertensive disorders of pregnancy in Nnewi, Nigeria. Niger J Med. 2013;22(2):117–22. </w:t>
      </w:r>
    </w:p>
    <w:p w14:paraId="1B25828F"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12. </w:t>
      </w:r>
      <w:r w:rsidRPr="00B04B2E">
        <w:rPr>
          <w:rFonts w:ascii="Times New Roman" w:hAnsi="Times New Roman"/>
          <w:sz w:val="24"/>
          <w:szCs w:val="24"/>
        </w:rPr>
        <w:tab/>
        <w:t xml:space="preserve">Singh S, Ahmed EB, Egondu SC, Ikechukwu NE. Hypertensive disorders in pregnancy among pregnant women in a Nigerian Teaching Hospital. Niger Med J. 2014 Sep;55(5):384–8. </w:t>
      </w:r>
    </w:p>
    <w:p w14:paraId="090E67F1"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13. </w:t>
      </w:r>
      <w:r w:rsidRPr="00B04B2E">
        <w:rPr>
          <w:rFonts w:ascii="Times New Roman" w:hAnsi="Times New Roman"/>
          <w:sz w:val="24"/>
          <w:szCs w:val="24"/>
        </w:rPr>
        <w:tab/>
        <w:t xml:space="preserve">Garovic VD, Dechend R, Easterling T, Karumanchi SA, McMurtry Baird S, Magee LA, et al. Hypertension in Pregnancy: Diagnosis, Blood Pressure Goals, and Pharmacotherapy: A Scientific Statement From the American Heart Association. Hypertension. 2022 Feb;79(2):e21–41. </w:t>
      </w:r>
    </w:p>
    <w:p w14:paraId="08B640AD"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14. </w:t>
      </w:r>
      <w:r w:rsidRPr="00B04B2E">
        <w:rPr>
          <w:rFonts w:ascii="Times New Roman" w:hAnsi="Times New Roman"/>
          <w:sz w:val="24"/>
          <w:szCs w:val="24"/>
        </w:rPr>
        <w:tab/>
        <w:t xml:space="preserve">Mahmoud Z, Orji IA, Shedul GL, Aluka-Omitiran K, Ripiye N, Akor B, et al. Clinical characteristics and treatment patterns of pregnant women with hypertension in primary care in the Federal Capital Territory of Nigeria: cross-sectional results from the hypertension treatment in Nigeria Program. BMC Pregnancy Childbirth. 2023 Jun 3;23(1):416. </w:t>
      </w:r>
    </w:p>
    <w:p w14:paraId="52DBE232"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15. </w:t>
      </w:r>
      <w:r w:rsidRPr="00B04B2E">
        <w:rPr>
          <w:rFonts w:ascii="Times New Roman" w:hAnsi="Times New Roman"/>
          <w:sz w:val="24"/>
          <w:szCs w:val="24"/>
        </w:rPr>
        <w:tab/>
        <w:t xml:space="preserve">Tukur J, Lavin T, Adanikin A, Abdussalam M, Bankole K, Ekott MI, et al. Quality and outcomes of maternal and perinatal care for 76,563 pregnancies reported in a nationwide network of Nigerian referral-level hospitals. EClinicalMedicine. 2022 May;47:101411. </w:t>
      </w:r>
    </w:p>
    <w:p w14:paraId="58817E97"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16. </w:t>
      </w:r>
      <w:r w:rsidRPr="00B04B2E">
        <w:rPr>
          <w:rFonts w:ascii="Times New Roman" w:hAnsi="Times New Roman"/>
          <w:sz w:val="24"/>
          <w:szCs w:val="24"/>
        </w:rPr>
        <w:tab/>
        <w:t xml:space="preserve">Geidam AD, Atterwahmie A, Usman A, Idrisa A. Prevalence, Risk Factors, Maternal and Perinatal Outcome of Patients with Eclampsia in University of Maiduguri Teaching </w:t>
      </w:r>
      <w:r w:rsidRPr="00B04B2E">
        <w:rPr>
          <w:rFonts w:ascii="Times New Roman" w:hAnsi="Times New Roman"/>
          <w:sz w:val="24"/>
          <w:szCs w:val="24"/>
        </w:rPr>
        <w:lastRenderedPageBreak/>
        <w:t xml:space="preserve">Hospital, Maiduguri, Nigeria: A 15-Year Retrospective Review. West Afr J Med. 2023 Jan 30;40(1):97–103. </w:t>
      </w:r>
    </w:p>
    <w:p w14:paraId="7AE24C4E"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17. </w:t>
      </w:r>
      <w:r w:rsidRPr="00B04B2E">
        <w:rPr>
          <w:rFonts w:ascii="Times New Roman" w:hAnsi="Times New Roman"/>
          <w:sz w:val="24"/>
          <w:szCs w:val="24"/>
        </w:rPr>
        <w:tab/>
        <w:t>Prevalence of hypertensive disorders of pregnancy, associated factors and pregnancy complications in a primigravida population - ScienceDirect [Internet]. [cited 2025 Mar 18]. Available from: https://www.sciencedirect.com/science/article/pii/S2667164623000039</w:t>
      </w:r>
    </w:p>
    <w:p w14:paraId="56964A4A"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18. </w:t>
      </w:r>
      <w:r w:rsidRPr="00B04B2E">
        <w:rPr>
          <w:rFonts w:ascii="Times New Roman" w:hAnsi="Times New Roman"/>
          <w:sz w:val="24"/>
          <w:szCs w:val="24"/>
        </w:rPr>
        <w:tab/>
        <w:t xml:space="preserve">Familoni OB, Adefuye PO, Olunuga TO. Pattern and factors affecting the outcome of pregnancy in hypertensive patients. J Natl Med Assoc. 2004 Dec;96(12):1626–31. </w:t>
      </w:r>
    </w:p>
    <w:p w14:paraId="5EACDFC2"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19. </w:t>
      </w:r>
      <w:r w:rsidRPr="00B04B2E">
        <w:rPr>
          <w:rFonts w:ascii="Times New Roman" w:hAnsi="Times New Roman"/>
          <w:sz w:val="24"/>
          <w:szCs w:val="24"/>
        </w:rPr>
        <w:tab/>
        <w:t xml:space="preserve">Melah GS, Massa AA, El-Nafaty AU. Pregnancy outcomes of women with eclampsia in Gombe, Nigeria. Int J Gynaecol Obstet. 2006 Mar;92(3):251–2. </w:t>
      </w:r>
    </w:p>
    <w:p w14:paraId="2910FE61"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20. </w:t>
      </w:r>
      <w:r w:rsidRPr="00B04B2E">
        <w:rPr>
          <w:rFonts w:ascii="Times New Roman" w:hAnsi="Times New Roman"/>
          <w:sz w:val="24"/>
          <w:szCs w:val="24"/>
        </w:rPr>
        <w:tab/>
        <w:t xml:space="preserve">Onwuhafua PI, Onwuhafua A, Adze J, Mairami Z. Eclampsia in Kaduna State of Nigeria--a proposal for a better outcome. Niger J Med. 2001;10(2):81–4. </w:t>
      </w:r>
    </w:p>
    <w:p w14:paraId="0BFB8E1B"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21. </w:t>
      </w:r>
      <w:r w:rsidRPr="00B04B2E">
        <w:rPr>
          <w:rFonts w:ascii="Times New Roman" w:hAnsi="Times New Roman"/>
          <w:sz w:val="24"/>
          <w:szCs w:val="24"/>
        </w:rPr>
        <w:tab/>
        <w:t xml:space="preserve">Salomon A, Ishaku S, Kirk KR, Warren CE. Detecting and managing hypertensive disorders in pregnancy: a cross-sectional analysis of the quality of antenatal care in Nigeria. BMC Health Serv Res. 2019 Jun 24;19(1):411. </w:t>
      </w:r>
    </w:p>
    <w:p w14:paraId="5C00881B" w14:textId="11D5912D" w:rsidR="00AD2F2F" w:rsidRPr="00B04B2E" w:rsidRDefault="00B04B2E" w:rsidP="00B026AD">
      <w:pPr>
        <w:spacing w:line="360" w:lineRule="auto"/>
        <w:rPr>
          <w:rFonts w:ascii="Times New Roman" w:hAnsi="Times New Roman"/>
          <w:sz w:val="24"/>
          <w:szCs w:val="24"/>
        </w:rPr>
      </w:pPr>
      <w:r w:rsidRPr="00B04B2E">
        <w:rPr>
          <w:rFonts w:ascii="Times New Roman" w:hAnsi="Times New Roman"/>
          <w:sz w:val="24"/>
          <w:szCs w:val="24"/>
        </w:rPr>
        <w:fldChar w:fldCharType="end"/>
      </w:r>
    </w:p>
    <w:sectPr w:rsidR="00AD2F2F" w:rsidRPr="00B04B2E" w:rsidSect="00AD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D2F2F"/>
    <w:rsid w:val="0000783E"/>
    <w:rsid w:val="00012207"/>
    <w:rsid w:val="0064613F"/>
    <w:rsid w:val="006726CF"/>
    <w:rsid w:val="006F454F"/>
    <w:rsid w:val="00A830A8"/>
    <w:rsid w:val="00AD2F2F"/>
    <w:rsid w:val="00B026AD"/>
    <w:rsid w:val="00B04B2E"/>
    <w:rsid w:val="00B70D2E"/>
    <w:rsid w:val="00B90912"/>
    <w:rsid w:val="00C52F58"/>
    <w:rsid w:val="00C75610"/>
    <w:rsid w:val="00DF5314"/>
    <w:rsid w:val="00E71926"/>
    <w:rsid w:val="00ED2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F776B"/>
  <w15:docId w15:val="{9F313464-9E35-41E0-B4A1-CC0DFE7A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F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2F2F"/>
    <w:pPr>
      <w:tabs>
        <w:tab w:val="center" w:pos="4680"/>
        <w:tab w:val="right" w:pos="9360"/>
      </w:tabs>
      <w:spacing w:after="0" w:line="240" w:lineRule="auto"/>
    </w:pPr>
    <w:rPr>
      <w:sz w:val="21"/>
    </w:rPr>
  </w:style>
  <w:style w:type="paragraph" w:styleId="Header">
    <w:name w:val="header"/>
    <w:basedOn w:val="Normal"/>
    <w:rsid w:val="00AD2F2F"/>
    <w:pPr>
      <w:tabs>
        <w:tab w:val="center" w:pos="4680"/>
        <w:tab w:val="right" w:pos="9360"/>
      </w:tabs>
      <w:spacing w:after="0" w:line="240" w:lineRule="auto"/>
    </w:pPr>
    <w:rPr>
      <w:sz w:val="21"/>
    </w:rPr>
  </w:style>
  <w:style w:type="paragraph" w:styleId="Bibliography">
    <w:name w:val="Bibliography"/>
    <w:basedOn w:val="Normal"/>
    <w:next w:val="Normal"/>
    <w:uiPriority w:val="37"/>
    <w:unhideWhenUsed/>
    <w:rsid w:val="00B04B2E"/>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2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56F4-4A4D-8735-5C27D50999E0}"/>
              </c:ext>
            </c:extLst>
          </c:dPt>
          <c:dPt>
            <c:idx val="1"/>
            <c:invertIfNegative val="0"/>
            <c:bubble3D val="0"/>
            <c:spPr>
              <a:solidFill>
                <a:srgbClr val="FF0000"/>
              </a:solidFill>
              <a:ln>
                <a:noFill/>
              </a:ln>
              <a:effectLst/>
            </c:spPr>
            <c:extLst>
              <c:ext xmlns:c16="http://schemas.microsoft.com/office/drawing/2014/chart" uri="{C3380CC4-5D6E-409C-BE32-E72D297353CC}">
                <c16:uniqueId val="{00000003-56F4-4A4D-8735-5C27D50999E0}"/>
              </c:ext>
            </c:extLst>
          </c:dPt>
          <c:dLbls>
            <c:dLbl>
              <c:idx val="0"/>
              <c:tx>
                <c:rich>
                  <a:bodyPr/>
                  <a:lstStyle/>
                  <a:p>
                    <a:fld id="{092668B6-1E40-4439-BB48-0DEF56C4E5E6}" type="VALUE">
                      <a:rPr lang="en-US"/>
                      <a:pPr/>
                      <a:t>[VALUE]</a:t>
                    </a:fld>
                    <a:r>
                      <a:rPr lang="en-US"/>
                      <a:t> (83.7%)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6F4-4A4D-8735-5C27D50999E0}"/>
                </c:ext>
              </c:extLst>
            </c:dLbl>
            <c:dLbl>
              <c:idx val="1"/>
              <c:tx>
                <c:rich>
                  <a:bodyPr/>
                  <a:lstStyle/>
                  <a:p>
                    <a:fld id="{30A94052-581A-4C9F-97F3-B7C9E479644F}" type="VALUE">
                      <a:rPr lang="en-US"/>
                      <a:pPr/>
                      <a:t>[VALUE]</a:t>
                    </a:fld>
                    <a:r>
                      <a:rPr lang="en-US"/>
                      <a:t> (16.3%)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6F4-4A4D-8735-5C27D50999E0}"/>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Sheet1!$B$40:$B$41</c:f>
              <c:strCache>
                <c:ptCount val="2"/>
                <c:pt idx="0">
                  <c:v>Alive</c:v>
                </c:pt>
                <c:pt idx="1">
                  <c:v>Dead</c:v>
                </c:pt>
              </c:strCache>
            </c:strRef>
          </c:cat>
          <c:val>
            <c:numRef>
              <c:f>Sheet1!$C$40:$C$41</c:f>
              <c:numCache>
                <c:formatCode>General</c:formatCode>
                <c:ptCount val="2"/>
                <c:pt idx="0">
                  <c:v>422</c:v>
                </c:pt>
                <c:pt idx="1">
                  <c:v>82</c:v>
                </c:pt>
              </c:numCache>
            </c:numRef>
          </c:val>
          <c:extLst>
            <c:ext xmlns:c16="http://schemas.microsoft.com/office/drawing/2014/chart" uri="{C3380CC4-5D6E-409C-BE32-E72D297353CC}">
              <c16:uniqueId val="{00000004-56F4-4A4D-8735-5C27D50999E0}"/>
            </c:ext>
          </c:extLst>
        </c:ser>
        <c:dLbls>
          <c:dLblPos val="outEnd"/>
          <c:showLegendKey val="0"/>
          <c:showVal val="1"/>
          <c:showCatName val="0"/>
          <c:showSerName val="0"/>
          <c:showPercent val="0"/>
          <c:showBubbleSize val="0"/>
        </c:dLbls>
        <c:gapWidth val="219"/>
        <c:overlap val="-27"/>
        <c:axId val="760940112"/>
        <c:axId val="760940472"/>
      </c:barChart>
      <c:catAx>
        <c:axId val="76094011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Foetal outcomes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40472"/>
        <c:crosses val="autoZero"/>
        <c:auto val="1"/>
        <c:lblAlgn val="ctr"/>
        <c:lblOffset val="100"/>
        <c:noMultiLvlLbl val="0"/>
      </c:catAx>
      <c:valAx>
        <c:axId val="7609404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Frequency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4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Calibri" panose="020F0502020204030204" pitchFamily="34" charset="0"/>
          <a:ea typeface="Calibri" panose="020F0502020204030204" pitchFamily="34" charset="0"/>
          <a:cs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4D57-45C7-9095-588FC65403E8}"/>
              </c:ext>
            </c:extLst>
          </c:dPt>
          <c:dPt>
            <c:idx val="1"/>
            <c:invertIfNegative val="0"/>
            <c:bubble3D val="0"/>
            <c:spPr>
              <a:solidFill>
                <a:schemeClr val="tx1"/>
              </a:solidFill>
              <a:ln>
                <a:noFill/>
              </a:ln>
              <a:effectLst/>
            </c:spPr>
            <c:extLst>
              <c:ext xmlns:c16="http://schemas.microsoft.com/office/drawing/2014/chart" uri="{C3380CC4-5D6E-409C-BE32-E72D297353CC}">
                <c16:uniqueId val="{00000003-4D57-45C7-9095-588FC65403E8}"/>
              </c:ext>
            </c:extLst>
          </c:dPt>
          <c:dLbls>
            <c:dLbl>
              <c:idx val="0"/>
              <c:tx>
                <c:rich>
                  <a:bodyPr/>
                  <a:lstStyle/>
                  <a:p>
                    <a:fld id="{F00562D5-9158-40D5-ACE5-59AF39AE342E}" type="VALUE">
                      <a:rPr lang="en-US"/>
                      <a:pPr/>
                      <a:t>[VALUE]</a:t>
                    </a:fld>
                    <a:r>
                      <a:rPr lang="en-US"/>
                      <a:t> (29.4%)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57-45C7-9095-588FC65403E8}"/>
                </c:ext>
              </c:extLst>
            </c:dLbl>
            <c:dLbl>
              <c:idx val="1"/>
              <c:tx>
                <c:rich>
                  <a:bodyPr/>
                  <a:lstStyle/>
                  <a:p>
                    <a:fld id="{765673ED-086D-4571-89D6-A5F56CA3FB2D}" type="VALUE">
                      <a:rPr lang="en-US"/>
                      <a:pPr/>
                      <a:t>[VALUE]</a:t>
                    </a:fld>
                    <a:r>
                      <a:rPr lang="en-US"/>
                      <a:t> (70.6%)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D57-45C7-9095-588FC65403E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Sheet1!$C$59:$C$60</c:f>
              <c:strCache>
                <c:ptCount val="2"/>
                <c:pt idx="0">
                  <c:v>Present</c:v>
                </c:pt>
                <c:pt idx="1">
                  <c:v>Absent</c:v>
                </c:pt>
              </c:strCache>
            </c:strRef>
          </c:cat>
          <c:val>
            <c:numRef>
              <c:f>Sheet1!$D$59:$D$60</c:f>
              <c:numCache>
                <c:formatCode>General</c:formatCode>
                <c:ptCount val="2"/>
                <c:pt idx="0">
                  <c:v>148</c:v>
                </c:pt>
                <c:pt idx="1">
                  <c:v>356</c:v>
                </c:pt>
              </c:numCache>
            </c:numRef>
          </c:val>
          <c:extLst>
            <c:ext xmlns:c16="http://schemas.microsoft.com/office/drawing/2014/chart" uri="{C3380CC4-5D6E-409C-BE32-E72D297353CC}">
              <c16:uniqueId val="{00000004-4D57-45C7-9095-588FC65403E8}"/>
            </c:ext>
          </c:extLst>
        </c:ser>
        <c:dLbls>
          <c:dLblPos val="outEnd"/>
          <c:showLegendKey val="0"/>
          <c:showVal val="1"/>
          <c:showCatName val="0"/>
          <c:showSerName val="0"/>
          <c:showPercent val="0"/>
          <c:showBubbleSize val="0"/>
        </c:dLbls>
        <c:gapWidth val="219"/>
        <c:overlap val="-27"/>
        <c:axId val="760961352"/>
        <c:axId val="760960272"/>
      </c:barChart>
      <c:catAx>
        <c:axId val="7609613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Complications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60272"/>
        <c:crosses val="autoZero"/>
        <c:auto val="1"/>
        <c:lblAlgn val="ctr"/>
        <c:lblOffset val="100"/>
        <c:noMultiLvlLbl val="0"/>
      </c:catAx>
      <c:valAx>
        <c:axId val="7609602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Frequency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61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Calibri" panose="020F0502020204030204" pitchFamily="34" charset="0"/>
          <a:ea typeface="Calibri" panose="020F0502020204030204" pitchFamily="34" charset="0"/>
          <a:cs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Sheet5!$B$1</c:f>
              <c:strCache>
                <c:ptCount val="1"/>
                <c:pt idx="0">
                  <c:v>Frequency</c:v>
                </c:pt>
              </c:strCache>
            </c:strRef>
          </c:tx>
          <c:spPr>
            <a:solidFill>
              <a:schemeClr val="accent1"/>
            </a:solidFill>
            <a:ln>
              <a:noFill/>
            </a:ln>
            <a:effectLst/>
          </c:spPr>
          <c:invertIfNegative val="0"/>
          <c:dLbls>
            <c:dLbl>
              <c:idx val="0"/>
              <c:tx>
                <c:rich>
                  <a:bodyPr/>
                  <a:lstStyle/>
                  <a:p>
                    <a:fld id="{BE616684-3BF8-4699-92B3-52639A16E095}" type="VALUE">
                      <a:rPr lang="en-US"/>
                      <a:pPr/>
                      <a:t>[VALUE]</a:t>
                    </a:fld>
                    <a:r>
                      <a:rPr lang="en-US"/>
                      <a:t>(48.8%)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294-42A1-946B-62A58DF99228}"/>
                </c:ext>
              </c:extLst>
            </c:dLbl>
            <c:dLbl>
              <c:idx val="1"/>
              <c:tx>
                <c:rich>
                  <a:bodyPr/>
                  <a:lstStyle/>
                  <a:p>
                    <a:fld id="{9F2A9FF3-CF90-4F6F-AF50-E0203C00CC6A}" type="VALUE">
                      <a:rPr lang="en-US"/>
                      <a:pPr/>
                      <a:t>[VALUE]</a:t>
                    </a:fld>
                    <a:r>
                      <a:rPr lang="en-US"/>
                      <a:t> (1.4%)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294-42A1-946B-62A58DF99228}"/>
                </c:ext>
              </c:extLst>
            </c:dLbl>
            <c:dLbl>
              <c:idx val="2"/>
              <c:tx>
                <c:rich>
                  <a:bodyPr/>
                  <a:lstStyle/>
                  <a:p>
                    <a:fld id="{2F66F5B4-B8CE-4F83-B58A-59C7F0DA62CC}" type="VALUE">
                      <a:rPr lang="en-US"/>
                      <a:pPr/>
                      <a:t>[VALUE]</a:t>
                    </a:fld>
                    <a:r>
                      <a:rPr lang="en-US"/>
                      <a:t> (49.8%)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294-42A1-946B-62A58DF992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Sheet5!$A$2:$A$4</c:f>
              <c:strCache>
                <c:ptCount val="3"/>
                <c:pt idx="0">
                  <c:v>SVD</c:v>
                </c:pt>
                <c:pt idx="1">
                  <c:v>Instrumental delivery</c:v>
                </c:pt>
                <c:pt idx="2">
                  <c:v>CS</c:v>
                </c:pt>
              </c:strCache>
            </c:strRef>
          </c:cat>
          <c:val>
            <c:numRef>
              <c:f>Sheet5!$B$2:$B$4</c:f>
              <c:numCache>
                <c:formatCode>General</c:formatCode>
                <c:ptCount val="3"/>
                <c:pt idx="0">
                  <c:v>246</c:v>
                </c:pt>
                <c:pt idx="1">
                  <c:v>7</c:v>
                </c:pt>
                <c:pt idx="2">
                  <c:v>251</c:v>
                </c:pt>
              </c:numCache>
            </c:numRef>
          </c:val>
          <c:extLst>
            <c:ext xmlns:c16="http://schemas.microsoft.com/office/drawing/2014/chart" uri="{C3380CC4-5D6E-409C-BE32-E72D297353CC}">
              <c16:uniqueId val="{00000003-9294-42A1-946B-62A58DF99228}"/>
            </c:ext>
          </c:extLst>
        </c:ser>
        <c:dLbls>
          <c:dLblPos val="outEnd"/>
          <c:showLegendKey val="0"/>
          <c:showVal val="1"/>
          <c:showCatName val="0"/>
          <c:showSerName val="0"/>
          <c:showPercent val="0"/>
          <c:showBubbleSize val="0"/>
        </c:dLbls>
        <c:gapWidth val="219"/>
        <c:overlap val="-27"/>
        <c:axId val="655070080"/>
        <c:axId val="655071160"/>
      </c:barChart>
      <c:catAx>
        <c:axId val="65507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Mode of delivery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071160"/>
        <c:crosses val="autoZero"/>
        <c:auto val="1"/>
        <c:lblAlgn val="ctr"/>
        <c:lblOffset val="100"/>
        <c:noMultiLvlLbl val="0"/>
      </c:catAx>
      <c:valAx>
        <c:axId val="655071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07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23234</Words>
  <Characters>132434</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CM8500plus</dc:creator>
  <cp:lastModifiedBy>SDI PC New 16</cp:lastModifiedBy>
  <cp:revision>10</cp:revision>
  <dcterms:created xsi:type="dcterms:W3CDTF">2025-03-18T00:15:00Z</dcterms:created>
  <dcterms:modified xsi:type="dcterms:W3CDTF">2025-03-20T11:39:00Z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588da16e99bf4ffc849be356309a5c06</vt:lpwstr>
  </property>
  <property fmtid="{D5CDD505-2E9C-101B-9397-08002B2CF9AE}" pid="3" name="ZOTERO_PREF_1">
    <vt:lpwstr>&lt;data data-version="3" zotero-version="7.0.15"&gt;&lt;session id="eCQrZpOk"/&gt;&lt;style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y fmtid="{D5CDD505-2E9C-101B-9397-08002B2CF9AE}" pid="5" name="_DocHome">
    <vt:i4>-792140382</vt:i4>
  </property>
</Properties>
</file>