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5C0E" w14:textId="77777777" w:rsidR="00A312CA" w:rsidRPr="00A312CA" w:rsidRDefault="00A312CA" w:rsidP="00A312CA">
      <w:pPr>
        <w:spacing w:after="0" w:line="240" w:lineRule="auto"/>
        <w:jc w:val="both"/>
        <w:rPr>
          <w:rFonts w:ascii="Arial" w:eastAsia="Times New Roman" w:hAnsi="Arial" w:cs="Arial"/>
          <w:b/>
          <w:kern w:val="28"/>
          <w:sz w:val="36"/>
          <w:szCs w:val="20"/>
          <w:lang w:val="en-US"/>
          <w14:ligatures w14:val="none"/>
        </w:rPr>
      </w:pPr>
      <w:bookmarkStart w:id="0" w:name="_Hlk191312188"/>
    </w:p>
    <w:p w14:paraId="3CB4C7E9" w14:textId="77777777" w:rsidR="00697CE4" w:rsidRDefault="00697CE4" w:rsidP="00697CE4">
      <w:pPr>
        <w:spacing w:after="0" w:line="240" w:lineRule="auto"/>
        <w:jc w:val="right"/>
        <w:rPr>
          <w:rFonts w:ascii="Arial" w:eastAsia="Times New Roman" w:hAnsi="Arial" w:cs="Arial"/>
          <w:b/>
          <w:bCs/>
          <w:i/>
          <w:iCs/>
          <w:kern w:val="28"/>
          <w:sz w:val="36"/>
          <w:szCs w:val="20"/>
          <w:u w:val="single"/>
          <w:lang w:val="en-US"/>
          <w14:ligatures w14:val="none"/>
        </w:rPr>
      </w:pPr>
      <w:bookmarkStart w:id="1" w:name="_Hlk191309290"/>
      <w:r w:rsidRPr="00697CE4">
        <w:rPr>
          <w:rFonts w:ascii="Arial" w:eastAsia="Times New Roman" w:hAnsi="Arial" w:cs="Arial"/>
          <w:b/>
          <w:bCs/>
          <w:i/>
          <w:iCs/>
          <w:kern w:val="28"/>
          <w:sz w:val="36"/>
          <w:szCs w:val="20"/>
          <w:u w:val="single"/>
          <w:lang w:val="en-US"/>
          <w14:ligatures w14:val="none"/>
        </w:rPr>
        <w:t>Original Research Article</w:t>
      </w:r>
    </w:p>
    <w:p w14:paraId="6F03F372" w14:textId="77777777" w:rsidR="00697CE4" w:rsidRPr="00697CE4" w:rsidRDefault="00697CE4" w:rsidP="00697CE4">
      <w:pPr>
        <w:spacing w:after="0" w:line="240" w:lineRule="auto"/>
        <w:jc w:val="right"/>
        <w:rPr>
          <w:rFonts w:ascii="Arial" w:eastAsia="Times New Roman" w:hAnsi="Arial" w:cs="Arial"/>
          <w:b/>
          <w:bCs/>
          <w:i/>
          <w:iCs/>
          <w:kern w:val="28"/>
          <w:sz w:val="36"/>
          <w:szCs w:val="20"/>
          <w:u w:val="single"/>
          <w:lang w:val="en-US"/>
          <w14:ligatures w14:val="none"/>
        </w:rPr>
      </w:pPr>
    </w:p>
    <w:p w14:paraId="32494201" w14:textId="77777777" w:rsidR="00A312CA" w:rsidRPr="00A312CA" w:rsidRDefault="00A312CA" w:rsidP="00A312CA">
      <w:pPr>
        <w:spacing w:after="0" w:line="240" w:lineRule="auto"/>
        <w:jc w:val="right"/>
        <w:rPr>
          <w:rFonts w:ascii="Arial" w:eastAsia="Times New Roman" w:hAnsi="Arial" w:cs="Arial"/>
          <w:b/>
          <w:bCs/>
          <w:iCs/>
          <w:kern w:val="28"/>
          <w:sz w:val="36"/>
          <w:szCs w:val="20"/>
          <w14:ligatures w14:val="none"/>
        </w:rPr>
      </w:pPr>
      <w:r w:rsidRPr="00A312CA">
        <w:rPr>
          <w:rFonts w:ascii="Arial" w:eastAsia="Times New Roman" w:hAnsi="Arial" w:cs="Arial"/>
          <w:b/>
          <w:bCs/>
          <w:iCs/>
          <w:kern w:val="28"/>
          <w:sz w:val="36"/>
          <w:szCs w:val="20"/>
          <w14:ligatures w14:val="none"/>
        </w:rPr>
        <w:t>Growth performance of Moringa (</w:t>
      </w:r>
      <w:r w:rsidRPr="00A312CA">
        <w:rPr>
          <w:rFonts w:ascii="Arial" w:eastAsia="Times New Roman" w:hAnsi="Arial" w:cs="Arial"/>
          <w:b/>
          <w:bCs/>
          <w:i/>
          <w:iCs/>
          <w:kern w:val="28"/>
          <w:sz w:val="36"/>
          <w:szCs w:val="20"/>
          <w14:ligatures w14:val="none"/>
        </w:rPr>
        <w:t>Moringa oleifera</w:t>
      </w:r>
      <w:r w:rsidRPr="00A312CA">
        <w:rPr>
          <w:rFonts w:ascii="Arial" w:eastAsia="Times New Roman" w:hAnsi="Arial" w:cs="Arial"/>
          <w:b/>
          <w:bCs/>
          <w:iCs/>
          <w:kern w:val="28"/>
          <w:sz w:val="36"/>
          <w:szCs w:val="20"/>
          <w14:ligatures w14:val="none"/>
        </w:rPr>
        <w:t>) seedlings as affected by organic fertilizer under nursery condition</w:t>
      </w:r>
    </w:p>
    <w:bookmarkEnd w:id="1"/>
    <w:p w14:paraId="3F75EDB1" w14:textId="77777777" w:rsidR="00A312CA" w:rsidRPr="00A312CA" w:rsidRDefault="00A312CA" w:rsidP="00A312CA">
      <w:pPr>
        <w:spacing w:after="0" w:line="240" w:lineRule="auto"/>
        <w:jc w:val="both"/>
        <w:rPr>
          <w:rFonts w:ascii="Arial" w:eastAsia="Times New Roman" w:hAnsi="Arial" w:cs="Arial"/>
          <w:b/>
          <w:kern w:val="0"/>
          <w:sz w:val="36"/>
          <w:szCs w:val="20"/>
          <w:lang w:val="en-US"/>
          <w14:ligatures w14:val="none"/>
        </w:rPr>
      </w:pPr>
    </w:p>
    <w:p w14:paraId="72F7FBE3" w14:textId="77777777" w:rsidR="00697CE4" w:rsidRDefault="00697CE4" w:rsidP="00A312CA">
      <w:pPr>
        <w:spacing w:after="0" w:line="240" w:lineRule="auto"/>
        <w:jc w:val="both"/>
        <w:rPr>
          <w:rFonts w:ascii="Arial" w:eastAsia="Times New Roman" w:hAnsi="Arial" w:cs="Arial"/>
          <w:kern w:val="0"/>
          <w:sz w:val="20"/>
          <w:szCs w:val="20"/>
          <w:lang w:val="en-US"/>
          <w14:ligatures w14:val="none"/>
        </w:rPr>
      </w:pPr>
    </w:p>
    <w:p w14:paraId="595057E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4554C5B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550C50CB" w14:textId="77777777" w:rsidR="00A4594F" w:rsidRPr="00A312CA" w:rsidRDefault="00A4594F" w:rsidP="00A312CA">
      <w:pPr>
        <w:spacing w:after="0" w:line="240" w:lineRule="auto"/>
        <w:jc w:val="both"/>
        <w:rPr>
          <w:rFonts w:ascii="Arial" w:eastAsia="Times New Roman" w:hAnsi="Arial" w:cs="Arial"/>
          <w:kern w:val="0"/>
          <w:sz w:val="20"/>
          <w:szCs w:val="20"/>
          <w:lang w:val="en-US"/>
          <w14:ligatures w14:val="none"/>
        </w:rPr>
      </w:pPr>
    </w:p>
    <w:p w14:paraId="5C1D5D87"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45D316E4" w14:textId="19B4B5A3" w:rsidR="00A312CA" w:rsidRPr="00A312CA" w:rsidRDefault="00A312CA" w:rsidP="0082470A">
      <w:pPr>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noProof/>
          <w:kern w:val="0"/>
          <w:sz w:val="16"/>
          <w:szCs w:val="20"/>
          <w:lang w:val="en-US"/>
          <w14:ligatures w14:val="none"/>
        </w:rPr>
        <mc:AlternateContent>
          <mc:Choice Requires="wps">
            <w:drawing>
              <wp:inline distT="0" distB="0" distL="0" distR="0" wp14:anchorId="1DD8B10C" wp14:editId="1D0CD6A7">
                <wp:extent cx="5303520" cy="635"/>
                <wp:effectExtent l="13335" t="13335" r="17145" b="15240"/>
                <wp:docPr id="10118985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04495E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A312CA">
        <w:rPr>
          <w:rFonts w:ascii="Arial" w:eastAsia="Times New Roman" w:hAnsi="Arial" w:cs="Arial"/>
          <w:b/>
          <w:caps/>
          <w:kern w:val="0"/>
          <w:szCs w:val="20"/>
          <w:lang w:val="en-US"/>
          <w14:ligatures w14:val="none"/>
        </w:rPr>
        <w:t xml:space="preserve">ABSTRACT </w:t>
      </w:r>
    </w:p>
    <w:p w14:paraId="4E21FCAC"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312CA" w:rsidRPr="00A312CA" w14:paraId="2914CCE2" w14:textId="77777777" w:rsidTr="00465806">
        <w:tc>
          <w:tcPr>
            <w:tcW w:w="9576" w:type="dxa"/>
            <w:shd w:val="clear" w:color="auto" w:fill="F2F2F2"/>
          </w:tcPr>
          <w:p w14:paraId="08E73625" w14:textId="05C03AF3" w:rsidR="00A312CA" w:rsidRPr="00A312CA" w:rsidRDefault="00A312CA" w:rsidP="00A312CA">
            <w:pPr>
              <w:spacing w:after="240" w:line="240" w:lineRule="auto"/>
              <w:jc w:val="both"/>
              <w:rPr>
                <w:rFonts w:ascii="Arial" w:eastAsia="Calibri" w:hAnsi="Arial" w:cs="Arial"/>
                <w:kern w:val="0"/>
                <w:sz w:val="20"/>
                <w14:ligatures w14:val="none"/>
              </w:rPr>
            </w:pPr>
            <w:r w:rsidRPr="00A312CA">
              <w:rPr>
                <w:rFonts w:ascii="Arial" w:eastAsia="Calibri" w:hAnsi="Arial" w:cs="Arial"/>
                <w:kern w:val="0"/>
                <w:sz w:val="20"/>
                <w14:ligatures w14:val="none"/>
              </w:rPr>
              <w:t xml:space="preserve">Moringa is a plant of great importance because of its industrial, medicinal and food uses. The leaves, pods, flowers, fruits, roots, bark, and seeds of </w:t>
            </w:r>
            <w:r w:rsidRPr="00A312CA">
              <w:rPr>
                <w:rFonts w:ascii="Arial" w:eastAsia="Calibri" w:hAnsi="Arial" w:cs="Arial"/>
                <w:i/>
                <w:iCs/>
                <w:kern w:val="0"/>
                <w:sz w:val="20"/>
                <w14:ligatures w14:val="none"/>
              </w:rPr>
              <w:t xml:space="preserve">Moringa oleifera </w:t>
            </w:r>
            <w:r w:rsidRPr="00A312CA">
              <w:rPr>
                <w:rFonts w:ascii="Arial" w:eastAsia="Calibri" w:hAnsi="Arial" w:cs="Arial"/>
                <w:kern w:val="0"/>
                <w:sz w:val="20"/>
                <w14:ligatures w14:val="none"/>
              </w:rPr>
              <w:t xml:space="preserve">can be used to treat water, as a nutritional supplement and as an extract to treat bacterial or fungal skin problems. The plant is not very demanding in terms of fertilizer, but a minimal intake improves its yield. During the nursery stage, the nutrient content of the soil should be high enough to sustain the plant's life cycle. This study was conducted to assess the growth response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to different rates of organic fertilizer, with the objective of determining the rate that supports optimum plant growth under nursery condition. Varying rates of poultry manure compost (0 g, 100 g, 200 g and 300 g) were added in a treatment pot at 14 and 30 days after transplant. The experimental design was Randomized Complete Block Design (RCBD) with </w:t>
            </w:r>
            <w:r w:rsidR="00B963C2">
              <w:rPr>
                <w:rFonts w:ascii="Arial" w:eastAsia="Calibri" w:hAnsi="Arial" w:cs="Arial"/>
                <w:kern w:val="0"/>
                <w:sz w:val="20"/>
                <w14:ligatures w14:val="none"/>
              </w:rPr>
              <w:t>four</w:t>
            </w:r>
            <w:r w:rsidRPr="00A312CA">
              <w:rPr>
                <w:rFonts w:ascii="Arial" w:eastAsia="Calibri" w:hAnsi="Arial" w:cs="Arial"/>
                <w:kern w:val="0"/>
                <w:sz w:val="20"/>
                <w14:ligatures w14:val="none"/>
              </w:rPr>
              <w:t xml:space="preserve"> replications. Growth parameters measured include plant height, stem girth, </w:t>
            </w:r>
            <w:r w:rsidR="000B3FA3">
              <w:rPr>
                <w:rFonts w:ascii="Arial" w:eastAsia="Calibri" w:hAnsi="Arial" w:cs="Arial"/>
                <w:kern w:val="0"/>
                <w:sz w:val="20"/>
                <w14:ligatures w14:val="none"/>
              </w:rPr>
              <w:t>leaf area</w:t>
            </w:r>
            <w:r w:rsidRPr="00A312CA">
              <w:rPr>
                <w:rFonts w:ascii="Arial" w:eastAsia="Calibri" w:hAnsi="Arial" w:cs="Arial"/>
                <w:kern w:val="0"/>
                <w:sz w:val="20"/>
                <w14:ligatures w14:val="none"/>
              </w:rPr>
              <w:t>, fresh and dry weight of leaves, stem and root. The results revealed that seedling height at 8</w:t>
            </w:r>
            <w:r w:rsidRPr="00A312CA">
              <w:rPr>
                <w:rFonts w:ascii="Arial" w:eastAsia="Calibri" w:hAnsi="Arial" w:cs="Arial"/>
                <w:kern w:val="0"/>
                <w:sz w:val="20"/>
                <w:vertAlign w:val="superscript"/>
                <w14:ligatures w14:val="none"/>
              </w:rPr>
              <w:t>th</w:t>
            </w:r>
            <w:r w:rsidRPr="00A312CA">
              <w:rPr>
                <w:rFonts w:ascii="Arial" w:eastAsia="Calibri" w:hAnsi="Arial" w:cs="Arial"/>
                <w:kern w:val="0"/>
                <w:sz w:val="20"/>
                <w14:ligatures w14:val="none"/>
              </w:rPr>
              <w:t xml:space="preserve"> weeks after transplant showed a significant difference between the organic treatment and the control. The highest plant height was obtained from the treatment applied with 200 g organic fertilizer (123.25 cm), followed by 300 g (122.10 cm) and 100 g (115.35 cm). The fertilizer treatments also significantly affected the stem girth with the highest </w:t>
            </w:r>
            <w:r w:rsidR="00464DFB">
              <w:rPr>
                <w:rFonts w:ascii="Arial" w:eastAsia="Calibri" w:hAnsi="Arial" w:cs="Arial"/>
                <w:kern w:val="0"/>
                <w:sz w:val="20"/>
                <w14:ligatures w14:val="none"/>
              </w:rPr>
              <w:t>value</w:t>
            </w:r>
            <w:r w:rsidRPr="00A312CA">
              <w:rPr>
                <w:rFonts w:ascii="Arial" w:eastAsia="Calibri" w:hAnsi="Arial" w:cs="Arial"/>
                <w:kern w:val="0"/>
                <w:sz w:val="20"/>
                <w14:ligatures w14:val="none"/>
              </w:rPr>
              <w:t xml:space="preserve"> for 200 g organic fertilizer (1</w:t>
            </w:r>
            <w:r w:rsidR="006620A8">
              <w:rPr>
                <w:rFonts w:ascii="Arial" w:eastAsia="Calibri" w:hAnsi="Arial" w:cs="Arial"/>
                <w:kern w:val="0"/>
                <w:sz w:val="20"/>
                <w14:ligatures w14:val="none"/>
              </w:rPr>
              <w:t>.</w:t>
            </w:r>
            <w:r w:rsidRPr="00A312CA">
              <w:rPr>
                <w:rFonts w:ascii="Arial" w:eastAsia="Calibri" w:hAnsi="Arial" w:cs="Arial"/>
                <w:kern w:val="0"/>
                <w:sz w:val="20"/>
                <w14:ligatures w14:val="none"/>
              </w:rPr>
              <w:t xml:space="preserve">44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and the control having the lowest value of </w:t>
            </w:r>
            <w:r w:rsidR="006620A8">
              <w:rPr>
                <w:rFonts w:ascii="Arial" w:eastAsia="Calibri" w:hAnsi="Arial" w:cs="Arial"/>
                <w:kern w:val="0"/>
                <w:sz w:val="20"/>
                <w14:ligatures w14:val="none"/>
              </w:rPr>
              <w:t>0.</w:t>
            </w:r>
            <w:r w:rsidRPr="00A312CA">
              <w:rPr>
                <w:rFonts w:ascii="Arial" w:eastAsia="Calibri" w:hAnsi="Arial" w:cs="Arial"/>
                <w:kern w:val="0"/>
                <w:sz w:val="20"/>
                <w14:ligatures w14:val="none"/>
              </w:rPr>
              <w:t xml:space="preserve">94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The </w:t>
            </w:r>
            <w:r w:rsidR="000B3FA3">
              <w:rPr>
                <w:rFonts w:ascii="Arial" w:eastAsia="Calibri" w:hAnsi="Arial" w:cs="Arial"/>
                <w:kern w:val="0"/>
                <w:sz w:val="20"/>
                <w14:ligatures w14:val="none"/>
              </w:rPr>
              <w:t>leaf area</w:t>
            </w:r>
            <w:r w:rsidRPr="00A312CA">
              <w:rPr>
                <w:rFonts w:ascii="Arial" w:eastAsia="Calibri" w:hAnsi="Arial" w:cs="Arial"/>
                <w:kern w:val="0"/>
                <w:sz w:val="20"/>
                <w14:ligatures w14:val="none"/>
              </w:rPr>
              <w:t xml:space="preserve"> was significantly affected by organic fertilizer; however, there was no significant difference (P&lt; 0.05) between 200 g and 300 g of organic fertilizer. Other than that, 300 g of organic fertilizer recorded the highest value of fresh and dry weight of leaves and stem but no significant difference with the 200 g. The result revealed that organic fertilizer appeared as an effective amendment to enhance the growth and vigour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in </w:t>
            </w:r>
            <w:r w:rsidR="00027967">
              <w:rPr>
                <w:rFonts w:ascii="Arial" w:eastAsia="Calibri" w:hAnsi="Arial" w:cs="Arial"/>
                <w:kern w:val="0"/>
                <w:sz w:val="20"/>
                <w14:ligatures w14:val="none"/>
              </w:rPr>
              <w:t xml:space="preserve">the </w:t>
            </w:r>
            <w:r w:rsidRPr="00A312CA">
              <w:rPr>
                <w:rFonts w:ascii="Arial" w:eastAsia="Calibri" w:hAnsi="Arial" w:cs="Arial"/>
                <w:kern w:val="0"/>
                <w:sz w:val="20"/>
                <w14:ligatures w14:val="none"/>
              </w:rPr>
              <w:t>nursery. This study conclude</w:t>
            </w:r>
            <w:r w:rsidR="003C528E">
              <w:rPr>
                <w:rFonts w:ascii="Arial" w:eastAsia="Calibri" w:hAnsi="Arial" w:cs="Arial"/>
                <w:kern w:val="0"/>
                <w:sz w:val="20"/>
                <w14:ligatures w14:val="none"/>
              </w:rPr>
              <w:t>d</w:t>
            </w:r>
            <w:r w:rsidRPr="00A312CA">
              <w:rPr>
                <w:rFonts w:ascii="Arial" w:eastAsia="Calibri" w:hAnsi="Arial" w:cs="Arial"/>
                <w:kern w:val="0"/>
                <w:sz w:val="20"/>
                <w14:ligatures w14:val="none"/>
              </w:rPr>
              <w:t xml:space="preserve"> that the growth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was </w:t>
            </w:r>
            <w:r w:rsidR="00027967">
              <w:rPr>
                <w:rFonts w:ascii="Arial" w:eastAsia="Calibri" w:hAnsi="Arial" w:cs="Arial"/>
                <w:kern w:val="0"/>
                <w:sz w:val="20"/>
                <w14:ligatures w14:val="none"/>
              </w:rPr>
              <w:t>maximized using</w:t>
            </w:r>
            <w:r w:rsidRPr="00A312CA">
              <w:rPr>
                <w:rFonts w:ascii="Arial" w:eastAsia="Calibri" w:hAnsi="Arial" w:cs="Arial"/>
                <w:kern w:val="0"/>
                <w:sz w:val="20"/>
                <w14:ligatures w14:val="none"/>
              </w:rPr>
              <w:t xml:space="preserve"> 300 g of organic fertilizer which is statistically significant (P&lt;0.05) as compared to other treatments</w:t>
            </w:r>
            <w:r w:rsidR="00027967" w:rsidRPr="00027967">
              <w:rPr>
                <w:rFonts w:ascii="Arial" w:eastAsia="Calibri" w:hAnsi="Arial" w:cs="Arial"/>
                <w:kern w:val="0"/>
                <w:sz w:val="20"/>
                <w14:ligatures w14:val="none"/>
              </w:rPr>
              <w:t>, but as increases from 200 to 300 g were small, 200 g may be optimal</w:t>
            </w:r>
            <w:r w:rsidRPr="00A312CA">
              <w:rPr>
                <w:rFonts w:ascii="Arial" w:eastAsia="Calibri" w:hAnsi="Arial" w:cs="Arial"/>
                <w:kern w:val="0"/>
                <w:sz w:val="20"/>
                <w14:ligatures w14:val="none"/>
              </w:rPr>
              <w:t>.</w:t>
            </w:r>
          </w:p>
        </w:tc>
      </w:tr>
    </w:tbl>
    <w:p w14:paraId="1E04D0B9"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39C7FBC9" w14:textId="441C9397" w:rsidR="00A312CA" w:rsidRPr="00A312CA" w:rsidRDefault="00A312CA" w:rsidP="00A312CA">
      <w:pPr>
        <w:spacing w:after="240" w:line="240" w:lineRule="auto"/>
        <w:jc w:val="both"/>
        <w:rPr>
          <w:rFonts w:ascii="Arial" w:eastAsia="Times New Roman" w:hAnsi="Arial" w:cs="Arial"/>
          <w:b/>
          <w:bCs/>
          <w:i/>
          <w:kern w:val="0"/>
          <w:sz w:val="20"/>
          <w:szCs w:val="20"/>
          <w14:ligatures w14:val="none"/>
        </w:rPr>
      </w:pPr>
      <w:r w:rsidRPr="00A312CA">
        <w:rPr>
          <w:rFonts w:ascii="Arial" w:eastAsia="Times New Roman" w:hAnsi="Arial" w:cs="Arial"/>
          <w:i/>
          <w:kern w:val="0"/>
          <w:sz w:val="20"/>
          <w:szCs w:val="20"/>
          <w:lang w:val="en-US"/>
          <w14:ligatures w14:val="none"/>
        </w:rPr>
        <w:t xml:space="preserve">Keywords: </w:t>
      </w:r>
      <w:r w:rsidRPr="00A312CA">
        <w:rPr>
          <w:rFonts w:ascii="Arial" w:eastAsia="Times New Roman" w:hAnsi="Arial" w:cs="Arial"/>
          <w:i/>
          <w:kern w:val="0"/>
          <w:sz w:val="20"/>
          <w:szCs w:val="20"/>
          <w14:ligatures w14:val="none"/>
        </w:rPr>
        <w:t>poultry manure, growth response, nursery stage,</w:t>
      </w:r>
      <w:r w:rsidR="0097291E">
        <w:rPr>
          <w:rFonts w:ascii="Arial" w:eastAsia="Times New Roman" w:hAnsi="Arial" w:cs="Arial"/>
          <w:i/>
          <w:kern w:val="0"/>
          <w:sz w:val="20"/>
          <w:szCs w:val="20"/>
          <w14:ligatures w14:val="none"/>
        </w:rPr>
        <w:t xml:space="preserve"> nutrient, organic fertilizer</w:t>
      </w:r>
      <w:r w:rsidRPr="00A312CA">
        <w:rPr>
          <w:rFonts w:ascii="Arial" w:eastAsia="Times New Roman" w:hAnsi="Arial" w:cs="Arial"/>
          <w:i/>
          <w:kern w:val="0"/>
          <w:sz w:val="20"/>
          <w:szCs w:val="20"/>
          <w14:ligatures w14:val="none"/>
        </w:rPr>
        <w:t>.</w:t>
      </w:r>
    </w:p>
    <w:p w14:paraId="481318CC"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1FAB2E97" w14:textId="77777777" w:rsidR="00A312CA" w:rsidRPr="00A312CA" w:rsidRDefault="00A312CA" w:rsidP="00A312CA">
      <w:pPr>
        <w:spacing w:after="0" w:line="240" w:lineRule="auto"/>
        <w:jc w:val="both"/>
        <w:rPr>
          <w:rFonts w:ascii="Arial" w:eastAsia="Times New Roman" w:hAnsi="Arial" w:cs="Arial"/>
          <w:i/>
          <w:kern w:val="0"/>
          <w:sz w:val="18"/>
          <w:szCs w:val="20"/>
          <w:lang w:val="en-US"/>
          <w14:ligatures w14:val="none"/>
        </w:rPr>
      </w:pPr>
    </w:p>
    <w:p w14:paraId="05272097"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4919EA24"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lastRenderedPageBreak/>
        <w:t>1. INTRODUCTION</w:t>
      </w:r>
    </w:p>
    <w:p w14:paraId="02384425"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439AE37B" w14:textId="23FD893C"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recent times,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has gained a lot of popularity due to recent discoveries of its usefulness to humankind, </w:t>
      </w:r>
      <w:r w:rsidR="003C528E">
        <w:rPr>
          <w:rFonts w:ascii="Arial" w:eastAsia="Times New Roman" w:hAnsi="Arial" w:cs="Arial"/>
          <w:kern w:val="0"/>
          <w:sz w:val="20"/>
          <w:szCs w:val="20"/>
          <w14:ligatures w14:val="none"/>
        </w:rPr>
        <w:t>l</w:t>
      </w:r>
      <w:r w:rsidR="003C528E" w:rsidRPr="003C528E">
        <w:rPr>
          <w:rFonts w:ascii="Arial" w:eastAsia="Times New Roman" w:hAnsi="Arial" w:cs="Arial"/>
          <w:kern w:val="0"/>
          <w:sz w:val="20"/>
          <w:szCs w:val="20"/>
          <w14:ligatures w14:val="none"/>
        </w:rPr>
        <w:t xml:space="preserve">eading to a rapid </w:t>
      </w:r>
      <w:r w:rsidRPr="00A312CA">
        <w:rPr>
          <w:rFonts w:ascii="Arial" w:eastAsia="Times New Roman" w:hAnsi="Arial" w:cs="Arial"/>
          <w:kern w:val="0"/>
          <w:sz w:val="20"/>
          <w:szCs w:val="20"/>
          <w14:ligatures w14:val="none"/>
        </w:rPr>
        <w:t xml:space="preserve">growth in interest for the plant. </w:t>
      </w:r>
      <w:r w:rsidRPr="00A312CA">
        <w:rPr>
          <w:rFonts w:ascii="Arial" w:eastAsia="Times New Roman" w:hAnsi="Arial" w:cs="Arial"/>
          <w:i/>
          <w:iCs/>
          <w:kern w:val="0"/>
          <w:sz w:val="20"/>
          <w:szCs w:val="20"/>
          <w14:ligatures w14:val="none"/>
        </w:rPr>
        <w:t xml:space="preserve">M. oleifera </w:t>
      </w:r>
      <w:r w:rsidRPr="00A312CA">
        <w:rPr>
          <w:rFonts w:ascii="Arial" w:eastAsia="Times New Roman" w:hAnsi="Arial" w:cs="Arial"/>
          <w:kern w:val="0"/>
          <w:sz w:val="20"/>
          <w:szCs w:val="20"/>
          <w14:ligatures w14:val="none"/>
        </w:rPr>
        <w:t xml:space="preserve">belongs to the </w:t>
      </w:r>
      <w:proofErr w:type="spellStart"/>
      <w:r w:rsidRPr="00A312CA">
        <w:rPr>
          <w:rFonts w:ascii="Arial" w:eastAsia="Times New Roman" w:hAnsi="Arial" w:cs="Arial"/>
          <w:kern w:val="0"/>
          <w:sz w:val="20"/>
          <w:szCs w:val="20"/>
          <w14:ligatures w14:val="none"/>
        </w:rPr>
        <w:t>monogeneric</w:t>
      </w:r>
      <w:proofErr w:type="spellEnd"/>
      <w:r w:rsidRPr="00A312CA">
        <w:rPr>
          <w:rFonts w:ascii="Arial" w:eastAsia="Times New Roman" w:hAnsi="Arial" w:cs="Arial"/>
          <w:kern w:val="0"/>
          <w:sz w:val="20"/>
          <w:szCs w:val="20"/>
          <w14:ligatures w14:val="none"/>
        </w:rPr>
        <w:t xml:space="preserve"> family of shrubs and trees, called </w:t>
      </w:r>
      <w:proofErr w:type="spellStart"/>
      <w:r w:rsidRPr="00A312CA">
        <w:rPr>
          <w:rFonts w:ascii="Arial" w:eastAsia="Times New Roman" w:hAnsi="Arial" w:cs="Arial"/>
          <w:kern w:val="0"/>
          <w:sz w:val="20"/>
          <w:szCs w:val="20"/>
          <w14:ligatures w14:val="none"/>
        </w:rPr>
        <w:t>Moringaceae</w:t>
      </w:r>
      <w:proofErr w:type="spellEnd"/>
      <w:r w:rsidRPr="00A312CA">
        <w:rPr>
          <w:rFonts w:ascii="Arial" w:eastAsia="Times New Roman" w:hAnsi="Arial" w:cs="Arial"/>
          <w:kern w:val="0"/>
          <w:sz w:val="20"/>
          <w:szCs w:val="20"/>
          <w14:ligatures w14:val="none"/>
        </w:rPr>
        <w:t xml:space="preserve"> and called the “Miracle Tree” for good reasons. Moringa is a plant of great importance because of its industrial, medicinal and food uses. The leaves, pods, flowers, fruits, roots, bark, and seeds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can be used to treat water, as a nutritional supplement and as an extract to treat bacterial or fungal skin problems. Moringa leaves, seeds, and roots are also used in treating diseases like lung diseases, </w:t>
      </w:r>
      <w:r w:rsidR="00027967">
        <w:rPr>
          <w:rFonts w:ascii="Arial" w:eastAsia="Times New Roman" w:hAnsi="Arial" w:cs="Arial"/>
          <w:kern w:val="0"/>
          <w:sz w:val="20"/>
          <w:szCs w:val="20"/>
          <w14:ligatures w14:val="none"/>
        </w:rPr>
        <w:t xml:space="preserve">diabetes, </w:t>
      </w:r>
      <w:r w:rsidRPr="00A312CA">
        <w:rPr>
          <w:rFonts w:ascii="Arial" w:eastAsia="Times New Roman" w:hAnsi="Arial" w:cs="Arial"/>
          <w:kern w:val="0"/>
          <w:sz w:val="20"/>
          <w:szCs w:val="20"/>
          <w14:ligatures w14:val="none"/>
        </w:rPr>
        <w:t>hypertension and skin infection (WHO, 2012).</w:t>
      </w:r>
    </w:p>
    <w:p w14:paraId="2815CDB0" w14:textId="77777777" w:rsidR="00A312CA" w:rsidRPr="00A312CA" w:rsidRDefault="00A312CA" w:rsidP="00A312CA">
      <w:pPr>
        <w:spacing w:after="0" w:line="240" w:lineRule="auto"/>
        <w:jc w:val="both"/>
        <w:rPr>
          <w:rFonts w:ascii="Arial" w:eastAsia="Times New Roman" w:hAnsi="Arial" w:cs="Arial"/>
          <w:i/>
          <w:iCs/>
          <w:kern w:val="0"/>
          <w:sz w:val="20"/>
          <w:szCs w:val="20"/>
          <w14:ligatures w14:val="none"/>
        </w:rPr>
      </w:pPr>
    </w:p>
    <w:p w14:paraId="6780A7E9" w14:textId="453BFB40"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as a fast-growing, deciduous and drought resistant plant can be grown in fields either by direct seeding or </w:t>
      </w:r>
      <w:r w:rsidR="00027967">
        <w:rPr>
          <w:rFonts w:ascii="Arial" w:eastAsia="Times New Roman" w:hAnsi="Arial" w:cs="Arial"/>
          <w:kern w:val="0"/>
          <w:sz w:val="20"/>
          <w:szCs w:val="20"/>
          <w14:ligatures w14:val="none"/>
        </w:rPr>
        <w:t>seedlings</w:t>
      </w:r>
      <w:r w:rsidRPr="00A312CA">
        <w:rPr>
          <w:rFonts w:ascii="Arial" w:eastAsia="Times New Roman" w:hAnsi="Arial" w:cs="Arial"/>
          <w:kern w:val="0"/>
          <w:sz w:val="20"/>
          <w:szCs w:val="20"/>
          <w14:ligatures w14:val="none"/>
        </w:rPr>
        <w:t xml:space="preserve">. However, during nursery time, the nutrient amount </w:t>
      </w:r>
      <w:r w:rsidR="00027967">
        <w:rPr>
          <w:rFonts w:ascii="Arial" w:eastAsia="Times New Roman" w:hAnsi="Arial" w:cs="Arial"/>
          <w:kern w:val="0"/>
          <w:sz w:val="20"/>
          <w:szCs w:val="20"/>
          <w14:ligatures w14:val="none"/>
        </w:rPr>
        <w:t>in</w:t>
      </w:r>
      <w:r w:rsidRPr="00A312CA">
        <w:rPr>
          <w:rFonts w:ascii="Arial" w:eastAsia="Times New Roman" w:hAnsi="Arial" w:cs="Arial"/>
          <w:kern w:val="0"/>
          <w:sz w:val="20"/>
          <w:szCs w:val="20"/>
          <w14:ligatures w14:val="none"/>
        </w:rPr>
        <w:t xml:space="preserve"> soil should be high enough to sustain the plant life cycle (Wilson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2001). The plant is not very demanding in terms of fertilizer, but a minimal intake improves its yield. Fertilizer helps in the fast growth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enhanc</w:t>
      </w:r>
      <w:r w:rsidR="007C1E4A">
        <w:rPr>
          <w:rFonts w:ascii="Arial" w:eastAsia="Times New Roman" w:hAnsi="Arial" w:cs="Arial"/>
          <w:kern w:val="0"/>
          <w:sz w:val="20"/>
          <w:szCs w:val="20"/>
          <w14:ligatures w14:val="none"/>
        </w:rPr>
        <w:t>ed</w:t>
      </w:r>
      <w:r w:rsidRPr="00A312CA">
        <w:rPr>
          <w:rFonts w:ascii="Arial" w:eastAsia="Times New Roman" w:hAnsi="Arial" w:cs="Arial"/>
          <w:kern w:val="0"/>
          <w:sz w:val="20"/>
          <w:szCs w:val="20"/>
          <w14:ligatures w14:val="none"/>
        </w:rPr>
        <w:t xml:space="preserve"> its ability to produce</w:t>
      </w:r>
      <w:r w:rsidR="00027967">
        <w:rPr>
          <w:rFonts w:ascii="Arial" w:eastAsia="Times New Roman" w:hAnsi="Arial" w:cs="Arial"/>
          <w:kern w:val="0"/>
          <w:sz w:val="20"/>
          <w:szCs w:val="20"/>
          <w14:ligatures w14:val="none"/>
        </w:rPr>
        <w:t xml:space="preserve"> a</w:t>
      </w:r>
      <w:r w:rsidRPr="00A312CA">
        <w:rPr>
          <w:rFonts w:ascii="Arial" w:eastAsia="Times New Roman" w:hAnsi="Arial" w:cs="Arial"/>
          <w:kern w:val="0"/>
          <w:sz w:val="20"/>
          <w:szCs w:val="20"/>
          <w14:ligatures w14:val="none"/>
        </w:rPr>
        <w:t xml:space="preserve"> healthy plant (Jones,1999</w:t>
      </w:r>
      <w:r w:rsidR="00FC4174">
        <w:rPr>
          <w:rFonts w:ascii="Arial" w:eastAsia="Times New Roman" w:hAnsi="Arial" w:cs="Arial"/>
          <w:kern w:val="0"/>
          <w:sz w:val="20"/>
          <w:szCs w:val="20"/>
          <w14:ligatures w14:val="none"/>
        </w:rPr>
        <w:t>)</w:t>
      </w:r>
      <w:r w:rsidRPr="00A312CA">
        <w:rPr>
          <w:rFonts w:ascii="Arial" w:eastAsia="Times New Roman" w:hAnsi="Arial" w:cs="Arial"/>
          <w:kern w:val="0"/>
          <w:sz w:val="20"/>
          <w:szCs w:val="20"/>
          <w14:ligatures w14:val="none"/>
        </w:rPr>
        <w:t xml:space="preserve">. Physical characteristics are the visually determinable attributes of tree seedlings in the nursery. The major morphological criteria often used to describe seedling potentials are seedling height,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and seedling stem girth. These are some of the bases to qualify good seedlings for nursery establishment (</w:t>
      </w:r>
      <w:proofErr w:type="spellStart"/>
      <w:r w:rsidRPr="00A312CA">
        <w:rPr>
          <w:rFonts w:ascii="Arial" w:eastAsia="Times New Roman" w:hAnsi="Arial" w:cs="Arial"/>
          <w:kern w:val="0"/>
          <w:sz w:val="20"/>
          <w:szCs w:val="20"/>
          <w14:ligatures w14:val="none"/>
        </w:rPr>
        <w:t>Egbewole</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2018). </w:t>
      </w:r>
    </w:p>
    <w:p w14:paraId="4DB680B7"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6D74DBF9" w14:textId="6622687A"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Food and Agriculture Organization of the United Nations (FAO) ha</w:t>
      </w:r>
      <w:r w:rsidR="00027967">
        <w:rPr>
          <w:rFonts w:ascii="Arial" w:eastAsia="Times New Roman" w:hAnsi="Arial" w:cs="Arial"/>
          <w:kern w:val="0"/>
          <w:sz w:val="20"/>
          <w:szCs w:val="20"/>
          <w14:ligatures w14:val="none"/>
        </w:rPr>
        <w:t>s</w:t>
      </w:r>
      <w:r w:rsidRPr="00A312CA">
        <w:rPr>
          <w:rFonts w:ascii="Arial" w:eastAsia="Times New Roman" w:hAnsi="Arial" w:cs="Arial"/>
          <w:kern w:val="0"/>
          <w:sz w:val="20"/>
          <w:szCs w:val="20"/>
          <w14:ligatures w14:val="none"/>
        </w:rPr>
        <w:t xml:space="preserve"> agreed that organic agriculture is a form of agriculture that is </w:t>
      </w:r>
      <w:r w:rsidR="00027967">
        <w:rPr>
          <w:rFonts w:ascii="Arial" w:eastAsia="Times New Roman" w:hAnsi="Arial" w:cs="Arial"/>
          <w:kern w:val="0"/>
          <w:sz w:val="20"/>
          <w:szCs w:val="20"/>
          <w14:ligatures w14:val="none"/>
        </w:rPr>
        <w:t xml:space="preserve">an </w:t>
      </w:r>
      <w:r w:rsidRPr="00A312CA">
        <w:rPr>
          <w:rFonts w:ascii="Arial" w:eastAsia="Times New Roman" w:hAnsi="Arial" w:cs="Arial"/>
          <w:kern w:val="0"/>
          <w:sz w:val="20"/>
          <w:szCs w:val="20"/>
          <w14:ligatures w14:val="none"/>
        </w:rPr>
        <w:t xml:space="preserve">environmentally sustainable growing system (Polat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2010). Organic fertilizers which are </w:t>
      </w:r>
      <w:r w:rsidR="00027967">
        <w:rPr>
          <w:rFonts w:ascii="Arial" w:eastAsia="Times New Roman" w:hAnsi="Arial" w:cs="Arial"/>
          <w:kern w:val="0"/>
          <w:sz w:val="20"/>
          <w:szCs w:val="20"/>
          <w14:ligatures w14:val="none"/>
        </w:rPr>
        <w:t>from</w:t>
      </w:r>
      <w:r w:rsidRPr="00A312CA">
        <w:rPr>
          <w:rFonts w:ascii="Arial" w:eastAsia="Times New Roman" w:hAnsi="Arial" w:cs="Arial"/>
          <w:kern w:val="0"/>
          <w:sz w:val="20"/>
          <w:szCs w:val="20"/>
          <w14:ligatures w14:val="none"/>
        </w:rPr>
        <w:t xml:space="preserve"> organic sources such as cow dung are known to improve long term soil fertility as well as soil physical and microbial properties, most studies therefore, focus more on solid organic fertilizers (Yang et al., 2013). The use of organic manure as fertilizer releases many important nutrients into the soil and also nourishes soil organisms, which in turn slowly and steadily make minerals available to plants (Erin, 2007). Furthermore, organic fertilizers improve the biological activity of soil, promoting the growth of beneficial microorganisms such as nitrogen-fixing bacteria and mycorrhizal fungi. These microorganisms assist in nutrient cycling, making nutrients more accessible to Moringa seedlings. They not only enhance soil health and nutrient content but also improve the sustainability of agricultural practices. Organic amendments are particularly important in nursery conditions, where the controlled environment allows for optimized nutrient management and growth performance. Additionally, the use of organic amendments can reduce the occurrence of soil-borne diseases and enhance the seedlings' resilience to environmental stresses</w:t>
      </w:r>
      <w:r w:rsidR="00175771">
        <w:rPr>
          <w:rFonts w:ascii="Arial" w:eastAsia="Times New Roman" w:hAnsi="Arial" w:cs="Arial"/>
          <w:kern w:val="0"/>
          <w:sz w:val="20"/>
          <w:szCs w:val="20"/>
          <w14:ligatures w14:val="none"/>
        </w:rPr>
        <w:t xml:space="preserve"> (</w:t>
      </w:r>
      <w:r w:rsidR="00175771" w:rsidRPr="00175771">
        <w:rPr>
          <w:rFonts w:ascii="Arial" w:eastAsia="Times New Roman" w:hAnsi="Arial" w:cs="Arial"/>
          <w:kern w:val="0"/>
          <w:sz w:val="20"/>
          <w:szCs w:val="20"/>
          <w14:ligatures w14:val="none"/>
        </w:rPr>
        <w:t>Joyce</w:t>
      </w:r>
      <w:r w:rsidR="00175771">
        <w:rPr>
          <w:rFonts w:ascii="Arial" w:eastAsia="Times New Roman" w:hAnsi="Arial" w:cs="Arial"/>
          <w:kern w:val="0"/>
          <w:sz w:val="20"/>
          <w:szCs w:val="20"/>
          <w14:ligatures w14:val="none"/>
        </w:rPr>
        <w:t xml:space="preserve"> et al.,2025)</w:t>
      </w:r>
      <w:r w:rsidRPr="00A312CA">
        <w:rPr>
          <w:rFonts w:ascii="Arial" w:eastAsia="Times New Roman" w:hAnsi="Arial" w:cs="Arial"/>
          <w:kern w:val="0"/>
          <w:sz w:val="20"/>
          <w:szCs w:val="20"/>
          <w14:ligatures w14:val="none"/>
        </w:rPr>
        <w:t xml:space="preserve">. </w:t>
      </w:r>
    </w:p>
    <w:p w14:paraId="3727C416"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0B9A57BD" w14:textId="510F019C"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Despite the economic and medicinal importance of this crop, its cultivation still remains low. The information is still scanty on the fertilizer requirement that will bring about proper growth of Moringa seedlings. In order to encourage its large scale cultivation, there is a need to develop agronomic practices, hence the need for the present study. Consequently, this study was conducted to assess the growth response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to different rates of organic fertilizer, with the objective of determining the rate that supports optimum plant growth under nursery conditions.</w:t>
      </w:r>
    </w:p>
    <w:p w14:paraId="3B2495AC"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058EC12D"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t xml:space="preserve">2. material and methods </w:t>
      </w:r>
    </w:p>
    <w:p w14:paraId="50959F1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1704CA43" w14:textId="77777777" w:rsidR="00A312CA" w:rsidRDefault="00A312CA" w:rsidP="00A312CA">
      <w:pPr>
        <w:spacing w:after="0" w:line="240" w:lineRule="auto"/>
        <w:jc w:val="both"/>
        <w:rPr>
          <w:rFonts w:ascii="Arial" w:eastAsia="Times New Roman" w:hAnsi="Arial" w:cs="Arial"/>
          <w:b/>
          <w:bCs/>
          <w:kern w:val="0"/>
          <w:szCs w:val="20"/>
          <w14:ligatures w14:val="none"/>
        </w:rPr>
      </w:pPr>
      <w:r w:rsidRPr="00A312CA">
        <w:rPr>
          <w:rFonts w:ascii="Arial" w:eastAsia="Times New Roman" w:hAnsi="Arial" w:cs="Arial"/>
          <w:b/>
          <w:caps/>
          <w:kern w:val="0"/>
          <w:szCs w:val="20"/>
          <w:lang w:val="en-US"/>
          <w14:ligatures w14:val="none"/>
        </w:rPr>
        <w:t xml:space="preserve">2.1 </w:t>
      </w:r>
      <w:r w:rsidRPr="00A312CA">
        <w:rPr>
          <w:rFonts w:ascii="Arial" w:eastAsia="Times New Roman" w:hAnsi="Arial" w:cs="Arial"/>
          <w:b/>
          <w:bCs/>
          <w:kern w:val="0"/>
          <w:szCs w:val="20"/>
          <w14:ligatures w14:val="none"/>
        </w:rPr>
        <w:t>Planting materials</w:t>
      </w:r>
    </w:p>
    <w:p w14:paraId="09B34458" w14:textId="77777777" w:rsidR="00157A56" w:rsidRPr="00A312CA" w:rsidRDefault="00157A56" w:rsidP="00A312CA">
      <w:pPr>
        <w:spacing w:after="0" w:line="240" w:lineRule="auto"/>
        <w:jc w:val="both"/>
        <w:rPr>
          <w:rFonts w:ascii="Arial" w:eastAsia="Times New Roman" w:hAnsi="Arial" w:cs="Arial"/>
          <w:b/>
          <w:bCs/>
          <w:kern w:val="0"/>
          <w:szCs w:val="20"/>
          <w14:ligatures w14:val="none"/>
        </w:rPr>
      </w:pPr>
    </w:p>
    <w:p w14:paraId="53FAFD54" w14:textId="19FF4BAB" w:rsidR="00B963C2" w:rsidRPr="00B963C2" w:rsidRDefault="00A312CA" w:rsidP="00B963C2">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seeds were collected from farmer’s plot, which is located in the Serdang, Selangor</w:t>
      </w:r>
      <w:r w:rsidR="00027967">
        <w:rPr>
          <w:rFonts w:ascii="Arial" w:eastAsia="Times New Roman" w:hAnsi="Arial" w:cs="Arial"/>
          <w:kern w:val="0"/>
          <w:sz w:val="20"/>
          <w:szCs w:val="20"/>
          <w14:ligatures w14:val="none"/>
        </w:rPr>
        <w:t>, Malaysia</w:t>
      </w:r>
      <w:r w:rsidRPr="00A312CA">
        <w:rPr>
          <w:rFonts w:ascii="Arial" w:eastAsia="Times New Roman" w:hAnsi="Arial" w:cs="Arial"/>
          <w:kern w:val="0"/>
          <w:sz w:val="20"/>
          <w:szCs w:val="20"/>
          <w14:ligatures w14:val="none"/>
        </w:rPr>
        <w:t>. The seeds were sown directly into seedling tray</w:t>
      </w:r>
      <w:r w:rsidR="00027967">
        <w:rPr>
          <w:rFonts w:ascii="Arial" w:eastAsia="Times New Roman" w:hAnsi="Arial" w:cs="Arial"/>
          <w:kern w:val="0"/>
          <w:sz w:val="20"/>
          <w:szCs w:val="20"/>
          <w14:ligatures w14:val="none"/>
        </w:rPr>
        <w:t>s</w:t>
      </w:r>
      <w:r w:rsidRPr="00A312CA">
        <w:rPr>
          <w:rFonts w:ascii="Arial" w:eastAsia="Times New Roman" w:hAnsi="Arial" w:cs="Arial"/>
          <w:kern w:val="0"/>
          <w:sz w:val="20"/>
          <w:szCs w:val="20"/>
          <w14:ligatures w14:val="none"/>
        </w:rPr>
        <w:t>. Media used were mixtures of topsoil, sand and compost with a 3:2:1 ratio.</w:t>
      </w:r>
      <w:r w:rsidR="00B963C2" w:rsidRPr="00B963C2">
        <w:rPr>
          <w:rFonts w:ascii="Arial" w:eastAsia="Times New Roman" w:hAnsi="Arial" w:cs="Arial"/>
          <w:kern w:val="0"/>
          <w:sz w:val="20"/>
          <w:szCs w:val="20"/>
          <w14:ligatures w14:val="none"/>
        </w:rPr>
        <w:t xml:space="preserve"> Seeds were planted in seedling trays at a depth of up to 2 cm. Following germination, which occurred between 7 </w:t>
      </w:r>
      <w:r w:rsidR="00FC4174">
        <w:rPr>
          <w:rFonts w:ascii="Arial" w:eastAsia="Times New Roman" w:hAnsi="Arial" w:cs="Arial"/>
          <w:kern w:val="0"/>
          <w:sz w:val="20"/>
          <w:szCs w:val="20"/>
          <w14:ligatures w14:val="none"/>
        </w:rPr>
        <w:t>to</w:t>
      </w:r>
      <w:r w:rsidR="00B963C2" w:rsidRPr="00B963C2">
        <w:rPr>
          <w:rFonts w:ascii="Arial" w:eastAsia="Times New Roman" w:hAnsi="Arial" w:cs="Arial"/>
          <w:kern w:val="0"/>
          <w:sz w:val="20"/>
          <w:szCs w:val="20"/>
          <w14:ligatures w14:val="none"/>
        </w:rPr>
        <w:t xml:space="preserve"> 10 days after </w:t>
      </w:r>
      <w:r w:rsidR="00B963C2" w:rsidRPr="00B963C2">
        <w:rPr>
          <w:rFonts w:ascii="Arial" w:eastAsia="Times New Roman" w:hAnsi="Arial" w:cs="Arial"/>
          <w:kern w:val="0"/>
          <w:sz w:val="20"/>
          <w:szCs w:val="20"/>
          <w14:ligatures w14:val="none"/>
        </w:rPr>
        <w:lastRenderedPageBreak/>
        <w:t>sowing, only one vigorous seedling was selected and transplanted into polybag</w:t>
      </w:r>
      <w:r w:rsidR="00B963C2">
        <w:rPr>
          <w:rFonts w:ascii="Arial" w:eastAsia="Times New Roman" w:hAnsi="Arial" w:cs="Arial"/>
          <w:kern w:val="0"/>
          <w:sz w:val="20"/>
          <w:szCs w:val="20"/>
          <w14:ligatures w14:val="none"/>
        </w:rPr>
        <w:t xml:space="preserve"> filled with soil</w:t>
      </w:r>
      <w:r w:rsidR="00027967">
        <w:rPr>
          <w:rFonts w:ascii="Arial" w:eastAsia="Times New Roman" w:hAnsi="Arial" w:cs="Arial"/>
          <w:kern w:val="0"/>
          <w:sz w:val="20"/>
          <w:szCs w:val="20"/>
          <w14:ligatures w14:val="none"/>
        </w:rPr>
        <w:t xml:space="preserve"> mix</w:t>
      </w:r>
      <w:r w:rsidR="00B963C2">
        <w:rPr>
          <w:rFonts w:ascii="Arial" w:eastAsia="Times New Roman" w:hAnsi="Arial" w:cs="Arial"/>
          <w:kern w:val="0"/>
          <w:sz w:val="20"/>
          <w:szCs w:val="20"/>
          <w14:ligatures w14:val="none"/>
        </w:rPr>
        <w:t xml:space="preserve"> as the growth medium</w:t>
      </w:r>
      <w:r w:rsidR="00B963C2" w:rsidRPr="00B963C2">
        <w:rPr>
          <w:rFonts w:ascii="Arial" w:eastAsia="Times New Roman" w:hAnsi="Arial" w:cs="Arial"/>
          <w:kern w:val="0"/>
          <w:sz w:val="20"/>
          <w:szCs w:val="20"/>
          <w14:ligatures w14:val="none"/>
        </w:rPr>
        <w:t>. The polybags were watered daily to maintain adequate moisture levels for seedling growth.</w:t>
      </w:r>
      <w:r w:rsidR="00B963C2" w:rsidRPr="00B963C2">
        <w:t xml:space="preserve"> </w:t>
      </w:r>
      <w:r w:rsidR="00B963C2" w:rsidRPr="00B963C2">
        <w:rPr>
          <w:rFonts w:ascii="Arial" w:eastAsia="Times New Roman" w:hAnsi="Arial" w:cs="Arial"/>
          <w:kern w:val="0"/>
          <w:sz w:val="20"/>
          <w:szCs w:val="20"/>
          <w14:ligatures w14:val="none"/>
        </w:rPr>
        <w:t>The polybags were placed in nursery environment for optimal growth conditions.</w:t>
      </w:r>
    </w:p>
    <w:p w14:paraId="2846D9B9" w14:textId="5ED5602C"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411B5D08"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1CCD90B" w14:textId="7BD7FE08"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2.2 </w:t>
      </w:r>
      <w:r w:rsidRPr="00A312CA">
        <w:rPr>
          <w:rFonts w:ascii="Arial" w:eastAsia="Times New Roman" w:hAnsi="Arial" w:cs="Arial"/>
          <w:b/>
          <w:bCs/>
          <w:kern w:val="0"/>
          <w14:ligatures w14:val="none"/>
        </w:rPr>
        <w:t>Fertilizer</w:t>
      </w:r>
      <w:r w:rsidR="00B963C2">
        <w:rPr>
          <w:rFonts w:ascii="Arial" w:eastAsia="Times New Roman" w:hAnsi="Arial" w:cs="Arial"/>
          <w:b/>
          <w:bCs/>
          <w:kern w:val="0"/>
          <w14:ligatures w14:val="none"/>
        </w:rPr>
        <w:t xml:space="preserve"> applications</w:t>
      </w:r>
    </w:p>
    <w:p w14:paraId="3AAF4C5E"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p>
    <w:p w14:paraId="72119606" w14:textId="06BE8FCA"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organic fertilizers used in this study were derived from compost made using poultry manure as the primary component. The chemical properties of organic fertilizers derived from poultry manure compost can vary depending on factors such as the composting process, the feedstock used, and the age of the compost. However, in general, poultry manure compost is rich in essential macronutrients and </w:t>
      </w:r>
      <w:r w:rsidR="00027967">
        <w:rPr>
          <w:rFonts w:ascii="Arial" w:eastAsia="Times New Roman" w:hAnsi="Arial" w:cs="Arial"/>
          <w:kern w:val="0"/>
          <w:sz w:val="20"/>
          <w:szCs w:val="20"/>
          <w14:ligatures w14:val="none"/>
        </w:rPr>
        <w:t xml:space="preserve">some </w:t>
      </w:r>
      <w:r w:rsidRPr="00A312CA">
        <w:rPr>
          <w:rFonts w:ascii="Arial" w:eastAsia="Times New Roman" w:hAnsi="Arial" w:cs="Arial"/>
          <w:kern w:val="0"/>
          <w:sz w:val="20"/>
          <w:szCs w:val="20"/>
          <w14:ligatures w14:val="none"/>
        </w:rPr>
        <w:t>micronutrients. These composts served as a source of essential nutrients, including nitrogen, phosphorus, and potassium, which are vital for plant growth. The chemical composition of the commercial bio-organic fertilizer (</w:t>
      </w:r>
      <w:proofErr w:type="spellStart"/>
      <w:r w:rsidRPr="00A312CA">
        <w:rPr>
          <w:rFonts w:ascii="Arial" w:eastAsia="Times New Roman" w:hAnsi="Arial" w:cs="Arial"/>
          <w:kern w:val="0"/>
          <w:sz w:val="20"/>
          <w:szCs w:val="20"/>
          <w14:ligatures w14:val="none"/>
        </w:rPr>
        <w:t>Jutani</w:t>
      </w:r>
      <w:proofErr w:type="spellEnd"/>
      <w:r w:rsidRPr="00A312CA">
        <w:rPr>
          <w:rFonts w:ascii="Arial" w:eastAsia="Times New Roman" w:hAnsi="Arial" w:cs="Arial"/>
          <w:kern w:val="0"/>
          <w:sz w:val="20"/>
          <w:szCs w:val="20"/>
          <w14:ligatures w14:val="none"/>
        </w:rPr>
        <w:t xml:space="preserve"> Super), as specified in the product description, is based on nutrient analysis, indicating an NPK content of more than 10% along with trace elements (TE).</w:t>
      </w:r>
    </w:p>
    <w:p w14:paraId="27B56941"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7593ACDD"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r w:rsidRPr="00A312CA">
        <w:rPr>
          <w:rFonts w:ascii="Arial" w:eastAsia="Times New Roman" w:hAnsi="Arial" w:cs="Arial"/>
          <w:b/>
          <w:kern w:val="0"/>
          <w:lang w:val="en-US"/>
          <w14:ligatures w14:val="none"/>
        </w:rPr>
        <w:t xml:space="preserve">2.3 </w:t>
      </w:r>
      <w:r w:rsidRPr="00A312CA">
        <w:rPr>
          <w:rFonts w:ascii="Arial" w:eastAsia="Times New Roman" w:hAnsi="Arial" w:cs="Arial"/>
          <w:b/>
          <w:bCs/>
          <w:kern w:val="0"/>
          <w14:ligatures w14:val="none"/>
        </w:rPr>
        <w:t>Experimental design and treatments</w:t>
      </w:r>
    </w:p>
    <w:p w14:paraId="3D5B9AB6"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E4B1ED7" w14:textId="549FA1F9"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trials were conducted using a Randomized Complete Block Design (RCBD), which included four different rates </w:t>
      </w:r>
      <w:bookmarkStart w:id="2" w:name="_Hlk189838393"/>
      <w:r w:rsidRPr="00A312CA">
        <w:rPr>
          <w:rFonts w:ascii="Arial" w:eastAsia="Times New Roman" w:hAnsi="Arial" w:cs="Arial"/>
          <w:kern w:val="0"/>
          <w:sz w:val="20"/>
          <w:szCs w:val="20"/>
          <w14:ligatures w14:val="none"/>
        </w:rPr>
        <w:t xml:space="preserve">of organic fertilizer </w:t>
      </w:r>
      <w:bookmarkEnd w:id="2"/>
      <w:r w:rsidRPr="00A312CA">
        <w:rPr>
          <w:rFonts w:ascii="Arial" w:eastAsia="Times New Roman" w:hAnsi="Arial" w:cs="Arial"/>
          <w:kern w:val="0"/>
          <w:sz w:val="20"/>
          <w:szCs w:val="20"/>
          <w14:ligatures w14:val="none"/>
        </w:rPr>
        <w:t>treatments with f</w:t>
      </w:r>
      <w:r w:rsidR="000F0451">
        <w:rPr>
          <w:rFonts w:ascii="Arial" w:eastAsia="Times New Roman" w:hAnsi="Arial" w:cs="Arial"/>
          <w:kern w:val="0"/>
          <w:sz w:val="20"/>
          <w:szCs w:val="20"/>
          <w14:ligatures w14:val="none"/>
        </w:rPr>
        <w:t>our</w:t>
      </w:r>
      <w:r w:rsidRPr="00A312CA">
        <w:rPr>
          <w:rFonts w:ascii="Arial" w:eastAsia="Times New Roman" w:hAnsi="Arial" w:cs="Arial"/>
          <w:kern w:val="0"/>
          <w:sz w:val="20"/>
          <w:szCs w:val="20"/>
          <w14:ligatures w14:val="none"/>
        </w:rPr>
        <w:t xml:space="preserve"> replications. The treatments were formulated as follows: T1: 0 g of organic fertilizer</w:t>
      </w:r>
      <w:r w:rsidR="00E5164E">
        <w:rPr>
          <w:rFonts w:ascii="Arial" w:eastAsia="Times New Roman" w:hAnsi="Arial" w:cs="Arial"/>
          <w:kern w:val="0"/>
          <w:sz w:val="20"/>
          <w:szCs w:val="20"/>
          <w14:ligatures w14:val="none"/>
        </w:rPr>
        <w:t xml:space="preserve"> (control)</w:t>
      </w:r>
      <w:r w:rsidRPr="00A312CA">
        <w:rPr>
          <w:rFonts w:ascii="Arial" w:eastAsia="Times New Roman" w:hAnsi="Arial" w:cs="Arial"/>
          <w:kern w:val="0"/>
          <w:sz w:val="20"/>
          <w:szCs w:val="20"/>
          <w14:ligatures w14:val="none"/>
        </w:rPr>
        <w:t xml:space="preserve">, T2: </w:t>
      </w:r>
      <w:r w:rsidR="00E5164E">
        <w:rPr>
          <w:rFonts w:ascii="Arial" w:eastAsia="Times New Roman" w:hAnsi="Arial" w:cs="Arial"/>
          <w:kern w:val="0"/>
          <w:sz w:val="20"/>
          <w:szCs w:val="20"/>
          <w14:ligatures w14:val="none"/>
        </w:rPr>
        <w:t>1</w:t>
      </w:r>
      <w:r w:rsidRPr="00A312CA">
        <w:rPr>
          <w:rFonts w:ascii="Arial" w:eastAsia="Times New Roman" w:hAnsi="Arial" w:cs="Arial"/>
          <w:kern w:val="0"/>
          <w:sz w:val="20"/>
          <w:szCs w:val="20"/>
          <w14:ligatures w14:val="none"/>
        </w:rPr>
        <w:t xml:space="preserve">00 g of organic fertilizer, T3: </w:t>
      </w:r>
      <w:r w:rsidR="00E5164E">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00 g of organic fertilizer and T4: </w:t>
      </w:r>
      <w:r w:rsidR="00E5164E">
        <w:rPr>
          <w:rFonts w:ascii="Arial" w:eastAsia="Times New Roman" w:hAnsi="Arial" w:cs="Arial"/>
          <w:kern w:val="0"/>
          <w:sz w:val="20"/>
          <w:szCs w:val="20"/>
          <w14:ligatures w14:val="none"/>
        </w:rPr>
        <w:t>30</w:t>
      </w:r>
      <w:r w:rsidRPr="00A312CA">
        <w:rPr>
          <w:rFonts w:ascii="Arial" w:eastAsia="Times New Roman" w:hAnsi="Arial" w:cs="Arial"/>
          <w:kern w:val="0"/>
          <w:sz w:val="20"/>
          <w:szCs w:val="20"/>
          <w14:ligatures w14:val="none"/>
        </w:rPr>
        <w:t xml:space="preserve">0 of organic fertilizer (control). Each treatment consisted of 10 plants per replication, resulting in total of </w:t>
      </w:r>
      <w:r w:rsidR="000F0451">
        <w:rPr>
          <w:rFonts w:ascii="Arial" w:eastAsia="Times New Roman" w:hAnsi="Arial" w:cs="Arial"/>
          <w:kern w:val="0"/>
          <w:sz w:val="20"/>
          <w:szCs w:val="20"/>
          <w14:ligatures w14:val="none"/>
        </w:rPr>
        <w:t>16</w:t>
      </w:r>
      <w:r w:rsidRPr="00A312CA">
        <w:rPr>
          <w:rFonts w:ascii="Arial" w:eastAsia="Times New Roman" w:hAnsi="Arial" w:cs="Arial"/>
          <w:kern w:val="0"/>
          <w:sz w:val="20"/>
          <w:szCs w:val="20"/>
          <w14:ligatures w14:val="none"/>
        </w:rPr>
        <w:t>0 plants being involved in this study. The experimental units consisted of polybags measuring 20 x 25 cm, each containing 1.0 kg of soil</w:t>
      </w:r>
      <w:r w:rsidR="00027967">
        <w:rPr>
          <w:rFonts w:ascii="Arial" w:eastAsia="Times New Roman" w:hAnsi="Arial" w:cs="Arial"/>
          <w:kern w:val="0"/>
          <w:sz w:val="20"/>
          <w:szCs w:val="20"/>
          <w14:ligatures w14:val="none"/>
        </w:rPr>
        <w:t xml:space="preserve"> mix</w:t>
      </w:r>
      <w:r w:rsidRPr="00A312CA">
        <w:rPr>
          <w:rFonts w:ascii="Arial" w:eastAsia="Times New Roman" w:hAnsi="Arial" w:cs="Arial"/>
          <w:kern w:val="0"/>
          <w:sz w:val="20"/>
          <w:szCs w:val="20"/>
          <w14:ligatures w14:val="none"/>
        </w:rPr>
        <w:t xml:space="preserve">. Depending on the treatment, commercial </w:t>
      </w:r>
      <w:r w:rsidR="000F0451">
        <w:rPr>
          <w:rFonts w:ascii="Arial" w:eastAsia="Times New Roman" w:hAnsi="Arial" w:cs="Arial"/>
          <w:kern w:val="0"/>
          <w:sz w:val="20"/>
          <w:szCs w:val="20"/>
          <w14:ligatures w14:val="none"/>
        </w:rPr>
        <w:t>bio-</w:t>
      </w:r>
      <w:r w:rsidRPr="00A312CA">
        <w:rPr>
          <w:rFonts w:ascii="Arial" w:eastAsia="Times New Roman" w:hAnsi="Arial" w:cs="Arial"/>
          <w:kern w:val="0"/>
          <w:sz w:val="20"/>
          <w:szCs w:val="20"/>
          <w14:ligatures w14:val="none"/>
        </w:rPr>
        <w:t xml:space="preserve">organic fertilizer was added in varying amounts. The fertilizer was applied 14 </w:t>
      </w:r>
      <w:r w:rsidR="00027967">
        <w:rPr>
          <w:rFonts w:ascii="Arial" w:eastAsia="Times New Roman" w:hAnsi="Arial" w:cs="Arial"/>
          <w:kern w:val="0"/>
          <w:sz w:val="20"/>
          <w:szCs w:val="20"/>
          <w14:ligatures w14:val="none"/>
        </w:rPr>
        <w:t xml:space="preserve">and 30 days </w:t>
      </w:r>
      <w:r w:rsidRPr="00A312CA">
        <w:rPr>
          <w:rFonts w:ascii="Arial" w:eastAsia="Times New Roman" w:hAnsi="Arial" w:cs="Arial"/>
          <w:kern w:val="0"/>
          <w:sz w:val="20"/>
          <w:szCs w:val="20"/>
          <w14:ligatures w14:val="none"/>
        </w:rPr>
        <w:t xml:space="preserve">after transplanting. </w:t>
      </w:r>
    </w:p>
    <w:p w14:paraId="22EB1F6F" w14:textId="77777777" w:rsidR="00A312CA" w:rsidRPr="00A312CA" w:rsidRDefault="00A312CA" w:rsidP="00A312CA">
      <w:pPr>
        <w:spacing w:after="0" w:line="240" w:lineRule="auto"/>
        <w:jc w:val="both"/>
        <w:rPr>
          <w:rFonts w:ascii="Arial" w:eastAsia="Times New Roman" w:hAnsi="Arial" w:cs="Arial"/>
          <w:kern w:val="0"/>
          <w14:ligatures w14:val="none"/>
        </w:rPr>
      </w:pPr>
    </w:p>
    <w:p w14:paraId="3121AC95" w14:textId="77777777" w:rsidR="00A312CA" w:rsidRPr="00A312CA" w:rsidRDefault="00A312CA" w:rsidP="00A312CA">
      <w:pPr>
        <w:spacing w:after="0" w:line="240" w:lineRule="auto"/>
        <w:jc w:val="both"/>
        <w:rPr>
          <w:rFonts w:ascii="Arial" w:eastAsia="Times New Roman" w:hAnsi="Arial" w:cs="Arial"/>
          <w:b/>
          <w:bCs/>
          <w:kern w:val="0"/>
          <w14:ligatures w14:val="none"/>
        </w:rPr>
      </w:pPr>
      <w:bookmarkStart w:id="3" w:name="_Hlk191307502"/>
      <w:r w:rsidRPr="00A312CA">
        <w:rPr>
          <w:rFonts w:ascii="Arial" w:eastAsia="Times New Roman" w:hAnsi="Arial" w:cs="Arial"/>
          <w:b/>
          <w:kern w:val="0"/>
          <w:lang w:val="en-US"/>
          <w14:ligatures w14:val="none"/>
        </w:rPr>
        <w:t xml:space="preserve">2.4 </w:t>
      </w:r>
      <w:r w:rsidRPr="00A312CA">
        <w:rPr>
          <w:rFonts w:ascii="Arial" w:eastAsia="Times New Roman" w:hAnsi="Arial" w:cs="Arial"/>
          <w:b/>
          <w:bCs/>
          <w:kern w:val="0"/>
          <w14:ligatures w14:val="none"/>
        </w:rPr>
        <w:t>Data Collections</w:t>
      </w:r>
    </w:p>
    <w:bookmarkEnd w:id="3"/>
    <w:p w14:paraId="73E6A000"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19511F7" w14:textId="2530E051"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Growth measurements were taken for various variables, including </w:t>
      </w:r>
      <w:r w:rsidR="0097291E">
        <w:rPr>
          <w:rFonts w:ascii="Arial" w:eastAsia="Times New Roman" w:hAnsi="Arial" w:cs="Arial"/>
          <w:kern w:val="0"/>
          <w:sz w:val="20"/>
          <w:szCs w:val="20"/>
          <w14:ligatures w14:val="none"/>
        </w:rPr>
        <w:t>plant</w:t>
      </w:r>
      <w:r w:rsidRPr="00A312CA">
        <w:rPr>
          <w:rFonts w:ascii="Arial" w:eastAsia="Times New Roman" w:hAnsi="Arial" w:cs="Arial"/>
          <w:kern w:val="0"/>
          <w:sz w:val="20"/>
          <w:szCs w:val="20"/>
          <w14:ligatures w14:val="none"/>
        </w:rPr>
        <w:t xml:space="preserve"> height, stem diameter (measured 1 cm above the surface of the growing medium)</w:t>
      </w:r>
      <w:r w:rsidR="0097291E">
        <w:rPr>
          <w:rFonts w:ascii="Arial" w:eastAsia="Times New Roman" w:hAnsi="Arial" w:cs="Arial"/>
          <w:kern w:val="0"/>
          <w:sz w:val="20"/>
          <w:szCs w:val="20"/>
          <w14:ligatures w14:val="none"/>
        </w:rPr>
        <w:t xml:space="preserve"> and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Plant height was measured using a meter rule, while stem diameter was determined using a vernier </w:t>
      </w:r>
      <w:proofErr w:type="spellStart"/>
      <w:r w:rsidRPr="00A312CA">
        <w:rPr>
          <w:rFonts w:ascii="Arial" w:eastAsia="Times New Roman" w:hAnsi="Arial" w:cs="Arial"/>
          <w:kern w:val="0"/>
          <w:sz w:val="20"/>
          <w:szCs w:val="20"/>
          <w14:ligatures w14:val="none"/>
        </w:rPr>
        <w:t>caliper</w:t>
      </w:r>
      <w:proofErr w:type="spellEnd"/>
      <w:r w:rsidRPr="00A312CA">
        <w:rPr>
          <w:rFonts w:ascii="Arial" w:eastAsia="Times New Roman" w:hAnsi="Arial" w:cs="Arial"/>
          <w:kern w:val="0"/>
          <w:sz w:val="20"/>
          <w:szCs w:val="20"/>
          <w14:ligatures w14:val="none"/>
        </w:rPr>
        <w:t xml:space="preserve">.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per plant was measured using a LI-3100C leaf area meter. The seedlings were observed at 8 weeks after transplanting (WAT). Plant biomass was assessed by carefully removing the seedlings from the growing medium, </w:t>
      </w:r>
      <w:r w:rsidR="00FC4174" w:rsidRPr="00FC4174">
        <w:rPr>
          <w:rFonts w:ascii="Arial" w:eastAsia="Times New Roman" w:hAnsi="Arial" w:cs="Arial"/>
          <w:kern w:val="0"/>
          <w:sz w:val="20"/>
          <w:szCs w:val="20"/>
          <w14:ligatures w14:val="none"/>
        </w:rPr>
        <w:t xml:space="preserve">thoroughly removing soil particles and measuring the weight </w:t>
      </w:r>
      <w:r w:rsidRPr="00A312CA">
        <w:rPr>
          <w:rFonts w:ascii="Arial" w:eastAsia="Times New Roman" w:hAnsi="Arial" w:cs="Arial"/>
          <w:kern w:val="0"/>
          <w:sz w:val="20"/>
          <w:szCs w:val="20"/>
          <w14:ligatures w14:val="none"/>
        </w:rPr>
        <w:t>of the different plant parts. Fresh biomass was weighed using a digital balance. To determine dry biomass, the roots and aerial parts of the plants were dried in an oven at 75°C for 72 hours, then weighed using an electronic scale with an accuracy of 0.001 g.</w:t>
      </w:r>
    </w:p>
    <w:p w14:paraId="7EDF1535" w14:textId="77777777" w:rsidR="00A312CA" w:rsidRPr="00A312CA" w:rsidRDefault="00A312CA" w:rsidP="00A312CA">
      <w:pPr>
        <w:spacing w:after="0" w:line="240" w:lineRule="auto"/>
        <w:jc w:val="both"/>
        <w:rPr>
          <w:rFonts w:ascii="Arial" w:eastAsia="Times New Roman" w:hAnsi="Arial" w:cs="Arial"/>
          <w:kern w:val="0"/>
          <w14:ligatures w14:val="none"/>
        </w:rPr>
      </w:pPr>
    </w:p>
    <w:p w14:paraId="4F3D826C" w14:textId="77777777"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2.5 </w:t>
      </w:r>
      <w:r w:rsidRPr="00A312CA">
        <w:rPr>
          <w:rFonts w:ascii="Arial" w:eastAsia="Times New Roman" w:hAnsi="Arial" w:cs="Arial"/>
          <w:b/>
          <w:bCs/>
          <w:kern w:val="0"/>
          <w14:ligatures w14:val="none"/>
        </w:rPr>
        <w:t>Statistical analysis</w:t>
      </w:r>
    </w:p>
    <w:p w14:paraId="05C13FEE"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61BE4701" w14:textId="4D5387FA"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data obtained were subjected to analysis of variance (ANOVA) using the SAS software (Version 9, SAS Institute Inc. Cary, North Carolina, USA). The differences between treatment means were compared using Least Significant Difference (LSD) at p ≤ 0.05.</w:t>
      </w:r>
    </w:p>
    <w:p w14:paraId="5BB6DE62" w14:textId="77777777" w:rsidR="00A312CA" w:rsidRPr="00A312CA" w:rsidRDefault="00A312CA" w:rsidP="00A312CA">
      <w:pPr>
        <w:spacing w:after="240" w:line="240" w:lineRule="auto"/>
        <w:jc w:val="both"/>
        <w:rPr>
          <w:rFonts w:ascii="Arial" w:eastAsia="Times New Roman" w:hAnsi="Arial" w:cs="Arial"/>
          <w:kern w:val="0"/>
          <w14:ligatures w14:val="none"/>
        </w:rPr>
      </w:pPr>
    </w:p>
    <w:p w14:paraId="117E3A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329560B6"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lastRenderedPageBreak/>
        <w:t>3. results and discussion</w:t>
      </w:r>
    </w:p>
    <w:p w14:paraId="27AC0787"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0DA97E9E" w14:textId="58F2D2DF"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 demonstrated a consistent increase in plant height by the 8</w:t>
      </w:r>
      <w:r w:rsidRPr="00A312CA">
        <w:rPr>
          <w:rFonts w:ascii="Arial" w:eastAsia="Times New Roman" w:hAnsi="Arial" w:cs="Arial"/>
          <w:kern w:val="0"/>
          <w:sz w:val="20"/>
          <w:szCs w:val="20"/>
          <w:vertAlign w:val="superscript"/>
          <w14:ligatures w14:val="none"/>
        </w:rPr>
        <w:t xml:space="preserve">th </w:t>
      </w:r>
      <w:r w:rsidRPr="00A312CA">
        <w:rPr>
          <w:rFonts w:ascii="Arial" w:eastAsia="Times New Roman" w:hAnsi="Arial" w:cs="Arial"/>
          <w:kern w:val="0"/>
          <w:sz w:val="20"/>
          <w:szCs w:val="20"/>
          <w14:ligatures w14:val="none"/>
        </w:rPr>
        <w:t xml:space="preserve">week after transplanting, with a significant difference observed between the organic treatments and the control. As shown in Figure 1, the tallest plants were recorded in the treatment with 200 g of organic fertilizer (123.25 cm), followed by 300 g (122.10 cm) and 100 g (115.35 cm).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measurements showed significant variations across treatments; however, there was no statistically significant difference (P &lt; 0.05) between the 200 g and 300 g organic fertilizer treatments. Overall, the results of this study indicated a general trend of increased plant height,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xml:space="preserve">, and </w:t>
      </w:r>
      <w:r w:rsidR="000B3FA3">
        <w:rPr>
          <w:rFonts w:ascii="Arial" w:eastAsia="Times New Roman" w:hAnsi="Arial" w:cs="Arial"/>
          <w:kern w:val="0"/>
          <w:sz w:val="20"/>
          <w:szCs w:val="20"/>
          <w14:ligatures w14:val="none"/>
        </w:rPr>
        <w:t>leaf fresh</w:t>
      </w:r>
      <w:r w:rsidRPr="00A312CA">
        <w:rPr>
          <w:rFonts w:ascii="Arial" w:eastAsia="Times New Roman" w:hAnsi="Arial" w:cs="Arial"/>
          <w:kern w:val="0"/>
          <w:sz w:val="20"/>
          <w:szCs w:val="20"/>
          <w14:ligatures w14:val="none"/>
        </w:rPr>
        <w:t xml:space="preserve"> weight with higher rates of organic fertilizer application. Studies have shown that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seedlings grown with organic fertilizers exhibit superior growth performance compared to those without fertilizer. This includes increased seedling height, </w:t>
      </w:r>
      <w:r w:rsidR="000B3FA3">
        <w:rPr>
          <w:rFonts w:ascii="Arial" w:eastAsia="Times New Roman" w:hAnsi="Arial" w:cs="Arial"/>
          <w:kern w:val="0"/>
          <w:sz w:val="20"/>
          <w:szCs w:val="20"/>
          <w14:ligatures w14:val="none"/>
        </w:rPr>
        <w:t>leaf area</w:t>
      </w:r>
      <w:r w:rsidRPr="00A312CA">
        <w:rPr>
          <w:rFonts w:ascii="Arial" w:eastAsia="Times New Roman" w:hAnsi="Arial" w:cs="Arial"/>
          <w:kern w:val="0"/>
          <w:sz w:val="20"/>
          <w:szCs w:val="20"/>
          <w14:ligatures w14:val="none"/>
        </w:rPr>
        <w:t>, biomass production, and overall vigour. The nutrient-dense nature of organic fertilizers also aligns with sustainable agricultural practices, minimizing the environmental impact and promoting long-term soil health.</w:t>
      </w:r>
    </w:p>
    <w:p w14:paraId="3A6B2C32"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C8B47DE" w14:textId="7387B04E" w:rsid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This observation agree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with earlier reports of </w:t>
      </w:r>
      <w:proofErr w:type="spellStart"/>
      <w:r w:rsidRPr="00A312CA">
        <w:rPr>
          <w:rFonts w:ascii="Arial" w:eastAsia="Times New Roman" w:hAnsi="Arial" w:cs="Arial"/>
          <w:kern w:val="0"/>
          <w:sz w:val="20"/>
          <w:szCs w:val="20"/>
          <w14:ligatures w14:val="none"/>
        </w:rPr>
        <w:t>Baiyeri</w:t>
      </w:r>
      <w:proofErr w:type="spellEnd"/>
      <w:r w:rsidRPr="00A312CA">
        <w:rPr>
          <w:rFonts w:ascii="Arial" w:eastAsia="Times New Roman" w:hAnsi="Arial" w:cs="Arial"/>
          <w:kern w:val="0"/>
          <w:sz w:val="20"/>
          <w:szCs w:val="20"/>
          <w14:ligatures w14:val="none"/>
        </w:rPr>
        <w:t xml:space="preserve"> (2008), Ndukwe (2011) and Aba (2011) that animal manure is a valuable source of crop nutrients and organic matter, which can </w:t>
      </w:r>
      <w:proofErr w:type="gramStart"/>
      <w:r w:rsidRPr="00A312CA">
        <w:rPr>
          <w:rFonts w:ascii="Arial" w:eastAsia="Times New Roman" w:hAnsi="Arial" w:cs="Arial"/>
          <w:kern w:val="0"/>
          <w:sz w:val="20"/>
          <w:szCs w:val="20"/>
          <w14:ligatures w14:val="none"/>
        </w:rPr>
        <w:t>improve</w:t>
      </w:r>
      <w:r w:rsidR="007C1E4A">
        <w:rPr>
          <w:rFonts w:ascii="Arial" w:eastAsia="Times New Roman" w:hAnsi="Arial" w:cs="Arial"/>
          <w:kern w:val="0"/>
          <w:sz w:val="20"/>
          <w:szCs w:val="20"/>
          <w14:ligatures w14:val="none"/>
        </w:rPr>
        <w:t>d</w:t>
      </w:r>
      <w:proofErr w:type="gramEnd"/>
      <w:r w:rsidRPr="00A312CA">
        <w:rPr>
          <w:rFonts w:ascii="Arial" w:eastAsia="Times New Roman" w:hAnsi="Arial" w:cs="Arial"/>
          <w:kern w:val="0"/>
          <w:sz w:val="20"/>
          <w:szCs w:val="20"/>
          <w14:ligatures w14:val="none"/>
        </w:rPr>
        <w:t xml:space="preserve"> the soil biophysical conditions making the soil more productive and sustainable for plant growth. Chukwuka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(2009) specifically noted that application of organic fertilizers significantly improves the soil chemical properties and nutrient uptake in plants, thereby enhancing plant growth. Organic fertilizers can significantly enhance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seedling development by supplying essential macronutrients (nitrogen, phosphorus, and potassium) and micronutrients in a form that is readily available and easily absorbed by the plant. Nitrogen, in particular, is crucial for lea</w:t>
      </w:r>
      <w:r w:rsidR="005C1338">
        <w:rPr>
          <w:rFonts w:ascii="Arial" w:eastAsia="Times New Roman" w:hAnsi="Arial" w:cs="Arial"/>
          <w:kern w:val="0"/>
          <w:sz w:val="20"/>
          <w:szCs w:val="20"/>
          <w14:ligatures w14:val="none"/>
        </w:rPr>
        <w:t>ves</w:t>
      </w:r>
      <w:r w:rsidRPr="00A312CA">
        <w:rPr>
          <w:rFonts w:ascii="Arial" w:eastAsia="Times New Roman" w:hAnsi="Arial" w:cs="Arial"/>
          <w:kern w:val="0"/>
          <w:sz w:val="20"/>
          <w:szCs w:val="20"/>
          <w14:ligatures w14:val="none"/>
        </w:rPr>
        <w:t xml:space="preserve"> and shoot development, while phosphorus supports root establishment and energy transfer. Potassium contributes to photosynthesis, water regulation, and resistance to stress conditions.</w:t>
      </w:r>
    </w:p>
    <w:p w14:paraId="2621C412" w14:textId="77777777" w:rsidR="0082470A" w:rsidRDefault="0082470A" w:rsidP="00A312CA">
      <w:pPr>
        <w:spacing w:after="0" w:line="240" w:lineRule="auto"/>
        <w:jc w:val="both"/>
        <w:rPr>
          <w:rFonts w:ascii="Arial" w:eastAsia="Times New Roman" w:hAnsi="Arial" w:cs="Arial"/>
          <w:kern w:val="0"/>
          <w:sz w:val="20"/>
          <w:szCs w:val="20"/>
          <w14:ligatures w14:val="none"/>
        </w:rPr>
      </w:pPr>
    </w:p>
    <w:p w14:paraId="3322E66F" w14:textId="1405AB2F" w:rsidR="00B529C3" w:rsidRDefault="00D01219" w:rsidP="000B3FA3">
      <w:pPr>
        <w:spacing w:after="0" w:line="240" w:lineRule="auto"/>
        <w:jc w:val="right"/>
        <w:rPr>
          <w:rFonts w:ascii="Arial" w:eastAsia="Times New Roman" w:hAnsi="Arial" w:cs="Arial"/>
          <w:b/>
          <w:bCs/>
          <w:kern w:val="0"/>
          <w:sz w:val="20"/>
          <w:szCs w:val="20"/>
          <w:lang w:val="en-US"/>
          <w14:ligatures w14:val="none"/>
        </w:rPr>
      </w:pPr>
      <w:r w:rsidRPr="00D01219">
        <w:rPr>
          <w:rFonts w:ascii="Calibri" w:eastAsia="Calibri" w:hAnsi="Calibri" w:cs="Times New Roman"/>
          <w:sz w:val="24"/>
          <w:szCs w:val="24"/>
          <w:lang w:val="ms-MY"/>
        </w:rPr>
        <w:object w:dxaOrig="4622" w:dyaOrig="4250" w14:anchorId="269D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39.4pt;height:128.45pt" o:ole="">
            <v:imagedata r:id="rId7" o:title=""/>
          </v:shape>
          <o:OLEObject Type="Embed" ProgID="Prism10.Document" ShapeID="_x0000_i1171" DrawAspect="Content" ObjectID="_1802612263" r:id="rId8"/>
        </w:object>
      </w:r>
      <w:r>
        <w:object w:dxaOrig="4682" w:dyaOrig="4250" w14:anchorId="590095C8">
          <v:shape id="_x0000_i1150" type="#_x0000_t75" style="width:138.25pt;height:125.55pt" o:ole="">
            <v:imagedata r:id="rId9" o:title=""/>
          </v:shape>
          <o:OLEObject Type="Embed" ProgID="Prism10.Document" ShapeID="_x0000_i1150" DrawAspect="Content" ObjectID="_1802612264" r:id="rId10"/>
        </w:object>
      </w:r>
      <w:r>
        <w:object w:dxaOrig="4493" w:dyaOrig="4250" w14:anchorId="1990010E">
          <v:shape id="_x0000_i1153" type="#_x0000_t75" style="width:132.5pt;height:125pt" o:ole="">
            <v:imagedata r:id="rId11" o:title=""/>
          </v:shape>
          <o:OLEObject Type="Embed" ProgID="Prism10.Document" ShapeID="_x0000_i1153" DrawAspect="Content" ObjectID="_1802612265" r:id="rId12"/>
        </w:object>
      </w:r>
    </w:p>
    <w:p w14:paraId="5640E324" w14:textId="77777777" w:rsidR="00B529C3" w:rsidRDefault="00B529C3" w:rsidP="0082470A">
      <w:pPr>
        <w:spacing w:after="0" w:line="240" w:lineRule="auto"/>
        <w:jc w:val="both"/>
        <w:rPr>
          <w:rFonts w:ascii="Arial" w:eastAsia="Times New Roman" w:hAnsi="Arial" w:cs="Arial"/>
          <w:b/>
          <w:bCs/>
          <w:kern w:val="0"/>
          <w:sz w:val="20"/>
          <w:szCs w:val="20"/>
          <w:lang w:val="en-US"/>
          <w14:ligatures w14:val="none"/>
        </w:rPr>
      </w:pPr>
    </w:p>
    <w:p w14:paraId="2BDCBB47" w14:textId="24B09CC1"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1. </w:t>
      </w:r>
      <w:r w:rsidRPr="0082470A">
        <w:rPr>
          <w:rFonts w:ascii="Arial" w:eastAsia="Times New Roman" w:hAnsi="Arial" w:cs="Arial"/>
          <w:b/>
          <w:bCs/>
          <w:kern w:val="0"/>
          <w:sz w:val="20"/>
          <w:szCs w:val="20"/>
          <w14:ligatures w14:val="none"/>
        </w:rPr>
        <w:t xml:space="preserve">Growth performance of moringa </w:t>
      </w:r>
      <w:r w:rsidR="00464DFB">
        <w:rPr>
          <w:rFonts w:ascii="Arial" w:eastAsia="Times New Roman" w:hAnsi="Arial" w:cs="Arial"/>
          <w:b/>
          <w:bCs/>
          <w:kern w:val="0"/>
          <w:sz w:val="20"/>
          <w:szCs w:val="20"/>
          <w14:ligatures w14:val="none"/>
        </w:rPr>
        <w:t xml:space="preserve">seedlings </w:t>
      </w:r>
      <w:r w:rsidRPr="0082470A">
        <w:rPr>
          <w:rFonts w:ascii="Arial" w:eastAsia="Times New Roman" w:hAnsi="Arial" w:cs="Arial"/>
          <w:b/>
          <w:bCs/>
          <w:kern w:val="0"/>
          <w:sz w:val="20"/>
          <w:szCs w:val="20"/>
          <w14:ligatures w14:val="none"/>
        </w:rPr>
        <w:t xml:space="preserve">in terms of plant height, </w:t>
      </w:r>
      <w:r w:rsidR="000B3FA3">
        <w:rPr>
          <w:rFonts w:ascii="Arial" w:eastAsia="Times New Roman" w:hAnsi="Arial" w:cs="Arial"/>
          <w:b/>
          <w:bCs/>
          <w:kern w:val="0"/>
          <w:sz w:val="20"/>
          <w:szCs w:val="20"/>
          <w14:ligatures w14:val="none"/>
        </w:rPr>
        <w:t>leaf area</w:t>
      </w:r>
      <w:r w:rsidRPr="0082470A">
        <w:rPr>
          <w:rFonts w:ascii="Arial" w:eastAsia="Times New Roman" w:hAnsi="Arial" w:cs="Arial"/>
          <w:b/>
          <w:bCs/>
          <w:kern w:val="0"/>
          <w:sz w:val="20"/>
          <w:szCs w:val="20"/>
          <w14:ligatures w14:val="none"/>
        </w:rPr>
        <w:t xml:space="preserve"> and </w:t>
      </w:r>
      <w:r w:rsidR="000B3FA3">
        <w:rPr>
          <w:rFonts w:ascii="Arial" w:eastAsia="Times New Roman" w:hAnsi="Arial" w:cs="Arial"/>
          <w:b/>
          <w:bCs/>
          <w:kern w:val="0"/>
          <w:sz w:val="20"/>
          <w:szCs w:val="20"/>
          <w14:ligatures w14:val="none"/>
        </w:rPr>
        <w:t>leaf fresh</w:t>
      </w:r>
      <w:r w:rsidRPr="0082470A">
        <w:rPr>
          <w:rFonts w:ascii="Arial" w:eastAsia="Times New Roman" w:hAnsi="Arial" w:cs="Arial"/>
          <w:b/>
          <w:bCs/>
          <w:kern w:val="0"/>
          <w:sz w:val="20"/>
          <w:szCs w:val="20"/>
          <w14:ligatures w14:val="none"/>
        </w:rPr>
        <w:t xml:space="preserve"> weight at different rate of organic fertilizer</w:t>
      </w:r>
    </w:p>
    <w:p w14:paraId="62503467" w14:textId="77777777" w:rsidR="0082470A" w:rsidRDefault="0082470A" w:rsidP="0082470A">
      <w:pPr>
        <w:spacing w:after="0" w:line="240" w:lineRule="auto"/>
        <w:jc w:val="both"/>
        <w:rPr>
          <w:rFonts w:ascii="Arial" w:eastAsia="Times New Roman" w:hAnsi="Arial" w:cs="Arial"/>
          <w:b/>
          <w:bCs/>
          <w:kern w:val="0"/>
          <w:sz w:val="20"/>
          <w:szCs w:val="20"/>
          <w14:ligatures w14:val="none"/>
        </w:rPr>
      </w:pPr>
    </w:p>
    <w:p w14:paraId="256E3C60" w14:textId="2611CEDF"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Table 1 indicates that the fertilizer treatments significantly influenced stem girth, with the highest value recorded for the 200 g organic fertilizer treatment (1</w:t>
      </w:r>
      <w:r w:rsidR="006620A8">
        <w:rPr>
          <w:rFonts w:ascii="Arial" w:eastAsia="Times New Roman" w:hAnsi="Arial" w:cs="Arial"/>
          <w:kern w:val="0"/>
          <w:sz w:val="20"/>
          <w:szCs w:val="20"/>
          <w14:ligatures w14:val="none"/>
        </w:rPr>
        <w:t>.4</w:t>
      </w:r>
      <w:r w:rsidRPr="00A312CA">
        <w:rPr>
          <w:rFonts w:ascii="Arial" w:eastAsia="Times New Roman" w:hAnsi="Arial" w:cs="Arial"/>
          <w:kern w:val="0"/>
          <w:sz w:val="20"/>
          <w:szCs w:val="20"/>
          <w14:ligatures w14:val="none"/>
        </w:rPr>
        <w:t xml:space="preserve">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m), while the control showed the lowest value (</w:t>
      </w:r>
      <w:r w:rsidR="006620A8">
        <w:rPr>
          <w:rFonts w:ascii="Arial" w:eastAsia="Times New Roman" w:hAnsi="Arial" w:cs="Arial"/>
          <w:kern w:val="0"/>
          <w:sz w:val="20"/>
          <w:szCs w:val="20"/>
          <w14:ligatures w14:val="none"/>
        </w:rPr>
        <w:t>0.</w:t>
      </w:r>
      <w:r w:rsidRPr="00A312CA">
        <w:rPr>
          <w:rFonts w:ascii="Arial" w:eastAsia="Times New Roman" w:hAnsi="Arial" w:cs="Arial"/>
          <w:kern w:val="0"/>
          <w:sz w:val="20"/>
          <w:szCs w:val="20"/>
          <w14:ligatures w14:val="none"/>
        </w:rPr>
        <w:t xml:space="preserve">94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 xml:space="preserve">m). Additionally, the 300 g organic fertilizer treatment produced the highest fresh and dry weight of leaves and stems, although this was not significantly different from the 200 g treatment. These findings suggest that organic fertilizer is an effective amendment for enhancing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production in nursery conditions by boosting the vigour of this valuable plant. According to </w:t>
      </w:r>
      <w:proofErr w:type="spellStart"/>
      <w:r w:rsidRPr="00A312CA">
        <w:rPr>
          <w:rFonts w:ascii="Arial" w:eastAsia="Times New Roman" w:hAnsi="Arial" w:cs="Arial"/>
          <w:kern w:val="0"/>
          <w:sz w:val="20"/>
          <w:szCs w:val="20"/>
          <w14:ligatures w14:val="none"/>
        </w:rPr>
        <w:t>Stoffella</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(1997), compost and other organic fertilizers have been reported to improve soil nutrient levels, as fertilizers provide a ready source of carbon and nitrogen for soil microorganisms, improve soil structure, reduce erosion, lower soil temperatures, facilitate seed germination and increase soil water retention </w:t>
      </w:r>
      <w:r w:rsidRPr="00A312CA">
        <w:rPr>
          <w:rFonts w:ascii="Arial" w:eastAsia="Times New Roman" w:hAnsi="Arial" w:cs="Arial"/>
          <w:kern w:val="0"/>
          <w:sz w:val="20"/>
          <w:szCs w:val="20"/>
          <w14:ligatures w14:val="none"/>
        </w:rPr>
        <w:lastRenderedPageBreak/>
        <w:t>capacity. Fertilizers stabilize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soil pH, increase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soil organic matter, and improve</w:t>
      </w:r>
      <w:r w:rsidR="007C1E4A">
        <w:rPr>
          <w:rFonts w:ascii="Arial" w:eastAsia="Times New Roman" w:hAnsi="Arial" w:cs="Arial"/>
          <w:kern w:val="0"/>
          <w:sz w:val="20"/>
          <w:szCs w:val="20"/>
          <w14:ligatures w14:val="none"/>
        </w:rPr>
        <w:t>d</w:t>
      </w:r>
      <w:r w:rsidRPr="00A312CA">
        <w:rPr>
          <w:rFonts w:ascii="Arial" w:eastAsia="Times New Roman" w:hAnsi="Arial" w:cs="Arial"/>
          <w:kern w:val="0"/>
          <w:sz w:val="20"/>
          <w:szCs w:val="20"/>
          <w14:ligatures w14:val="none"/>
        </w:rPr>
        <w:t xml:space="preserve"> the growth and yields of plants (Roe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1997).</w:t>
      </w:r>
    </w:p>
    <w:p w14:paraId="110EE6C6" w14:textId="77777777" w:rsidR="00A312CA" w:rsidRDefault="00A312CA" w:rsidP="00A312CA">
      <w:pPr>
        <w:spacing w:after="0" w:line="240" w:lineRule="auto"/>
        <w:jc w:val="both"/>
        <w:rPr>
          <w:rFonts w:ascii="Arial" w:eastAsia="Times New Roman" w:hAnsi="Arial" w:cs="Arial"/>
          <w:kern w:val="0"/>
          <w:sz w:val="20"/>
          <w:szCs w:val="20"/>
          <w14:ligatures w14:val="none"/>
        </w:rPr>
      </w:pPr>
    </w:p>
    <w:p w14:paraId="505AA3B1" w14:textId="78F96995"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 xml:space="preserve">Table 1:  Growth performance of moringa </w:t>
      </w:r>
      <w:r w:rsidR="00464DFB">
        <w:rPr>
          <w:rFonts w:ascii="Arial" w:eastAsia="Times New Roman" w:hAnsi="Arial" w:cs="Times New Roman"/>
          <w:b/>
          <w:kern w:val="0"/>
          <w:sz w:val="20"/>
          <w:szCs w:val="20"/>
          <w14:ligatures w14:val="none"/>
        </w:rPr>
        <w:t xml:space="preserve">seedlings </w:t>
      </w:r>
      <w:r w:rsidRPr="0082470A">
        <w:rPr>
          <w:rFonts w:ascii="Arial" w:eastAsia="Times New Roman" w:hAnsi="Arial" w:cs="Times New Roman"/>
          <w:b/>
          <w:kern w:val="0"/>
          <w:sz w:val="20"/>
          <w:szCs w:val="20"/>
          <w14:ligatures w14:val="none"/>
        </w:rPr>
        <w:t>at different rate of organic fertilizer</w:t>
      </w:r>
    </w:p>
    <w:p w14:paraId="4046A441"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p>
    <w:tbl>
      <w:tblPr>
        <w:tblW w:w="8317" w:type="dxa"/>
        <w:tblCellMar>
          <w:left w:w="0" w:type="dxa"/>
          <w:right w:w="0" w:type="dxa"/>
        </w:tblCellMar>
        <w:tblLook w:val="0600" w:firstRow="0" w:lastRow="0" w:firstColumn="0" w:lastColumn="0" w:noHBand="1" w:noVBand="1"/>
      </w:tblPr>
      <w:tblGrid>
        <w:gridCol w:w="1009"/>
        <w:gridCol w:w="1190"/>
        <w:gridCol w:w="1328"/>
        <w:gridCol w:w="1199"/>
        <w:gridCol w:w="1327"/>
        <w:gridCol w:w="1066"/>
        <w:gridCol w:w="1198"/>
      </w:tblGrid>
      <w:tr w:rsidR="0082470A" w:rsidRPr="0082470A" w14:paraId="78FB48AF" w14:textId="77777777" w:rsidTr="00864E50">
        <w:trPr>
          <w:trHeight w:val="623"/>
        </w:trPr>
        <w:tc>
          <w:tcPr>
            <w:tcW w:w="1009"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71181B1E" w14:textId="13130F16" w:rsidR="0082470A" w:rsidRPr="0082470A" w:rsidRDefault="00561A42" w:rsidP="00561A42">
            <w:pPr>
              <w:tabs>
                <w:tab w:val="left" w:pos="1080"/>
              </w:tabs>
              <w:spacing w:after="0" w:line="240" w:lineRule="auto"/>
              <w:jc w:val="center"/>
              <w:rPr>
                <w:rFonts w:ascii="Arial" w:eastAsia="Times New Roman" w:hAnsi="Arial" w:cs="Times New Roman"/>
                <w:b/>
                <w:kern w:val="0"/>
                <w:sz w:val="20"/>
                <w:szCs w:val="20"/>
                <w14:ligatures w14:val="none"/>
              </w:rPr>
            </w:pPr>
            <w:r>
              <w:rPr>
                <w:rFonts w:ascii="Arial" w:eastAsia="Times New Roman" w:hAnsi="Arial" w:cs="Times New Roman"/>
                <w:b/>
                <w:kern w:val="0"/>
                <w:sz w:val="20"/>
                <w:szCs w:val="20"/>
                <w14:ligatures w14:val="none"/>
              </w:rPr>
              <w:t>Fertilizer rate (g)</w:t>
            </w:r>
          </w:p>
        </w:tc>
        <w:tc>
          <w:tcPr>
            <w:tcW w:w="1190"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44D52F01" w14:textId="6CC6D595"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girth (</w:t>
            </w:r>
            <w:r w:rsidR="000F0451">
              <w:rPr>
                <w:rFonts w:ascii="Arial" w:eastAsia="Times New Roman" w:hAnsi="Arial" w:cs="Times New Roman"/>
                <w:b/>
                <w:kern w:val="0"/>
                <w:sz w:val="20"/>
                <w:szCs w:val="20"/>
                <w14:ligatures w14:val="none"/>
              </w:rPr>
              <w:t>c</w:t>
            </w:r>
            <w:r w:rsidRPr="0082470A">
              <w:rPr>
                <w:rFonts w:ascii="Arial" w:eastAsia="Times New Roman" w:hAnsi="Arial" w:cs="Times New Roman"/>
                <w:b/>
                <w:kern w:val="0"/>
                <w:sz w:val="20"/>
                <w:szCs w:val="20"/>
                <w14:ligatures w14:val="none"/>
              </w:rPr>
              <w:t>m)</w:t>
            </w:r>
          </w:p>
        </w:tc>
        <w:tc>
          <w:tcPr>
            <w:tcW w:w="1328"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417922CA" w14:textId="1BDF4E08"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Lea</w:t>
            </w:r>
            <w:r w:rsidR="000B3FA3">
              <w:rPr>
                <w:rFonts w:ascii="Arial" w:eastAsia="Times New Roman" w:hAnsi="Arial" w:cs="Times New Roman"/>
                <w:b/>
                <w:kern w:val="0"/>
                <w:sz w:val="20"/>
                <w:szCs w:val="20"/>
                <w14:ligatures w14:val="none"/>
              </w:rPr>
              <w:t>f</w:t>
            </w:r>
            <w:r w:rsidRPr="0082470A">
              <w:rPr>
                <w:rFonts w:ascii="Arial" w:eastAsia="Times New Roman" w:hAnsi="Arial" w:cs="Times New Roman"/>
                <w:b/>
                <w:kern w:val="0"/>
                <w:sz w:val="20"/>
                <w:szCs w:val="20"/>
                <w14:ligatures w14:val="none"/>
              </w:rPr>
              <w:t xml:space="preserve"> dry weight (g)</w:t>
            </w:r>
          </w:p>
        </w:tc>
        <w:tc>
          <w:tcPr>
            <w:tcW w:w="1199"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5F3868A9"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fresh weight (g)</w:t>
            </w:r>
          </w:p>
        </w:tc>
        <w:tc>
          <w:tcPr>
            <w:tcW w:w="1327"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12140DF7"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dry weight (g)</w:t>
            </w:r>
          </w:p>
        </w:tc>
        <w:tc>
          <w:tcPr>
            <w:tcW w:w="1066"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266865CB"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fresh weight (g)</w:t>
            </w:r>
          </w:p>
        </w:tc>
        <w:tc>
          <w:tcPr>
            <w:tcW w:w="1198" w:type="dxa"/>
            <w:tcBorders>
              <w:top w:val="single" w:sz="8"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0E15E4E8"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dry weight (g)</w:t>
            </w:r>
          </w:p>
        </w:tc>
      </w:tr>
      <w:tr w:rsidR="00864E50" w:rsidRPr="0082470A" w14:paraId="4F3386A0" w14:textId="77777777" w:rsidTr="00864E50">
        <w:trPr>
          <w:trHeight w:val="117"/>
        </w:trPr>
        <w:tc>
          <w:tcPr>
            <w:tcW w:w="1009"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5A8D37DA" w14:textId="3AB1E3F5"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0</w:t>
            </w:r>
          </w:p>
        </w:tc>
        <w:tc>
          <w:tcPr>
            <w:tcW w:w="1190"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76A47F6F" w14:textId="5582EF6A"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0.</w:t>
            </w:r>
            <w:r w:rsidRPr="0082470A">
              <w:rPr>
                <w:rFonts w:ascii="Arial" w:eastAsia="Times New Roman" w:hAnsi="Arial" w:cs="Times New Roman"/>
                <w:bCs/>
                <w:kern w:val="0"/>
                <w:sz w:val="20"/>
                <w:szCs w:val="20"/>
                <w14:ligatures w14:val="none"/>
              </w:rPr>
              <w:t>94</w:t>
            </w:r>
            <w:r w:rsidRPr="0082470A">
              <w:rPr>
                <w:rFonts w:ascii="Arial" w:eastAsia="Times New Roman" w:hAnsi="Arial" w:cs="Times New Roman"/>
                <w:bCs/>
                <w:kern w:val="0"/>
                <w:sz w:val="20"/>
                <w:szCs w:val="20"/>
                <w:vertAlign w:val="superscript"/>
                <w14:ligatures w14:val="none"/>
              </w:rPr>
              <w:t>b</w:t>
            </w:r>
          </w:p>
        </w:tc>
        <w:tc>
          <w:tcPr>
            <w:tcW w:w="1328"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1FB9ABFA" w14:textId="1B27A54E"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1.24</w:t>
            </w:r>
            <w:r w:rsidRPr="0082470A">
              <w:rPr>
                <w:rFonts w:ascii="Arial" w:eastAsia="Times New Roman" w:hAnsi="Arial" w:cs="Times New Roman"/>
                <w:bCs/>
                <w:kern w:val="0"/>
                <w:sz w:val="20"/>
                <w:szCs w:val="20"/>
                <w:vertAlign w:val="superscript"/>
                <w14:ligatures w14:val="none"/>
              </w:rPr>
              <w:t>b</w:t>
            </w:r>
          </w:p>
        </w:tc>
        <w:tc>
          <w:tcPr>
            <w:tcW w:w="1199"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310769F7" w14:textId="5AFD551C"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25.73</w:t>
            </w:r>
            <w:r w:rsidRPr="0082470A">
              <w:rPr>
                <w:rFonts w:ascii="Arial" w:eastAsia="Times New Roman" w:hAnsi="Arial" w:cs="Times New Roman"/>
                <w:bCs/>
                <w:kern w:val="0"/>
                <w:sz w:val="20"/>
                <w:szCs w:val="20"/>
                <w:vertAlign w:val="superscript"/>
                <w14:ligatures w14:val="none"/>
              </w:rPr>
              <w:t>c</w:t>
            </w:r>
          </w:p>
        </w:tc>
        <w:tc>
          <w:tcPr>
            <w:tcW w:w="1327"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047901E6" w14:textId="43B700B8"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11.65</w:t>
            </w:r>
            <w:r w:rsidRPr="0082470A">
              <w:rPr>
                <w:rFonts w:ascii="Arial" w:eastAsia="Times New Roman" w:hAnsi="Arial" w:cs="Times New Roman"/>
                <w:bCs/>
                <w:kern w:val="0"/>
                <w:sz w:val="20"/>
                <w:szCs w:val="20"/>
                <w:vertAlign w:val="superscript"/>
                <w14:ligatures w14:val="none"/>
              </w:rPr>
              <w:t>b</w:t>
            </w:r>
          </w:p>
        </w:tc>
        <w:tc>
          <w:tcPr>
            <w:tcW w:w="1066"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314A8DE0" w14:textId="5EA35BBF"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31.12</w:t>
            </w:r>
            <w:r w:rsidRPr="0082470A">
              <w:rPr>
                <w:rFonts w:ascii="Arial" w:eastAsia="Times New Roman" w:hAnsi="Arial" w:cs="Times New Roman"/>
                <w:bCs/>
                <w:kern w:val="0"/>
                <w:sz w:val="20"/>
                <w:szCs w:val="20"/>
                <w:vertAlign w:val="superscript"/>
                <w14:ligatures w14:val="none"/>
              </w:rPr>
              <w:t>b</w:t>
            </w:r>
          </w:p>
        </w:tc>
        <w:tc>
          <w:tcPr>
            <w:tcW w:w="1198"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1431A27E" w14:textId="3C03A479"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13.39</w:t>
            </w:r>
            <w:r w:rsidRPr="0082470A">
              <w:rPr>
                <w:rFonts w:ascii="Arial" w:eastAsia="Times New Roman" w:hAnsi="Arial" w:cs="Times New Roman"/>
                <w:bCs/>
                <w:kern w:val="0"/>
                <w:sz w:val="20"/>
                <w:szCs w:val="20"/>
                <w:vertAlign w:val="superscript"/>
                <w14:ligatures w14:val="none"/>
              </w:rPr>
              <w:t>b</w:t>
            </w:r>
          </w:p>
        </w:tc>
      </w:tr>
      <w:tr w:rsidR="00864E50" w:rsidRPr="0082470A" w14:paraId="781F74C2" w14:textId="77777777" w:rsidTr="00864E50">
        <w:trPr>
          <w:trHeight w:val="283"/>
        </w:trPr>
        <w:tc>
          <w:tcPr>
            <w:tcW w:w="1009" w:type="dxa"/>
            <w:tcBorders>
              <w:left w:val="nil"/>
              <w:bottom w:val="nil"/>
              <w:right w:val="nil"/>
            </w:tcBorders>
            <w:shd w:val="clear" w:color="auto" w:fill="auto"/>
            <w:tcMar>
              <w:top w:w="15" w:type="dxa"/>
              <w:left w:w="15" w:type="dxa"/>
              <w:bottom w:w="0" w:type="dxa"/>
              <w:right w:w="15" w:type="dxa"/>
            </w:tcMar>
            <w:vAlign w:val="bottom"/>
            <w:hideMark/>
          </w:tcPr>
          <w:p w14:paraId="7A0FE4A4"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100</w:t>
            </w:r>
          </w:p>
        </w:tc>
        <w:tc>
          <w:tcPr>
            <w:tcW w:w="1190" w:type="dxa"/>
            <w:tcBorders>
              <w:left w:val="nil"/>
              <w:bottom w:val="nil"/>
              <w:right w:val="nil"/>
            </w:tcBorders>
            <w:shd w:val="clear" w:color="auto" w:fill="auto"/>
            <w:tcMar>
              <w:top w:w="15" w:type="dxa"/>
              <w:left w:w="15" w:type="dxa"/>
              <w:bottom w:w="0" w:type="dxa"/>
              <w:right w:w="15" w:type="dxa"/>
            </w:tcMar>
            <w:vAlign w:val="center"/>
            <w:hideMark/>
          </w:tcPr>
          <w:p w14:paraId="4EC369CE"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29</w:t>
            </w:r>
            <w:r w:rsidRPr="0082470A">
              <w:rPr>
                <w:rFonts w:ascii="Arial" w:eastAsia="Times New Roman" w:hAnsi="Arial" w:cs="Times New Roman"/>
                <w:bCs/>
                <w:kern w:val="0"/>
                <w:sz w:val="20"/>
                <w:szCs w:val="20"/>
                <w:vertAlign w:val="superscript"/>
                <w14:ligatures w14:val="none"/>
              </w:rPr>
              <w:t>a</w:t>
            </w:r>
          </w:p>
        </w:tc>
        <w:tc>
          <w:tcPr>
            <w:tcW w:w="1328" w:type="dxa"/>
            <w:tcBorders>
              <w:left w:val="nil"/>
              <w:bottom w:val="nil"/>
              <w:right w:val="nil"/>
            </w:tcBorders>
            <w:shd w:val="clear" w:color="auto" w:fill="auto"/>
            <w:tcMar>
              <w:top w:w="15" w:type="dxa"/>
              <w:left w:w="15" w:type="dxa"/>
              <w:bottom w:w="0" w:type="dxa"/>
              <w:right w:w="15" w:type="dxa"/>
            </w:tcMar>
            <w:vAlign w:val="center"/>
            <w:hideMark/>
          </w:tcPr>
          <w:p w14:paraId="39BED1FD"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2.13</w:t>
            </w:r>
            <w:r w:rsidRPr="0082470A">
              <w:rPr>
                <w:rFonts w:ascii="Arial" w:eastAsia="Times New Roman" w:hAnsi="Arial" w:cs="Times New Roman"/>
                <w:bCs/>
                <w:kern w:val="0"/>
                <w:sz w:val="20"/>
                <w:szCs w:val="20"/>
                <w:vertAlign w:val="superscript"/>
                <w14:ligatures w14:val="none"/>
              </w:rPr>
              <w:t>b</w:t>
            </w:r>
          </w:p>
        </w:tc>
        <w:tc>
          <w:tcPr>
            <w:tcW w:w="1199" w:type="dxa"/>
            <w:tcBorders>
              <w:left w:val="nil"/>
              <w:bottom w:val="nil"/>
              <w:right w:val="nil"/>
            </w:tcBorders>
            <w:shd w:val="clear" w:color="auto" w:fill="auto"/>
            <w:tcMar>
              <w:top w:w="15" w:type="dxa"/>
              <w:left w:w="15" w:type="dxa"/>
              <w:bottom w:w="0" w:type="dxa"/>
              <w:right w:w="15" w:type="dxa"/>
            </w:tcMar>
            <w:vAlign w:val="center"/>
            <w:hideMark/>
          </w:tcPr>
          <w:p w14:paraId="688A9BB1"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58.73</w:t>
            </w:r>
            <w:r w:rsidRPr="0082470A">
              <w:rPr>
                <w:rFonts w:ascii="Arial" w:eastAsia="Times New Roman" w:hAnsi="Arial" w:cs="Times New Roman"/>
                <w:bCs/>
                <w:kern w:val="0"/>
                <w:sz w:val="20"/>
                <w:szCs w:val="20"/>
                <w:vertAlign w:val="superscript"/>
                <w14:ligatures w14:val="none"/>
              </w:rPr>
              <w:t>b</w:t>
            </w:r>
          </w:p>
        </w:tc>
        <w:tc>
          <w:tcPr>
            <w:tcW w:w="1327" w:type="dxa"/>
            <w:tcBorders>
              <w:left w:val="nil"/>
              <w:bottom w:val="nil"/>
              <w:right w:val="nil"/>
            </w:tcBorders>
            <w:shd w:val="clear" w:color="auto" w:fill="auto"/>
            <w:tcMar>
              <w:top w:w="15" w:type="dxa"/>
              <w:left w:w="15" w:type="dxa"/>
              <w:bottom w:w="0" w:type="dxa"/>
              <w:right w:w="15" w:type="dxa"/>
            </w:tcMar>
            <w:vAlign w:val="center"/>
            <w:hideMark/>
          </w:tcPr>
          <w:p w14:paraId="2883CBC4"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16.68</w:t>
            </w:r>
            <w:r w:rsidRPr="0082470A">
              <w:rPr>
                <w:rFonts w:ascii="Arial" w:eastAsia="Times New Roman" w:hAnsi="Arial" w:cs="Times New Roman"/>
                <w:bCs/>
                <w:kern w:val="0"/>
                <w:sz w:val="20"/>
                <w:szCs w:val="20"/>
                <w:vertAlign w:val="superscript"/>
                <w14:ligatures w14:val="none"/>
              </w:rPr>
              <w:t>b</w:t>
            </w:r>
          </w:p>
        </w:tc>
        <w:tc>
          <w:tcPr>
            <w:tcW w:w="1066" w:type="dxa"/>
            <w:tcBorders>
              <w:left w:val="nil"/>
              <w:bottom w:val="nil"/>
              <w:right w:val="nil"/>
            </w:tcBorders>
            <w:shd w:val="clear" w:color="auto" w:fill="auto"/>
            <w:tcMar>
              <w:top w:w="15" w:type="dxa"/>
              <w:left w:w="15" w:type="dxa"/>
              <w:bottom w:w="0" w:type="dxa"/>
              <w:right w:w="15" w:type="dxa"/>
            </w:tcMar>
            <w:vAlign w:val="center"/>
            <w:hideMark/>
          </w:tcPr>
          <w:p w14:paraId="632CD858"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46.11</w:t>
            </w:r>
            <w:r w:rsidRPr="0082470A">
              <w:rPr>
                <w:rFonts w:ascii="Arial" w:eastAsia="Times New Roman" w:hAnsi="Arial" w:cs="Times New Roman"/>
                <w:bCs/>
                <w:kern w:val="0"/>
                <w:sz w:val="20"/>
                <w:szCs w:val="20"/>
                <w:vertAlign w:val="superscript"/>
                <w14:ligatures w14:val="none"/>
              </w:rPr>
              <w:t>ab</w:t>
            </w:r>
          </w:p>
        </w:tc>
        <w:tc>
          <w:tcPr>
            <w:tcW w:w="1198" w:type="dxa"/>
            <w:tcBorders>
              <w:left w:val="nil"/>
              <w:bottom w:val="nil"/>
              <w:right w:val="nil"/>
            </w:tcBorders>
            <w:shd w:val="clear" w:color="auto" w:fill="auto"/>
            <w:tcMar>
              <w:top w:w="15" w:type="dxa"/>
              <w:left w:w="15" w:type="dxa"/>
              <w:bottom w:w="0" w:type="dxa"/>
              <w:right w:w="15" w:type="dxa"/>
            </w:tcMar>
            <w:vAlign w:val="center"/>
            <w:hideMark/>
          </w:tcPr>
          <w:p w14:paraId="4A74A65F"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16.36</w:t>
            </w:r>
            <w:r w:rsidRPr="0082470A">
              <w:rPr>
                <w:rFonts w:ascii="Arial" w:eastAsia="Times New Roman" w:hAnsi="Arial" w:cs="Times New Roman"/>
                <w:bCs/>
                <w:kern w:val="0"/>
                <w:sz w:val="20"/>
                <w:szCs w:val="20"/>
                <w:vertAlign w:val="superscript"/>
                <w14:ligatures w14:val="none"/>
              </w:rPr>
              <w:t>b</w:t>
            </w:r>
          </w:p>
        </w:tc>
      </w:tr>
      <w:tr w:rsidR="00864E50" w:rsidRPr="0082470A" w14:paraId="237024DD" w14:textId="77777777" w:rsidTr="00937C20">
        <w:trPr>
          <w:trHeight w:val="117"/>
        </w:trPr>
        <w:tc>
          <w:tcPr>
            <w:tcW w:w="1009" w:type="dxa"/>
            <w:tcBorders>
              <w:top w:val="nil"/>
              <w:left w:val="nil"/>
              <w:right w:val="nil"/>
            </w:tcBorders>
            <w:shd w:val="clear" w:color="auto" w:fill="auto"/>
            <w:tcMar>
              <w:top w:w="15" w:type="dxa"/>
              <w:left w:w="15" w:type="dxa"/>
              <w:bottom w:w="0" w:type="dxa"/>
              <w:right w:w="15" w:type="dxa"/>
            </w:tcMar>
            <w:vAlign w:val="bottom"/>
            <w:hideMark/>
          </w:tcPr>
          <w:p w14:paraId="7F4D4ABE" w14:textId="7CF659F6"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w:t>
            </w:r>
            <w:r>
              <w:rPr>
                <w:rFonts w:ascii="Arial" w:eastAsia="Times New Roman" w:hAnsi="Arial" w:cs="Times New Roman"/>
                <w:bCs/>
                <w:kern w:val="0"/>
                <w:sz w:val="20"/>
                <w:szCs w:val="20"/>
                <w14:ligatures w14:val="none"/>
              </w:rPr>
              <w:t>00</w:t>
            </w:r>
          </w:p>
        </w:tc>
        <w:tc>
          <w:tcPr>
            <w:tcW w:w="1190" w:type="dxa"/>
            <w:tcBorders>
              <w:top w:val="nil"/>
              <w:left w:val="nil"/>
              <w:right w:val="nil"/>
            </w:tcBorders>
            <w:shd w:val="clear" w:color="auto" w:fill="auto"/>
            <w:tcMar>
              <w:top w:w="15" w:type="dxa"/>
              <w:left w:w="15" w:type="dxa"/>
              <w:bottom w:w="0" w:type="dxa"/>
              <w:right w:w="15" w:type="dxa"/>
            </w:tcMar>
            <w:vAlign w:val="center"/>
            <w:hideMark/>
          </w:tcPr>
          <w:p w14:paraId="53394472" w14:textId="26879F0A"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44</w:t>
            </w:r>
            <w:r w:rsidRPr="0082470A">
              <w:rPr>
                <w:rFonts w:ascii="Arial" w:eastAsia="Times New Roman" w:hAnsi="Arial" w:cs="Times New Roman"/>
                <w:bCs/>
                <w:kern w:val="0"/>
                <w:sz w:val="20"/>
                <w:szCs w:val="20"/>
                <w:vertAlign w:val="superscript"/>
                <w14:ligatures w14:val="none"/>
              </w:rPr>
              <w:t>a</w:t>
            </w:r>
          </w:p>
        </w:tc>
        <w:tc>
          <w:tcPr>
            <w:tcW w:w="1328" w:type="dxa"/>
            <w:tcBorders>
              <w:top w:val="nil"/>
              <w:left w:val="nil"/>
              <w:right w:val="nil"/>
            </w:tcBorders>
            <w:shd w:val="clear" w:color="auto" w:fill="auto"/>
            <w:tcMar>
              <w:top w:w="15" w:type="dxa"/>
              <w:left w:w="15" w:type="dxa"/>
              <w:bottom w:w="0" w:type="dxa"/>
              <w:right w:w="15" w:type="dxa"/>
            </w:tcMar>
            <w:vAlign w:val="center"/>
            <w:hideMark/>
          </w:tcPr>
          <w:p w14:paraId="5703B922"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3.55</w:t>
            </w:r>
            <w:r w:rsidRPr="0082470A">
              <w:rPr>
                <w:rFonts w:ascii="Arial" w:eastAsia="Times New Roman" w:hAnsi="Arial" w:cs="Times New Roman"/>
                <w:bCs/>
                <w:kern w:val="0"/>
                <w:sz w:val="20"/>
                <w:szCs w:val="20"/>
                <w:vertAlign w:val="superscript"/>
                <w14:ligatures w14:val="none"/>
              </w:rPr>
              <w:t>a</w:t>
            </w:r>
          </w:p>
        </w:tc>
        <w:tc>
          <w:tcPr>
            <w:tcW w:w="1199" w:type="dxa"/>
            <w:tcBorders>
              <w:top w:val="nil"/>
              <w:left w:val="nil"/>
              <w:right w:val="nil"/>
            </w:tcBorders>
            <w:shd w:val="clear" w:color="auto" w:fill="auto"/>
            <w:tcMar>
              <w:top w:w="15" w:type="dxa"/>
              <w:left w:w="15" w:type="dxa"/>
              <w:bottom w:w="0" w:type="dxa"/>
              <w:right w:w="15" w:type="dxa"/>
            </w:tcMar>
            <w:vAlign w:val="center"/>
            <w:hideMark/>
          </w:tcPr>
          <w:p w14:paraId="44E22086"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77.84a</w:t>
            </w:r>
            <w:r w:rsidRPr="0082470A">
              <w:rPr>
                <w:rFonts w:ascii="Arial" w:eastAsia="Times New Roman" w:hAnsi="Arial" w:cs="Times New Roman"/>
                <w:bCs/>
                <w:kern w:val="0"/>
                <w:sz w:val="20"/>
                <w:szCs w:val="20"/>
                <w:vertAlign w:val="superscript"/>
                <w14:ligatures w14:val="none"/>
              </w:rPr>
              <w:t>b</w:t>
            </w:r>
          </w:p>
        </w:tc>
        <w:tc>
          <w:tcPr>
            <w:tcW w:w="1327" w:type="dxa"/>
            <w:tcBorders>
              <w:top w:val="nil"/>
              <w:left w:val="nil"/>
              <w:right w:val="nil"/>
            </w:tcBorders>
            <w:shd w:val="clear" w:color="auto" w:fill="auto"/>
            <w:tcMar>
              <w:top w:w="15" w:type="dxa"/>
              <w:left w:w="15" w:type="dxa"/>
              <w:bottom w:w="0" w:type="dxa"/>
              <w:right w:w="15" w:type="dxa"/>
            </w:tcMar>
            <w:vAlign w:val="center"/>
            <w:hideMark/>
          </w:tcPr>
          <w:p w14:paraId="32067FFC"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24.02</w:t>
            </w:r>
            <w:r w:rsidRPr="0082470A">
              <w:rPr>
                <w:rFonts w:ascii="Arial" w:eastAsia="Times New Roman" w:hAnsi="Arial" w:cs="Times New Roman"/>
                <w:bCs/>
                <w:kern w:val="0"/>
                <w:sz w:val="20"/>
                <w:szCs w:val="20"/>
                <w:vertAlign w:val="superscript"/>
                <w14:ligatures w14:val="none"/>
              </w:rPr>
              <w:t>a</w:t>
            </w:r>
          </w:p>
        </w:tc>
        <w:tc>
          <w:tcPr>
            <w:tcW w:w="1066" w:type="dxa"/>
            <w:tcBorders>
              <w:top w:val="nil"/>
              <w:left w:val="nil"/>
              <w:right w:val="nil"/>
            </w:tcBorders>
            <w:shd w:val="clear" w:color="auto" w:fill="auto"/>
            <w:tcMar>
              <w:top w:w="15" w:type="dxa"/>
              <w:left w:w="15" w:type="dxa"/>
              <w:bottom w:w="0" w:type="dxa"/>
              <w:right w:w="15" w:type="dxa"/>
            </w:tcMar>
            <w:vAlign w:val="center"/>
            <w:hideMark/>
          </w:tcPr>
          <w:p w14:paraId="3E68AF14"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60.71</w:t>
            </w:r>
            <w:r w:rsidRPr="0082470A">
              <w:rPr>
                <w:rFonts w:ascii="Arial" w:eastAsia="Times New Roman" w:hAnsi="Arial" w:cs="Times New Roman"/>
                <w:bCs/>
                <w:kern w:val="0"/>
                <w:sz w:val="20"/>
                <w:szCs w:val="20"/>
                <w:vertAlign w:val="superscript"/>
                <w14:ligatures w14:val="none"/>
              </w:rPr>
              <w:t>a</w:t>
            </w:r>
          </w:p>
        </w:tc>
        <w:tc>
          <w:tcPr>
            <w:tcW w:w="1198" w:type="dxa"/>
            <w:tcBorders>
              <w:top w:val="nil"/>
              <w:left w:val="nil"/>
              <w:right w:val="nil"/>
            </w:tcBorders>
            <w:shd w:val="clear" w:color="auto" w:fill="auto"/>
            <w:tcMar>
              <w:top w:w="15" w:type="dxa"/>
              <w:left w:w="15" w:type="dxa"/>
              <w:bottom w:w="0" w:type="dxa"/>
              <w:right w:w="15" w:type="dxa"/>
            </w:tcMar>
            <w:vAlign w:val="center"/>
            <w:hideMark/>
          </w:tcPr>
          <w:p w14:paraId="51116583" w14:textId="77777777" w:rsidR="00864E50" w:rsidRPr="0082470A"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23.18</w:t>
            </w:r>
            <w:r w:rsidRPr="0082470A">
              <w:rPr>
                <w:rFonts w:ascii="Arial" w:eastAsia="Times New Roman" w:hAnsi="Arial" w:cs="Times New Roman"/>
                <w:bCs/>
                <w:kern w:val="0"/>
                <w:sz w:val="20"/>
                <w:szCs w:val="20"/>
                <w:vertAlign w:val="superscript"/>
                <w14:ligatures w14:val="none"/>
              </w:rPr>
              <w:t>a</w:t>
            </w:r>
          </w:p>
        </w:tc>
      </w:tr>
      <w:tr w:rsidR="00864E50" w:rsidRPr="0082470A" w14:paraId="04AADC1A" w14:textId="77777777" w:rsidTr="00937C20">
        <w:trPr>
          <w:trHeight w:val="170"/>
        </w:trPr>
        <w:tc>
          <w:tcPr>
            <w:tcW w:w="1009"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042F6B2" w14:textId="1B701EA0"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300</w:t>
            </w:r>
          </w:p>
        </w:tc>
        <w:tc>
          <w:tcPr>
            <w:tcW w:w="119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3FEDE49" w14:textId="4BD53F46"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1.43</w:t>
            </w:r>
            <w:r w:rsidRPr="00937C20">
              <w:rPr>
                <w:rFonts w:ascii="Arial" w:eastAsia="Times New Roman" w:hAnsi="Arial" w:cs="Times New Roman"/>
                <w:bCs/>
                <w:kern w:val="0"/>
                <w:sz w:val="20"/>
                <w:szCs w:val="20"/>
                <w:vertAlign w:val="superscript"/>
                <w14:ligatures w14:val="none"/>
              </w:rPr>
              <w:t>a</w:t>
            </w:r>
          </w:p>
        </w:tc>
        <w:tc>
          <w:tcPr>
            <w:tcW w:w="132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3A26545"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4.30</w:t>
            </w:r>
            <w:r w:rsidRPr="00937C20">
              <w:rPr>
                <w:rFonts w:ascii="Arial" w:eastAsia="Times New Roman" w:hAnsi="Arial" w:cs="Times New Roman"/>
                <w:bCs/>
                <w:kern w:val="0"/>
                <w:sz w:val="20"/>
                <w:szCs w:val="20"/>
                <w:vertAlign w:val="superscript"/>
                <w14:ligatures w14:val="none"/>
              </w:rPr>
              <w:t>a</w:t>
            </w:r>
          </w:p>
        </w:tc>
        <w:tc>
          <w:tcPr>
            <w:tcW w:w="1199"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813DE3C"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89.99</w:t>
            </w:r>
            <w:r w:rsidRPr="00937C20">
              <w:rPr>
                <w:rFonts w:ascii="Arial" w:eastAsia="Times New Roman" w:hAnsi="Arial" w:cs="Times New Roman"/>
                <w:bCs/>
                <w:kern w:val="0"/>
                <w:sz w:val="20"/>
                <w:szCs w:val="20"/>
                <w:vertAlign w:val="superscript"/>
                <w14:ligatures w14:val="none"/>
              </w:rPr>
              <w:t>a</w:t>
            </w:r>
          </w:p>
        </w:tc>
        <w:tc>
          <w:tcPr>
            <w:tcW w:w="1327"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D41794B"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24.83</w:t>
            </w:r>
            <w:r w:rsidRPr="00937C20">
              <w:rPr>
                <w:rFonts w:ascii="Arial" w:eastAsia="Times New Roman" w:hAnsi="Arial" w:cs="Times New Roman"/>
                <w:bCs/>
                <w:kern w:val="0"/>
                <w:sz w:val="20"/>
                <w:szCs w:val="20"/>
                <w:vertAlign w:val="superscript"/>
                <w14:ligatures w14:val="none"/>
              </w:rPr>
              <w:t>a</w:t>
            </w:r>
          </w:p>
        </w:tc>
        <w:tc>
          <w:tcPr>
            <w:tcW w:w="106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3D6EF62"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54.67</w:t>
            </w:r>
            <w:r w:rsidRPr="00937C20">
              <w:rPr>
                <w:rFonts w:ascii="Arial" w:eastAsia="Times New Roman" w:hAnsi="Arial" w:cs="Times New Roman"/>
                <w:bCs/>
                <w:kern w:val="0"/>
                <w:sz w:val="20"/>
                <w:szCs w:val="20"/>
                <w:vertAlign w:val="superscript"/>
                <w14:ligatures w14:val="none"/>
              </w:rPr>
              <w:t>a</w:t>
            </w:r>
          </w:p>
        </w:tc>
        <w:tc>
          <w:tcPr>
            <w:tcW w:w="119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7AA8B33" w14:textId="77777777" w:rsidR="00864E50" w:rsidRPr="00937C20" w:rsidRDefault="00864E50" w:rsidP="00864E50">
            <w:pPr>
              <w:tabs>
                <w:tab w:val="left" w:pos="1080"/>
              </w:tabs>
              <w:spacing w:after="0" w:line="240" w:lineRule="auto"/>
              <w:jc w:val="center"/>
              <w:rPr>
                <w:rFonts w:ascii="Arial" w:eastAsia="Times New Roman" w:hAnsi="Arial" w:cs="Times New Roman"/>
                <w:bCs/>
                <w:kern w:val="0"/>
                <w:sz w:val="20"/>
                <w:szCs w:val="20"/>
                <w14:ligatures w14:val="none"/>
              </w:rPr>
            </w:pPr>
            <w:r w:rsidRPr="00937C20">
              <w:rPr>
                <w:rFonts w:ascii="Arial" w:eastAsia="Times New Roman" w:hAnsi="Arial" w:cs="Times New Roman"/>
                <w:bCs/>
                <w:kern w:val="0"/>
                <w:sz w:val="20"/>
                <w:szCs w:val="20"/>
                <w14:ligatures w14:val="none"/>
              </w:rPr>
              <w:t>19.57</w:t>
            </w:r>
            <w:r w:rsidRPr="00937C20">
              <w:rPr>
                <w:rFonts w:ascii="Arial" w:eastAsia="Times New Roman" w:hAnsi="Arial" w:cs="Times New Roman"/>
                <w:bCs/>
                <w:kern w:val="0"/>
                <w:sz w:val="20"/>
                <w:szCs w:val="20"/>
                <w:vertAlign w:val="superscript"/>
                <w14:ligatures w14:val="none"/>
              </w:rPr>
              <w:t>ab</w:t>
            </w:r>
          </w:p>
        </w:tc>
      </w:tr>
    </w:tbl>
    <w:p w14:paraId="1F7AAC49" w14:textId="77777777" w:rsidR="0082470A" w:rsidRPr="00A312CA" w:rsidRDefault="0082470A" w:rsidP="0082470A">
      <w:pPr>
        <w:tabs>
          <w:tab w:val="left" w:pos="1080"/>
        </w:tabs>
        <w:spacing w:after="0" w:line="240" w:lineRule="auto"/>
        <w:ind w:left="1080" w:hanging="1080"/>
        <w:jc w:val="both"/>
        <w:rPr>
          <w:rFonts w:ascii="Arial" w:eastAsia="Times New Roman" w:hAnsi="Arial" w:cs="Times New Roman"/>
          <w:b/>
          <w:kern w:val="0"/>
          <w:sz w:val="20"/>
          <w:szCs w:val="20"/>
          <w:lang w:val="en-US"/>
          <w14:ligatures w14:val="none"/>
        </w:rPr>
      </w:pPr>
      <w:r w:rsidRPr="00A312CA">
        <w:rPr>
          <w:rFonts w:ascii="Arial" w:eastAsia="Times New Roman" w:hAnsi="Arial" w:cs="Times New Roman"/>
          <w:bCs/>
          <w:i/>
          <w:kern w:val="0"/>
          <w:sz w:val="18"/>
          <w:szCs w:val="16"/>
          <w:lang w:val="en-US"/>
          <w14:ligatures w14:val="none"/>
        </w:rPr>
        <w:t>*M</w:t>
      </w:r>
      <w:r>
        <w:rPr>
          <w:rFonts w:ascii="Arial" w:eastAsia="Times New Roman" w:hAnsi="Arial" w:cs="Times New Roman"/>
          <w:bCs/>
          <w:i/>
          <w:kern w:val="0"/>
          <w:sz w:val="18"/>
          <w:szCs w:val="16"/>
          <w:lang w:val="en-US"/>
          <w14:ligatures w14:val="none"/>
        </w:rPr>
        <w:t>ean values in the same column followed by the same letter are not significantly different at p &lt; 0.05</w:t>
      </w:r>
    </w:p>
    <w:p w14:paraId="40303B6B" w14:textId="77777777" w:rsidR="0082470A" w:rsidRDefault="0082470A" w:rsidP="0082470A">
      <w:pPr>
        <w:spacing w:after="0" w:line="240" w:lineRule="auto"/>
        <w:jc w:val="both"/>
        <w:rPr>
          <w:rFonts w:ascii="Arial" w:eastAsia="Times New Roman" w:hAnsi="Arial" w:cs="Arial"/>
          <w:kern w:val="0"/>
          <w:sz w:val="20"/>
          <w:szCs w:val="20"/>
          <w:lang w:val="en-US"/>
          <w14:ligatures w14:val="none"/>
        </w:rPr>
      </w:pPr>
    </w:p>
    <w:p w14:paraId="03B800BE"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Increased plant yields may also be due to an improvement in soil aggregate stability that may have favoured the multiplication of beneficial microorganisms that helped in improving biomass production (Basso and Ritchie 2005). In related research, a positive response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plants was obtained after fertilizers application (</w:t>
      </w:r>
      <w:proofErr w:type="spellStart"/>
      <w:r w:rsidRPr="00A312CA">
        <w:rPr>
          <w:rFonts w:ascii="Arial" w:eastAsia="Times New Roman" w:hAnsi="Arial" w:cs="Arial"/>
          <w:kern w:val="0"/>
          <w:sz w:val="20"/>
          <w:szCs w:val="20"/>
          <w14:ligatures w14:val="none"/>
        </w:rPr>
        <w:t>Haouvang</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2017). Similarly, a trial to determine the influence of organic fertilizers on the growth and nutritional quality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in Egypt has revealed the beneficial effect of amendments to the plant (Mona 2012).</w:t>
      </w:r>
    </w:p>
    <w:p w14:paraId="45011F16"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7127352" w14:textId="143A19BB"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fertilizers has a profound impact on plant growth, primarily through improving soil fertility, enhancing nutrient availability, and fostering beneficial soil microorganisms. Organic fertilizers, derived from natural sources such as compost, animal manure, green manure, and plant residues, release nutrients gradually, ensuring a consistent supply to plants throughout their growth cycle. This slow nutrient release reduces the risk of nutrient leaching and enhances soil structure, water retention and aeration, creating an ideal environment for root development and overall plant growth.</w:t>
      </w:r>
    </w:p>
    <w:p w14:paraId="79DEF2F1"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791B05CD" w14:textId="13F9D0CF"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nursery conditions, where environmental factors such as temperature, humidity and light are controlled, the effect of organic fertilizers is even more pronounced. The controlled environment ensures that nutrients provided by organic fertilizers are utilized efficiently, leading to optimal growth and development of Moringa seedlings. Consequently, organic fertilizers not only support the cultivation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but also contribute to sustainable agricultural systems by enhancing plant growth while protecting the environment.</w:t>
      </w:r>
    </w:p>
    <w:p w14:paraId="1CBA8C3A"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BA23F33" w14:textId="6DCF4679"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regression analysis presented in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(A) demonstrates a significant positive linear relationship between fertilizer rate and fresh yield. The regression equation (y=</w:t>
      </w:r>
      <w:r w:rsidRPr="00A312CA">
        <w:rPr>
          <w:rFonts w:ascii="Arial" w:eastAsia="Times New Roman" w:hAnsi="Arial" w:cs="Arial"/>
          <w:kern w:val="0"/>
          <w:sz w:val="20"/>
          <w:szCs w:val="20"/>
          <w:lang w:val="en-US"/>
          <w14:ligatures w14:val="none"/>
        </w:rPr>
        <w:t>0.054x + 5.595</w:t>
      </w:r>
      <w:r w:rsidRPr="00A312CA">
        <w:rPr>
          <w:rFonts w:ascii="Arial" w:eastAsia="Times New Roman" w:hAnsi="Arial" w:cs="Arial"/>
          <w:kern w:val="0"/>
          <w:sz w:val="20"/>
          <w:szCs w:val="20"/>
          <w14:ligatures w14:val="none"/>
        </w:rPr>
        <w:t>) and a high coefficient of determination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=0.868) indicate that 86.8% of the variability in fresh yield can be explained by changes in fertilizer application within the tested range. The results suggest that increasing fertilizer rates proportionally enhance fresh yield, highlighting fertilizer rate as a key determinant of productivity. However, further investigation is necessary to determine whether this trend persists at higher fertilizer rates or if diminishing returns and potential adverse effects, such as nutrient toxicity or environmental degradation.</w:t>
      </w:r>
    </w:p>
    <w:p w14:paraId="5A5F4EDC"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156124C4" w14:textId="3E08A322"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contrast,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(B) illustrates the relationship between fertilizer rate and dry yield. The regression model (y=</w:t>
      </w:r>
      <w:r w:rsidRPr="00A312CA">
        <w:rPr>
          <w:rFonts w:ascii="Arial" w:eastAsia="Times New Roman" w:hAnsi="Arial" w:cs="Arial"/>
          <w:kern w:val="0"/>
          <w:sz w:val="20"/>
          <w:szCs w:val="20"/>
          <w:lang w:val="en-US"/>
          <w14:ligatures w14:val="none"/>
        </w:rPr>
        <w:t>0.0106x + 1.2233</w:t>
      </w:r>
      <w:r w:rsidRPr="00A312CA">
        <w:rPr>
          <w:rFonts w:ascii="Arial" w:eastAsia="Times New Roman" w:hAnsi="Arial" w:cs="Arial"/>
          <w:kern w:val="0"/>
          <w:sz w:val="20"/>
          <w:szCs w:val="20"/>
          <w14:ligatures w14:val="none"/>
        </w:rPr>
        <w:t>) also demonstrates a positive relationship, though the coefficient of determination is moderately strong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 xml:space="preserve">=0.7811), explaining 78.1% of the variability in dry yield. The smaller slope (0.0106) compared to fresh yield indicates that the increase in dry yield per unit increase in fertilizer rate is less pronounced, which is consistent with the water content reduction in dry matter. Moreover, greater variability in dry yield responses, particularly at lower fertilizer rates, suggests the influence of additional factors </w:t>
      </w:r>
      <w:r w:rsidRPr="00A312CA">
        <w:rPr>
          <w:rFonts w:ascii="Arial" w:eastAsia="Times New Roman" w:hAnsi="Arial" w:cs="Arial"/>
          <w:kern w:val="0"/>
          <w:sz w:val="20"/>
          <w:szCs w:val="20"/>
          <w14:ligatures w14:val="none"/>
        </w:rPr>
        <w:lastRenderedPageBreak/>
        <w:t xml:space="preserve">such as environmental conditions, crop physiological limitations or interactions with soil nutrient dynamics. </w:t>
      </w:r>
    </w:p>
    <w:p w14:paraId="4ACC3AAF"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B6EC7D2" w14:textId="02BA749B" w:rsidR="00A312CA" w:rsidRPr="00A312CA" w:rsidRDefault="0082470A" w:rsidP="00A312CA">
      <w:pPr>
        <w:spacing w:after="0" w:line="240" w:lineRule="auto"/>
        <w:jc w:val="both"/>
        <w:rPr>
          <w:rFonts w:ascii="Arial" w:eastAsia="Times New Roman" w:hAnsi="Arial" w:cs="Arial"/>
          <w:kern w:val="0"/>
          <w:sz w:val="20"/>
          <w:szCs w:val="20"/>
          <w:lang w:val="en-US"/>
          <w14:ligatures w14:val="none"/>
        </w:rPr>
      </w:pPr>
      <w:r>
        <w:rPr>
          <w:noProof/>
        </w:rPr>
        <mc:AlternateContent>
          <mc:Choice Requires="wps">
            <w:drawing>
              <wp:anchor distT="45720" distB="45720" distL="114300" distR="114300" simplePos="0" relativeHeight="251661312" behindDoc="0" locked="0" layoutInCell="1" allowOverlap="1" wp14:anchorId="5EB8A13E" wp14:editId="48F50EA6">
                <wp:simplePos x="0" y="0"/>
                <wp:positionH relativeFrom="margin">
                  <wp:posOffset>2571750</wp:posOffset>
                </wp:positionH>
                <wp:positionV relativeFrom="paragraph">
                  <wp:posOffset>10160</wp:posOffset>
                </wp:positionV>
                <wp:extent cx="257175" cy="228600"/>
                <wp:effectExtent l="0" t="0" r="28575" b="19050"/>
                <wp:wrapNone/>
                <wp:docPr id="132915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28DC0D3C" w14:textId="77777777" w:rsidR="0082470A" w:rsidRPr="005141CF" w:rsidRDefault="0082470A" w:rsidP="0082470A">
                            <w:pPr>
                              <w:rPr>
                                <w:b/>
                                <w:bCs/>
                                <w:lang w:val="en-US"/>
                              </w:rPr>
                            </w:pPr>
                            <w:r>
                              <w:rPr>
                                <w:b/>
                                <w:bCs/>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8A13E" id="_x0000_t202" coordsize="21600,21600" o:spt="202" path="m,l,21600r21600,l21600,xe">
                <v:stroke joinstyle="miter"/>
                <v:path gradientshapeok="t" o:connecttype="rect"/>
              </v:shapetype>
              <v:shape id="Text Box 2" o:spid="_x0000_s1026" type="#_x0000_t202" style="position:absolute;left:0;text-align:left;margin-left:202.5pt;margin-top:.8pt;width:20.25pt;height: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">
                <v:textbox>
                  <w:txbxContent>
                    <w:p w14:paraId="28DC0D3C" w14:textId="77777777" w:rsidR="0082470A" w:rsidRPr="005141CF" w:rsidRDefault="0082470A" w:rsidP="0082470A">
                      <w:pPr>
                        <w:rPr>
                          <w:b/>
                          <w:bCs/>
                          <w:lang w:val="en-US"/>
                        </w:rPr>
                      </w:pPr>
                      <w:r>
                        <w:rPr>
                          <w:b/>
                          <w:bCs/>
                          <w:lang w:val="en-US"/>
                        </w:rPr>
                        <w:t>B</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71C8EF7" wp14:editId="52CCD1D7">
                <wp:simplePos x="0" y="0"/>
                <wp:positionH relativeFrom="margin">
                  <wp:posOffset>0</wp:posOffset>
                </wp:positionH>
                <wp:positionV relativeFrom="paragraph">
                  <wp:posOffset>6985</wp:posOffset>
                </wp:positionV>
                <wp:extent cx="257175" cy="228600"/>
                <wp:effectExtent l="0" t="0" r="28575" b="19050"/>
                <wp:wrapNone/>
                <wp:docPr id="51328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101D2FC6" w14:textId="77777777" w:rsidR="0082470A" w:rsidRPr="005141CF" w:rsidRDefault="0082470A" w:rsidP="0082470A">
                            <w:pPr>
                              <w:rPr>
                                <w:b/>
                                <w:bCs/>
                                <w:lang w:val="en-US"/>
                              </w:rPr>
                            </w:pPr>
                            <w:r w:rsidRPr="005141CF">
                              <w:rPr>
                                <w:b/>
                                <w:bCs/>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C8EF7" id="_x0000_s1027" type="#_x0000_t202" style="position:absolute;left:0;text-align:left;margin-left:0;margin-top:.55pt;width:20.2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">
                <v:textbox>
                  <w:txbxContent>
                    <w:p w14:paraId="101D2FC6" w14:textId="77777777" w:rsidR="0082470A" w:rsidRPr="005141CF" w:rsidRDefault="0082470A" w:rsidP="0082470A">
                      <w:pPr>
                        <w:rPr>
                          <w:b/>
                          <w:bCs/>
                          <w:lang w:val="en-US"/>
                        </w:rPr>
                      </w:pPr>
                      <w:r w:rsidRPr="005141CF">
                        <w:rPr>
                          <w:b/>
                          <w:bCs/>
                          <w:lang w:val="en-US"/>
                        </w:rPr>
                        <w:t>A</w:t>
                      </w:r>
                    </w:p>
                  </w:txbxContent>
                </v:textbox>
                <w10:wrap anchorx="margin"/>
              </v:shape>
            </w:pict>
          </mc:Fallback>
        </mc:AlternateContent>
      </w:r>
      <w:r>
        <w:rPr>
          <w:noProof/>
        </w:rPr>
        <w:drawing>
          <wp:inline distT="0" distB="0" distL="0" distR="0" wp14:anchorId="7A7CDBC8" wp14:editId="5C8E9F69">
            <wp:extent cx="2571750" cy="1685925"/>
            <wp:effectExtent l="0" t="0" r="0" b="9525"/>
            <wp:docPr id="1323275669" name="Chart 1">
              <a:extLst xmlns:a="http://schemas.openxmlformats.org/drawingml/2006/main">
                <a:ext uri="{FF2B5EF4-FFF2-40B4-BE49-F238E27FC236}">
                  <a16:creationId xmlns:a16="http://schemas.microsoft.com/office/drawing/2014/main" id="{81C4B20C-5D72-F743-C849-C9B33AD33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37F857DE" wp14:editId="633786BC">
            <wp:extent cx="2590800" cy="1685925"/>
            <wp:effectExtent l="0" t="0" r="0" b="9525"/>
            <wp:docPr id="776315518" name="Chart 1">
              <a:extLst xmlns:a="http://schemas.openxmlformats.org/drawingml/2006/main">
                <a:ext uri="{FF2B5EF4-FFF2-40B4-BE49-F238E27FC236}">
                  <a16:creationId xmlns:a16="http://schemas.microsoft.com/office/drawing/2014/main" id="{58B6B5EE-4E89-33D5-357D-FDDDF22CA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F47F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3ABCB81" w14:textId="1CD70ED7"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w:t>
      </w:r>
      <w:r>
        <w:rPr>
          <w:rFonts w:ascii="Arial" w:eastAsia="Times New Roman" w:hAnsi="Arial" w:cs="Arial"/>
          <w:b/>
          <w:bCs/>
          <w:kern w:val="0"/>
          <w:sz w:val="20"/>
          <w:szCs w:val="20"/>
          <w:lang w:val="en-US"/>
          <w14:ligatures w14:val="none"/>
        </w:rPr>
        <w:t>2</w:t>
      </w:r>
      <w:r w:rsidRPr="0082470A">
        <w:rPr>
          <w:rFonts w:ascii="Arial" w:eastAsia="Times New Roman" w:hAnsi="Arial" w:cs="Arial"/>
          <w:b/>
          <w:bCs/>
          <w:kern w:val="0"/>
          <w:sz w:val="20"/>
          <w:szCs w:val="20"/>
          <w:lang w:val="en-US"/>
          <w14:ligatures w14:val="none"/>
        </w:rPr>
        <w:t xml:space="preserve">. </w:t>
      </w:r>
      <w:r w:rsidRPr="0082470A">
        <w:rPr>
          <w:rFonts w:ascii="Arial" w:eastAsia="Times New Roman" w:hAnsi="Arial" w:cs="Arial"/>
          <w:b/>
          <w:bCs/>
          <w:kern w:val="0"/>
          <w:sz w:val="20"/>
          <w:szCs w:val="20"/>
          <w14:ligatures w14:val="none"/>
        </w:rPr>
        <w:t xml:space="preserve">Regression graph for the effect of </w:t>
      </w:r>
      <w:r w:rsidR="00464DFB" w:rsidRPr="00464DFB">
        <w:rPr>
          <w:rFonts w:ascii="Arial" w:eastAsia="Times New Roman" w:hAnsi="Arial" w:cs="Arial"/>
          <w:b/>
          <w:bCs/>
          <w:kern w:val="0"/>
          <w:sz w:val="20"/>
          <w:szCs w:val="20"/>
          <w14:ligatures w14:val="none"/>
        </w:rPr>
        <w:t xml:space="preserve">at different rate </w:t>
      </w:r>
      <w:r w:rsidR="00464DFB">
        <w:rPr>
          <w:rFonts w:ascii="Arial" w:eastAsia="Times New Roman" w:hAnsi="Arial" w:cs="Arial"/>
          <w:b/>
          <w:bCs/>
          <w:kern w:val="0"/>
          <w:sz w:val="20"/>
          <w:szCs w:val="20"/>
          <w14:ligatures w14:val="none"/>
        </w:rPr>
        <w:t xml:space="preserve">organic </w:t>
      </w:r>
      <w:r w:rsidRPr="0082470A">
        <w:rPr>
          <w:rFonts w:ascii="Arial" w:eastAsia="Times New Roman" w:hAnsi="Arial" w:cs="Arial"/>
          <w:b/>
          <w:bCs/>
          <w:kern w:val="0"/>
          <w:sz w:val="20"/>
          <w:szCs w:val="20"/>
          <w14:ligatures w14:val="none"/>
        </w:rPr>
        <w:t>fertilizer rate on fresh yield (A) and dry yield (B)</w:t>
      </w:r>
      <w:r w:rsidR="00464DFB" w:rsidRPr="00464DFB">
        <w:t xml:space="preserve"> </w:t>
      </w:r>
      <w:r w:rsidR="00464DFB" w:rsidRPr="00464DFB">
        <w:rPr>
          <w:rFonts w:ascii="Arial" w:eastAsia="Times New Roman" w:hAnsi="Arial" w:cs="Arial"/>
          <w:b/>
          <w:bCs/>
          <w:kern w:val="0"/>
          <w:sz w:val="20"/>
          <w:szCs w:val="20"/>
          <w14:ligatures w14:val="none"/>
        </w:rPr>
        <w:t>of moringa seedlings</w:t>
      </w:r>
    </w:p>
    <w:p w14:paraId="389AD5BD" w14:textId="77777777" w:rsidR="002C0B0B" w:rsidRDefault="002C0B0B" w:rsidP="0082470A">
      <w:pPr>
        <w:spacing w:after="0" w:line="240" w:lineRule="auto"/>
        <w:jc w:val="both"/>
        <w:rPr>
          <w:rFonts w:ascii="Arial" w:eastAsia="Times New Roman" w:hAnsi="Arial" w:cs="Arial"/>
          <w:b/>
          <w:bCs/>
          <w:kern w:val="0"/>
          <w:sz w:val="20"/>
          <w:szCs w:val="20"/>
          <w14:ligatures w14:val="none"/>
        </w:rPr>
      </w:pPr>
    </w:p>
    <w:p w14:paraId="09DBA8C5" w14:textId="448EC114" w:rsidR="002C0B0B" w:rsidRPr="002C0B0B" w:rsidRDefault="002C0B0B" w:rsidP="002C0B0B">
      <w:pPr>
        <w:spacing w:after="0" w:line="240" w:lineRule="auto"/>
        <w:jc w:val="both"/>
        <w:rPr>
          <w:rFonts w:ascii="Arial" w:eastAsia="Times New Roman" w:hAnsi="Arial" w:cs="Arial"/>
          <w:b/>
          <w:bCs/>
          <w:kern w:val="0"/>
          <w:lang w:val="en-US"/>
          <w14:ligatures w14:val="none"/>
        </w:rPr>
      </w:pPr>
      <w:r w:rsidRPr="002C0B0B">
        <w:rPr>
          <w:rFonts w:ascii="Arial" w:eastAsia="Times New Roman" w:hAnsi="Arial" w:cs="Arial"/>
          <w:b/>
          <w:bCs/>
          <w:kern w:val="0"/>
          <w:lang w:val="en-US"/>
          <w14:ligatures w14:val="none"/>
        </w:rPr>
        <w:t>4. CONCLUSION</w:t>
      </w:r>
    </w:p>
    <w:p w14:paraId="4AE646A9" w14:textId="77777777" w:rsidR="002C0B0B" w:rsidRP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7F31AAF7" w14:textId="59655237" w:rsid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In conclusion,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w:t>
      </w:r>
      <w:r w:rsidR="00027967">
        <w:rPr>
          <w:rFonts w:ascii="Arial" w:eastAsia="Times New Roman" w:hAnsi="Arial" w:cs="Arial"/>
          <w:kern w:val="0"/>
          <w:sz w:val="20"/>
          <w:szCs w:val="20"/>
          <w14:ligatures w14:val="none"/>
        </w:rPr>
        <w:t>seedlings is</w:t>
      </w:r>
      <w:r w:rsidRPr="002C0B0B">
        <w:rPr>
          <w:rFonts w:ascii="Arial" w:eastAsia="Times New Roman" w:hAnsi="Arial" w:cs="Arial"/>
          <w:kern w:val="0"/>
          <w:sz w:val="20"/>
          <w:szCs w:val="20"/>
          <w14:ligatures w14:val="none"/>
        </w:rPr>
        <w:t xml:space="preserve"> significantly influenced by the rate of organic fertilizer application. The findings of this study, consistent with previous research, demonstrate that moderate to high rates of organic fertilizers, particularly poultry manure, enhance the growth parameters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seedlings when compared to lower application rates or untreated controls. This study identifie</w:t>
      </w:r>
      <w:r w:rsidR="007C1E4A">
        <w:rPr>
          <w:rFonts w:ascii="Arial" w:eastAsia="Times New Roman" w:hAnsi="Arial" w:cs="Arial"/>
          <w:kern w:val="0"/>
          <w:sz w:val="20"/>
          <w:szCs w:val="20"/>
          <w14:ligatures w14:val="none"/>
        </w:rPr>
        <w:t>d</w:t>
      </w:r>
      <w:r w:rsidRPr="002C0B0B">
        <w:rPr>
          <w:rFonts w:ascii="Arial" w:eastAsia="Times New Roman" w:hAnsi="Arial" w:cs="Arial"/>
          <w:kern w:val="0"/>
          <w:sz w:val="20"/>
          <w:szCs w:val="20"/>
          <w14:ligatures w14:val="none"/>
        </w:rPr>
        <w:t xml:space="preserve"> 300 g of organic fertilizer as </w:t>
      </w:r>
      <w:r w:rsidR="00027967" w:rsidRPr="00027967">
        <w:rPr>
          <w:rFonts w:ascii="Arial" w:eastAsia="Times New Roman" w:hAnsi="Arial" w:cs="Arial"/>
          <w:kern w:val="0"/>
          <w:sz w:val="20"/>
          <w:szCs w:val="20"/>
          <w14:ligatures w14:val="none"/>
        </w:rPr>
        <w:t>the application rate resulting in maxim</w:t>
      </w:r>
      <w:r w:rsidR="00930541">
        <w:rPr>
          <w:rFonts w:ascii="Arial" w:eastAsia="Times New Roman" w:hAnsi="Arial" w:cs="Arial"/>
          <w:kern w:val="0"/>
          <w:sz w:val="20"/>
          <w:szCs w:val="20"/>
          <w14:ligatures w14:val="none"/>
        </w:rPr>
        <w:t>u</w:t>
      </w:r>
      <w:r w:rsidR="00027967" w:rsidRPr="00027967">
        <w:rPr>
          <w:rFonts w:ascii="Arial" w:eastAsia="Times New Roman" w:hAnsi="Arial" w:cs="Arial"/>
          <w:kern w:val="0"/>
          <w:sz w:val="20"/>
          <w:szCs w:val="20"/>
          <w14:ligatures w14:val="none"/>
        </w:rPr>
        <w:t xml:space="preserve">m growth, while the </w:t>
      </w:r>
      <w:r w:rsidRPr="002C0B0B">
        <w:rPr>
          <w:rFonts w:ascii="Arial" w:eastAsia="Times New Roman" w:hAnsi="Arial" w:cs="Arial"/>
          <w:kern w:val="0"/>
          <w:sz w:val="20"/>
          <w:szCs w:val="20"/>
          <w14:ligatures w14:val="none"/>
        </w:rPr>
        <w:t>optimal application rate</w:t>
      </w:r>
      <w:r w:rsidR="00930541" w:rsidRPr="00930541">
        <w:t xml:space="preserve"> </w:t>
      </w:r>
      <w:r w:rsidR="00930541" w:rsidRPr="00930541">
        <w:rPr>
          <w:rFonts w:ascii="Arial" w:eastAsia="Times New Roman" w:hAnsi="Arial" w:cs="Arial"/>
          <w:kern w:val="0"/>
          <w:sz w:val="20"/>
          <w:szCs w:val="20"/>
          <w14:ligatures w14:val="none"/>
        </w:rPr>
        <w:t>may be 200 g. Both</w:t>
      </w:r>
      <w:r w:rsidRPr="002C0B0B">
        <w:rPr>
          <w:rFonts w:ascii="Arial" w:eastAsia="Times New Roman" w:hAnsi="Arial" w:cs="Arial"/>
          <w:kern w:val="0"/>
          <w:sz w:val="20"/>
          <w:szCs w:val="20"/>
          <w14:ligatures w14:val="none"/>
        </w:rPr>
        <w:t xml:space="preserve">, resulting significant improvements in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These findings underscore</w:t>
      </w:r>
      <w:r w:rsidR="007C1E4A">
        <w:rPr>
          <w:rFonts w:ascii="Arial" w:eastAsia="Times New Roman" w:hAnsi="Arial" w:cs="Arial"/>
          <w:kern w:val="0"/>
          <w:sz w:val="20"/>
          <w:szCs w:val="20"/>
          <w14:ligatures w14:val="none"/>
        </w:rPr>
        <w:t>d</w:t>
      </w:r>
      <w:r w:rsidRPr="002C0B0B">
        <w:rPr>
          <w:rFonts w:ascii="Arial" w:eastAsia="Times New Roman" w:hAnsi="Arial" w:cs="Arial"/>
          <w:kern w:val="0"/>
          <w:sz w:val="20"/>
          <w:szCs w:val="20"/>
          <w14:ligatures w14:val="none"/>
        </w:rPr>
        <w:t xml:space="preserve"> the critical role of optimized organic fertilizer application in promoting the sustainable cultivation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while maximizing its agronomic potential.</w:t>
      </w:r>
    </w:p>
    <w:p w14:paraId="78C97339" w14:textId="4B6FED20" w:rsidR="00FF364E" w:rsidRDefault="00FF364E" w:rsidP="002C0B0B">
      <w:pPr>
        <w:spacing w:after="0" w:line="240" w:lineRule="auto"/>
        <w:jc w:val="both"/>
        <w:rPr>
          <w:rFonts w:ascii="Arial" w:eastAsia="Times New Roman" w:hAnsi="Arial" w:cs="Arial"/>
          <w:kern w:val="0"/>
          <w:sz w:val="20"/>
          <w:szCs w:val="20"/>
          <w14:ligatures w14:val="none"/>
        </w:rPr>
      </w:pPr>
    </w:p>
    <w:p w14:paraId="1FE8BFAA" w14:textId="3F0DAAD5" w:rsidR="003D464D" w:rsidRDefault="003D464D" w:rsidP="002C0B0B">
      <w:pPr>
        <w:spacing w:after="0" w:line="240" w:lineRule="auto"/>
        <w:jc w:val="both"/>
        <w:rPr>
          <w:rFonts w:ascii="Arial" w:eastAsia="Times New Roman" w:hAnsi="Arial" w:cs="Arial"/>
          <w:kern w:val="0"/>
          <w:sz w:val="20"/>
          <w:szCs w:val="20"/>
          <w14:ligatures w14:val="none"/>
        </w:rPr>
      </w:pPr>
    </w:p>
    <w:p w14:paraId="7264BFAD" w14:textId="77777777" w:rsidR="003D464D" w:rsidRDefault="003D464D" w:rsidP="003D464D">
      <w:pPr>
        <w:rPr>
          <w:highlight w:val="yellow"/>
        </w:rPr>
      </w:pPr>
      <w:bookmarkStart w:id="4" w:name="_Hlk190852809"/>
      <w:r>
        <w:rPr>
          <w:highlight w:val="yellow"/>
        </w:rPr>
        <w:t>Disclaimer (Artificial intelligence)</w:t>
      </w:r>
    </w:p>
    <w:p w14:paraId="1E1A4C88" w14:textId="77777777" w:rsidR="003D464D" w:rsidRDefault="003D464D" w:rsidP="003D464D">
      <w:pPr>
        <w:rPr>
          <w:highlight w:val="yellow"/>
        </w:rPr>
      </w:pPr>
      <w:r>
        <w:rPr>
          <w:highlight w:val="yellow"/>
        </w:rPr>
        <w:t xml:space="preserve">Option 1: </w:t>
      </w:r>
    </w:p>
    <w:p w14:paraId="71F6BA78" w14:textId="77777777" w:rsidR="003D464D" w:rsidRDefault="003D464D" w:rsidP="003D464D">
      <w:pPr>
        <w:rPr>
          <w:highlight w:val="yellow"/>
        </w:rPr>
      </w:pPr>
      <w:r>
        <w:rPr>
          <w:highlight w:val="yellow"/>
        </w:rPr>
        <w:t xml:space="preserve">Author(s) hereby </w:t>
      </w:r>
      <w:proofErr w:type="gramStart"/>
      <w:r>
        <w:rPr>
          <w:highlight w:val="yellow"/>
        </w:rPr>
        <w:t>declare</w:t>
      </w:r>
      <w:proofErr w:type="gramEnd"/>
      <w:r>
        <w:rPr>
          <w:highlight w:val="yellow"/>
        </w:rPr>
        <w:t xml:space="preserve"> that NO generative AI technologies such as Large Language Models (ChatGPT, COPILOT, etc.) and text-to-image generators have been used during the writing or editing of this manuscript. </w:t>
      </w:r>
    </w:p>
    <w:p w14:paraId="215C8F39" w14:textId="77777777" w:rsidR="003D464D" w:rsidRDefault="003D464D" w:rsidP="003D464D">
      <w:pPr>
        <w:rPr>
          <w:highlight w:val="yellow"/>
        </w:rPr>
      </w:pPr>
      <w:r>
        <w:rPr>
          <w:highlight w:val="yellow"/>
        </w:rPr>
        <w:t xml:space="preserve">Option 2: </w:t>
      </w:r>
    </w:p>
    <w:p w14:paraId="76EF3A79" w14:textId="77777777" w:rsidR="003D464D" w:rsidRDefault="003D464D" w:rsidP="003D464D">
      <w:pPr>
        <w:rPr>
          <w:highlight w:val="yellow"/>
        </w:rPr>
      </w:pPr>
      <w:r>
        <w:rPr>
          <w:highlight w:val="yellow"/>
        </w:rPr>
        <w:t xml:space="preserve">Author(s) hereby </w:t>
      </w:r>
      <w:proofErr w:type="gramStart"/>
      <w:r>
        <w:rPr>
          <w:highlight w:val="yellow"/>
        </w:rPr>
        <w:t>declare</w:t>
      </w:r>
      <w:proofErr w:type="gramEnd"/>
      <w:r>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A319B5" w14:textId="77777777" w:rsidR="003D464D" w:rsidRDefault="003D464D" w:rsidP="003D464D">
      <w:pPr>
        <w:rPr>
          <w:highlight w:val="yellow"/>
        </w:rPr>
      </w:pPr>
      <w:r>
        <w:rPr>
          <w:highlight w:val="yellow"/>
        </w:rPr>
        <w:t xml:space="preserve">Details of the AI usage </w:t>
      </w:r>
      <w:proofErr w:type="gramStart"/>
      <w:r>
        <w:rPr>
          <w:highlight w:val="yellow"/>
        </w:rPr>
        <w:t>are</w:t>
      </w:r>
      <w:proofErr w:type="gramEnd"/>
      <w:r>
        <w:rPr>
          <w:highlight w:val="yellow"/>
        </w:rPr>
        <w:t xml:space="preserve"> given below:</w:t>
      </w:r>
    </w:p>
    <w:p w14:paraId="561E285E" w14:textId="77777777" w:rsidR="003D464D" w:rsidRDefault="003D464D" w:rsidP="003D464D">
      <w:pPr>
        <w:rPr>
          <w:highlight w:val="yellow"/>
        </w:rPr>
      </w:pPr>
      <w:r>
        <w:rPr>
          <w:highlight w:val="yellow"/>
        </w:rPr>
        <w:t>1.</w:t>
      </w:r>
    </w:p>
    <w:p w14:paraId="5DFF8267" w14:textId="77777777" w:rsidR="003D464D" w:rsidRDefault="003D464D" w:rsidP="003D464D">
      <w:pPr>
        <w:rPr>
          <w:highlight w:val="yellow"/>
        </w:rPr>
      </w:pPr>
      <w:r>
        <w:rPr>
          <w:highlight w:val="yellow"/>
        </w:rPr>
        <w:lastRenderedPageBreak/>
        <w:t>2.</w:t>
      </w:r>
    </w:p>
    <w:p w14:paraId="2E3A849B" w14:textId="77777777" w:rsidR="003D464D" w:rsidRDefault="003D464D" w:rsidP="003D464D">
      <w:r>
        <w:rPr>
          <w:highlight w:val="yellow"/>
        </w:rPr>
        <w:t>3.</w:t>
      </w:r>
    </w:p>
    <w:bookmarkEnd w:id="4"/>
    <w:p w14:paraId="15FE0A53" w14:textId="77777777" w:rsidR="003D464D" w:rsidRDefault="003D464D" w:rsidP="003D464D"/>
    <w:p w14:paraId="0A5F9190" w14:textId="77777777" w:rsidR="003D464D" w:rsidRDefault="003D464D" w:rsidP="002C0B0B">
      <w:pPr>
        <w:spacing w:after="0" w:line="240" w:lineRule="auto"/>
        <w:jc w:val="both"/>
        <w:rPr>
          <w:rFonts w:ascii="Arial" w:eastAsia="Times New Roman" w:hAnsi="Arial" w:cs="Arial"/>
          <w:kern w:val="0"/>
          <w:sz w:val="20"/>
          <w:szCs w:val="20"/>
          <w14:ligatures w14:val="none"/>
        </w:rPr>
      </w:pPr>
    </w:p>
    <w:p w14:paraId="041A40C1" w14:textId="77777777" w:rsid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6C16F7C6" w14:textId="5CEFAD84" w:rsidR="002C0B0B" w:rsidRPr="002C0B0B" w:rsidRDefault="002C0B0B" w:rsidP="002C0B0B">
      <w:pPr>
        <w:spacing w:after="0" w:line="240" w:lineRule="auto"/>
        <w:jc w:val="both"/>
        <w:rPr>
          <w:rFonts w:ascii="Arial" w:eastAsia="Times New Roman" w:hAnsi="Arial" w:cs="Arial"/>
          <w:b/>
          <w:kern w:val="0"/>
          <w:lang w:val="en-US"/>
          <w14:ligatures w14:val="none"/>
        </w:rPr>
      </w:pPr>
      <w:r w:rsidRPr="002C0B0B">
        <w:rPr>
          <w:rFonts w:ascii="Arial" w:eastAsia="Times New Roman" w:hAnsi="Arial" w:cs="Arial"/>
          <w:b/>
          <w:kern w:val="0"/>
          <w:lang w:val="en-US"/>
          <w14:ligatures w14:val="none"/>
        </w:rPr>
        <w:t>REFERENCES</w:t>
      </w:r>
    </w:p>
    <w:p w14:paraId="482C6110" w14:textId="77777777" w:rsidR="002C0B0B" w:rsidRPr="002C0B0B" w:rsidRDefault="002C0B0B" w:rsidP="002C0B0B">
      <w:pPr>
        <w:spacing w:after="0" w:line="240" w:lineRule="auto"/>
        <w:jc w:val="both"/>
        <w:rPr>
          <w:rFonts w:ascii="Arial" w:eastAsia="Times New Roman" w:hAnsi="Arial" w:cs="Arial"/>
          <w:iCs/>
          <w:kern w:val="0"/>
          <w:sz w:val="20"/>
          <w:szCs w:val="20"/>
          <w:lang w:val="en-US"/>
          <w14:ligatures w14:val="none"/>
        </w:rPr>
      </w:pPr>
    </w:p>
    <w:p w14:paraId="69947FA5"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Aba, S.C., P.K. and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Impact of poultry manure on growth behaviour, black sigatoka disease response and yield attributes of two plantains (Musa spp. AAB) genotypes. </w:t>
      </w:r>
      <w:proofErr w:type="spellStart"/>
      <w:r w:rsidRPr="002C0B0B">
        <w:rPr>
          <w:rFonts w:ascii="Arial" w:eastAsia="Times New Roman" w:hAnsi="Arial" w:cs="Arial"/>
          <w:kern w:val="0"/>
          <w:sz w:val="20"/>
          <w:szCs w:val="20"/>
          <w14:ligatures w14:val="none"/>
        </w:rPr>
        <w:t>Tropicultura</w:t>
      </w:r>
      <w:proofErr w:type="spellEnd"/>
      <w:r w:rsidRPr="002C0B0B">
        <w:rPr>
          <w:rFonts w:ascii="Arial" w:eastAsia="Times New Roman" w:hAnsi="Arial" w:cs="Arial"/>
          <w:kern w:val="0"/>
          <w:sz w:val="20"/>
          <w:szCs w:val="20"/>
          <w14:ligatures w14:val="none"/>
        </w:rPr>
        <w:t>, 29(1), 20-27.</w:t>
      </w:r>
    </w:p>
    <w:p w14:paraId="00F1DF2C"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5A0B429F"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A. (2008). Manure placement effects on root and shoot growth and nutrient uptake of „PITA 14‟ Plantain hybrid (Musa sp. AAAB). Afr. J. Agric. Res., 3(1), 13-21.</w:t>
      </w:r>
    </w:p>
    <w:p w14:paraId="7D07AAF8"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2A36F643" w14:textId="55A7B0E9"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Basso B, Ritchie J</w:t>
      </w:r>
      <w:r w:rsidR="00561A42">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T</w:t>
      </w:r>
      <w:r w:rsidR="00561A42">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(2005) Impact of compost manure and inorganic fertilizer on nitrate leaching and yield for a 6-year maize alfalfa rotation in Michigan. Agric Ecosystem Environment 108:309–341. https ://doi.org/10.1016/j.agee.2005.01.011.</w:t>
      </w:r>
    </w:p>
    <w:p w14:paraId="19924015"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1AB1340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Chukwuka, K.S. and Omotayo, O.E. (2009). Soil fertility restoration potentials of Tithonia green manure and water hyacinth compost on nutrient depleted soil in southwestern Nigeria using </w:t>
      </w:r>
      <w:proofErr w:type="spellStart"/>
      <w:r w:rsidRPr="002C0B0B">
        <w:rPr>
          <w:rFonts w:ascii="Arial" w:eastAsia="Times New Roman" w:hAnsi="Arial" w:cs="Arial"/>
          <w:i/>
          <w:iCs/>
          <w:kern w:val="0"/>
          <w:sz w:val="20"/>
          <w:szCs w:val="20"/>
          <w14:ligatures w14:val="none"/>
        </w:rPr>
        <w:t>Zea</w:t>
      </w:r>
      <w:proofErr w:type="spellEnd"/>
      <w:r w:rsidRPr="002C0B0B">
        <w:rPr>
          <w:rFonts w:ascii="Arial" w:eastAsia="Times New Roman" w:hAnsi="Arial" w:cs="Arial"/>
          <w:i/>
          <w:iCs/>
          <w:kern w:val="0"/>
          <w:sz w:val="20"/>
          <w:szCs w:val="20"/>
          <w14:ligatures w14:val="none"/>
        </w:rPr>
        <w:t xml:space="preserve"> mays</w:t>
      </w:r>
      <w:r w:rsidRPr="002C0B0B">
        <w:rPr>
          <w:rFonts w:ascii="Arial" w:eastAsia="Times New Roman" w:hAnsi="Arial" w:cs="Arial"/>
          <w:kern w:val="0"/>
          <w:sz w:val="20"/>
          <w:szCs w:val="20"/>
          <w14:ligatures w14:val="none"/>
        </w:rPr>
        <w:t xml:space="preserve"> L. as test crop. Res. J. Soil Biol., 1(1), 20 -30.</w:t>
      </w:r>
    </w:p>
    <w:p w14:paraId="1B24E40E"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714DB0D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Egbewole</w:t>
      </w:r>
      <w:proofErr w:type="spellEnd"/>
      <w:r w:rsidRPr="002C0B0B">
        <w:rPr>
          <w:rFonts w:ascii="Arial" w:eastAsia="Times New Roman" w:hAnsi="Arial" w:cs="Arial"/>
          <w:kern w:val="0"/>
          <w:sz w:val="20"/>
          <w:szCs w:val="20"/>
          <w14:ligatures w14:val="none"/>
        </w:rPr>
        <w:t xml:space="preserve">, Z. T., Falade, L. O., </w:t>
      </w:r>
      <w:proofErr w:type="spellStart"/>
      <w:r w:rsidRPr="002C0B0B">
        <w:rPr>
          <w:rFonts w:ascii="Arial" w:eastAsia="Times New Roman" w:hAnsi="Arial" w:cs="Arial"/>
          <w:kern w:val="0"/>
          <w:sz w:val="20"/>
          <w:szCs w:val="20"/>
          <w14:ligatures w14:val="none"/>
        </w:rPr>
        <w:t>Rotowa</w:t>
      </w:r>
      <w:proofErr w:type="spellEnd"/>
      <w:r w:rsidRPr="002C0B0B">
        <w:rPr>
          <w:rFonts w:ascii="Arial" w:eastAsia="Times New Roman" w:hAnsi="Arial" w:cs="Arial"/>
          <w:kern w:val="0"/>
          <w:sz w:val="20"/>
          <w:szCs w:val="20"/>
          <w14:ligatures w14:val="none"/>
        </w:rPr>
        <w:t xml:space="preserve">, O. J. and Clement, S. A. (2016). Seed germination and early growth trial of </w:t>
      </w:r>
      <w:r w:rsidRPr="002C0B0B">
        <w:rPr>
          <w:rFonts w:ascii="Arial" w:eastAsia="Times New Roman" w:hAnsi="Arial" w:cs="Arial"/>
          <w:i/>
          <w:iCs/>
          <w:kern w:val="0"/>
          <w:sz w:val="20"/>
          <w:szCs w:val="20"/>
          <w14:ligatures w14:val="none"/>
        </w:rPr>
        <w:t xml:space="preserve">Ceiba </w:t>
      </w:r>
      <w:proofErr w:type="spellStart"/>
      <w:r w:rsidRPr="002C0B0B">
        <w:rPr>
          <w:rFonts w:ascii="Arial" w:eastAsia="Times New Roman" w:hAnsi="Arial" w:cs="Arial"/>
          <w:i/>
          <w:iCs/>
          <w:kern w:val="0"/>
          <w:sz w:val="20"/>
          <w:szCs w:val="20"/>
          <w14:ligatures w14:val="none"/>
        </w:rPr>
        <w:t>patandra</w:t>
      </w:r>
      <w:proofErr w:type="spellEnd"/>
      <w:r w:rsidRPr="002C0B0B">
        <w:rPr>
          <w:rFonts w:ascii="Arial" w:eastAsia="Times New Roman" w:hAnsi="Arial" w:cs="Arial"/>
          <w:kern w:val="0"/>
          <w:sz w:val="20"/>
          <w:szCs w:val="20"/>
          <w14:ligatures w14:val="none"/>
        </w:rPr>
        <w:t xml:space="preserve"> (L. </w:t>
      </w:r>
      <w:proofErr w:type="spellStart"/>
      <w:r w:rsidRPr="002C0B0B">
        <w:rPr>
          <w:rFonts w:ascii="Arial" w:eastAsia="Times New Roman" w:hAnsi="Arial" w:cs="Arial"/>
          <w:kern w:val="0"/>
          <w:sz w:val="20"/>
          <w:szCs w:val="20"/>
          <w14:ligatures w14:val="none"/>
        </w:rPr>
        <w:t>Gaertn</w:t>
      </w:r>
      <w:proofErr w:type="spellEnd"/>
      <w:r w:rsidRPr="002C0B0B">
        <w:rPr>
          <w:rFonts w:ascii="Arial" w:eastAsia="Times New Roman" w:hAnsi="Arial" w:cs="Arial"/>
          <w:kern w:val="0"/>
          <w:sz w:val="20"/>
          <w:szCs w:val="20"/>
          <w14:ligatures w14:val="none"/>
        </w:rPr>
        <w:t>). Proceedings of the 38th annual conference of the forest Association of Nigeria held in Port Harcourt Rivers State. 868-880.</w:t>
      </w:r>
    </w:p>
    <w:p w14:paraId="4C8549EC"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3071B049" w14:textId="7EC7FBAF"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Haouvang</w:t>
      </w:r>
      <w:proofErr w:type="spellEnd"/>
      <w:r w:rsidRPr="002C0B0B">
        <w:rPr>
          <w:rFonts w:ascii="Arial" w:eastAsia="Times New Roman" w:hAnsi="Arial" w:cs="Arial"/>
          <w:kern w:val="0"/>
          <w:sz w:val="20"/>
          <w:szCs w:val="20"/>
          <w14:ligatures w14:val="none"/>
        </w:rPr>
        <w:t xml:space="preserve"> L</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C, </w:t>
      </w:r>
      <w:proofErr w:type="spellStart"/>
      <w:r w:rsidRPr="002C0B0B">
        <w:rPr>
          <w:rFonts w:ascii="Arial" w:eastAsia="Times New Roman" w:hAnsi="Arial" w:cs="Arial"/>
          <w:kern w:val="0"/>
          <w:sz w:val="20"/>
          <w:szCs w:val="20"/>
          <w14:ligatures w14:val="none"/>
        </w:rPr>
        <w:t>Ngakou</w:t>
      </w:r>
      <w:proofErr w:type="spellEnd"/>
      <w:r w:rsidRPr="002C0B0B">
        <w:rPr>
          <w:rFonts w:ascii="Arial" w:eastAsia="Times New Roman" w:hAnsi="Arial" w:cs="Arial"/>
          <w:kern w:val="0"/>
          <w:sz w:val="20"/>
          <w:szCs w:val="20"/>
          <w14:ligatures w14:val="none"/>
        </w:rPr>
        <w:t xml:space="preserve"> A, </w:t>
      </w:r>
      <w:proofErr w:type="spellStart"/>
      <w:r w:rsidRPr="002C0B0B">
        <w:rPr>
          <w:rFonts w:ascii="Arial" w:eastAsia="Times New Roman" w:hAnsi="Arial" w:cs="Arial"/>
          <w:kern w:val="0"/>
          <w:sz w:val="20"/>
          <w:szCs w:val="20"/>
          <w14:ligatures w14:val="none"/>
        </w:rPr>
        <w:t>Yemefack</w:t>
      </w:r>
      <w:proofErr w:type="spellEnd"/>
      <w:r w:rsidRPr="002C0B0B">
        <w:rPr>
          <w:rFonts w:ascii="Arial" w:eastAsia="Times New Roman" w:hAnsi="Arial" w:cs="Arial"/>
          <w:kern w:val="0"/>
          <w:sz w:val="20"/>
          <w:szCs w:val="20"/>
          <w14:ligatures w14:val="none"/>
        </w:rPr>
        <w:t xml:space="preserve"> M, </w:t>
      </w:r>
      <w:proofErr w:type="spellStart"/>
      <w:r w:rsidRPr="002C0B0B">
        <w:rPr>
          <w:rFonts w:ascii="Arial" w:eastAsia="Times New Roman" w:hAnsi="Arial" w:cs="Arial"/>
          <w:kern w:val="0"/>
          <w:sz w:val="20"/>
          <w:szCs w:val="20"/>
          <w14:ligatures w14:val="none"/>
        </w:rPr>
        <w:t>Mbailao</w:t>
      </w:r>
      <w:proofErr w:type="spellEnd"/>
      <w:r w:rsidRPr="002C0B0B">
        <w:rPr>
          <w:rFonts w:ascii="Arial" w:eastAsia="Times New Roman" w:hAnsi="Arial" w:cs="Arial"/>
          <w:kern w:val="0"/>
          <w:sz w:val="20"/>
          <w:szCs w:val="20"/>
          <w14:ligatures w14:val="none"/>
        </w:rPr>
        <w:t xml:space="preserve"> M</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(2017) Growth response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Lam. as affected by various amounts of compost under greenhouse conditions. AOAS 62:221–226. </w:t>
      </w:r>
      <w:hyperlink r:id="rId15" w:history="1">
        <w:r w:rsidRPr="002C0B0B">
          <w:rPr>
            <w:rStyle w:val="Hyperlink"/>
            <w:rFonts w:ascii="Arial" w:eastAsia="Times New Roman" w:hAnsi="Arial" w:cs="Arial"/>
            <w:kern w:val="0"/>
            <w:sz w:val="20"/>
            <w:szCs w:val="20"/>
            <w14:ligatures w14:val="none"/>
          </w:rPr>
          <w:t>https://doi.org/10.1016/j.aoas.2017.12.004</w:t>
        </w:r>
      </w:hyperlink>
      <w:r w:rsidRPr="002C0B0B">
        <w:rPr>
          <w:rFonts w:ascii="Arial" w:eastAsia="Times New Roman" w:hAnsi="Arial" w:cs="Arial"/>
          <w:kern w:val="0"/>
          <w:sz w:val="20"/>
          <w:szCs w:val="20"/>
          <w14:ligatures w14:val="none"/>
        </w:rPr>
        <w:t>.</w:t>
      </w:r>
    </w:p>
    <w:p w14:paraId="1484BA4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2EB4D39" w14:textId="77777777" w:rsid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Jones P.D, (1999). Journal on the propagation and growing of multipurpose trees, vol. 19, 56: 60-78. In: Vegetative and Reproductive tissue of the Multipurpose tree,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Journal of Agriculture and Food Chemistry 51:3546-3553.</w:t>
      </w:r>
    </w:p>
    <w:p w14:paraId="45A62F13" w14:textId="77777777" w:rsidR="00175771" w:rsidRDefault="00175771" w:rsidP="002C0B0B">
      <w:pPr>
        <w:spacing w:after="0" w:line="240" w:lineRule="auto"/>
        <w:jc w:val="both"/>
        <w:rPr>
          <w:rFonts w:ascii="Arial" w:eastAsia="Times New Roman" w:hAnsi="Arial" w:cs="Arial"/>
          <w:kern w:val="0"/>
          <w:sz w:val="20"/>
          <w:szCs w:val="20"/>
          <w14:ligatures w14:val="none"/>
        </w:rPr>
      </w:pPr>
    </w:p>
    <w:p w14:paraId="36F80A5E" w14:textId="22663D62" w:rsidR="00175771" w:rsidRPr="002C0B0B" w:rsidRDefault="00175771" w:rsidP="00175771">
      <w:pPr>
        <w:spacing w:after="0" w:line="240" w:lineRule="auto"/>
        <w:jc w:val="both"/>
        <w:rPr>
          <w:rFonts w:ascii="Arial" w:eastAsia="Times New Roman" w:hAnsi="Arial" w:cs="Arial"/>
          <w:kern w:val="0"/>
          <w:sz w:val="20"/>
          <w:szCs w:val="20"/>
          <w14:ligatures w14:val="none"/>
        </w:rPr>
      </w:pPr>
      <w:r w:rsidRPr="00175771">
        <w:rPr>
          <w:rFonts w:ascii="Arial" w:eastAsia="Times New Roman" w:hAnsi="Arial" w:cs="Arial"/>
          <w:kern w:val="0"/>
          <w:sz w:val="20"/>
          <w:szCs w:val="20"/>
          <w14:ligatures w14:val="none"/>
        </w:rPr>
        <w:t>Joyce C. M., Beth M., Steven J. V., Esther W. G., John O. O., Steven J. F. (2025). Long-term organic matter inputs enhance soil health and reduce soil-borne pathogen pressure in maize-bean rotations in Kenya</w:t>
      </w:r>
      <w:r>
        <w:rPr>
          <w:rFonts w:ascii="Arial" w:eastAsia="Times New Roman" w:hAnsi="Arial" w:cs="Arial"/>
          <w:kern w:val="0"/>
          <w:sz w:val="20"/>
          <w:szCs w:val="20"/>
          <w14:ligatures w14:val="none"/>
        </w:rPr>
        <w:t xml:space="preserve">. </w:t>
      </w:r>
      <w:r w:rsidRPr="00175771">
        <w:rPr>
          <w:rFonts w:ascii="Arial" w:eastAsia="Times New Roman" w:hAnsi="Arial" w:cs="Arial"/>
          <w:kern w:val="0"/>
          <w:sz w:val="20"/>
          <w:szCs w:val="20"/>
          <w14:ligatures w14:val="none"/>
        </w:rPr>
        <w:t>Agriculture, Ecosystems &amp; Environment</w:t>
      </w:r>
      <w:r>
        <w:rPr>
          <w:rFonts w:ascii="Arial" w:eastAsia="Times New Roman" w:hAnsi="Arial" w:cs="Arial"/>
          <w:kern w:val="0"/>
          <w:sz w:val="20"/>
          <w:szCs w:val="20"/>
          <w14:ligatures w14:val="none"/>
        </w:rPr>
        <w:t xml:space="preserve">. </w:t>
      </w:r>
      <w:r w:rsidRPr="00175771">
        <w:rPr>
          <w:rFonts w:ascii="Arial" w:eastAsia="Times New Roman" w:hAnsi="Arial" w:cs="Arial"/>
          <w:kern w:val="0"/>
          <w:sz w:val="20"/>
          <w:szCs w:val="20"/>
          <w14:ligatures w14:val="none"/>
        </w:rPr>
        <w:t>380</w:t>
      </w:r>
      <w:r>
        <w:rPr>
          <w:rFonts w:ascii="Arial" w:eastAsia="Times New Roman" w:hAnsi="Arial" w:cs="Arial"/>
          <w:kern w:val="0"/>
          <w:sz w:val="20"/>
          <w:szCs w:val="20"/>
          <w14:ligatures w14:val="none"/>
        </w:rPr>
        <w:t>:</w:t>
      </w:r>
      <w:r w:rsidRPr="00175771">
        <w:rPr>
          <w:rFonts w:ascii="Arial" w:eastAsia="Times New Roman" w:hAnsi="Arial" w:cs="Arial"/>
          <w:kern w:val="0"/>
          <w:sz w:val="20"/>
          <w:szCs w:val="20"/>
          <w14:ligatures w14:val="none"/>
        </w:rPr>
        <w:t>109402</w:t>
      </w:r>
    </w:p>
    <w:p w14:paraId="57FE6137"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4E46F31" w14:textId="151E3361"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Mona S</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Z</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(2012) Improvement of growth and nutritional quality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using different biofertilizers. AOAS 57(1):53 62. </w:t>
      </w:r>
      <w:hyperlink r:id="rId16" w:history="1">
        <w:r w:rsidRPr="002C0B0B">
          <w:rPr>
            <w:rStyle w:val="Hyperlink"/>
            <w:rFonts w:ascii="Arial" w:eastAsia="Times New Roman" w:hAnsi="Arial" w:cs="Arial"/>
            <w:kern w:val="0"/>
            <w:sz w:val="20"/>
            <w:szCs w:val="20"/>
            <w14:ligatures w14:val="none"/>
          </w:rPr>
          <w:t>https://doi.org/10.1016/j.aoas.2012.03.004</w:t>
        </w:r>
      </w:hyperlink>
      <w:r w:rsidRPr="002C0B0B">
        <w:rPr>
          <w:rFonts w:ascii="Arial" w:eastAsia="Times New Roman" w:hAnsi="Arial" w:cs="Arial"/>
          <w:kern w:val="0"/>
          <w:sz w:val="20"/>
          <w:szCs w:val="20"/>
          <w14:ligatures w14:val="none"/>
        </w:rPr>
        <w:t>.</w:t>
      </w:r>
    </w:p>
    <w:p w14:paraId="5A8AA07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339C946" w14:textId="6E7838E8"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Ndukwe O</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O, </w:t>
      </w:r>
      <w:proofErr w:type="spellStart"/>
      <w:r w:rsidRPr="002C0B0B">
        <w:rPr>
          <w:rFonts w:ascii="Arial" w:eastAsia="Times New Roman" w:hAnsi="Arial" w:cs="Arial"/>
          <w:kern w:val="0"/>
          <w:sz w:val="20"/>
          <w:szCs w:val="20"/>
          <w14:ligatures w14:val="none"/>
        </w:rPr>
        <w:t>Muoneke</w:t>
      </w:r>
      <w:proofErr w:type="spellEnd"/>
      <w:r w:rsidRPr="002C0B0B">
        <w:rPr>
          <w:rFonts w:ascii="Arial" w:eastAsia="Times New Roman" w:hAnsi="Arial" w:cs="Arial"/>
          <w:kern w:val="0"/>
          <w:sz w:val="20"/>
          <w:szCs w:val="20"/>
          <w14:ligatures w14:val="none"/>
        </w:rPr>
        <w:t xml:space="preserve"> C</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O, </w:t>
      </w: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Growth and yield responses of plantain genotypes as influenced by organic and inorganic fertilizers. Journal of Plant Nutrition, 34(5), 700-716.</w:t>
      </w:r>
    </w:p>
    <w:p w14:paraId="2AEB3B14"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D462E08" w14:textId="1840C514"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Olayinka O. (2016). Effects of Cow dung and N.P.K Fertilizer at different levels on the growth performance and Nutrient Composition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Ann. Exp. Bio., 4(1):35-39.</w:t>
      </w:r>
    </w:p>
    <w:p w14:paraId="2860B27D"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20AC272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Polat E, Demiri, H. and Erler, F. (2010). Yield and quality criteria in organically and conventionally grown tomatoes in Türkiye. Sci Agricola, 67(4): 424-429.</w:t>
      </w:r>
    </w:p>
    <w:p w14:paraId="0765B59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3F34554" w14:textId="0FED18C4"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Roe N</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E</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J</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Graetz D</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A</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(1997) Compost from various </w:t>
      </w:r>
      <w:proofErr w:type="spellStart"/>
      <w:r w:rsidRPr="002C0B0B">
        <w:rPr>
          <w:rFonts w:ascii="Arial" w:eastAsia="Times New Roman" w:hAnsi="Arial" w:cs="Arial"/>
          <w:kern w:val="0"/>
          <w:sz w:val="20"/>
          <w:szCs w:val="20"/>
          <w14:ligatures w14:val="none"/>
        </w:rPr>
        <w:t>munici</w:t>
      </w:r>
      <w:proofErr w:type="spellEnd"/>
      <w:r w:rsidRPr="002C0B0B">
        <w:rPr>
          <w:rFonts w:ascii="Arial" w:eastAsia="Times New Roman" w:hAnsi="Arial" w:cs="Arial"/>
          <w:kern w:val="0"/>
          <w:sz w:val="20"/>
          <w:szCs w:val="20"/>
          <w14:ligatures w14:val="none"/>
        </w:rPr>
        <w:t xml:space="preserve"> pal waste feedstocks affect vegetable crops II growth, yield and fruit quality. Journal of the American Society for Horticultural Science. 122:433–437. https ://</w:t>
      </w:r>
      <w:proofErr w:type="spellStart"/>
      <w:r w:rsidRPr="002C0B0B">
        <w:rPr>
          <w:rFonts w:ascii="Arial" w:eastAsia="Times New Roman" w:hAnsi="Arial" w:cs="Arial"/>
          <w:kern w:val="0"/>
          <w:sz w:val="20"/>
          <w:szCs w:val="20"/>
          <w14:ligatures w14:val="none"/>
        </w:rPr>
        <w:t>doi</w:t>
      </w:r>
      <w:proofErr w:type="spellEnd"/>
      <w:r w:rsidRPr="002C0B0B">
        <w:rPr>
          <w:rFonts w:ascii="Arial" w:eastAsia="Times New Roman" w:hAnsi="Arial" w:cs="Arial"/>
          <w:kern w:val="0"/>
          <w:sz w:val="20"/>
          <w:szCs w:val="20"/>
          <w14:ligatures w14:val="none"/>
        </w:rPr>
        <w:t>. org/10.21273/JASHS.122.3.433.</w:t>
      </w:r>
    </w:p>
    <w:p w14:paraId="06B7969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C17CD21" w14:textId="651C90FA"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J</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Li Y</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C</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Roe N</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E</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Ozores-Hampton M</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Graetz D</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A</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(1997) Utilization of organic waste composts in vegetable crop pro duction systems. In: Morris RA (ed) Managing soil fertility for intensive vegetable production systems in Asia. Asian Vegetable Research and Development Centre, </w:t>
      </w:r>
      <w:proofErr w:type="spellStart"/>
      <w:r w:rsidRPr="002C0B0B">
        <w:rPr>
          <w:rFonts w:ascii="Arial" w:eastAsia="Times New Roman" w:hAnsi="Arial" w:cs="Arial"/>
          <w:kern w:val="0"/>
          <w:sz w:val="20"/>
          <w:szCs w:val="20"/>
          <w14:ligatures w14:val="none"/>
        </w:rPr>
        <w:t>Shanhua</w:t>
      </w:r>
      <w:proofErr w:type="spellEnd"/>
      <w:r w:rsidRPr="002C0B0B">
        <w:rPr>
          <w:rFonts w:ascii="Arial" w:eastAsia="Times New Roman" w:hAnsi="Arial" w:cs="Arial"/>
          <w:kern w:val="0"/>
          <w:sz w:val="20"/>
          <w:szCs w:val="20"/>
          <w14:ligatures w14:val="none"/>
        </w:rPr>
        <w:t>, 12.</w:t>
      </w:r>
    </w:p>
    <w:p w14:paraId="48255B6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C2F83C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WHO (2012). Miracle Tree Foundation. Retrieved from </w:t>
      </w:r>
      <w:hyperlink r:id="rId17" w:history="1">
        <w:r w:rsidRPr="002C0B0B">
          <w:rPr>
            <w:rStyle w:val="Hyperlink"/>
            <w:rFonts w:ascii="Arial" w:eastAsia="Times New Roman" w:hAnsi="Arial" w:cs="Arial"/>
            <w:kern w:val="0"/>
            <w:sz w:val="20"/>
            <w:szCs w:val="20"/>
            <w14:ligatures w14:val="none"/>
          </w:rPr>
          <w:t>http://miracletrees.org/</w:t>
        </w:r>
      </w:hyperlink>
      <w:r w:rsidRPr="002C0B0B">
        <w:rPr>
          <w:rFonts w:ascii="Arial" w:eastAsia="Times New Roman" w:hAnsi="Arial" w:cs="Arial"/>
          <w:kern w:val="0"/>
          <w:sz w:val="20"/>
          <w:szCs w:val="20"/>
          <w14:ligatures w14:val="none"/>
        </w:rPr>
        <w:t>.</w:t>
      </w:r>
    </w:p>
    <w:p w14:paraId="25DE9C6B"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82380C5" w14:textId="422D6095"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Wilson S</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B</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J</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Graetz D</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A</w:t>
      </w:r>
      <w:r w:rsidR="00175771">
        <w:rPr>
          <w:rFonts w:ascii="Arial" w:eastAsia="Times New Roman" w:hAnsi="Arial" w:cs="Arial"/>
          <w:kern w:val="0"/>
          <w:sz w:val="20"/>
          <w:szCs w:val="20"/>
          <w14:ligatures w14:val="none"/>
        </w:rPr>
        <w:t>.</w:t>
      </w:r>
      <w:r w:rsidRPr="002C0B0B">
        <w:rPr>
          <w:rFonts w:ascii="Arial" w:eastAsia="Times New Roman" w:hAnsi="Arial" w:cs="Arial"/>
          <w:kern w:val="0"/>
          <w:sz w:val="20"/>
          <w:szCs w:val="20"/>
          <w14:ligatures w14:val="none"/>
        </w:rPr>
        <w:t xml:space="preserve"> (2001). Use of compost as a media amendment for containerized production of two subtropical perennials. J Environ </w:t>
      </w:r>
      <w:proofErr w:type="spellStart"/>
      <w:r w:rsidRPr="002C0B0B">
        <w:rPr>
          <w:rFonts w:ascii="Arial" w:eastAsia="Times New Roman" w:hAnsi="Arial" w:cs="Arial"/>
          <w:kern w:val="0"/>
          <w:sz w:val="20"/>
          <w:szCs w:val="20"/>
          <w14:ligatures w14:val="none"/>
        </w:rPr>
        <w:t>Hortic</w:t>
      </w:r>
      <w:proofErr w:type="spellEnd"/>
      <w:r w:rsidRPr="002C0B0B">
        <w:rPr>
          <w:rFonts w:ascii="Arial" w:eastAsia="Times New Roman" w:hAnsi="Arial" w:cs="Arial"/>
          <w:kern w:val="0"/>
          <w:sz w:val="20"/>
          <w:szCs w:val="20"/>
          <w14:ligatures w14:val="none"/>
        </w:rPr>
        <w:t xml:space="preserve"> 19(1):37–42.</w:t>
      </w:r>
    </w:p>
    <w:p w14:paraId="351005D8"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Yang, J., Liu, X. and Shi, Y. (2013). Effect of different mixed fertilizer on yield, quality and economic benefits in </w:t>
      </w:r>
      <w:r w:rsidRPr="002C0B0B">
        <w:rPr>
          <w:rFonts w:ascii="Arial" w:eastAsia="Times New Roman" w:hAnsi="Arial" w:cs="Arial"/>
          <w:i/>
          <w:iCs/>
          <w:kern w:val="0"/>
          <w:sz w:val="20"/>
          <w:szCs w:val="20"/>
          <w14:ligatures w14:val="none"/>
        </w:rPr>
        <w:t xml:space="preserve">Stevia </w:t>
      </w:r>
      <w:proofErr w:type="spellStart"/>
      <w:r w:rsidRPr="002C0B0B">
        <w:rPr>
          <w:rFonts w:ascii="Arial" w:eastAsia="Times New Roman" w:hAnsi="Arial" w:cs="Arial"/>
          <w:i/>
          <w:iCs/>
          <w:kern w:val="0"/>
          <w:sz w:val="20"/>
          <w:szCs w:val="20"/>
          <w14:ligatures w14:val="none"/>
        </w:rPr>
        <w:t>rebaudiana</w:t>
      </w:r>
      <w:proofErr w:type="spellEnd"/>
      <w:r w:rsidRPr="002C0B0B">
        <w:rPr>
          <w:rFonts w:ascii="Arial" w:eastAsia="Times New Roman" w:hAnsi="Arial" w:cs="Arial"/>
          <w:i/>
          <w:iCs/>
          <w:kern w:val="0"/>
          <w:sz w:val="20"/>
          <w:szCs w:val="20"/>
          <w14:ligatures w14:val="none"/>
        </w:rPr>
        <w:t xml:space="preserve"> </w:t>
      </w:r>
      <w:proofErr w:type="spellStart"/>
      <w:r w:rsidRPr="002C0B0B">
        <w:rPr>
          <w:rFonts w:ascii="Arial" w:eastAsia="Times New Roman" w:hAnsi="Arial" w:cs="Arial"/>
          <w:i/>
          <w:iCs/>
          <w:kern w:val="0"/>
          <w:sz w:val="20"/>
          <w:szCs w:val="20"/>
          <w14:ligatures w14:val="none"/>
        </w:rPr>
        <w:t>bertoni</w:t>
      </w:r>
      <w:proofErr w:type="spellEnd"/>
      <w:r w:rsidRPr="002C0B0B">
        <w:rPr>
          <w:rFonts w:ascii="Arial" w:eastAsia="Times New Roman" w:hAnsi="Arial" w:cs="Arial"/>
          <w:kern w:val="0"/>
          <w:sz w:val="20"/>
          <w:szCs w:val="20"/>
          <w14:ligatures w14:val="none"/>
        </w:rPr>
        <w:t>. Adv J Food Sci Tech, 5(5):588-591.</w:t>
      </w:r>
    </w:p>
    <w:bookmarkEnd w:id="0"/>
    <w:p w14:paraId="59ECB08A"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sectPr w:rsidR="002C0B0B" w:rsidRPr="002C0B0B" w:rsidSect="00A4594F">
      <w:headerReference w:type="even" r:id="rId18"/>
      <w:headerReference w:type="default" r:id="rId19"/>
      <w:footerReference w:type="even" r:id="rId20"/>
      <w:footerReference w:type="default" r:id="rId21"/>
      <w:headerReference w:type="first" r:id="rId22"/>
      <w:footerReference w:type="first" r:id="rId23"/>
      <w:pgSz w:w="12240" w:h="15840"/>
      <w:pgMar w:top="1440" w:right="2016" w:bottom="2016" w:left="2016" w:header="720" w:footer="11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2C972" w14:textId="77777777" w:rsidR="00325192" w:rsidRDefault="00325192" w:rsidP="00E96979">
      <w:pPr>
        <w:spacing w:after="0" w:line="240" w:lineRule="auto"/>
      </w:pPr>
      <w:r>
        <w:separator/>
      </w:r>
    </w:p>
  </w:endnote>
  <w:endnote w:type="continuationSeparator" w:id="0">
    <w:p w14:paraId="2E35DF6D" w14:textId="77777777" w:rsidR="00325192" w:rsidRDefault="00325192" w:rsidP="00E9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9EF4" w14:textId="77777777" w:rsidR="00A4594F" w:rsidRDefault="00A4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FDF0" w14:textId="77777777" w:rsidR="00A4594F" w:rsidRDefault="00A4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29E6" w14:textId="77777777" w:rsidR="00A4594F" w:rsidRDefault="00A4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D068" w14:textId="77777777" w:rsidR="00325192" w:rsidRDefault="00325192" w:rsidP="00E96979">
      <w:pPr>
        <w:spacing w:after="0" w:line="240" w:lineRule="auto"/>
      </w:pPr>
      <w:r>
        <w:separator/>
      </w:r>
    </w:p>
  </w:footnote>
  <w:footnote w:type="continuationSeparator" w:id="0">
    <w:p w14:paraId="7F07951B" w14:textId="77777777" w:rsidR="00325192" w:rsidRDefault="00325192" w:rsidP="00E9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8131" w14:textId="7DCE33A1" w:rsidR="00A4594F" w:rsidRDefault="00000000">
    <w:pPr>
      <w:pStyle w:val="Header"/>
    </w:pPr>
    <w:r>
      <w:rPr>
        <w:noProof/>
      </w:rPr>
      <w:pict w14:anchorId="2A28E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3"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9C8B" w14:textId="3BE61B51" w:rsidR="00A4594F" w:rsidRDefault="00000000">
    <w:pPr>
      <w:pStyle w:val="Header"/>
    </w:pPr>
    <w:r>
      <w:rPr>
        <w:noProof/>
      </w:rPr>
      <w:pict w14:anchorId="3C76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4"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6095" w14:textId="33FB77C6" w:rsidR="00A4594F" w:rsidRDefault="00000000">
    <w:pPr>
      <w:pStyle w:val="Header"/>
    </w:pPr>
    <w:r>
      <w:rPr>
        <w:noProof/>
      </w:rPr>
      <w:pict w14:anchorId="5DB99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2"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3235B"/>
    <w:multiLevelType w:val="hybridMultilevel"/>
    <w:tmpl w:val="169222B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1451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A"/>
    <w:rsid w:val="00027967"/>
    <w:rsid w:val="000A0E43"/>
    <w:rsid w:val="000A64B3"/>
    <w:rsid w:val="000B3FA3"/>
    <w:rsid w:val="000F0451"/>
    <w:rsid w:val="00157A56"/>
    <w:rsid w:val="00175771"/>
    <w:rsid w:val="001B135A"/>
    <w:rsid w:val="00291FEB"/>
    <w:rsid w:val="002B4165"/>
    <w:rsid w:val="002C0B0B"/>
    <w:rsid w:val="002F3BD1"/>
    <w:rsid w:val="00325192"/>
    <w:rsid w:val="003C149B"/>
    <w:rsid w:val="003C528E"/>
    <w:rsid w:val="003D464D"/>
    <w:rsid w:val="00414464"/>
    <w:rsid w:val="00464DFB"/>
    <w:rsid w:val="00561A42"/>
    <w:rsid w:val="005A477F"/>
    <w:rsid w:val="005C1338"/>
    <w:rsid w:val="00632381"/>
    <w:rsid w:val="006620A8"/>
    <w:rsid w:val="00697CE4"/>
    <w:rsid w:val="007726F1"/>
    <w:rsid w:val="00783644"/>
    <w:rsid w:val="007C1E4A"/>
    <w:rsid w:val="007C1EC6"/>
    <w:rsid w:val="0082470A"/>
    <w:rsid w:val="00864E50"/>
    <w:rsid w:val="008E31A7"/>
    <w:rsid w:val="00930541"/>
    <w:rsid w:val="00937C20"/>
    <w:rsid w:val="0097291E"/>
    <w:rsid w:val="00A312CA"/>
    <w:rsid w:val="00A4594F"/>
    <w:rsid w:val="00A45F02"/>
    <w:rsid w:val="00A92211"/>
    <w:rsid w:val="00B200F0"/>
    <w:rsid w:val="00B529C3"/>
    <w:rsid w:val="00B963C2"/>
    <w:rsid w:val="00BB4CB9"/>
    <w:rsid w:val="00BB7A85"/>
    <w:rsid w:val="00C64966"/>
    <w:rsid w:val="00C9229B"/>
    <w:rsid w:val="00CC296B"/>
    <w:rsid w:val="00CE5FC3"/>
    <w:rsid w:val="00CF5E93"/>
    <w:rsid w:val="00D01219"/>
    <w:rsid w:val="00D33AE9"/>
    <w:rsid w:val="00D730B5"/>
    <w:rsid w:val="00E1646C"/>
    <w:rsid w:val="00E34618"/>
    <w:rsid w:val="00E5164E"/>
    <w:rsid w:val="00E549E2"/>
    <w:rsid w:val="00E96979"/>
    <w:rsid w:val="00F11B9E"/>
    <w:rsid w:val="00F40941"/>
    <w:rsid w:val="00F4511E"/>
    <w:rsid w:val="00FC4174"/>
    <w:rsid w:val="00FF364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BC086"/>
  <w15:chartTrackingRefBased/>
  <w15:docId w15:val="{C9E5D2EB-D22F-4809-9580-21AB2DC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2CA"/>
    <w:rPr>
      <w:rFonts w:eastAsiaTheme="majorEastAsia" w:cstheme="majorBidi"/>
      <w:color w:val="272727" w:themeColor="text1" w:themeTint="D8"/>
    </w:rPr>
  </w:style>
  <w:style w:type="paragraph" w:styleId="Title">
    <w:name w:val="Title"/>
    <w:basedOn w:val="Normal"/>
    <w:next w:val="Normal"/>
    <w:link w:val="TitleChar"/>
    <w:uiPriority w:val="10"/>
    <w:qFormat/>
    <w:rsid w:val="00A3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2CA"/>
    <w:pPr>
      <w:spacing w:before="160"/>
      <w:jc w:val="center"/>
    </w:pPr>
    <w:rPr>
      <w:i/>
      <w:iCs/>
      <w:color w:val="404040" w:themeColor="text1" w:themeTint="BF"/>
    </w:rPr>
  </w:style>
  <w:style w:type="character" w:customStyle="1" w:styleId="QuoteChar">
    <w:name w:val="Quote Char"/>
    <w:basedOn w:val="DefaultParagraphFont"/>
    <w:link w:val="Quote"/>
    <w:uiPriority w:val="29"/>
    <w:rsid w:val="00A312CA"/>
    <w:rPr>
      <w:i/>
      <w:iCs/>
      <w:color w:val="404040" w:themeColor="text1" w:themeTint="BF"/>
    </w:rPr>
  </w:style>
  <w:style w:type="paragraph" w:styleId="ListParagraph">
    <w:name w:val="List Paragraph"/>
    <w:basedOn w:val="Normal"/>
    <w:uiPriority w:val="34"/>
    <w:qFormat/>
    <w:rsid w:val="00A312CA"/>
    <w:pPr>
      <w:ind w:left="720"/>
      <w:contextualSpacing/>
    </w:pPr>
  </w:style>
  <w:style w:type="character" w:styleId="IntenseEmphasis">
    <w:name w:val="Intense Emphasis"/>
    <w:basedOn w:val="DefaultParagraphFont"/>
    <w:uiPriority w:val="21"/>
    <w:qFormat/>
    <w:rsid w:val="00A312CA"/>
    <w:rPr>
      <w:i/>
      <w:iCs/>
      <w:color w:val="0F4761" w:themeColor="accent1" w:themeShade="BF"/>
    </w:rPr>
  </w:style>
  <w:style w:type="paragraph" w:styleId="IntenseQuote">
    <w:name w:val="Intense Quote"/>
    <w:basedOn w:val="Normal"/>
    <w:next w:val="Normal"/>
    <w:link w:val="IntenseQuoteChar"/>
    <w:uiPriority w:val="30"/>
    <w:qFormat/>
    <w:rsid w:val="00A31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2CA"/>
    <w:rPr>
      <w:i/>
      <w:iCs/>
      <w:color w:val="0F4761" w:themeColor="accent1" w:themeShade="BF"/>
    </w:rPr>
  </w:style>
  <w:style w:type="character" w:styleId="IntenseReference">
    <w:name w:val="Intense Reference"/>
    <w:basedOn w:val="DefaultParagraphFont"/>
    <w:uiPriority w:val="32"/>
    <w:qFormat/>
    <w:rsid w:val="00A312CA"/>
    <w:rPr>
      <w:b/>
      <w:bCs/>
      <w:smallCaps/>
      <w:color w:val="0F4761" w:themeColor="accent1" w:themeShade="BF"/>
      <w:spacing w:val="5"/>
    </w:rPr>
  </w:style>
  <w:style w:type="paragraph" w:styleId="Footer">
    <w:name w:val="footer"/>
    <w:basedOn w:val="Normal"/>
    <w:link w:val="FooterChar"/>
    <w:uiPriority w:val="99"/>
    <w:unhideWhenUsed/>
    <w:rsid w:val="00A31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2CA"/>
  </w:style>
  <w:style w:type="paragraph" w:styleId="Header">
    <w:name w:val="header"/>
    <w:basedOn w:val="Normal"/>
    <w:link w:val="HeaderChar"/>
    <w:uiPriority w:val="99"/>
    <w:unhideWhenUsed/>
    <w:rsid w:val="00A31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2CA"/>
  </w:style>
  <w:style w:type="character" w:styleId="LineNumber">
    <w:name w:val="line number"/>
    <w:basedOn w:val="DefaultParagraphFont"/>
    <w:uiPriority w:val="99"/>
    <w:semiHidden/>
    <w:unhideWhenUsed/>
    <w:rsid w:val="00A312CA"/>
  </w:style>
  <w:style w:type="character" w:styleId="Hyperlink">
    <w:name w:val="Hyperlink"/>
    <w:basedOn w:val="DefaultParagraphFont"/>
    <w:uiPriority w:val="99"/>
    <w:unhideWhenUsed/>
    <w:rsid w:val="002C0B0B"/>
    <w:rPr>
      <w:color w:val="467886" w:themeColor="hyperlink"/>
      <w:u w:val="single"/>
    </w:rPr>
  </w:style>
  <w:style w:type="character" w:styleId="UnresolvedMention">
    <w:name w:val="Unresolved Mention"/>
    <w:basedOn w:val="DefaultParagraphFont"/>
    <w:uiPriority w:val="99"/>
    <w:semiHidden/>
    <w:unhideWhenUsed/>
    <w:rsid w:val="002C0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5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miracletree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oas.2012.03.00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aoas.2017.12.004" TargetMode="External"/><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fertilzer rate on fresh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33793110236220475"/>
                  <c:y val="-1.601778944298629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Sheet2!$C$2:$C$17</c:f>
              <c:numCache>
                <c:formatCode>0.0</c:formatCode>
                <c:ptCount val="16"/>
                <c:pt idx="0">
                  <c:v>10.4</c:v>
                </c:pt>
                <c:pt idx="1">
                  <c:v>14.5</c:v>
                </c:pt>
                <c:pt idx="2">
                  <c:v>19.933333333333334</c:v>
                </c:pt>
                <c:pt idx="3">
                  <c:v>3.6333333333333333</c:v>
                </c:pt>
                <c:pt idx="4">
                  <c:v>11.133333333333333</c:v>
                </c:pt>
                <c:pt idx="5">
                  <c:v>18.933333333333334</c:v>
                </c:pt>
                <c:pt idx="6">
                  <c:v>24.3</c:v>
                </c:pt>
                <c:pt idx="7">
                  <c:v>5.8999999999999995</c:v>
                </c:pt>
                <c:pt idx="8">
                  <c:v>12.799999999999999</c:v>
                </c:pt>
                <c:pt idx="9">
                  <c:v>16.366666666666667</c:v>
                </c:pt>
                <c:pt idx="10">
                  <c:v>22.599999999999998</c:v>
                </c:pt>
                <c:pt idx="11">
                  <c:v>4.833333333333333</c:v>
                </c:pt>
                <c:pt idx="12">
                  <c:v>13.533333333333333</c:v>
                </c:pt>
                <c:pt idx="13">
                  <c:v>20.366666666666667</c:v>
                </c:pt>
                <c:pt idx="14">
                  <c:v>15.9</c:v>
                </c:pt>
                <c:pt idx="15">
                  <c:v>3.8666666666666698</c:v>
                </c:pt>
              </c:numCache>
            </c:numRef>
          </c:yVal>
          <c:smooth val="0"/>
          <c:extLst>
            <c:ext xmlns:c16="http://schemas.microsoft.com/office/drawing/2014/chart" uri="{C3380CC4-5D6E-409C-BE32-E72D297353CC}">
              <c16:uniqueId val="{00000001-21B1-4A56-9A06-CC139CFCFD5F}"/>
            </c:ext>
          </c:extLst>
        </c:ser>
        <c:dLbls>
          <c:showLegendKey val="0"/>
          <c:showVal val="0"/>
          <c:showCatName val="0"/>
          <c:showSerName val="0"/>
          <c:showPercent val="0"/>
          <c:showBubbleSize val="0"/>
        </c:dLbls>
        <c:axId val="408659024"/>
        <c:axId val="408659504"/>
      </c:scatterChart>
      <c:valAx>
        <c:axId val="408659024"/>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504"/>
        <c:crosses val="autoZero"/>
        <c:crossBetween val="midCat"/>
        <c:majorUnit val="100"/>
      </c:valAx>
      <c:valAx>
        <c:axId val="40865950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Fresh yeild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024"/>
        <c:crosses val="autoZero"/>
        <c:crossBetween val="midCat"/>
      </c:valAx>
      <c:spPr>
        <a:noFill/>
        <a:ln>
          <a:solidFill>
            <a:schemeClr val="bg1">
              <a:alpha val="96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fertilizer rate on dry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27800473216709981"/>
                  <c:y val="-4.681717117220029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Sheet2!$D$2:$D$17</c:f>
              <c:numCache>
                <c:formatCode>0.0</c:formatCode>
                <c:ptCount val="16"/>
                <c:pt idx="0">
                  <c:v>1</c:v>
                </c:pt>
                <c:pt idx="1">
                  <c:v>3.1333333333333333</c:v>
                </c:pt>
                <c:pt idx="2">
                  <c:v>4.1333333333333337</c:v>
                </c:pt>
                <c:pt idx="3">
                  <c:v>0.73333333333333339</c:v>
                </c:pt>
                <c:pt idx="4">
                  <c:v>2.3333333333333335</c:v>
                </c:pt>
                <c:pt idx="5">
                  <c:v>3.8000000000000003</c:v>
                </c:pt>
                <c:pt idx="6">
                  <c:v>5.166666666666667</c:v>
                </c:pt>
                <c:pt idx="7">
                  <c:v>1.3</c:v>
                </c:pt>
                <c:pt idx="8">
                  <c:v>2.6999999999999997</c:v>
                </c:pt>
                <c:pt idx="9">
                  <c:v>3.3666666666666667</c:v>
                </c:pt>
                <c:pt idx="10">
                  <c:v>4.6333333333333337</c:v>
                </c:pt>
                <c:pt idx="11">
                  <c:v>2.3333333333333335</c:v>
                </c:pt>
                <c:pt idx="12">
                  <c:v>2.5</c:v>
                </c:pt>
                <c:pt idx="13">
                  <c:v>3.9</c:v>
                </c:pt>
                <c:pt idx="14">
                  <c:v>3.2666666666666671</c:v>
                </c:pt>
                <c:pt idx="15">
                  <c:v>0.6333333333333333</c:v>
                </c:pt>
              </c:numCache>
            </c:numRef>
          </c:yVal>
          <c:smooth val="0"/>
          <c:extLst>
            <c:ext xmlns:c16="http://schemas.microsoft.com/office/drawing/2014/chart" uri="{C3380CC4-5D6E-409C-BE32-E72D297353CC}">
              <c16:uniqueId val="{00000001-9059-4880-8F7D-C7D74771DDB9}"/>
            </c:ext>
          </c:extLst>
        </c:ser>
        <c:dLbls>
          <c:showLegendKey val="0"/>
          <c:showVal val="0"/>
          <c:showCatName val="0"/>
          <c:showSerName val="0"/>
          <c:showPercent val="0"/>
          <c:showBubbleSize val="0"/>
        </c:dLbls>
        <c:axId val="1059632911"/>
        <c:axId val="1059638671"/>
      </c:scatterChart>
      <c:valAx>
        <c:axId val="1059632911"/>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Fertilizer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8671"/>
        <c:crosses val="autoZero"/>
        <c:crossBetween val="midCat"/>
        <c:majorUnit val="100"/>
      </c:valAx>
      <c:valAx>
        <c:axId val="1059638671"/>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Dry yield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29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198</TotalTime>
  <Pages>8</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Nurhazwani Mustaffer</dc:creator>
  <cp:keywords/>
  <dc:description/>
  <cp:lastModifiedBy>Nurhazwani Mustaffer</cp:lastModifiedBy>
  <cp:revision>68</cp:revision>
  <dcterms:created xsi:type="dcterms:W3CDTF">2025-03-03T08:33:00Z</dcterms:created>
  <dcterms:modified xsi:type="dcterms:W3CDTF">2025-03-04T08:49:00Z</dcterms:modified>
</cp:coreProperties>
</file>