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24DEF" w14:textId="7D86A158" w:rsidR="00963CDA" w:rsidRDefault="00963CDA" w:rsidP="00DD0ADD">
      <w:pPr>
        <w:spacing w:before="240" w:line="240" w:lineRule="auto"/>
        <w:jc w:val="center"/>
        <w:rPr>
          <w:rFonts w:cs="Times New Roman"/>
          <w:sz w:val="28"/>
          <w:szCs w:val="28"/>
        </w:rPr>
      </w:pPr>
      <w:r w:rsidRPr="009A696E">
        <w:rPr>
          <w:rFonts w:cs="Times New Roman"/>
          <w:sz w:val="28"/>
          <w:szCs w:val="28"/>
        </w:rPr>
        <w:t>Teaching Quality Dimensions as Antecedent</w:t>
      </w:r>
      <w:r w:rsidR="00480577" w:rsidRPr="009A696E">
        <w:rPr>
          <w:rFonts w:cs="Times New Roman"/>
          <w:sz w:val="28"/>
          <w:szCs w:val="28"/>
        </w:rPr>
        <w:t>s</w:t>
      </w:r>
      <w:r w:rsidRPr="009A696E">
        <w:rPr>
          <w:rFonts w:cs="Times New Roman"/>
          <w:sz w:val="28"/>
          <w:szCs w:val="28"/>
        </w:rPr>
        <w:t xml:space="preserve"> of </w:t>
      </w:r>
      <w:r w:rsidR="00F36D70" w:rsidRPr="009A696E">
        <w:rPr>
          <w:rFonts w:cs="Times New Roman"/>
          <w:sz w:val="28"/>
          <w:szCs w:val="28"/>
        </w:rPr>
        <w:t xml:space="preserve">Academic </w:t>
      </w:r>
      <w:r w:rsidRPr="009A696E">
        <w:rPr>
          <w:rFonts w:cs="Times New Roman"/>
          <w:sz w:val="28"/>
          <w:szCs w:val="28"/>
        </w:rPr>
        <w:t>Performance</w:t>
      </w:r>
      <w:r w:rsidR="00B00B32" w:rsidRPr="009A696E">
        <w:rPr>
          <w:rFonts w:cs="Times New Roman"/>
          <w:sz w:val="28"/>
          <w:szCs w:val="28"/>
        </w:rPr>
        <w:t xml:space="preserve"> in Financial Accounting</w:t>
      </w:r>
      <w:r w:rsidR="006D19B1">
        <w:rPr>
          <w:rFonts w:cs="Times New Roman"/>
          <w:sz w:val="28"/>
          <w:szCs w:val="28"/>
        </w:rPr>
        <w:t xml:space="preserve"> among Undergraduates</w:t>
      </w:r>
      <w:r w:rsidRPr="009A696E">
        <w:rPr>
          <w:rFonts w:cs="Times New Roman"/>
          <w:sz w:val="28"/>
          <w:szCs w:val="28"/>
        </w:rPr>
        <w:t xml:space="preserve">: </w:t>
      </w:r>
      <w:r w:rsidR="0037699B" w:rsidRPr="009A696E">
        <w:rPr>
          <w:rFonts w:cs="Times New Roman"/>
          <w:sz w:val="28"/>
          <w:szCs w:val="28"/>
        </w:rPr>
        <w:t>SERVQUAL Perspective</w:t>
      </w:r>
    </w:p>
    <w:p w14:paraId="242E4EB9" w14:textId="77777777" w:rsidR="00AE2707" w:rsidRPr="009A696E" w:rsidRDefault="00AE2707" w:rsidP="00DD0ADD">
      <w:pPr>
        <w:spacing w:before="240" w:line="240" w:lineRule="auto"/>
        <w:jc w:val="center"/>
        <w:rPr>
          <w:rFonts w:cs="Times New Roman"/>
          <w:sz w:val="28"/>
          <w:szCs w:val="28"/>
        </w:rPr>
      </w:pPr>
    </w:p>
    <w:p w14:paraId="10F1DBC5" w14:textId="7D2B03A2" w:rsidR="00515C91" w:rsidRPr="009A696E" w:rsidRDefault="00DD0ADD" w:rsidP="00515C91">
      <w:pPr>
        <w:spacing w:before="240" w:line="240" w:lineRule="auto"/>
        <w:rPr>
          <w:rFonts w:cs="Times New Roman"/>
          <w:sz w:val="20"/>
          <w:szCs w:val="20"/>
        </w:rPr>
      </w:pPr>
      <w:r w:rsidRPr="009A696E">
        <w:rPr>
          <w:rFonts w:cs="Times New Roman"/>
          <w:b/>
          <w:bCs/>
          <w:sz w:val="20"/>
          <w:szCs w:val="20"/>
        </w:rPr>
        <w:t>Abstract</w:t>
      </w:r>
      <w:r w:rsidR="009A696E" w:rsidRPr="009A696E">
        <w:rPr>
          <w:rFonts w:cs="Times New Roman"/>
          <w:b/>
          <w:bCs/>
          <w:sz w:val="20"/>
          <w:szCs w:val="20"/>
        </w:rPr>
        <w:t xml:space="preserve">: </w:t>
      </w:r>
      <w:r w:rsidR="00515C91" w:rsidRPr="009A696E">
        <w:rPr>
          <w:rFonts w:eastAsia="Times New Roman" w:cs="Times New Roman"/>
          <w:color w:val="000000"/>
          <w:sz w:val="20"/>
          <w:szCs w:val="20"/>
        </w:rPr>
        <w:t xml:space="preserve">Accounting teaching quality goes beyond mere content delivery and involves fostering an engaging, well-structured, and practice-oriented learning experience that meets student expectations and enhances learning outcomes. </w:t>
      </w:r>
      <w:r w:rsidR="00515C91" w:rsidRPr="009A696E">
        <w:rPr>
          <w:rFonts w:cs="Times New Roman"/>
          <w:sz w:val="20"/>
          <w:szCs w:val="20"/>
        </w:rPr>
        <w:t xml:space="preserve">This study investigates the effect of </w:t>
      </w:r>
      <w:r w:rsidR="006D19B1">
        <w:rPr>
          <w:rFonts w:cs="Times New Roman"/>
          <w:sz w:val="20"/>
          <w:szCs w:val="20"/>
        </w:rPr>
        <w:t>SERVQUAL dimensions</w:t>
      </w:r>
      <w:r w:rsidR="00515C91" w:rsidRPr="009A696E">
        <w:rPr>
          <w:rFonts w:cs="Times New Roman"/>
          <w:sz w:val="20"/>
          <w:szCs w:val="20"/>
        </w:rPr>
        <w:t xml:space="preserve"> on undergraduate students' academic performance in financial accounting within public universities in Ghana. Data were collected through a survey of 355 students and analysed using structural equation modelling (SEM). The findings reveal that reliability and responsiveness significantly and positively influence students' financial accounting performance. In contrast, assurance, empathy, and tangibles show no significant effects. The study highlights the importance of consistent, accurate instruction and timely support in improving student financial accounting performance. These insights provide a foundation for enhancing teaching practices in financial accounting and aligning instructional strategies with student expectations to </w:t>
      </w:r>
      <w:r w:rsidR="00035CD3" w:rsidRPr="009A696E">
        <w:rPr>
          <w:rFonts w:cs="Times New Roman"/>
          <w:sz w:val="20"/>
          <w:szCs w:val="20"/>
        </w:rPr>
        <w:t>improve</w:t>
      </w:r>
      <w:r w:rsidR="00515C91" w:rsidRPr="009A696E">
        <w:rPr>
          <w:rFonts w:cs="Times New Roman"/>
          <w:sz w:val="20"/>
          <w:szCs w:val="20"/>
        </w:rPr>
        <w:t xml:space="preserve"> academic success.</w:t>
      </w:r>
    </w:p>
    <w:p w14:paraId="3CC7CCDD" w14:textId="3E832550" w:rsidR="009A696E" w:rsidRPr="009A696E" w:rsidRDefault="009A696E" w:rsidP="00515C91">
      <w:pPr>
        <w:spacing w:before="240" w:line="240" w:lineRule="auto"/>
        <w:rPr>
          <w:rFonts w:cs="Times New Roman"/>
          <w:b/>
          <w:bCs/>
          <w:sz w:val="20"/>
          <w:szCs w:val="20"/>
        </w:rPr>
      </w:pPr>
      <w:r w:rsidRPr="009A696E">
        <w:rPr>
          <w:rFonts w:cs="Times New Roman"/>
          <w:b/>
          <w:bCs/>
          <w:sz w:val="20"/>
          <w:szCs w:val="20"/>
        </w:rPr>
        <w:t>Keywords:</w:t>
      </w:r>
      <w:r w:rsidRPr="009A696E">
        <w:rPr>
          <w:rFonts w:cs="Times New Roman"/>
          <w:sz w:val="20"/>
          <w:szCs w:val="20"/>
        </w:rPr>
        <w:t xml:space="preserve"> Accounting teaching quality, financial accounting performance, SERVQUAL model, teaching dimensions, reliability, responsiveness, structural equation modelling (SEM), student expectations, public universities, Ghana, academic success.</w:t>
      </w:r>
    </w:p>
    <w:p w14:paraId="47E4D8B6" w14:textId="042BDF58" w:rsidR="00963CDA" w:rsidRPr="009A696E" w:rsidRDefault="00B826EC" w:rsidP="00C8245B">
      <w:pPr>
        <w:spacing w:before="240" w:line="240" w:lineRule="auto"/>
        <w:rPr>
          <w:rFonts w:cs="Times New Roman"/>
          <w:b/>
          <w:bCs/>
          <w:sz w:val="20"/>
          <w:szCs w:val="20"/>
        </w:rPr>
      </w:pPr>
      <w:r w:rsidRPr="009A696E">
        <w:rPr>
          <w:rFonts w:cs="Times New Roman"/>
          <w:b/>
          <w:bCs/>
          <w:sz w:val="20"/>
          <w:szCs w:val="20"/>
        </w:rPr>
        <w:t xml:space="preserve">1. </w:t>
      </w:r>
      <w:r w:rsidR="00DD0ADD" w:rsidRPr="009A696E">
        <w:rPr>
          <w:rFonts w:cs="Times New Roman"/>
          <w:b/>
          <w:bCs/>
          <w:sz w:val="20"/>
          <w:szCs w:val="20"/>
        </w:rPr>
        <w:t>Introduction</w:t>
      </w:r>
    </w:p>
    <w:p w14:paraId="5B64EF84" w14:textId="27F6588A" w:rsidR="005C6810" w:rsidRPr="009A696E" w:rsidRDefault="00115B3B" w:rsidP="00C8245B">
      <w:pPr>
        <w:spacing w:before="240" w:line="240" w:lineRule="auto"/>
        <w:rPr>
          <w:rFonts w:eastAsia="Times New Roman" w:cs="Times New Roman"/>
          <w:sz w:val="20"/>
          <w:szCs w:val="20"/>
        </w:rPr>
      </w:pPr>
      <w:r w:rsidRPr="009A696E">
        <w:rPr>
          <w:rFonts w:eastAsia="Times New Roman" w:cs="Times New Roman"/>
          <w:sz w:val="20"/>
          <w:szCs w:val="20"/>
        </w:rPr>
        <w:t>F</w:t>
      </w:r>
      <w:r w:rsidR="00963CDA" w:rsidRPr="009A696E">
        <w:rPr>
          <w:rFonts w:eastAsia="Times New Roman" w:cs="Times New Roman"/>
          <w:sz w:val="20"/>
          <w:szCs w:val="20"/>
        </w:rPr>
        <w:t>inancial accounting</w:t>
      </w:r>
      <w:r w:rsidRPr="009A696E">
        <w:rPr>
          <w:rFonts w:eastAsia="Times New Roman" w:cs="Times New Roman"/>
          <w:sz w:val="20"/>
          <w:szCs w:val="20"/>
        </w:rPr>
        <w:t xml:space="preserve"> is one of the first accounting courses that freshmen take at college or university as they pursue their business degrees</w:t>
      </w:r>
      <w:r w:rsidR="00963CDA" w:rsidRPr="009A696E">
        <w:rPr>
          <w:rFonts w:eastAsia="Times New Roman" w:cs="Times New Roman"/>
          <w:sz w:val="20"/>
          <w:szCs w:val="20"/>
        </w:rPr>
        <w:t xml:space="preserve">. </w:t>
      </w:r>
      <w:r w:rsidR="00F9320E" w:rsidRPr="009A696E">
        <w:rPr>
          <w:rFonts w:eastAsia="Times New Roman" w:cs="Times New Roman"/>
          <w:sz w:val="20"/>
          <w:szCs w:val="20"/>
        </w:rPr>
        <w:t xml:space="preserve">In this course, </w:t>
      </w:r>
      <w:r w:rsidR="00217254" w:rsidRPr="009A696E">
        <w:rPr>
          <w:rFonts w:eastAsia="Times New Roman" w:cs="Times New Roman"/>
          <w:sz w:val="20"/>
          <w:szCs w:val="20"/>
        </w:rPr>
        <w:t>concepts are introduced to students to prepare them</w:t>
      </w:r>
      <w:r w:rsidR="00217254" w:rsidRPr="009A696E">
        <w:rPr>
          <w:rFonts w:cs="Times New Roman"/>
          <w:sz w:val="20"/>
          <w:szCs w:val="20"/>
        </w:rPr>
        <w:t xml:space="preserve"> for the </w:t>
      </w:r>
      <w:r w:rsidR="00810065" w:rsidRPr="009A696E">
        <w:rPr>
          <w:rFonts w:cs="Times New Roman"/>
          <w:sz w:val="20"/>
          <w:szCs w:val="20"/>
        </w:rPr>
        <w:t>responsibility</w:t>
      </w:r>
      <w:r w:rsidR="00217254" w:rsidRPr="009A696E">
        <w:rPr>
          <w:rFonts w:cs="Times New Roman"/>
          <w:sz w:val="20"/>
          <w:szCs w:val="20"/>
        </w:rPr>
        <w:t xml:space="preserve"> of future accountants and business professionals who will apply their skills and knowledge to manage financial information accurately and responsibly </w:t>
      </w:r>
      <w:r w:rsidR="00217254" w:rsidRPr="009A696E">
        <w:rPr>
          <w:rFonts w:eastAsia="Times New Roman" w:cs="Times New Roman"/>
          <w:sz w:val="20"/>
          <w:szCs w:val="20"/>
        </w:rPr>
        <w:t xml:space="preserve">(Papageorgiou &amp; Callaghan, 2020). </w:t>
      </w:r>
      <w:r w:rsidR="00ED247C" w:rsidRPr="009A696E">
        <w:rPr>
          <w:rFonts w:eastAsia="Times New Roman" w:cs="Times New Roman"/>
          <w:sz w:val="20"/>
          <w:szCs w:val="20"/>
        </w:rPr>
        <w:t>Th</w:t>
      </w:r>
      <w:r w:rsidR="00DB502D" w:rsidRPr="009A696E">
        <w:rPr>
          <w:rFonts w:eastAsia="Times New Roman" w:cs="Times New Roman"/>
          <w:sz w:val="20"/>
          <w:szCs w:val="20"/>
        </w:rPr>
        <w:t>e</w:t>
      </w:r>
      <w:r w:rsidR="00ED247C" w:rsidRPr="009A696E">
        <w:rPr>
          <w:rFonts w:eastAsia="Times New Roman" w:cs="Times New Roman"/>
          <w:sz w:val="20"/>
          <w:szCs w:val="20"/>
        </w:rPr>
        <w:t xml:space="preserve"> course </w:t>
      </w:r>
      <w:r w:rsidR="00963CDA" w:rsidRPr="009A696E">
        <w:rPr>
          <w:rFonts w:eastAsia="Times New Roman" w:cs="Times New Roman"/>
          <w:sz w:val="20"/>
          <w:szCs w:val="20"/>
        </w:rPr>
        <w:t xml:space="preserve">is designed to help students develop the skills of recording, organising, selecting, quantifying, assessing, summarising, and displaying financial information </w:t>
      </w:r>
      <w:r w:rsidR="00810065" w:rsidRPr="009A696E">
        <w:rPr>
          <w:rFonts w:eastAsia="Times New Roman" w:cs="Times New Roman"/>
          <w:sz w:val="20"/>
          <w:szCs w:val="20"/>
        </w:rPr>
        <w:t>to</w:t>
      </w:r>
      <w:r w:rsidR="00963CDA" w:rsidRPr="009A696E">
        <w:rPr>
          <w:rFonts w:eastAsia="Times New Roman" w:cs="Times New Roman"/>
          <w:sz w:val="20"/>
          <w:szCs w:val="20"/>
        </w:rPr>
        <w:t xml:space="preserve"> make informed decisions (Taiwo, 2022). The primary objective of teaching financial accounting is to equip students with the</w:t>
      </w:r>
      <w:r w:rsidR="00EF70F7" w:rsidRPr="009A696E">
        <w:rPr>
          <w:rFonts w:eastAsia="Times New Roman" w:cs="Times New Roman"/>
          <w:sz w:val="20"/>
          <w:szCs w:val="20"/>
        </w:rPr>
        <w:t>se</w:t>
      </w:r>
      <w:r w:rsidR="00963CDA" w:rsidRPr="009A696E">
        <w:rPr>
          <w:rFonts w:eastAsia="Times New Roman" w:cs="Times New Roman"/>
          <w:sz w:val="20"/>
          <w:szCs w:val="20"/>
        </w:rPr>
        <w:t xml:space="preserve"> technical and professional abilities necessary for carrying out financial duties in any business organi</w:t>
      </w:r>
      <w:r w:rsidR="0005362F" w:rsidRPr="009A696E">
        <w:rPr>
          <w:rFonts w:eastAsia="Times New Roman" w:cs="Times New Roman"/>
          <w:sz w:val="20"/>
          <w:szCs w:val="20"/>
        </w:rPr>
        <w:t>s</w:t>
      </w:r>
      <w:r w:rsidR="00963CDA" w:rsidRPr="009A696E">
        <w:rPr>
          <w:rFonts w:eastAsia="Times New Roman" w:cs="Times New Roman"/>
          <w:sz w:val="20"/>
          <w:szCs w:val="20"/>
        </w:rPr>
        <w:t>ation</w:t>
      </w:r>
      <w:r w:rsidR="0005362F" w:rsidRPr="009A696E">
        <w:rPr>
          <w:rFonts w:eastAsia="Times New Roman" w:cs="Times New Roman"/>
          <w:sz w:val="20"/>
          <w:szCs w:val="20"/>
        </w:rPr>
        <w:t>;</w:t>
      </w:r>
      <w:r w:rsidR="00CE7D16" w:rsidRPr="009A696E">
        <w:rPr>
          <w:rFonts w:eastAsia="Times New Roman" w:cs="Times New Roman"/>
          <w:sz w:val="20"/>
          <w:szCs w:val="20"/>
        </w:rPr>
        <w:t xml:space="preserve"> b</w:t>
      </w:r>
      <w:r w:rsidR="00963CDA" w:rsidRPr="009A696E">
        <w:rPr>
          <w:rFonts w:eastAsia="Times New Roman" w:cs="Times New Roman"/>
          <w:sz w:val="20"/>
          <w:szCs w:val="20"/>
        </w:rPr>
        <w:t>ecause financial information is a critical component of most company decisions</w:t>
      </w:r>
      <w:r w:rsidR="00CE7D16" w:rsidRPr="009A696E">
        <w:rPr>
          <w:rFonts w:eastAsia="Times New Roman" w:cs="Times New Roman"/>
          <w:sz w:val="20"/>
          <w:szCs w:val="20"/>
        </w:rPr>
        <w:t>.</w:t>
      </w:r>
      <w:r w:rsidR="00963CDA" w:rsidRPr="009A696E">
        <w:rPr>
          <w:rFonts w:eastAsia="Times New Roman" w:cs="Times New Roman"/>
          <w:sz w:val="20"/>
          <w:szCs w:val="20"/>
        </w:rPr>
        <w:t xml:space="preserve"> </w:t>
      </w:r>
    </w:p>
    <w:p w14:paraId="2F07F414" w14:textId="45448065" w:rsidR="00C56B86" w:rsidRPr="009A696E" w:rsidRDefault="005C6810" w:rsidP="00C8245B">
      <w:pPr>
        <w:spacing w:before="240" w:line="240" w:lineRule="auto"/>
        <w:rPr>
          <w:rFonts w:eastAsia="Times New Roman" w:cs="Times New Roman"/>
          <w:color w:val="000000"/>
          <w:sz w:val="20"/>
          <w:szCs w:val="20"/>
        </w:rPr>
      </w:pPr>
      <w:r w:rsidRPr="009A696E">
        <w:rPr>
          <w:rFonts w:eastAsia="Times New Roman" w:cs="Times New Roman"/>
          <w:color w:val="000000"/>
          <w:sz w:val="20"/>
          <w:szCs w:val="20"/>
        </w:rPr>
        <w:t>T</w:t>
      </w:r>
      <w:r w:rsidR="00CD004D" w:rsidRPr="009A696E">
        <w:rPr>
          <w:rFonts w:eastAsia="Times New Roman" w:cs="Times New Roman"/>
          <w:color w:val="000000"/>
          <w:sz w:val="20"/>
          <w:szCs w:val="20"/>
        </w:rPr>
        <w:t xml:space="preserve">he </w:t>
      </w:r>
      <w:r w:rsidR="00217254" w:rsidRPr="009A696E">
        <w:rPr>
          <w:rFonts w:eastAsia="Times New Roman" w:cs="Times New Roman"/>
          <w:color w:val="000000"/>
          <w:sz w:val="20"/>
          <w:szCs w:val="20"/>
        </w:rPr>
        <w:t xml:space="preserve">measure of the </w:t>
      </w:r>
      <w:r w:rsidR="00CD004D" w:rsidRPr="009A696E">
        <w:rPr>
          <w:rFonts w:eastAsia="Times New Roman" w:cs="Times New Roman"/>
          <w:color w:val="000000"/>
          <w:sz w:val="20"/>
          <w:szCs w:val="20"/>
        </w:rPr>
        <w:t xml:space="preserve">extent to which students develop </w:t>
      </w:r>
      <w:r w:rsidR="00297300" w:rsidRPr="009A696E">
        <w:rPr>
          <w:rFonts w:eastAsia="Times New Roman" w:cs="Times New Roman"/>
          <w:color w:val="000000"/>
          <w:sz w:val="20"/>
          <w:szCs w:val="20"/>
        </w:rPr>
        <w:t>financial accounting knowledge and</w:t>
      </w:r>
      <w:r w:rsidR="00CD004D" w:rsidRPr="009A696E">
        <w:rPr>
          <w:rFonts w:eastAsia="Times New Roman" w:cs="Times New Roman"/>
          <w:color w:val="000000"/>
          <w:sz w:val="20"/>
          <w:szCs w:val="20"/>
        </w:rPr>
        <w:t xml:space="preserve"> skills is </w:t>
      </w:r>
      <w:r w:rsidR="00217254" w:rsidRPr="009A696E">
        <w:rPr>
          <w:rFonts w:eastAsia="Times New Roman" w:cs="Times New Roman"/>
          <w:color w:val="000000"/>
          <w:sz w:val="20"/>
          <w:szCs w:val="20"/>
        </w:rPr>
        <w:t>determined</w:t>
      </w:r>
      <w:r w:rsidR="00CD004D" w:rsidRPr="009A696E">
        <w:rPr>
          <w:rFonts w:eastAsia="Times New Roman" w:cs="Times New Roman"/>
          <w:color w:val="000000"/>
          <w:sz w:val="20"/>
          <w:szCs w:val="20"/>
        </w:rPr>
        <w:t xml:space="preserve"> by the</w:t>
      </w:r>
      <w:r w:rsidR="0078504B" w:rsidRPr="009A696E">
        <w:rPr>
          <w:rFonts w:eastAsia="Times New Roman" w:cs="Times New Roman"/>
          <w:color w:val="000000"/>
          <w:sz w:val="20"/>
          <w:szCs w:val="20"/>
        </w:rPr>
        <w:t xml:space="preserve"> level of</w:t>
      </w:r>
      <w:r w:rsidR="00CD004D" w:rsidRPr="009A696E">
        <w:rPr>
          <w:rFonts w:eastAsia="Times New Roman" w:cs="Times New Roman"/>
          <w:color w:val="000000"/>
          <w:sz w:val="20"/>
          <w:szCs w:val="20"/>
        </w:rPr>
        <w:t xml:space="preserve"> </w:t>
      </w:r>
      <w:r w:rsidR="006816BC" w:rsidRPr="009A696E">
        <w:rPr>
          <w:rFonts w:eastAsia="Times New Roman" w:cs="Times New Roman"/>
          <w:color w:val="000000"/>
          <w:sz w:val="20"/>
          <w:szCs w:val="20"/>
        </w:rPr>
        <w:t>their</w:t>
      </w:r>
      <w:r w:rsidR="00217254" w:rsidRPr="009A696E">
        <w:rPr>
          <w:rFonts w:eastAsia="Times New Roman" w:cs="Times New Roman"/>
          <w:color w:val="000000"/>
          <w:sz w:val="20"/>
          <w:szCs w:val="20"/>
        </w:rPr>
        <w:t xml:space="preserve"> </w:t>
      </w:r>
      <w:r w:rsidR="00CD004D" w:rsidRPr="009A696E">
        <w:rPr>
          <w:rFonts w:eastAsia="Times New Roman" w:cs="Times New Roman"/>
          <w:color w:val="000000"/>
          <w:sz w:val="20"/>
          <w:szCs w:val="20"/>
        </w:rPr>
        <w:t xml:space="preserve">academic performance. </w:t>
      </w:r>
      <w:r w:rsidR="00645107" w:rsidRPr="009A696E">
        <w:rPr>
          <w:rFonts w:eastAsia="Times New Roman" w:cs="Times New Roman"/>
          <w:color w:val="000000"/>
          <w:sz w:val="20"/>
          <w:szCs w:val="20"/>
        </w:rPr>
        <w:t xml:space="preserve">According to Orim et al. (2023), </w:t>
      </w:r>
      <w:r w:rsidR="00774FCC" w:rsidRPr="009A696E">
        <w:rPr>
          <w:rFonts w:eastAsia="Times New Roman" w:cs="Times New Roman"/>
          <w:color w:val="000000"/>
          <w:sz w:val="20"/>
          <w:szCs w:val="20"/>
        </w:rPr>
        <w:t>academic performance</w:t>
      </w:r>
      <w:r w:rsidR="00645107" w:rsidRPr="009A696E">
        <w:rPr>
          <w:rFonts w:eastAsia="Times New Roman" w:cs="Times New Roman"/>
          <w:color w:val="000000"/>
          <w:sz w:val="20"/>
          <w:szCs w:val="20"/>
        </w:rPr>
        <w:t xml:space="preserve"> is the desired </w:t>
      </w:r>
      <w:r w:rsidR="00DB0FDC" w:rsidRPr="009A696E">
        <w:rPr>
          <w:rFonts w:eastAsia="Times New Roman" w:cs="Times New Roman"/>
          <w:color w:val="000000"/>
          <w:sz w:val="20"/>
          <w:szCs w:val="20"/>
        </w:rPr>
        <w:t>results</w:t>
      </w:r>
      <w:r w:rsidR="00645107" w:rsidRPr="009A696E">
        <w:rPr>
          <w:rFonts w:eastAsia="Times New Roman" w:cs="Times New Roman"/>
          <w:color w:val="000000"/>
          <w:sz w:val="20"/>
          <w:szCs w:val="20"/>
        </w:rPr>
        <w:t xml:space="preserve"> that students achieve</w:t>
      </w:r>
      <w:r w:rsidR="00E0332B" w:rsidRPr="009A696E">
        <w:rPr>
          <w:rFonts w:eastAsia="Times New Roman" w:cs="Times New Roman"/>
          <w:color w:val="000000"/>
          <w:sz w:val="20"/>
          <w:szCs w:val="20"/>
        </w:rPr>
        <w:t>:</w:t>
      </w:r>
      <w:r w:rsidR="00645107" w:rsidRPr="009A696E">
        <w:rPr>
          <w:rFonts w:eastAsia="Times New Roman" w:cs="Times New Roman"/>
          <w:color w:val="000000"/>
          <w:sz w:val="20"/>
          <w:szCs w:val="20"/>
        </w:rPr>
        <w:t xml:space="preserve"> referring to the degree of success learners acquire in their accounting </w:t>
      </w:r>
      <w:r w:rsidR="00F93B40" w:rsidRPr="009A696E">
        <w:rPr>
          <w:rFonts w:eastAsia="Times New Roman" w:cs="Times New Roman"/>
          <w:color w:val="000000"/>
          <w:sz w:val="20"/>
          <w:szCs w:val="20"/>
        </w:rPr>
        <w:t>studies</w:t>
      </w:r>
      <w:r w:rsidR="00645107" w:rsidRPr="009A696E">
        <w:rPr>
          <w:rFonts w:eastAsia="Times New Roman" w:cs="Times New Roman"/>
          <w:color w:val="000000"/>
          <w:sz w:val="20"/>
          <w:szCs w:val="20"/>
        </w:rPr>
        <w:t xml:space="preserve">. </w:t>
      </w:r>
      <w:r w:rsidR="00D26D48" w:rsidRPr="009A696E">
        <w:rPr>
          <w:rFonts w:eastAsia="Times New Roman" w:cs="Times New Roman"/>
          <w:color w:val="000000"/>
          <w:sz w:val="20"/>
          <w:szCs w:val="20"/>
        </w:rPr>
        <w:t>It</w:t>
      </w:r>
      <w:r w:rsidR="00CD004D" w:rsidRPr="009A696E">
        <w:rPr>
          <w:rFonts w:eastAsia="Times New Roman" w:cs="Times New Roman"/>
          <w:color w:val="000000"/>
          <w:sz w:val="20"/>
          <w:szCs w:val="20"/>
        </w:rPr>
        <w:t xml:space="preserve"> </w:t>
      </w:r>
      <w:r w:rsidR="00C56B86" w:rsidRPr="009A696E">
        <w:rPr>
          <w:rFonts w:eastAsia="Times New Roman" w:cs="Times New Roman"/>
          <w:color w:val="000000"/>
          <w:sz w:val="20"/>
          <w:szCs w:val="20"/>
        </w:rPr>
        <w:t xml:space="preserve">gauges how successfully a student, teacher, or institution has </w:t>
      </w:r>
      <w:r w:rsidR="00C1374C" w:rsidRPr="009A696E">
        <w:rPr>
          <w:rFonts w:eastAsia="Times New Roman" w:cs="Times New Roman"/>
          <w:color w:val="000000"/>
          <w:sz w:val="20"/>
          <w:szCs w:val="20"/>
        </w:rPr>
        <w:t>been in the course of achieving</w:t>
      </w:r>
      <w:r w:rsidR="00C56B86" w:rsidRPr="009A696E">
        <w:rPr>
          <w:rFonts w:eastAsia="Times New Roman" w:cs="Times New Roman"/>
          <w:color w:val="000000"/>
          <w:sz w:val="20"/>
          <w:szCs w:val="20"/>
        </w:rPr>
        <w:t xml:space="preserve"> the</w:t>
      </w:r>
      <w:r w:rsidR="00C1374C" w:rsidRPr="009A696E">
        <w:rPr>
          <w:rFonts w:eastAsia="Times New Roman" w:cs="Times New Roman"/>
          <w:color w:val="000000"/>
          <w:sz w:val="20"/>
          <w:szCs w:val="20"/>
        </w:rPr>
        <w:t xml:space="preserve"> set</w:t>
      </w:r>
      <w:r w:rsidR="00C56B86" w:rsidRPr="009A696E">
        <w:rPr>
          <w:rFonts w:eastAsia="Times New Roman" w:cs="Times New Roman"/>
          <w:color w:val="000000"/>
          <w:sz w:val="20"/>
          <w:szCs w:val="20"/>
        </w:rPr>
        <w:t xml:space="preserve"> learning goals. Generally, it is taken as the expected end result of </w:t>
      </w:r>
      <w:r w:rsidR="00CD004D" w:rsidRPr="009A696E">
        <w:rPr>
          <w:rFonts w:eastAsia="Times New Roman" w:cs="Times New Roman"/>
          <w:color w:val="000000"/>
          <w:sz w:val="20"/>
          <w:szCs w:val="20"/>
        </w:rPr>
        <w:t xml:space="preserve">financial accounting </w:t>
      </w:r>
      <w:r w:rsidR="00B6580E" w:rsidRPr="009A696E">
        <w:rPr>
          <w:rFonts w:eastAsia="Times New Roman" w:cs="Times New Roman"/>
          <w:color w:val="000000"/>
          <w:sz w:val="20"/>
          <w:szCs w:val="20"/>
        </w:rPr>
        <w:t>lessons</w:t>
      </w:r>
      <w:r w:rsidR="00C56B86" w:rsidRPr="009A696E">
        <w:rPr>
          <w:rFonts w:eastAsia="Times New Roman" w:cs="Times New Roman"/>
          <w:color w:val="000000"/>
          <w:sz w:val="20"/>
          <w:szCs w:val="20"/>
        </w:rPr>
        <w:t xml:space="preserve"> </w:t>
      </w:r>
      <w:r w:rsidR="0078504B" w:rsidRPr="009A696E">
        <w:rPr>
          <w:rFonts w:eastAsia="Times New Roman" w:cs="Times New Roman"/>
          <w:color w:val="000000"/>
          <w:sz w:val="20"/>
          <w:szCs w:val="20"/>
        </w:rPr>
        <w:t>(Owoeye et al., 2022).</w:t>
      </w:r>
      <w:r w:rsidR="00C56B86" w:rsidRPr="009A696E">
        <w:rPr>
          <w:rFonts w:eastAsia="Times New Roman" w:cs="Times New Roman"/>
          <w:color w:val="000000"/>
          <w:sz w:val="20"/>
          <w:szCs w:val="20"/>
        </w:rPr>
        <w:t xml:space="preserve"> </w:t>
      </w:r>
      <w:r w:rsidR="00486095" w:rsidRPr="009A696E">
        <w:rPr>
          <w:rFonts w:eastAsia="Times New Roman" w:cs="Times New Roman"/>
          <w:color w:val="000000"/>
          <w:sz w:val="20"/>
          <w:szCs w:val="20"/>
        </w:rPr>
        <w:t>It</w:t>
      </w:r>
      <w:r w:rsidR="00C56B86" w:rsidRPr="009A696E">
        <w:rPr>
          <w:rFonts w:eastAsia="Times New Roman" w:cs="Times New Roman"/>
          <w:color w:val="000000"/>
          <w:sz w:val="20"/>
          <w:szCs w:val="20"/>
        </w:rPr>
        <w:t xml:space="preserve"> is typically assessed through assignments, exercises, and continual evaluation in the classroom, in addition to internal and external exam</w:t>
      </w:r>
      <w:r w:rsidR="00C91F7C" w:rsidRPr="009A696E">
        <w:rPr>
          <w:rFonts w:eastAsia="Times New Roman" w:cs="Times New Roman"/>
          <w:color w:val="000000"/>
          <w:sz w:val="20"/>
          <w:szCs w:val="20"/>
        </w:rPr>
        <w:t>ination</w:t>
      </w:r>
      <w:r w:rsidR="00C56B86" w:rsidRPr="009A696E">
        <w:rPr>
          <w:rFonts w:eastAsia="Times New Roman" w:cs="Times New Roman"/>
          <w:color w:val="000000"/>
          <w:sz w:val="20"/>
          <w:szCs w:val="20"/>
        </w:rPr>
        <w:t>s (Ile &amp; Nkiruka, 2020).</w:t>
      </w:r>
      <w:r w:rsidR="00C56B86" w:rsidRPr="009A696E">
        <w:rPr>
          <w:rFonts w:eastAsia="Times New Roman" w:cs="Times New Roman"/>
          <w:color w:val="FF0000"/>
          <w:sz w:val="20"/>
          <w:szCs w:val="20"/>
        </w:rPr>
        <w:t xml:space="preserve"> </w:t>
      </w:r>
      <w:r w:rsidR="00C56B86" w:rsidRPr="009A696E">
        <w:rPr>
          <w:rFonts w:eastAsia="Times New Roman" w:cs="Times New Roman"/>
          <w:color w:val="000000"/>
          <w:sz w:val="20"/>
          <w:szCs w:val="20"/>
        </w:rPr>
        <w:t xml:space="preserve">Since performance in </w:t>
      </w:r>
      <w:r w:rsidR="008A16F2" w:rsidRPr="009A696E">
        <w:rPr>
          <w:rFonts w:eastAsia="Times New Roman" w:cs="Times New Roman"/>
          <w:color w:val="000000"/>
          <w:sz w:val="20"/>
          <w:szCs w:val="20"/>
        </w:rPr>
        <w:t xml:space="preserve">financial accounting </w:t>
      </w:r>
      <w:r w:rsidR="00C56B86" w:rsidRPr="009A696E">
        <w:rPr>
          <w:rFonts w:eastAsia="Times New Roman" w:cs="Times New Roman"/>
          <w:color w:val="000000"/>
          <w:sz w:val="20"/>
          <w:szCs w:val="20"/>
        </w:rPr>
        <w:t xml:space="preserve">is a measure of how well students satisfy the academic standards set by </w:t>
      </w:r>
      <w:r w:rsidR="008A16F2" w:rsidRPr="009A696E">
        <w:rPr>
          <w:rFonts w:eastAsia="Times New Roman" w:cs="Times New Roman"/>
          <w:color w:val="000000"/>
          <w:sz w:val="20"/>
          <w:szCs w:val="20"/>
        </w:rPr>
        <w:t xml:space="preserve">lecturers or </w:t>
      </w:r>
      <w:r w:rsidR="00C56B86" w:rsidRPr="009A696E">
        <w:rPr>
          <w:rFonts w:eastAsia="Times New Roman" w:cs="Times New Roman"/>
          <w:color w:val="000000"/>
          <w:sz w:val="20"/>
          <w:szCs w:val="20"/>
        </w:rPr>
        <w:t>any tertiary institution, it influences students' current and future lives (AlAbyadh &amp; Azeem, 2022) and demonstrates their fundamental productivity and capability (Hanushek, 2021; Sothan, 2019).</w:t>
      </w:r>
      <w:r w:rsidRPr="009A696E">
        <w:rPr>
          <w:rFonts w:eastAsia="Times New Roman" w:cs="Times New Roman"/>
          <w:color w:val="000000"/>
          <w:sz w:val="20"/>
          <w:szCs w:val="20"/>
        </w:rPr>
        <w:t xml:space="preserve"> </w:t>
      </w:r>
    </w:p>
    <w:p w14:paraId="4874F8E9" w14:textId="37C2E7DA" w:rsidR="009F61F0" w:rsidRPr="009A696E" w:rsidRDefault="00963CDA" w:rsidP="00C8245B">
      <w:pPr>
        <w:spacing w:before="240" w:line="240" w:lineRule="auto"/>
        <w:rPr>
          <w:rFonts w:eastAsia="Times New Roman" w:cs="Times New Roman"/>
          <w:color w:val="000000"/>
          <w:sz w:val="20"/>
          <w:szCs w:val="20"/>
        </w:rPr>
      </w:pPr>
      <w:r w:rsidRPr="009A696E">
        <w:rPr>
          <w:rFonts w:eastAsia="Times New Roman" w:cs="Times New Roman"/>
          <w:color w:val="000000"/>
          <w:sz w:val="20"/>
          <w:szCs w:val="20"/>
        </w:rPr>
        <w:t xml:space="preserve">Academic performance </w:t>
      </w:r>
      <w:r w:rsidR="00CE7D16" w:rsidRPr="009A696E">
        <w:rPr>
          <w:rFonts w:eastAsia="Times New Roman" w:cs="Times New Roman"/>
          <w:color w:val="000000"/>
          <w:sz w:val="20"/>
          <w:szCs w:val="20"/>
        </w:rPr>
        <w:t xml:space="preserve">in financial accounting </w:t>
      </w:r>
      <w:r w:rsidRPr="009A696E">
        <w:rPr>
          <w:rFonts w:eastAsia="Times New Roman" w:cs="Times New Roman"/>
          <w:color w:val="000000"/>
          <w:sz w:val="20"/>
          <w:szCs w:val="20"/>
        </w:rPr>
        <w:t>has always been a major concern for universities and colleges</w:t>
      </w:r>
      <w:r w:rsidR="009F61F0" w:rsidRPr="009A696E">
        <w:rPr>
          <w:rFonts w:eastAsia="Times New Roman" w:cs="Times New Roman"/>
          <w:color w:val="000000"/>
          <w:sz w:val="20"/>
          <w:szCs w:val="20"/>
        </w:rPr>
        <w:t xml:space="preserve">. </w:t>
      </w:r>
      <w:r w:rsidR="005217E7" w:rsidRPr="009A696E">
        <w:rPr>
          <w:rFonts w:eastAsia="Times New Roman" w:cs="Times New Roman"/>
          <w:color w:val="000000"/>
          <w:sz w:val="20"/>
          <w:szCs w:val="20"/>
        </w:rPr>
        <w:t>It</w:t>
      </w:r>
      <w:r w:rsidR="00AB4CD7" w:rsidRPr="009A696E">
        <w:rPr>
          <w:rFonts w:eastAsia="Times New Roman" w:cs="Times New Roman"/>
          <w:color w:val="000000"/>
          <w:sz w:val="20"/>
          <w:szCs w:val="20"/>
        </w:rPr>
        <w:t xml:space="preserve"> is not an exception to the general poor performance of tertiary students studying accounting as a </w:t>
      </w:r>
      <w:r w:rsidR="00581B03" w:rsidRPr="009A696E">
        <w:rPr>
          <w:rFonts w:eastAsia="Times New Roman" w:cs="Times New Roman"/>
          <w:color w:val="000000"/>
          <w:sz w:val="20"/>
          <w:szCs w:val="20"/>
        </w:rPr>
        <w:t xml:space="preserve">major or minor </w:t>
      </w:r>
      <w:r w:rsidR="00AB4CD7" w:rsidRPr="009A696E">
        <w:rPr>
          <w:rFonts w:eastAsia="Times New Roman" w:cs="Times New Roman"/>
          <w:color w:val="000000"/>
          <w:sz w:val="20"/>
          <w:szCs w:val="20"/>
        </w:rPr>
        <w:t>course in tertiary schools over the years</w:t>
      </w:r>
      <w:r w:rsidR="002044F0" w:rsidRPr="009A696E">
        <w:rPr>
          <w:rFonts w:eastAsia="Times New Roman" w:cs="Times New Roman"/>
          <w:color w:val="000000"/>
          <w:sz w:val="20"/>
          <w:szCs w:val="20"/>
        </w:rPr>
        <w:t xml:space="preserve"> </w:t>
      </w:r>
      <w:r w:rsidR="00AB4CD7" w:rsidRPr="009A696E">
        <w:rPr>
          <w:rFonts w:eastAsia="Times New Roman" w:cs="Times New Roman"/>
          <w:color w:val="000000"/>
          <w:sz w:val="20"/>
          <w:szCs w:val="20"/>
        </w:rPr>
        <w:t>(Ahinful et al., 2019).</w:t>
      </w:r>
      <w:r w:rsidR="001F689A" w:rsidRPr="009A696E">
        <w:rPr>
          <w:rFonts w:eastAsia="Times New Roman" w:cs="Times New Roman"/>
          <w:color w:val="000000"/>
          <w:sz w:val="20"/>
          <w:szCs w:val="20"/>
        </w:rPr>
        <w:t xml:space="preserve"> </w:t>
      </w:r>
      <w:r w:rsidR="00BF0119" w:rsidRPr="009A696E">
        <w:rPr>
          <w:rFonts w:eastAsia="Times New Roman" w:cs="Times New Roman"/>
          <w:color w:val="000000"/>
          <w:sz w:val="20"/>
          <w:szCs w:val="20"/>
        </w:rPr>
        <w:t>In Ghana, t</w:t>
      </w:r>
      <w:r w:rsidR="001F689A" w:rsidRPr="009A696E">
        <w:rPr>
          <w:rFonts w:eastAsia="Times New Roman" w:cs="Times New Roman"/>
          <w:color w:val="000000"/>
          <w:sz w:val="20"/>
          <w:szCs w:val="20"/>
        </w:rPr>
        <w:t xml:space="preserve">he chief examiner at the Institute of Chartered Accountants has voiced a similar concern, stating that students' overall performance in the majority of financial accounting papers was much below average (Institute of Chartered Accountants, Ghana (ICAG) Examiner's Report, 2019, 2022). </w:t>
      </w:r>
      <w:r w:rsidR="002044F0" w:rsidRPr="009A696E">
        <w:rPr>
          <w:rFonts w:eastAsia="Times New Roman" w:cs="Times New Roman"/>
          <w:color w:val="000000"/>
          <w:sz w:val="20"/>
          <w:szCs w:val="20"/>
        </w:rPr>
        <w:t>According to the report, t</w:t>
      </w:r>
      <w:r w:rsidR="001F689A" w:rsidRPr="009A696E">
        <w:rPr>
          <w:rFonts w:eastAsia="Times New Roman" w:cs="Times New Roman"/>
          <w:color w:val="000000"/>
          <w:sz w:val="20"/>
          <w:szCs w:val="20"/>
        </w:rPr>
        <w:t xml:space="preserve">he cause of this lower performance was poor preparation </w:t>
      </w:r>
      <w:r w:rsidR="007F13DA" w:rsidRPr="009A696E">
        <w:rPr>
          <w:rFonts w:eastAsia="Times New Roman" w:cs="Times New Roman"/>
          <w:color w:val="000000"/>
          <w:sz w:val="20"/>
          <w:szCs w:val="20"/>
        </w:rPr>
        <w:t>on the part of students that results</w:t>
      </w:r>
      <w:r w:rsidR="001F689A" w:rsidRPr="009A696E">
        <w:rPr>
          <w:rFonts w:eastAsia="Times New Roman" w:cs="Times New Roman"/>
          <w:color w:val="000000"/>
          <w:sz w:val="20"/>
          <w:szCs w:val="20"/>
        </w:rPr>
        <w:t xml:space="preserve"> from </w:t>
      </w:r>
      <w:r w:rsidR="003E4DFD" w:rsidRPr="009A696E">
        <w:rPr>
          <w:rFonts w:eastAsia="Times New Roman" w:cs="Times New Roman"/>
          <w:sz w:val="20"/>
          <w:szCs w:val="20"/>
        </w:rPr>
        <w:t>poor instructions</w:t>
      </w:r>
      <w:r w:rsidR="007F13DA" w:rsidRPr="009A696E">
        <w:rPr>
          <w:rFonts w:eastAsia="Times New Roman" w:cs="Times New Roman"/>
          <w:sz w:val="20"/>
          <w:szCs w:val="20"/>
        </w:rPr>
        <w:t xml:space="preserve"> they receive from lecturers</w:t>
      </w:r>
      <w:r w:rsidR="001F689A" w:rsidRPr="009A696E">
        <w:rPr>
          <w:rFonts w:eastAsia="Times New Roman" w:cs="Times New Roman"/>
          <w:sz w:val="20"/>
          <w:szCs w:val="20"/>
        </w:rPr>
        <w:t xml:space="preserve">. </w:t>
      </w:r>
      <w:r w:rsidR="00BF0119" w:rsidRPr="009A696E">
        <w:rPr>
          <w:rFonts w:eastAsia="Times New Roman" w:cs="Times New Roman"/>
          <w:sz w:val="20"/>
          <w:szCs w:val="20"/>
        </w:rPr>
        <w:t>Therefore, t</w:t>
      </w:r>
      <w:r w:rsidR="00A656FD" w:rsidRPr="009A696E">
        <w:rPr>
          <w:rFonts w:eastAsia="Times New Roman" w:cs="Times New Roman"/>
          <w:sz w:val="20"/>
          <w:szCs w:val="20"/>
        </w:rPr>
        <w:t>here is the need for lecturers to ensure students are better preferred for whatever accounting task ahead of them.</w:t>
      </w:r>
    </w:p>
    <w:p w14:paraId="40749FBA" w14:textId="5726B1C4" w:rsidR="00B24C4E" w:rsidRPr="009A696E" w:rsidRDefault="002D7E0F" w:rsidP="002D7E0F">
      <w:pPr>
        <w:spacing w:before="240" w:line="240" w:lineRule="auto"/>
        <w:rPr>
          <w:rFonts w:eastAsia="Times New Roman" w:cs="Times New Roman"/>
          <w:color w:val="000000"/>
          <w:sz w:val="20"/>
          <w:szCs w:val="20"/>
        </w:rPr>
      </w:pPr>
      <w:r w:rsidRPr="009A696E">
        <w:rPr>
          <w:rFonts w:eastAsia="Times New Roman" w:cs="Times New Roman"/>
          <w:color w:val="000000"/>
          <w:sz w:val="20"/>
          <w:szCs w:val="20"/>
        </w:rPr>
        <w:t xml:space="preserve">The teaching of financial accounting is a labour-intensive task that demands substantial energy and time from lecturers. This complexity is further amplified by the rapid evolution of internationally recognized accounting standards and </w:t>
      </w:r>
      <w:r w:rsidRPr="009A696E">
        <w:rPr>
          <w:rFonts w:eastAsia="Times New Roman" w:cs="Times New Roman"/>
          <w:color w:val="000000"/>
          <w:sz w:val="20"/>
          <w:szCs w:val="20"/>
        </w:rPr>
        <w:lastRenderedPageBreak/>
        <w:t>legal regulations, which require instructors to frequently update course content, teaching materials, and delivery strategies (Sangster</w:t>
      </w:r>
      <w:r w:rsidR="00FC18EA" w:rsidRPr="009A696E">
        <w:rPr>
          <w:rFonts w:eastAsia="Times New Roman" w:cs="Times New Roman"/>
          <w:color w:val="000000"/>
          <w:sz w:val="20"/>
          <w:szCs w:val="20"/>
        </w:rPr>
        <w:t xml:space="preserve"> et al.</w:t>
      </w:r>
      <w:r w:rsidRPr="009A696E">
        <w:rPr>
          <w:rFonts w:eastAsia="Times New Roman" w:cs="Times New Roman"/>
          <w:color w:val="000000"/>
          <w:sz w:val="20"/>
          <w:szCs w:val="20"/>
        </w:rPr>
        <w:t xml:space="preserve">, 2020). These ongoing changes pose a significant challenge: lecturers </w:t>
      </w:r>
      <w:r w:rsidR="00DD514A" w:rsidRPr="009A696E">
        <w:rPr>
          <w:rFonts w:eastAsia="Times New Roman" w:cs="Times New Roman"/>
          <w:color w:val="000000"/>
          <w:sz w:val="20"/>
          <w:szCs w:val="20"/>
        </w:rPr>
        <w:t>should</w:t>
      </w:r>
      <w:r w:rsidRPr="009A696E">
        <w:rPr>
          <w:rFonts w:eastAsia="Times New Roman" w:cs="Times New Roman"/>
          <w:color w:val="000000"/>
          <w:sz w:val="20"/>
          <w:szCs w:val="20"/>
        </w:rPr>
        <w:t xml:space="preserve"> not only stay current with evolving standards but also effectively translate this knowledge into clear, relevant, and engaging instruction for students.</w:t>
      </w:r>
      <w:r w:rsidR="00B24C4E" w:rsidRPr="009A696E">
        <w:rPr>
          <w:rFonts w:eastAsia="Times New Roman" w:cs="Times New Roman"/>
          <w:color w:val="000000"/>
          <w:sz w:val="20"/>
          <w:szCs w:val="20"/>
        </w:rPr>
        <w:t xml:space="preserve"> </w:t>
      </w:r>
      <w:r w:rsidRPr="009A696E">
        <w:rPr>
          <w:rFonts w:eastAsia="Times New Roman" w:cs="Times New Roman"/>
          <w:color w:val="000000"/>
          <w:sz w:val="20"/>
          <w:szCs w:val="20"/>
        </w:rPr>
        <w:t xml:space="preserve">Given this dynamic environment, ensuring high-quality accounting teaching becomes crucial. </w:t>
      </w:r>
    </w:p>
    <w:p w14:paraId="6A9D0858" w14:textId="3C1AC1EA" w:rsidR="00723AC6" w:rsidRPr="009A696E" w:rsidRDefault="0091438F" w:rsidP="002D7E0F">
      <w:pPr>
        <w:spacing w:before="240" w:line="240" w:lineRule="auto"/>
        <w:rPr>
          <w:rFonts w:eastAsia="Times New Roman" w:cs="Times New Roman"/>
          <w:color w:val="000000"/>
          <w:sz w:val="20"/>
          <w:szCs w:val="20"/>
        </w:rPr>
      </w:pPr>
      <w:r w:rsidRPr="009A696E">
        <w:rPr>
          <w:rFonts w:eastAsia="Times New Roman" w:cs="Times New Roman"/>
          <w:color w:val="000000"/>
          <w:sz w:val="20"/>
          <w:szCs w:val="20"/>
        </w:rPr>
        <w:t xml:space="preserve">Accounting teaching quality goes beyond mere content delivery and involves fostering an engaging, well-structured, and practice-oriented learning experience that meets student needs and enhances learning outcomes. </w:t>
      </w:r>
      <w:r w:rsidR="00040298" w:rsidRPr="009A696E">
        <w:rPr>
          <w:rFonts w:eastAsia="Times New Roman" w:cs="Times New Roman"/>
          <w:color w:val="000000"/>
          <w:sz w:val="20"/>
          <w:szCs w:val="20"/>
        </w:rPr>
        <w:t xml:space="preserve">To understand these aspects, </w:t>
      </w:r>
      <w:r w:rsidR="00315C8E" w:rsidRPr="009A696E">
        <w:rPr>
          <w:rFonts w:eastAsia="Times New Roman" w:cs="Times New Roman"/>
          <w:color w:val="000000"/>
          <w:sz w:val="20"/>
          <w:szCs w:val="20"/>
        </w:rPr>
        <w:t xml:space="preserve">accounting </w:t>
      </w:r>
      <w:r w:rsidR="00040298" w:rsidRPr="009A696E">
        <w:rPr>
          <w:rFonts w:eastAsia="Times New Roman" w:cs="Times New Roman"/>
          <w:color w:val="000000"/>
          <w:sz w:val="20"/>
          <w:szCs w:val="20"/>
        </w:rPr>
        <w:t xml:space="preserve">teaching quality should be thoroughly broken down into its various components and each </w:t>
      </w:r>
      <w:r w:rsidR="00167060" w:rsidRPr="009A696E">
        <w:rPr>
          <w:rFonts w:eastAsia="Times New Roman" w:cs="Times New Roman"/>
          <w:color w:val="000000"/>
          <w:sz w:val="20"/>
          <w:szCs w:val="20"/>
        </w:rPr>
        <w:t>component</w:t>
      </w:r>
      <w:r w:rsidR="00040298" w:rsidRPr="009A696E">
        <w:rPr>
          <w:rFonts w:eastAsia="Times New Roman" w:cs="Times New Roman"/>
          <w:color w:val="000000"/>
          <w:sz w:val="20"/>
          <w:szCs w:val="20"/>
        </w:rPr>
        <w:t xml:space="preserve"> studied as a potential factor influencing student performance</w:t>
      </w:r>
      <w:r w:rsidR="00167060" w:rsidRPr="009A696E">
        <w:rPr>
          <w:rFonts w:eastAsia="Times New Roman" w:cs="Times New Roman"/>
          <w:color w:val="000000"/>
          <w:sz w:val="20"/>
          <w:szCs w:val="20"/>
        </w:rPr>
        <w:t xml:space="preserve"> (Guney, 2009)</w:t>
      </w:r>
      <w:r w:rsidR="00040298" w:rsidRPr="009A696E">
        <w:rPr>
          <w:rFonts w:eastAsia="Times New Roman" w:cs="Times New Roman"/>
          <w:color w:val="000000"/>
          <w:sz w:val="20"/>
          <w:szCs w:val="20"/>
        </w:rPr>
        <w:t xml:space="preserve">. </w:t>
      </w:r>
      <w:r w:rsidR="00723AC6" w:rsidRPr="009A696E">
        <w:rPr>
          <w:rFonts w:eastAsia="Times New Roman" w:cs="Times New Roman"/>
          <w:color w:val="000000"/>
          <w:sz w:val="20"/>
          <w:szCs w:val="20"/>
        </w:rPr>
        <w:t>According to Wygal et al. (2014), the key determinants of teaching quality</w:t>
      </w:r>
      <w:r w:rsidR="007F6BB4" w:rsidRPr="009A696E">
        <w:rPr>
          <w:rFonts w:eastAsia="Times New Roman" w:cs="Times New Roman"/>
          <w:color w:val="000000"/>
          <w:sz w:val="20"/>
          <w:szCs w:val="20"/>
        </w:rPr>
        <w:t xml:space="preserve"> in accounting</w:t>
      </w:r>
      <w:r w:rsidR="00723AC6" w:rsidRPr="009A696E">
        <w:rPr>
          <w:rFonts w:eastAsia="Times New Roman" w:cs="Times New Roman"/>
          <w:color w:val="000000"/>
          <w:sz w:val="20"/>
          <w:szCs w:val="20"/>
        </w:rPr>
        <w:t xml:space="preserve">, ranked by perceived importance, are: a focus on students, dedication to the teaching profession, thorough preparation and organization, the ability to connect course content to real-world practice, and the skills and attributes of the instructor. </w:t>
      </w:r>
      <w:r w:rsidR="00167060" w:rsidRPr="009A696E">
        <w:rPr>
          <w:rFonts w:eastAsia="Times New Roman" w:cs="Times New Roman"/>
          <w:color w:val="000000"/>
          <w:sz w:val="20"/>
          <w:szCs w:val="20"/>
        </w:rPr>
        <w:t xml:space="preserve">Students believe that </w:t>
      </w:r>
      <w:r w:rsidR="00723AC6" w:rsidRPr="009A696E">
        <w:rPr>
          <w:rFonts w:eastAsia="Times New Roman" w:cs="Times New Roman"/>
          <w:color w:val="000000"/>
          <w:sz w:val="20"/>
          <w:szCs w:val="20"/>
        </w:rPr>
        <w:t xml:space="preserve">the quality of accounting </w:t>
      </w:r>
      <w:r w:rsidRPr="009A696E">
        <w:rPr>
          <w:rFonts w:eastAsia="Times New Roman" w:cs="Times New Roman"/>
          <w:color w:val="000000"/>
          <w:sz w:val="20"/>
          <w:szCs w:val="20"/>
        </w:rPr>
        <w:t xml:space="preserve">instruction depends on </w:t>
      </w:r>
      <w:r w:rsidR="00723AC6" w:rsidRPr="009A696E">
        <w:rPr>
          <w:rFonts w:eastAsia="Times New Roman" w:cs="Times New Roman"/>
          <w:color w:val="000000"/>
          <w:sz w:val="20"/>
          <w:szCs w:val="20"/>
        </w:rPr>
        <w:t>aspects of reliability, care, safety, empathy, and tangibility (Borges</w:t>
      </w:r>
      <w:r w:rsidR="00904907" w:rsidRPr="009A696E">
        <w:rPr>
          <w:rFonts w:eastAsia="Times New Roman" w:cs="Times New Roman"/>
          <w:color w:val="000000"/>
          <w:sz w:val="20"/>
          <w:szCs w:val="20"/>
        </w:rPr>
        <w:t xml:space="preserve"> et al.</w:t>
      </w:r>
      <w:r w:rsidR="00723AC6" w:rsidRPr="009A696E">
        <w:rPr>
          <w:rFonts w:eastAsia="Times New Roman" w:cs="Times New Roman"/>
          <w:color w:val="000000"/>
          <w:sz w:val="20"/>
          <w:szCs w:val="20"/>
        </w:rPr>
        <w:t xml:space="preserve">, 2014). </w:t>
      </w:r>
      <w:r w:rsidR="00DF16FD" w:rsidRPr="009A696E">
        <w:rPr>
          <w:rFonts w:eastAsia="Times New Roman" w:cs="Times New Roman"/>
          <w:color w:val="000000"/>
          <w:sz w:val="20"/>
          <w:szCs w:val="20"/>
        </w:rPr>
        <w:t xml:space="preserve">Wygal and Stout (2015) identified key characteristics of teaching effectiveness in accounting through evidence gathered from </w:t>
      </w:r>
      <w:r w:rsidRPr="009A696E">
        <w:rPr>
          <w:rFonts w:eastAsia="Times New Roman" w:cs="Times New Roman"/>
          <w:color w:val="000000"/>
          <w:sz w:val="20"/>
          <w:szCs w:val="20"/>
        </w:rPr>
        <w:t xml:space="preserve">105 </w:t>
      </w:r>
      <w:r w:rsidR="00DF16FD" w:rsidRPr="009A696E">
        <w:rPr>
          <w:rFonts w:eastAsia="Times New Roman" w:cs="Times New Roman"/>
          <w:color w:val="000000"/>
          <w:sz w:val="20"/>
          <w:szCs w:val="20"/>
        </w:rPr>
        <w:t>award-winning educators in the United States</w:t>
      </w:r>
      <w:r w:rsidRPr="009A696E">
        <w:rPr>
          <w:rFonts w:eastAsia="Times New Roman" w:cs="Times New Roman"/>
          <w:color w:val="000000"/>
          <w:sz w:val="20"/>
          <w:szCs w:val="20"/>
        </w:rPr>
        <w:t xml:space="preserve"> who were </w:t>
      </w:r>
      <w:r w:rsidR="00DF16FD" w:rsidRPr="009A696E">
        <w:rPr>
          <w:rFonts w:eastAsia="Times New Roman" w:cs="Times New Roman"/>
          <w:color w:val="000000"/>
          <w:sz w:val="20"/>
          <w:szCs w:val="20"/>
        </w:rPr>
        <w:t>asked to list, in ranked order, the factors they believed contributed to their effectiveness as teachers</w:t>
      </w:r>
      <w:r w:rsidR="00721AD8" w:rsidRPr="009A696E">
        <w:rPr>
          <w:rFonts w:eastAsia="Times New Roman" w:cs="Times New Roman"/>
          <w:color w:val="000000"/>
          <w:sz w:val="20"/>
          <w:szCs w:val="20"/>
        </w:rPr>
        <w:t xml:space="preserve">; </w:t>
      </w:r>
      <w:r w:rsidRPr="009A696E">
        <w:rPr>
          <w:rFonts w:eastAsia="Times New Roman" w:cs="Times New Roman"/>
          <w:color w:val="000000"/>
          <w:sz w:val="20"/>
          <w:szCs w:val="20"/>
        </w:rPr>
        <w:t xml:space="preserve">the survey revealed that the major characteristics that contributes effective accounting class are: </w:t>
      </w:r>
      <w:r w:rsidR="00DF16FD" w:rsidRPr="009A696E">
        <w:rPr>
          <w:rFonts w:eastAsia="Times New Roman" w:cs="Times New Roman"/>
          <w:color w:val="000000"/>
          <w:sz w:val="20"/>
          <w:szCs w:val="20"/>
        </w:rPr>
        <w:t>creating a productive class session learning environment, maintaining a strong student focus, thorough preparation and organization, connecting course material to real-world practice, demonstrating passion and commitment to teaching, and designing an effective course learning environment.</w:t>
      </w:r>
      <w:r w:rsidRPr="009A696E">
        <w:rPr>
          <w:rFonts w:eastAsia="Times New Roman" w:cs="Times New Roman"/>
          <w:color w:val="000000"/>
          <w:sz w:val="20"/>
          <w:szCs w:val="20"/>
        </w:rPr>
        <w:t xml:space="preserve"> </w:t>
      </w:r>
      <w:r w:rsidR="00C10AF1" w:rsidRPr="009A696E">
        <w:rPr>
          <w:rFonts w:eastAsia="Times New Roman" w:cs="Times New Roman"/>
          <w:color w:val="000000"/>
          <w:sz w:val="20"/>
          <w:szCs w:val="20"/>
        </w:rPr>
        <w:t xml:space="preserve">Given that different studies report different aspects of accounting teaching quality, </w:t>
      </w:r>
      <w:r w:rsidR="00F474CA" w:rsidRPr="009A696E">
        <w:rPr>
          <w:rFonts w:eastAsia="Times New Roman" w:cs="Times New Roman"/>
          <w:color w:val="000000"/>
          <w:sz w:val="20"/>
          <w:szCs w:val="20"/>
        </w:rPr>
        <w:t xml:space="preserve">it is essential to adopt a comprehensive framework for </w:t>
      </w:r>
      <w:r w:rsidR="00C10AF1" w:rsidRPr="009A696E">
        <w:rPr>
          <w:rFonts w:eastAsia="Times New Roman" w:cs="Times New Roman"/>
          <w:color w:val="000000"/>
          <w:sz w:val="20"/>
          <w:szCs w:val="20"/>
        </w:rPr>
        <w:t>studying</w:t>
      </w:r>
      <w:r w:rsidR="00F474CA" w:rsidRPr="009A696E">
        <w:rPr>
          <w:rFonts w:eastAsia="Times New Roman" w:cs="Times New Roman"/>
          <w:color w:val="000000"/>
          <w:sz w:val="20"/>
          <w:szCs w:val="20"/>
        </w:rPr>
        <w:t xml:space="preserve"> these </w:t>
      </w:r>
      <w:r w:rsidR="00C10AF1" w:rsidRPr="009A696E">
        <w:rPr>
          <w:rFonts w:eastAsia="Times New Roman" w:cs="Times New Roman"/>
          <w:color w:val="000000"/>
          <w:sz w:val="20"/>
          <w:szCs w:val="20"/>
        </w:rPr>
        <w:t>aspects</w:t>
      </w:r>
      <w:r w:rsidR="00F474CA" w:rsidRPr="009A696E">
        <w:rPr>
          <w:rFonts w:eastAsia="Times New Roman" w:cs="Times New Roman"/>
          <w:color w:val="000000"/>
          <w:sz w:val="20"/>
          <w:szCs w:val="20"/>
        </w:rPr>
        <w:t>.</w:t>
      </w:r>
    </w:p>
    <w:p w14:paraId="64F83526" w14:textId="5FE0798C" w:rsidR="00433173" w:rsidRPr="009A696E" w:rsidRDefault="00433173" w:rsidP="00C14296">
      <w:pPr>
        <w:spacing w:before="240" w:line="240" w:lineRule="auto"/>
        <w:rPr>
          <w:rFonts w:eastAsia="Times New Roman" w:cs="Times New Roman"/>
          <w:color w:val="000000"/>
          <w:sz w:val="20"/>
          <w:szCs w:val="20"/>
        </w:rPr>
      </w:pPr>
      <w:r w:rsidRPr="009A696E">
        <w:rPr>
          <w:rFonts w:eastAsia="Times New Roman" w:cs="Times New Roman"/>
          <w:color w:val="000000"/>
          <w:sz w:val="20"/>
          <w:szCs w:val="20"/>
        </w:rPr>
        <w:t>Recent studies have applied the SERVQUAL model to study the quality of teaching service provided by universities</w:t>
      </w:r>
      <w:r w:rsidR="00EA25DD" w:rsidRPr="009A696E">
        <w:rPr>
          <w:rFonts w:eastAsia="Times New Roman" w:cs="Times New Roman"/>
          <w:color w:val="000000"/>
          <w:sz w:val="20"/>
          <w:szCs w:val="20"/>
        </w:rPr>
        <w:t>.</w:t>
      </w:r>
      <w:r w:rsidRPr="009A696E">
        <w:rPr>
          <w:rFonts w:eastAsia="Times New Roman" w:cs="Times New Roman"/>
          <w:color w:val="000000"/>
          <w:sz w:val="20"/>
          <w:szCs w:val="20"/>
        </w:rPr>
        <w:t xml:space="preserve"> </w:t>
      </w:r>
      <w:r w:rsidR="00EA25DD" w:rsidRPr="009A696E">
        <w:rPr>
          <w:rFonts w:eastAsia="Times New Roman" w:cs="Times New Roman"/>
          <w:color w:val="000000"/>
          <w:sz w:val="20"/>
          <w:szCs w:val="20"/>
        </w:rPr>
        <w:t>For example, r</w:t>
      </w:r>
      <w:r w:rsidRPr="009A696E">
        <w:rPr>
          <w:rFonts w:eastAsia="Times New Roman" w:cs="Times New Roman"/>
          <w:color w:val="000000"/>
          <w:sz w:val="20"/>
          <w:szCs w:val="20"/>
        </w:rPr>
        <w:t>esearch in private universities in Bangladesh demonstrated that factors such as comfortable lecture environments (tangibles), timely service (reliability), and the responsiveness of administrative staff significantly influence student satisfaction (</w:t>
      </w:r>
      <w:r w:rsidR="00904907" w:rsidRPr="009A696E">
        <w:rPr>
          <w:rFonts w:eastAsia="Times New Roman" w:cs="Times New Roman"/>
          <w:color w:val="000000"/>
          <w:sz w:val="20"/>
          <w:szCs w:val="20"/>
        </w:rPr>
        <w:t>Hoque</w:t>
      </w:r>
      <w:r w:rsidRPr="009A696E">
        <w:rPr>
          <w:rFonts w:eastAsia="Times New Roman" w:cs="Times New Roman"/>
          <w:color w:val="000000"/>
          <w:sz w:val="20"/>
          <w:szCs w:val="20"/>
        </w:rPr>
        <w:t xml:space="preserve"> et al., 2023). Findings in other educational settings highlight gaps between student expectations and perceptions in aspects like responsiveness, empathy, and tangibles, suggesting that improvements in these aspects can enhance overall student satisfaction (Ching et al., 20</w:t>
      </w:r>
      <w:r w:rsidR="00606579" w:rsidRPr="009A696E">
        <w:rPr>
          <w:rFonts w:eastAsia="Times New Roman" w:cs="Times New Roman"/>
          <w:color w:val="000000"/>
          <w:sz w:val="20"/>
          <w:szCs w:val="20"/>
        </w:rPr>
        <w:t>19</w:t>
      </w:r>
      <w:r w:rsidRPr="009A696E">
        <w:rPr>
          <w:rFonts w:eastAsia="Times New Roman" w:cs="Times New Roman"/>
          <w:color w:val="000000"/>
          <w:sz w:val="20"/>
          <w:szCs w:val="20"/>
        </w:rPr>
        <w:t xml:space="preserve">). </w:t>
      </w:r>
      <w:r w:rsidR="00A00453">
        <w:rPr>
          <w:rFonts w:eastAsia="Times New Roman" w:cs="Times New Roman"/>
          <w:color w:val="000000"/>
          <w:sz w:val="20"/>
          <w:szCs w:val="20"/>
        </w:rPr>
        <w:t xml:space="preserve">However, whilst academic performance in financial accounting continues to be a major problem in universities Ghana </w:t>
      </w:r>
      <w:r w:rsidR="00A00453" w:rsidRPr="00A00453">
        <w:rPr>
          <w:rFonts w:eastAsia="Times New Roman" w:cs="Times New Roman"/>
          <w:color w:val="000000"/>
          <w:sz w:val="20"/>
          <w:szCs w:val="20"/>
          <w:highlight w:val="yellow"/>
        </w:rPr>
        <w:t>(</w:t>
      </w:r>
      <w:r w:rsidR="002E04F4">
        <w:rPr>
          <w:rFonts w:eastAsia="Times New Roman" w:cs="Times New Roman"/>
          <w:color w:val="000000"/>
          <w:sz w:val="20"/>
          <w:szCs w:val="20"/>
          <w:highlight w:val="yellow"/>
        </w:rPr>
        <w:t>Ahinful et al., 2019</w:t>
      </w:r>
      <w:r w:rsidR="00A00453" w:rsidRPr="00A00453">
        <w:rPr>
          <w:rFonts w:eastAsia="Times New Roman" w:cs="Times New Roman"/>
          <w:color w:val="000000"/>
          <w:sz w:val="20"/>
          <w:szCs w:val="20"/>
          <w:highlight w:val="yellow"/>
        </w:rPr>
        <w:t>),</w:t>
      </w:r>
      <w:r w:rsidR="00A00453">
        <w:rPr>
          <w:rFonts w:eastAsia="Times New Roman" w:cs="Times New Roman"/>
          <w:color w:val="000000"/>
          <w:sz w:val="20"/>
          <w:szCs w:val="20"/>
        </w:rPr>
        <w:t xml:space="preserve"> the role of SERVQUAL </w:t>
      </w:r>
      <w:r w:rsidRPr="009A696E">
        <w:rPr>
          <w:rFonts w:eastAsia="Times New Roman" w:cs="Times New Roman"/>
          <w:color w:val="000000"/>
          <w:sz w:val="20"/>
          <w:szCs w:val="20"/>
        </w:rPr>
        <w:t xml:space="preserve">in </w:t>
      </w:r>
      <w:r w:rsidR="00606579" w:rsidRPr="009A696E">
        <w:rPr>
          <w:rFonts w:eastAsia="Times New Roman" w:cs="Times New Roman"/>
          <w:color w:val="000000"/>
          <w:sz w:val="20"/>
          <w:szCs w:val="20"/>
        </w:rPr>
        <w:t>studying</w:t>
      </w:r>
      <w:r w:rsidRPr="009A696E">
        <w:rPr>
          <w:rFonts w:eastAsia="Times New Roman" w:cs="Times New Roman"/>
          <w:color w:val="000000"/>
          <w:sz w:val="20"/>
          <w:szCs w:val="20"/>
        </w:rPr>
        <w:t xml:space="preserve"> how specific dimensions of </w:t>
      </w:r>
      <w:r w:rsidR="00A00453">
        <w:rPr>
          <w:rFonts w:eastAsia="Times New Roman" w:cs="Times New Roman"/>
          <w:color w:val="000000"/>
          <w:sz w:val="20"/>
          <w:szCs w:val="20"/>
        </w:rPr>
        <w:t>teaching</w:t>
      </w:r>
      <w:r w:rsidRPr="009A696E">
        <w:rPr>
          <w:rFonts w:eastAsia="Times New Roman" w:cs="Times New Roman"/>
          <w:color w:val="000000"/>
          <w:sz w:val="20"/>
          <w:szCs w:val="20"/>
        </w:rPr>
        <w:t xml:space="preserve"> quality</w:t>
      </w:r>
      <w:r w:rsidR="002E04F4">
        <w:rPr>
          <w:rFonts w:eastAsia="Times New Roman" w:cs="Times New Roman"/>
          <w:color w:val="000000"/>
          <w:sz w:val="20"/>
          <w:szCs w:val="20"/>
        </w:rPr>
        <w:t xml:space="preserve"> affect</w:t>
      </w:r>
      <w:r w:rsidRPr="009A696E">
        <w:rPr>
          <w:rFonts w:eastAsia="Times New Roman" w:cs="Times New Roman"/>
          <w:color w:val="000000"/>
          <w:sz w:val="20"/>
          <w:szCs w:val="20"/>
        </w:rPr>
        <w:t xml:space="preserve"> learning outcomes </w:t>
      </w:r>
      <w:r w:rsidR="00A00453">
        <w:rPr>
          <w:rFonts w:eastAsia="Times New Roman" w:cs="Times New Roman"/>
          <w:color w:val="000000"/>
          <w:sz w:val="20"/>
          <w:szCs w:val="20"/>
        </w:rPr>
        <w:t xml:space="preserve">is not established. </w:t>
      </w:r>
    </w:p>
    <w:p w14:paraId="51A8FA15" w14:textId="35975747" w:rsidR="00F721B4" w:rsidRPr="009A696E" w:rsidRDefault="00F721B4" w:rsidP="00C14296">
      <w:pPr>
        <w:spacing w:before="240" w:line="240" w:lineRule="auto"/>
        <w:rPr>
          <w:rFonts w:eastAsia="Times New Roman" w:cs="Times New Roman"/>
          <w:color w:val="000000"/>
          <w:sz w:val="20"/>
          <w:szCs w:val="20"/>
        </w:rPr>
      </w:pPr>
      <w:r w:rsidRPr="009A696E">
        <w:rPr>
          <w:rFonts w:eastAsia="Times New Roman" w:cs="Times New Roman"/>
          <w:color w:val="000000"/>
          <w:sz w:val="20"/>
          <w:szCs w:val="20"/>
        </w:rPr>
        <w:t xml:space="preserve">Given the multifaceted nature of accounting teaching quality, the SERVQUAL model could be applicable in investigating the dimensions of accounting teaching quality and the relative importance of each dimension on teaching and students learning outcomes. The SERVQUAL model, originally designed to measure service quality in the business sector, is increasingly being used in educational contexts to assess teaching quality and student satisfaction. It evaluates service quality based on five key dimensions: tangibles, reliability, responsiveness, assurance, and empathy (Parasuraman et al., 1988). In the context of higher education, </w:t>
      </w:r>
      <w:r w:rsidR="00A00453">
        <w:rPr>
          <w:rFonts w:eastAsia="Times New Roman" w:cs="Times New Roman"/>
          <w:color w:val="000000"/>
          <w:sz w:val="20"/>
          <w:szCs w:val="20"/>
        </w:rPr>
        <w:t>SERVQUAL</w:t>
      </w:r>
      <w:r w:rsidRPr="009A696E">
        <w:rPr>
          <w:rFonts w:eastAsia="Times New Roman" w:cs="Times New Roman"/>
          <w:color w:val="000000"/>
          <w:sz w:val="20"/>
          <w:szCs w:val="20"/>
        </w:rPr>
        <w:t xml:space="preserve"> provide a framework for understanding how students perceive and experience teaching services and learning environments</w:t>
      </w:r>
      <w:r w:rsidR="00A00453">
        <w:rPr>
          <w:rFonts w:eastAsia="Times New Roman" w:cs="Times New Roman"/>
          <w:color w:val="000000"/>
          <w:sz w:val="20"/>
          <w:szCs w:val="20"/>
        </w:rPr>
        <w:t xml:space="preserve"> </w:t>
      </w:r>
      <w:r w:rsidR="00DA1E7A">
        <w:rPr>
          <w:rFonts w:eastAsia="Times New Roman" w:cs="Times New Roman"/>
          <w:color w:val="000000"/>
          <w:sz w:val="20"/>
          <w:szCs w:val="20"/>
        </w:rPr>
        <w:t>(</w:t>
      </w:r>
      <w:r w:rsidR="00DA1E7A" w:rsidRPr="00DA1E7A">
        <w:rPr>
          <w:rFonts w:eastAsia="Times New Roman" w:cs="Times New Roman"/>
          <w:color w:val="000000"/>
          <w:sz w:val="20"/>
          <w:szCs w:val="20"/>
          <w:highlight w:val="yellow"/>
        </w:rPr>
        <w:t>Fuchs, 2021; La Rotta et al., 2020; Onditi &amp; Wechuli, 2017; Pedro et al., 2018).</w:t>
      </w:r>
    </w:p>
    <w:p w14:paraId="7EA8A490" w14:textId="076DCDB6" w:rsidR="00662CD9" w:rsidRPr="009A696E" w:rsidRDefault="00433173" w:rsidP="00BA1B8D">
      <w:pPr>
        <w:spacing w:before="240" w:line="240" w:lineRule="auto"/>
        <w:rPr>
          <w:rFonts w:eastAsia="Times New Roman" w:cs="Times New Roman"/>
          <w:color w:val="000000"/>
          <w:sz w:val="20"/>
          <w:szCs w:val="20"/>
        </w:rPr>
      </w:pPr>
      <w:r w:rsidRPr="009A696E">
        <w:rPr>
          <w:rFonts w:eastAsia="Times New Roman" w:cs="Times New Roman"/>
          <w:color w:val="000000"/>
          <w:sz w:val="20"/>
          <w:szCs w:val="20"/>
        </w:rPr>
        <w:t>The SERVQUAL model has proven effective in identifying specific quality dimensions that influence learning outcomes and student satisfaction in accounting. Key factors such as faculty competence (assurance) and personalized attention to student needs (empathy) have been shown to significantly enhance teaching quality (Li et al., 2023). In the context of Ghanaian Senior</w:t>
      </w:r>
      <w:r w:rsidRPr="009A696E">
        <w:rPr>
          <w:rFonts w:eastAsia="Times New Roman" w:cs="Times New Roman"/>
          <w:b/>
          <w:bCs/>
          <w:color w:val="000000"/>
          <w:sz w:val="20"/>
          <w:szCs w:val="20"/>
        </w:rPr>
        <w:t xml:space="preserve"> </w:t>
      </w:r>
      <w:r w:rsidRPr="009A696E">
        <w:rPr>
          <w:rFonts w:eastAsia="Times New Roman" w:cs="Times New Roman"/>
          <w:color w:val="000000"/>
          <w:sz w:val="20"/>
          <w:szCs w:val="20"/>
        </w:rPr>
        <w:t>High students, Debrah and Dwommor (202</w:t>
      </w:r>
      <w:r w:rsidR="00A05ABD" w:rsidRPr="009A696E">
        <w:rPr>
          <w:rFonts w:eastAsia="Times New Roman" w:cs="Times New Roman"/>
          <w:color w:val="000000"/>
          <w:sz w:val="20"/>
          <w:szCs w:val="20"/>
        </w:rPr>
        <w:t>1</w:t>
      </w:r>
      <w:r w:rsidRPr="009A696E">
        <w:rPr>
          <w:rFonts w:eastAsia="Times New Roman" w:cs="Times New Roman"/>
          <w:color w:val="000000"/>
          <w:sz w:val="20"/>
          <w:szCs w:val="20"/>
        </w:rPr>
        <w:t>) applying the SERVQUAL model in the study of accounting students’ disposition towards</w:t>
      </w:r>
      <w:r w:rsidR="00A05ABD" w:rsidRPr="009A696E">
        <w:rPr>
          <w:rFonts w:eastAsia="Times New Roman" w:cs="Times New Roman"/>
          <w:color w:val="000000"/>
          <w:sz w:val="20"/>
          <w:szCs w:val="20"/>
        </w:rPr>
        <w:t xml:space="preserve"> accounting lessons</w:t>
      </w:r>
      <w:r w:rsidRPr="009A696E">
        <w:rPr>
          <w:rFonts w:eastAsia="Times New Roman" w:cs="Times New Roman"/>
          <w:color w:val="000000"/>
          <w:sz w:val="20"/>
          <w:szCs w:val="20"/>
        </w:rPr>
        <w:t xml:space="preserve"> report</w:t>
      </w:r>
      <w:r w:rsidR="00A05ABD" w:rsidRPr="009A696E">
        <w:rPr>
          <w:rFonts w:eastAsia="Times New Roman" w:cs="Times New Roman"/>
          <w:color w:val="000000"/>
          <w:sz w:val="20"/>
          <w:szCs w:val="20"/>
        </w:rPr>
        <w:t>ed</w:t>
      </w:r>
      <w:r w:rsidRPr="009A696E">
        <w:rPr>
          <w:rFonts w:eastAsia="Times New Roman" w:cs="Times New Roman"/>
          <w:color w:val="000000"/>
          <w:sz w:val="20"/>
          <w:szCs w:val="20"/>
        </w:rPr>
        <w:t xml:space="preserve"> dissatisfaction with financial accounting lesson delivery. This dissatisfaction frequently arises from inadequacies in both the classroom environment including the quality of facilities and instructional materials and teachers' instructional behaviour. These aspects according to SERVQUAL are </w:t>
      </w:r>
      <w:r w:rsidR="008D2912" w:rsidRPr="009A696E">
        <w:rPr>
          <w:rFonts w:eastAsia="Times New Roman" w:cs="Times New Roman"/>
          <w:color w:val="000000"/>
          <w:sz w:val="20"/>
          <w:szCs w:val="20"/>
        </w:rPr>
        <w:t>equivalent</w:t>
      </w:r>
      <w:r w:rsidRPr="009A696E">
        <w:rPr>
          <w:rFonts w:eastAsia="Times New Roman" w:cs="Times New Roman"/>
          <w:color w:val="000000"/>
          <w:sz w:val="20"/>
          <w:szCs w:val="20"/>
        </w:rPr>
        <w:t xml:space="preserve"> to responsiveness, reliability, competence, and empathy</w:t>
      </w:r>
      <w:r w:rsidR="008D2912" w:rsidRPr="009A696E">
        <w:rPr>
          <w:rFonts w:eastAsia="Times New Roman" w:cs="Times New Roman"/>
          <w:color w:val="000000"/>
          <w:sz w:val="20"/>
          <w:szCs w:val="20"/>
        </w:rPr>
        <w:t>. With these aspects,</w:t>
      </w:r>
      <w:r w:rsidRPr="009A696E">
        <w:rPr>
          <w:rFonts w:eastAsia="Times New Roman" w:cs="Times New Roman"/>
          <w:color w:val="000000"/>
          <w:sz w:val="20"/>
          <w:szCs w:val="20"/>
        </w:rPr>
        <w:t xml:space="preserve"> </w:t>
      </w:r>
      <w:r w:rsidR="008D2912" w:rsidRPr="009A696E">
        <w:rPr>
          <w:rFonts w:eastAsia="Times New Roman" w:cs="Times New Roman"/>
          <w:color w:val="000000"/>
          <w:sz w:val="20"/>
          <w:szCs w:val="20"/>
        </w:rPr>
        <w:t xml:space="preserve">their deficiencies </w:t>
      </w:r>
      <w:r w:rsidRPr="009A696E">
        <w:rPr>
          <w:rFonts w:eastAsia="Times New Roman" w:cs="Times New Roman"/>
          <w:color w:val="000000"/>
          <w:sz w:val="20"/>
          <w:szCs w:val="20"/>
        </w:rPr>
        <w:t>lead to a pronounced gap between students' expectations and their actual experiences. When these gaps persist, students’ dissatisfaction intensifies, negatively affecting their engagement and academic performance.</w:t>
      </w:r>
      <w:r w:rsidR="00B14438" w:rsidRPr="009A696E">
        <w:rPr>
          <w:rFonts w:eastAsia="Times New Roman" w:cs="Times New Roman"/>
          <w:color w:val="000000"/>
          <w:sz w:val="20"/>
          <w:szCs w:val="20"/>
        </w:rPr>
        <w:t xml:space="preserve"> </w:t>
      </w:r>
      <w:r w:rsidR="00BA1B8D" w:rsidRPr="009A696E">
        <w:rPr>
          <w:rFonts w:eastAsia="Times New Roman" w:cs="Times New Roman"/>
          <w:color w:val="000000"/>
          <w:sz w:val="20"/>
          <w:szCs w:val="20"/>
        </w:rPr>
        <w:t xml:space="preserve">While the </w:t>
      </w:r>
      <w:r w:rsidR="00A00453">
        <w:rPr>
          <w:rFonts w:eastAsia="Times New Roman" w:cs="Times New Roman"/>
          <w:color w:val="000000"/>
          <w:sz w:val="20"/>
          <w:szCs w:val="20"/>
        </w:rPr>
        <w:t xml:space="preserve">effect of </w:t>
      </w:r>
      <w:r w:rsidR="00BA1B8D" w:rsidRPr="009A696E">
        <w:rPr>
          <w:rFonts w:eastAsia="Times New Roman" w:cs="Times New Roman"/>
          <w:color w:val="000000"/>
          <w:sz w:val="20"/>
          <w:szCs w:val="20"/>
        </w:rPr>
        <w:t xml:space="preserve">SERVQUAL model has been successfully </w:t>
      </w:r>
      <w:r w:rsidR="00A00453">
        <w:rPr>
          <w:rFonts w:eastAsia="Times New Roman" w:cs="Times New Roman"/>
          <w:color w:val="000000"/>
          <w:sz w:val="20"/>
          <w:szCs w:val="20"/>
        </w:rPr>
        <w:t>established in the</w:t>
      </w:r>
      <w:r w:rsidR="00BA1B8D" w:rsidRPr="009A696E">
        <w:rPr>
          <w:rFonts w:eastAsia="Times New Roman" w:cs="Times New Roman"/>
          <w:color w:val="000000"/>
          <w:sz w:val="20"/>
          <w:szCs w:val="20"/>
        </w:rPr>
        <w:t xml:space="preserve"> </w:t>
      </w:r>
      <w:r w:rsidR="00A00453">
        <w:rPr>
          <w:rFonts w:eastAsia="Times New Roman" w:cs="Times New Roman"/>
          <w:color w:val="000000"/>
          <w:sz w:val="20"/>
          <w:szCs w:val="20"/>
        </w:rPr>
        <w:t>study of the relationship between accounting</w:t>
      </w:r>
      <w:r w:rsidR="00BA1B8D" w:rsidRPr="009A696E">
        <w:rPr>
          <w:rFonts w:eastAsia="Times New Roman" w:cs="Times New Roman"/>
          <w:color w:val="000000"/>
          <w:sz w:val="20"/>
          <w:szCs w:val="20"/>
        </w:rPr>
        <w:t xml:space="preserve"> teaching quality </w:t>
      </w:r>
      <w:r w:rsidR="00A00453">
        <w:rPr>
          <w:rFonts w:eastAsia="Times New Roman" w:cs="Times New Roman"/>
          <w:color w:val="000000"/>
          <w:sz w:val="20"/>
          <w:szCs w:val="20"/>
        </w:rPr>
        <w:t xml:space="preserve">and academic performance </w:t>
      </w:r>
      <w:r w:rsidR="00BA1B8D" w:rsidRPr="009A696E">
        <w:rPr>
          <w:rFonts w:eastAsia="Times New Roman" w:cs="Times New Roman"/>
          <w:color w:val="000000"/>
          <w:sz w:val="20"/>
          <w:szCs w:val="20"/>
        </w:rPr>
        <w:t>in Ghanaian Senior High Schools</w:t>
      </w:r>
      <w:r w:rsidR="00A00453">
        <w:rPr>
          <w:rFonts w:eastAsia="Times New Roman" w:cs="Times New Roman"/>
          <w:color w:val="000000"/>
          <w:sz w:val="20"/>
          <w:szCs w:val="20"/>
        </w:rPr>
        <w:t xml:space="preserve"> </w:t>
      </w:r>
      <w:r w:rsidR="006E5881">
        <w:rPr>
          <w:rFonts w:eastAsia="Times New Roman" w:cs="Times New Roman"/>
          <w:color w:val="000000"/>
          <w:sz w:val="20"/>
          <w:szCs w:val="20"/>
        </w:rPr>
        <w:t>(</w:t>
      </w:r>
      <w:r w:rsidR="006E5881" w:rsidRPr="006E5881">
        <w:rPr>
          <w:rFonts w:eastAsia="Times New Roman" w:cs="Times New Roman"/>
          <w:color w:val="000000"/>
          <w:sz w:val="20"/>
          <w:szCs w:val="20"/>
        </w:rPr>
        <w:t xml:space="preserve">Debrah </w:t>
      </w:r>
      <w:r w:rsidR="006E5881">
        <w:rPr>
          <w:rFonts w:eastAsia="Times New Roman" w:cs="Times New Roman"/>
          <w:color w:val="000000"/>
          <w:sz w:val="20"/>
          <w:szCs w:val="20"/>
        </w:rPr>
        <w:t xml:space="preserve">&amp; </w:t>
      </w:r>
      <w:r w:rsidR="006E5881" w:rsidRPr="006E5881">
        <w:rPr>
          <w:rFonts w:eastAsia="Times New Roman" w:cs="Times New Roman"/>
          <w:color w:val="000000"/>
          <w:sz w:val="20"/>
          <w:szCs w:val="20"/>
        </w:rPr>
        <w:t>Dwommor</w:t>
      </w:r>
      <w:r w:rsidR="006E5881">
        <w:rPr>
          <w:rFonts w:eastAsia="Times New Roman" w:cs="Times New Roman"/>
          <w:color w:val="000000"/>
          <w:sz w:val="20"/>
          <w:szCs w:val="20"/>
        </w:rPr>
        <w:t xml:space="preserve">, </w:t>
      </w:r>
      <w:r w:rsidR="006E5881" w:rsidRPr="006E5881">
        <w:rPr>
          <w:rFonts w:eastAsia="Times New Roman" w:cs="Times New Roman"/>
          <w:color w:val="000000"/>
          <w:sz w:val="20"/>
          <w:szCs w:val="20"/>
        </w:rPr>
        <w:t>2021)</w:t>
      </w:r>
      <w:r w:rsidR="00662CD9" w:rsidRPr="006E5881">
        <w:rPr>
          <w:rFonts w:eastAsia="Times New Roman" w:cs="Times New Roman"/>
          <w:color w:val="000000"/>
          <w:sz w:val="20"/>
          <w:szCs w:val="20"/>
        </w:rPr>
        <w:t>,</w:t>
      </w:r>
      <w:r w:rsidR="00662CD9" w:rsidRPr="009A696E">
        <w:rPr>
          <w:rFonts w:eastAsia="Times New Roman" w:cs="Times New Roman"/>
          <w:color w:val="000000"/>
          <w:sz w:val="20"/>
          <w:szCs w:val="20"/>
        </w:rPr>
        <w:t xml:space="preserve"> </w:t>
      </w:r>
      <w:r w:rsidR="00BA1B8D" w:rsidRPr="009A696E">
        <w:rPr>
          <w:rFonts w:eastAsia="Times New Roman" w:cs="Times New Roman"/>
          <w:color w:val="000000"/>
          <w:sz w:val="20"/>
          <w:szCs w:val="20"/>
        </w:rPr>
        <w:t xml:space="preserve">it has not </w:t>
      </w:r>
      <w:r w:rsidR="00BA1B8D" w:rsidRPr="009A696E">
        <w:rPr>
          <w:rFonts w:eastAsia="Times New Roman" w:cs="Times New Roman"/>
          <w:color w:val="000000"/>
          <w:sz w:val="20"/>
          <w:szCs w:val="20"/>
        </w:rPr>
        <w:lastRenderedPageBreak/>
        <w:t>yet been applied to investigate</w:t>
      </w:r>
      <w:r w:rsidR="00662CD9" w:rsidRPr="009A696E">
        <w:rPr>
          <w:rFonts w:eastAsia="Times New Roman" w:cs="Times New Roman"/>
          <w:color w:val="000000"/>
          <w:sz w:val="20"/>
          <w:szCs w:val="20"/>
        </w:rPr>
        <w:t xml:space="preserve"> which teaching quality</w:t>
      </w:r>
      <w:r w:rsidR="00BA1B8D" w:rsidRPr="009A696E">
        <w:rPr>
          <w:rFonts w:eastAsia="Times New Roman" w:cs="Times New Roman"/>
          <w:color w:val="000000"/>
          <w:sz w:val="20"/>
          <w:szCs w:val="20"/>
        </w:rPr>
        <w:t xml:space="preserve"> dimensions influence </w:t>
      </w:r>
      <w:r w:rsidR="00662CD9" w:rsidRPr="009A696E">
        <w:rPr>
          <w:rFonts w:eastAsia="Times New Roman" w:cs="Times New Roman"/>
          <w:color w:val="000000"/>
          <w:sz w:val="20"/>
          <w:szCs w:val="20"/>
        </w:rPr>
        <w:t xml:space="preserve">students </w:t>
      </w:r>
      <w:r w:rsidR="00BA1B8D" w:rsidRPr="009A696E">
        <w:rPr>
          <w:rFonts w:eastAsia="Times New Roman" w:cs="Times New Roman"/>
          <w:color w:val="000000"/>
          <w:sz w:val="20"/>
          <w:szCs w:val="20"/>
        </w:rPr>
        <w:t xml:space="preserve">financial accounting </w:t>
      </w:r>
      <w:r w:rsidR="00662CD9" w:rsidRPr="009A696E">
        <w:rPr>
          <w:rFonts w:eastAsia="Times New Roman" w:cs="Times New Roman"/>
          <w:color w:val="000000"/>
          <w:sz w:val="20"/>
          <w:szCs w:val="20"/>
        </w:rPr>
        <w:t>performance</w:t>
      </w:r>
      <w:r w:rsidR="00BA1B8D" w:rsidRPr="009A696E">
        <w:rPr>
          <w:rFonts w:eastAsia="Times New Roman" w:cs="Times New Roman"/>
          <w:color w:val="000000"/>
          <w:sz w:val="20"/>
          <w:szCs w:val="20"/>
        </w:rPr>
        <w:t xml:space="preserve"> at the university level.</w:t>
      </w:r>
      <w:r w:rsidR="00586FB7" w:rsidRPr="009A696E">
        <w:rPr>
          <w:rFonts w:eastAsia="Times New Roman" w:cs="Times New Roman"/>
          <w:color w:val="000000"/>
          <w:sz w:val="20"/>
          <w:szCs w:val="20"/>
        </w:rPr>
        <w:t xml:space="preserve"> </w:t>
      </w:r>
    </w:p>
    <w:p w14:paraId="01C7B9D7" w14:textId="6627CEDA" w:rsidR="00BA1B8D" w:rsidRPr="009A696E" w:rsidRDefault="00662CD9" w:rsidP="00BA1B8D">
      <w:pPr>
        <w:spacing w:before="240" w:line="240" w:lineRule="auto"/>
        <w:rPr>
          <w:rFonts w:eastAsia="Times New Roman" w:cs="Times New Roman"/>
          <w:color w:val="000000"/>
          <w:sz w:val="20"/>
          <w:szCs w:val="20"/>
        </w:rPr>
      </w:pPr>
      <w:r w:rsidRPr="009A696E">
        <w:rPr>
          <w:rFonts w:eastAsia="Times New Roman" w:cs="Times New Roman"/>
          <w:color w:val="000000"/>
          <w:sz w:val="20"/>
          <w:szCs w:val="20"/>
        </w:rPr>
        <w:t xml:space="preserve">The role played by the various dimensions of teaching quality according to the SERVQUAL model are not well understood in the context of university undergraduate students in Ghana. There exists a significant gap in research investigating which aspects of teaching quality are predictors of financial accounting performance in Ghanaian universities. </w:t>
      </w:r>
      <w:r w:rsidR="00BA1B8D" w:rsidRPr="009A696E">
        <w:rPr>
          <w:rFonts w:eastAsia="Times New Roman" w:cs="Times New Roman"/>
          <w:color w:val="000000"/>
          <w:sz w:val="20"/>
          <w:szCs w:val="20"/>
        </w:rPr>
        <w:t xml:space="preserve">The purpose of this study is to investigating the effects of financial accounting teaching quality dimensions on academic performance among undergraduate financial accounting students in </w:t>
      </w:r>
      <w:r w:rsidR="0009425D" w:rsidRPr="009A696E">
        <w:rPr>
          <w:rFonts w:eastAsia="Times New Roman" w:cs="Times New Roman"/>
          <w:color w:val="000000"/>
          <w:sz w:val="20"/>
          <w:szCs w:val="20"/>
        </w:rPr>
        <w:t>two p</w:t>
      </w:r>
      <w:r w:rsidR="00BA1B8D" w:rsidRPr="009A696E">
        <w:rPr>
          <w:rFonts w:eastAsia="Times New Roman" w:cs="Times New Roman"/>
          <w:color w:val="000000"/>
          <w:sz w:val="20"/>
          <w:szCs w:val="20"/>
        </w:rPr>
        <w:t xml:space="preserve">ublic </w:t>
      </w:r>
      <w:r w:rsidR="0009425D" w:rsidRPr="009A696E">
        <w:rPr>
          <w:rFonts w:eastAsia="Times New Roman" w:cs="Times New Roman"/>
          <w:color w:val="000000"/>
          <w:sz w:val="20"/>
          <w:szCs w:val="20"/>
        </w:rPr>
        <w:t>u</w:t>
      </w:r>
      <w:r w:rsidR="00BA1B8D" w:rsidRPr="009A696E">
        <w:rPr>
          <w:rFonts w:eastAsia="Times New Roman" w:cs="Times New Roman"/>
          <w:color w:val="000000"/>
          <w:sz w:val="20"/>
          <w:szCs w:val="20"/>
        </w:rPr>
        <w:t>niversities</w:t>
      </w:r>
      <w:r w:rsidR="0009425D" w:rsidRPr="009A696E">
        <w:rPr>
          <w:rFonts w:eastAsia="Times New Roman" w:cs="Times New Roman"/>
          <w:color w:val="000000"/>
          <w:sz w:val="20"/>
          <w:szCs w:val="20"/>
        </w:rPr>
        <w:t xml:space="preserve"> in Ghana</w:t>
      </w:r>
      <w:r w:rsidR="00BA1B8D" w:rsidRPr="009A696E">
        <w:rPr>
          <w:rFonts w:eastAsia="Times New Roman" w:cs="Times New Roman"/>
          <w:color w:val="000000"/>
          <w:sz w:val="20"/>
          <w:szCs w:val="20"/>
        </w:rPr>
        <w:t>. Applying the SERVQUAL framework</w:t>
      </w:r>
      <w:r w:rsidR="00586FB7" w:rsidRPr="009A696E">
        <w:rPr>
          <w:rFonts w:eastAsia="Times New Roman" w:cs="Times New Roman"/>
          <w:color w:val="000000"/>
          <w:sz w:val="20"/>
          <w:szCs w:val="20"/>
        </w:rPr>
        <w:t xml:space="preserve"> </w:t>
      </w:r>
      <w:r w:rsidR="00BA1B8D" w:rsidRPr="009A696E">
        <w:rPr>
          <w:rFonts w:eastAsia="Times New Roman" w:cs="Times New Roman"/>
          <w:color w:val="000000"/>
          <w:sz w:val="20"/>
          <w:szCs w:val="20"/>
        </w:rPr>
        <w:t>which evaluates dimensions such as assurance, reliability, responsiveness, empathy, and tangibles</w:t>
      </w:r>
      <w:r w:rsidR="00586FB7" w:rsidRPr="009A696E">
        <w:rPr>
          <w:rFonts w:eastAsia="Times New Roman" w:cs="Times New Roman"/>
          <w:color w:val="000000"/>
          <w:sz w:val="20"/>
          <w:szCs w:val="20"/>
        </w:rPr>
        <w:t xml:space="preserve"> </w:t>
      </w:r>
      <w:r w:rsidR="00BA1B8D" w:rsidRPr="009A696E">
        <w:rPr>
          <w:rFonts w:eastAsia="Times New Roman" w:cs="Times New Roman"/>
          <w:color w:val="000000"/>
          <w:sz w:val="20"/>
          <w:szCs w:val="20"/>
        </w:rPr>
        <w:t>to this context will provide a structured approach to identifying critical aspects of teaching quality that influence student academic outcomes</w:t>
      </w:r>
      <w:r w:rsidRPr="009A696E">
        <w:rPr>
          <w:rFonts w:eastAsia="Times New Roman" w:cs="Times New Roman"/>
          <w:color w:val="000000"/>
          <w:sz w:val="20"/>
          <w:szCs w:val="20"/>
        </w:rPr>
        <w:t xml:space="preserve"> in higher education in Ghana</w:t>
      </w:r>
      <w:r w:rsidR="00BA1B8D" w:rsidRPr="009A696E">
        <w:rPr>
          <w:rFonts w:eastAsia="Times New Roman" w:cs="Times New Roman"/>
          <w:color w:val="000000"/>
          <w:sz w:val="20"/>
          <w:szCs w:val="20"/>
        </w:rPr>
        <w:t xml:space="preserve">. This </w:t>
      </w:r>
      <w:r w:rsidR="00586FB7" w:rsidRPr="009A696E">
        <w:rPr>
          <w:rFonts w:eastAsia="Times New Roman" w:cs="Times New Roman"/>
          <w:color w:val="000000"/>
          <w:sz w:val="20"/>
          <w:szCs w:val="20"/>
        </w:rPr>
        <w:t>study adds to the body of literature</w:t>
      </w:r>
      <w:r w:rsidR="00BA1B8D" w:rsidRPr="009A696E">
        <w:rPr>
          <w:rFonts w:eastAsia="Times New Roman" w:cs="Times New Roman"/>
          <w:color w:val="000000"/>
          <w:sz w:val="20"/>
          <w:szCs w:val="20"/>
        </w:rPr>
        <w:t xml:space="preserve"> </w:t>
      </w:r>
      <w:r w:rsidR="00586FB7" w:rsidRPr="009A696E">
        <w:rPr>
          <w:rFonts w:eastAsia="Times New Roman" w:cs="Times New Roman"/>
          <w:color w:val="000000"/>
          <w:sz w:val="20"/>
          <w:szCs w:val="20"/>
        </w:rPr>
        <w:t xml:space="preserve">in </w:t>
      </w:r>
      <w:r w:rsidR="00BA1B8D" w:rsidRPr="009A696E">
        <w:rPr>
          <w:rFonts w:eastAsia="Times New Roman" w:cs="Times New Roman"/>
          <w:color w:val="000000"/>
          <w:sz w:val="20"/>
          <w:szCs w:val="20"/>
        </w:rPr>
        <w:t xml:space="preserve">improving </w:t>
      </w:r>
      <w:r w:rsidRPr="009A696E">
        <w:rPr>
          <w:rFonts w:eastAsia="Times New Roman" w:cs="Times New Roman"/>
          <w:color w:val="000000"/>
          <w:sz w:val="20"/>
          <w:szCs w:val="20"/>
        </w:rPr>
        <w:t xml:space="preserve">financial accounting </w:t>
      </w:r>
      <w:r w:rsidR="00BA1B8D" w:rsidRPr="009A696E">
        <w:rPr>
          <w:rFonts w:eastAsia="Times New Roman" w:cs="Times New Roman"/>
          <w:color w:val="000000"/>
          <w:sz w:val="20"/>
          <w:szCs w:val="20"/>
        </w:rPr>
        <w:t xml:space="preserve">teaching practices, aligning them with </w:t>
      </w:r>
      <w:r w:rsidR="00557419" w:rsidRPr="009A696E">
        <w:rPr>
          <w:rFonts w:eastAsia="Times New Roman" w:cs="Times New Roman"/>
          <w:color w:val="000000"/>
          <w:sz w:val="20"/>
          <w:szCs w:val="20"/>
        </w:rPr>
        <w:t xml:space="preserve">student high </w:t>
      </w:r>
      <w:r w:rsidR="006C241A" w:rsidRPr="009A696E">
        <w:rPr>
          <w:rFonts w:eastAsia="Times New Roman" w:cs="Times New Roman"/>
          <w:color w:val="000000"/>
          <w:sz w:val="20"/>
          <w:szCs w:val="20"/>
        </w:rPr>
        <w:t>expectations, ultimately</w:t>
      </w:r>
      <w:r w:rsidR="00BA1B8D" w:rsidRPr="009A696E">
        <w:rPr>
          <w:rFonts w:eastAsia="Times New Roman" w:cs="Times New Roman"/>
          <w:color w:val="000000"/>
          <w:sz w:val="20"/>
          <w:szCs w:val="20"/>
        </w:rPr>
        <w:t xml:space="preserve"> enhancing </w:t>
      </w:r>
      <w:r w:rsidR="00586FB7" w:rsidRPr="009A696E">
        <w:rPr>
          <w:rFonts w:eastAsia="Times New Roman" w:cs="Times New Roman"/>
          <w:color w:val="000000"/>
          <w:sz w:val="20"/>
          <w:szCs w:val="20"/>
        </w:rPr>
        <w:t xml:space="preserve">student </w:t>
      </w:r>
      <w:r w:rsidR="00BA1B8D" w:rsidRPr="009A696E">
        <w:rPr>
          <w:rFonts w:eastAsia="Times New Roman" w:cs="Times New Roman"/>
          <w:color w:val="000000"/>
          <w:sz w:val="20"/>
          <w:szCs w:val="20"/>
        </w:rPr>
        <w:t>performance.</w:t>
      </w:r>
    </w:p>
    <w:p w14:paraId="72EE5E56" w14:textId="550B047D" w:rsidR="00963CDA" w:rsidRPr="009A696E" w:rsidRDefault="00963CDA" w:rsidP="00C8245B">
      <w:pPr>
        <w:spacing w:before="240" w:line="240" w:lineRule="auto"/>
        <w:rPr>
          <w:rFonts w:cs="Times New Roman"/>
          <w:b/>
          <w:bCs/>
          <w:sz w:val="20"/>
          <w:szCs w:val="20"/>
        </w:rPr>
      </w:pPr>
      <w:r w:rsidRPr="009A696E">
        <w:rPr>
          <w:rFonts w:cs="Times New Roman"/>
          <w:b/>
          <w:bCs/>
          <w:sz w:val="20"/>
          <w:szCs w:val="20"/>
        </w:rPr>
        <w:t xml:space="preserve">2. </w:t>
      </w:r>
      <w:r w:rsidR="00DD0ADD" w:rsidRPr="009A696E">
        <w:rPr>
          <w:rFonts w:cs="Times New Roman"/>
          <w:b/>
          <w:bCs/>
          <w:sz w:val="20"/>
          <w:szCs w:val="20"/>
        </w:rPr>
        <w:t>Literature Review and Hypotheses Development</w:t>
      </w:r>
    </w:p>
    <w:p w14:paraId="2636EBFC" w14:textId="666832CB" w:rsidR="00EA25DD" w:rsidRPr="009A696E" w:rsidRDefault="0081487A" w:rsidP="00C8245B">
      <w:pPr>
        <w:spacing w:before="240" w:line="240" w:lineRule="auto"/>
        <w:rPr>
          <w:rFonts w:cs="Times New Roman"/>
          <w:b/>
          <w:bCs/>
          <w:sz w:val="20"/>
          <w:szCs w:val="20"/>
        </w:rPr>
      </w:pPr>
      <w:r w:rsidRPr="009A696E">
        <w:rPr>
          <w:rFonts w:cs="Times New Roman"/>
          <w:b/>
          <w:bCs/>
          <w:sz w:val="20"/>
          <w:szCs w:val="20"/>
        </w:rPr>
        <w:t>2.1</w:t>
      </w:r>
      <w:r w:rsidR="001E3DD4">
        <w:rPr>
          <w:rFonts w:cs="Times New Roman"/>
          <w:b/>
          <w:bCs/>
          <w:sz w:val="20"/>
          <w:szCs w:val="20"/>
        </w:rPr>
        <w:t>Teaching</w:t>
      </w:r>
      <w:r w:rsidR="002306EA" w:rsidRPr="009A696E">
        <w:rPr>
          <w:rFonts w:cs="Times New Roman"/>
          <w:b/>
          <w:bCs/>
          <w:sz w:val="20"/>
          <w:szCs w:val="20"/>
        </w:rPr>
        <w:t xml:space="preserve"> Quality and Students Satisfaction in Higher Education</w:t>
      </w:r>
    </w:p>
    <w:p w14:paraId="7B5E7059" w14:textId="1E6C289F" w:rsidR="00321F79" w:rsidRPr="009A696E" w:rsidRDefault="00321F79" w:rsidP="006F678B">
      <w:pPr>
        <w:spacing w:before="240" w:line="240" w:lineRule="auto"/>
        <w:rPr>
          <w:rFonts w:eastAsia="Times New Roman" w:cs="Times New Roman"/>
          <w:sz w:val="20"/>
          <w:szCs w:val="20"/>
        </w:rPr>
      </w:pPr>
      <w:r w:rsidRPr="009A696E">
        <w:rPr>
          <w:rFonts w:eastAsia="Times New Roman" w:cs="Times New Roman"/>
          <w:sz w:val="20"/>
          <w:szCs w:val="20"/>
        </w:rPr>
        <w:t>Universities worldwide are increasingly prioritizing the quality of their teaching and learning services due to the critical role these aspects play in creating a competitive edge, attracting prospective students, and retaining current ones. Students are regarded as the primary customers of universities, therefore, their expectations should be acknowledged and acted upon. Their perceptions of service quality are shaped by the educational experience they receive (Jancey &amp; Burns, 2013). As a result, maintaining high-quality service standards in teaching and learning is essential to meet student expectations and ensure overall satisfaction.</w:t>
      </w:r>
    </w:p>
    <w:p w14:paraId="15841074" w14:textId="58760ACA" w:rsidR="00FE6C53" w:rsidRPr="009A696E" w:rsidRDefault="00FE6C53" w:rsidP="00073289">
      <w:pPr>
        <w:spacing w:before="240" w:line="240" w:lineRule="auto"/>
        <w:rPr>
          <w:rFonts w:eastAsia="Times New Roman" w:cs="Times New Roman"/>
          <w:sz w:val="20"/>
          <w:szCs w:val="20"/>
        </w:rPr>
      </w:pPr>
      <w:r w:rsidRPr="009A696E">
        <w:rPr>
          <w:rFonts w:eastAsia="Times New Roman" w:cs="Times New Roman"/>
          <w:sz w:val="20"/>
          <w:szCs w:val="20"/>
        </w:rPr>
        <w:t xml:space="preserve">To </w:t>
      </w:r>
      <w:r w:rsidR="008E2EA0">
        <w:rPr>
          <w:rFonts w:eastAsia="Times New Roman" w:cs="Times New Roman"/>
          <w:sz w:val="20"/>
          <w:szCs w:val="20"/>
        </w:rPr>
        <w:t>improve the performance of university students in financial accounting</w:t>
      </w:r>
      <w:r w:rsidRPr="009A696E">
        <w:rPr>
          <w:rFonts w:eastAsia="Times New Roman" w:cs="Times New Roman"/>
          <w:sz w:val="20"/>
          <w:szCs w:val="20"/>
        </w:rPr>
        <w:t xml:space="preserve">, it is crucial to understand their specific expectations. The </w:t>
      </w:r>
      <w:r w:rsidR="008E2EA0">
        <w:rPr>
          <w:rFonts w:eastAsia="Times New Roman" w:cs="Times New Roman"/>
          <w:sz w:val="20"/>
          <w:szCs w:val="20"/>
        </w:rPr>
        <w:t xml:space="preserve">teaching </w:t>
      </w:r>
      <w:r w:rsidRPr="009A696E">
        <w:rPr>
          <w:rFonts w:eastAsia="Times New Roman" w:cs="Times New Roman"/>
          <w:sz w:val="20"/>
          <w:szCs w:val="20"/>
        </w:rPr>
        <w:t>quality of universities is commonly evaluated based on how students perceive their educational experiences (Mbise &amp; Tuninga, 2013). Most research on student satisfaction relies on perception-expectation (P-E) models, which emphasize that satisfaction arises when service delivery meets or exceeds student expectations. From this viewpoint, delivering high-quality service requires careful design and planning of all service-related activities to achieve excellence (Lupo, 2013).</w:t>
      </w:r>
      <w:r w:rsidR="009F4119" w:rsidRPr="009A696E">
        <w:rPr>
          <w:rFonts w:eastAsia="Times New Roman" w:cs="Times New Roman"/>
          <w:sz w:val="20"/>
          <w:szCs w:val="20"/>
        </w:rPr>
        <w:t xml:space="preserve"> Most important of these activities are related to teaching and learning. </w:t>
      </w:r>
    </w:p>
    <w:p w14:paraId="7ACFC1D0" w14:textId="348801BA" w:rsidR="002306EA" w:rsidRPr="009A696E" w:rsidRDefault="0081487A" w:rsidP="00073289">
      <w:pPr>
        <w:spacing w:before="240" w:line="240" w:lineRule="auto"/>
        <w:rPr>
          <w:rFonts w:eastAsia="Times New Roman" w:cs="Times New Roman"/>
          <w:b/>
          <w:bCs/>
          <w:sz w:val="20"/>
          <w:szCs w:val="20"/>
        </w:rPr>
      </w:pPr>
      <w:r w:rsidRPr="009A696E">
        <w:rPr>
          <w:rFonts w:eastAsia="Times New Roman" w:cs="Times New Roman"/>
          <w:b/>
          <w:bCs/>
          <w:sz w:val="20"/>
          <w:szCs w:val="20"/>
        </w:rPr>
        <w:t xml:space="preserve">2.2 </w:t>
      </w:r>
      <w:r w:rsidR="002306EA" w:rsidRPr="009A696E">
        <w:rPr>
          <w:rFonts w:eastAsia="Times New Roman" w:cs="Times New Roman"/>
          <w:b/>
          <w:bCs/>
          <w:sz w:val="20"/>
          <w:szCs w:val="20"/>
        </w:rPr>
        <w:t>SERVQUAL and Students Satisfaction with University Teaching and Learning Services</w:t>
      </w:r>
    </w:p>
    <w:p w14:paraId="6F545D0D" w14:textId="3E7E9554" w:rsidR="00F508B9" w:rsidRPr="009A696E" w:rsidRDefault="00F508B9" w:rsidP="00F508B9">
      <w:pPr>
        <w:spacing w:before="240" w:line="240" w:lineRule="auto"/>
        <w:rPr>
          <w:rFonts w:eastAsia="Times New Roman" w:cs="Times New Roman"/>
          <w:sz w:val="20"/>
          <w:szCs w:val="20"/>
        </w:rPr>
      </w:pPr>
      <w:r w:rsidRPr="009A696E">
        <w:rPr>
          <w:rFonts w:eastAsia="Times New Roman" w:cs="Times New Roman"/>
          <w:sz w:val="20"/>
          <w:szCs w:val="20"/>
        </w:rPr>
        <w:t>Traditionally, customer (students) expectations in universities have been classified into key categories</w:t>
      </w:r>
      <w:r w:rsidR="00482A75" w:rsidRPr="009A696E">
        <w:rPr>
          <w:rFonts w:eastAsia="Times New Roman" w:cs="Times New Roman"/>
          <w:sz w:val="20"/>
          <w:szCs w:val="20"/>
        </w:rPr>
        <w:t xml:space="preserve">: </w:t>
      </w:r>
      <w:r w:rsidRPr="009A696E">
        <w:rPr>
          <w:rFonts w:eastAsia="Times New Roman" w:cs="Times New Roman"/>
          <w:sz w:val="20"/>
          <w:szCs w:val="20"/>
        </w:rPr>
        <w:t xml:space="preserve">content, attitude, competence, delivery, and reliability (Sahney </w:t>
      </w:r>
      <w:r w:rsidR="007A6575" w:rsidRPr="009A696E">
        <w:rPr>
          <w:rFonts w:eastAsia="Times New Roman" w:cs="Times New Roman"/>
          <w:sz w:val="20"/>
          <w:szCs w:val="20"/>
        </w:rPr>
        <w:t>et al.</w:t>
      </w:r>
      <w:r w:rsidRPr="009A696E">
        <w:rPr>
          <w:rFonts w:eastAsia="Times New Roman" w:cs="Times New Roman"/>
          <w:sz w:val="20"/>
          <w:szCs w:val="20"/>
        </w:rPr>
        <w:t>, 2004). From a different perspective, the SERVQUAL model provides a structured approach to identifying the gap between students’ expectations and their perceptions of the</w:t>
      </w:r>
      <w:r w:rsidR="00482A75" w:rsidRPr="009A696E">
        <w:rPr>
          <w:rFonts w:eastAsia="Times New Roman" w:cs="Times New Roman"/>
          <w:sz w:val="20"/>
          <w:szCs w:val="20"/>
        </w:rPr>
        <w:t>se</w:t>
      </w:r>
      <w:r w:rsidRPr="009A696E">
        <w:rPr>
          <w:rFonts w:eastAsia="Times New Roman" w:cs="Times New Roman"/>
          <w:sz w:val="20"/>
          <w:szCs w:val="20"/>
        </w:rPr>
        <w:t xml:space="preserve"> services. This model highlights specific quality components that align with students’ expectations and satisfaction (Parasuraman et al., 1988). In this </w:t>
      </w:r>
      <w:r w:rsidR="00482A75" w:rsidRPr="009A696E">
        <w:rPr>
          <w:rFonts w:eastAsia="Times New Roman" w:cs="Times New Roman"/>
          <w:sz w:val="20"/>
          <w:szCs w:val="20"/>
        </w:rPr>
        <w:t>perspective</w:t>
      </w:r>
      <w:r w:rsidRPr="009A696E">
        <w:rPr>
          <w:rFonts w:eastAsia="Times New Roman" w:cs="Times New Roman"/>
          <w:sz w:val="20"/>
          <w:szCs w:val="20"/>
        </w:rPr>
        <w:t xml:space="preserve">, SERVQUAL defines five interrelated dimensions of service quality: </w:t>
      </w:r>
      <w:r w:rsidR="00482A75" w:rsidRPr="009A696E">
        <w:rPr>
          <w:rFonts w:eastAsia="Times New Roman" w:cs="Times New Roman"/>
          <w:sz w:val="20"/>
          <w:szCs w:val="20"/>
        </w:rPr>
        <w:t>t</w:t>
      </w:r>
      <w:r w:rsidRPr="009A696E">
        <w:rPr>
          <w:rFonts w:eastAsia="Times New Roman" w:cs="Times New Roman"/>
          <w:sz w:val="20"/>
          <w:szCs w:val="20"/>
        </w:rPr>
        <w:t>angibles which refers to physical facilities, equipment, and the appearance of staff; reliability which is the ability to deliver accurate and dependable services; responsiveness which stands for the willingness to help students and offer prompt support; assurance which comprise staff knowledge, politeness, and the ability to inspire trust; and empathy which concerns individualized attention and care for students' needs (Parasuraman et al., 1988).</w:t>
      </w:r>
      <w:r w:rsidR="00D24301" w:rsidRPr="009A696E">
        <w:rPr>
          <w:rFonts w:eastAsia="Times New Roman" w:cs="Times New Roman"/>
          <w:sz w:val="20"/>
          <w:szCs w:val="20"/>
        </w:rPr>
        <w:t xml:space="preserve"> </w:t>
      </w:r>
      <w:r w:rsidRPr="009A696E">
        <w:rPr>
          <w:rFonts w:eastAsia="Times New Roman" w:cs="Times New Roman"/>
          <w:sz w:val="20"/>
          <w:szCs w:val="20"/>
        </w:rPr>
        <w:t xml:space="preserve">When these dimensions are effectively implemented, they contribute significantly to enhancing student satisfaction and bridging the gap between expectations and actual experiences. This complements the broader goal of </w:t>
      </w:r>
      <w:r w:rsidR="00D24301" w:rsidRPr="009A696E">
        <w:rPr>
          <w:rFonts w:eastAsia="Times New Roman" w:cs="Times New Roman"/>
          <w:sz w:val="20"/>
          <w:szCs w:val="20"/>
        </w:rPr>
        <w:t>universities</w:t>
      </w:r>
      <w:r w:rsidRPr="009A696E">
        <w:rPr>
          <w:rFonts w:eastAsia="Times New Roman" w:cs="Times New Roman"/>
          <w:sz w:val="20"/>
          <w:szCs w:val="20"/>
        </w:rPr>
        <w:t xml:space="preserve"> to build competitive advantages </w:t>
      </w:r>
      <w:r w:rsidR="00482A75" w:rsidRPr="009A696E">
        <w:rPr>
          <w:rFonts w:eastAsia="Times New Roman" w:cs="Times New Roman"/>
          <w:sz w:val="20"/>
          <w:szCs w:val="20"/>
        </w:rPr>
        <w:t xml:space="preserve">in teaching and learning </w:t>
      </w:r>
      <w:r w:rsidRPr="009A696E">
        <w:rPr>
          <w:rFonts w:eastAsia="Times New Roman" w:cs="Times New Roman"/>
          <w:sz w:val="20"/>
          <w:szCs w:val="20"/>
        </w:rPr>
        <w:t xml:space="preserve">and meet the expectations of their </w:t>
      </w:r>
      <w:r w:rsidR="00D24301" w:rsidRPr="009A696E">
        <w:rPr>
          <w:rFonts w:eastAsia="Times New Roman" w:cs="Times New Roman"/>
          <w:sz w:val="20"/>
          <w:szCs w:val="20"/>
        </w:rPr>
        <w:t xml:space="preserve">students. </w:t>
      </w:r>
    </w:p>
    <w:p w14:paraId="3FCABAFF" w14:textId="0F462385" w:rsidR="000F63A3" w:rsidRPr="009A696E" w:rsidRDefault="000F63A3" w:rsidP="000F63A3">
      <w:pPr>
        <w:spacing w:before="240" w:line="240" w:lineRule="auto"/>
        <w:rPr>
          <w:rFonts w:eastAsia="Times New Roman" w:cs="Times New Roman"/>
          <w:sz w:val="20"/>
          <w:szCs w:val="20"/>
        </w:rPr>
      </w:pPr>
      <w:r w:rsidRPr="009A696E">
        <w:rPr>
          <w:rFonts w:eastAsia="Times New Roman" w:cs="Times New Roman"/>
          <w:sz w:val="20"/>
          <w:szCs w:val="20"/>
        </w:rPr>
        <w:t xml:space="preserve">Empirical studies consistently demonstrate that the SERVQUAL model is an effective tool for assessing student satisfaction with </w:t>
      </w:r>
      <w:r w:rsidR="004645CC" w:rsidRPr="009A696E">
        <w:rPr>
          <w:rFonts w:eastAsia="Times New Roman" w:cs="Times New Roman"/>
          <w:sz w:val="20"/>
          <w:szCs w:val="20"/>
        </w:rPr>
        <w:t xml:space="preserve">teaching and learning </w:t>
      </w:r>
      <w:r w:rsidRPr="009A696E">
        <w:rPr>
          <w:rFonts w:eastAsia="Times New Roman" w:cs="Times New Roman"/>
          <w:sz w:val="20"/>
          <w:szCs w:val="20"/>
        </w:rPr>
        <w:t xml:space="preserve">services provided by higher education institutions (HEIs). Research by Sohil and Hassan (2019) indicates that four of the five dimensions of service quality: tangibility, reliability, responsiveness, and assurance have a significant role in student satisfaction. This finding is corroborated by a study in Tanzania by Magasi et al. (2022), which highlighted the importance of tangibles, reliability, responsiveness, empathy, assurance, and compliance in predicting student satisfaction with university services. Alvis and Raposo (2006) found that student </w:t>
      </w:r>
      <w:r w:rsidRPr="009A696E">
        <w:rPr>
          <w:rFonts w:eastAsia="Times New Roman" w:cs="Times New Roman"/>
          <w:sz w:val="20"/>
          <w:szCs w:val="20"/>
        </w:rPr>
        <w:lastRenderedPageBreak/>
        <w:t xml:space="preserve">perceptions of service quality are strongly influenced by professor competence, responsiveness, and the learning environment. Further supporting evidence comes from research by Ching et al. (2022), which revealed that gaps in responsiveness, empathy, and tangibles negatively affect overall satisfaction. Similarly, Borges et al. (2014) </w:t>
      </w:r>
      <w:r w:rsidR="004645CC" w:rsidRPr="009A696E">
        <w:rPr>
          <w:rFonts w:eastAsia="Times New Roman" w:cs="Times New Roman"/>
          <w:sz w:val="20"/>
          <w:szCs w:val="20"/>
        </w:rPr>
        <w:t>identified</w:t>
      </w:r>
      <w:r w:rsidRPr="009A696E">
        <w:rPr>
          <w:rFonts w:eastAsia="Times New Roman" w:cs="Times New Roman"/>
          <w:sz w:val="20"/>
          <w:szCs w:val="20"/>
        </w:rPr>
        <w:t xml:space="preserve"> that trustworthiness, empathy, and assurance play significant roles in enhancing student satisfaction with accounting courses. These findings emphasize the need for</w:t>
      </w:r>
      <w:r w:rsidR="004645CC" w:rsidRPr="009A696E">
        <w:rPr>
          <w:rFonts w:eastAsia="Times New Roman" w:cs="Times New Roman"/>
          <w:sz w:val="20"/>
          <w:szCs w:val="20"/>
        </w:rPr>
        <w:t xml:space="preserve"> universities</w:t>
      </w:r>
      <w:r w:rsidRPr="009A696E">
        <w:rPr>
          <w:rFonts w:eastAsia="Times New Roman" w:cs="Times New Roman"/>
          <w:sz w:val="20"/>
          <w:szCs w:val="20"/>
        </w:rPr>
        <w:t xml:space="preserve"> to deliver reliable, prompt, and personalized </w:t>
      </w:r>
      <w:r w:rsidR="004645CC" w:rsidRPr="009A696E">
        <w:rPr>
          <w:rFonts w:eastAsia="Times New Roman" w:cs="Times New Roman"/>
          <w:sz w:val="20"/>
          <w:szCs w:val="20"/>
        </w:rPr>
        <w:t xml:space="preserve">teaching-learning </w:t>
      </w:r>
      <w:r w:rsidRPr="009A696E">
        <w:rPr>
          <w:rFonts w:eastAsia="Times New Roman" w:cs="Times New Roman"/>
          <w:sz w:val="20"/>
          <w:szCs w:val="20"/>
        </w:rPr>
        <w:t>services that meet or exceed student expectations.</w:t>
      </w:r>
    </w:p>
    <w:p w14:paraId="26929876" w14:textId="3F8B1352" w:rsidR="0094384B" w:rsidRPr="009A696E" w:rsidRDefault="0081487A" w:rsidP="000F63A3">
      <w:pPr>
        <w:spacing w:before="240" w:line="240" w:lineRule="auto"/>
        <w:rPr>
          <w:rFonts w:eastAsia="Times New Roman" w:cs="Times New Roman"/>
          <w:b/>
          <w:bCs/>
          <w:sz w:val="20"/>
          <w:szCs w:val="20"/>
        </w:rPr>
      </w:pPr>
      <w:r w:rsidRPr="009A696E">
        <w:rPr>
          <w:rFonts w:eastAsia="Times New Roman" w:cs="Times New Roman"/>
          <w:b/>
          <w:bCs/>
          <w:sz w:val="20"/>
          <w:szCs w:val="20"/>
        </w:rPr>
        <w:t xml:space="preserve">2.3 </w:t>
      </w:r>
      <w:r w:rsidR="0094384B" w:rsidRPr="002E04F4">
        <w:rPr>
          <w:rFonts w:eastAsia="Times New Roman" w:cs="Times New Roman"/>
          <w:b/>
          <w:bCs/>
          <w:sz w:val="20"/>
          <w:szCs w:val="20"/>
          <w:highlight w:val="yellow"/>
        </w:rPr>
        <w:t>SERVQUAL and Financial Accounting</w:t>
      </w:r>
      <w:r w:rsidR="000514E6" w:rsidRPr="002E04F4">
        <w:rPr>
          <w:rFonts w:eastAsia="Times New Roman" w:cs="Times New Roman"/>
          <w:b/>
          <w:bCs/>
          <w:sz w:val="20"/>
          <w:szCs w:val="20"/>
          <w:highlight w:val="yellow"/>
        </w:rPr>
        <w:t xml:space="preserve"> </w:t>
      </w:r>
      <w:r w:rsidR="00334C85" w:rsidRPr="002E04F4">
        <w:rPr>
          <w:rFonts w:eastAsia="Times New Roman" w:cs="Times New Roman"/>
          <w:b/>
          <w:bCs/>
          <w:sz w:val="20"/>
          <w:szCs w:val="20"/>
          <w:highlight w:val="yellow"/>
        </w:rPr>
        <w:t>Academic Performance</w:t>
      </w:r>
    </w:p>
    <w:p w14:paraId="5CB5E6A1" w14:textId="36B7CF1C" w:rsidR="000F63A3" w:rsidRPr="009A696E" w:rsidRDefault="002E04F4" w:rsidP="000F63A3">
      <w:pPr>
        <w:spacing w:before="240" w:line="240" w:lineRule="auto"/>
        <w:rPr>
          <w:rFonts w:eastAsia="Times New Roman" w:cs="Times New Roman"/>
          <w:sz w:val="20"/>
          <w:szCs w:val="20"/>
        </w:rPr>
      </w:pPr>
      <w:r w:rsidRPr="002E04F4">
        <w:rPr>
          <w:rFonts w:eastAsia="Times New Roman" w:cs="Times New Roman"/>
          <w:sz w:val="20"/>
          <w:szCs w:val="20"/>
        </w:rPr>
        <w:t>F</w:t>
      </w:r>
      <w:r w:rsidR="006410C4" w:rsidRPr="002E04F4">
        <w:rPr>
          <w:rFonts w:eastAsia="Times New Roman" w:cs="Times New Roman"/>
          <w:sz w:val="20"/>
          <w:szCs w:val="20"/>
        </w:rPr>
        <w:t>inancial accounting academic performance</w:t>
      </w:r>
      <w:r w:rsidRPr="002E04F4">
        <w:rPr>
          <w:rFonts w:eastAsia="Times New Roman" w:cs="Times New Roman"/>
          <w:sz w:val="20"/>
          <w:szCs w:val="20"/>
        </w:rPr>
        <w:t xml:space="preserve"> refers to students' ability to comprehend, apply, and analyse financial accounting concepts, typically measured through assessments such as assignments, examinations, and coursework (Orim et al., 2023)</w:t>
      </w:r>
      <w:r w:rsidR="006410C4" w:rsidRPr="002E04F4">
        <w:rPr>
          <w:rFonts w:eastAsia="Times New Roman" w:cs="Times New Roman"/>
          <w:sz w:val="20"/>
          <w:szCs w:val="20"/>
        </w:rPr>
        <w:t xml:space="preserve">. </w:t>
      </w:r>
      <w:r w:rsidR="000F63A3" w:rsidRPr="006410C4">
        <w:rPr>
          <w:rFonts w:eastAsia="Times New Roman" w:cs="Times New Roman"/>
          <w:sz w:val="20"/>
          <w:szCs w:val="20"/>
        </w:rPr>
        <w:t>Based o</w:t>
      </w:r>
      <w:r w:rsidR="000F63A3" w:rsidRPr="009A696E">
        <w:rPr>
          <w:rFonts w:eastAsia="Times New Roman" w:cs="Times New Roman"/>
          <w:sz w:val="20"/>
          <w:szCs w:val="20"/>
        </w:rPr>
        <w:t xml:space="preserve">n the supporting literature provided above, we </w:t>
      </w:r>
      <w:r w:rsidR="00392BA6" w:rsidRPr="009A696E">
        <w:rPr>
          <w:rFonts w:eastAsia="Times New Roman" w:cs="Times New Roman"/>
          <w:sz w:val="20"/>
          <w:szCs w:val="20"/>
        </w:rPr>
        <w:t>argue</w:t>
      </w:r>
      <w:r w:rsidR="000F63A3" w:rsidRPr="009A696E">
        <w:rPr>
          <w:rFonts w:eastAsia="Times New Roman" w:cs="Times New Roman"/>
          <w:sz w:val="20"/>
          <w:szCs w:val="20"/>
        </w:rPr>
        <w:t xml:space="preserve"> that the dimensions of service quality in financial accounting teaching </w:t>
      </w:r>
      <w:r w:rsidR="00392BA6" w:rsidRPr="009A696E">
        <w:rPr>
          <w:rFonts w:eastAsia="Times New Roman" w:cs="Times New Roman"/>
          <w:sz w:val="20"/>
          <w:szCs w:val="20"/>
        </w:rPr>
        <w:t>and its effect on academic performance in the university context can be understood in the SERVQUAL perspective</w:t>
      </w:r>
      <w:r w:rsidR="000F63A3" w:rsidRPr="009A696E">
        <w:rPr>
          <w:rFonts w:eastAsia="Times New Roman" w:cs="Times New Roman"/>
          <w:sz w:val="20"/>
          <w:szCs w:val="20"/>
        </w:rPr>
        <w:t>, even though this dynamic has not been adequately established</w:t>
      </w:r>
      <w:r w:rsidR="00334C85">
        <w:rPr>
          <w:rFonts w:eastAsia="Times New Roman" w:cs="Times New Roman"/>
          <w:sz w:val="20"/>
          <w:szCs w:val="20"/>
        </w:rPr>
        <w:t xml:space="preserve"> in the accounting education context of Ghanaian universities</w:t>
      </w:r>
      <w:r w:rsidR="0094384B" w:rsidRPr="009A696E">
        <w:rPr>
          <w:rFonts w:eastAsia="Times New Roman" w:cs="Times New Roman"/>
          <w:sz w:val="20"/>
          <w:szCs w:val="20"/>
        </w:rPr>
        <w:t xml:space="preserve">, except </w:t>
      </w:r>
      <w:r w:rsidR="000139B9" w:rsidRPr="009A696E">
        <w:rPr>
          <w:rFonts w:eastAsia="Times New Roman" w:cs="Times New Roman"/>
          <w:sz w:val="20"/>
          <w:szCs w:val="20"/>
        </w:rPr>
        <w:t xml:space="preserve">in </w:t>
      </w:r>
      <w:r w:rsidR="00392BA6" w:rsidRPr="009A696E">
        <w:rPr>
          <w:rFonts w:eastAsia="Times New Roman" w:cs="Times New Roman"/>
          <w:sz w:val="20"/>
          <w:szCs w:val="20"/>
        </w:rPr>
        <w:t xml:space="preserve">a </w:t>
      </w:r>
      <w:r w:rsidR="000139B9" w:rsidRPr="009A696E">
        <w:rPr>
          <w:rFonts w:eastAsia="Times New Roman" w:cs="Times New Roman"/>
          <w:sz w:val="20"/>
          <w:szCs w:val="20"/>
        </w:rPr>
        <w:t>stud</w:t>
      </w:r>
      <w:r w:rsidR="00392BA6" w:rsidRPr="009A696E">
        <w:rPr>
          <w:rFonts w:eastAsia="Times New Roman" w:cs="Times New Roman"/>
          <w:sz w:val="20"/>
          <w:szCs w:val="20"/>
        </w:rPr>
        <w:t>y</w:t>
      </w:r>
      <w:r w:rsidR="000139B9" w:rsidRPr="009A696E">
        <w:rPr>
          <w:rFonts w:eastAsia="Times New Roman" w:cs="Times New Roman"/>
          <w:sz w:val="20"/>
          <w:szCs w:val="20"/>
        </w:rPr>
        <w:t xml:space="preserve"> of </w:t>
      </w:r>
      <w:r w:rsidR="00392BA6" w:rsidRPr="009A696E">
        <w:rPr>
          <w:rFonts w:eastAsia="Times New Roman" w:cs="Times New Roman"/>
          <w:sz w:val="20"/>
          <w:szCs w:val="20"/>
        </w:rPr>
        <w:t>senior high school students’</w:t>
      </w:r>
      <w:r w:rsidR="000139B9" w:rsidRPr="009A696E">
        <w:rPr>
          <w:rFonts w:eastAsia="Times New Roman" w:cs="Times New Roman"/>
          <w:sz w:val="20"/>
          <w:szCs w:val="20"/>
        </w:rPr>
        <w:t xml:space="preserve"> </w:t>
      </w:r>
      <w:r w:rsidR="00392BA6" w:rsidRPr="009A696E">
        <w:rPr>
          <w:rFonts w:eastAsia="Times New Roman" w:cs="Times New Roman"/>
          <w:sz w:val="20"/>
          <w:szCs w:val="20"/>
        </w:rPr>
        <w:t xml:space="preserve">satisfaction of the quality of accounting lessons </w:t>
      </w:r>
      <w:r w:rsidR="000139B9" w:rsidRPr="009A696E">
        <w:rPr>
          <w:rFonts w:eastAsia="Times New Roman" w:cs="Times New Roman"/>
          <w:sz w:val="20"/>
          <w:szCs w:val="20"/>
        </w:rPr>
        <w:t>(</w:t>
      </w:r>
      <w:r w:rsidR="00392BA6" w:rsidRPr="009A696E">
        <w:rPr>
          <w:rFonts w:eastAsia="Times New Roman" w:cs="Times New Roman"/>
          <w:sz w:val="20"/>
          <w:szCs w:val="20"/>
        </w:rPr>
        <w:t>Debrah &amp; Dwommor, 2021</w:t>
      </w:r>
      <w:r w:rsidR="000139B9" w:rsidRPr="009A696E">
        <w:rPr>
          <w:rFonts w:eastAsia="Times New Roman" w:cs="Times New Roman"/>
          <w:sz w:val="20"/>
          <w:szCs w:val="20"/>
        </w:rPr>
        <w:t>)</w:t>
      </w:r>
      <w:r w:rsidR="000F63A3" w:rsidRPr="009A696E">
        <w:rPr>
          <w:rFonts w:eastAsia="Times New Roman" w:cs="Times New Roman"/>
          <w:sz w:val="20"/>
          <w:szCs w:val="20"/>
        </w:rPr>
        <w:t xml:space="preserve">. </w:t>
      </w:r>
      <w:r w:rsidR="000139B9" w:rsidRPr="009A696E">
        <w:rPr>
          <w:rFonts w:eastAsia="Times New Roman" w:cs="Times New Roman"/>
          <w:sz w:val="20"/>
          <w:szCs w:val="20"/>
        </w:rPr>
        <w:t xml:space="preserve">Therefore, we </w:t>
      </w:r>
      <w:r w:rsidR="00392BA6" w:rsidRPr="009A696E">
        <w:rPr>
          <w:rFonts w:eastAsia="Times New Roman" w:cs="Times New Roman"/>
          <w:sz w:val="20"/>
          <w:szCs w:val="20"/>
        </w:rPr>
        <w:t>propose</w:t>
      </w:r>
      <w:r w:rsidR="000139B9" w:rsidRPr="009A696E">
        <w:rPr>
          <w:rFonts w:eastAsia="Times New Roman" w:cs="Times New Roman"/>
          <w:sz w:val="20"/>
          <w:szCs w:val="20"/>
        </w:rPr>
        <w:t xml:space="preserve"> that t</w:t>
      </w:r>
      <w:r w:rsidR="000F63A3" w:rsidRPr="009A696E">
        <w:rPr>
          <w:rFonts w:eastAsia="Times New Roman" w:cs="Times New Roman"/>
          <w:sz w:val="20"/>
          <w:szCs w:val="20"/>
        </w:rPr>
        <w:t xml:space="preserve">he SERVQUAL </w:t>
      </w:r>
      <w:r w:rsidR="004B6A45" w:rsidRPr="009A696E">
        <w:rPr>
          <w:rFonts w:eastAsia="Times New Roman" w:cs="Times New Roman"/>
          <w:sz w:val="20"/>
          <w:szCs w:val="20"/>
        </w:rPr>
        <w:t>dimensions:</w:t>
      </w:r>
      <w:r w:rsidR="004B6A45" w:rsidRPr="009A696E">
        <w:rPr>
          <w:rFonts w:eastAsia="Times New Roman" w:cs="Times New Roman"/>
          <w:b/>
          <w:bCs/>
          <w:sz w:val="20"/>
          <w:szCs w:val="20"/>
        </w:rPr>
        <w:t xml:space="preserve"> </w:t>
      </w:r>
      <w:r w:rsidR="004B6A45" w:rsidRPr="009A696E">
        <w:rPr>
          <w:rFonts w:eastAsia="Times New Roman" w:cs="Times New Roman"/>
          <w:i/>
          <w:iCs/>
          <w:sz w:val="20"/>
          <w:szCs w:val="20"/>
        </w:rPr>
        <w:t>tangibility</w:t>
      </w:r>
      <w:r w:rsidR="000F63A3" w:rsidRPr="009A696E">
        <w:rPr>
          <w:rFonts w:eastAsia="Times New Roman" w:cs="Times New Roman"/>
          <w:i/>
          <w:iCs/>
          <w:sz w:val="20"/>
          <w:szCs w:val="20"/>
        </w:rPr>
        <w:t>, reliability, responsiveness, assurance, and empathy</w:t>
      </w:r>
      <w:r w:rsidR="004B6A45" w:rsidRPr="009A696E">
        <w:rPr>
          <w:rFonts w:eastAsia="Times New Roman" w:cs="Times New Roman"/>
          <w:sz w:val="20"/>
          <w:szCs w:val="20"/>
        </w:rPr>
        <w:t xml:space="preserve"> </w:t>
      </w:r>
      <w:r w:rsidR="00392BA6" w:rsidRPr="009A696E">
        <w:rPr>
          <w:rFonts w:eastAsia="Times New Roman" w:cs="Times New Roman"/>
          <w:sz w:val="20"/>
          <w:szCs w:val="20"/>
        </w:rPr>
        <w:t>are important aspects for evaluating</w:t>
      </w:r>
      <w:r w:rsidR="000F63A3" w:rsidRPr="009A696E">
        <w:rPr>
          <w:rFonts w:eastAsia="Times New Roman" w:cs="Times New Roman"/>
          <w:sz w:val="20"/>
          <w:szCs w:val="20"/>
        </w:rPr>
        <w:t xml:space="preserve"> the quality of </w:t>
      </w:r>
      <w:r w:rsidR="004B6A45" w:rsidRPr="009A696E">
        <w:rPr>
          <w:rFonts w:eastAsia="Times New Roman" w:cs="Times New Roman"/>
          <w:sz w:val="20"/>
          <w:szCs w:val="20"/>
        </w:rPr>
        <w:t xml:space="preserve">financial accounting teaching </w:t>
      </w:r>
      <w:r w:rsidR="000F63A3" w:rsidRPr="009A696E">
        <w:rPr>
          <w:rFonts w:eastAsia="Times New Roman" w:cs="Times New Roman"/>
          <w:sz w:val="20"/>
          <w:szCs w:val="20"/>
        </w:rPr>
        <w:t xml:space="preserve">and </w:t>
      </w:r>
      <w:r w:rsidR="00392BA6" w:rsidRPr="009A696E">
        <w:rPr>
          <w:rFonts w:eastAsia="Times New Roman" w:cs="Times New Roman"/>
          <w:sz w:val="20"/>
          <w:szCs w:val="20"/>
        </w:rPr>
        <w:t>that these</w:t>
      </w:r>
      <w:r w:rsidR="000F63A3" w:rsidRPr="009A696E">
        <w:rPr>
          <w:rFonts w:eastAsia="Times New Roman" w:cs="Times New Roman"/>
          <w:sz w:val="20"/>
          <w:szCs w:val="20"/>
        </w:rPr>
        <w:t xml:space="preserve"> </w:t>
      </w:r>
      <w:r w:rsidR="003133A9" w:rsidRPr="009A696E">
        <w:rPr>
          <w:rFonts w:eastAsia="Times New Roman" w:cs="Times New Roman"/>
          <w:sz w:val="20"/>
          <w:szCs w:val="20"/>
        </w:rPr>
        <w:t>have profound effects</w:t>
      </w:r>
      <w:r w:rsidR="00392BA6" w:rsidRPr="009A696E">
        <w:rPr>
          <w:rFonts w:eastAsia="Times New Roman" w:cs="Times New Roman"/>
          <w:sz w:val="20"/>
          <w:szCs w:val="20"/>
        </w:rPr>
        <w:t xml:space="preserve"> </w:t>
      </w:r>
      <w:r w:rsidR="003133A9" w:rsidRPr="009A696E">
        <w:rPr>
          <w:rFonts w:eastAsia="Times New Roman" w:cs="Times New Roman"/>
          <w:sz w:val="20"/>
          <w:szCs w:val="20"/>
        </w:rPr>
        <w:t xml:space="preserve">on </w:t>
      </w:r>
      <w:r w:rsidR="007745F7" w:rsidRPr="009A696E">
        <w:rPr>
          <w:rFonts w:eastAsia="Times New Roman" w:cs="Times New Roman"/>
          <w:sz w:val="20"/>
          <w:szCs w:val="20"/>
        </w:rPr>
        <w:t>academic</w:t>
      </w:r>
      <w:r w:rsidR="000F63A3" w:rsidRPr="009A696E">
        <w:rPr>
          <w:rFonts w:eastAsia="Times New Roman" w:cs="Times New Roman"/>
          <w:sz w:val="20"/>
          <w:szCs w:val="20"/>
        </w:rPr>
        <w:t xml:space="preserve"> </w:t>
      </w:r>
      <w:r w:rsidR="003133A9" w:rsidRPr="009A696E">
        <w:rPr>
          <w:rFonts w:eastAsia="Times New Roman" w:cs="Times New Roman"/>
          <w:sz w:val="20"/>
          <w:szCs w:val="20"/>
        </w:rPr>
        <w:t>performance</w:t>
      </w:r>
      <w:r w:rsidR="0012588A" w:rsidRPr="009A696E">
        <w:rPr>
          <w:rFonts w:eastAsia="Times New Roman" w:cs="Times New Roman"/>
          <w:sz w:val="20"/>
          <w:szCs w:val="20"/>
        </w:rPr>
        <w:t xml:space="preserve">. </w:t>
      </w:r>
      <w:r w:rsidR="00ED1FE3" w:rsidRPr="009A696E">
        <w:rPr>
          <w:rFonts w:eastAsia="Times New Roman" w:cs="Times New Roman"/>
          <w:sz w:val="20"/>
          <w:szCs w:val="20"/>
        </w:rPr>
        <w:t>The following paragraphs proposes and provide further justifications for the hypotheses</w:t>
      </w:r>
      <w:r w:rsidR="005A55F4" w:rsidRPr="009A696E">
        <w:rPr>
          <w:rFonts w:eastAsia="Times New Roman" w:cs="Times New Roman"/>
          <w:sz w:val="20"/>
          <w:szCs w:val="20"/>
        </w:rPr>
        <w:t xml:space="preserve"> (H1-H5)</w:t>
      </w:r>
      <w:r w:rsidR="0012588A" w:rsidRPr="009A696E">
        <w:rPr>
          <w:rFonts w:eastAsia="Times New Roman" w:cs="Times New Roman"/>
          <w:sz w:val="20"/>
          <w:szCs w:val="20"/>
        </w:rPr>
        <w:t xml:space="preserve">. Fig. 1 illustrates the hypothesized model.  </w:t>
      </w:r>
    </w:p>
    <w:p w14:paraId="342BA019" w14:textId="35D1BA28" w:rsidR="00AE32C2" w:rsidRPr="009A696E" w:rsidRDefault="00AE32C2" w:rsidP="00AE32C2">
      <w:pPr>
        <w:spacing w:before="240" w:line="240" w:lineRule="auto"/>
        <w:rPr>
          <w:rFonts w:eastAsia="Times New Roman" w:cs="Times New Roman"/>
          <w:i/>
          <w:iCs/>
          <w:sz w:val="20"/>
          <w:szCs w:val="20"/>
        </w:rPr>
      </w:pPr>
      <w:r w:rsidRPr="009A696E">
        <w:rPr>
          <w:rFonts w:eastAsia="Times New Roman" w:cs="Times New Roman"/>
          <w:i/>
          <w:iCs/>
          <w:sz w:val="20"/>
          <w:szCs w:val="20"/>
        </w:rPr>
        <w:t>H1: The ability of financial accounting teachers to consistently deliver lessons in a reliable and accurate manner (reliability) positively influences students' academic performance.</w:t>
      </w:r>
    </w:p>
    <w:p w14:paraId="487B1042" w14:textId="1B354FB4" w:rsidR="00AE32C2" w:rsidRPr="009A696E" w:rsidRDefault="00AE32C2" w:rsidP="000F63A3">
      <w:pPr>
        <w:spacing w:before="240" w:line="240" w:lineRule="auto"/>
        <w:rPr>
          <w:rFonts w:eastAsia="Times New Roman" w:cs="Times New Roman"/>
          <w:sz w:val="20"/>
          <w:szCs w:val="20"/>
        </w:rPr>
      </w:pPr>
      <w:r w:rsidRPr="009A696E">
        <w:rPr>
          <w:rFonts w:eastAsia="Times New Roman" w:cs="Times New Roman"/>
          <w:sz w:val="20"/>
          <w:szCs w:val="20"/>
        </w:rPr>
        <w:t xml:space="preserve">Reliability, defined as the ability of teachers to deliver consistent, accurate, and well-prepared lessons, fosters a stable learning environment that enhances student confidence and performance. Research by Alvesson (2013) and Belsito (2016) indicates that students who perceive their teachers as </w:t>
      </w:r>
      <w:r w:rsidR="003525D0" w:rsidRPr="009A696E">
        <w:rPr>
          <w:rFonts w:eastAsia="Times New Roman" w:cs="Times New Roman"/>
          <w:sz w:val="20"/>
          <w:szCs w:val="20"/>
        </w:rPr>
        <w:t>trustworthy</w:t>
      </w:r>
      <w:r w:rsidRPr="009A696E">
        <w:rPr>
          <w:rFonts w:eastAsia="Times New Roman" w:cs="Times New Roman"/>
          <w:sz w:val="20"/>
          <w:szCs w:val="20"/>
        </w:rPr>
        <w:t xml:space="preserve"> tend to perform better academically, as they benefit from clear, predictable instruction and consistent feedback. When students trust that their teachers are reliable, their engagement and performance improve (Darling-Hammond, 2017). In the context of financial accounting, where precision and clarity are critical, reliable teaching ensures students grasp complex concepts and are better prepared for assessments. A study by Sohil and Hassan (2019) found that the reliability of instructors positively influenced student satisfaction, which in turn led to improved academic outcomes. This reinforces the idea that reliable teaching is a positive factor in enhancing students' academic performance in financial accounting.</w:t>
      </w:r>
    </w:p>
    <w:p w14:paraId="2ED08FCE" w14:textId="502BDA1D" w:rsidR="00AE32C2" w:rsidRPr="009A696E" w:rsidRDefault="00AE32C2" w:rsidP="00AE32C2">
      <w:pPr>
        <w:spacing w:before="240" w:line="240" w:lineRule="auto"/>
        <w:rPr>
          <w:rFonts w:eastAsia="Times New Roman" w:cs="Times New Roman"/>
          <w:i/>
          <w:iCs/>
          <w:sz w:val="20"/>
          <w:szCs w:val="20"/>
        </w:rPr>
      </w:pPr>
      <w:r w:rsidRPr="009A696E">
        <w:rPr>
          <w:rFonts w:eastAsia="Times New Roman" w:cs="Times New Roman"/>
          <w:i/>
          <w:iCs/>
          <w:sz w:val="20"/>
          <w:szCs w:val="20"/>
        </w:rPr>
        <w:t>H2: Teachers' willingness to respond promptly to students’ needs and questions (responsiveness) positively affects financial accounting students' academic performance.</w:t>
      </w:r>
    </w:p>
    <w:p w14:paraId="524B5389" w14:textId="22B3A789" w:rsidR="00AE32C2" w:rsidRPr="009A696E" w:rsidRDefault="00AE32C2" w:rsidP="000F63A3">
      <w:pPr>
        <w:spacing w:before="240" w:line="240" w:lineRule="auto"/>
        <w:rPr>
          <w:rFonts w:eastAsia="Times New Roman" w:cs="Times New Roman"/>
          <w:sz w:val="20"/>
          <w:szCs w:val="20"/>
        </w:rPr>
      </w:pPr>
      <w:r w:rsidRPr="009A696E">
        <w:rPr>
          <w:rFonts w:eastAsia="Times New Roman" w:cs="Times New Roman"/>
          <w:sz w:val="20"/>
          <w:szCs w:val="20"/>
        </w:rPr>
        <w:t>Responsiveness includes timely feedback, adapting instruction to students' learning styles, and recognizing individual progress. Studies have shown that when teachers are responsive to students' needs, whether academic, emotional, or behavioral, it fosters a supportive learning environment that positively affects their engagement and achievement (Hattie, 2009; Pianta et al., 2008). Research highlights that responsive teaching not only improves students' understanding of the material but also boosts their motivation, self-efficacy, and overall academic success (Reeve, 2006). Furthermore, teachers' ability to respond to challenges, such as misunderstandings or socio-emotional difficulties, is linked to higher student satisfaction and a stronger sense of classroom community, which collectively contribute to improved performance (Hamre &amp; Pianta, 2001). Responsiveness has been identified as a critical factor in enhancing student satisfaction (Stodnick &amp; Rogers, 2008). When teachers are responsive, students are more likely to engage actively in learning, which boosts their performance (Debrah &amp; Dwommor, 2021).</w:t>
      </w:r>
    </w:p>
    <w:p w14:paraId="73694548" w14:textId="215361B8" w:rsidR="00004FC0" w:rsidRPr="009A696E" w:rsidRDefault="00004FC0" w:rsidP="000F63A3">
      <w:pPr>
        <w:spacing w:before="240" w:line="240" w:lineRule="auto"/>
        <w:rPr>
          <w:rFonts w:eastAsia="Times New Roman" w:cs="Times New Roman"/>
          <w:i/>
          <w:iCs/>
          <w:sz w:val="20"/>
          <w:szCs w:val="20"/>
        </w:rPr>
      </w:pPr>
      <w:r w:rsidRPr="009A696E">
        <w:rPr>
          <w:rFonts w:eastAsia="Times New Roman" w:cs="Times New Roman"/>
          <w:i/>
          <w:iCs/>
          <w:sz w:val="20"/>
          <w:szCs w:val="20"/>
        </w:rPr>
        <w:t>H</w:t>
      </w:r>
      <w:r w:rsidR="00AE32C2" w:rsidRPr="009A696E">
        <w:rPr>
          <w:rFonts w:eastAsia="Times New Roman" w:cs="Times New Roman"/>
          <w:i/>
          <w:iCs/>
          <w:sz w:val="20"/>
          <w:szCs w:val="20"/>
        </w:rPr>
        <w:t>3</w:t>
      </w:r>
      <w:r w:rsidRPr="009A696E">
        <w:rPr>
          <w:rFonts w:eastAsia="Times New Roman" w:cs="Times New Roman"/>
          <w:i/>
          <w:iCs/>
          <w:sz w:val="20"/>
          <w:szCs w:val="20"/>
        </w:rPr>
        <w:t>: Teachers' competence, knowledge, and ability to inspire confidence (assurance) positively affect financial accounting students' academic performance.</w:t>
      </w:r>
    </w:p>
    <w:p w14:paraId="43FFBDB8" w14:textId="478845F7" w:rsidR="004B16E3" w:rsidRPr="009A696E" w:rsidRDefault="002306EA" w:rsidP="000F63A3">
      <w:pPr>
        <w:spacing w:before="240" w:line="240" w:lineRule="auto"/>
        <w:rPr>
          <w:rFonts w:eastAsia="Times New Roman" w:cs="Times New Roman"/>
          <w:sz w:val="20"/>
          <w:szCs w:val="20"/>
        </w:rPr>
      </w:pPr>
      <w:r w:rsidRPr="009A696E">
        <w:rPr>
          <w:rFonts w:eastAsia="Times New Roman" w:cs="Times New Roman"/>
          <w:sz w:val="20"/>
          <w:szCs w:val="20"/>
        </w:rPr>
        <w:t>Assurance, which involves teacher knowledge, expertise, and ability to build trust, has a strong positive correlation with student satisfaction (Li et al., 2023; Darling-Hammond, 2017). Competent teachers foster analytical skills and academic achievement (Ingersoll &amp; Strong, 2011).</w:t>
      </w:r>
      <w:r w:rsidR="004B16E3" w:rsidRPr="009A696E">
        <w:rPr>
          <w:rFonts w:eastAsia="Times New Roman" w:cs="Times New Roman"/>
          <w:sz w:val="20"/>
          <w:szCs w:val="20"/>
        </w:rPr>
        <w:t xml:space="preserve"> </w:t>
      </w:r>
      <w:r w:rsidR="00126365" w:rsidRPr="009A696E">
        <w:rPr>
          <w:rFonts w:eastAsia="Times New Roman" w:cs="Times New Roman"/>
          <w:sz w:val="20"/>
          <w:szCs w:val="20"/>
        </w:rPr>
        <w:t>S</w:t>
      </w:r>
      <w:r w:rsidR="004B16E3" w:rsidRPr="009A696E">
        <w:rPr>
          <w:rFonts w:eastAsia="Times New Roman" w:cs="Times New Roman"/>
          <w:sz w:val="20"/>
          <w:szCs w:val="20"/>
        </w:rPr>
        <w:t xml:space="preserve">tudents' perceptions of their teachers' expertise and subject </w:t>
      </w:r>
      <w:r w:rsidR="004B16E3" w:rsidRPr="009A696E">
        <w:rPr>
          <w:rFonts w:eastAsia="Times New Roman" w:cs="Times New Roman"/>
          <w:sz w:val="20"/>
          <w:szCs w:val="20"/>
        </w:rPr>
        <w:lastRenderedPageBreak/>
        <w:t>knowledge directly influence their learning outcomes, as knowledgeable instructors provide clear, accurate explanations that facilitate better understanding (</w:t>
      </w:r>
      <w:r w:rsidR="008718E4" w:rsidRPr="009A696E">
        <w:rPr>
          <w:rFonts w:eastAsia="Times New Roman" w:cs="Times New Roman"/>
          <w:sz w:val="20"/>
          <w:szCs w:val="20"/>
        </w:rPr>
        <w:t>Hill &amp; Chin</w:t>
      </w:r>
      <w:r w:rsidR="004B16E3" w:rsidRPr="009A696E">
        <w:rPr>
          <w:rFonts w:eastAsia="Times New Roman" w:cs="Times New Roman"/>
          <w:sz w:val="20"/>
          <w:szCs w:val="20"/>
        </w:rPr>
        <w:t>, 2017). Moreover, teachers who demonstrate competence in both the subject matter and pedagogical techniques foster a positive learning environment that enhances students' engagement and motivation (Tschannen-Moran et al., 1998). Teachers' ability to inspire confidence and assurance in their students also plays a crucial role in academic performance, as students who feel confident in their teachers' abilities are more likely to actively participate and apply themselves to learning (Feldman, 1988). Studies show that when students trust their instructors' competence, they experience less anxiety and are more likely to perform better, particularly in subjects like financial accounting, which require both conceptual understanding and practical application (</w:t>
      </w:r>
      <w:r w:rsidR="008718E4" w:rsidRPr="009A696E">
        <w:rPr>
          <w:rFonts w:eastAsia="Times New Roman" w:cs="Times New Roman"/>
          <w:sz w:val="20"/>
          <w:szCs w:val="20"/>
        </w:rPr>
        <w:t>Frisby et al., 2014</w:t>
      </w:r>
      <w:r w:rsidR="004B16E3" w:rsidRPr="009A696E">
        <w:rPr>
          <w:rFonts w:eastAsia="Times New Roman" w:cs="Times New Roman"/>
          <w:sz w:val="20"/>
          <w:szCs w:val="20"/>
        </w:rPr>
        <w:t>).</w:t>
      </w:r>
    </w:p>
    <w:p w14:paraId="6E05D9CA" w14:textId="6D49DF19" w:rsidR="00004FC0" w:rsidRPr="009A696E" w:rsidRDefault="00004FC0" w:rsidP="000F63A3">
      <w:pPr>
        <w:spacing w:before="240" w:line="240" w:lineRule="auto"/>
        <w:rPr>
          <w:rFonts w:eastAsia="Times New Roman" w:cs="Times New Roman"/>
          <w:i/>
          <w:iCs/>
          <w:sz w:val="20"/>
          <w:szCs w:val="20"/>
        </w:rPr>
      </w:pPr>
      <w:r w:rsidRPr="009A696E">
        <w:rPr>
          <w:rFonts w:eastAsia="Times New Roman" w:cs="Times New Roman"/>
          <w:i/>
          <w:iCs/>
          <w:sz w:val="20"/>
          <w:szCs w:val="20"/>
        </w:rPr>
        <w:t>H</w:t>
      </w:r>
      <w:r w:rsidR="00AE32C2" w:rsidRPr="009A696E">
        <w:rPr>
          <w:rFonts w:eastAsia="Times New Roman" w:cs="Times New Roman"/>
          <w:i/>
          <w:iCs/>
          <w:sz w:val="20"/>
          <w:szCs w:val="20"/>
        </w:rPr>
        <w:t>4</w:t>
      </w:r>
      <w:r w:rsidRPr="009A696E">
        <w:rPr>
          <w:rFonts w:eastAsia="Times New Roman" w:cs="Times New Roman"/>
          <w:i/>
          <w:iCs/>
          <w:sz w:val="20"/>
          <w:szCs w:val="20"/>
        </w:rPr>
        <w:t>: Teachers' ability to provide individualized attention and show empathy positively influences the academic performance of financial accounting students.</w:t>
      </w:r>
    </w:p>
    <w:p w14:paraId="299D1C17" w14:textId="23D69D4F" w:rsidR="00500B09" w:rsidRPr="009A696E" w:rsidRDefault="002306EA" w:rsidP="00C8245B">
      <w:pPr>
        <w:spacing w:before="240" w:line="240" w:lineRule="auto"/>
        <w:rPr>
          <w:rFonts w:eastAsia="Times New Roman" w:cs="Times New Roman"/>
          <w:sz w:val="20"/>
          <w:szCs w:val="20"/>
        </w:rPr>
      </w:pPr>
      <w:r w:rsidRPr="009A696E">
        <w:rPr>
          <w:rFonts w:eastAsia="Times New Roman" w:cs="Times New Roman"/>
          <w:sz w:val="20"/>
          <w:szCs w:val="20"/>
        </w:rPr>
        <w:t>Empathy, defined as understanding and addressing individual student needs, significantly enhances student satisfaction and learning outcomes (Sohil &amp; Hassan, 2019; Magasi et al., 2022). Personalized attention and care improve engagement and retention rates (Belsito, 2016).</w:t>
      </w:r>
      <w:r w:rsidR="004B16E3" w:rsidRPr="009A696E">
        <w:rPr>
          <w:rFonts w:eastAsia="Times New Roman" w:cs="Times New Roman"/>
          <w:sz w:val="20"/>
          <w:szCs w:val="20"/>
        </w:rPr>
        <w:t xml:space="preserve"> Research has demonstrated that when teachers are able to attend to students' individual learning needs, students benefit from personalized support that enhances their understanding of complex topics, such as those found in financial accounting (Darling-Hammond, 2000). Teachers who show empathy, by acknowledging students' challenges and providing emotional support, contribute to a positive learning environment that fosters student motivation, reduces anxiety, and encourages persistence (</w:t>
      </w:r>
      <w:proofErr w:type="spellStart"/>
      <w:r w:rsidR="004B16E3" w:rsidRPr="009A696E">
        <w:rPr>
          <w:rFonts w:eastAsia="Times New Roman" w:cs="Times New Roman"/>
          <w:sz w:val="20"/>
          <w:szCs w:val="20"/>
        </w:rPr>
        <w:t>Poulou</w:t>
      </w:r>
      <w:proofErr w:type="spellEnd"/>
      <w:r w:rsidR="004B16E3" w:rsidRPr="009A696E">
        <w:rPr>
          <w:rFonts w:eastAsia="Times New Roman" w:cs="Times New Roman"/>
          <w:sz w:val="20"/>
          <w:szCs w:val="20"/>
        </w:rPr>
        <w:t>, 2017). Studies have also shown that students who feel personally supported by their teachers are more likely to engage in the learning process, participate in class discussions, and seek help when needed, which in turn improves academic performance (Wentzel, 2010). The combination of individualized attention and empathy helps students develop a deeper sense of trust in their teachers, promoting a more effective learning experience and better academic outcomes in subjects like financial accounting, which often require a high degree of conceptual understanding and practical application (Schneider &amp; Preckel, 2017)</w:t>
      </w:r>
      <w:r w:rsidR="00AE32C2" w:rsidRPr="009A696E">
        <w:rPr>
          <w:rFonts w:eastAsia="Times New Roman" w:cs="Times New Roman"/>
          <w:sz w:val="20"/>
          <w:szCs w:val="20"/>
        </w:rPr>
        <w:t>.</w:t>
      </w:r>
    </w:p>
    <w:p w14:paraId="3E47C802" w14:textId="77777777" w:rsidR="00AE32C2" w:rsidRPr="009A696E" w:rsidRDefault="00AE32C2" w:rsidP="00AE32C2">
      <w:pPr>
        <w:spacing w:before="240" w:line="240" w:lineRule="auto"/>
        <w:rPr>
          <w:rFonts w:eastAsia="Times New Roman" w:cs="Times New Roman"/>
          <w:i/>
          <w:iCs/>
          <w:sz w:val="20"/>
          <w:szCs w:val="20"/>
        </w:rPr>
      </w:pPr>
      <w:r w:rsidRPr="009A696E">
        <w:rPr>
          <w:rFonts w:eastAsia="Times New Roman" w:cs="Times New Roman"/>
          <w:i/>
          <w:iCs/>
          <w:sz w:val="20"/>
          <w:szCs w:val="20"/>
        </w:rPr>
        <w:t>H5: The quality of classroom environment, facilities, and instructional materials (tangibility) positively influences the academic performance of financial accounting students.</w:t>
      </w:r>
    </w:p>
    <w:p w14:paraId="54E5FD57" w14:textId="612EF23B" w:rsidR="00AE32C2" w:rsidRPr="009A696E" w:rsidRDefault="00AE32C2" w:rsidP="00C8245B">
      <w:pPr>
        <w:spacing w:before="240" w:line="240" w:lineRule="auto"/>
        <w:rPr>
          <w:rFonts w:eastAsia="Times New Roman" w:cs="Times New Roman"/>
          <w:sz w:val="20"/>
          <w:szCs w:val="20"/>
        </w:rPr>
      </w:pPr>
      <w:r w:rsidRPr="009A696E">
        <w:rPr>
          <w:rFonts w:eastAsia="Times New Roman" w:cs="Times New Roman"/>
          <w:sz w:val="20"/>
          <w:szCs w:val="20"/>
        </w:rPr>
        <w:t xml:space="preserve">Empirical studies have shown that tangibles such as physical facilities and learning resources significantly affect students' perceptions of service quality (Magasi et al., 2022). Inadequate facilities can lead to dissatisfaction and hinder learning outcomes (Debrah &amp; Dwommor, 2021). A well-maintained classroom with appropriate lighting, comfortable seating, and access to technology fosters better engagement and concentration, leading to improved learning outcomes (Malik &amp; Rizvi, 2018). The availability of high-quality facilities and resources such as textbooks, software, and multimedia materials enhance students' understanding and application of complex concepts (Shami &amp; Hussain, 2005). A study by Kausar et al. (2017) also found that instructional materials significantly improve student interest and engagement in the subject matter. Furthermore, the integration of technology, especially in financial accounting education, helps students develop practical skills that improve academic performance (Lupo, 2013). </w:t>
      </w:r>
    </w:p>
    <w:p w14:paraId="4C2487F5" w14:textId="1098DD57" w:rsidR="00963CDA" w:rsidRPr="009A696E" w:rsidRDefault="00963CDA" w:rsidP="00C8245B">
      <w:pPr>
        <w:spacing w:before="240" w:line="240" w:lineRule="auto"/>
        <w:rPr>
          <w:rFonts w:eastAsia="Times New Roman" w:cs="Times New Roman"/>
          <w:sz w:val="20"/>
          <w:szCs w:val="20"/>
        </w:rPr>
      </w:pPr>
    </w:p>
    <w:p w14:paraId="30808FEE" w14:textId="77777777" w:rsidR="00963CDA" w:rsidRDefault="00963CDA" w:rsidP="00C8245B">
      <w:pPr>
        <w:spacing w:before="240" w:line="240" w:lineRule="auto"/>
        <w:rPr>
          <w:rFonts w:cs="Times New Roman"/>
          <w:sz w:val="20"/>
          <w:szCs w:val="20"/>
        </w:rPr>
      </w:pPr>
    </w:p>
    <w:p w14:paraId="40A0A674" w14:textId="7FC30672" w:rsidR="009A696E" w:rsidRDefault="001E4C20" w:rsidP="00C8245B">
      <w:pPr>
        <w:spacing w:before="240" w:line="240" w:lineRule="auto"/>
        <w:rPr>
          <w:rFonts w:cs="Times New Roman"/>
          <w:sz w:val="20"/>
          <w:szCs w:val="20"/>
        </w:rPr>
      </w:pPr>
      <w:r w:rsidRPr="009A696E">
        <w:rPr>
          <w:rFonts w:cs="Times New Roman"/>
          <w:noProof/>
          <w:sz w:val="20"/>
          <w:szCs w:val="20"/>
          <w:lang w:val="en-US"/>
        </w:rPr>
        <mc:AlternateContent>
          <mc:Choice Requires="wpg">
            <w:drawing>
              <wp:anchor distT="0" distB="0" distL="114300" distR="114300" simplePos="0" relativeHeight="251658240" behindDoc="0" locked="0" layoutInCell="1" allowOverlap="1" wp14:anchorId="26258C35" wp14:editId="77DB3F7E">
                <wp:simplePos x="0" y="0"/>
                <wp:positionH relativeFrom="margin">
                  <wp:align>left</wp:align>
                </wp:positionH>
                <wp:positionV relativeFrom="paragraph">
                  <wp:posOffset>-241935</wp:posOffset>
                </wp:positionV>
                <wp:extent cx="4381500" cy="2407920"/>
                <wp:effectExtent l="0" t="0" r="19050" b="11430"/>
                <wp:wrapNone/>
                <wp:docPr id="1771016939" name="Group 10"/>
                <wp:cNvGraphicFramePr/>
                <a:graphic xmlns:a="http://schemas.openxmlformats.org/drawingml/2006/main">
                  <a:graphicData uri="http://schemas.microsoft.com/office/word/2010/wordprocessingGroup">
                    <wpg:wgp>
                      <wpg:cNvGrpSpPr/>
                      <wpg:grpSpPr>
                        <a:xfrm>
                          <a:off x="0" y="0"/>
                          <a:ext cx="4381500" cy="2407920"/>
                          <a:chOff x="-495300" y="0"/>
                          <a:chExt cx="4351020" cy="2598420"/>
                        </a:xfrm>
                      </wpg:grpSpPr>
                      <wps:wsp>
                        <wps:cNvPr id="936978120" name="Text Box 2"/>
                        <wps:cNvSpPr txBox="1"/>
                        <wps:spPr>
                          <a:xfrm>
                            <a:off x="2849880" y="0"/>
                            <a:ext cx="876300" cy="342900"/>
                          </a:xfrm>
                          <a:prstGeom prst="rect">
                            <a:avLst/>
                          </a:prstGeom>
                          <a:solidFill>
                            <a:schemeClr val="lt1"/>
                          </a:solidFill>
                          <a:ln w="6350">
                            <a:solidFill>
                              <a:schemeClr val="tx1"/>
                            </a:solidFill>
                          </a:ln>
                        </wps:spPr>
                        <wps:txbx>
                          <w:txbxContent>
                            <w:p w14:paraId="282C533C" w14:textId="77777777" w:rsidR="00963CDA" w:rsidRDefault="00963CDA" w:rsidP="00963CDA">
                              <w:r>
                                <w:t>Reliability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5390312" name="Text Box 2"/>
                        <wps:cNvSpPr txBox="1"/>
                        <wps:spPr>
                          <a:xfrm>
                            <a:off x="2667000" y="594360"/>
                            <a:ext cx="1188720" cy="342900"/>
                          </a:xfrm>
                          <a:prstGeom prst="rect">
                            <a:avLst/>
                          </a:prstGeom>
                          <a:solidFill>
                            <a:schemeClr val="lt1"/>
                          </a:solidFill>
                          <a:ln w="6350">
                            <a:solidFill>
                              <a:schemeClr val="tx1"/>
                            </a:solidFill>
                          </a:ln>
                        </wps:spPr>
                        <wps:txbx>
                          <w:txbxContent>
                            <w:p w14:paraId="5DE2299D" w14:textId="77777777" w:rsidR="00963CDA" w:rsidRDefault="00963CDA" w:rsidP="00963CDA">
                              <w:r>
                                <w:t>Responsiveness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7320360" name="Text Box 2"/>
                        <wps:cNvSpPr txBox="1"/>
                        <wps:spPr>
                          <a:xfrm>
                            <a:off x="2811780" y="1226820"/>
                            <a:ext cx="876300" cy="342900"/>
                          </a:xfrm>
                          <a:prstGeom prst="rect">
                            <a:avLst/>
                          </a:prstGeom>
                          <a:solidFill>
                            <a:sysClr val="window" lastClr="FFFFFF"/>
                          </a:solidFill>
                          <a:ln w="6350">
                            <a:solidFill>
                              <a:schemeClr val="tx1"/>
                            </a:solidFill>
                          </a:ln>
                        </wps:spPr>
                        <wps:txbx>
                          <w:txbxContent>
                            <w:p w14:paraId="26569333" w14:textId="77777777" w:rsidR="00963CDA" w:rsidRDefault="00963CDA" w:rsidP="00963CDA">
                              <w:r>
                                <w:t>Assurance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5134263" name="Text Box 2"/>
                        <wps:cNvSpPr txBox="1"/>
                        <wps:spPr>
                          <a:xfrm>
                            <a:off x="2849880" y="1744980"/>
                            <a:ext cx="876300" cy="342900"/>
                          </a:xfrm>
                          <a:prstGeom prst="rect">
                            <a:avLst/>
                          </a:prstGeom>
                          <a:solidFill>
                            <a:schemeClr val="lt1"/>
                          </a:solidFill>
                          <a:ln w="6350">
                            <a:solidFill>
                              <a:schemeClr val="tx1"/>
                            </a:solidFill>
                          </a:ln>
                        </wps:spPr>
                        <wps:txbx>
                          <w:txbxContent>
                            <w:p w14:paraId="2C0C2C7B" w14:textId="77777777" w:rsidR="00963CDA" w:rsidRDefault="00963CDA" w:rsidP="00963CDA">
                              <w:r>
                                <w:t>Empathy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9109179" name="Text Box 2"/>
                        <wps:cNvSpPr txBox="1"/>
                        <wps:spPr>
                          <a:xfrm>
                            <a:off x="2842260" y="2255520"/>
                            <a:ext cx="876300" cy="342900"/>
                          </a:xfrm>
                          <a:prstGeom prst="rect">
                            <a:avLst/>
                          </a:prstGeom>
                          <a:solidFill>
                            <a:schemeClr val="lt1"/>
                          </a:solidFill>
                          <a:ln w="6350">
                            <a:solidFill>
                              <a:schemeClr val="tx1"/>
                            </a:solidFill>
                          </a:ln>
                        </wps:spPr>
                        <wps:txbx>
                          <w:txbxContent>
                            <w:p w14:paraId="7C4A879D" w14:textId="77777777" w:rsidR="00963CDA" w:rsidRDefault="00963CDA" w:rsidP="00963CDA">
                              <w:r>
                                <w:t>Tangibles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3180972" name="Text Box 2"/>
                        <wps:cNvSpPr txBox="1"/>
                        <wps:spPr>
                          <a:xfrm>
                            <a:off x="-495300" y="1036320"/>
                            <a:ext cx="1508760" cy="805598"/>
                          </a:xfrm>
                          <a:prstGeom prst="rect">
                            <a:avLst/>
                          </a:prstGeom>
                          <a:solidFill>
                            <a:schemeClr val="lt1"/>
                          </a:solidFill>
                          <a:ln w="6350">
                            <a:solidFill>
                              <a:schemeClr val="tx1"/>
                            </a:solidFill>
                          </a:ln>
                        </wps:spPr>
                        <wps:txbx>
                          <w:txbxContent>
                            <w:p w14:paraId="36329B53" w14:textId="21D069D7" w:rsidR="00963CDA" w:rsidRDefault="00963CDA" w:rsidP="00963CDA">
                              <w:r>
                                <w:t xml:space="preserve">Financial Accounting </w:t>
                              </w:r>
                              <w:r w:rsidR="001E4C20">
                                <w:t xml:space="preserve">Academic </w:t>
                              </w:r>
                              <w:r>
                                <w:t>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5225364" name="Straight Arrow Connector 3"/>
                        <wps:cNvCnPr/>
                        <wps:spPr>
                          <a:xfrm flipH="1">
                            <a:off x="1013460" y="167640"/>
                            <a:ext cx="1836420" cy="1139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0888593" name="Straight Arrow Connector 4"/>
                        <wps:cNvCnPr/>
                        <wps:spPr>
                          <a:xfrm flipH="1">
                            <a:off x="1013460" y="762000"/>
                            <a:ext cx="1653540" cy="5448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6820271" name="Straight Arrow Connector 5"/>
                        <wps:cNvCnPr/>
                        <wps:spPr>
                          <a:xfrm flipH="1" flipV="1">
                            <a:off x="1013460" y="1306830"/>
                            <a:ext cx="1798320" cy="876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4468651" name="Straight Arrow Connector 6"/>
                        <wps:cNvCnPr/>
                        <wps:spPr>
                          <a:xfrm flipH="1" flipV="1">
                            <a:off x="1013460" y="1310640"/>
                            <a:ext cx="1836420" cy="6057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57808650" name="Straight Arrow Connector 7"/>
                        <wps:cNvCnPr/>
                        <wps:spPr>
                          <a:xfrm flipH="1" flipV="1">
                            <a:off x="1013460" y="1310640"/>
                            <a:ext cx="1828800" cy="11163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8697679" name="Text Box 9"/>
                        <wps:cNvSpPr txBox="1"/>
                        <wps:spPr>
                          <a:xfrm>
                            <a:off x="1760220" y="556260"/>
                            <a:ext cx="381000" cy="259080"/>
                          </a:xfrm>
                          <a:prstGeom prst="rect">
                            <a:avLst/>
                          </a:prstGeom>
                          <a:solidFill>
                            <a:schemeClr val="lt1"/>
                          </a:solidFill>
                          <a:ln w="6350">
                            <a:noFill/>
                          </a:ln>
                        </wps:spPr>
                        <wps:txbx>
                          <w:txbxContent>
                            <w:p w14:paraId="430FBDB2" w14:textId="77777777" w:rsidR="00963CDA" w:rsidRDefault="00963CDA" w:rsidP="00963CDA">
                              <w: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7726678" name="Text Box 9"/>
                        <wps:cNvSpPr txBox="1"/>
                        <wps:spPr>
                          <a:xfrm>
                            <a:off x="1821180" y="868680"/>
                            <a:ext cx="381000" cy="259080"/>
                          </a:xfrm>
                          <a:prstGeom prst="rect">
                            <a:avLst/>
                          </a:prstGeom>
                          <a:solidFill>
                            <a:schemeClr val="lt1"/>
                          </a:solidFill>
                          <a:ln w="6350">
                            <a:noFill/>
                          </a:ln>
                        </wps:spPr>
                        <wps:txbx>
                          <w:txbxContent>
                            <w:p w14:paraId="1FDC92AF" w14:textId="77777777" w:rsidR="00963CDA" w:rsidRDefault="00963CDA" w:rsidP="00963CDA">
                              <w: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5853572" name="Text Box 9"/>
                        <wps:cNvSpPr txBox="1"/>
                        <wps:spPr>
                          <a:xfrm>
                            <a:off x="2103120" y="1242060"/>
                            <a:ext cx="381000" cy="259080"/>
                          </a:xfrm>
                          <a:prstGeom prst="rect">
                            <a:avLst/>
                          </a:prstGeom>
                          <a:solidFill>
                            <a:schemeClr val="lt1"/>
                          </a:solidFill>
                          <a:ln w="6350">
                            <a:noFill/>
                          </a:ln>
                        </wps:spPr>
                        <wps:txbx>
                          <w:txbxContent>
                            <w:p w14:paraId="0B0B8BDF" w14:textId="77777777" w:rsidR="00963CDA" w:rsidRDefault="00963CDA" w:rsidP="00963CDA">
                              <w: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9482417" name="Text Box 9"/>
                        <wps:cNvSpPr txBox="1"/>
                        <wps:spPr>
                          <a:xfrm>
                            <a:off x="2110740" y="1607820"/>
                            <a:ext cx="381000" cy="259080"/>
                          </a:xfrm>
                          <a:prstGeom prst="rect">
                            <a:avLst/>
                          </a:prstGeom>
                          <a:solidFill>
                            <a:schemeClr val="lt1"/>
                          </a:solidFill>
                          <a:ln w="6350">
                            <a:noFill/>
                          </a:ln>
                        </wps:spPr>
                        <wps:txbx>
                          <w:txbxContent>
                            <w:p w14:paraId="38B06558" w14:textId="77777777" w:rsidR="00963CDA" w:rsidRDefault="00963CDA" w:rsidP="00963CDA">
                              <w: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280373" name="Text Box 9"/>
                        <wps:cNvSpPr txBox="1"/>
                        <wps:spPr>
                          <a:xfrm>
                            <a:off x="1821180" y="1821180"/>
                            <a:ext cx="381000" cy="259080"/>
                          </a:xfrm>
                          <a:prstGeom prst="rect">
                            <a:avLst/>
                          </a:prstGeom>
                          <a:solidFill>
                            <a:schemeClr val="lt1"/>
                          </a:solidFill>
                          <a:ln w="6350">
                            <a:noFill/>
                          </a:ln>
                        </wps:spPr>
                        <wps:txbx>
                          <w:txbxContent>
                            <w:p w14:paraId="6718FF1D" w14:textId="77777777" w:rsidR="00963CDA" w:rsidRDefault="00963CDA" w:rsidP="00963CDA">
                              <w:r>
                                <w:t>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258C35" id="Group 10" o:spid="_x0000_s1026" style="position:absolute;left:0;text-align:left;margin-left:0;margin-top:-19.05pt;width:345pt;height:189.6pt;z-index:251658240;mso-position-horizontal:left;mso-position-horizontal-relative:margin;mso-width-relative:margin;mso-height-relative:margin" coordorigin="-4953" coordsize="43510,25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">
                <v:shapetype id="_x0000_t202" coordsize="21600,21600" o:spt="202" path="m,l,21600r21600,l21600,xe">
                  <v:stroke joinstyle="miter"/>
                  <v:path gradientshapeok="t" o:connecttype="rect"/>
                </v:shapetype>
                <v:shape id="Text Box 2" o:spid="_x0000_s1027" type="#_x0000_t202" style="position:absolute;left:28498;width:876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" fillcolor="white [3201]" strokecolor="black [3213]" strokeweight=".5pt">
                  <v:textbox>
                    <w:txbxContent>
                      <w:p w14:paraId="282C533C" w14:textId="77777777" w:rsidR="00963CDA" w:rsidRDefault="00963CDA" w:rsidP="00963CDA">
                        <w:r>
                          <w:t>Reliability</w:t>
                        </w:r>
                      </w:p>
                    </w:txbxContent>
                  </v:textbox>
                </v:shape>
                <v:shape id="Text Box 2" o:spid="_x0000_s1028" type="#_x0000_t202" style="position:absolute;left:26670;top:5943;width:118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" fillcolor="white [3201]" strokecolor="black [3213]" strokeweight=".5pt">
                  <v:textbox>
                    <w:txbxContent>
                      <w:p w14:paraId="5DE2299D" w14:textId="77777777" w:rsidR="00963CDA" w:rsidRDefault="00963CDA" w:rsidP="00963CDA">
                        <w:r>
                          <w:t>Responsiveness</w:t>
                        </w:r>
                      </w:p>
                    </w:txbxContent>
                  </v:textbox>
                </v:shape>
                <v:shape id="Text Box 2" o:spid="_x0000_s1029" type="#_x0000_t202" style="position:absolute;left:28117;top:12268;width:876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" fillcolor="window" strokecolor="black [3213]" strokeweight=".5pt">
                  <v:textbox>
                    <w:txbxContent>
                      <w:p w14:paraId="26569333" w14:textId="77777777" w:rsidR="00963CDA" w:rsidRDefault="00963CDA" w:rsidP="00963CDA">
                        <w:r>
                          <w:t>Assurance</w:t>
                        </w:r>
                      </w:p>
                    </w:txbxContent>
                  </v:textbox>
                </v:shape>
                <v:shape id="Text Box 2" o:spid="_x0000_s1030" type="#_x0000_t202" style="position:absolute;left:28498;top:17449;width:876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" fillcolor="white [3201]" strokecolor="black [3213]" strokeweight=".5pt">
                  <v:textbox>
                    <w:txbxContent>
                      <w:p w14:paraId="2C0C2C7B" w14:textId="77777777" w:rsidR="00963CDA" w:rsidRDefault="00963CDA" w:rsidP="00963CDA">
                        <w:r>
                          <w:t>Empathy</w:t>
                        </w:r>
                      </w:p>
                    </w:txbxContent>
                  </v:textbox>
                </v:shape>
                <v:shape id="Text Box 2" o:spid="_x0000_s1031" type="#_x0000_t202" style="position:absolute;left:28422;top:22555;width:876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" fillcolor="white [3201]" strokecolor="black [3213]" strokeweight=".5pt">
                  <v:textbox>
                    <w:txbxContent>
                      <w:p w14:paraId="7C4A879D" w14:textId="77777777" w:rsidR="00963CDA" w:rsidRDefault="00963CDA" w:rsidP="00963CDA">
                        <w:r>
                          <w:t>Tangibles</w:t>
                        </w:r>
                      </w:p>
                    </w:txbxContent>
                  </v:textbox>
                </v:shape>
                <v:shape id="Text Box 2" o:spid="_x0000_s1032" type="#_x0000_t202" style="position:absolute;left:-4953;top:10363;width:15087;height:8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" fillcolor="white [3201]" strokecolor="black [3213]" strokeweight=".5pt">
                  <v:textbox>
                    <w:txbxContent>
                      <w:p w14:paraId="36329B53" w14:textId="21D069D7" w:rsidR="00963CDA" w:rsidRDefault="00963CDA" w:rsidP="00963CDA">
                        <w:r>
                          <w:t xml:space="preserve">Financial Accounting </w:t>
                        </w:r>
                        <w:r w:rsidR="001E4C20">
                          <w:t xml:space="preserve">Academic </w:t>
                        </w:r>
                        <w:r>
                          <w:t>performance</w:t>
                        </w:r>
                      </w:p>
                    </w:txbxContent>
                  </v:textbox>
                </v:shape>
                <v:shapetype id="_x0000_t32" coordsize="21600,21600" o:spt="32" o:oned="t" path="m,l21600,21600e" filled="f">
                  <v:path arrowok="t" fillok="f" o:connecttype="none"/>
                  <o:lock v:ext="edit" shapetype="t"/>
                </v:shapetype>
                <v:shape id="Straight Arrow Connector 3" o:spid="_x0000_s1033" type="#_x0000_t32" style="position:absolute;left:10134;top:1676;width:18364;height:113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" strokecolor="black [3213]" strokeweight=".5pt">
                  <v:stroke endarrow="block" joinstyle="miter"/>
                </v:shape>
                <v:shape id="Straight Arrow Connector 4" o:spid="_x0000_s1034" type="#_x0000_t32" style="position:absolute;left:10134;top:7620;width:16536;height:54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" strokecolor="black [3213]" strokeweight=".5pt">
                  <v:stroke endarrow="block" joinstyle="miter"/>
                </v:shape>
                <v:shape id="Straight Arrow Connector 5" o:spid="_x0000_s1035" type="#_x0000_t32" style="position:absolute;left:10134;top:13068;width:17983;height:8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" strokecolor="black [3213]" strokeweight=".5pt">
                  <v:stroke endarrow="block" joinstyle="miter"/>
                </v:shape>
                <v:shape id="Straight Arrow Connector 6" o:spid="_x0000_s1036" type="#_x0000_t32" style="position:absolute;left:10134;top:13106;width:18364;height:60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" strokecolor="black [3213]" strokeweight=".5pt">
                  <v:stroke endarrow="block" joinstyle="miter"/>
                </v:shape>
                <v:shape id="Straight Arrow Connector 7" o:spid="_x0000_s1037" type="#_x0000_t32" style="position:absolute;left:10134;top:13106;width:18288;height:111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" strokecolor="black [3213]" strokeweight=".5pt">
                  <v:stroke endarrow="block" joinstyle="miter"/>
                </v:shape>
                <v:shape id="Text Box 9" o:spid="_x0000_s1038" type="#_x0000_t202" style="position:absolute;left:17602;top:5562;width:381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" fillcolor="white [3201]" stroked="f" strokeweight=".5pt">
                  <v:textbox>
                    <w:txbxContent>
                      <w:p w14:paraId="430FBDB2" w14:textId="77777777" w:rsidR="00963CDA" w:rsidRDefault="00963CDA" w:rsidP="00963CDA">
                        <w:r>
                          <w:t>H1</w:t>
                        </w:r>
                      </w:p>
                    </w:txbxContent>
                  </v:textbox>
                </v:shape>
                <v:shape id="Text Box 9" o:spid="_x0000_s1039" type="#_x0000_t202" style="position:absolute;left:18211;top:8686;width:381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" fillcolor="white [3201]" stroked="f" strokeweight=".5pt">
                  <v:textbox>
                    <w:txbxContent>
                      <w:p w14:paraId="1FDC92AF" w14:textId="77777777" w:rsidR="00963CDA" w:rsidRDefault="00963CDA" w:rsidP="00963CDA">
                        <w:r>
                          <w:t>H2</w:t>
                        </w:r>
                      </w:p>
                    </w:txbxContent>
                  </v:textbox>
                </v:shape>
                <v:shape id="Text Box 9" o:spid="_x0000_s1040" type="#_x0000_t202" style="position:absolute;left:21031;top:12420;width:381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" fillcolor="white [3201]" stroked="f" strokeweight=".5pt">
                  <v:textbox>
                    <w:txbxContent>
                      <w:p w14:paraId="0B0B8BDF" w14:textId="77777777" w:rsidR="00963CDA" w:rsidRDefault="00963CDA" w:rsidP="00963CDA">
                        <w:r>
                          <w:t>H3</w:t>
                        </w:r>
                      </w:p>
                    </w:txbxContent>
                  </v:textbox>
                </v:shape>
                <v:shape id="Text Box 9" o:spid="_x0000_s1041" type="#_x0000_t202" style="position:absolute;left:21107;top:16078;width:381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" fillcolor="white [3201]" stroked="f" strokeweight=".5pt">
                  <v:textbox>
                    <w:txbxContent>
                      <w:p w14:paraId="38B06558" w14:textId="77777777" w:rsidR="00963CDA" w:rsidRDefault="00963CDA" w:rsidP="00963CDA">
                        <w:r>
                          <w:t>H4</w:t>
                        </w:r>
                      </w:p>
                    </w:txbxContent>
                  </v:textbox>
                </v:shape>
                <v:shape id="Text Box 9" o:spid="_x0000_s1042" type="#_x0000_t202" style="position:absolute;left:18211;top:18211;width:381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" fillcolor="white [3201]" stroked="f" strokeweight=".5pt">
                  <v:textbox>
                    <w:txbxContent>
                      <w:p w14:paraId="6718FF1D" w14:textId="77777777" w:rsidR="00963CDA" w:rsidRDefault="00963CDA" w:rsidP="00963CDA">
                        <w:r>
                          <w:t>H5</w:t>
                        </w:r>
                      </w:p>
                    </w:txbxContent>
                  </v:textbox>
                </v:shape>
                <w10:wrap anchorx="margin"/>
              </v:group>
            </w:pict>
          </mc:Fallback>
        </mc:AlternateContent>
      </w:r>
    </w:p>
    <w:p w14:paraId="22898BEA" w14:textId="5AD02FB5" w:rsidR="009A696E" w:rsidRPr="009A696E" w:rsidRDefault="009A696E" w:rsidP="00C8245B">
      <w:pPr>
        <w:spacing w:before="240" w:line="240" w:lineRule="auto"/>
        <w:rPr>
          <w:rFonts w:cs="Times New Roman"/>
          <w:sz w:val="20"/>
          <w:szCs w:val="20"/>
        </w:rPr>
      </w:pPr>
    </w:p>
    <w:p w14:paraId="4F1E73B4" w14:textId="77777777" w:rsidR="00963CDA" w:rsidRPr="009A696E" w:rsidRDefault="00963CDA" w:rsidP="00C8245B">
      <w:pPr>
        <w:spacing w:before="240" w:line="240" w:lineRule="auto"/>
        <w:rPr>
          <w:rFonts w:cs="Times New Roman"/>
          <w:sz w:val="20"/>
          <w:szCs w:val="20"/>
        </w:rPr>
      </w:pPr>
    </w:p>
    <w:p w14:paraId="5E499CDA" w14:textId="77777777" w:rsidR="00963CDA" w:rsidRPr="009A696E" w:rsidRDefault="00963CDA" w:rsidP="00C8245B">
      <w:pPr>
        <w:spacing w:before="240" w:line="240" w:lineRule="auto"/>
        <w:rPr>
          <w:rFonts w:cs="Times New Roman"/>
          <w:sz w:val="20"/>
          <w:szCs w:val="20"/>
        </w:rPr>
      </w:pPr>
    </w:p>
    <w:p w14:paraId="49133694" w14:textId="77777777" w:rsidR="00963CDA" w:rsidRPr="009A696E" w:rsidRDefault="00963CDA" w:rsidP="00C8245B">
      <w:pPr>
        <w:spacing w:before="240" w:line="240" w:lineRule="auto"/>
        <w:rPr>
          <w:rFonts w:cs="Times New Roman"/>
          <w:sz w:val="20"/>
          <w:szCs w:val="20"/>
        </w:rPr>
      </w:pPr>
    </w:p>
    <w:p w14:paraId="0121AE60" w14:textId="77777777" w:rsidR="00963CDA" w:rsidRPr="009A696E" w:rsidRDefault="00963CDA" w:rsidP="00C8245B">
      <w:pPr>
        <w:spacing w:before="240" w:line="240" w:lineRule="auto"/>
        <w:rPr>
          <w:rFonts w:cs="Times New Roman"/>
          <w:sz w:val="20"/>
          <w:szCs w:val="20"/>
        </w:rPr>
      </w:pPr>
    </w:p>
    <w:p w14:paraId="1DEE290D" w14:textId="77777777" w:rsidR="00500B09" w:rsidRPr="009A696E" w:rsidRDefault="00500B09" w:rsidP="00C8245B">
      <w:pPr>
        <w:spacing w:before="240" w:line="240" w:lineRule="auto"/>
        <w:rPr>
          <w:rFonts w:cs="Times New Roman"/>
          <w:sz w:val="20"/>
          <w:szCs w:val="20"/>
        </w:rPr>
      </w:pPr>
    </w:p>
    <w:p w14:paraId="124D4C28" w14:textId="6C515A30" w:rsidR="00E25FF2" w:rsidRPr="009A696E" w:rsidRDefault="00500B09" w:rsidP="00C8245B">
      <w:pPr>
        <w:spacing w:before="240" w:line="240" w:lineRule="auto"/>
        <w:rPr>
          <w:rFonts w:cs="Times New Roman"/>
          <w:sz w:val="20"/>
          <w:szCs w:val="20"/>
        </w:rPr>
      </w:pPr>
      <w:r w:rsidRPr="009A696E">
        <w:rPr>
          <w:rFonts w:cs="Times New Roman"/>
          <w:sz w:val="20"/>
          <w:szCs w:val="20"/>
        </w:rPr>
        <w:t>Fig. 1: Hypothesized Model</w:t>
      </w:r>
    </w:p>
    <w:p w14:paraId="459F6727" w14:textId="1E91E136" w:rsidR="00963CDA" w:rsidRPr="009A696E" w:rsidRDefault="00FF289C" w:rsidP="00C8245B">
      <w:pPr>
        <w:spacing w:before="240" w:line="240" w:lineRule="auto"/>
        <w:rPr>
          <w:rFonts w:cs="Times New Roman"/>
          <w:b/>
          <w:bCs/>
          <w:sz w:val="20"/>
          <w:szCs w:val="20"/>
        </w:rPr>
      </w:pPr>
      <w:r w:rsidRPr="009A696E">
        <w:rPr>
          <w:rFonts w:cs="Times New Roman"/>
          <w:b/>
          <w:bCs/>
          <w:sz w:val="20"/>
          <w:szCs w:val="20"/>
        </w:rPr>
        <w:t xml:space="preserve">3. </w:t>
      </w:r>
      <w:r w:rsidR="00861615" w:rsidRPr="009A696E">
        <w:rPr>
          <w:rFonts w:cs="Times New Roman"/>
          <w:b/>
          <w:bCs/>
          <w:sz w:val="20"/>
          <w:szCs w:val="20"/>
        </w:rPr>
        <w:t>Methodology</w:t>
      </w:r>
    </w:p>
    <w:p w14:paraId="0F45154B" w14:textId="293096B7" w:rsidR="00963CDA" w:rsidRPr="009A696E" w:rsidRDefault="0081487A" w:rsidP="00C8245B">
      <w:pPr>
        <w:spacing w:before="240" w:line="240" w:lineRule="auto"/>
        <w:rPr>
          <w:rFonts w:cs="Times New Roman"/>
          <w:b/>
          <w:bCs/>
          <w:sz w:val="20"/>
          <w:szCs w:val="20"/>
        </w:rPr>
      </w:pPr>
      <w:r w:rsidRPr="009A696E">
        <w:rPr>
          <w:rFonts w:cs="Times New Roman"/>
          <w:b/>
          <w:bCs/>
          <w:sz w:val="20"/>
          <w:szCs w:val="20"/>
        </w:rPr>
        <w:t xml:space="preserve">3.1 </w:t>
      </w:r>
      <w:r w:rsidR="00963CDA" w:rsidRPr="009A696E">
        <w:rPr>
          <w:rFonts w:cs="Times New Roman"/>
          <w:b/>
          <w:bCs/>
          <w:sz w:val="20"/>
          <w:szCs w:val="20"/>
        </w:rPr>
        <w:t>Participants and Procedures</w:t>
      </w:r>
    </w:p>
    <w:p w14:paraId="29AC32B5" w14:textId="65C4302D" w:rsidR="00963CDA" w:rsidRPr="009A696E" w:rsidRDefault="00DC323D" w:rsidP="00C8245B">
      <w:pPr>
        <w:spacing w:after="0" w:line="240" w:lineRule="auto"/>
        <w:rPr>
          <w:rFonts w:eastAsia="Times New Roman" w:cs="Times New Roman"/>
          <w:color w:val="000000"/>
          <w:sz w:val="20"/>
          <w:szCs w:val="20"/>
        </w:rPr>
      </w:pPr>
      <w:r w:rsidRPr="009A696E">
        <w:rPr>
          <w:rFonts w:eastAsia="Times New Roman" w:cs="Times New Roman"/>
          <w:color w:val="000000"/>
          <w:sz w:val="20"/>
          <w:szCs w:val="20"/>
        </w:rPr>
        <w:t>The study employed cross-sectional survey. C</w:t>
      </w:r>
      <w:r w:rsidR="00963CDA" w:rsidRPr="009A696E">
        <w:rPr>
          <w:rFonts w:eastAsia="Times New Roman" w:cs="Times New Roman"/>
          <w:color w:val="000000"/>
          <w:sz w:val="20"/>
          <w:szCs w:val="20"/>
        </w:rPr>
        <w:t>ross-sectional survey</w:t>
      </w:r>
      <w:r w:rsidRPr="009A696E">
        <w:rPr>
          <w:rFonts w:eastAsia="Times New Roman" w:cs="Times New Roman"/>
          <w:color w:val="000000"/>
          <w:sz w:val="20"/>
          <w:szCs w:val="20"/>
        </w:rPr>
        <w:t xml:space="preserve"> is used to collect</w:t>
      </w:r>
      <w:r w:rsidR="00963CDA" w:rsidRPr="009A696E">
        <w:rPr>
          <w:rFonts w:eastAsia="Times New Roman" w:cs="Times New Roman"/>
          <w:color w:val="000000"/>
          <w:sz w:val="20"/>
          <w:szCs w:val="20"/>
        </w:rPr>
        <w:t xml:space="preserve"> data for </w:t>
      </w:r>
      <w:r w:rsidRPr="009A696E">
        <w:rPr>
          <w:rFonts w:eastAsia="Times New Roman" w:cs="Times New Roman"/>
          <w:color w:val="000000"/>
          <w:sz w:val="20"/>
          <w:szCs w:val="20"/>
        </w:rPr>
        <w:t xml:space="preserve">a </w:t>
      </w:r>
      <w:r w:rsidR="00963CDA" w:rsidRPr="009A696E">
        <w:rPr>
          <w:rFonts w:eastAsia="Times New Roman" w:cs="Times New Roman"/>
          <w:color w:val="000000"/>
          <w:sz w:val="20"/>
          <w:szCs w:val="20"/>
        </w:rPr>
        <w:t xml:space="preserve">study at one particular </w:t>
      </w:r>
      <w:r w:rsidRPr="009A696E">
        <w:rPr>
          <w:rFonts w:eastAsia="Times New Roman" w:cs="Times New Roman"/>
          <w:color w:val="000000"/>
          <w:sz w:val="20"/>
          <w:szCs w:val="20"/>
        </w:rPr>
        <w:t xml:space="preserve">point </w:t>
      </w:r>
      <w:r w:rsidR="00963CDA" w:rsidRPr="009A696E">
        <w:rPr>
          <w:rFonts w:eastAsia="Times New Roman" w:cs="Times New Roman"/>
          <w:color w:val="000000"/>
          <w:sz w:val="20"/>
          <w:szCs w:val="20"/>
        </w:rPr>
        <w:t xml:space="preserve">from </w:t>
      </w:r>
      <w:r w:rsidRPr="009A696E">
        <w:rPr>
          <w:rFonts w:eastAsia="Times New Roman" w:cs="Times New Roman"/>
          <w:color w:val="000000"/>
          <w:sz w:val="20"/>
          <w:szCs w:val="20"/>
        </w:rPr>
        <w:t>a sample of a population</w:t>
      </w:r>
      <w:r w:rsidR="00963CDA" w:rsidRPr="009A696E">
        <w:rPr>
          <w:rFonts w:eastAsia="Times New Roman" w:cs="Times New Roman"/>
          <w:color w:val="000000"/>
          <w:sz w:val="20"/>
          <w:szCs w:val="20"/>
        </w:rPr>
        <w:t>. For the purpose of this study the target population are defined as full-time third (level 300) and final year (level 400) undergraduate financial accounting students enrolled at the Business Schools/Faculties of five traditional public universities</w:t>
      </w:r>
      <w:r w:rsidRPr="009A696E">
        <w:rPr>
          <w:rFonts w:eastAsia="Times New Roman" w:cs="Times New Roman"/>
          <w:color w:val="000000"/>
          <w:sz w:val="20"/>
          <w:szCs w:val="20"/>
        </w:rPr>
        <w:t xml:space="preserve"> </w:t>
      </w:r>
      <w:r w:rsidR="00963CDA" w:rsidRPr="009A696E">
        <w:rPr>
          <w:rFonts w:eastAsia="Times New Roman" w:cs="Times New Roman"/>
          <w:color w:val="000000"/>
          <w:sz w:val="20"/>
          <w:szCs w:val="20"/>
        </w:rPr>
        <w:t xml:space="preserve">in Ghana. </w:t>
      </w:r>
      <w:r w:rsidRPr="009A696E">
        <w:rPr>
          <w:rFonts w:eastAsia="Times New Roman" w:cs="Times New Roman"/>
          <w:color w:val="000000"/>
          <w:sz w:val="20"/>
          <w:szCs w:val="20"/>
        </w:rPr>
        <w:t xml:space="preserve">Out of this number, a sample size (n = 355) was computed using the Miller and Brewer (2003) formula at </w:t>
      </w:r>
      <w:r w:rsidRPr="009A696E">
        <w:rPr>
          <w:rFonts w:cs="Times New Roman"/>
          <w:sz w:val="20"/>
          <w:szCs w:val="20"/>
          <w:lang w:bidi="en-US"/>
        </w:rPr>
        <w:t>95% and 5% error margin.</w:t>
      </w:r>
      <w:r w:rsidRPr="009A696E">
        <w:rPr>
          <w:rFonts w:eastAsia="Times New Roman" w:cs="Times New Roman"/>
          <w:color w:val="000000"/>
          <w:sz w:val="20"/>
          <w:szCs w:val="20"/>
        </w:rPr>
        <w:t xml:space="preserve"> We</w:t>
      </w:r>
      <w:r w:rsidR="00963CDA" w:rsidRPr="009A696E">
        <w:rPr>
          <w:rFonts w:eastAsia="Times New Roman" w:cs="Times New Roman"/>
          <w:color w:val="000000"/>
          <w:sz w:val="20"/>
          <w:szCs w:val="20"/>
        </w:rPr>
        <w:t xml:space="preserve"> </w:t>
      </w:r>
      <w:r w:rsidRPr="009A696E">
        <w:rPr>
          <w:rFonts w:eastAsia="Times New Roman" w:cs="Times New Roman"/>
          <w:color w:val="000000"/>
          <w:sz w:val="20"/>
          <w:szCs w:val="20"/>
        </w:rPr>
        <w:t>then picked the random</w:t>
      </w:r>
      <w:r w:rsidR="00963CDA" w:rsidRPr="009A696E">
        <w:rPr>
          <w:rFonts w:eastAsia="Times New Roman" w:cs="Times New Roman"/>
          <w:color w:val="000000"/>
          <w:sz w:val="20"/>
          <w:szCs w:val="20"/>
        </w:rPr>
        <w:t xml:space="preserve"> sample </w:t>
      </w:r>
      <w:r w:rsidRPr="009A696E">
        <w:rPr>
          <w:rFonts w:eastAsia="Times New Roman" w:cs="Times New Roman"/>
          <w:color w:val="000000"/>
          <w:sz w:val="20"/>
          <w:szCs w:val="20"/>
        </w:rPr>
        <w:t>of 355, because per the calculation we believed that it is</w:t>
      </w:r>
      <w:r w:rsidR="00963CDA" w:rsidRPr="009A696E">
        <w:rPr>
          <w:rFonts w:eastAsia="Times New Roman" w:cs="Times New Roman"/>
          <w:color w:val="000000"/>
          <w:sz w:val="20"/>
          <w:szCs w:val="20"/>
        </w:rPr>
        <w:t xml:space="preserve"> more representative of the population</w:t>
      </w:r>
      <w:r w:rsidRPr="009A696E">
        <w:rPr>
          <w:rFonts w:eastAsia="Times New Roman" w:cs="Times New Roman"/>
          <w:color w:val="000000"/>
          <w:sz w:val="20"/>
          <w:szCs w:val="20"/>
        </w:rPr>
        <w:t>.</w:t>
      </w:r>
      <w:r w:rsidR="00963CDA" w:rsidRPr="009A696E">
        <w:rPr>
          <w:rFonts w:eastAsia="Times New Roman" w:cs="Times New Roman"/>
          <w:color w:val="000000"/>
          <w:sz w:val="20"/>
          <w:szCs w:val="20"/>
        </w:rPr>
        <w:t xml:space="preserve"> </w:t>
      </w:r>
      <w:r w:rsidRPr="009A696E">
        <w:rPr>
          <w:rFonts w:eastAsia="Times New Roman" w:cs="Times New Roman"/>
          <w:color w:val="000000"/>
          <w:sz w:val="20"/>
          <w:szCs w:val="20"/>
        </w:rPr>
        <w:t xml:space="preserve">The significance level of 0.05 was selected </w:t>
      </w:r>
      <w:r w:rsidR="00963CDA" w:rsidRPr="009A696E">
        <w:rPr>
          <w:rFonts w:cs="Times New Roman"/>
          <w:sz w:val="20"/>
          <w:szCs w:val="20"/>
          <w:lang w:bidi="en-US"/>
        </w:rPr>
        <w:t>in order to control the possibility of introducing Type I error (α)</w:t>
      </w:r>
      <w:r w:rsidRPr="009A696E">
        <w:rPr>
          <w:rFonts w:cs="Times New Roman"/>
          <w:sz w:val="20"/>
          <w:szCs w:val="20"/>
          <w:lang w:bidi="en-US"/>
        </w:rPr>
        <w:t>.</w:t>
      </w:r>
    </w:p>
    <w:p w14:paraId="4E2217C1" w14:textId="006F38AC" w:rsidR="00963CDA" w:rsidRPr="009A696E" w:rsidRDefault="0081487A" w:rsidP="00C8245B">
      <w:pPr>
        <w:spacing w:before="240" w:line="240" w:lineRule="auto"/>
        <w:rPr>
          <w:rFonts w:cs="Times New Roman"/>
          <w:b/>
          <w:bCs/>
          <w:sz w:val="20"/>
          <w:szCs w:val="20"/>
        </w:rPr>
      </w:pPr>
      <w:r w:rsidRPr="009A696E">
        <w:rPr>
          <w:rFonts w:cs="Times New Roman"/>
          <w:b/>
          <w:bCs/>
          <w:sz w:val="20"/>
          <w:szCs w:val="20"/>
        </w:rPr>
        <w:t xml:space="preserve">3.2 </w:t>
      </w:r>
      <w:r w:rsidR="00963CDA" w:rsidRPr="009A696E">
        <w:rPr>
          <w:rFonts w:cs="Times New Roman"/>
          <w:b/>
          <w:bCs/>
          <w:sz w:val="20"/>
          <w:szCs w:val="20"/>
        </w:rPr>
        <w:t>Measures</w:t>
      </w:r>
    </w:p>
    <w:p w14:paraId="3C58ADA3" w14:textId="35DDEEC8" w:rsidR="00FF4548" w:rsidRPr="009A696E" w:rsidRDefault="00CC24B7" w:rsidP="00C8245B">
      <w:pPr>
        <w:spacing w:after="272" w:line="240" w:lineRule="auto"/>
        <w:rPr>
          <w:rFonts w:cs="Times New Roman"/>
          <w:sz w:val="20"/>
          <w:szCs w:val="20"/>
        </w:rPr>
      </w:pPr>
      <w:r w:rsidRPr="009A696E">
        <w:rPr>
          <w:rFonts w:cs="Times New Roman"/>
          <w:sz w:val="20"/>
          <w:szCs w:val="20"/>
        </w:rPr>
        <w:t xml:space="preserve">The questionnaires that were used to collect data is divided into two sections. </w:t>
      </w:r>
      <w:r w:rsidR="00963CDA" w:rsidRPr="009A696E">
        <w:rPr>
          <w:rFonts w:cs="Times New Roman"/>
          <w:sz w:val="20"/>
          <w:szCs w:val="20"/>
        </w:rPr>
        <w:t xml:space="preserve">The respondents' demographic </w:t>
      </w:r>
      <w:r w:rsidRPr="009A696E">
        <w:rPr>
          <w:rFonts w:cs="Times New Roman"/>
          <w:sz w:val="20"/>
          <w:szCs w:val="20"/>
        </w:rPr>
        <w:t>information</w:t>
      </w:r>
      <w:r w:rsidR="00963CDA" w:rsidRPr="009A696E">
        <w:rPr>
          <w:rFonts w:cs="Times New Roman"/>
          <w:sz w:val="20"/>
          <w:szCs w:val="20"/>
        </w:rPr>
        <w:t xml:space="preserve">, name of school, age, gender, academic </w:t>
      </w:r>
      <w:r w:rsidRPr="009A696E">
        <w:rPr>
          <w:rFonts w:cs="Times New Roman"/>
          <w:sz w:val="20"/>
          <w:szCs w:val="20"/>
        </w:rPr>
        <w:t>p</w:t>
      </w:r>
      <w:r w:rsidR="00963CDA" w:rsidRPr="009A696E">
        <w:rPr>
          <w:rFonts w:cs="Times New Roman"/>
          <w:sz w:val="20"/>
          <w:szCs w:val="20"/>
        </w:rPr>
        <w:t xml:space="preserve">rogramme, and year of study (level), was gathered in </w:t>
      </w:r>
      <w:r w:rsidRPr="009A696E">
        <w:rPr>
          <w:rFonts w:cs="Times New Roman"/>
          <w:sz w:val="20"/>
          <w:szCs w:val="20"/>
        </w:rPr>
        <w:t>Section A</w:t>
      </w:r>
      <w:r w:rsidR="00963CDA" w:rsidRPr="009A696E">
        <w:rPr>
          <w:rFonts w:cs="Times New Roman"/>
          <w:sz w:val="20"/>
          <w:szCs w:val="20"/>
        </w:rPr>
        <w:t xml:space="preserve">. </w:t>
      </w:r>
      <w:r w:rsidR="00963CDA" w:rsidRPr="009A696E">
        <w:rPr>
          <w:rFonts w:eastAsia="Times New Roman" w:cs="Times New Roman"/>
          <w:color w:val="000000"/>
          <w:sz w:val="20"/>
          <w:szCs w:val="20"/>
        </w:rPr>
        <w:t xml:space="preserve">Section B measured the </w:t>
      </w:r>
      <w:r w:rsidRPr="009A696E">
        <w:rPr>
          <w:rFonts w:eastAsia="Times New Roman" w:cs="Times New Roman"/>
          <w:color w:val="000000"/>
          <w:sz w:val="20"/>
          <w:szCs w:val="20"/>
        </w:rPr>
        <w:t xml:space="preserve">constructs of the dimensions </w:t>
      </w:r>
      <w:r w:rsidR="00963CDA" w:rsidRPr="009A696E">
        <w:rPr>
          <w:rFonts w:eastAsia="Times New Roman" w:cs="Times New Roman"/>
          <w:color w:val="000000"/>
          <w:sz w:val="20"/>
          <w:szCs w:val="20"/>
        </w:rPr>
        <w:t xml:space="preserve">of </w:t>
      </w:r>
      <w:r w:rsidRPr="009A696E">
        <w:rPr>
          <w:rFonts w:eastAsia="Times New Roman" w:cs="Times New Roman"/>
          <w:color w:val="000000"/>
          <w:sz w:val="20"/>
          <w:szCs w:val="20"/>
        </w:rPr>
        <w:t xml:space="preserve">accounting teaching </w:t>
      </w:r>
      <w:r w:rsidR="00963CDA" w:rsidRPr="009A696E">
        <w:rPr>
          <w:rFonts w:eastAsia="Times New Roman" w:cs="Times New Roman"/>
          <w:color w:val="000000"/>
          <w:sz w:val="20"/>
          <w:szCs w:val="20"/>
        </w:rPr>
        <w:t>quality</w:t>
      </w:r>
      <w:r w:rsidRPr="009A696E">
        <w:rPr>
          <w:rFonts w:eastAsia="Times New Roman" w:cs="Times New Roman"/>
          <w:color w:val="000000"/>
          <w:sz w:val="20"/>
          <w:szCs w:val="20"/>
        </w:rPr>
        <w:t xml:space="preserve">. </w:t>
      </w:r>
      <w:r w:rsidR="00963CDA" w:rsidRPr="009A696E">
        <w:rPr>
          <w:rFonts w:eastAsia="Times New Roman" w:cs="Times New Roman"/>
          <w:color w:val="000000"/>
          <w:sz w:val="20"/>
          <w:szCs w:val="20"/>
        </w:rPr>
        <w:t xml:space="preserve">As a result, there were five independent variables: tangibles (TAN), assurance (ASS), responsiveness (RES), empathy (EMP), and reliability (REL). A Likert scale with a weight of 1 (strongly disagree) to 5 (strongly agree) was used to measure each of these five </w:t>
      </w:r>
      <w:r w:rsidR="00216BF9" w:rsidRPr="009A696E">
        <w:rPr>
          <w:rFonts w:eastAsia="Times New Roman" w:cs="Times New Roman"/>
          <w:color w:val="000000"/>
          <w:sz w:val="20"/>
          <w:szCs w:val="20"/>
        </w:rPr>
        <w:t>constructs</w:t>
      </w:r>
      <w:r w:rsidR="00963CDA" w:rsidRPr="009A696E">
        <w:rPr>
          <w:rFonts w:eastAsia="Times New Roman" w:cs="Times New Roman"/>
          <w:color w:val="000000"/>
          <w:sz w:val="20"/>
          <w:szCs w:val="20"/>
        </w:rPr>
        <w:t xml:space="preserve">. The SERVQUAL model was used to generate the five dimensions of accounting teaching quality, and as a result, the 22 </w:t>
      </w:r>
      <w:r w:rsidR="00216BF9" w:rsidRPr="009A696E">
        <w:rPr>
          <w:rFonts w:eastAsia="Times New Roman" w:cs="Times New Roman"/>
          <w:color w:val="000000"/>
          <w:sz w:val="20"/>
          <w:szCs w:val="20"/>
        </w:rPr>
        <w:t xml:space="preserve">measurement </w:t>
      </w:r>
      <w:r w:rsidR="00963CDA" w:rsidRPr="009A696E">
        <w:rPr>
          <w:rFonts w:eastAsia="Times New Roman" w:cs="Times New Roman"/>
          <w:color w:val="000000"/>
          <w:sz w:val="20"/>
          <w:szCs w:val="20"/>
        </w:rPr>
        <w:t xml:space="preserve">items developed by Parasuraman et al. (1988) </w:t>
      </w:r>
      <w:r w:rsidR="00216BF9" w:rsidRPr="009A696E">
        <w:rPr>
          <w:rFonts w:eastAsia="Times New Roman" w:cs="Times New Roman"/>
          <w:color w:val="000000"/>
          <w:sz w:val="20"/>
          <w:szCs w:val="20"/>
        </w:rPr>
        <w:t>were adapted in the questionnaires</w:t>
      </w:r>
      <w:r w:rsidR="00963CDA" w:rsidRPr="009A696E">
        <w:rPr>
          <w:rFonts w:eastAsia="Times New Roman" w:cs="Times New Roman"/>
          <w:color w:val="000000"/>
          <w:sz w:val="20"/>
          <w:szCs w:val="20"/>
        </w:rPr>
        <w:t xml:space="preserve">. According to the SERVQUAL paradigm, responsiveness, assurance, and tangibles each had four assessment elements, but empathy and dependability each had five. </w:t>
      </w:r>
      <w:r w:rsidR="00963CDA" w:rsidRPr="009A696E">
        <w:rPr>
          <w:rFonts w:cs="Times New Roman"/>
          <w:sz w:val="20"/>
          <w:szCs w:val="20"/>
        </w:rPr>
        <w:t xml:space="preserve">Eight questions about the financial accounting performance of the students made up Section E. The eight items used to </w:t>
      </w:r>
      <w:r w:rsidR="001247DC" w:rsidRPr="009A696E">
        <w:rPr>
          <w:rFonts w:cs="Times New Roman"/>
          <w:sz w:val="20"/>
          <w:szCs w:val="20"/>
        </w:rPr>
        <w:t xml:space="preserve">measure </w:t>
      </w:r>
      <w:r w:rsidR="00963CDA" w:rsidRPr="009A696E">
        <w:rPr>
          <w:rFonts w:cs="Times New Roman"/>
          <w:sz w:val="20"/>
          <w:szCs w:val="20"/>
        </w:rPr>
        <w:t>students' financial accounting performance were derived from Al-Mutawah and Fateel (2018).</w:t>
      </w:r>
    </w:p>
    <w:p w14:paraId="59DC5C7E" w14:textId="57136613" w:rsidR="00963CDA" w:rsidRPr="009A696E" w:rsidRDefault="00963CDA" w:rsidP="00C8245B">
      <w:pPr>
        <w:spacing w:after="272" w:line="240" w:lineRule="auto"/>
        <w:rPr>
          <w:rFonts w:cs="Times New Roman"/>
          <w:sz w:val="20"/>
          <w:szCs w:val="20"/>
        </w:rPr>
      </w:pPr>
      <w:r w:rsidRPr="009A696E">
        <w:rPr>
          <w:rFonts w:cs="Times New Roman"/>
          <w:sz w:val="20"/>
          <w:szCs w:val="20"/>
        </w:rPr>
        <w:t>A group of lecturers who taught in the field of accounting pre-tested the questionnaire</w:t>
      </w:r>
      <w:r w:rsidR="00C87C0C" w:rsidRPr="009A696E">
        <w:rPr>
          <w:rFonts w:cs="Times New Roman"/>
          <w:sz w:val="20"/>
          <w:szCs w:val="20"/>
        </w:rPr>
        <w:t>s</w:t>
      </w:r>
      <w:r w:rsidRPr="009A696E">
        <w:rPr>
          <w:rFonts w:cs="Times New Roman"/>
          <w:sz w:val="20"/>
          <w:szCs w:val="20"/>
        </w:rPr>
        <w:t xml:space="preserve">. </w:t>
      </w:r>
      <w:r w:rsidR="00C87C0C" w:rsidRPr="009A696E">
        <w:rPr>
          <w:rFonts w:cs="Times New Roman"/>
          <w:sz w:val="20"/>
          <w:szCs w:val="20"/>
        </w:rPr>
        <w:t>The recommendations they suggested, mostly about structure and presentation, were followed</w:t>
      </w:r>
      <w:r w:rsidRPr="009A696E">
        <w:rPr>
          <w:rFonts w:cs="Times New Roman"/>
          <w:sz w:val="20"/>
          <w:szCs w:val="20"/>
        </w:rPr>
        <w:t xml:space="preserve"> to improve the questionnaire</w:t>
      </w:r>
      <w:r w:rsidR="00C87C0C" w:rsidRPr="009A696E">
        <w:rPr>
          <w:rFonts w:cs="Times New Roman"/>
          <w:sz w:val="20"/>
          <w:szCs w:val="20"/>
        </w:rPr>
        <w:t>.</w:t>
      </w:r>
      <w:r w:rsidRPr="009A696E">
        <w:rPr>
          <w:rFonts w:cs="Times New Roman"/>
          <w:sz w:val="20"/>
          <w:szCs w:val="20"/>
        </w:rPr>
        <w:t xml:space="preserve"> To verify face validity and comprehension of item statements, the questionnaire was then pilot tested among 30 undergraduate financial accounting students from two private universities, Garden City University College and Christian Service University College both in Kumasi. The results were positive.</w:t>
      </w:r>
    </w:p>
    <w:p w14:paraId="713AE8EA" w14:textId="07FDCAEB" w:rsidR="00EE0BCB" w:rsidRPr="009A696E" w:rsidRDefault="00963CDA" w:rsidP="009A696E">
      <w:pPr>
        <w:pStyle w:val="Default"/>
        <w:spacing w:before="240" w:after="160"/>
        <w:jc w:val="both"/>
        <w:rPr>
          <w:bCs/>
          <w:color w:val="auto"/>
          <w:sz w:val="20"/>
          <w:szCs w:val="20"/>
          <w:lang w:bidi="en-US"/>
        </w:rPr>
      </w:pPr>
      <w:r w:rsidRPr="009A696E">
        <w:rPr>
          <w:color w:val="auto"/>
          <w:sz w:val="20"/>
          <w:szCs w:val="20"/>
          <w:lang w:bidi="en-US"/>
        </w:rPr>
        <w:t xml:space="preserve">Although 375 questionnaires were </w:t>
      </w:r>
      <w:r w:rsidR="007611A0" w:rsidRPr="009A696E">
        <w:rPr>
          <w:color w:val="auto"/>
          <w:sz w:val="20"/>
          <w:szCs w:val="20"/>
          <w:lang w:bidi="en-US"/>
        </w:rPr>
        <w:t>administered,</w:t>
      </w:r>
      <w:r w:rsidRPr="009A696E">
        <w:rPr>
          <w:color w:val="auto"/>
          <w:sz w:val="20"/>
          <w:szCs w:val="20"/>
          <w:lang w:bidi="en-US"/>
        </w:rPr>
        <w:t xml:space="preserve"> 355 questionnaires were correctly filled out following 5 weeks of data gathering. </w:t>
      </w:r>
      <w:r w:rsidRPr="009A696E">
        <w:rPr>
          <w:bCs/>
          <w:color w:val="auto"/>
          <w:sz w:val="20"/>
          <w:szCs w:val="20"/>
          <w:lang w:bidi="en-US"/>
        </w:rPr>
        <w:t>This gave a response rate of 94.66% [(355/375) *100], which was deemed representative enough for the study</w:t>
      </w:r>
      <w:r w:rsidR="003A6082" w:rsidRPr="009A696E">
        <w:rPr>
          <w:bCs/>
          <w:color w:val="auto"/>
          <w:sz w:val="20"/>
          <w:szCs w:val="20"/>
          <w:lang w:bidi="en-US"/>
        </w:rPr>
        <w:t>.</w:t>
      </w:r>
    </w:p>
    <w:p w14:paraId="5F4D3D94" w14:textId="146E9445" w:rsidR="00963CDA" w:rsidRPr="009A696E" w:rsidRDefault="0081487A" w:rsidP="00C8245B">
      <w:pPr>
        <w:spacing w:before="240" w:line="240" w:lineRule="auto"/>
        <w:rPr>
          <w:rFonts w:cs="Times New Roman"/>
          <w:b/>
          <w:bCs/>
          <w:sz w:val="20"/>
          <w:szCs w:val="20"/>
        </w:rPr>
      </w:pPr>
      <w:r w:rsidRPr="009A696E">
        <w:rPr>
          <w:rFonts w:cs="Times New Roman"/>
          <w:b/>
          <w:bCs/>
          <w:sz w:val="20"/>
          <w:szCs w:val="20"/>
        </w:rPr>
        <w:t xml:space="preserve">3.3 </w:t>
      </w:r>
      <w:r w:rsidR="00963CDA" w:rsidRPr="009A696E">
        <w:rPr>
          <w:rFonts w:cs="Times New Roman"/>
          <w:b/>
          <w:bCs/>
          <w:sz w:val="20"/>
          <w:szCs w:val="20"/>
        </w:rPr>
        <w:t>Data Analysis</w:t>
      </w:r>
    </w:p>
    <w:p w14:paraId="74ACDE8B" w14:textId="79D0EC44" w:rsidR="00FF289C" w:rsidRPr="009A696E" w:rsidRDefault="00FF289C" w:rsidP="00C8245B">
      <w:pPr>
        <w:spacing w:before="240" w:line="240" w:lineRule="auto"/>
        <w:rPr>
          <w:rFonts w:cs="Times New Roman"/>
          <w:sz w:val="20"/>
          <w:szCs w:val="20"/>
        </w:rPr>
      </w:pPr>
      <w:r w:rsidRPr="009A696E">
        <w:rPr>
          <w:rFonts w:cs="Times New Roman"/>
          <w:sz w:val="20"/>
          <w:szCs w:val="20"/>
        </w:rPr>
        <w:t>We examined the proposed relationships among the variables as shown in Fig. 1 (the hypothesized model) through structural equation modelling (SEM). We employed maximum likelihood estimation in AMOS (version 23) and following the steps outlined by Gerbing</w:t>
      </w:r>
      <w:r w:rsidR="006275B1" w:rsidRPr="009A696E">
        <w:rPr>
          <w:rFonts w:cs="Times New Roman"/>
          <w:sz w:val="20"/>
          <w:szCs w:val="20"/>
        </w:rPr>
        <w:t xml:space="preserve"> and Anderson</w:t>
      </w:r>
      <w:r w:rsidRPr="009A696E">
        <w:rPr>
          <w:rFonts w:cs="Times New Roman"/>
          <w:sz w:val="20"/>
          <w:szCs w:val="20"/>
        </w:rPr>
        <w:t xml:space="preserve"> (1988) in two-phase SEM analysis, we started with the evaluation of the measurement model to ensure that observed indicators corresponded to their underlying constructs. The subsequent phase involved examining the structural model to investigate the relationships between exogenous and endogenous variables. The interpretation of results from both models was based on fit criteria and indices suggested by Hu and Bentler (1999)</w:t>
      </w:r>
      <w:r w:rsidR="00224D82" w:rsidRPr="009A696E">
        <w:rPr>
          <w:rFonts w:cs="Times New Roman"/>
          <w:sz w:val="20"/>
          <w:szCs w:val="20"/>
        </w:rPr>
        <w:t>.</w:t>
      </w:r>
      <w:r w:rsidRPr="009A696E">
        <w:rPr>
          <w:rFonts w:cs="Times New Roman"/>
          <w:sz w:val="20"/>
          <w:szCs w:val="20"/>
        </w:rPr>
        <w:t xml:space="preserve"> </w:t>
      </w:r>
    </w:p>
    <w:p w14:paraId="74656185" w14:textId="1DE16C38" w:rsidR="00FF289C" w:rsidRPr="009A696E" w:rsidRDefault="00810065" w:rsidP="00C8245B">
      <w:pPr>
        <w:spacing w:line="240" w:lineRule="auto"/>
        <w:rPr>
          <w:rFonts w:cs="Times New Roman"/>
          <w:b/>
          <w:bCs/>
          <w:sz w:val="20"/>
          <w:szCs w:val="20"/>
        </w:rPr>
      </w:pPr>
      <w:r w:rsidRPr="009A696E">
        <w:rPr>
          <w:rFonts w:cs="Times New Roman"/>
          <w:b/>
          <w:bCs/>
          <w:sz w:val="20"/>
          <w:szCs w:val="20"/>
        </w:rPr>
        <w:t xml:space="preserve">4. </w:t>
      </w:r>
      <w:r w:rsidR="00963CDA" w:rsidRPr="009A696E">
        <w:rPr>
          <w:rFonts w:cs="Times New Roman"/>
          <w:b/>
          <w:bCs/>
          <w:sz w:val="20"/>
          <w:szCs w:val="20"/>
        </w:rPr>
        <w:t xml:space="preserve">RESULTS </w:t>
      </w:r>
    </w:p>
    <w:p w14:paraId="0A52B0EB" w14:textId="77777777" w:rsidR="00963CDA" w:rsidRPr="009A696E" w:rsidRDefault="00963CDA" w:rsidP="00C8245B">
      <w:pPr>
        <w:spacing w:line="240" w:lineRule="auto"/>
        <w:rPr>
          <w:rFonts w:cs="Times New Roman"/>
          <w:b/>
          <w:bCs/>
          <w:sz w:val="20"/>
          <w:szCs w:val="20"/>
        </w:rPr>
      </w:pPr>
      <w:r w:rsidRPr="009A696E">
        <w:rPr>
          <w:rFonts w:cs="Times New Roman"/>
          <w:b/>
          <w:bCs/>
          <w:sz w:val="20"/>
          <w:szCs w:val="20"/>
        </w:rPr>
        <w:t>4.1 Descriptive Statistics and Preliminary Analysis</w:t>
      </w:r>
    </w:p>
    <w:p w14:paraId="2159E32B" w14:textId="77777777" w:rsidR="00963CDA" w:rsidRPr="009A696E" w:rsidRDefault="00963CDA" w:rsidP="00C8245B">
      <w:pPr>
        <w:autoSpaceDE w:val="0"/>
        <w:autoSpaceDN w:val="0"/>
        <w:adjustRightInd w:val="0"/>
        <w:spacing w:line="240" w:lineRule="auto"/>
        <w:rPr>
          <w:rFonts w:eastAsia="Calibri" w:cs="Times New Roman"/>
          <w:bCs/>
          <w:i/>
          <w:sz w:val="20"/>
          <w:szCs w:val="20"/>
          <w:lang w:bidi="en-US"/>
        </w:rPr>
      </w:pPr>
      <w:r w:rsidRPr="009A696E">
        <w:rPr>
          <w:rFonts w:eastAsia="Calibri" w:cs="Times New Roman"/>
          <w:bCs/>
          <w:i/>
          <w:sz w:val="20"/>
          <w:szCs w:val="20"/>
          <w:lang w:bidi="en-US"/>
        </w:rPr>
        <w:lastRenderedPageBreak/>
        <w:t>Demographic Information</w:t>
      </w:r>
    </w:p>
    <w:p w14:paraId="106C9A27" w14:textId="2F1ED842" w:rsidR="00963CDA" w:rsidRPr="009A696E" w:rsidRDefault="00963CDA" w:rsidP="00C8245B">
      <w:pPr>
        <w:autoSpaceDE w:val="0"/>
        <w:autoSpaceDN w:val="0"/>
        <w:adjustRightInd w:val="0"/>
        <w:spacing w:line="240" w:lineRule="auto"/>
        <w:rPr>
          <w:rFonts w:eastAsia="Calibri" w:cs="Times New Roman"/>
          <w:bCs/>
          <w:sz w:val="20"/>
          <w:szCs w:val="20"/>
        </w:rPr>
      </w:pPr>
      <w:r w:rsidRPr="009A696E">
        <w:rPr>
          <w:rFonts w:eastAsia="Calibri" w:cs="Times New Roman"/>
          <w:sz w:val="20"/>
          <w:szCs w:val="20"/>
        </w:rPr>
        <w:t xml:space="preserve">Table </w:t>
      </w:r>
      <w:r w:rsidR="00FF4548" w:rsidRPr="009A696E">
        <w:rPr>
          <w:rFonts w:eastAsia="Calibri" w:cs="Times New Roman"/>
          <w:sz w:val="20"/>
          <w:szCs w:val="20"/>
        </w:rPr>
        <w:t>1</w:t>
      </w:r>
      <w:r w:rsidRPr="009A696E">
        <w:rPr>
          <w:rFonts w:eastAsia="Calibri" w:cs="Times New Roman"/>
          <w:sz w:val="20"/>
          <w:szCs w:val="20"/>
        </w:rPr>
        <w:t xml:space="preserve"> shows that among the respondents, 27.9% were from UG, 14.1% from KNUST, 22.0% from UCC, 31.3% from AAMUSTED, and 4.8% from SDD-UBID, indicating that most of the Undergraduate Accounting students surveyed were from AAMUSTED. Students in Level 300 made up the majority at 77.2% of the total sample of 355, while Level 400 students comprised the remaining 22.8%. In terms of gender, 74.6% of the respondents were males and 25.4% were females, implying that males dominated the study. Age distribution results indicated that 11.0% were younger than 18, while 44.5% each fell within the age brackets of 18-21 and 22 or older, with most respondents aged 18-21 or 22 and above.</w:t>
      </w:r>
    </w:p>
    <w:p w14:paraId="3162801E" w14:textId="416CBBD6" w:rsidR="00963CDA" w:rsidRPr="009A696E" w:rsidRDefault="00963CDA" w:rsidP="00C8245B">
      <w:pPr>
        <w:spacing w:line="240" w:lineRule="auto"/>
        <w:rPr>
          <w:rFonts w:eastAsia="Calibri" w:cs="Times New Roman"/>
          <w:b/>
          <w:bCs/>
          <w:sz w:val="20"/>
          <w:szCs w:val="20"/>
        </w:rPr>
      </w:pPr>
      <w:bookmarkStart w:id="0" w:name="_Toc118298492"/>
      <w:r w:rsidRPr="009A696E">
        <w:rPr>
          <w:rFonts w:eastAsia="Calibri" w:cs="Times New Roman"/>
          <w:b/>
          <w:bCs/>
          <w:sz w:val="20"/>
          <w:szCs w:val="20"/>
        </w:rPr>
        <w:t xml:space="preserve">Table </w:t>
      </w:r>
      <w:r w:rsidR="00E256F9" w:rsidRPr="009A696E">
        <w:rPr>
          <w:rFonts w:eastAsia="Calibri" w:cs="Times New Roman"/>
          <w:b/>
          <w:bCs/>
          <w:sz w:val="20"/>
          <w:szCs w:val="20"/>
        </w:rPr>
        <w:t>1</w:t>
      </w:r>
      <w:r w:rsidRPr="009A696E">
        <w:rPr>
          <w:rFonts w:eastAsia="Calibri" w:cs="Times New Roman"/>
          <w:b/>
          <w:bCs/>
          <w:sz w:val="20"/>
          <w:szCs w:val="20"/>
        </w:rPr>
        <w:t xml:space="preserve">: </w:t>
      </w:r>
      <w:bookmarkEnd w:id="0"/>
      <w:r w:rsidR="00E256F9" w:rsidRPr="009A696E">
        <w:rPr>
          <w:rFonts w:eastAsia="Calibri" w:cs="Times New Roman"/>
          <w:b/>
          <w:iCs/>
          <w:sz w:val="20"/>
          <w:szCs w:val="20"/>
          <w:lang w:bidi="en-US"/>
        </w:rPr>
        <w:t>Demographic Information of Respondents</w:t>
      </w:r>
    </w:p>
    <w:tbl>
      <w:tblPr>
        <w:tblStyle w:val="TableGrid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2"/>
        <w:gridCol w:w="2608"/>
        <w:gridCol w:w="2436"/>
      </w:tblGrid>
      <w:tr w:rsidR="00963CDA" w:rsidRPr="009A696E" w14:paraId="6C260895" w14:textId="77777777" w:rsidTr="00E20ACC">
        <w:tc>
          <w:tcPr>
            <w:tcW w:w="3972" w:type="dxa"/>
            <w:tcBorders>
              <w:top w:val="single" w:sz="4" w:space="0" w:color="auto"/>
            </w:tcBorders>
            <w:hideMark/>
          </w:tcPr>
          <w:p w14:paraId="2AD9D059" w14:textId="77777777" w:rsidR="00963CDA" w:rsidRPr="009A696E" w:rsidRDefault="00963CDA" w:rsidP="00C8245B">
            <w:pPr>
              <w:autoSpaceDE w:val="0"/>
              <w:autoSpaceDN w:val="0"/>
              <w:adjustRightInd w:val="0"/>
              <w:rPr>
                <w:bCs/>
                <w:sz w:val="20"/>
                <w:szCs w:val="20"/>
                <w:lang w:bidi="en-US"/>
              </w:rPr>
            </w:pPr>
          </w:p>
        </w:tc>
        <w:tc>
          <w:tcPr>
            <w:tcW w:w="2608" w:type="dxa"/>
            <w:tcBorders>
              <w:top w:val="single" w:sz="4" w:space="0" w:color="auto"/>
            </w:tcBorders>
            <w:hideMark/>
          </w:tcPr>
          <w:p w14:paraId="011AAAD2" w14:textId="77777777" w:rsidR="00963CDA" w:rsidRPr="009A696E" w:rsidRDefault="00963CDA" w:rsidP="00C8245B">
            <w:pPr>
              <w:autoSpaceDE w:val="0"/>
              <w:autoSpaceDN w:val="0"/>
              <w:adjustRightInd w:val="0"/>
              <w:jc w:val="center"/>
              <w:rPr>
                <w:b/>
                <w:bCs/>
                <w:sz w:val="20"/>
                <w:szCs w:val="20"/>
                <w:lang w:bidi="en-US"/>
              </w:rPr>
            </w:pPr>
            <w:r w:rsidRPr="009A696E">
              <w:rPr>
                <w:b/>
                <w:bCs/>
                <w:color w:val="000000"/>
                <w:sz w:val="20"/>
                <w:szCs w:val="20"/>
                <w:lang w:bidi="en-US"/>
              </w:rPr>
              <w:t>Frequency</w:t>
            </w:r>
          </w:p>
        </w:tc>
        <w:tc>
          <w:tcPr>
            <w:tcW w:w="2436" w:type="dxa"/>
            <w:tcBorders>
              <w:top w:val="single" w:sz="4" w:space="0" w:color="auto"/>
            </w:tcBorders>
            <w:hideMark/>
          </w:tcPr>
          <w:p w14:paraId="7717EE83" w14:textId="77777777" w:rsidR="00963CDA" w:rsidRPr="009A696E" w:rsidRDefault="00963CDA" w:rsidP="00C8245B">
            <w:pPr>
              <w:autoSpaceDE w:val="0"/>
              <w:autoSpaceDN w:val="0"/>
              <w:adjustRightInd w:val="0"/>
              <w:jc w:val="center"/>
              <w:rPr>
                <w:b/>
                <w:bCs/>
                <w:sz w:val="20"/>
                <w:szCs w:val="20"/>
                <w:lang w:bidi="en-US"/>
              </w:rPr>
            </w:pPr>
            <w:r w:rsidRPr="009A696E">
              <w:rPr>
                <w:b/>
                <w:bCs/>
                <w:color w:val="000000"/>
                <w:sz w:val="20"/>
                <w:szCs w:val="20"/>
                <w:lang w:bidi="en-US"/>
              </w:rPr>
              <w:t>Percentages (%)</w:t>
            </w:r>
          </w:p>
        </w:tc>
      </w:tr>
      <w:tr w:rsidR="00963CDA" w:rsidRPr="009A696E" w14:paraId="4E8449A3" w14:textId="77777777" w:rsidTr="00E20ACC">
        <w:tc>
          <w:tcPr>
            <w:tcW w:w="3972" w:type="dxa"/>
            <w:tcBorders>
              <w:bottom w:val="single" w:sz="4" w:space="0" w:color="auto"/>
            </w:tcBorders>
          </w:tcPr>
          <w:p w14:paraId="0A241E37" w14:textId="77777777" w:rsidR="00963CDA" w:rsidRPr="009A696E" w:rsidRDefault="00963CDA" w:rsidP="00C8245B">
            <w:pPr>
              <w:autoSpaceDE w:val="0"/>
              <w:autoSpaceDN w:val="0"/>
              <w:adjustRightInd w:val="0"/>
              <w:rPr>
                <w:b/>
                <w:bCs/>
                <w:sz w:val="20"/>
                <w:szCs w:val="20"/>
                <w:lang w:bidi="en-US"/>
              </w:rPr>
            </w:pPr>
            <w:r w:rsidRPr="009A696E">
              <w:rPr>
                <w:b/>
                <w:bCs/>
                <w:sz w:val="20"/>
                <w:szCs w:val="20"/>
                <w:lang w:bidi="en-US"/>
              </w:rPr>
              <w:t xml:space="preserve">Institution </w:t>
            </w:r>
          </w:p>
        </w:tc>
        <w:tc>
          <w:tcPr>
            <w:tcW w:w="2608" w:type="dxa"/>
            <w:tcBorders>
              <w:bottom w:val="single" w:sz="4" w:space="0" w:color="auto"/>
            </w:tcBorders>
          </w:tcPr>
          <w:p w14:paraId="26A7CE9E" w14:textId="77777777" w:rsidR="00963CDA" w:rsidRPr="009A696E" w:rsidRDefault="00963CDA" w:rsidP="00C8245B">
            <w:pPr>
              <w:autoSpaceDE w:val="0"/>
              <w:autoSpaceDN w:val="0"/>
              <w:adjustRightInd w:val="0"/>
              <w:jc w:val="center"/>
              <w:rPr>
                <w:b/>
                <w:bCs/>
                <w:i/>
                <w:iCs/>
                <w:color w:val="000000"/>
                <w:sz w:val="20"/>
                <w:szCs w:val="20"/>
                <w:lang w:bidi="en-US"/>
              </w:rPr>
            </w:pPr>
            <w:r w:rsidRPr="009A696E">
              <w:rPr>
                <w:b/>
                <w:bCs/>
                <w:i/>
                <w:iCs/>
                <w:color w:val="000000"/>
                <w:sz w:val="20"/>
                <w:szCs w:val="20"/>
                <w:lang w:bidi="en-US"/>
              </w:rPr>
              <w:t>355</w:t>
            </w:r>
          </w:p>
        </w:tc>
        <w:tc>
          <w:tcPr>
            <w:tcW w:w="2436" w:type="dxa"/>
            <w:tcBorders>
              <w:bottom w:val="single" w:sz="4" w:space="0" w:color="auto"/>
            </w:tcBorders>
          </w:tcPr>
          <w:p w14:paraId="0EAE4471" w14:textId="77777777" w:rsidR="00963CDA" w:rsidRPr="009A696E" w:rsidRDefault="00963CDA" w:rsidP="00C8245B">
            <w:pPr>
              <w:autoSpaceDE w:val="0"/>
              <w:autoSpaceDN w:val="0"/>
              <w:adjustRightInd w:val="0"/>
              <w:jc w:val="center"/>
              <w:rPr>
                <w:b/>
                <w:bCs/>
                <w:i/>
                <w:iCs/>
                <w:color w:val="000000"/>
                <w:sz w:val="20"/>
                <w:szCs w:val="20"/>
                <w:lang w:bidi="en-US"/>
              </w:rPr>
            </w:pPr>
            <w:r w:rsidRPr="009A696E">
              <w:rPr>
                <w:b/>
                <w:bCs/>
                <w:i/>
                <w:iCs/>
                <w:color w:val="000000"/>
                <w:sz w:val="20"/>
                <w:szCs w:val="20"/>
                <w:lang w:bidi="en-US"/>
              </w:rPr>
              <w:t>100</w:t>
            </w:r>
          </w:p>
        </w:tc>
      </w:tr>
      <w:tr w:rsidR="00963CDA" w:rsidRPr="009A696E" w14:paraId="417E9072" w14:textId="77777777" w:rsidTr="00E20ACC">
        <w:trPr>
          <w:trHeight w:val="260"/>
        </w:trPr>
        <w:tc>
          <w:tcPr>
            <w:tcW w:w="3972" w:type="dxa"/>
            <w:tcBorders>
              <w:top w:val="single" w:sz="4" w:space="0" w:color="auto"/>
            </w:tcBorders>
          </w:tcPr>
          <w:p w14:paraId="4409E0F5" w14:textId="77777777" w:rsidR="00963CDA" w:rsidRPr="009A696E" w:rsidRDefault="00963CDA" w:rsidP="00C8245B">
            <w:pPr>
              <w:autoSpaceDE w:val="0"/>
              <w:autoSpaceDN w:val="0"/>
              <w:adjustRightInd w:val="0"/>
              <w:rPr>
                <w:iCs/>
                <w:sz w:val="20"/>
                <w:szCs w:val="20"/>
                <w:lang w:bidi="en-US"/>
              </w:rPr>
            </w:pPr>
            <w:r w:rsidRPr="009A696E">
              <w:rPr>
                <w:color w:val="000000"/>
                <w:sz w:val="20"/>
                <w:szCs w:val="20"/>
              </w:rPr>
              <w:t>UG</w:t>
            </w:r>
          </w:p>
        </w:tc>
        <w:tc>
          <w:tcPr>
            <w:tcW w:w="2608" w:type="dxa"/>
            <w:tcBorders>
              <w:top w:val="single" w:sz="4" w:space="0" w:color="auto"/>
            </w:tcBorders>
            <w:vAlign w:val="center"/>
          </w:tcPr>
          <w:p w14:paraId="4A0802AD"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99</w:t>
            </w:r>
          </w:p>
        </w:tc>
        <w:tc>
          <w:tcPr>
            <w:tcW w:w="2436" w:type="dxa"/>
            <w:tcBorders>
              <w:top w:val="single" w:sz="4" w:space="0" w:color="auto"/>
            </w:tcBorders>
            <w:vAlign w:val="center"/>
          </w:tcPr>
          <w:p w14:paraId="305B815D"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27.9</w:t>
            </w:r>
          </w:p>
        </w:tc>
      </w:tr>
      <w:tr w:rsidR="00963CDA" w:rsidRPr="009A696E" w14:paraId="07CBB21B" w14:textId="77777777" w:rsidTr="00E20ACC">
        <w:tc>
          <w:tcPr>
            <w:tcW w:w="3972" w:type="dxa"/>
          </w:tcPr>
          <w:p w14:paraId="2F784014" w14:textId="77777777" w:rsidR="00963CDA" w:rsidRPr="009A696E" w:rsidRDefault="00963CDA" w:rsidP="00C8245B">
            <w:pPr>
              <w:autoSpaceDE w:val="0"/>
              <w:autoSpaceDN w:val="0"/>
              <w:adjustRightInd w:val="0"/>
              <w:rPr>
                <w:iCs/>
                <w:sz w:val="20"/>
                <w:szCs w:val="20"/>
                <w:lang w:bidi="en-US"/>
              </w:rPr>
            </w:pPr>
            <w:r w:rsidRPr="009A696E">
              <w:rPr>
                <w:color w:val="000000"/>
                <w:sz w:val="20"/>
                <w:szCs w:val="20"/>
              </w:rPr>
              <w:t>KNUST</w:t>
            </w:r>
          </w:p>
        </w:tc>
        <w:tc>
          <w:tcPr>
            <w:tcW w:w="2608" w:type="dxa"/>
            <w:vAlign w:val="center"/>
          </w:tcPr>
          <w:p w14:paraId="333F10DD"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50</w:t>
            </w:r>
          </w:p>
        </w:tc>
        <w:tc>
          <w:tcPr>
            <w:tcW w:w="2436" w:type="dxa"/>
            <w:vAlign w:val="center"/>
          </w:tcPr>
          <w:p w14:paraId="1576C0B6"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14.1</w:t>
            </w:r>
          </w:p>
        </w:tc>
      </w:tr>
      <w:tr w:rsidR="00963CDA" w:rsidRPr="009A696E" w14:paraId="1D7EDAE5" w14:textId="77777777" w:rsidTr="00E20ACC">
        <w:tc>
          <w:tcPr>
            <w:tcW w:w="3972" w:type="dxa"/>
          </w:tcPr>
          <w:p w14:paraId="2C7C5AD3" w14:textId="77777777" w:rsidR="00963CDA" w:rsidRPr="009A696E" w:rsidRDefault="00963CDA" w:rsidP="00C8245B">
            <w:pPr>
              <w:autoSpaceDE w:val="0"/>
              <w:autoSpaceDN w:val="0"/>
              <w:adjustRightInd w:val="0"/>
              <w:rPr>
                <w:iCs/>
                <w:sz w:val="20"/>
                <w:szCs w:val="20"/>
                <w:lang w:bidi="en-US"/>
              </w:rPr>
            </w:pPr>
            <w:r w:rsidRPr="009A696E">
              <w:rPr>
                <w:color w:val="000000"/>
                <w:sz w:val="20"/>
                <w:szCs w:val="20"/>
              </w:rPr>
              <w:t>UCC</w:t>
            </w:r>
          </w:p>
        </w:tc>
        <w:tc>
          <w:tcPr>
            <w:tcW w:w="2608" w:type="dxa"/>
            <w:vAlign w:val="center"/>
          </w:tcPr>
          <w:p w14:paraId="39B52027"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78</w:t>
            </w:r>
          </w:p>
        </w:tc>
        <w:tc>
          <w:tcPr>
            <w:tcW w:w="2436" w:type="dxa"/>
            <w:vAlign w:val="center"/>
          </w:tcPr>
          <w:p w14:paraId="749F474A"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22.0</w:t>
            </w:r>
          </w:p>
        </w:tc>
      </w:tr>
      <w:tr w:rsidR="00963CDA" w:rsidRPr="009A696E" w14:paraId="269D4984" w14:textId="77777777" w:rsidTr="00E20ACC">
        <w:trPr>
          <w:trHeight w:val="278"/>
        </w:trPr>
        <w:tc>
          <w:tcPr>
            <w:tcW w:w="3972" w:type="dxa"/>
          </w:tcPr>
          <w:p w14:paraId="26A04428" w14:textId="77777777" w:rsidR="00963CDA" w:rsidRPr="009A696E" w:rsidRDefault="00963CDA" w:rsidP="00C8245B">
            <w:pPr>
              <w:autoSpaceDE w:val="0"/>
              <w:autoSpaceDN w:val="0"/>
              <w:adjustRightInd w:val="0"/>
              <w:rPr>
                <w:iCs/>
                <w:sz w:val="20"/>
                <w:szCs w:val="20"/>
                <w:lang w:bidi="en-US"/>
              </w:rPr>
            </w:pPr>
            <w:r w:rsidRPr="009A696E">
              <w:rPr>
                <w:iCs/>
                <w:sz w:val="20"/>
                <w:szCs w:val="20"/>
                <w:lang w:bidi="en-US"/>
              </w:rPr>
              <w:t>AAMUSTED</w:t>
            </w:r>
          </w:p>
        </w:tc>
        <w:tc>
          <w:tcPr>
            <w:tcW w:w="2608" w:type="dxa"/>
            <w:vAlign w:val="center"/>
          </w:tcPr>
          <w:p w14:paraId="6D637883"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111</w:t>
            </w:r>
          </w:p>
        </w:tc>
        <w:tc>
          <w:tcPr>
            <w:tcW w:w="2436" w:type="dxa"/>
            <w:vAlign w:val="center"/>
          </w:tcPr>
          <w:p w14:paraId="1C132C75"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31.3</w:t>
            </w:r>
          </w:p>
        </w:tc>
      </w:tr>
      <w:tr w:rsidR="00963CDA" w:rsidRPr="009A696E" w14:paraId="7C1CBBD4" w14:textId="77777777" w:rsidTr="00E20ACC">
        <w:tc>
          <w:tcPr>
            <w:tcW w:w="3972" w:type="dxa"/>
            <w:tcBorders>
              <w:bottom w:val="single" w:sz="4" w:space="0" w:color="auto"/>
            </w:tcBorders>
          </w:tcPr>
          <w:p w14:paraId="7B1A0B97" w14:textId="77777777" w:rsidR="00963CDA" w:rsidRPr="009A696E" w:rsidRDefault="00963CDA" w:rsidP="00C8245B">
            <w:pPr>
              <w:autoSpaceDE w:val="0"/>
              <w:autoSpaceDN w:val="0"/>
              <w:adjustRightInd w:val="0"/>
              <w:rPr>
                <w:iCs/>
                <w:sz w:val="20"/>
                <w:szCs w:val="20"/>
                <w:lang w:bidi="en-US"/>
              </w:rPr>
            </w:pPr>
            <w:r w:rsidRPr="009A696E">
              <w:rPr>
                <w:color w:val="000000"/>
                <w:sz w:val="20"/>
                <w:szCs w:val="20"/>
              </w:rPr>
              <w:t>SDD-UBID</w:t>
            </w:r>
          </w:p>
        </w:tc>
        <w:tc>
          <w:tcPr>
            <w:tcW w:w="2608" w:type="dxa"/>
            <w:tcBorders>
              <w:bottom w:val="single" w:sz="4" w:space="0" w:color="auto"/>
            </w:tcBorders>
            <w:vAlign w:val="center"/>
          </w:tcPr>
          <w:p w14:paraId="313B9A5D"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17</w:t>
            </w:r>
          </w:p>
        </w:tc>
        <w:tc>
          <w:tcPr>
            <w:tcW w:w="2436" w:type="dxa"/>
            <w:tcBorders>
              <w:bottom w:val="single" w:sz="4" w:space="0" w:color="auto"/>
            </w:tcBorders>
            <w:vAlign w:val="center"/>
          </w:tcPr>
          <w:p w14:paraId="569DBB06"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4.8</w:t>
            </w:r>
          </w:p>
        </w:tc>
      </w:tr>
      <w:tr w:rsidR="00963CDA" w:rsidRPr="009A696E" w14:paraId="35035AA4" w14:textId="77777777" w:rsidTr="00E20ACC">
        <w:tc>
          <w:tcPr>
            <w:tcW w:w="3972" w:type="dxa"/>
            <w:tcBorders>
              <w:top w:val="single" w:sz="4" w:space="0" w:color="auto"/>
              <w:bottom w:val="single" w:sz="4" w:space="0" w:color="auto"/>
            </w:tcBorders>
          </w:tcPr>
          <w:p w14:paraId="755EAE5F" w14:textId="77777777" w:rsidR="00963CDA" w:rsidRPr="009A696E" w:rsidRDefault="00963CDA" w:rsidP="00C8245B">
            <w:pPr>
              <w:autoSpaceDE w:val="0"/>
              <w:autoSpaceDN w:val="0"/>
              <w:adjustRightInd w:val="0"/>
              <w:rPr>
                <w:b/>
                <w:bCs/>
                <w:i/>
                <w:iCs/>
                <w:sz w:val="20"/>
                <w:szCs w:val="20"/>
                <w:lang w:bidi="en-US"/>
              </w:rPr>
            </w:pPr>
            <w:r w:rsidRPr="009A696E">
              <w:rPr>
                <w:b/>
                <w:bCs/>
                <w:i/>
                <w:iCs/>
                <w:sz w:val="20"/>
                <w:szCs w:val="20"/>
                <w:lang w:bidi="en-US"/>
              </w:rPr>
              <w:t>Year/ Level</w:t>
            </w:r>
          </w:p>
        </w:tc>
        <w:tc>
          <w:tcPr>
            <w:tcW w:w="2608" w:type="dxa"/>
            <w:tcBorders>
              <w:top w:val="single" w:sz="4" w:space="0" w:color="auto"/>
              <w:bottom w:val="single" w:sz="4" w:space="0" w:color="auto"/>
            </w:tcBorders>
          </w:tcPr>
          <w:p w14:paraId="4C54642D" w14:textId="77777777" w:rsidR="00963CDA" w:rsidRPr="009A696E" w:rsidRDefault="00963CDA" w:rsidP="00C8245B">
            <w:pPr>
              <w:autoSpaceDE w:val="0"/>
              <w:autoSpaceDN w:val="0"/>
              <w:adjustRightInd w:val="0"/>
              <w:jc w:val="center"/>
              <w:rPr>
                <w:b/>
                <w:bCs/>
                <w:i/>
                <w:iCs/>
                <w:color w:val="000000"/>
                <w:sz w:val="20"/>
                <w:szCs w:val="20"/>
                <w:lang w:bidi="en-US"/>
              </w:rPr>
            </w:pPr>
            <w:r w:rsidRPr="009A696E">
              <w:rPr>
                <w:b/>
                <w:bCs/>
                <w:i/>
                <w:iCs/>
                <w:color w:val="000000"/>
                <w:sz w:val="20"/>
                <w:szCs w:val="20"/>
                <w:lang w:bidi="en-US"/>
              </w:rPr>
              <w:t>355</w:t>
            </w:r>
          </w:p>
        </w:tc>
        <w:tc>
          <w:tcPr>
            <w:tcW w:w="2436" w:type="dxa"/>
            <w:tcBorders>
              <w:top w:val="single" w:sz="4" w:space="0" w:color="auto"/>
              <w:bottom w:val="single" w:sz="4" w:space="0" w:color="auto"/>
            </w:tcBorders>
          </w:tcPr>
          <w:p w14:paraId="5C940151" w14:textId="77777777" w:rsidR="00963CDA" w:rsidRPr="009A696E" w:rsidRDefault="00963CDA" w:rsidP="00C8245B">
            <w:pPr>
              <w:autoSpaceDE w:val="0"/>
              <w:autoSpaceDN w:val="0"/>
              <w:adjustRightInd w:val="0"/>
              <w:jc w:val="center"/>
              <w:rPr>
                <w:b/>
                <w:bCs/>
                <w:i/>
                <w:iCs/>
                <w:color w:val="000000"/>
                <w:sz w:val="20"/>
                <w:szCs w:val="20"/>
                <w:lang w:bidi="en-US"/>
              </w:rPr>
            </w:pPr>
            <w:r w:rsidRPr="009A696E">
              <w:rPr>
                <w:b/>
                <w:bCs/>
                <w:i/>
                <w:iCs/>
                <w:color w:val="000000"/>
                <w:sz w:val="20"/>
                <w:szCs w:val="20"/>
                <w:lang w:bidi="en-US"/>
              </w:rPr>
              <w:t>100</w:t>
            </w:r>
          </w:p>
        </w:tc>
      </w:tr>
      <w:tr w:rsidR="00963CDA" w:rsidRPr="009A696E" w14:paraId="2D06910F" w14:textId="77777777" w:rsidTr="00E20ACC">
        <w:tc>
          <w:tcPr>
            <w:tcW w:w="3972" w:type="dxa"/>
            <w:tcBorders>
              <w:top w:val="single" w:sz="4" w:space="0" w:color="auto"/>
            </w:tcBorders>
          </w:tcPr>
          <w:p w14:paraId="5CB913BA" w14:textId="77777777" w:rsidR="00963CDA" w:rsidRPr="009A696E" w:rsidRDefault="00963CDA" w:rsidP="00C8245B">
            <w:pPr>
              <w:autoSpaceDE w:val="0"/>
              <w:autoSpaceDN w:val="0"/>
              <w:adjustRightInd w:val="0"/>
              <w:rPr>
                <w:iCs/>
                <w:sz w:val="20"/>
                <w:szCs w:val="20"/>
                <w:lang w:bidi="en-US"/>
              </w:rPr>
            </w:pPr>
            <w:r w:rsidRPr="009A696E">
              <w:rPr>
                <w:color w:val="000000"/>
                <w:sz w:val="20"/>
                <w:szCs w:val="20"/>
              </w:rPr>
              <w:t>Level 300</w:t>
            </w:r>
          </w:p>
        </w:tc>
        <w:tc>
          <w:tcPr>
            <w:tcW w:w="2608" w:type="dxa"/>
            <w:tcBorders>
              <w:top w:val="single" w:sz="4" w:space="0" w:color="auto"/>
            </w:tcBorders>
            <w:vAlign w:val="center"/>
          </w:tcPr>
          <w:p w14:paraId="4336B1B8"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274</w:t>
            </w:r>
          </w:p>
        </w:tc>
        <w:tc>
          <w:tcPr>
            <w:tcW w:w="2436" w:type="dxa"/>
            <w:tcBorders>
              <w:top w:val="single" w:sz="4" w:space="0" w:color="auto"/>
            </w:tcBorders>
            <w:vAlign w:val="center"/>
          </w:tcPr>
          <w:p w14:paraId="244CAFF2"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77.2</w:t>
            </w:r>
          </w:p>
        </w:tc>
      </w:tr>
      <w:tr w:rsidR="00963CDA" w:rsidRPr="009A696E" w14:paraId="30CA25EC" w14:textId="77777777" w:rsidTr="00E20ACC">
        <w:trPr>
          <w:trHeight w:val="260"/>
        </w:trPr>
        <w:tc>
          <w:tcPr>
            <w:tcW w:w="3972" w:type="dxa"/>
            <w:tcBorders>
              <w:bottom w:val="single" w:sz="4" w:space="0" w:color="auto"/>
            </w:tcBorders>
          </w:tcPr>
          <w:p w14:paraId="6FF7C47D" w14:textId="77777777" w:rsidR="00963CDA" w:rsidRPr="009A696E" w:rsidRDefault="00963CDA" w:rsidP="00C8245B">
            <w:pPr>
              <w:autoSpaceDE w:val="0"/>
              <w:autoSpaceDN w:val="0"/>
              <w:adjustRightInd w:val="0"/>
              <w:rPr>
                <w:iCs/>
                <w:sz w:val="20"/>
                <w:szCs w:val="20"/>
                <w:lang w:bidi="en-US"/>
              </w:rPr>
            </w:pPr>
            <w:r w:rsidRPr="009A696E">
              <w:rPr>
                <w:color w:val="000000"/>
                <w:sz w:val="20"/>
                <w:szCs w:val="20"/>
              </w:rPr>
              <w:t>Level 400</w:t>
            </w:r>
          </w:p>
        </w:tc>
        <w:tc>
          <w:tcPr>
            <w:tcW w:w="2608" w:type="dxa"/>
            <w:tcBorders>
              <w:bottom w:val="single" w:sz="4" w:space="0" w:color="auto"/>
            </w:tcBorders>
            <w:vAlign w:val="center"/>
          </w:tcPr>
          <w:p w14:paraId="0F39D9A9"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81</w:t>
            </w:r>
          </w:p>
        </w:tc>
        <w:tc>
          <w:tcPr>
            <w:tcW w:w="2436" w:type="dxa"/>
            <w:tcBorders>
              <w:bottom w:val="single" w:sz="4" w:space="0" w:color="auto"/>
            </w:tcBorders>
            <w:vAlign w:val="center"/>
          </w:tcPr>
          <w:p w14:paraId="395FF1C0"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22.8</w:t>
            </w:r>
          </w:p>
        </w:tc>
      </w:tr>
      <w:tr w:rsidR="00963CDA" w:rsidRPr="009A696E" w14:paraId="05C89723" w14:textId="77777777" w:rsidTr="00E20ACC">
        <w:tc>
          <w:tcPr>
            <w:tcW w:w="3972" w:type="dxa"/>
            <w:tcBorders>
              <w:top w:val="single" w:sz="4" w:space="0" w:color="auto"/>
              <w:bottom w:val="single" w:sz="4" w:space="0" w:color="auto"/>
            </w:tcBorders>
          </w:tcPr>
          <w:p w14:paraId="561D9A09" w14:textId="77777777" w:rsidR="00963CDA" w:rsidRPr="009A696E" w:rsidRDefault="00963CDA" w:rsidP="00C8245B">
            <w:pPr>
              <w:autoSpaceDE w:val="0"/>
              <w:autoSpaceDN w:val="0"/>
              <w:adjustRightInd w:val="0"/>
              <w:rPr>
                <w:b/>
                <w:bCs/>
                <w:i/>
                <w:iCs/>
                <w:sz w:val="20"/>
                <w:szCs w:val="20"/>
                <w:lang w:bidi="en-US"/>
              </w:rPr>
            </w:pPr>
            <w:r w:rsidRPr="009A696E">
              <w:rPr>
                <w:b/>
                <w:bCs/>
                <w:i/>
                <w:iCs/>
                <w:sz w:val="20"/>
                <w:szCs w:val="20"/>
                <w:lang w:bidi="en-US"/>
              </w:rPr>
              <w:t>Gender</w:t>
            </w:r>
          </w:p>
        </w:tc>
        <w:tc>
          <w:tcPr>
            <w:tcW w:w="2608" w:type="dxa"/>
            <w:tcBorders>
              <w:top w:val="single" w:sz="4" w:space="0" w:color="auto"/>
              <w:bottom w:val="single" w:sz="4" w:space="0" w:color="auto"/>
            </w:tcBorders>
          </w:tcPr>
          <w:p w14:paraId="48AB3A2A" w14:textId="77777777" w:rsidR="00963CDA" w:rsidRPr="009A696E" w:rsidRDefault="00963CDA" w:rsidP="00C8245B">
            <w:pPr>
              <w:autoSpaceDE w:val="0"/>
              <w:autoSpaceDN w:val="0"/>
              <w:adjustRightInd w:val="0"/>
              <w:jc w:val="center"/>
              <w:rPr>
                <w:b/>
                <w:bCs/>
                <w:i/>
                <w:iCs/>
                <w:color w:val="000000"/>
                <w:sz w:val="20"/>
                <w:szCs w:val="20"/>
                <w:lang w:bidi="en-US"/>
              </w:rPr>
            </w:pPr>
            <w:r w:rsidRPr="009A696E">
              <w:rPr>
                <w:b/>
                <w:bCs/>
                <w:i/>
                <w:iCs/>
                <w:color w:val="000000"/>
                <w:sz w:val="20"/>
                <w:szCs w:val="20"/>
                <w:lang w:bidi="en-US"/>
              </w:rPr>
              <w:t>355</w:t>
            </w:r>
          </w:p>
        </w:tc>
        <w:tc>
          <w:tcPr>
            <w:tcW w:w="2436" w:type="dxa"/>
            <w:tcBorders>
              <w:top w:val="single" w:sz="4" w:space="0" w:color="auto"/>
              <w:bottom w:val="single" w:sz="4" w:space="0" w:color="auto"/>
            </w:tcBorders>
          </w:tcPr>
          <w:p w14:paraId="6BE33080" w14:textId="77777777" w:rsidR="00963CDA" w:rsidRPr="009A696E" w:rsidRDefault="00963CDA" w:rsidP="00C8245B">
            <w:pPr>
              <w:autoSpaceDE w:val="0"/>
              <w:autoSpaceDN w:val="0"/>
              <w:adjustRightInd w:val="0"/>
              <w:jc w:val="center"/>
              <w:rPr>
                <w:b/>
                <w:bCs/>
                <w:i/>
                <w:iCs/>
                <w:color w:val="000000"/>
                <w:sz w:val="20"/>
                <w:szCs w:val="20"/>
                <w:lang w:bidi="en-US"/>
              </w:rPr>
            </w:pPr>
            <w:r w:rsidRPr="009A696E">
              <w:rPr>
                <w:b/>
                <w:bCs/>
                <w:i/>
                <w:iCs/>
                <w:color w:val="000000"/>
                <w:sz w:val="20"/>
                <w:szCs w:val="20"/>
                <w:lang w:bidi="en-US"/>
              </w:rPr>
              <w:t>100</w:t>
            </w:r>
          </w:p>
        </w:tc>
      </w:tr>
      <w:tr w:rsidR="00963CDA" w:rsidRPr="009A696E" w14:paraId="0AA1B388" w14:textId="77777777" w:rsidTr="00E20ACC">
        <w:tc>
          <w:tcPr>
            <w:tcW w:w="3972" w:type="dxa"/>
            <w:tcBorders>
              <w:top w:val="single" w:sz="4" w:space="0" w:color="auto"/>
            </w:tcBorders>
          </w:tcPr>
          <w:p w14:paraId="7B5ADE45" w14:textId="77777777" w:rsidR="00963CDA" w:rsidRPr="009A696E" w:rsidRDefault="00963CDA" w:rsidP="00C8245B">
            <w:pPr>
              <w:autoSpaceDE w:val="0"/>
              <w:autoSpaceDN w:val="0"/>
              <w:adjustRightInd w:val="0"/>
              <w:rPr>
                <w:iCs/>
                <w:sz w:val="20"/>
                <w:szCs w:val="20"/>
                <w:lang w:bidi="en-US"/>
              </w:rPr>
            </w:pPr>
            <w:r w:rsidRPr="009A696E">
              <w:rPr>
                <w:color w:val="000000"/>
                <w:sz w:val="20"/>
                <w:szCs w:val="20"/>
              </w:rPr>
              <w:t>Male</w:t>
            </w:r>
          </w:p>
        </w:tc>
        <w:tc>
          <w:tcPr>
            <w:tcW w:w="2608" w:type="dxa"/>
            <w:tcBorders>
              <w:top w:val="single" w:sz="4" w:space="0" w:color="auto"/>
            </w:tcBorders>
            <w:vAlign w:val="center"/>
          </w:tcPr>
          <w:p w14:paraId="680E04FC"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265</w:t>
            </w:r>
          </w:p>
        </w:tc>
        <w:tc>
          <w:tcPr>
            <w:tcW w:w="2436" w:type="dxa"/>
            <w:tcBorders>
              <w:top w:val="single" w:sz="4" w:space="0" w:color="auto"/>
            </w:tcBorders>
            <w:vAlign w:val="center"/>
          </w:tcPr>
          <w:p w14:paraId="7CE22490"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74.6</w:t>
            </w:r>
          </w:p>
        </w:tc>
      </w:tr>
      <w:tr w:rsidR="00963CDA" w:rsidRPr="009A696E" w14:paraId="609609DA" w14:textId="77777777" w:rsidTr="00E20ACC">
        <w:tc>
          <w:tcPr>
            <w:tcW w:w="3972" w:type="dxa"/>
            <w:tcBorders>
              <w:bottom w:val="single" w:sz="4" w:space="0" w:color="auto"/>
            </w:tcBorders>
          </w:tcPr>
          <w:p w14:paraId="78712EC3" w14:textId="77777777" w:rsidR="00963CDA" w:rsidRPr="009A696E" w:rsidRDefault="00963CDA" w:rsidP="00C8245B">
            <w:pPr>
              <w:autoSpaceDE w:val="0"/>
              <w:autoSpaceDN w:val="0"/>
              <w:adjustRightInd w:val="0"/>
              <w:rPr>
                <w:iCs/>
                <w:sz w:val="20"/>
                <w:szCs w:val="20"/>
                <w:lang w:bidi="en-US"/>
              </w:rPr>
            </w:pPr>
            <w:r w:rsidRPr="009A696E">
              <w:rPr>
                <w:color w:val="000000"/>
                <w:sz w:val="20"/>
                <w:szCs w:val="20"/>
              </w:rPr>
              <w:t>Female</w:t>
            </w:r>
          </w:p>
        </w:tc>
        <w:tc>
          <w:tcPr>
            <w:tcW w:w="2608" w:type="dxa"/>
            <w:tcBorders>
              <w:bottom w:val="single" w:sz="4" w:space="0" w:color="auto"/>
            </w:tcBorders>
            <w:vAlign w:val="center"/>
          </w:tcPr>
          <w:p w14:paraId="291BDE2F"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90</w:t>
            </w:r>
          </w:p>
        </w:tc>
        <w:tc>
          <w:tcPr>
            <w:tcW w:w="2436" w:type="dxa"/>
            <w:tcBorders>
              <w:bottom w:val="single" w:sz="4" w:space="0" w:color="auto"/>
            </w:tcBorders>
            <w:vAlign w:val="center"/>
          </w:tcPr>
          <w:p w14:paraId="2D2787EB"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25.4</w:t>
            </w:r>
          </w:p>
        </w:tc>
      </w:tr>
      <w:tr w:rsidR="00963CDA" w:rsidRPr="009A696E" w14:paraId="3A0CF361" w14:textId="77777777" w:rsidTr="00E20ACC">
        <w:tc>
          <w:tcPr>
            <w:tcW w:w="3972" w:type="dxa"/>
            <w:tcBorders>
              <w:top w:val="single" w:sz="4" w:space="0" w:color="auto"/>
              <w:bottom w:val="single" w:sz="4" w:space="0" w:color="auto"/>
            </w:tcBorders>
          </w:tcPr>
          <w:p w14:paraId="7704D4F9" w14:textId="77777777" w:rsidR="00963CDA" w:rsidRPr="009A696E" w:rsidRDefault="00963CDA" w:rsidP="00C8245B">
            <w:pPr>
              <w:autoSpaceDE w:val="0"/>
              <w:autoSpaceDN w:val="0"/>
              <w:adjustRightInd w:val="0"/>
              <w:rPr>
                <w:b/>
                <w:bCs/>
                <w:i/>
                <w:iCs/>
                <w:sz w:val="20"/>
                <w:szCs w:val="20"/>
                <w:lang w:bidi="en-US"/>
              </w:rPr>
            </w:pPr>
            <w:r w:rsidRPr="009A696E">
              <w:rPr>
                <w:b/>
                <w:bCs/>
                <w:i/>
                <w:iCs/>
                <w:sz w:val="20"/>
                <w:szCs w:val="20"/>
                <w:lang w:bidi="en-US"/>
              </w:rPr>
              <w:t>Age</w:t>
            </w:r>
          </w:p>
        </w:tc>
        <w:tc>
          <w:tcPr>
            <w:tcW w:w="2608" w:type="dxa"/>
            <w:tcBorders>
              <w:top w:val="single" w:sz="4" w:space="0" w:color="auto"/>
              <w:bottom w:val="single" w:sz="4" w:space="0" w:color="auto"/>
            </w:tcBorders>
          </w:tcPr>
          <w:p w14:paraId="0F6B3A10" w14:textId="77777777" w:rsidR="00963CDA" w:rsidRPr="009A696E" w:rsidRDefault="00963CDA" w:rsidP="00C8245B">
            <w:pPr>
              <w:autoSpaceDE w:val="0"/>
              <w:autoSpaceDN w:val="0"/>
              <w:adjustRightInd w:val="0"/>
              <w:jc w:val="center"/>
              <w:rPr>
                <w:b/>
                <w:bCs/>
                <w:i/>
                <w:iCs/>
                <w:color w:val="000000"/>
                <w:sz w:val="20"/>
                <w:szCs w:val="20"/>
                <w:lang w:bidi="en-US"/>
              </w:rPr>
            </w:pPr>
            <w:r w:rsidRPr="009A696E">
              <w:rPr>
                <w:b/>
                <w:bCs/>
                <w:i/>
                <w:iCs/>
                <w:color w:val="000000"/>
                <w:sz w:val="20"/>
                <w:szCs w:val="20"/>
                <w:lang w:bidi="en-US"/>
              </w:rPr>
              <w:t>355</w:t>
            </w:r>
          </w:p>
        </w:tc>
        <w:tc>
          <w:tcPr>
            <w:tcW w:w="2436" w:type="dxa"/>
            <w:tcBorders>
              <w:top w:val="single" w:sz="4" w:space="0" w:color="auto"/>
              <w:bottom w:val="single" w:sz="4" w:space="0" w:color="auto"/>
            </w:tcBorders>
          </w:tcPr>
          <w:p w14:paraId="1F9F36FB" w14:textId="77777777" w:rsidR="00963CDA" w:rsidRPr="009A696E" w:rsidRDefault="00963CDA" w:rsidP="00C8245B">
            <w:pPr>
              <w:autoSpaceDE w:val="0"/>
              <w:autoSpaceDN w:val="0"/>
              <w:adjustRightInd w:val="0"/>
              <w:jc w:val="center"/>
              <w:rPr>
                <w:b/>
                <w:bCs/>
                <w:i/>
                <w:iCs/>
                <w:color w:val="000000"/>
                <w:sz w:val="20"/>
                <w:szCs w:val="20"/>
                <w:lang w:bidi="en-US"/>
              </w:rPr>
            </w:pPr>
            <w:r w:rsidRPr="009A696E">
              <w:rPr>
                <w:b/>
                <w:bCs/>
                <w:i/>
                <w:iCs/>
                <w:color w:val="000000"/>
                <w:sz w:val="20"/>
                <w:szCs w:val="20"/>
                <w:lang w:bidi="en-US"/>
              </w:rPr>
              <w:t>100</w:t>
            </w:r>
          </w:p>
        </w:tc>
      </w:tr>
      <w:tr w:rsidR="00963CDA" w:rsidRPr="009A696E" w14:paraId="5C1E25FE" w14:textId="77777777" w:rsidTr="00E20ACC">
        <w:trPr>
          <w:trHeight w:val="260"/>
        </w:trPr>
        <w:tc>
          <w:tcPr>
            <w:tcW w:w="3972" w:type="dxa"/>
            <w:tcBorders>
              <w:top w:val="single" w:sz="4" w:space="0" w:color="auto"/>
            </w:tcBorders>
          </w:tcPr>
          <w:p w14:paraId="1DE1B2EC" w14:textId="77777777" w:rsidR="00963CDA" w:rsidRPr="009A696E" w:rsidRDefault="00963CDA" w:rsidP="00C8245B">
            <w:pPr>
              <w:autoSpaceDE w:val="0"/>
              <w:autoSpaceDN w:val="0"/>
              <w:adjustRightInd w:val="0"/>
              <w:rPr>
                <w:iCs/>
                <w:sz w:val="20"/>
                <w:szCs w:val="20"/>
                <w:lang w:bidi="en-US"/>
              </w:rPr>
            </w:pPr>
            <w:r w:rsidRPr="009A696E">
              <w:rPr>
                <w:color w:val="000000"/>
                <w:sz w:val="20"/>
                <w:szCs w:val="20"/>
              </w:rPr>
              <w:t>Less than 18 years</w:t>
            </w:r>
          </w:p>
        </w:tc>
        <w:tc>
          <w:tcPr>
            <w:tcW w:w="2608" w:type="dxa"/>
            <w:tcBorders>
              <w:top w:val="single" w:sz="4" w:space="0" w:color="auto"/>
            </w:tcBorders>
            <w:vAlign w:val="center"/>
          </w:tcPr>
          <w:p w14:paraId="7699C3AD"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39</w:t>
            </w:r>
          </w:p>
        </w:tc>
        <w:tc>
          <w:tcPr>
            <w:tcW w:w="2436" w:type="dxa"/>
            <w:tcBorders>
              <w:top w:val="single" w:sz="4" w:space="0" w:color="auto"/>
            </w:tcBorders>
            <w:vAlign w:val="center"/>
          </w:tcPr>
          <w:p w14:paraId="03F4A9AE"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11.0</w:t>
            </w:r>
          </w:p>
        </w:tc>
      </w:tr>
      <w:tr w:rsidR="00963CDA" w:rsidRPr="009A696E" w14:paraId="4EC9D957" w14:textId="77777777" w:rsidTr="00E20ACC">
        <w:tc>
          <w:tcPr>
            <w:tcW w:w="3972" w:type="dxa"/>
          </w:tcPr>
          <w:p w14:paraId="0BA45A71" w14:textId="77777777" w:rsidR="00963CDA" w:rsidRPr="009A696E" w:rsidRDefault="00963CDA" w:rsidP="00C8245B">
            <w:pPr>
              <w:autoSpaceDE w:val="0"/>
              <w:autoSpaceDN w:val="0"/>
              <w:adjustRightInd w:val="0"/>
              <w:rPr>
                <w:iCs/>
                <w:sz w:val="20"/>
                <w:szCs w:val="20"/>
                <w:lang w:bidi="en-US"/>
              </w:rPr>
            </w:pPr>
            <w:r w:rsidRPr="009A696E">
              <w:rPr>
                <w:color w:val="000000"/>
                <w:sz w:val="20"/>
                <w:szCs w:val="20"/>
              </w:rPr>
              <w:t>18-21 years</w:t>
            </w:r>
          </w:p>
        </w:tc>
        <w:tc>
          <w:tcPr>
            <w:tcW w:w="2608" w:type="dxa"/>
            <w:vAlign w:val="center"/>
          </w:tcPr>
          <w:p w14:paraId="3B2E5A5F"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158</w:t>
            </w:r>
          </w:p>
        </w:tc>
        <w:tc>
          <w:tcPr>
            <w:tcW w:w="2436" w:type="dxa"/>
            <w:vAlign w:val="center"/>
          </w:tcPr>
          <w:p w14:paraId="7C4DC6A0"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44.5</w:t>
            </w:r>
          </w:p>
        </w:tc>
      </w:tr>
      <w:tr w:rsidR="00963CDA" w:rsidRPr="009A696E" w14:paraId="19C8D5AF" w14:textId="77777777" w:rsidTr="00E20ACC">
        <w:tc>
          <w:tcPr>
            <w:tcW w:w="3972" w:type="dxa"/>
            <w:tcBorders>
              <w:bottom w:val="single" w:sz="4" w:space="0" w:color="auto"/>
            </w:tcBorders>
          </w:tcPr>
          <w:p w14:paraId="30A3CA21" w14:textId="77777777" w:rsidR="00963CDA" w:rsidRPr="009A696E" w:rsidRDefault="00963CDA" w:rsidP="00C8245B">
            <w:pPr>
              <w:autoSpaceDE w:val="0"/>
              <w:autoSpaceDN w:val="0"/>
              <w:adjustRightInd w:val="0"/>
              <w:rPr>
                <w:iCs/>
                <w:sz w:val="20"/>
                <w:szCs w:val="20"/>
                <w:lang w:bidi="en-US"/>
              </w:rPr>
            </w:pPr>
            <w:r w:rsidRPr="009A696E">
              <w:rPr>
                <w:color w:val="000000"/>
                <w:sz w:val="20"/>
                <w:szCs w:val="20"/>
              </w:rPr>
              <w:t>22 years above</w:t>
            </w:r>
          </w:p>
        </w:tc>
        <w:tc>
          <w:tcPr>
            <w:tcW w:w="2608" w:type="dxa"/>
            <w:tcBorders>
              <w:bottom w:val="single" w:sz="4" w:space="0" w:color="auto"/>
            </w:tcBorders>
            <w:vAlign w:val="center"/>
          </w:tcPr>
          <w:p w14:paraId="168E2091"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158</w:t>
            </w:r>
          </w:p>
        </w:tc>
        <w:tc>
          <w:tcPr>
            <w:tcW w:w="2436" w:type="dxa"/>
            <w:tcBorders>
              <w:bottom w:val="single" w:sz="4" w:space="0" w:color="auto"/>
            </w:tcBorders>
            <w:vAlign w:val="center"/>
          </w:tcPr>
          <w:p w14:paraId="65842694"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44.5</w:t>
            </w:r>
          </w:p>
        </w:tc>
      </w:tr>
    </w:tbl>
    <w:p w14:paraId="1903F0AD" w14:textId="77777777" w:rsidR="00EE0BCB" w:rsidRPr="009A696E" w:rsidRDefault="00EE0BCB" w:rsidP="00C8245B">
      <w:pPr>
        <w:spacing w:before="240" w:line="240" w:lineRule="auto"/>
        <w:rPr>
          <w:rFonts w:cs="Times New Roman"/>
          <w:i/>
          <w:iCs/>
          <w:sz w:val="20"/>
          <w:szCs w:val="20"/>
        </w:rPr>
      </w:pPr>
      <w:bookmarkStart w:id="1" w:name="_Toc50938837"/>
      <w:bookmarkStart w:id="2" w:name="_Toc114699702"/>
      <w:bookmarkStart w:id="3" w:name="_Toc118298429"/>
    </w:p>
    <w:p w14:paraId="48BA4CDA" w14:textId="7C064EA4" w:rsidR="00963CDA" w:rsidRPr="009A696E" w:rsidRDefault="00963CDA" w:rsidP="00C8245B">
      <w:pPr>
        <w:spacing w:before="240" w:line="240" w:lineRule="auto"/>
        <w:rPr>
          <w:rFonts w:cs="Times New Roman"/>
          <w:i/>
          <w:iCs/>
          <w:sz w:val="20"/>
          <w:szCs w:val="20"/>
        </w:rPr>
      </w:pPr>
      <w:r w:rsidRPr="009A696E">
        <w:rPr>
          <w:rFonts w:cs="Times New Roman"/>
          <w:i/>
          <w:iCs/>
          <w:sz w:val="20"/>
          <w:szCs w:val="20"/>
        </w:rPr>
        <w:t xml:space="preserve">Descriptive </w:t>
      </w:r>
      <w:bookmarkEnd w:id="1"/>
      <w:bookmarkEnd w:id="2"/>
      <w:bookmarkEnd w:id="3"/>
      <w:r w:rsidRPr="009A696E">
        <w:rPr>
          <w:rFonts w:cs="Times New Roman"/>
          <w:i/>
          <w:iCs/>
          <w:sz w:val="20"/>
          <w:szCs w:val="20"/>
        </w:rPr>
        <w:t>Statistics</w:t>
      </w:r>
    </w:p>
    <w:p w14:paraId="2E231C77" w14:textId="77777777" w:rsidR="00963CDA" w:rsidRPr="009A696E" w:rsidRDefault="00963CDA" w:rsidP="00C8245B">
      <w:pPr>
        <w:spacing w:line="240" w:lineRule="auto"/>
        <w:rPr>
          <w:rFonts w:eastAsia="Calibri" w:cs="Times New Roman"/>
          <w:sz w:val="20"/>
          <w:szCs w:val="20"/>
        </w:rPr>
      </w:pPr>
      <w:r w:rsidRPr="009A696E">
        <w:rPr>
          <w:rFonts w:eastAsia="Calibri" w:cs="Times New Roman"/>
          <w:sz w:val="20"/>
          <w:szCs w:val="20"/>
        </w:rPr>
        <w:t xml:space="preserve">For each construct, mean and standard deviation were computed. The Likert scale, which ranges from 1 (strongly disagree) to 5 (strongly agree), was used as a reference for discussing the results (See Table 2). </w:t>
      </w:r>
    </w:p>
    <w:p w14:paraId="1407CFD5" w14:textId="77777777" w:rsidR="00963CDA" w:rsidRPr="009A696E" w:rsidRDefault="00963CDA" w:rsidP="00C8245B">
      <w:pPr>
        <w:spacing w:line="240" w:lineRule="auto"/>
        <w:rPr>
          <w:rFonts w:eastAsia="Calibri" w:cs="Times New Roman"/>
          <w:sz w:val="20"/>
          <w:szCs w:val="20"/>
        </w:rPr>
      </w:pPr>
      <w:r w:rsidRPr="009A696E">
        <w:rPr>
          <w:rFonts w:eastAsia="Calibri" w:cs="Times New Roman"/>
          <w:sz w:val="20"/>
          <w:szCs w:val="20"/>
        </w:rPr>
        <w:t xml:space="preserve">A positive response (agree range) was given as a mean score larger than 3, and a negative response (disagree range) was defined as a mean score less than 3. Respondents agreed that they receive </w:t>
      </w:r>
      <w:r w:rsidRPr="009A696E">
        <w:rPr>
          <w:rFonts w:eastAsia="Calibri" w:cs="Times New Roman"/>
          <w:i/>
          <w:iCs/>
          <w:sz w:val="20"/>
          <w:szCs w:val="20"/>
        </w:rPr>
        <w:t>Reliable</w:t>
      </w:r>
      <w:r w:rsidRPr="009A696E">
        <w:rPr>
          <w:rFonts w:eastAsia="Calibri" w:cs="Times New Roman"/>
          <w:sz w:val="20"/>
          <w:szCs w:val="20"/>
        </w:rPr>
        <w:t xml:space="preserve"> accounting lectures from their lecturers (mean = 3.619). It was further revealed that all the 5 observed items under this construct had mean scores of greater than 3. This indicates that the respondents agreed that their accounting lecturers can finish the syllabus on time, deliver accounting lessons as promised, impress them from the first lesson, deliver content free of errors, and they are trustworthy when it comes to helping students with their accounting learning issues. The items under </w:t>
      </w:r>
      <w:r w:rsidRPr="009A696E">
        <w:rPr>
          <w:rFonts w:eastAsia="Calibri" w:cs="Times New Roman"/>
          <w:i/>
          <w:iCs/>
          <w:sz w:val="20"/>
          <w:szCs w:val="20"/>
        </w:rPr>
        <w:t xml:space="preserve">Responsiveness </w:t>
      </w:r>
      <w:r w:rsidRPr="009A696E">
        <w:rPr>
          <w:rFonts w:eastAsia="Calibri" w:cs="Times New Roman"/>
          <w:sz w:val="20"/>
          <w:szCs w:val="20"/>
        </w:rPr>
        <w:t xml:space="preserve">received positive responses (mean = 4.017). It was discovered that the mean scores for each of the four observed items under this construct were higher than 3. This indicates that the respondents believed that their accounting lecturers are on time and consistent in the classroom, that they inform students of the meeting times, that they are willing to respond to questions from students during class, and that they are ready to assist students in times of need. In addition, majority of the respondents believed that their accounting lecturers provide </w:t>
      </w:r>
      <w:r w:rsidRPr="009A696E">
        <w:rPr>
          <w:rFonts w:eastAsia="Calibri" w:cs="Times New Roman"/>
          <w:i/>
          <w:iCs/>
          <w:sz w:val="20"/>
          <w:szCs w:val="20"/>
        </w:rPr>
        <w:t>Assurance</w:t>
      </w:r>
      <w:r w:rsidRPr="009A696E">
        <w:rPr>
          <w:rFonts w:eastAsia="Calibri" w:cs="Times New Roman"/>
          <w:sz w:val="20"/>
          <w:szCs w:val="20"/>
        </w:rPr>
        <w:t xml:space="preserve"> of their capacity to master the accounting course (mean = 3.778).  According to the respondents, their accounting instructors are ready to respond to questions from students during class, that they give students confidence, that they are always polite to students, and that they give students hope that passing accounting is achievable. Furthermore, it was identified that the respondents agreed that their accounting lecturers demonstrate </w:t>
      </w:r>
      <w:r w:rsidRPr="009A696E">
        <w:rPr>
          <w:rFonts w:eastAsia="Calibri" w:cs="Times New Roman"/>
          <w:bCs/>
          <w:i/>
          <w:sz w:val="20"/>
          <w:szCs w:val="20"/>
        </w:rPr>
        <w:t>Empathy</w:t>
      </w:r>
      <w:r w:rsidRPr="009A696E">
        <w:rPr>
          <w:rFonts w:eastAsia="Calibri" w:cs="Times New Roman"/>
          <w:b/>
          <w:iCs/>
          <w:sz w:val="20"/>
          <w:szCs w:val="20"/>
        </w:rPr>
        <w:t xml:space="preserve"> </w:t>
      </w:r>
      <w:r w:rsidRPr="009A696E">
        <w:rPr>
          <w:rFonts w:eastAsia="Calibri" w:cs="Times New Roman"/>
          <w:bCs/>
          <w:iCs/>
          <w:sz w:val="20"/>
          <w:szCs w:val="20"/>
        </w:rPr>
        <w:t>in their students’ progress (mean = 3.635).</w:t>
      </w:r>
      <w:r w:rsidRPr="009A696E">
        <w:rPr>
          <w:rFonts w:eastAsia="Calibri" w:cs="Times New Roman"/>
          <w:b/>
          <w:iCs/>
          <w:sz w:val="20"/>
          <w:szCs w:val="20"/>
        </w:rPr>
        <w:t xml:space="preserve"> </w:t>
      </w:r>
      <w:r w:rsidRPr="009A696E">
        <w:rPr>
          <w:rFonts w:eastAsia="Calibri" w:cs="Times New Roman"/>
          <w:sz w:val="20"/>
          <w:szCs w:val="20"/>
        </w:rPr>
        <w:t xml:space="preserve">That is, the respondents concurred that their accounting lecturers treat their students with courtesy, comprehend their needs and challenges in learning accounting, act in their best interests, are prepared to help students outside of class, and provide individualised attention to each student. Lastly, respondents believed that their institutions have the </w:t>
      </w:r>
      <w:r w:rsidRPr="009A696E">
        <w:rPr>
          <w:rFonts w:eastAsia="Calibri" w:cs="Times New Roman"/>
          <w:bCs/>
          <w:i/>
          <w:sz w:val="20"/>
          <w:szCs w:val="20"/>
        </w:rPr>
        <w:lastRenderedPageBreak/>
        <w:t>Tangibles</w:t>
      </w:r>
      <w:r w:rsidRPr="009A696E">
        <w:rPr>
          <w:rFonts w:eastAsia="Calibri" w:cs="Times New Roman"/>
          <w:b/>
          <w:iCs/>
          <w:sz w:val="20"/>
          <w:szCs w:val="20"/>
        </w:rPr>
        <w:t xml:space="preserve"> </w:t>
      </w:r>
      <w:r w:rsidRPr="009A696E">
        <w:rPr>
          <w:rFonts w:eastAsia="Calibri" w:cs="Times New Roman"/>
          <w:sz w:val="20"/>
          <w:szCs w:val="20"/>
        </w:rPr>
        <w:t>(facilities) needed to improve their learning (4.076). This is because the respondents agreed that their accounting professors are well-groomed and professional when they arrive at class, that colleges have state-of-the-art teaching tools like computers and projectors, that colleges have aesthetically pleasing resources (books, equipment, etc.) related to accounting instruction, and that colleges have aesthetically pleasing buildings and infrastructure.</w:t>
      </w:r>
    </w:p>
    <w:p w14:paraId="0ABCE69D" w14:textId="20316933" w:rsidR="00963CDA" w:rsidRPr="009A696E" w:rsidRDefault="00963CDA" w:rsidP="00C8245B">
      <w:pPr>
        <w:spacing w:line="240" w:lineRule="auto"/>
        <w:rPr>
          <w:rFonts w:eastAsia="Calibri" w:cs="Times New Roman"/>
          <w:sz w:val="20"/>
          <w:szCs w:val="20"/>
        </w:rPr>
      </w:pPr>
      <w:r w:rsidRPr="009A696E">
        <w:rPr>
          <w:rFonts w:eastAsia="Calibri" w:cs="Times New Roman"/>
          <w:sz w:val="20"/>
          <w:szCs w:val="20"/>
        </w:rPr>
        <w:t xml:space="preserve">Since the total mean score for </w:t>
      </w:r>
      <w:r w:rsidRPr="009A696E">
        <w:rPr>
          <w:rFonts w:eastAsia="Calibri" w:cs="Times New Roman"/>
          <w:bCs/>
          <w:i/>
          <w:iCs/>
          <w:sz w:val="20"/>
          <w:szCs w:val="20"/>
        </w:rPr>
        <w:t>Performance in Accounting</w:t>
      </w:r>
      <w:r w:rsidRPr="009A696E">
        <w:rPr>
          <w:rFonts w:eastAsia="Calibri" w:cs="Times New Roman"/>
          <w:sz w:val="20"/>
          <w:szCs w:val="20"/>
        </w:rPr>
        <w:t xml:space="preserve"> construct was 3.710 which is greater than 3, it was concluded that the respondents agreed that they perform well in the accounting course. It was further revealed that all the 8 observed items under this construct had mean scores of greater than 3. This means that the respondents agreed that they </w:t>
      </w:r>
      <w:r w:rsidRPr="009A696E">
        <w:rPr>
          <w:rFonts w:eastAsia="Times New Roman" w:cs="Times New Roman"/>
          <w:sz w:val="20"/>
          <w:szCs w:val="20"/>
        </w:rPr>
        <w:t xml:space="preserve">are </w:t>
      </w:r>
      <w:r w:rsidRPr="009A696E">
        <w:rPr>
          <w:rFonts w:eastAsia="Calibri" w:cs="Times New Roman"/>
          <w:sz w:val="20"/>
          <w:szCs w:val="20"/>
        </w:rPr>
        <w:t xml:space="preserve">confident in their understanding of accounting, accounting is one of their strengths, learn things quickly in accounting, compared to SHS, their current performance in accounting has improved, are good at working out difficult accounting problems, teach their colleagues who need help in accounting, score high marks in accounting exams, and feel happy about their recent test and exam scores. </w:t>
      </w:r>
    </w:p>
    <w:p w14:paraId="0BE7CC69" w14:textId="77777777" w:rsidR="00963CDA" w:rsidRPr="009A696E" w:rsidRDefault="00963CDA" w:rsidP="00C8245B">
      <w:pPr>
        <w:spacing w:after="0" w:line="240" w:lineRule="auto"/>
        <w:rPr>
          <w:rFonts w:eastAsia="Calibri" w:cs="Times New Roman"/>
          <w:b/>
          <w:sz w:val="20"/>
          <w:szCs w:val="20"/>
        </w:rPr>
      </w:pPr>
      <w:r w:rsidRPr="009A696E">
        <w:rPr>
          <w:rFonts w:eastAsia="Calibri" w:cs="Times New Roman"/>
          <w:b/>
          <w:sz w:val="20"/>
          <w:szCs w:val="20"/>
        </w:rPr>
        <w:t>Table 2: Descriptive Results of Accounting Teaching Quality Dimensions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900"/>
        <w:gridCol w:w="1191"/>
      </w:tblGrid>
      <w:tr w:rsidR="00963CDA" w:rsidRPr="009A696E" w14:paraId="0CC775D7" w14:textId="77777777" w:rsidTr="00E20ACC">
        <w:tc>
          <w:tcPr>
            <w:tcW w:w="6925" w:type="dxa"/>
            <w:tcBorders>
              <w:top w:val="single" w:sz="4" w:space="0" w:color="auto"/>
              <w:bottom w:val="single" w:sz="4" w:space="0" w:color="auto"/>
            </w:tcBorders>
          </w:tcPr>
          <w:p w14:paraId="56999489" w14:textId="77777777" w:rsidR="00963CDA" w:rsidRPr="009A696E" w:rsidRDefault="00963CDA" w:rsidP="00C8245B">
            <w:pPr>
              <w:rPr>
                <w:b/>
                <w:bCs/>
                <w:sz w:val="20"/>
              </w:rPr>
            </w:pPr>
            <w:r w:rsidRPr="009A696E">
              <w:rPr>
                <w:rFonts w:eastAsia="Calibri"/>
                <w:b/>
                <w:sz w:val="20"/>
              </w:rPr>
              <w:t>Accounting Teaching Quality</w:t>
            </w:r>
          </w:p>
        </w:tc>
        <w:tc>
          <w:tcPr>
            <w:tcW w:w="900" w:type="dxa"/>
            <w:tcBorders>
              <w:top w:val="single" w:sz="4" w:space="0" w:color="auto"/>
              <w:bottom w:val="single" w:sz="4" w:space="0" w:color="auto"/>
            </w:tcBorders>
          </w:tcPr>
          <w:p w14:paraId="5CE4350B" w14:textId="77777777" w:rsidR="00963CDA" w:rsidRPr="009A696E" w:rsidRDefault="00963CDA" w:rsidP="00C8245B">
            <w:pPr>
              <w:rPr>
                <w:b/>
                <w:bCs/>
                <w:sz w:val="20"/>
              </w:rPr>
            </w:pPr>
            <w:r w:rsidRPr="009A696E">
              <w:rPr>
                <w:b/>
                <w:bCs/>
                <w:sz w:val="20"/>
              </w:rPr>
              <w:t>Mean</w:t>
            </w:r>
          </w:p>
        </w:tc>
        <w:tc>
          <w:tcPr>
            <w:tcW w:w="1191" w:type="dxa"/>
            <w:tcBorders>
              <w:top w:val="single" w:sz="4" w:space="0" w:color="auto"/>
              <w:bottom w:val="single" w:sz="4" w:space="0" w:color="auto"/>
            </w:tcBorders>
          </w:tcPr>
          <w:p w14:paraId="39D3C8B4" w14:textId="77777777" w:rsidR="00963CDA" w:rsidRPr="009A696E" w:rsidRDefault="00963CDA" w:rsidP="00C8245B">
            <w:pPr>
              <w:rPr>
                <w:b/>
                <w:bCs/>
                <w:sz w:val="20"/>
              </w:rPr>
            </w:pPr>
            <w:r w:rsidRPr="009A696E">
              <w:rPr>
                <w:b/>
                <w:bCs/>
                <w:sz w:val="20"/>
              </w:rPr>
              <w:t>Std. Dev.</w:t>
            </w:r>
          </w:p>
        </w:tc>
      </w:tr>
      <w:tr w:rsidR="00963CDA" w:rsidRPr="009A696E" w14:paraId="0168144D" w14:textId="77777777" w:rsidTr="00E20ACC">
        <w:tc>
          <w:tcPr>
            <w:tcW w:w="6925" w:type="dxa"/>
            <w:tcBorders>
              <w:top w:val="single" w:sz="4" w:space="0" w:color="auto"/>
              <w:bottom w:val="single" w:sz="4" w:space="0" w:color="auto"/>
            </w:tcBorders>
          </w:tcPr>
          <w:p w14:paraId="5B00616A" w14:textId="77777777" w:rsidR="00963CDA" w:rsidRPr="009A696E" w:rsidRDefault="00963CDA" w:rsidP="00C8245B">
            <w:pPr>
              <w:rPr>
                <w:b/>
                <w:i/>
                <w:iCs/>
                <w:sz w:val="20"/>
              </w:rPr>
            </w:pPr>
            <w:r w:rsidRPr="009A696E">
              <w:rPr>
                <w:rFonts w:eastAsia="Calibri"/>
                <w:b/>
                <w:i/>
                <w:iCs/>
                <w:sz w:val="20"/>
              </w:rPr>
              <w:t>Reliability</w:t>
            </w:r>
          </w:p>
        </w:tc>
        <w:tc>
          <w:tcPr>
            <w:tcW w:w="900" w:type="dxa"/>
            <w:tcBorders>
              <w:top w:val="single" w:sz="4" w:space="0" w:color="auto"/>
              <w:bottom w:val="single" w:sz="4" w:space="0" w:color="auto"/>
            </w:tcBorders>
            <w:vAlign w:val="bottom"/>
          </w:tcPr>
          <w:p w14:paraId="38A61512" w14:textId="77777777" w:rsidR="00963CDA" w:rsidRPr="009A696E" w:rsidRDefault="00963CDA" w:rsidP="00C8245B">
            <w:pPr>
              <w:rPr>
                <w:b/>
                <w:i/>
                <w:iCs/>
                <w:sz w:val="20"/>
              </w:rPr>
            </w:pPr>
            <w:r w:rsidRPr="009A696E">
              <w:rPr>
                <w:b/>
                <w:i/>
                <w:iCs/>
                <w:sz w:val="20"/>
              </w:rPr>
              <w:t>3.619</w:t>
            </w:r>
          </w:p>
        </w:tc>
        <w:tc>
          <w:tcPr>
            <w:tcW w:w="1191" w:type="dxa"/>
            <w:tcBorders>
              <w:top w:val="single" w:sz="4" w:space="0" w:color="auto"/>
              <w:bottom w:val="single" w:sz="4" w:space="0" w:color="auto"/>
            </w:tcBorders>
            <w:vAlign w:val="bottom"/>
          </w:tcPr>
          <w:p w14:paraId="56832D27" w14:textId="77777777" w:rsidR="00963CDA" w:rsidRPr="009A696E" w:rsidRDefault="00963CDA" w:rsidP="00C8245B">
            <w:pPr>
              <w:rPr>
                <w:b/>
                <w:i/>
                <w:iCs/>
                <w:sz w:val="20"/>
              </w:rPr>
            </w:pPr>
            <w:r w:rsidRPr="009A696E">
              <w:rPr>
                <w:b/>
                <w:i/>
                <w:iCs/>
                <w:sz w:val="20"/>
              </w:rPr>
              <w:t>1.109</w:t>
            </w:r>
          </w:p>
        </w:tc>
      </w:tr>
      <w:tr w:rsidR="00963CDA" w:rsidRPr="009A696E" w14:paraId="6B94A745" w14:textId="77777777" w:rsidTr="00E20ACC">
        <w:tc>
          <w:tcPr>
            <w:tcW w:w="6925" w:type="dxa"/>
            <w:tcBorders>
              <w:top w:val="single" w:sz="4" w:space="0" w:color="auto"/>
            </w:tcBorders>
          </w:tcPr>
          <w:p w14:paraId="10DF8D5D" w14:textId="77777777" w:rsidR="00963CDA" w:rsidRPr="009A696E" w:rsidRDefault="00963CDA" w:rsidP="00C8245B">
            <w:pPr>
              <w:rPr>
                <w:sz w:val="20"/>
              </w:rPr>
            </w:pPr>
            <w:r w:rsidRPr="009A696E">
              <w:rPr>
                <w:rFonts w:eastAsia="Calibri"/>
                <w:sz w:val="20"/>
              </w:rPr>
              <w:t>Accounting lecturers are able to complete the syllabus on time</w:t>
            </w:r>
          </w:p>
        </w:tc>
        <w:tc>
          <w:tcPr>
            <w:tcW w:w="900" w:type="dxa"/>
            <w:tcBorders>
              <w:top w:val="single" w:sz="4" w:space="0" w:color="auto"/>
            </w:tcBorders>
            <w:vAlign w:val="center"/>
          </w:tcPr>
          <w:p w14:paraId="6B3EF5E3" w14:textId="77777777" w:rsidR="00963CDA" w:rsidRPr="009A696E" w:rsidRDefault="00963CDA" w:rsidP="00C8245B">
            <w:pPr>
              <w:rPr>
                <w:sz w:val="20"/>
              </w:rPr>
            </w:pPr>
            <w:r w:rsidRPr="009A696E">
              <w:rPr>
                <w:rFonts w:eastAsia="Times New Roman"/>
                <w:sz w:val="20"/>
              </w:rPr>
              <w:t>3.744</w:t>
            </w:r>
          </w:p>
        </w:tc>
        <w:tc>
          <w:tcPr>
            <w:tcW w:w="1191" w:type="dxa"/>
            <w:tcBorders>
              <w:top w:val="single" w:sz="4" w:space="0" w:color="auto"/>
            </w:tcBorders>
            <w:vAlign w:val="center"/>
          </w:tcPr>
          <w:p w14:paraId="696BE748" w14:textId="77777777" w:rsidR="00963CDA" w:rsidRPr="009A696E" w:rsidRDefault="00963CDA" w:rsidP="00C8245B">
            <w:pPr>
              <w:rPr>
                <w:sz w:val="20"/>
              </w:rPr>
            </w:pPr>
            <w:r w:rsidRPr="009A696E">
              <w:rPr>
                <w:rFonts w:eastAsia="Times New Roman"/>
                <w:sz w:val="20"/>
              </w:rPr>
              <w:t>1.147</w:t>
            </w:r>
          </w:p>
        </w:tc>
      </w:tr>
      <w:tr w:rsidR="00963CDA" w:rsidRPr="009A696E" w14:paraId="41A30D38" w14:textId="77777777" w:rsidTr="00E20ACC">
        <w:tc>
          <w:tcPr>
            <w:tcW w:w="6925" w:type="dxa"/>
          </w:tcPr>
          <w:p w14:paraId="40E1F468" w14:textId="77777777" w:rsidR="00963CDA" w:rsidRPr="009A696E" w:rsidRDefault="00963CDA" w:rsidP="00C8245B">
            <w:pPr>
              <w:rPr>
                <w:sz w:val="20"/>
              </w:rPr>
            </w:pPr>
            <w:r w:rsidRPr="009A696E">
              <w:rPr>
                <w:rFonts w:eastAsia="Calibri"/>
                <w:sz w:val="20"/>
              </w:rPr>
              <w:t>Accounting lessons are delivered as promised by lecturers</w:t>
            </w:r>
          </w:p>
        </w:tc>
        <w:tc>
          <w:tcPr>
            <w:tcW w:w="900" w:type="dxa"/>
            <w:vAlign w:val="center"/>
          </w:tcPr>
          <w:p w14:paraId="376A1AD0" w14:textId="77777777" w:rsidR="00963CDA" w:rsidRPr="009A696E" w:rsidRDefault="00963CDA" w:rsidP="00C8245B">
            <w:pPr>
              <w:rPr>
                <w:sz w:val="20"/>
              </w:rPr>
            </w:pPr>
            <w:r w:rsidRPr="009A696E">
              <w:rPr>
                <w:rFonts w:eastAsia="Times New Roman"/>
                <w:sz w:val="20"/>
              </w:rPr>
              <w:t>3.730</w:t>
            </w:r>
          </w:p>
        </w:tc>
        <w:tc>
          <w:tcPr>
            <w:tcW w:w="1191" w:type="dxa"/>
            <w:vAlign w:val="center"/>
          </w:tcPr>
          <w:p w14:paraId="7C938004" w14:textId="77777777" w:rsidR="00963CDA" w:rsidRPr="009A696E" w:rsidRDefault="00963CDA" w:rsidP="00C8245B">
            <w:pPr>
              <w:rPr>
                <w:sz w:val="20"/>
              </w:rPr>
            </w:pPr>
            <w:r w:rsidRPr="009A696E">
              <w:rPr>
                <w:rFonts w:eastAsia="Times New Roman"/>
                <w:sz w:val="20"/>
              </w:rPr>
              <w:t>1.066</w:t>
            </w:r>
          </w:p>
        </w:tc>
      </w:tr>
      <w:tr w:rsidR="00963CDA" w:rsidRPr="009A696E" w14:paraId="55CF81CD" w14:textId="77777777" w:rsidTr="00E20ACC">
        <w:tc>
          <w:tcPr>
            <w:tcW w:w="6925" w:type="dxa"/>
          </w:tcPr>
          <w:p w14:paraId="273EE93F" w14:textId="77777777" w:rsidR="00963CDA" w:rsidRPr="009A696E" w:rsidRDefault="00963CDA" w:rsidP="00C8245B">
            <w:pPr>
              <w:rPr>
                <w:sz w:val="20"/>
              </w:rPr>
            </w:pPr>
            <w:r w:rsidRPr="009A696E">
              <w:rPr>
                <w:rFonts w:eastAsia="Calibri"/>
                <w:sz w:val="20"/>
              </w:rPr>
              <w:t>My accounting lecturer impressed me during the very first lesson with us</w:t>
            </w:r>
          </w:p>
        </w:tc>
        <w:tc>
          <w:tcPr>
            <w:tcW w:w="900" w:type="dxa"/>
            <w:vAlign w:val="center"/>
          </w:tcPr>
          <w:p w14:paraId="3386EFCD" w14:textId="77777777" w:rsidR="00963CDA" w:rsidRPr="009A696E" w:rsidRDefault="00963CDA" w:rsidP="00C8245B">
            <w:pPr>
              <w:rPr>
                <w:sz w:val="20"/>
              </w:rPr>
            </w:pPr>
            <w:r w:rsidRPr="009A696E">
              <w:rPr>
                <w:rFonts w:eastAsia="Times New Roman"/>
                <w:sz w:val="20"/>
              </w:rPr>
              <w:t>3.580</w:t>
            </w:r>
          </w:p>
        </w:tc>
        <w:tc>
          <w:tcPr>
            <w:tcW w:w="1191" w:type="dxa"/>
            <w:vAlign w:val="center"/>
          </w:tcPr>
          <w:p w14:paraId="5AAA641D" w14:textId="77777777" w:rsidR="00963CDA" w:rsidRPr="009A696E" w:rsidRDefault="00963CDA" w:rsidP="00C8245B">
            <w:pPr>
              <w:rPr>
                <w:sz w:val="20"/>
              </w:rPr>
            </w:pPr>
            <w:r w:rsidRPr="009A696E">
              <w:rPr>
                <w:rFonts w:eastAsia="Times New Roman"/>
                <w:sz w:val="20"/>
              </w:rPr>
              <w:t>1.175</w:t>
            </w:r>
          </w:p>
        </w:tc>
      </w:tr>
      <w:tr w:rsidR="00963CDA" w:rsidRPr="009A696E" w14:paraId="157E5191" w14:textId="77777777" w:rsidTr="00E20ACC">
        <w:tc>
          <w:tcPr>
            <w:tcW w:w="6925" w:type="dxa"/>
          </w:tcPr>
          <w:p w14:paraId="14B38A70" w14:textId="77777777" w:rsidR="00963CDA" w:rsidRPr="009A696E" w:rsidRDefault="00963CDA" w:rsidP="00C8245B">
            <w:pPr>
              <w:rPr>
                <w:sz w:val="20"/>
              </w:rPr>
            </w:pPr>
            <w:r w:rsidRPr="009A696E">
              <w:rPr>
                <w:rFonts w:eastAsia="Calibri"/>
                <w:sz w:val="20"/>
              </w:rPr>
              <w:t>Accounting lecturers are able to deliver error-free content</w:t>
            </w:r>
          </w:p>
        </w:tc>
        <w:tc>
          <w:tcPr>
            <w:tcW w:w="900" w:type="dxa"/>
            <w:vAlign w:val="center"/>
          </w:tcPr>
          <w:p w14:paraId="46D2B2EB" w14:textId="77777777" w:rsidR="00963CDA" w:rsidRPr="009A696E" w:rsidRDefault="00963CDA" w:rsidP="00C8245B">
            <w:pPr>
              <w:rPr>
                <w:sz w:val="20"/>
              </w:rPr>
            </w:pPr>
            <w:r w:rsidRPr="009A696E">
              <w:rPr>
                <w:rFonts w:eastAsia="Times New Roman"/>
                <w:sz w:val="20"/>
              </w:rPr>
              <w:t>3.535</w:t>
            </w:r>
          </w:p>
        </w:tc>
        <w:tc>
          <w:tcPr>
            <w:tcW w:w="1191" w:type="dxa"/>
            <w:vAlign w:val="center"/>
          </w:tcPr>
          <w:p w14:paraId="1C26BF1C" w14:textId="77777777" w:rsidR="00963CDA" w:rsidRPr="009A696E" w:rsidRDefault="00963CDA" w:rsidP="00C8245B">
            <w:pPr>
              <w:rPr>
                <w:sz w:val="20"/>
              </w:rPr>
            </w:pPr>
            <w:r w:rsidRPr="009A696E">
              <w:rPr>
                <w:rFonts w:eastAsia="Times New Roman"/>
                <w:sz w:val="20"/>
              </w:rPr>
              <w:t>1.105</w:t>
            </w:r>
          </w:p>
        </w:tc>
      </w:tr>
      <w:tr w:rsidR="00963CDA" w:rsidRPr="009A696E" w14:paraId="082C8523" w14:textId="77777777" w:rsidTr="00E20ACC">
        <w:tc>
          <w:tcPr>
            <w:tcW w:w="6925" w:type="dxa"/>
            <w:tcBorders>
              <w:bottom w:val="single" w:sz="4" w:space="0" w:color="auto"/>
            </w:tcBorders>
          </w:tcPr>
          <w:p w14:paraId="2A0BEA97" w14:textId="77777777" w:rsidR="00963CDA" w:rsidRPr="009A696E" w:rsidRDefault="00963CDA" w:rsidP="00C8245B">
            <w:pPr>
              <w:rPr>
                <w:sz w:val="20"/>
              </w:rPr>
            </w:pPr>
            <w:r w:rsidRPr="009A696E">
              <w:rPr>
                <w:rFonts w:eastAsia="Calibri"/>
                <w:sz w:val="20"/>
              </w:rPr>
              <w:t>Accounting lecturers are dependable in handling students’ accounting learning problems</w:t>
            </w:r>
          </w:p>
        </w:tc>
        <w:tc>
          <w:tcPr>
            <w:tcW w:w="900" w:type="dxa"/>
            <w:tcBorders>
              <w:bottom w:val="single" w:sz="4" w:space="0" w:color="auto"/>
            </w:tcBorders>
            <w:vAlign w:val="center"/>
          </w:tcPr>
          <w:p w14:paraId="26335E33" w14:textId="77777777" w:rsidR="00963CDA" w:rsidRPr="009A696E" w:rsidRDefault="00963CDA" w:rsidP="00C8245B">
            <w:pPr>
              <w:rPr>
                <w:sz w:val="20"/>
              </w:rPr>
            </w:pPr>
            <w:r w:rsidRPr="009A696E">
              <w:rPr>
                <w:rFonts w:eastAsia="Times New Roman"/>
                <w:sz w:val="20"/>
              </w:rPr>
              <w:t>3.504</w:t>
            </w:r>
          </w:p>
        </w:tc>
        <w:tc>
          <w:tcPr>
            <w:tcW w:w="1191" w:type="dxa"/>
            <w:tcBorders>
              <w:bottom w:val="single" w:sz="4" w:space="0" w:color="auto"/>
            </w:tcBorders>
            <w:vAlign w:val="center"/>
          </w:tcPr>
          <w:p w14:paraId="1BB19EF9" w14:textId="77777777" w:rsidR="00963CDA" w:rsidRPr="009A696E" w:rsidRDefault="00963CDA" w:rsidP="00C8245B">
            <w:pPr>
              <w:rPr>
                <w:sz w:val="20"/>
              </w:rPr>
            </w:pPr>
            <w:r w:rsidRPr="009A696E">
              <w:rPr>
                <w:rFonts w:eastAsia="Times New Roman"/>
                <w:sz w:val="20"/>
              </w:rPr>
              <w:t>1.051</w:t>
            </w:r>
          </w:p>
        </w:tc>
      </w:tr>
      <w:tr w:rsidR="00963CDA" w:rsidRPr="009A696E" w14:paraId="2EA756C4" w14:textId="77777777" w:rsidTr="00E20ACC">
        <w:tc>
          <w:tcPr>
            <w:tcW w:w="6925" w:type="dxa"/>
            <w:tcBorders>
              <w:top w:val="single" w:sz="4" w:space="0" w:color="auto"/>
              <w:bottom w:val="single" w:sz="4" w:space="0" w:color="auto"/>
            </w:tcBorders>
          </w:tcPr>
          <w:p w14:paraId="2EFC388D" w14:textId="77777777" w:rsidR="00963CDA" w:rsidRPr="009A696E" w:rsidRDefault="00963CDA" w:rsidP="00C8245B">
            <w:pPr>
              <w:rPr>
                <w:b/>
                <w:i/>
                <w:iCs/>
                <w:sz w:val="20"/>
              </w:rPr>
            </w:pPr>
            <w:r w:rsidRPr="009A696E">
              <w:rPr>
                <w:rFonts w:eastAsia="Calibri"/>
                <w:b/>
                <w:i/>
                <w:iCs/>
                <w:sz w:val="20"/>
              </w:rPr>
              <w:t>Responsiveness</w:t>
            </w:r>
          </w:p>
        </w:tc>
        <w:tc>
          <w:tcPr>
            <w:tcW w:w="900" w:type="dxa"/>
            <w:tcBorders>
              <w:top w:val="single" w:sz="4" w:space="0" w:color="auto"/>
              <w:bottom w:val="single" w:sz="4" w:space="0" w:color="auto"/>
            </w:tcBorders>
            <w:vAlign w:val="bottom"/>
          </w:tcPr>
          <w:p w14:paraId="1D1252D7" w14:textId="77777777" w:rsidR="00963CDA" w:rsidRPr="009A696E" w:rsidRDefault="00963CDA" w:rsidP="00C8245B">
            <w:pPr>
              <w:rPr>
                <w:b/>
                <w:i/>
                <w:iCs/>
                <w:sz w:val="20"/>
              </w:rPr>
            </w:pPr>
            <w:r w:rsidRPr="009A696E">
              <w:rPr>
                <w:b/>
                <w:i/>
                <w:iCs/>
                <w:sz w:val="20"/>
              </w:rPr>
              <w:t>4.017</w:t>
            </w:r>
          </w:p>
        </w:tc>
        <w:tc>
          <w:tcPr>
            <w:tcW w:w="1191" w:type="dxa"/>
            <w:tcBorders>
              <w:top w:val="single" w:sz="4" w:space="0" w:color="auto"/>
              <w:bottom w:val="single" w:sz="4" w:space="0" w:color="auto"/>
            </w:tcBorders>
            <w:vAlign w:val="bottom"/>
          </w:tcPr>
          <w:p w14:paraId="6300BEDF" w14:textId="77777777" w:rsidR="00963CDA" w:rsidRPr="009A696E" w:rsidRDefault="00963CDA" w:rsidP="00C8245B">
            <w:pPr>
              <w:rPr>
                <w:b/>
                <w:i/>
                <w:iCs/>
                <w:sz w:val="20"/>
              </w:rPr>
            </w:pPr>
            <w:r w:rsidRPr="009A696E">
              <w:rPr>
                <w:b/>
                <w:i/>
                <w:iCs/>
                <w:sz w:val="20"/>
              </w:rPr>
              <w:t>1.081</w:t>
            </w:r>
          </w:p>
        </w:tc>
      </w:tr>
      <w:tr w:rsidR="00963CDA" w:rsidRPr="009A696E" w14:paraId="5C2BE458" w14:textId="77777777" w:rsidTr="00E20ACC">
        <w:tc>
          <w:tcPr>
            <w:tcW w:w="6925" w:type="dxa"/>
            <w:tcBorders>
              <w:top w:val="single" w:sz="4" w:space="0" w:color="auto"/>
            </w:tcBorders>
          </w:tcPr>
          <w:p w14:paraId="64B86A4D" w14:textId="77777777" w:rsidR="00963CDA" w:rsidRPr="009A696E" w:rsidRDefault="00963CDA" w:rsidP="00C8245B">
            <w:pPr>
              <w:rPr>
                <w:sz w:val="20"/>
              </w:rPr>
            </w:pPr>
            <w:r w:rsidRPr="009A696E">
              <w:rPr>
                <w:rFonts w:eastAsia="Calibri"/>
                <w:sz w:val="20"/>
              </w:rPr>
              <w:t>Accounting lecturers are punctual and regular in class</w:t>
            </w:r>
          </w:p>
        </w:tc>
        <w:tc>
          <w:tcPr>
            <w:tcW w:w="900" w:type="dxa"/>
            <w:tcBorders>
              <w:top w:val="single" w:sz="4" w:space="0" w:color="auto"/>
            </w:tcBorders>
            <w:vAlign w:val="center"/>
          </w:tcPr>
          <w:p w14:paraId="11D308A8" w14:textId="77777777" w:rsidR="00963CDA" w:rsidRPr="009A696E" w:rsidRDefault="00963CDA" w:rsidP="00C8245B">
            <w:pPr>
              <w:rPr>
                <w:sz w:val="20"/>
              </w:rPr>
            </w:pPr>
            <w:r w:rsidRPr="009A696E">
              <w:rPr>
                <w:rFonts w:eastAsia="Times New Roman"/>
                <w:sz w:val="20"/>
              </w:rPr>
              <w:t>4.104</w:t>
            </w:r>
          </w:p>
        </w:tc>
        <w:tc>
          <w:tcPr>
            <w:tcW w:w="1191" w:type="dxa"/>
            <w:tcBorders>
              <w:top w:val="single" w:sz="4" w:space="0" w:color="auto"/>
            </w:tcBorders>
            <w:vAlign w:val="center"/>
          </w:tcPr>
          <w:p w14:paraId="67FFD218" w14:textId="77777777" w:rsidR="00963CDA" w:rsidRPr="009A696E" w:rsidRDefault="00963CDA" w:rsidP="00C8245B">
            <w:pPr>
              <w:rPr>
                <w:sz w:val="20"/>
              </w:rPr>
            </w:pPr>
            <w:r w:rsidRPr="009A696E">
              <w:rPr>
                <w:rFonts w:eastAsia="Times New Roman"/>
                <w:sz w:val="20"/>
              </w:rPr>
              <w:t>1.004</w:t>
            </w:r>
          </w:p>
        </w:tc>
      </w:tr>
      <w:tr w:rsidR="00963CDA" w:rsidRPr="009A696E" w14:paraId="79E58161" w14:textId="77777777" w:rsidTr="00E20ACC">
        <w:tc>
          <w:tcPr>
            <w:tcW w:w="6925" w:type="dxa"/>
          </w:tcPr>
          <w:p w14:paraId="1AE3E6F4" w14:textId="77777777" w:rsidR="00963CDA" w:rsidRPr="009A696E" w:rsidRDefault="00963CDA" w:rsidP="00C8245B">
            <w:pPr>
              <w:rPr>
                <w:sz w:val="20"/>
              </w:rPr>
            </w:pPr>
            <w:r w:rsidRPr="009A696E">
              <w:rPr>
                <w:rFonts w:eastAsia="Calibri"/>
                <w:sz w:val="20"/>
              </w:rPr>
              <w:t>Accounting lecturers keep students well-informed about the meeting times</w:t>
            </w:r>
          </w:p>
        </w:tc>
        <w:tc>
          <w:tcPr>
            <w:tcW w:w="900" w:type="dxa"/>
            <w:vAlign w:val="center"/>
          </w:tcPr>
          <w:p w14:paraId="341FD018" w14:textId="77777777" w:rsidR="00963CDA" w:rsidRPr="009A696E" w:rsidRDefault="00963CDA" w:rsidP="00C8245B">
            <w:pPr>
              <w:rPr>
                <w:sz w:val="20"/>
              </w:rPr>
            </w:pPr>
            <w:r w:rsidRPr="009A696E">
              <w:rPr>
                <w:rFonts w:eastAsia="Times New Roman"/>
                <w:sz w:val="20"/>
              </w:rPr>
              <w:t>4.085</w:t>
            </w:r>
          </w:p>
        </w:tc>
        <w:tc>
          <w:tcPr>
            <w:tcW w:w="1191" w:type="dxa"/>
            <w:vAlign w:val="center"/>
          </w:tcPr>
          <w:p w14:paraId="437EFE10" w14:textId="77777777" w:rsidR="00963CDA" w:rsidRPr="009A696E" w:rsidRDefault="00963CDA" w:rsidP="00C8245B">
            <w:pPr>
              <w:rPr>
                <w:sz w:val="20"/>
              </w:rPr>
            </w:pPr>
            <w:r w:rsidRPr="009A696E">
              <w:rPr>
                <w:rFonts w:eastAsia="Times New Roman"/>
                <w:sz w:val="20"/>
              </w:rPr>
              <w:t>1.085</w:t>
            </w:r>
          </w:p>
        </w:tc>
      </w:tr>
      <w:tr w:rsidR="00963CDA" w:rsidRPr="009A696E" w14:paraId="2255F2D8" w14:textId="77777777" w:rsidTr="00E20ACC">
        <w:tc>
          <w:tcPr>
            <w:tcW w:w="6925" w:type="dxa"/>
          </w:tcPr>
          <w:p w14:paraId="74A150B5" w14:textId="77777777" w:rsidR="00963CDA" w:rsidRPr="009A696E" w:rsidRDefault="00963CDA" w:rsidP="00C8245B">
            <w:pPr>
              <w:rPr>
                <w:sz w:val="20"/>
              </w:rPr>
            </w:pPr>
            <w:r w:rsidRPr="009A696E">
              <w:rPr>
                <w:rFonts w:eastAsia="Calibri"/>
                <w:sz w:val="20"/>
              </w:rPr>
              <w:t>Accounting lecturers are willing to answer students’ questions in class</w:t>
            </w:r>
          </w:p>
        </w:tc>
        <w:tc>
          <w:tcPr>
            <w:tcW w:w="900" w:type="dxa"/>
            <w:vAlign w:val="center"/>
          </w:tcPr>
          <w:p w14:paraId="6BA2344D" w14:textId="77777777" w:rsidR="00963CDA" w:rsidRPr="009A696E" w:rsidRDefault="00963CDA" w:rsidP="00C8245B">
            <w:pPr>
              <w:rPr>
                <w:sz w:val="20"/>
              </w:rPr>
            </w:pPr>
            <w:r w:rsidRPr="009A696E">
              <w:rPr>
                <w:rFonts w:eastAsia="Times New Roman"/>
                <w:sz w:val="20"/>
              </w:rPr>
              <w:t>4.001</w:t>
            </w:r>
          </w:p>
        </w:tc>
        <w:tc>
          <w:tcPr>
            <w:tcW w:w="1191" w:type="dxa"/>
            <w:vAlign w:val="center"/>
          </w:tcPr>
          <w:p w14:paraId="48BD5440" w14:textId="77777777" w:rsidR="00963CDA" w:rsidRPr="009A696E" w:rsidRDefault="00963CDA" w:rsidP="00C8245B">
            <w:pPr>
              <w:rPr>
                <w:sz w:val="20"/>
              </w:rPr>
            </w:pPr>
            <w:r w:rsidRPr="009A696E">
              <w:rPr>
                <w:rFonts w:eastAsia="Times New Roman"/>
                <w:sz w:val="20"/>
              </w:rPr>
              <w:t>1.135</w:t>
            </w:r>
          </w:p>
        </w:tc>
      </w:tr>
      <w:tr w:rsidR="00963CDA" w:rsidRPr="009A696E" w14:paraId="4DA46A68" w14:textId="77777777" w:rsidTr="00E20ACC">
        <w:tc>
          <w:tcPr>
            <w:tcW w:w="6925" w:type="dxa"/>
            <w:tcBorders>
              <w:bottom w:val="single" w:sz="4" w:space="0" w:color="auto"/>
            </w:tcBorders>
          </w:tcPr>
          <w:p w14:paraId="565208E8" w14:textId="77777777" w:rsidR="00963CDA" w:rsidRPr="009A696E" w:rsidRDefault="00963CDA" w:rsidP="00C8245B">
            <w:pPr>
              <w:rPr>
                <w:sz w:val="20"/>
              </w:rPr>
            </w:pPr>
            <w:r w:rsidRPr="009A696E">
              <w:rPr>
                <w:rFonts w:eastAsia="Calibri"/>
                <w:sz w:val="20"/>
              </w:rPr>
              <w:t>Accounting lecturers are willing to help students when in difficulty</w:t>
            </w:r>
          </w:p>
        </w:tc>
        <w:tc>
          <w:tcPr>
            <w:tcW w:w="900" w:type="dxa"/>
            <w:tcBorders>
              <w:bottom w:val="single" w:sz="4" w:space="0" w:color="auto"/>
            </w:tcBorders>
            <w:vAlign w:val="center"/>
          </w:tcPr>
          <w:p w14:paraId="242C8E37" w14:textId="77777777" w:rsidR="00963CDA" w:rsidRPr="009A696E" w:rsidRDefault="00963CDA" w:rsidP="00C8245B">
            <w:pPr>
              <w:rPr>
                <w:sz w:val="20"/>
              </w:rPr>
            </w:pPr>
            <w:r w:rsidRPr="009A696E">
              <w:rPr>
                <w:rFonts w:eastAsia="Times New Roman"/>
                <w:sz w:val="20"/>
              </w:rPr>
              <w:t>3.876</w:t>
            </w:r>
          </w:p>
        </w:tc>
        <w:tc>
          <w:tcPr>
            <w:tcW w:w="1191" w:type="dxa"/>
            <w:tcBorders>
              <w:bottom w:val="single" w:sz="4" w:space="0" w:color="auto"/>
            </w:tcBorders>
            <w:vAlign w:val="center"/>
          </w:tcPr>
          <w:p w14:paraId="5C5896F7" w14:textId="77777777" w:rsidR="00963CDA" w:rsidRPr="009A696E" w:rsidRDefault="00963CDA" w:rsidP="00C8245B">
            <w:pPr>
              <w:rPr>
                <w:sz w:val="20"/>
              </w:rPr>
            </w:pPr>
            <w:r w:rsidRPr="009A696E">
              <w:rPr>
                <w:rFonts w:eastAsia="Times New Roman"/>
                <w:sz w:val="20"/>
              </w:rPr>
              <w:t>1.100</w:t>
            </w:r>
          </w:p>
        </w:tc>
      </w:tr>
      <w:tr w:rsidR="00963CDA" w:rsidRPr="009A696E" w14:paraId="300161F5" w14:textId="77777777" w:rsidTr="00E20ACC">
        <w:tc>
          <w:tcPr>
            <w:tcW w:w="6925" w:type="dxa"/>
            <w:tcBorders>
              <w:top w:val="single" w:sz="4" w:space="0" w:color="auto"/>
              <w:bottom w:val="single" w:sz="4" w:space="0" w:color="auto"/>
            </w:tcBorders>
          </w:tcPr>
          <w:p w14:paraId="3792E81B" w14:textId="77777777" w:rsidR="00963CDA" w:rsidRPr="009A696E" w:rsidRDefault="00963CDA" w:rsidP="00C8245B">
            <w:pPr>
              <w:rPr>
                <w:b/>
                <w:i/>
                <w:iCs/>
                <w:sz w:val="20"/>
              </w:rPr>
            </w:pPr>
            <w:r w:rsidRPr="009A696E">
              <w:rPr>
                <w:rFonts w:eastAsia="Calibri"/>
                <w:b/>
                <w:i/>
                <w:iCs/>
                <w:sz w:val="20"/>
              </w:rPr>
              <w:t>Assurance</w:t>
            </w:r>
          </w:p>
        </w:tc>
        <w:tc>
          <w:tcPr>
            <w:tcW w:w="900" w:type="dxa"/>
            <w:tcBorders>
              <w:top w:val="single" w:sz="4" w:space="0" w:color="auto"/>
              <w:bottom w:val="single" w:sz="4" w:space="0" w:color="auto"/>
            </w:tcBorders>
            <w:vAlign w:val="bottom"/>
          </w:tcPr>
          <w:p w14:paraId="19DF22DC" w14:textId="77777777" w:rsidR="00963CDA" w:rsidRPr="009A696E" w:rsidRDefault="00963CDA" w:rsidP="00C8245B">
            <w:pPr>
              <w:rPr>
                <w:b/>
                <w:i/>
                <w:iCs/>
                <w:sz w:val="20"/>
              </w:rPr>
            </w:pPr>
            <w:r w:rsidRPr="009A696E">
              <w:rPr>
                <w:b/>
                <w:i/>
                <w:iCs/>
                <w:sz w:val="20"/>
              </w:rPr>
              <w:t>3.778</w:t>
            </w:r>
          </w:p>
        </w:tc>
        <w:tc>
          <w:tcPr>
            <w:tcW w:w="1191" w:type="dxa"/>
            <w:tcBorders>
              <w:top w:val="single" w:sz="4" w:space="0" w:color="auto"/>
              <w:bottom w:val="single" w:sz="4" w:space="0" w:color="auto"/>
            </w:tcBorders>
            <w:vAlign w:val="bottom"/>
          </w:tcPr>
          <w:p w14:paraId="20491D9A" w14:textId="77777777" w:rsidR="00963CDA" w:rsidRPr="009A696E" w:rsidRDefault="00963CDA" w:rsidP="00C8245B">
            <w:pPr>
              <w:rPr>
                <w:b/>
                <w:i/>
                <w:iCs/>
                <w:sz w:val="20"/>
              </w:rPr>
            </w:pPr>
            <w:r w:rsidRPr="009A696E">
              <w:rPr>
                <w:b/>
                <w:i/>
                <w:iCs/>
                <w:sz w:val="20"/>
              </w:rPr>
              <w:t>1.079</w:t>
            </w:r>
          </w:p>
        </w:tc>
      </w:tr>
      <w:tr w:rsidR="00963CDA" w:rsidRPr="009A696E" w14:paraId="4B474737" w14:textId="77777777" w:rsidTr="00E20ACC">
        <w:tc>
          <w:tcPr>
            <w:tcW w:w="6925" w:type="dxa"/>
            <w:tcBorders>
              <w:top w:val="single" w:sz="4" w:space="0" w:color="auto"/>
            </w:tcBorders>
          </w:tcPr>
          <w:p w14:paraId="4017B2A5" w14:textId="77777777" w:rsidR="00963CDA" w:rsidRPr="009A696E" w:rsidRDefault="00963CDA" w:rsidP="00C8245B">
            <w:pPr>
              <w:rPr>
                <w:sz w:val="20"/>
              </w:rPr>
            </w:pPr>
            <w:r w:rsidRPr="009A696E">
              <w:rPr>
                <w:rFonts w:eastAsia="Calibri"/>
                <w:sz w:val="20"/>
              </w:rPr>
              <w:t>Accounting lecturers are well-prepared to answer students’ questions in class</w:t>
            </w:r>
          </w:p>
        </w:tc>
        <w:tc>
          <w:tcPr>
            <w:tcW w:w="900" w:type="dxa"/>
            <w:tcBorders>
              <w:top w:val="single" w:sz="4" w:space="0" w:color="auto"/>
            </w:tcBorders>
            <w:vAlign w:val="center"/>
          </w:tcPr>
          <w:p w14:paraId="682D3815" w14:textId="77777777" w:rsidR="00963CDA" w:rsidRPr="009A696E" w:rsidRDefault="00963CDA" w:rsidP="00C8245B">
            <w:pPr>
              <w:rPr>
                <w:sz w:val="20"/>
              </w:rPr>
            </w:pPr>
            <w:r w:rsidRPr="009A696E">
              <w:rPr>
                <w:rFonts w:eastAsia="Times New Roman"/>
                <w:sz w:val="20"/>
              </w:rPr>
              <w:t>3.873</w:t>
            </w:r>
          </w:p>
        </w:tc>
        <w:tc>
          <w:tcPr>
            <w:tcW w:w="1191" w:type="dxa"/>
            <w:tcBorders>
              <w:top w:val="single" w:sz="4" w:space="0" w:color="auto"/>
            </w:tcBorders>
            <w:vAlign w:val="center"/>
          </w:tcPr>
          <w:p w14:paraId="29CD7D29" w14:textId="77777777" w:rsidR="00963CDA" w:rsidRPr="009A696E" w:rsidRDefault="00963CDA" w:rsidP="00C8245B">
            <w:pPr>
              <w:rPr>
                <w:sz w:val="20"/>
              </w:rPr>
            </w:pPr>
            <w:r w:rsidRPr="009A696E">
              <w:rPr>
                <w:rFonts w:eastAsia="Times New Roman"/>
                <w:sz w:val="20"/>
              </w:rPr>
              <w:t>1.091</w:t>
            </w:r>
          </w:p>
        </w:tc>
      </w:tr>
      <w:tr w:rsidR="00963CDA" w:rsidRPr="009A696E" w14:paraId="092F850B" w14:textId="77777777" w:rsidTr="00E20ACC">
        <w:tc>
          <w:tcPr>
            <w:tcW w:w="6925" w:type="dxa"/>
          </w:tcPr>
          <w:p w14:paraId="0883E11A" w14:textId="77777777" w:rsidR="00963CDA" w:rsidRPr="009A696E" w:rsidRDefault="00963CDA" w:rsidP="00C8245B">
            <w:pPr>
              <w:rPr>
                <w:sz w:val="20"/>
              </w:rPr>
            </w:pPr>
            <w:r w:rsidRPr="009A696E">
              <w:rPr>
                <w:rFonts w:eastAsia="Calibri"/>
                <w:sz w:val="20"/>
              </w:rPr>
              <w:t>Accounting lecturers instil confidence in students</w:t>
            </w:r>
          </w:p>
        </w:tc>
        <w:tc>
          <w:tcPr>
            <w:tcW w:w="900" w:type="dxa"/>
            <w:vAlign w:val="center"/>
          </w:tcPr>
          <w:p w14:paraId="465F46EF" w14:textId="77777777" w:rsidR="00963CDA" w:rsidRPr="009A696E" w:rsidRDefault="00963CDA" w:rsidP="00C8245B">
            <w:pPr>
              <w:rPr>
                <w:sz w:val="20"/>
              </w:rPr>
            </w:pPr>
            <w:r w:rsidRPr="009A696E">
              <w:rPr>
                <w:rFonts w:eastAsia="Times New Roman"/>
                <w:sz w:val="20"/>
              </w:rPr>
              <w:t>3.839</w:t>
            </w:r>
          </w:p>
        </w:tc>
        <w:tc>
          <w:tcPr>
            <w:tcW w:w="1191" w:type="dxa"/>
            <w:vAlign w:val="center"/>
          </w:tcPr>
          <w:p w14:paraId="50312A45" w14:textId="77777777" w:rsidR="00963CDA" w:rsidRPr="009A696E" w:rsidRDefault="00963CDA" w:rsidP="00C8245B">
            <w:pPr>
              <w:rPr>
                <w:sz w:val="20"/>
              </w:rPr>
            </w:pPr>
            <w:r w:rsidRPr="009A696E">
              <w:rPr>
                <w:rFonts w:eastAsia="Times New Roman"/>
                <w:sz w:val="20"/>
              </w:rPr>
              <w:t>1.069</w:t>
            </w:r>
          </w:p>
        </w:tc>
      </w:tr>
      <w:tr w:rsidR="00963CDA" w:rsidRPr="009A696E" w14:paraId="0C5AED46" w14:textId="77777777" w:rsidTr="00E20ACC">
        <w:tc>
          <w:tcPr>
            <w:tcW w:w="6925" w:type="dxa"/>
          </w:tcPr>
          <w:p w14:paraId="7F0FA0A7" w14:textId="77777777" w:rsidR="00963CDA" w:rsidRPr="009A696E" w:rsidRDefault="00963CDA" w:rsidP="00C8245B">
            <w:pPr>
              <w:rPr>
                <w:sz w:val="20"/>
              </w:rPr>
            </w:pPr>
            <w:r w:rsidRPr="009A696E">
              <w:rPr>
                <w:rFonts w:eastAsia="Calibri"/>
                <w:sz w:val="20"/>
              </w:rPr>
              <w:t>Accounting lecturers are consistently courteous when dealing with students</w:t>
            </w:r>
          </w:p>
        </w:tc>
        <w:tc>
          <w:tcPr>
            <w:tcW w:w="900" w:type="dxa"/>
            <w:vAlign w:val="center"/>
          </w:tcPr>
          <w:p w14:paraId="15932693" w14:textId="77777777" w:rsidR="00963CDA" w:rsidRPr="009A696E" w:rsidRDefault="00963CDA" w:rsidP="00C8245B">
            <w:pPr>
              <w:rPr>
                <w:sz w:val="20"/>
              </w:rPr>
            </w:pPr>
            <w:r w:rsidRPr="009A696E">
              <w:rPr>
                <w:rFonts w:eastAsia="Times New Roman"/>
                <w:sz w:val="20"/>
              </w:rPr>
              <w:t>3.744</w:t>
            </w:r>
          </w:p>
        </w:tc>
        <w:tc>
          <w:tcPr>
            <w:tcW w:w="1191" w:type="dxa"/>
            <w:vAlign w:val="center"/>
          </w:tcPr>
          <w:p w14:paraId="493B8B47" w14:textId="77777777" w:rsidR="00963CDA" w:rsidRPr="009A696E" w:rsidRDefault="00963CDA" w:rsidP="00C8245B">
            <w:pPr>
              <w:rPr>
                <w:sz w:val="20"/>
              </w:rPr>
            </w:pPr>
            <w:r w:rsidRPr="009A696E">
              <w:rPr>
                <w:rFonts w:eastAsia="Times New Roman"/>
                <w:sz w:val="20"/>
              </w:rPr>
              <w:t>0.985</w:t>
            </w:r>
          </w:p>
        </w:tc>
      </w:tr>
      <w:tr w:rsidR="00963CDA" w:rsidRPr="009A696E" w14:paraId="18B54650" w14:textId="77777777" w:rsidTr="00E20ACC">
        <w:tc>
          <w:tcPr>
            <w:tcW w:w="6925" w:type="dxa"/>
            <w:tcBorders>
              <w:bottom w:val="single" w:sz="4" w:space="0" w:color="auto"/>
            </w:tcBorders>
          </w:tcPr>
          <w:p w14:paraId="174D5F0A" w14:textId="77777777" w:rsidR="00963CDA" w:rsidRPr="009A696E" w:rsidRDefault="00963CDA" w:rsidP="00C8245B">
            <w:pPr>
              <w:rPr>
                <w:sz w:val="20"/>
              </w:rPr>
            </w:pPr>
            <w:r w:rsidRPr="009A696E">
              <w:rPr>
                <w:rFonts w:eastAsia="Calibri"/>
                <w:sz w:val="20"/>
              </w:rPr>
              <w:t>Accounting lecturers make students feel passing accounting is possible</w:t>
            </w:r>
          </w:p>
        </w:tc>
        <w:tc>
          <w:tcPr>
            <w:tcW w:w="900" w:type="dxa"/>
            <w:tcBorders>
              <w:bottom w:val="single" w:sz="4" w:space="0" w:color="auto"/>
            </w:tcBorders>
            <w:vAlign w:val="center"/>
          </w:tcPr>
          <w:p w14:paraId="0E43B67D" w14:textId="77777777" w:rsidR="00963CDA" w:rsidRPr="009A696E" w:rsidRDefault="00963CDA" w:rsidP="00C8245B">
            <w:pPr>
              <w:rPr>
                <w:sz w:val="20"/>
              </w:rPr>
            </w:pPr>
            <w:r w:rsidRPr="009A696E">
              <w:rPr>
                <w:rFonts w:eastAsia="Times New Roman"/>
                <w:sz w:val="20"/>
              </w:rPr>
              <w:t>3.654</w:t>
            </w:r>
          </w:p>
        </w:tc>
        <w:tc>
          <w:tcPr>
            <w:tcW w:w="1191" w:type="dxa"/>
            <w:tcBorders>
              <w:bottom w:val="single" w:sz="4" w:space="0" w:color="auto"/>
            </w:tcBorders>
            <w:vAlign w:val="center"/>
          </w:tcPr>
          <w:p w14:paraId="56BC8132" w14:textId="77777777" w:rsidR="00963CDA" w:rsidRPr="009A696E" w:rsidRDefault="00963CDA" w:rsidP="00C8245B">
            <w:pPr>
              <w:rPr>
                <w:sz w:val="20"/>
              </w:rPr>
            </w:pPr>
            <w:r w:rsidRPr="009A696E">
              <w:rPr>
                <w:rFonts w:eastAsia="Times New Roman"/>
                <w:sz w:val="20"/>
              </w:rPr>
              <w:t>1.170</w:t>
            </w:r>
          </w:p>
        </w:tc>
      </w:tr>
      <w:tr w:rsidR="00963CDA" w:rsidRPr="009A696E" w14:paraId="685A51C0" w14:textId="77777777" w:rsidTr="00E20ACC">
        <w:tc>
          <w:tcPr>
            <w:tcW w:w="6925" w:type="dxa"/>
            <w:tcBorders>
              <w:top w:val="single" w:sz="4" w:space="0" w:color="auto"/>
              <w:bottom w:val="single" w:sz="4" w:space="0" w:color="auto"/>
            </w:tcBorders>
          </w:tcPr>
          <w:p w14:paraId="7D573B28" w14:textId="77777777" w:rsidR="00963CDA" w:rsidRPr="009A696E" w:rsidRDefault="00963CDA" w:rsidP="00C8245B">
            <w:pPr>
              <w:rPr>
                <w:b/>
                <w:i/>
                <w:iCs/>
                <w:sz w:val="20"/>
              </w:rPr>
            </w:pPr>
            <w:r w:rsidRPr="009A696E">
              <w:rPr>
                <w:rFonts w:eastAsia="Calibri"/>
                <w:b/>
                <w:i/>
                <w:iCs/>
                <w:sz w:val="20"/>
              </w:rPr>
              <w:t>Empathy</w:t>
            </w:r>
          </w:p>
        </w:tc>
        <w:tc>
          <w:tcPr>
            <w:tcW w:w="900" w:type="dxa"/>
            <w:tcBorders>
              <w:top w:val="single" w:sz="4" w:space="0" w:color="auto"/>
              <w:bottom w:val="single" w:sz="4" w:space="0" w:color="auto"/>
            </w:tcBorders>
            <w:vAlign w:val="bottom"/>
          </w:tcPr>
          <w:p w14:paraId="16857468" w14:textId="77777777" w:rsidR="00963CDA" w:rsidRPr="009A696E" w:rsidRDefault="00963CDA" w:rsidP="00C8245B">
            <w:pPr>
              <w:rPr>
                <w:b/>
                <w:i/>
                <w:iCs/>
                <w:sz w:val="20"/>
              </w:rPr>
            </w:pPr>
            <w:r w:rsidRPr="009A696E">
              <w:rPr>
                <w:b/>
                <w:i/>
                <w:iCs/>
                <w:sz w:val="20"/>
              </w:rPr>
              <w:t>3.635</w:t>
            </w:r>
          </w:p>
        </w:tc>
        <w:tc>
          <w:tcPr>
            <w:tcW w:w="1191" w:type="dxa"/>
            <w:tcBorders>
              <w:top w:val="single" w:sz="4" w:space="0" w:color="auto"/>
              <w:bottom w:val="single" w:sz="4" w:space="0" w:color="auto"/>
            </w:tcBorders>
            <w:vAlign w:val="bottom"/>
          </w:tcPr>
          <w:p w14:paraId="18CF6B76" w14:textId="77777777" w:rsidR="00963CDA" w:rsidRPr="009A696E" w:rsidRDefault="00963CDA" w:rsidP="00C8245B">
            <w:pPr>
              <w:rPr>
                <w:b/>
                <w:i/>
                <w:iCs/>
                <w:sz w:val="20"/>
              </w:rPr>
            </w:pPr>
            <w:r w:rsidRPr="009A696E">
              <w:rPr>
                <w:b/>
                <w:i/>
                <w:iCs/>
                <w:sz w:val="20"/>
              </w:rPr>
              <w:t>1.037</w:t>
            </w:r>
          </w:p>
        </w:tc>
      </w:tr>
      <w:tr w:rsidR="00963CDA" w:rsidRPr="009A696E" w14:paraId="64E64D5A" w14:textId="77777777" w:rsidTr="00E20ACC">
        <w:tc>
          <w:tcPr>
            <w:tcW w:w="6925" w:type="dxa"/>
            <w:tcBorders>
              <w:top w:val="single" w:sz="4" w:space="0" w:color="auto"/>
            </w:tcBorders>
          </w:tcPr>
          <w:p w14:paraId="6BFF2251" w14:textId="77777777" w:rsidR="00963CDA" w:rsidRPr="009A696E" w:rsidRDefault="00963CDA" w:rsidP="00C8245B">
            <w:pPr>
              <w:rPr>
                <w:sz w:val="20"/>
              </w:rPr>
            </w:pPr>
            <w:r w:rsidRPr="009A696E">
              <w:rPr>
                <w:rFonts w:eastAsia="Calibri"/>
                <w:sz w:val="20"/>
              </w:rPr>
              <w:t>Accounting lecturers interact with students in a cordial manner</w:t>
            </w:r>
          </w:p>
        </w:tc>
        <w:tc>
          <w:tcPr>
            <w:tcW w:w="900" w:type="dxa"/>
            <w:tcBorders>
              <w:top w:val="single" w:sz="4" w:space="0" w:color="auto"/>
            </w:tcBorders>
            <w:vAlign w:val="center"/>
          </w:tcPr>
          <w:p w14:paraId="35D46906" w14:textId="77777777" w:rsidR="00963CDA" w:rsidRPr="009A696E" w:rsidRDefault="00963CDA" w:rsidP="00C8245B">
            <w:pPr>
              <w:rPr>
                <w:sz w:val="20"/>
              </w:rPr>
            </w:pPr>
            <w:r w:rsidRPr="009A696E">
              <w:rPr>
                <w:rFonts w:eastAsia="Times New Roman"/>
                <w:sz w:val="20"/>
              </w:rPr>
              <w:t>3.820</w:t>
            </w:r>
          </w:p>
        </w:tc>
        <w:tc>
          <w:tcPr>
            <w:tcW w:w="1191" w:type="dxa"/>
            <w:tcBorders>
              <w:top w:val="single" w:sz="4" w:space="0" w:color="auto"/>
            </w:tcBorders>
            <w:vAlign w:val="center"/>
          </w:tcPr>
          <w:p w14:paraId="30CDDEBA" w14:textId="77777777" w:rsidR="00963CDA" w:rsidRPr="009A696E" w:rsidRDefault="00963CDA" w:rsidP="00C8245B">
            <w:pPr>
              <w:rPr>
                <w:sz w:val="20"/>
              </w:rPr>
            </w:pPr>
            <w:r w:rsidRPr="009A696E">
              <w:rPr>
                <w:rFonts w:eastAsia="Times New Roman"/>
                <w:sz w:val="20"/>
              </w:rPr>
              <w:t>1.017</w:t>
            </w:r>
          </w:p>
        </w:tc>
      </w:tr>
      <w:tr w:rsidR="00963CDA" w:rsidRPr="009A696E" w14:paraId="6D00B27D" w14:textId="77777777" w:rsidTr="00E20ACC">
        <w:tc>
          <w:tcPr>
            <w:tcW w:w="6925" w:type="dxa"/>
          </w:tcPr>
          <w:p w14:paraId="72324FFB" w14:textId="77777777" w:rsidR="00963CDA" w:rsidRPr="009A696E" w:rsidRDefault="00963CDA" w:rsidP="00C8245B">
            <w:pPr>
              <w:rPr>
                <w:sz w:val="20"/>
              </w:rPr>
            </w:pPr>
            <w:r w:rsidRPr="009A696E">
              <w:rPr>
                <w:rFonts w:eastAsia="Calibri"/>
                <w:sz w:val="20"/>
              </w:rPr>
              <w:t>Accounting lecturers understand students’ accounting learning challenges and needs</w:t>
            </w:r>
          </w:p>
        </w:tc>
        <w:tc>
          <w:tcPr>
            <w:tcW w:w="900" w:type="dxa"/>
            <w:vAlign w:val="center"/>
          </w:tcPr>
          <w:p w14:paraId="0F334BAB" w14:textId="77777777" w:rsidR="00963CDA" w:rsidRPr="009A696E" w:rsidRDefault="00963CDA" w:rsidP="00C8245B">
            <w:pPr>
              <w:rPr>
                <w:sz w:val="20"/>
              </w:rPr>
            </w:pPr>
            <w:r w:rsidRPr="009A696E">
              <w:rPr>
                <w:rFonts w:eastAsia="Times New Roman"/>
                <w:sz w:val="20"/>
              </w:rPr>
              <w:t>3.628</w:t>
            </w:r>
          </w:p>
        </w:tc>
        <w:tc>
          <w:tcPr>
            <w:tcW w:w="1191" w:type="dxa"/>
            <w:vAlign w:val="center"/>
          </w:tcPr>
          <w:p w14:paraId="3DEA9FC9" w14:textId="77777777" w:rsidR="00963CDA" w:rsidRPr="009A696E" w:rsidRDefault="00963CDA" w:rsidP="00C8245B">
            <w:pPr>
              <w:rPr>
                <w:sz w:val="20"/>
              </w:rPr>
            </w:pPr>
            <w:r w:rsidRPr="009A696E">
              <w:rPr>
                <w:rFonts w:eastAsia="Times New Roman"/>
                <w:sz w:val="20"/>
              </w:rPr>
              <w:t>1.040</w:t>
            </w:r>
          </w:p>
        </w:tc>
      </w:tr>
      <w:tr w:rsidR="00963CDA" w:rsidRPr="009A696E" w14:paraId="24C07213" w14:textId="77777777" w:rsidTr="00E20ACC">
        <w:tc>
          <w:tcPr>
            <w:tcW w:w="6925" w:type="dxa"/>
          </w:tcPr>
          <w:p w14:paraId="4ECC68C2" w14:textId="77777777" w:rsidR="00963CDA" w:rsidRPr="009A696E" w:rsidRDefault="00963CDA" w:rsidP="00C8245B">
            <w:pPr>
              <w:rPr>
                <w:sz w:val="20"/>
              </w:rPr>
            </w:pPr>
            <w:r w:rsidRPr="009A696E">
              <w:rPr>
                <w:rFonts w:eastAsia="Calibri"/>
                <w:sz w:val="20"/>
              </w:rPr>
              <w:t>Accounting lecturers have students’ best interest at heart</w:t>
            </w:r>
          </w:p>
        </w:tc>
        <w:tc>
          <w:tcPr>
            <w:tcW w:w="900" w:type="dxa"/>
            <w:vAlign w:val="center"/>
          </w:tcPr>
          <w:p w14:paraId="12DBC45A" w14:textId="77777777" w:rsidR="00963CDA" w:rsidRPr="009A696E" w:rsidRDefault="00963CDA" w:rsidP="00C8245B">
            <w:pPr>
              <w:rPr>
                <w:sz w:val="20"/>
              </w:rPr>
            </w:pPr>
            <w:r w:rsidRPr="009A696E">
              <w:rPr>
                <w:rFonts w:eastAsia="Times New Roman"/>
                <w:sz w:val="20"/>
              </w:rPr>
              <w:t>3.614</w:t>
            </w:r>
          </w:p>
        </w:tc>
        <w:tc>
          <w:tcPr>
            <w:tcW w:w="1191" w:type="dxa"/>
            <w:vAlign w:val="center"/>
          </w:tcPr>
          <w:p w14:paraId="14087D6D" w14:textId="77777777" w:rsidR="00963CDA" w:rsidRPr="009A696E" w:rsidRDefault="00963CDA" w:rsidP="00C8245B">
            <w:pPr>
              <w:rPr>
                <w:sz w:val="20"/>
              </w:rPr>
            </w:pPr>
            <w:r w:rsidRPr="009A696E">
              <w:rPr>
                <w:rFonts w:eastAsia="Times New Roman"/>
                <w:sz w:val="20"/>
              </w:rPr>
              <w:t>1.025</w:t>
            </w:r>
          </w:p>
        </w:tc>
      </w:tr>
      <w:tr w:rsidR="00963CDA" w:rsidRPr="009A696E" w14:paraId="23371536" w14:textId="77777777" w:rsidTr="00E20ACC">
        <w:tc>
          <w:tcPr>
            <w:tcW w:w="6925" w:type="dxa"/>
          </w:tcPr>
          <w:p w14:paraId="05E51494" w14:textId="77777777" w:rsidR="00963CDA" w:rsidRPr="009A696E" w:rsidRDefault="00963CDA" w:rsidP="00C8245B">
            <w:pPr>
              <w:rPr>
                <w:sz w:val="20"/>
              </w:rPr>
            </w:pPr>
            <w:r w:rsidRPr="009A696E">
              <w:rPr>
                <w:rFonts w:eastAsia="Calibri"/>
                <w:sz w:val="20"/>
              </w:rPr>
              <w:t>Accounting lecturers are willing to assist students outside class hours</w:t>
            </w:r>
          </w:p>
        </w:tc>
        <w:tc>
          <w:tcPr>
            <w:tcW w:w="900" w:type="dxa"/>
            <w:vAlign w:val="center"/>
          </w:tcPr>
          <w:p w14:paraId="405324CB" w14:textId="77777777" w:rsidR="00963CDA" w:rsidRPr="009A696E" w:rsidRDefault="00963CDA" w:rsidP="00C8245B">
            <w:pPr>
              <w:rPr>
                <w:sz w:val="20"/>
              </w:rPr>
            </w:pPr>
            <w:r w:rsidRPr="009A696E">
              <w:rPr>
                <w:rFonts w:eastAsia="Times New Roman"/>
                <w:sz w:val="20"/>
              </w:rPr>
              <w:t>3.572</w:t>
            </w:r>
          </w:p>
        </w:tc>
        <w:tc>
          <w:tcPr>
            <w:tcW w:w="1191" w:type="dxa"/>
            <w:vAlign w:val="center"/>
          </w:tcPr>
          <w:p w14:paraId="50B74DF8" w14:textId="77777777" w:rsidR="00963CDA" w:rsidRPr="009A696E" w:rsidRDefault="00963CDA" w:rsidP="00C8245B">
            <w:pPr>
              <w:rPr>
                <w:sz w:val="20"/>
              </w:rPr>
            </w:pPr>
            <w:r w:rsidRPr="009A696E">
              <w:rPr>
                <w:rFonts w:eastAsia="Times New Roman"/>
                <w:sz w:val="20"/>
              </w:rPr>
              <w:t>1.080</w:t>
            </w:r>
          </w:p>
        </w:tc>
      </w:tr>
      <w:tr w:rsidR="00963CDA" w:rsidRPr="009A696E" w14:paraId="60ED8A5F" w14:textId="77777777" w:rsidTr="00E20ACC">
        <w:tc>
          <w:tcPr>
            <w:tcW w:w="6925" w:type="dxa"/>
            <w:tcBorders>
              <w:bottom w:val="single" w:sz="4" w:space="0" w:color="auto"/>
            </w:tcBorders>
          </w:tcPr>
          <w:p w14:paraId="13358499" w14:textId="77777777" w:rsidR="00963CDA" w:rsidRPr="009A696E" w:rsidRDefault="00963CDA" w:rsidP="00C8245B">
            <w:pPr>
              <w:rPr>
                <w:sz w:val="20"/>
              </w:rPr>
            </w:pPr>
            <w:r w:rsidRPr="009A696E">
              <w:rPr>
                <w:rFonts w:eastAsia="Calibri"/>
                <w:sz w:val="20"/>
              </w:rPr>
              <w:t>Accounting lecturers do offer individual attention to students</w:t>
            </w:r>
          </w:p>
        </w:tc>
        <w:tc>
          <w:tcPr>
            <w:tcW w:w="900" w:type="dxa"/>
            <w:tcBorders>
              <w:bottom w:val="single" w:sz="4" w:space="0" w:color="auto"/>
            </w:tcBorders>
            <w:vAlign w:val="center"/>
          </w:tcPr>
          <w:p w14:paraId="072C9C1B" w14:textId="77777777" w:rsidR="00963CDA" w:rsidRPr="009A696E" w:rsidRDefault="00963CDA" w:rsidP="00C8245B">
            <w:pPr>
              <w:rPr>
                <w:sz w:val="20"/>
              </w:rPr>
            </w:pPr>
            <w:r w:rsidRPr="009A696E">
              <w:rPr>
                <w:rFonts w:eastAsia="Times New Roman"/>
                <w:sz w:val="20"/>
              </w:rPr>
              <w:t>3.541</w:t>
            </w:r>
          </w:p>
        </w:tc>
        <w:tc>
          <w:tcPr>
            <w:tcW w:w="1191" w:type="dxa"/>
            <w:tcBorders>
              <w:bottom w:val="single" w:sz="4" w:space="0" w:color="auto"/>
            </w:tcBorders>
            <w:vAlign w:val="center"/>
          </w:tcPr>
          <w:p w14:paraId="556D65F7" w14:textId="77777777" w:rsidR="00963CDA" w:rsidRPr="009A696E" w:rsidRDefault="00963CDA" w:rsidP="00C8245B">
            <w:pPr>
              <w:rPr>
                <w:sz w:val="20"/>
              </w:rPr>
            </w:pPr>
            <w:r w:rsidRPr="009A696E">
              <w:rPr>
                <w:rFonts w:eastAsia="Times New Roman"/>
                <w:sz w:val="20"/>
              </w:rPr>
              <w:t>1.023</w:t>
            </w:r>
          </w:p>
        </w:tc>
      </w:tr>
      <w:tr w:rsidR="00963CDA" w:rsidRPr="009A696E" w14:paraId="2EB3553B" w14:textId="77777777" w:rsidTr="00E20ACC">
        <w:tc>
          <w:tcPr>
            <w:tcW w:w="6925" w:type="dxa"/>
            <w:tcBorders>
              <w:top w:val="single" w:sz="4" w:space="0" w:color="auto"/>
              <w:bottom w:val="single" w:sz="4" w:space="0" w:color="auto"/>
            </w:tcBorders>
          </w:tcPr>
          <w:p w14:paraId="13E24FF5" w14:textId="77777777" w:rsidR="00963CDA" w:rsidRPr="009A696E" w:rsidRDefault="00963CDA" w:rsidP="00C8245B">
            <w:pPr>
              <w:rPr>
                <w:b/>
                <w:i/>
                <w:iCs/>
                <w:sz w:val="20"/>
              </w:rPr>
            </w:pPr>
            <w:r w:rsidRPr="009A696E">
              <w:rPr>
                <w:rFonts w:eastAsia="Calibri"/>
                <w:b/>
                <w:i/>
                <w:iCs/>
                <w:sz w:val="20"/>
              </w:rPr>
              <w:t>Tangibles</w:t>
            </w:r>
          </w:p>
        </w:tc>
        <w:tc>
          <w:tcPr>
            <w:tcW w:w="900" w:type="dxa"/>
            <w:tcBorders>
              <w:top w:val="single" w:sz="4" w:space="0" w:color="auto"/>
              <w:bottom w:val="single" w:sz="4" w:space="0" w:color="auto"/>
            </w:tcBorders>
            <w:vAlign w:val="bottom"/>
          </w:tcPr>
          <w:p w14:paraId="6C221DA1" w14:textId="77777777" w:rsidR="00963CDA" w:rsidRPr="009A696E" w:rsidRDefault="00963CDA" w:rsidP="00C8245B">
            <w:pPr>
              <w:rPr>
                <w:b/>
                <w:i/>
                <w:iCs/>
                <w:sz w:val="20"/>
              </w:rPr>
            </w:pPr>
            <w:r w:rsidRPr="009A696E">
              <w:rPr>
                <w:b/>
                <w:i/>
                <w:iCs/>
                <w:sz w:val="20"/>
              </w:rPr>
              <w:t>4.076</w:t>
            </w:r>
          </w:p>
        </w:tc>
        <w:tc>
          <w:tcPr>
            <w:tcW w:w="1191" w:type="dxa"/>
            <w:tcBorders>
              <w:top w:val="single" w:sz="4" w:space="0" w:color="auto"/>
              <w:bottom w:val="single" w:sz="4" w:space="0" w:color="auto"/>
            </w:tcBorders>
            <w:vAlign w:val="bottom"/>
          </w:tcPr>
          <w:p w14:paraId="73D78918" w14:textId="77777777" w:rsidR="00963CDA" w:rsidRPr="009A696E" w:rsidRDefault="00963CDA" w:rsidP="00C8245B">
            <w:pPr>
              <w:rPr>
                <w:b/>
                <w:i/>
                <w:iCs/>
                <w:sz w:val="20"/>
              </w:rPr>
            </w:pPr>
            <w:r w:rsidRPr="009A696E">
              <w:rPr>
                <w:b/>
                <w:i/>
                <w:iCs/>
                <w:sz w:val="20"/>
              </w:rPr>
              <w:t>1.051</w:t>
            </w:r>
          </w:p>
        </w:tc>
      </w:tr>
      <w:tr w:rsidR="00963CDA" w:rsidRPr="009A696E" w14:paraId="4178A9C5" w14:textId="77777777" w:rsidTr="00E20ACC">
        <w:tc>
          <w:tcPr>
            <w:tcW w:w="6925" w:type="dxa"/>
            <w:tcBorders>
              <w:top w:val="single" w:sz="4" w:space="0" w:color="auto"/>
            </w:tcBorders>
          </w:tcPr>
          <w:p w14:paraId="30D9877C" w14:textId="77777777" w:rsidR="00963CDA" w:rsidRPr="009A696E" w:rsidRDefault="00963CDA" w:rsidP="00C8245B">
            <w:pPr>
              <w:rPr>
                <w:sz w:val="20"/>
              </w:rPr>
            </w:pPr>
            <w:r w:rsidRPr="009A696E">
              <w:rPr>
                <w:rFonts w:eastAsia="Calibri"/>
                <w:sz w:val="20"/>
              </w:rPr>
              <w:t>Accounting lecturers are neatly and formally dressed when they come to class</w:t>
            </w:r>
          </w:p>
        </w:tc>
        <w:tc>
          <w:tcPr>
            <w:tcW w:w="900" w:type="dxa"/>
            <w:tcBorders>
              <w:top w:val="single" w:sz="4" w:space="0" w:color="auto"/>
            </w:tcBorders>
            <w:vAlign w:val="center"/>
          </w:tcPr>
          <w:p w14:paraId="242F6BBA" w14:textId="77777777" w:rsidR="00963CDA" w:rsidRPr="009A696E" w:rsidRDefault="00963CDA" w:rsidP="00C8245B">
            <w:pPr>
              <w:rPr>
                <w:sz w:val="20"/>
              </w:rPr>
            </w:pPr>
            <w:r w:rsidRPr="009A696E">
              <w:rPr>
                <w:rFonts w:eastAsia="Times New Roman"/>
                <w:sz w:val="20"/>
              </w:rPr>
              <w:t>4.141</w:t>
            </w:r>
          </w:p>
        </w:tc>
        <w:tc>
          <w:tcPr>
            <w:tcW w:w="1191" w:type="dxa"/>
            <w:tcBorders>
              <w:top w:val="single" w:sz="4" w:space="0" w:color="auto"/>
            </w:tcBorders>
            <w:vAlign w:val="center"/>
          </w:tcPr>
          <w:p w14:paraId="4A448394" w14:textId="77777777" w:rsidR="00963CDA" w:rsidRPr="009A696E" w:rsidRDefault="00963CDA" w:rsidP="00C8245B">
            <w:pPr>
              <w:rPr>
                <w:sz w:val="20"/>
              </w:rPr>
            </w:pPr>
            <w:r w:rsidRPr="009A696E">
              <w:rPr>
                <w:rFonts w:eastAsia="Times New Roman"/>
                <w:sz w:val="20"/>
              </w:rPr>
              <w:t>1.064</w:t>
            </w:r>
          </w:p>
        </w:tc>
      </w:tr>
      <w:tr w:rsidR="00963CDA" w:rsidRPr="009A696E" w14:paraId="201B8239" w14:textId="77777777" w:rsidTr="00E20ACC">
        <w:tc>
          <w:tcPr>
            <w:tcW w:w="6925" w:type="dxa"/>
          </w:tcPr>
          <w:p w14:paraId="4D15BEB6" w14:textId="77777777" w:rsidR="00963CDA" w:rsidRPr="009A696E" w:rsidRDefault="00963CDA" w:rsidP="00C8245B">
            <w:pPr>
              <w:rPr>
                <w:sz w:val="20"/>
              </w:rPr>
            </w:pPr>
            <w:r w:rsidRPr="009A696E">
              <w:rPr>
                <w:rFonts w:eastAsia="Calibri"/>
                <w:sz w:val="20"/>
              </w:rPr>
              <w:t>University has modern education equipment like computers, projectors, etc.</w:t>
            </w:r>
          </w:p>
        </w:tc>
        <w:tc>
          <w:tcPr>
            <w:tcW w:w="900" w:type="dxa"/>
            <w:vAlign w:val="center"/>
          </w:tcPr>
          <w:p w14:paraId="56422548" w14:textId="77777777" w:rsidR="00963CDA" w:rsidRPr="009A696E" w:rsidRDefault="00963CDA" w:rsidP="00C8245B">
            <w:pPr>
              <w:rPr>
                <w:sz w:val="20"/>
              </w:rPr>
            </w:pPr>
            <w:r w:rsidRPr="009A696E">
              <w:rPr>
                <w:rFonts w:eastAsia="Times New Roman"/>
                <w:sz w:val="20"/>
              </w:rPr>
              <w:t>4.113</w:t>
            </w:r>
          </w:p>
        </w:tc>
        <w:tc>
          <w:tcPr>
            <w:tcW w:w="1191" w:type="dxa"/>
            <w:vAlign w:val="center"/>
          </w:tcPr>
          <w:p w14:paraId="429D1AD7" w14:textId="77777777" w:rsidR="00963CDA" w:rsidRPr="009A696E" w:rsidRDefault="00963CDA" w:rsidP="00C8245B">
            <w:pPr>
              <w:rPr>
                <w:sz w:val="20"/>
              </w:rPr>
            </w:pPr>
            <w:r w:rsidRPr="009A696E">
              <w:rPr>
                <w:rFonts w:eastAsia="Times New Roman"/>
                <w:sz w:val="20"/>
              </w:rPr>
              <w:t>0.991</w:t>
            </w:r>
          </w:p>
        </w:tc>
      </w:tr>
      <w:tr w:rsidR="00963CDA" w:rsidRPr="009A696E" w14:paraId="77AE0BC7" w14:textId="77777777" w:rsidTr="00E20ACC">
        <w:tc>
          <w:tcPr>
            <w:tcW w:w="6925" w:type="dxa"/>
          </w:tcPr>
          <w:p w14:paraId="5A5F8F8F" w14:textId="77777777" w:rsidR="00963CDA" w:rsidRPr="009A696E" w:rsidRDefault="00963CDA" w:rsidP="00C8245B">
            <w:pPr>
              <w:rPr>
                <w:sz w:val="20"/>
              </w:rPr>
            </w:pPr>
            <w:r w:rsidRPr="009A696E">
              <w:rPr>
                <w:rFonts w:eastAsia="Calibri"/>
                <w:sz w:val="20"/>
              </w:rPr>
              <w:t>University has visually appealing materials (books, equipment, etc.) associated with accounting teaching</w:t>
            </w:r>
          </w:p>
        </w:tc>
        <w:tc>
          <w:tcPr>
            <w:tcW w:w="900" w:type="dxa"/>
            <w:vAlign w:val="center"/>
          </w:tcPr>
          <w:p w14:paraId="1F134C66" w14:textId="77777777" w:rsidR="00963CDA" w:rsidRPr="009A696E" w:rsidRDefault="00963CDA" w:rsidP="00C8245B">
            <w:pPr>
              <w:rPr>
                <w:sz w:val="20"/>
              </w:rPr>
            </w:pPr>
            <w:r w:rsidRPr="009A696E">
              <w:rPr>
                <w:rFonts w:eastAsia="Times New Roman"/>
                <w:sz w:val="20"/>
              </w:rPr>
              <w:t>4.104</w:t>
            </w:r>
          </w:p>
        </w:tc>
        <w:tc>
          <w:tcPr>
            <w:tcW w:w="1191" w:type="dxa"/>
            <w:vAlign w:val="center"/>
          </w:tcPr>
          <w:p w14:paraId="4266AAAA" w14:textId="77777777" w:rsidR="00963CDA" w:rsidRPr="009A696E" w:rsidRDefault="00963CDA" w:rsidP="00C8245B">
            <w:pPr>
              <w:rPr>
                <w:sz w:val="20"/>
              </w:rPr>
            </w:pPr>
            <w:r w:rsidRPr="009A696E">
              <w:rPr>
                <w:rFonts w:eastAsia="Times New Roman"/>
                <w:sz w:val="20"/>
              </w:rPr>
              <w:t>0.999</w:t>
            </w:r>
          </w:p>
        </w:tc>
      </w:tr>
      <w:tr w:rsidR="00963CDA" w:rsidRPr="009A696E" w14:paraId="41BF941B" w14:textId="77777777" w:rsidTr="00E20ACC">
        <w:tc>
          <w:tcPr>
            <w:tcW w:w="6925" w:type="dxa"/>
            <w:tcBorders>
              <w:bottom w:val="single" w:sz="4" w:space="0" w:color="auto"/>
            </w:tcBorders>
          </w:tcPr>
          <w:p w14:paraId="6B06D131" w14:textId="77777777" w:rsidR="00963CDA" w:rsidRPr="009A696E" w:rsidRDefault="00963CDA" w:rsidP="00C8245B">
            <w:pPr>
              <w:rPr>
                <w:sz w:val="20"/>
              </w:rPr>
            </w:pPr>
            <w:r w:rsidRPr="009A696E">
              <w:rPr>
                <w:rFonts w:eastAsia="Calibri"/>
                <w:sz w:val="20"/>
              </w:rPr>
              <w:t>University has visually appealing infrastructures and facilities</w:t>
            </w:r>
          </w:p>
        </w:tc>
        <w:tc>
          <w:tcPr>
            <w:tcW w:w="900" w:type="dxa"/>
            <w:tcBorders>
              <w:bottom w:val="single" w:sz="4" w:space="0" w:color="auto"/>
            </w:tcBorders>
            <w:vAlign w:val="center"/>
          </w:tcPr>
          <w:p w14:paraId="7F944766" w14:textId="77777777" w:rsidR="00963CDA" w:rsidRPr="009A696E" w:rsidRDefault="00963CDA" w:rsidP="00C8245B">
            <w:pPr>
              <w:rPr>
                <w:sz w:val="20"/>
              </w:rPr>
            </w:pPr>
            <w:r w:rsidRPr="009A696E">
              <w:rPr>
                <w:rFonts w:eastAsia="Times New Roman"/>
                <w:sz w:val="20"/>
              </w:rPr>
              <w:t>3.944</w:t>
            </w:r>
          </w:p>
        </w:tc>
        <w:tc>
          <w:tcPr>
            <w:tcW w:w="1191" w:type="dxa"/>
            <w:tcBorders>
              <w:bottom w:val="single" w:sz="4" w:space="0" w:color="auto"/>
            </w:tcBorders>
            <w:vAlign w:val="center"/>
          </w:tcPr>
          <w:p w14:paraId="768404F8" w14:textId="77777777" w:rsidR="00963CDA" w:rsidRPr="009A696E" w:rsidRDefault="00963CDA" w:rsidP="00C8245B">
            <w:pPr>
              <w:rPr>
                <w:sz w:val="20"/>
              </w:rPr>
            </w:pPr>
            <w:r w:rsidRPr="009A696E">
              <w:rPr>
                <w:rFonts w:eastAsia="Times New Roman"/>
                <w:sz w:val="20"/>
              </w:rPr>
              <w:t>1.151</w:t>
            </w:r>
          </w:p>
        </w:tc>
      </w:tr>
      <w:tr w:rsidR="00963CDA" w:rsidRPr="009A696E" w14:paraId="73D4C494" w14:textId="77777777" w:rsidTr="00E20ACC">
        <w:tc>
          <w:tcPr>
            <w:tcW w:w="6925" w:type="dxa"/>
            <w:tcBorders>
              <w:top w:val="single" w:sz="4" w:space="0" w:color="auto"/>
              <w:bottom w:val="single" w:sz="4" w:space="0" w:color="auto"/>
            </w:tcBorders>
          </w:tcPr>
          <w:p w14:paraId="6DA1ACF1" w14:textId="77777777" w:rsidR="00963CDA" w:rsidRPr="009A696E" w:rsidRDefault="00963CDA" w:rsidP="00C8245B">
            <w:pPr>
              <w:rPr>
                <w:b/>
                <w:i/>
                <w:iCs/>
                <w:sz w:val="20"/>
              </w:rPr>
            </w:pPr>
            <w:r w:rsidRPr="009A696E">
              <w:rPr>
                <w:rFonts w:eastAsia="Calibri"/>
                <w:b/>
                <w:i/>
                <w:iCs/>
                <w:sz w:val="20"/>
              </w:rPr>
              <w:t>Total</w:t>
            </w:r>
          </w:p>
        </w:tc>
        <w:tc>
          <w:tcPr>
            <w:tcW w:w="900" w:type="dxa"/>
            <w:tcBorders>
              <w:top w:val="single" w:sz="4" w:space="0" w:color="auto"/>
              <w:bottom w:val="single" w:sz="4" w:space="0" w:color="auto"/>
            </w:tcBorders>
            <w:vAlign w:val="bottom"/>
          </w:tcPr>
          <w:p w14:paraId="6E749149" w14:textId="77777777" w:rsidR="00963CDA" w:rsidRPr="009A696E" w:rsidRDefault="00963CDA" w:rsidP="00C8245B">
            <w:pPr>
              <w:rPr>
                <w:b/>
                <w:bCs/>
                <w:i/>
                <w:iCs/>
                <w:sz w:val="20"/>
              </w:rPr>
            </w:pPr>
            <w:r w:rsidRPr="009A696E">
              <w:rPr>
                <w:b/>
                <w:bCs/>
                <w:i/>
                <w:iCs/>
                <w:sz w:val="20"/>
              </w:rPr>
              <w:t>3.825</w:t>
            </w:r>
          </w:p>
        </w:tc>
        <w:tc>
          <w:tcPr>
            <w:tcW w:w="1191" w:type="dxa"/>
            <w:tcBorders>
              <w:top w:val="single" w:sz="4" w:space="0" w:color="auto"/>
              <w:bottom w:val="single" w:sz="4" w:space="0" w:color="auto"/>
            </w:tcBorders>
            <w:vAlign w:val="bottom"/>
          </w:tcPr>
          <w:p w14:paraId="08F6818D" w14:textId="77777777" w:rsidR="00963CDA" w:rsidRPr="009A696E" w:rsidRDefault="00963CDA" w:rsidP="00C8245B">
            <w:pPr>
              <w:rPr>
                <w:b/>
                <w:bCs/>
                <w:i/>
                <w:iCs/>
                <w:sz w:val="20"/>
              </w:rPr>
            </w:pPr>
            <w:r w:rsidRPr="009A696E">
              <w:rPr>
                <w:b/>
                <w:bCs/>
                <w:i/>
                <w:iCs/>
                <w:sz w:val="20"/>
              </w:rPr>
              <w:t>1.071</w:t>
            </w:r>
          </w:p>
        </w:tc>
      </w:tr>
      <w:tr w:rsidR="00963CDA" w:rsidRPr="009A696E" w14:paraId="7F393BC0" w14:textId="77777777" w:rsidTr="00E20ACC">
        <w:tc>
          <w:tcPr>
            <w:tcW w:w="6925" w:type="dxa"/>
            <w:tcBorders>
              <w:top w:val="single" w:sz="4" w:space="0" w:color="auto"/>
              <w:bottom w:val="single" w:sz="4" w:space="0" w:color="auto"/>
            </w:tcBorders>
          </w:tcPr>
          <w:p w14:paraId="4486511C" w14:textId="77777777" w:rsidR="00963CDA" w:rsidRPr="009A696E" w:rsidRDefault="00963CDA" w:rsidP="00C8245B">
            <w:pPr>
              <w:rPr>
                <w:rFonts w:eastAsia="Calibri"/>
                <w:b/>
                <w:i/>
                <w:iCs/>
                <w:sz w:val="20"/>
              </w:rPr>
            </w:pPr>
            <w:r w:rsidRPr="009A696E">
              <w:rPr>
                <w:rFonts w:eastAsia="Calibri"/>
                <w:b/>
                <w:i/>
                <w:iCs/>
                <w:sz w:val="20"/>
              </w:rPr>
              <w:t>Students’ Performance in Accounting</w:t>
            </w:r>
          </w:p>
        </w:tc>
        <w:tc>
          <w:tcPr>
            <w:tcW w:w="900" w:type="dxa"/>
            <w:tcBorders>
              <w:top w:val="single" w:sz="4" w:space="0" w:color="auto"/>
              <w:bottom w:val="single" w:sz="4" w:space="0" w:color="auto"/>
            </w:tcBorders>
          </w:tcPr>
          <w:p w14:paraId="6FE27603" w14:textId="77777777" w:rsidR="00963CDA" w:rsidRPr="009A696E" w:rsidRDefault="00963CDA" w:rsidP="00C8245B">
            <w:pPr>
              <w:rPr>
                <w:b/>
                <w:bCs/>
                <w:i/>
                <w:iCs/>
                <w:sz w:val="20"/>
              </w:rPr>
            </w:pPr>
            <w:r w:rsidRPr="009A696E">
              <w:rPr>
                <w:b/>
                <w:bCs/>
                <w:i/>
                <w:iCs/>
                <w:sz w:val="20"/>
              </w:rPr>
              <w:t>Mean</w:t>
            </w:r>
          </w:p>
        </w:tc>
        <w:tc>
          <w:tcPr>
            <w:tcW w:w="1191" w:type="dxa"/>
            <w:tcBorders>
              <w:top w:val="single" w:sz="4" w:space="0" w:color="auto"/>
              <w:bottom w:val="single" w:sz="4" w:space="0" w:color="auto"/>
            </w:tcBorders>
          </w:tcPr>
          <w:p w14:paraId="5DD63EEF" w14:textId="77777777" w:rsidR="00963CDA" w:rsidRPr="009A696E" w:rsidRDefault="00963CDA" w:rsidP="00C8245B">
            <w:pPr>
              <w:rPr>
                <w:b/>
                <w:bCs/>
                <w:i/>
                <w:iCs/>
                <w:sz w:val="20"/>
              </w:rPr>
            </w:pPr>
            <w:r w:rsidRPr="009A696E">
              <w:rPr>
                <w:b/>
                <w:bCs/>
                <w:i/>
                <w:iCs/>
                <w:sz w:val="20"/>
              </w:rPr>
              <w:t>Std. Dev.</w:t>
            </w:r>
          </w:p>
        </w:tc>
      </w:tr>
      <w:tr w:rsidR="00963CDA" w:rsidRPr="009A696E" w14:paraId="0C62C5E2" w14:textId="77777777" w:rsidTr="00E20ACC">
        <w:tc>
          <w:tcPr>
            <w:tcW w:w="6925" w:type="dxa"/>
            <w:tcBorders>
              <w:top w:val="single" w:sz="4" w:space="0" w:color="auto"/>
            </w:tcBorders>
          </w:tcPr>
          <w:p w14:paraId="51B6284A" w14:textId="77777777" w:rsidR="00963CDA" w:rsidRPr="009A696E" w:rsidRDefault="00963CDA" w:rsidP="00C8245B">
            <w:pPr>
              <w:rPr>
                <w:rFonts w:eastAsia="Calibri"/>
                <w:b/>
                <w:sz w:val="20"/>
              </w:rPr>
            </w:pPr>
            <w:r w:rsidRPr="009A696E">
              <w:rPr>
                <w:rFonts w:eastAsia="Calibri"/>
                <w:sz w:val="20"/>
              </w:rPr>
              <w:t>I am confident in my understanding of accounting</w:t>
            </w:r>
          </w:p>
        </w:tc>
        <w:tc>
          <w:tcPr>
            <w:tcW w:w="900" w:type="dxa"/>
            <w:tcBorders>
              <w:top w:val="single" w:sz="4" w:space="0" w:color="auto"/>
            </w:tcBorders>
            <w:vAlign w:val="center"/>
          </w:tcPr>
          <w:p w14:paraId="54347C51" w14:textId="77777777" w:rsidR="00963CDA" w:rsidRPr="009A696E" w:rsidRDefault="00963CDA" w:rsidP="00C8245B">
            <w:pPr>
              <w:rPr>
                <w:b/>
                <w:bCs/>
                <w:sz w:val="20"/>
              </w:rPr>
            </w:pPr>
            <w:r w:rsidRPr="009A696E">
              <w:rPr>
                <w:sz w:val="20"/>
              </w:rPr>
              <w:t>3.848</w:t>
            </w:r>
          </w:p>
        </w:tc>
        <w:tc>
          <w:tcPr>
            <w:tcW w:w="1191" w:type="dxa"/>
            <w:tcBorders>
              <w:top w:val="single" w:sz="4" w:space="0" w:color="auto"/>
            </w:tcBorders>
            <w:vAlign w:val="center"/>
          </w:tcPr>
          <w:p w14:paraId="7C921CAB" w14:textId="77777777" w:rsidR="00963CDA" w:rsidRPr="009A696E" w:rsidRDefault="00963CDA" w:rsidP="00C8245B">
            <w:pPr>
              <w:rPr>
                <w:b/>
                <w:bCs/>
                <w:sz w:val="20"/>
              </w:rPr>
            </w:pPr>
            <w:r w:rsidRPr="009A696E">
              <w:rPr>
                <w:sz w:val="20"/>
              </w:rPr>
              <w:t>1.060</w:t>
            </w:r>
          </w:p>
        </w:tc>
      </w:tr>
      <w:tr w:rsidR="00963CDA" w:rsidRPr="009A696E" w14:paraId="425679EE" w14:textId="77777777" w:rsidTr="00E20ACC">
        <w:tc>
          <w:tcPr>
            <w:tcW w:w="6925" w:type="dxa"/>
          </w:tcPr>
          <w:p w14:paraId="444E2905" w14:textId="77777777" w:rsidR="00963CDA" w:rsidRPr="009A696E" w:rsidRDefault="00963CDA" w:rsidP="00C8245B">
            <w:pPr>
              <w:rPr>
                <w:rFonts w:eastAsia="Calibri"/>
                <w:sz w:val="20"/>
              </w:rPr>
            </w:pPr>
            <w:r w:rsidRPr="009A696E">
              <w:rPr>
                <w:rFonts w:eastAsia="Calibri"/>
                <w:sz w:val="20"/>
              </w:rPr>
              <w:t>Accounting is one of my strengths</w:t>
            </w:r>
          </w:p>
        </w:tc>
        <w:tc>
          <w:tcPr>
            <w:tcW w:w="900" w:type="dxa"/>
            <w:vAlign w:val="center"/>
          </w:tcPr>
          <w:p w14:paraId="05888E52" w14:textId="77777777" w:rsidR="00963CDA" w:rsidRPr="009A696E" w:rsidRDefault="00963CDA" w:rsidP="00C8245B">
            <w:pPr>
              <w:rPr>
                <w:sz w:val="20"/>
              </w:rPr>
            </w:pPr>
            <w:r w:rsidRPr="009A696E">
              <w:rPr>
                <w:sz w:val="20"/>
              </w:rPr>
              <w:t>3.800</w:t>
            </w:r>
          </w:p>
        </w:tc>
        <w:tc>
          <w:tcPr>
            <w:tcW w:w="1191" w:type="dxa"/>
            <w:vAlign w:val="center"/>
          </w:tcPr>
          <w:p w14:paraId="62C889AC" w14:textId="77777777" w:rsidR="00963CDA" w:rsidRPr="009A696E" w:rsidRDefault="00963CDA" w:rsidP="00C8245B">
            <w:pPr>
              <w:rPr>
                <w:sz w:val="20"/>
              </w:rPr>
            </w:pPr>
            <w:r w:rsidRPr="009A696E">
              <w:rPr>
                <w:sz w:val="20"/>
              </w:rPr>
              <w:t>1.116</w:t>
            </w:r>
          </w:p>
        </w:tc>
      </w:tr>
      <w:tr w:rsidR="00963CDA" w:rsidRPr="009A696E" w14:paraId="4648C6EF" w14:textId="77777777" w:rsidTr="00E20ACC">
        <w:tc>
          <w:tcPr>
            <w:tcW w:w="6925" w:type="dxa"/>
          </w:tcPr>
          <w:p w14:paraId="0A906F43" w14:textId="77777777" w:rsidR="00963CDA" w:rsidRPr="009A696E" w:rsidRDefault="00963CDA" w:rsidP="00C8245B">
            <w:pPr>
              <w:rPr>
                <w:rFonts w:eastAsia="Calibri"/>
                <w:sz w:val="20"/>
              </w:rPr>
            </w:pPr>
            <w:r w:rsidRPr="009A696E">
              <w:rPr>
                <w:rFonts w:eastAsia="Calibri"/>
                <w:sz w:val="20"/>
              </w:rPr>
              <w:t>I learn things quickly in accounting</w:t>
            </w:r>
          </w:p>
        </w:tc>
        <w:tc>
          <w:tcPr>
            <w:tcW w:w="900" w:type="dxa"/>
            <w:vAlign w:val="center"/>
          </w:tcPr>
          <w:p w14:paraId="620921F9" w14:textId="77777777" w:rsidR="00963CDA" w:rsidRPr="009A696E" w:rsidRDefault="00963CDA" w:rsidP="00C8245B">
            <w:pPr>
              <w:rPr>
                <w:sz w:val="20"/>
              </w:rPr>
            </w:pPr>
            <w:r w:rsidRPr="009A696E">
              <w:rPr>
                <w:sz w:val="20"/>
              </w:rPr>
              <w:t>3.734</w:t>
            </w:r>
          </w:p>
        </w:tc>
        <w:tc>
          <w:tcPr>
            <w:tcW w:w="1191" w:type="dxa"/>
            <w:vAlign w:val="center"/>
          </w:tcPr>
          <w:p w14:paraId="136935FC" w14:textId="77777777" w:rsidR="00963CDA" w:rsidRPr="009A696E" w:rsidRDefault="00963CDA" w:rsidP="00C8245B">
            <w:pPr>
              <w:rPr>
                <w:sz w:val="20"/>
              </w:rPr>
            </w:pPr>
            <w:r w:rsidRPr="009A696E">
              <w:rPr>
                <w:sz w:val="20"/>
              </w:rPr>
              <w:t>1.162</w:t>
            </w:r>
          </w:p>
        </w:tc>
      </w:tr>
      <w:tr w:rsidR="00963CDA" w:rsidRPr="009A696E" w14:paraId="7E846006" w14:textId="77777777" w:rsidTr="00E20ACC">
        <w:tc>
          <w:tcPr>
            <w:tcW w:w="6925" w:type="dxa"/>
          </w:tcPr>
          <w:p w14:paraId="7104961D" w14:textId="77777777" w:rsidR="00963CDA" w:rsidRPr="009A696E" w:rsidRDefault="00963CDA" w:rsidP="00C8245B">
            <w:pPr>
              <w:rPr>
                <w:rFonts w:eastAsia="Calibri"/>
                <w:sz w:val="20"/>
              </w:rPr>
            </w:pPr>
            <w:r w:rsidRPr="009A696E">
              <w:rPr>
                <w:rFonts w:eastAsia="Calibri"/>
                <w:sz w:val="20"/>
              </w:rPr>
              <w:t>Compared to SHS, my current performance in accounting has improved</w:t>
            </w:r>
          </w:p>
        </w:tc>
        <w:tc>
          <w:tcPr>
            <w:tcW w:w="900" w:type="dxa"/>
            <w:vAlign w:val="center"/>
          </w:tcPr>
          <w:p w14:paraId="57FFC7D3" w14:textId="77777777" w:rsidR="00963CDA" w:rsidRPr="009A696E" w:rsidRDefault="00963CDA" w:rsidP="00C8245B">
            <w:pPr>
              <w:rPr>
                <w:sz w:val="20"/>
              </w:rPr>
            </w:pPr>
            <w:r w:rsidRPr="009A696E">
              <w:rPr>
                <w:sz w:val="20"/>
              </w:rPr>
              <w:t>3.713</w:t>
            </w:r>
          </w:p>
        </w:tc>
        <w:tc>
          <w:tcPr>
            <w:tcW w:w="1191" w:type="dxa"/>
            <w:vAlign w:val="center"/>
          </w:tcPr>
          <w:p w14:paraId="0AA1DC12" w14:textId="77777777" w:rsidR="00963CDA" w:rsidRPr="009A696E" w:rsidRDefault="00963CDA" w:rsidP="00C8245B">
            <w:pPr>
              <w:rPr>
                <w:sz w:val="20"/>
              </w:rPr>
            </w:pPr>
            <w:r w:rsidRPr="009A696E">
              <w:rPr>
                <w:sz w:val="20"/>
              </w:rPr>
              <w:t>1.239</w:t>
            </w:r>
          </w:p>
        </w:tc>
      </w:tr>
      <w:tr w:rsidR="00963CDA" w:rsidRPr="009A696E" w14:paraId="0F9E9BDC" w14:textId="77777777" w:rsidTr="00E20ACC">
        <w:tc>
          <w:tcPr>
            <w:tcW w:w="6925" w:type="dxa"/>
          </w:tcPr>
          <w:p w14:paraId="3764BCF1" w14:textId="77777777" w:rsidR="00963CDA" w:rsidRPr="009A696E" w:rsidRDefault="00963CDA" w:rsidP="00C8245B">
            <w:pPr>
              <w:rPr>
                <w:rFonts w:eastAsia="Calibri"/>
                <w:sz w:val="20"/>
              </w:rPr>
            </w:pPr>
            <w:r w:rsidRPr="009A696E">
              <w:rPr>
                <w:rFonts w:eastAsia="Calibri"/>
                <w:sz w:val="20"/>
              </w:rPr>
              <w:t>I am good at working out difficult accounting problems</w:t>
            </w:r>
          </w:p>
        </w:tc>
        <w:tc>
          <w:tcPr>
            <w:tcW w:w="900" w:type="dxa"/>
            <w:vAlign w:val="center"/>
          </w:tcPr>
          <w:p w14:paraId="2EB13FA5" w14:textId="77777777" w:rsidR="00963CDA" w:rsidRPr="009A696E" w:rsidRDefault="00963CDA" w:rsidP="00C8245B">
            <w:pPr>
              <w:rPr>
                <w:sz w:val="20"/>
              </w:rPr>
            </w:pPr>
            <w:r w:rsidRPr="009A696E">
              <w:rPr>
                <w:sz w:val="20"/>
              </w:rPr>
              <w:t>3.659</w:t>
            </w:r>
          </w:p>
        </w:tc>
        <w:tc>
          <w:tcPr>
            <w:tcW w:w="1191" w:type="dxa"/>
            <w:vAlign w:val="center"/>
          </w:tcPr>
          <w:p w14:paraId="60E36B77" w14:textId="77777777" w:rsidR="00963CDA" w:rsidRPr="009A696E" w:rsidRDefault="00963CDA" w:rsidP="00C8245B">
            <w:pPr>
              <w:rPr>
                <w:sz w:val="20"/>
              </w:rPr>
            </w:pPr>
            <w:r w:rsidRPr="009A696E">
              <w:rPr>
                <w:sz w:val="20"/>
              </w:rPr>
              <w:t>1.185</w:t>
            </w:r>
          </w:p>
        </w:tc>
      </w:tr>
      <w:tr w:rsidR="00963CDA" w:rsidRPr="009A696E" w14:paraId="6ACA5549" w14:textId="77777777" w:rsidTr="00E20ACC">
        <w:tc>
          <w:tcPr>
            <w:tcW w:w="6925" w:type="dxa"/>
          </w:tcPr>
          <w:p w14:paraId="52CE026A" w14:textId="77777777" w:rsidR="00963CDA" w:rsidRPr="009A696E" w:rsidRDefault="00963CDA" w:rsidP="00C8245B">
            <w:pPr>
              <w:rPr>
                <w:rFonts w:eastAsia="Calibri"/>
                <w:sz w:val="20"/>
              </w:rPr>
            </w:pPr>
            <w:r w:rsidRPr="009A696E">
              <w:rPr>
                <w:rFonts w:eastAsia="Calibri"/>
                <w:sz w:val="20"/>
              </w:rPr>
              <w:t>I teach my colleagues who need help in accounting</w:t>
            </w:r>
          </w:p>
        </w:tc>
        <w:tc>
          <w:tcPr>
            <w:tcW w:w="900" w:type="dxa"/>
            <w:vAlign w:val="center"/>
          </w:tcPr>
          <w:p w14:paraId="443F7EE4" w14:textId="77777777" w:rsidR="00963CDA" w:rsidRPr="009A696E" w:rsidRDefault="00963CDA" w:rsidP="00C8245B">
            <w:pPr>
              <w:rPr>
                <w:sz w:val="20"/>
              </w:rPr>
            </w:pPr>
            <w:r w:rsidRPr="009A696E">
              <w:rPr>
                <w:sz w:val="20"/>
              </w:rPr>
              <w:t>3.648</w:t>
            </w:r>
          </w:p>
        </w:tc>
        <w:tc>
          <w:tcPr>
            <w:tcW w:w="1191" w:type="dxa"/>
            <w:vAlign w:val="center"/>
          </w:tcPr>
          <w:p w14:paraId="52F3B743" w14:textId="77777777" w:rsidR="00963CDA" w:rsidRPr="009A696E" w:rsidRDefault="00963CDA" w:rsidP="00C8245B">
            <w:pPr>
              <w:rPr>
                <w:sz w:val="20"/>
              </w:rPr>
            </w:pPr>
            <w:r w:rsidRPr="009A696E">
              <w:rPr>
                <w:sz w:val="20"/>
              </w:rPr>
              <w:t>1.225</w:t>
            </w:r>
          </w:p>
        </w:tc>
      </w:tr>
      <w:tr w:rsidR="00963CDA" w:rsidRPr="009A696E" w14:paraId="7A382C32" w14:textId="77777777" w:rsidTr="00E20ACC">
        <w:tc>
          <w:tcPr>
            <w:tcW w:w="6925" w:type="dxa"/>
          </w:tcPr>
          <w:p w14:paraId="6F36CA74" w14:textId="77777777" w:rsidR="00963CDA" w:rsidRPr="009A696E" w:rsidRDefault="00963CDA" w:rsidP="00C8245B">
            <w:pPr>
              <w:rPr>
                <w:rFonts w:eastAsia="Calibri"/>
                <w:sz w:val="20"/>
              </w:rPr>
            </w:pPr>
            <w:r w:rsidRPr="009A696E">
              <w:rPr>
                <w:rFonts w:eastAsia="Calibri"/>
                <w:sz w:val="20"/>
              </w:rPr>
              <w:t>I score high marks in accounting exams</w:t>
            </w:r>
          </w:p>
        </w:tc>
        <w:tc>
          <w:tcPr>
            <w:tcW w:w="900" w:type="dxa"/>
            <w:vAlign w:val="center"/>
          </w:tcPr>
          <w:p w14:paraId="2401A493" w14:textId="77777777" w:rsidR="00963CDA" w:rsidRPr="009A696E" w:rsidRDefault="00963CDA" w:rsidP="00C8245B">
            <w:pPr>
              <w:rPr>
                <w:sz w:val="20"/>
              </w:rPr>
            </w:pPr>
            <w:r w:rsidRPr="009A696E">
              <w:rPr>
                <w:sz w:val="20"/>
              </w:rPr>
              <w:t>3.639</w:t>
            </w:r>
          </w:p>
        </w:tc>
        <w:tc>
          <w:tcPr>
            <w:tcW w:w="1191" w:type="dxa"/>
            <w:vAlign w:val="center"/>
          </w:tcPr>
          <w:p w14:paraId="6E136C8C" w14:textId="77777777" w:rsidR="00963CDA" w:rsidRPr="009A696E" w:rsidRDefault="00963CDA" w:rsidP="00C8245B">
            <w:pPr>
              <w:rPr>
                <w:sz w:val="20"/>
              </w:rPr>
            </w:pPr>
            <w:r w:rsidRPr="009A696E">
              <w:rPr>
                <w:sz w:val="20"/>
              </w:rPr>
              <w:t>1.152</w:t>
            </w:r>
          </w:p>
        </w:tc>
      </w:tr>
      <w:tr w:rsidR="00963CDA" w:rsidRPr="009A696E" w14:paraId="2425C08E" w14:textId="77777777" w:rsidTr="00E20ACC">
        <w:tc>
          <w:tcPr>
            <w:tcW w:w="6925" w:type="dxa"/>
            <w:tcBorders>
              <w:bottom w:val="single" w:sz="4" w:space="0" w:color="auto"/>
            </w:tcBorders>
          </w:tcPr>
          <w:p w14:paraId="58046563" w14:textId="77777777" w:rsidR="00963CDA" w:rsidRPr="009A696E" w:rsidRDefault="00963CDA" w:rsidP="00C8245B">
            <w:pPr>
              <w:rPr>
                <w:rFonts w:eastAsia="Calibri"/>
                <w:sz w:val="20"/>
              </w:rPr>
            </w:pPr>
            <w:r w:rsidRPr="009A696E">
              <w:rPr>
                <w:rFonts w:eastAsia="Calibri"/>
                <w:sz w:val="20"/>
              </w:rPr>
              <w:t xml:space="preserve">I feel happy about my recent test and exam scores </w:t>
            </w:r>
          </w:p>
        </w:tc>
        <w:tc>
          <w:tcPr>
            <w:tcW w:w="900" w:type="dxa"/>
            <w:tcBorders>
              <w:bottom w:val="single" w:sz="4" w:space="0" w:color="auto"/>
            </w:tcBorders>
            <w:vAlign w:val="center"/>
          </w:tcPr>
          <w:p w14:paraId="3BB25E1B" w14:textId="77777777" w:rsidR="00963CDA" w:rsidRPr="009A696E" w:rsidRDefault="00963CDA" w:rsidP="00C8245B">
            <w:pPr>
              <w:rPr>
                <w:sz w:val="20"/>
              </w:rPr>
            </w:pPr>
            <w:r w:rsidRPr="009A696E">
              <w:rPr>
                <w:sz w:val="20"/>
              </w:rPr>
              <w:t>3.639</w:t>
            </w:r>
          </w:p>
        </w:tc>
        <w:tc>
          <w:tcPr>
            <w:tcW w:w="1191" w:type="dxa"/>
            <w:tcBorders>
              <w:bottom w:val="single" w:sz="4" w:space="0" w:color="auto"/>
            </w:tcBorders>
            <w:vAlign w:val="center"/>
          </w:tcPr>
          <w:p w14:paraId="44D1152A" w14:textId="77777777" w:rsidR="00963CDA" w:rsidRPr="009A696E" w:rsidRDefault="00963CDA" w:rsidP="00C8245B">
            <w:pPr>
              <w:rPr>
                <w:sz w:val="20"/>
              </w:rPr>
            </w:pPr>
            <w:r w:rsidRPr="009A696E">
              <w:rPr>
                <w:sz w:val="20"/>
              </w:rPr>
              <w:t>1.269</w:t>
            </w:r>
          </w:p>
        </w:tc>
      </w:tr>
      <w:tr w:rsidR="00963CDA" w:rsidRPr="009A696E" w14:paraId="1300D6CE" w14:textId="77777777" w:rsidTr="00E20ACC">
        <w:tc>
          <w:tcPr>
            <w:tcW w:w="6925" w:type="dxa"/>
            <w:tcBorders>
              <w:top w:val="single" w:sz="4" w:space="0" w:color="auto"/>
              <w:bottom w:val="single" w:sz="4" w:space="0" w:color="auto"/>
            </w:tcBorders>
          </w:tcPr>
          <w:p w14:paraId="5758C853" w14:textId="77777777" w:rsidR="00963CDA" w:rsidRPr="009A696E" w:rsidRDefault="00963CDA" w:rsidP="00C8245B">
            <w:pPr>
              <w:rPr>
                <w:rFonts w:eastAsia="Calibri"/>
                <w:sz w:val="20"/>
              </w:rPr>
            </w:pPr>
            <w:r w:rsidRPr="009A696E">
              <w:rPr>
                <w:rFonts w:eastAsia="Calibri"/>
                <w:b/>
                <w:i/>
                <w:iCs/>
                <w:sz w:val="20"/>
              </w:rPr>
              <w:t>Total</w:t>
            </w:r>
          </w:p>
        </w:tc>
        <w:tc>
          <w:tcPr>
            <w:tcW w:w="900" w:type="dxa"/>
            <w:tcBorders>
              <w:top w:val="single" w:sz="4" w:space="0" w:color="auto"/>
              <w:bottom w:val="single" w:sz="4" w:space="0" w:color="auto"/>
            </w:tcBorders>
            <w:vAlign w:val="bottom"/>
          </w:tcPr>
          <w:p w14:paraId="0409EF99" w14:textId="77777777" w:rsidR="00963CDA" w:rsidRPr="009A696E" w:rsidRDefault="00963CDA" w:rsidP="00C8245B">
            <w:pPr>
              <w:rPr>
                <w:sz w:val="20"/>
              </w:rPr>
            </w:pPr>
            <w:r w:rsidRPr="009A696E">
              <w:rPr>
                <w:b/>
                <w:bCs/>
                <w:i/>
                <w:iCs/>
                <w:sz w:val="20"/>
              </w:rPr>
              <w:t>3.710</w:t>
            </w:r>
          </w:p>
        </w:tc>
        <w:tc>
          <w:tcPr>
            <w:tcW w:w="1191" w:type="dxa"/>
            <w:tcBorders>
              <w:top w:val="single" w:sz="4" w:space="0" w:color="auto"/>
              <w:bottom w:val="single" w:sz="4" w:space="0" w:color="auto"/>
            </w:tcBorders>
            <w:vAlign w:val="bottom"/>
          </w:tcPr>
          <w:p w14:paraId="0C397316" w14:textId="77777777" w:rsidR="00963CDA" w:rsidRPr="009A696E" w:rsidRDefault="00963CDA" w:rsidP="00C8245B">
            <w:pPr>
              <w:rPr>
                <w:sz w:val="20"/>
              </w:rPr>
            </w:pPr>
            <w:r w:rsidRPr="009A696E">
              <w:rPr>
                <w:b/>
                <w:bCs/>
                <w:i/>
                <w:iCs/>
                <w:sz w:val="20"/>
              </w:rPr>
              <w:t>1.176</w:t>
            </w:r>
          </w:p>
        </w:tc>
      </w:tr>
    </w:tbl>
    <w:p w14:paraId="040A2B49" w14:textId="77777777" w:rsidR="00C8245B" w:rsidRPr="009A696E" w:rsidRDefault="00C8245B" w:rsidP="00C8245B">
      <w:pPr>
        <w:autoSpaceDE w:val="0"/>
        <w:autoSpaceDN w:val="0"/>
        <w:adjustRightInd w:val="0"/>
        <w:spacing w:before="240" w:line="240" w:lineRule="auto"/>
        <w:rPr>
          <w:rFonts w:eastAsia="Times New Roman" w:cs="Times New Roman"/>
          <w:bCs/>
          <w:i/>
          <w:iCs/>
          <w:sz w:val="20"/>
          <w:szCs w:val="20"/>
        </w:rPr>
      </w:pPr>
      <w:r w:rsidRPr="009A696E">
        <w:rPr>
          <w:rFonts w:eastAsia="Times New Roman" w:cs="Times New Roman"/>
          <w:bCs/>
          <w:i/>
          <w:iCs/>
          <w:sz w:val="20"/>
          <w:szCs w:val="20"/>
        </w:rPr>
        <w:lastRenderedPageBreak/>
        <w:t>Test of normality</w:t>
      </w:r>
    </w:p>
    <w:p w14:paraId="7373FED7" w14:textId="0000535F" w:rsidR="00C8245B" w:rsidRPr="009A696E" w:rsidRDefault="00C8245B" w:rsidP="009A696E">
      <w:pPr>
        <w:rPr>
          <w:rFonts w:cs="Times New Roman"/>
          <w:sz w:val="20"/>
          <w:szCs w:val="20"/>
        </w:rPr>
      </w:pPr>
      <w:r w:rsidRPr="009A696E">
        <w:rPr>
          <w:rFonts w:cs="Times New Roman"/>
          <w:sz w:val="20"/>
          <w:szCs w:val="20"/>
        </w:rPr>
        <w:t xml:space="preserve">In quantitative data analysis, ensuring normal data distribution is pre-requisite (Appiah-Kubi, 2024), so skewness and kurtosis tests were conducted to verify this. A distribution is deemed normal if skewness falls within ±2 and kurtosis within ±7 (Byrne, 2010). </w:t>
      </w:r>
      <w:r w:rsidR="00606BED">
        <w:rPr>
          <w:rFonts w:cs="Times New Roman"/>
          <w:sz w:val="20"/>
          <w:szCs w:val="20"/>
        </w:rPr>
        <w:t>Results</w:t>
      </w:r>
      <w:r w:rsidR="000B1A04">
        <w:rPr>
          <w:rFonts w:cs="Times New Roman"/>
          <w:sz w:val="20"/>
          <w:szCs w:val="20"/>
        </w:rPr>
        <w:t xml:space="preserve"> of normality tests (see Table 3</w:t>
      </w:r>
      <w:r w:rsidR="00606BED">
        <w:rPr>
          <w:rFonts w:cs="Times New Roman"/>
          <w:sz w:val="20"/>
          <w:szCs w:val="20"/>
        </w:rPr>
        <w:t>) the skewedness of Reliability, Responsiveness, Assurance, Empathy, Tangibles, and Financial Accounting Academic Performance are -0.513, -0.952, -0.959, -0.524, -0.678, and -0.654 respectively.  These values fall with the recommended range of -2 to +2</w:t>
      </w:r>
      <w:r w:rsidR="003025F0">
        <w:rPr>
          <w:rFonts w:cs="Times New Roman"/>
          <w:sz w:val="20"/>
          <w:szCs w:val="20"/>
        </w:rPr>
        <w:t>. It is also shown that kurtosis values of Reliability, Responsiveness, Assurance, Empathy, Tangibles, and Financial Accounting Academic Performance are -0.278, 0.737, 0.406, 0.047, 0.192, and -0.115 respectively. Similarly, as with the skewness, these values lie in the recommended range of -7 to +7. Therefore, t</w:t>
      </w:r>
      <w:r w:rsidRPr="009A696E">
        <w:rPr>
          <w:rFonts w:cs="Times New Roman"/>
          <w:sz w:val="20"/>
          <w:szCs w:val="20"/>
        </w:rPr>
        <w:t>he analysis confirmed normality, as all variables remained within these acceptable skewness and kurtosis ranges.</w:t>
      </w:r>
      <w:r w:rsidR="000B1A04">
        <w:rPr>
          <w:rFonts w:cs="Times New Roman"/>
          <w:sz w:val="20"/>
          <w:szCs w:val="20"/>
        </w:rPr>
        <w:t xml:space="preserve"> (</w:t>
      </w:r>
      <w:proofErr w:type="gramStart"/>
      <w:r w:rsidR="000B1A04">
        <w:rPr>
          <w:rFonts w:cs="Times New Roman"/>
          <w:sz w:val="20"/>
          <w:szCs w:val="20"/>
        </w:rPr>
        <w:t>see</w:t>
      </w:r>
      <w:proofErr w:type="gramEnd"/>
      <w:r w:rsidR="000B1A04">
        <w:rPr>
          <w:rFonts w:cs="Times New Roman"/>
          <w:sz w:val="20"/>
          <w:szCs w:val="20"/>
        </w:rPr>
        <w:t xml:space="preserve"> Table 3</w:t>
      </w:r>
      <w:r w:rsidR="003025F0">
        <w:rPr>
          <w:rFonts w:cs="Times New Roman"/>
          <w:sz w:val="20"/>
          <w:szCs w:val="20"/>
        </w:rPr>
        <w:t>).</w:t>
      </w:r>
    </w:p>
    <w:tbl>
      <w:tblPr>
        <w:tblStyle w:val="TableGrid1"/>
        <w:tblpPr w:leftFromText="180" w:rightFromText="180" w:vertAnchor="text" w:horzAnchor="margin" w:tblpY="3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080"/>
        <w:gridCol w:w="1350"/>
        <w:gridCol w:w="1060"/>
        <w:gridCol w:w="1460"/>
      </w:tblGrid>
      <w:tr w:rsidR="00436931" w:rsidRPr="009A696E" w14:paraId="2E17FEE5" w14:textId="77777777" w:rsidTr="00436931">
        <w:tc>
          <w:tcPr>
            <w:tcW w:w="2520" w:type="dxa"/>
            <w:vMerge w:val="restart"/>
            <w:tcBorders>
              <w:top w:val="single" w:sz="4" w:space="0" w:color="auto"/>
            </w:tcBorders>
          </w:tcPr>
          <w:p w14:paraId="4A733F11" w14:textId="77777777" w:rsidR="00436931" w:rsidRPr="009A696E" w:rsidRDefault="00436931" w:rsidP="00436931">
            <w:pPr>
              <w:rPr>
                <w:rFonts w:cs="Times New Roman"/>
                <w:sz w:val="20"/>
                <w:szCs w:val="20"/>
              </w:rPr>
            </w:pPr>
            <w:r w:rsidRPr="009A696E">
              <w:rPr>
                <w:rFonts w:cs="Times New Roman"/>
                <w:b/>
                <w:bCs/>
                <w:sz w:val="20"/>
                <w:szCs w:val="20"/>
              </w:rPr>
              <w:t>Variables</w:t>
            </w:r>
            <w:r w:rsidRPr="009A696E">
              <w:rPr>
                <w:rFonts w:cs="Times New Roman"/>
                <w:sz w:val="20"/>
                <w:szCs w:val="20"/>
              </w:rPr>
              <w:t xml:space="preserve"> </w:t>
            </w:r>
          </w:p>
        </w:tc>
        <w:tc>
          <w:tcPr>
            <w:tcW w:w="2430" w:type="dxa"/>
            <w:gridSpan w:val="2"/>
            <w:tcBorders>
              <w:top w:val="single" w:sz="4" w:space="0" w:color="auto"/>
              <w:bottom w:val="single" w:sz="4" w:space="0" w:color="auto"/>
            </w:tcBorders>
          </w:tcPr>
          <w:p w14:paraId="42474D36" w14:textId="77777777" w:rsidR="00436931" w:rsidRPr="009A696E" w:rsidRDefault="00436931" w:rsidP="00436931">
            <w:pPr>
              <w:jc w:val="center"/>
              <w:rPr>
                <w:rFonts w:eastAsia="Times New Roman" w:cs="Times New Roman"/>
                <w:b/>
                <w:bCs/>
                <w:sz w:val="20"/>
                <w:szCs w:val="20"/>
              </w:rPr>
            </w:pPr>
            <w:r w:rsidRPr="009A696E">
              <w:rPr>
                <w:rFonts w:eastAsia="Times New Roman" w:cs="Times New Roman"/>
                <w:b/>
                <w:bCs/>
                <w:sz w:val="20"/>
                <w:szCs w:val="20"/>
              </w:rPr>
              <w:t>Skewness</w:t>
            </w:r>
          </w:p>
        </w:tc>
        <w:tc>
          <w:tcPr>
            <w:tcW w:w="2520" w:type="dxa"/>
            <w:gridSpan w:val="2"/>
            <w:tcBorders>
              <w:top w:val="single" w:sz="4" w:space="0" w:color="auto"/>
              <w:bottom w:val="single" w:sz="4" w:space="0" w:color="auto"/>
            </w:tcBorders>
          </w:tcPr>
          <w:p w14:paraId="4469E8E2" w14:textId="77777777" w:rsidR="00436931" w:rsidRPr="009A696E" w:rsidRDefault="00436931" w:rsidP="00436931">
            <w:pPr>
              <w:jc w:val="center"/>
              <w:rPr>
                <w:rFonts w:eastAsia="Times New Roman" w:cs="Times New Roman"/>
                <w:b/>
                <w:bCs/>
                <w:sz w:val="20"/>
                <w:szCs w:val="20"/>
              </w:rPr>
            </w:pPr>
            <w:r w:rsidRPr="009A696E">
              <w:rPr>
                <w:rFonts w:eastAsia="Times New Roman" w:cs="Times New Roman"/>
                <w:b/>
                <w:bCs/>
                <w:sz w:val="20"/>
                <w:szCs w:val="20"/>
              </w:rPr>
              <w:t>Kurtosis</w:t>
            </w:r>
          </w:p>
        </w:tc>
      </w:tr>
      <w:tr w:rsidR="00436931" w:rsidRPr="009A696E" w14:paraId="7531549E" w14:textId="77777777" w:rsidTr="00436931">
        <w:tc>
          <w:tcPr>
            <w:tcW w:w="2520" w:type="dxa"/>
            <w:vMerge/>
            <w:tcBorders>
              <w:bottom w:val="single" w:sz="4" w:space="0" w:color="auto"/>
            </w:tcBorders>
          </w:tcPr>
          <w:p w14:paraId="699A5408" w14:textId="77777777" w:rsidR="00436931" w:rsidRPr="009A696E" w:rsidRDefault="00436931" w:rsidP="00436931">
            <w:pPr>
              <w:rPr>
                <w:rFonts w:cs="Times New Roman"/>
                <w:b/>
                <w:bCs/>
                <w:sz w:val="20"/>
                <w:szCs w:val="20"/>
              </w:rPr>
            </w:pPr>
          </w:p>
        </w:tc>
        <w:tc>
          <w:tcPr>
            <w:tcW w:w="1080" w:type="dxa"/>
            <w:tcBorders>
              <w:top w:val="single" w:sz="4" w:space="0" w:color="auto"/>
              <w:bottom w:val="single" w:sz="4" w:space="0" w:color="auto"/>
            </w:tcBorders>
            <w:vAlign w:val="bottom"/>
          </w:tcPr>
          <w:p w14:paraId="6096A3A0" w14:textId="77777777" w:rsidR="00436931" w:rsidRPr="009A696E" w:rsidRDefault="00436931" w:rsidP="00436931">
            <w:pPr>
              <w:jc w:val="center"/>
              <w:rPr>
                <w:rFonts w:eastAsia="Times New Roman" w:cs="Times New Roman"/>
                <w:b/>
                <w:bCs/>
                <w:sz w:val="20"/>
                <w:szCs w:val="20"/>
              </w:rPr>
            </w:pPr>
            <w:r w:rsidRPr="009A696E">
              <w:rPr>
                <w:rFonts w:cs="Times New Roman"/>
                <w:b/>
                <w:bCs/>
                <w:sz w:val="20"/>
                <w:szCs w:val="20"/>
              </w:rPr>
              <w:t>Statistic</w:t>
            </w:r>
          </w:p>
        </w:tc>
        <w:tc>
          <w:tcPr>
            <w:tcW w:w="1350" w:type="dxa"/>
            <w:tcBorders>
              <w:top w:val="single" w:sz="4" w:space="0" w:color="auto"/>
              <w:bottom w:val="single" w:sz="4" w:space="0" w:color="auto"/>
            </w:tcBorders>
            <w:vAlign w:val="bottom"/>
          </w:tcPr>
          <w:p w14:paraId="0E102079" w14:textId="77777777" w:rsidR="00436931" w:rsidRPr="009A696E" w:rsidRDefault="00436931" w:rsidP="00436931">
            <w:pPr>
              <w:jc w:val="center"/>
              <w:rPr>
                <w:rFonts w:eastAsia="Times New Roman" w:cs="Times New Roman"/>
                <w:b/>
                <w:bCs/>
                <w:sz w:val="20"/>
                <w:szCs w:val="20"/>
              </w:rPr>
            </w:pPr>
            <w:r w:rsidRPr="009A696E">
              <w:rPr>
                <w:rFonts w:cs="Times New Roman"/>
                <w:b/>
                <w:bCs/>
                <w:sz w:val="20"/>
                <w:szCs w:val="20"/>
              </w:rPr>
              <w:t>Std. Error</w:t>
            </w:r>
          </w:p>
        </w:tc>
        <w:tc>
          <w:tcPr>
            <w:tcW w:w="1060" w:type="dxa"/>
            <w:tcBorders>
              <w:top w:val="single" w:sz="4" w:space="0" w:color="auto"/>
              <w:bottom w:val="single" w:sz="4" w:space="0" w:color="auto"/>
            </w:tcBorders>
            <w:vAlign w:val="bottom"/>
          </w:tcPr>
          <w:p w14:paraId="1BBA724A" w14:textId="77777777" w:rsidR="00436931" w:rsidRPr="009A696E" w:rsidRDefault="00436931" w:rsidP="00436931">
            <w:pPr>
              <w:jc w:val="center"/>
              <w:rPr>
                <w:rFonts w:eastAsia="Times New Roman" w:cs="Times New Roman"/>
                <w:b/>
                <w:bCs/>
                <w:sz w:val="20"/>
                <w:szCs w:val="20"/>
              </w:rPr>
            </w:pPr>
            <w:r w:rsidRPr="009A696E">
              <w:rPr>
                <w:rFonts w:cs="Times New Roman"/>
                <w:b/>
                <w:bCs/>
                <w:sz w:val="20"/>
                <w:szCs w:val="20"/>
              </w:rPr>
              <w:t>Statistic</w:t>
            </w:r>
          </w:p>
        </w:tc>
        <w:tc>
          <w:tcPr>
            <w:tcW w:w="1460" w:type="dxa"/>
            <w:tcBorders>
              <w:top w:val="single" w:sz="4" w:space="0" w:color="auto"/>
              <w:bottom w:val="single" w:sz="4" w:space="0" w:color="auto"/>
            </w:tcBorders>
            <w:vAlign w:val="bottom"/>
          </w:tcPr>
          <w:p w14:paraId="5ABF3A6D" w14:textId="77777777" w:rsidR="00436931" w:rsidRPr="009A696E" w:rsidRDefault="00436931" w:rsidP="00436931">
            <w:pPr>
              <w:jc w:val="center"/>
              <w:rPr>
                <w:rFonts w:eastAsia="Times New Roman" w:cs="Times New Roman"/>
                <w:b/>
                <w:bCs/>
                <w:sz w:val="20"/>
                <w:szCs w:val="20"/>
              </w:rPr>
            </w:pPr>
            <w:r w:rsidRPr="009A696E">
              <w:rPr>
                <w:rFonts w:cs="Times New Roman"/>
                <w:b/>
                <w:bCs/>
                <w:sz w:val="20"/>
                <w:szCs w:val="20"/>
              </w:rPr>
              <w:t>Std. Error</w:t>
            </w:r>
          </w:p>
        </w:tc>
      </w:tr>
      <w:tr w:rsidR="00436931" w:rsidRPr="009A696E" w14:paraId="5A5AF5A0" w14:textId="77777777" w:rsidTr="00436931">
        <w:tc>
          <w:tcPr>
            <w:tcW w:w="2520" w:type="dxa"/>
            <w:tcBorders>
              <w:top w:val="single" w:sz="4" w:space="0" w:color="auto"/>
            </w:tcBorders>
          </w:tcPr>
          <w:p w14:paraId="00881642" w14:textId="77777777" w:rsidR="00436931" w:rsidRPr="009A696E" w:rsidRDefault="00436931" w:rsidP="00436931">
            <w:pPr>
              <w:rPr>
                <w:rFonts w:cs="Times New Roman"/>
                <w:bCs/>
                <w:sz w:val="20"/>
                <w:szCs w:val="20"/>
              </w:rPr>
            </w:pPr>
            <w:r w:rsidRPr="009A696E">
              <w:rPr>
                <w:rFonts w:eastAsia="Calibri" w:cs="Times New Roman"/>
                <w:bCs/>
                <w:sz w:val="20"/>
                <w:szCs w:val="20"/>
              </w:rPr>
              <w:t>Reliability</w:t>
            </w:r>
          </w:p>
        </w:tc>
        <w:tc>
          <w:tcPr>
            <w:tcW w:w="1080" w:type="dxa"/>
            <w:tcBorders>
              <w:top w:val="single" w:sz="4" w:space="0" w:color="auto"/>
            </w:tcBorders>
            <w:vAlign w:val="center"/>
          </w:tcPr>
          <w:p w14:paraId="7FCA81F8" w14:textId="77777777" w:rsidR="00436931" w:rsidRPr="009A696E" w:rsidRDefault="00436931" w:rsidP="00436931">
            <w:pPr>
              <w:jc w:val="center"/>
              <w:rPr>
                <w:rFonts w:cs="Times New Roman"/>
                <w:sz w:val="20"/>
                <w:szCs w:val="20"/>
              </w:rPr>
            </w:pPr>
            <w:r w:rsidRPr="009A696E">
              <w:rPr>
                <w:rFonts w:cs="Times New Roman"/>
                <w:sz w:val="20"/>
                <w:szCs w:val="20"/>
              </w:rPr>
              <w:t>-.513</w:t>
            </w:r>
          </w:p>
        </w:tc>
        <w:tc>
          <w:tcPr>
            <w:tcW w:w="1350" w:type="dxa"/>
            <w:tcBorders>
              <w:top w:val="single" w:sz="4" w:space="0" w:color="auto"/>
            </w:tcBorders>
            <w:vAlign w:val="center"/>
          </w:tcPr>
          <w:p w14:paraId="16E8F671" w14:textId="77777777" w:rsidR="00436931" w:rsidRPr="009A696E" w:rsidRDefault="00436931" w:rsidP="00436931">
            <w:pPr>
              <w:jc w:val="center"/>
              <w:rPr>
                <w:rFonts w:cs="Times New Roman"/>
                <w:sz w:val="20"/>
                <w:szCs w:val="20"/>
              </w:rPr>
            </w:pPr>
            <w:r w:rsidRPr="009A696E">
              <w:rPr>
                <w:rFonts w:cs="Times New Roman"/>
                <w:sz w:val="20"/>
                <w:szCs w:val="20"/>
              </w:rPr>
              <w:t>.129</w:t>
            </w:r>
          </w:p>
        </w:tc>
        <w:tc>
          <w:tcPr>
            <w:tcW w:w="1060" w:type="dxa"/>
            <w:tcBorders>
              <w:top w:val="single" w:sz="4" w:space="0" w:color="auto"/>
            </w:tcBorders>
            <w:vAlign w:val="center"/>
          </w:tcPr>
          <w:p w14:paraId="024308EC" w14:textId="77777777" w:rsidR="00436931" w:rsidRPr="009A696E" w:rsidRDefault="00436931" w:rsidP="00436931">
            <w:pPr>
              <w:jc w:val="center"/>
              <w:rPr>
                <w:rFonts w:cs="Times New Roman"/>
                <w:sz w:val="20"/>
                <w:szCs w:val="20"/>
              </w:rPr>
            </w:pPr>
            <w:r w:rsidRPr="009A696E">
              <w:rPr>
                <w:rFonts w:cs="Times New Roman"/>
                <w:sz w:val="20"/>
                <w:szCs w:val="20"/>
              </w:rPr>
              <w:t>-.278</w:t>
            </w:r>
          </w:p>
        </w:tc>
        <w:tc>
          <w:tcPr>
            <w:tcW w:w="1460" w:type="dxa"/>
            <w:tcBorders>
              <w:top w:val="single" w:sz="4" w:space="0" w:color="auto"/>
            </w:tcBorders>
            <w:vAlign w:val="center"/>
          </w:tcPr>
          <w:p w14:paraId="60B9FE3B" w14:textId="77777777" w:rsidR="00436931" w:rsidRPr="009A696E" w:rsidRDefault="00436931" w:rsidP="00436931">
            <w:pPr>
              <w:jc w:val="center"/>
              <w:rPr>
                <w:rFonts w:cs="Times New Roman"/>
                <w:sz w:val="20"/>
                <w:szCs w:val="20"/>
              </w:rPr>
            </w:pPr>
            <w:r w:rsidRPr="009A696E">
              <w:rPr>
                <w:rFonts w:cs="Times New Roman"/>
                <w:sz w:val="20"/>
                <w:szCs w:val="20"/>
              </w:rPr>
              <w:t>.258</w:t>
            </w:r>
          </w:p>
        </w:tc>
      </w:tr>
      <w:tr w:rsidR="00436931" w:rsidRPr="009A696E" w14:paraId="6C6E6770" w14:textId="77777777" w:rsidTr="00436931">
        <w:tc>
          <w:tcPr>
            <w:tcW w:w="2520" w:type="dxa"/>
          </w:tcPr>
          <w:p w14:paraId="6E8DE3F2" w14:textId="77777777" w:rsidR="00436931" w:rsidRPr="009A696E" w:rsidRDefault="00436931" w:rsidP="00436931">
            <w:pPr>
              <w:rPr>
                <w:rFonts w:cs="Times New Roman"/>
                <w:bCs/>
                <w:sz w:val="20"/>
                <w:szCs w:val="20"/>
              </w:rPr>
            </w:pPr>
            <w:r w:rsidRPr="009A696E">
              <w:rPr>
                <w:rFonts w:eastAsia="Calibri" w:cs="Times New Roman"/>
                <w:bCs/>
                <w:sz w:val="20"/>
                <w:szCs w:val="20"/>
              </w:rPr>
              <w:t>Responsiveness</w:t>
            </w:r>
          </w:p>
        </w:tc>
        <w:tc>
          <w:tcPr>
            <w:tcW w:w="1080" w:type="dxa"/>
            <w:vAlign w:val="center"/>
          </w:tcPr>
          <w:p w14:paraId="546EBF89" w14:textId="77777777" w:rsidR="00436931" w:rsidRPr="009A696E" w:rsidRDefault="00436931" w:rsidP="00436931">
            <w:pPr>
              <w:jc w:val="center"/>
              <w:rPr>
                <w:rFonts w:cs="Times New Roman"/>
                <w:sz w:val="20"/>
                <w:szCs w:val="20"/>
              </w:rPr>
            </w:pPr>
            <w:r w:rsidRPr="009A696E">
              <w:rPr>
                <w:rFonts w:cs="Times New Roman"/>
                <w:sz w:val="20"/>
                <w:szCs w:val="20"/>
              </w:rPr>
              <w:t>-.952</w:t>
            </w:r>
          </w:p>
        </w:tc>
        <w:tc>
          <w:tcPr>
            <w:tcW w:w="1350" w:type="dxa"/>
            <w:vAlign w:val="center"/>
          </w:tcPr>
          <w:p w14:paraId="37B6D817" w14:textId="77777777" w:rsidR="00436931" w:rsidRPr="009A696E" w:rsidRDefault="00436931" w:rsidP="00436931">
            <w:pPr>
              <w:jc w:val="center"/>
              <w:rPr>
                <w:rFonts w:cs="Times New Roman"/>
                <w:sz w:val="20"/>
                <w:szCs w:val="20"/>
              </w:rPr>
            </w:pPr>
            <w:r w:rsidRPr="009A696E">
              <w:rPr>
                <w:rFonts w:cs="Times New Roman"/>
                <w:sz w:val="20"/>
                <w:szCs w:val="20"/>
              </w:rPr>
              <w:t>.129</w:t>
            </w:r>
          </w:p>
        </w:tc>
        <w:tc>
          <w:tcPr>
            <w:tcW w:w="1060" w:type="dxa"/>
            <w:vAlign w:val="center"/>
          </w:tcPr>
          <w:p w14:paraId="7C8CC4B7" w14:textId="77777777" w:rsidR="00436931" w:rsidRPr="009A696E" w:rsidRDefault="00436931" w:rsidP="00436931">
            <w:pPr>
              <w:jc w:val="center"/>
              <w:rPr>
                <w:rFonts w:cs="Times New Roman"/>
                <w:sz w:val="20"/>
                <w:szCs w:val="20"/>
              </w:rPr>
            </w:pPr>
            <w:r w:rsidRPr="009A696E">
              <w:rPr>
                <w:rFonts w:cs="Times New Roman"/>
                <w:sz w:val="20"/>
                <w:szCs w:val="20"/>
              </w:rPr>
              <w:t>.737</w:t>
            </w:r>
          </w:p>
        </w:tc>
        <w:tc>
          <w:tcPr>
            <w:tcW w:w="1460" w:type="dxa"/>
            <w:vAlign w:val="center"/>
          </w:tcPr>
          <w:p w14:paraId="3F63A2EE" w14:textId="77777777" w:rsidR="00436931" w:rsidRPr="009A696E" w:rsidRDefault="00436931" w:rsidP="00436931">
            <w:pPr>
              <w:jc w:val="center"/>
              <w:rPr>
                <w:rFonts w:cs="Times New Roman"/>
                <w:sz w:val="20"/>
                <w:szCs w:val="20"/>
              </w:rPr>
            </w:pPr>
            <w:r w:rsidRPr="009A696E">
              <w:rPr>
                <w:rFonts w:cs="Times New Roman"/>
                <w:sz w:val="20"/>
                <w:szCs w:val="20"/>
              </w:rPr>
              <w:t>.258</w:t>
            </w:r>
          </w:p>
        </w:tc>
      </w:tr>
      <w:tr w:rsidR="00436931" w:rsidRPr="009A696E" w14:paraId="711D609B" w14:textId="77777777" w:rsidTr="00436931">
        <w:tc>
          <w:tcPr>
            <w:tcW w:w="2520" w:type="dxa"/>
          </w:tcPr>
          <w:p w14:paraId="628331DD" w14:textId="77777777" w:rsidR="00436931" w:rsidRPr="009A696E" w:rsidRDefault="00436931" w:rsidP="00436931">
            <w:pPr>
              <w:rPr>
                <w:rFonts w:cs="Times New Roman"/>
                <w:bCs/>
                <w:sz w:val="20"/>
                <w:szCs w:val="20"/>
              </w:rPr>
            </w:pPr>
            <w:r w:rsidRPr="009A696E">
              <w:rPr>
                <w:rFonts w:eastAsia="Calibri" w:cs="Times New Roman"/>
                <w:bCs/>
                <w:sz w:val="20"/>
                <w:szCs w:val="20"/>
              </w:rPr>
              <w:t>Assurance</w:t>
            </w:r>
          </w:p>
        </w:tc>
        <w:tc>
          <w:tcPr>
            <w:tcW w:w="1080" w:type="dxa"/>
            <w:vAlign w:val="center"/>
          </w:tcPr>
          <w:p w14:paraId="5E1CE6FE" w14:textId="77777777" w:rsidR="00436931" w:rsidRPr="009A696E" w:rsidRDefault="00436931" w:rsidP="00436931">
            <w:pPr>
              <w:jc w:val="center"/>
              <w:rPr>
                <w:rFonts w:cs="Times New Roman"/>
                <w:sz w:val="20"/>
                <w:szCs w:val="20"/>
              </w:rPr>
            </w:pPr>
            <w:r w:rsidRPr="009A696E">
              <w:rPr>
                <w:rFonts w:cs="Times New Roman"/>
                <w:sz w:val="20"/>
                <w:szCs w:val="20"/>
              </w:rPr>
              <w:t>-.959</w:t>
            </w:r>
          </w:p>
        </w:tc>
        <w:tc>
          <w:tcPr>
            <w:tcW w:w="1350" w:type="dxa"/>
            <w:vAlign w:val="center"/>
          </w:tcPr>
          <w:p w14:paraId="15D673D8" w14:textId="77777777" w:rsidR="00436931" w:rsidRPr="009A696E" w:rsidRDefault="00436931" w:rsidP="00436931">
            <w:pPr>
              <w:jc w:val="center"/>
              <w:rPr>
                <w:rFonts w:cs="Times New Roman"/>
                <w:sz w:val="20"/>
                <w:szCs w:val="20"/>
              </w:rPr>
            </w:pPr>
            <w:r w:rsidRPr="009A696E">
              <w:rPr>
                <w:rFonts w:cs="Times New Roman"/>
                <w:sz w:val="20"/>
                <w:szCs w:val="20"/>
              </w:rPr>
              <w:t>.129</w:t>
            </w:r>
          </w:p>
        </w:tc>
        <w:tc>
          <w:tcPr>
            <w:tcW w:w="1060" w:type="dxa"/>
            <w:vAlign w:val="center"/>
          </w:tcPr>
          <w:p w14:paraId="5F26E994" w14:textId="77777777" w:rsidR="00436931" w:rsidRPr="009A696E" w:rsidRDefault="00436931" w:rsidP="00436931">
            <w:pPr>
              <w:jc w:val="center"/>
              <w:rPr>
                <w:rFonts w:cs="Times New Roman"/>
                <w:sz w:val="20"/>
                <w:szCs w:val="20"/>
              </w:rPr>
            </w:pPr>
            <w:r w:rsidRPr="009A696E">
              <w:rPr>
                <w:rFonts w:cs="Times New Roman"/>
                <w:sz w:val="20"/>
                <w:szCs w:val="20"/>
              </w:rPr>
              <w:t>.406</w:t>
            </w:r>
          </w:p>
        </w:tc>
        <w:tc>
          <w:tcPr>
            <w:tcW w:w="1460" w:type="dxa"/>
            <w:vAlign w:val="center"/>
          </w:tcPr>
          <w:p w14:paraId="72DBB0DF" w14:textId="77777777" w:rsidR="00436931" w:rsidRPr="009A696E" w:rsidRDefault="00436931" w:rsidP="00436931">
            <w:pPr>
              <w:jc w:val="center"/>
              <w:rPr>
                <w:rFonts w:cs="Times New Roman"/>
                <w:sz w:val="20"/>
                <w:szCs w:val="20"/>
              </w:rPr>
            </w:pPr>
            <w:r w:rsidRPr="009A696E">
              <w:rPr>
                <w:rFonts w:cs="Times New Roman"/>
                <w:sz w:val="20"/>
                <w:szCs w:val="20"/>
              </w:rPr>
              <w:t>.258</w:t>
            </w:r>
          </w:p>
        </w:tc>
      </w:tr>
      <w:tr w:rsidR="00436931" w:rsidRPr="009A696E" w14:paraId="12CA99CC" w14:textId="77777777" w:rsidTr="00436931">
        <w:tc>
          <w:tcPr>
            <w:tcW w:w="2520" w:type="dxa"/>
          </w:tcPr>
          <w:p w14:paraId="0F10156B" w14:textId="77777777" w:rsidR="00436931" w:rsidRPr="009A696E" w:rsidRDefault="00436931" w:rsidP="00436931">
            <w:pPr>
              <w:rPr>
                <w:rFonts w:cs="Times New Roman"/>
                <w:bCs/>
                <w:sz w:val="20"/>
                <w:szCs w:val="20"/>
              </w:rPr>
            </w:pPr>
            <w:r w:rsidRPr="009A696E">
              <w:rPr>
                <w:rFonts w:eastAsia="Calibri" w:cs="Times New Roman"/>
                <w:bCs/>
                <w:sz w:val="20"/>
                <w:szCs w:val="20"/>
              </w:rPr>
              <w:t>Empathy</w:t>
            </w:r>
          </w:p>
        </w:tc>
        <w:tc>
          <w:tcPr>
            <w:tcW w:w="1080" w:type="dxa"/>
            <w:vAlign w:val="center"/>
          </w:tcPr>
          <w:p w14:paraId="77126E21" w14:textId="77777777" w:rsidR="00436931" w:rsidRPr="009A696E" w:rsidRDefault="00436931" w:rsidP="00436931">
            <w:pPr>
              <w:jc w:val="center"/>
              <w:rPr>
                <w:rFonts w:cs="Times New Roman"/>
                <w:sz w:val="20"/>
                <w:szCs w:val="20"/>
              </w:rPr>
            </w:pPr>
            <w:r w:rsidRPr="009A696E">
              <w:rPr>
                <w:rFonts w:cs="Times New Roman"/>
                <w:sz w:val="20"/>
                <w:szCs w:val="20"/>
              </w:rPr>
              <w:t>-.524</w:t>
            </w:r>
          </w:p>
        </w:tc>
        <w:tc>
          <w:tcPr>
            <w:tcW w:w="1350" w:type="dxa"/>
            <w:vAlign w:val="center"/>
          </w:tcPr>
          <w:p w14:paraId="1917D40A" w14:textId="77777777" w:rsidR="00436931" w:rsidRPr="009A696E" w:rsidRDefault="00436931" w:rsidP="00436931">
            <w:pPr>
              <w:jc w:val="center"/>
              <w:rPr>
                <w:rFonts w:cs="Times New Roman"/>
                <w:sz w:val="20"/>
                <w:szCs w:val="20"/>
              </w:rPr>
            </w:pPr>
            <w:r w:rsidRPr="009A696E">
              <w:rPr>
                <w:rFonts w:cs="Times New Roman"/>
                <w:sz w:val="20"/>
                <w:szCs w:val="20"/>
              </w:rPr>
              <w:t>.129</w:t>
            </w:r>
          </w:p>
        </w:tc>
        <w:tc>
          <w:tcPr>
            <w:tcW w:w="1060" w:type="dxa"/>
            <w:vAlign w:val="center"/>
          </w:tcPr>
          <w:p w14:paraId="422E3469" w14:textId="77777777" w:rsidR="00436931" w:rsidRPr="009A696E" w:rsidRDefault="00436931" w:rsidP="00436931">
            <w:pPr>
              <w:jc w:val="center"/>
              <w:rPr>
                <w:rFonts w:cs="Times New Roman"/>
                <w:sz w:val="20"/>
                <w:szCs w:val="20"/>
              </w:rPr>
            </w:pPr>
            <w:r w:rsidRPr="009A696E">
              <w:rPr>
                <w:rFonts w:cs="Times New Roman"/>
                <w:sz w:val="20"/>
                <w:szCs w:val="20"/>
              </w:rPr>
              <w:t>.047</w:t>
            </w:r>
          </w:p>
        </w:tc>
        <w:tc>
          <w:tcPr>
            <w:tcW w:w="1460" w:type="dxa"/>
            <w:vAlign w:val="center"/>
          </w:tcPr>
          <w:p w14:paraId="019D8381" w14:textId="77777777" w:rsidR="00436931" w:rsidRPr="009A696E" w:rsidRDefault="00436931" w:rsidP="00436931">
            <w:pPr>
              <w:jc w:val="center"/>
              <w:rPr>
                <w:rFonts w:cs="Times New Roman"/>
                <w:sz w:val="20"/>
                <w:szCs w:val="20"/>
              </w:rPr>
            </w:pPr>
            <w:r w:rsidRPr="009A696E">
              <w:rPr>
                <w:rFonts w:cs="Times New Roman"/>
                <w:sz w:val="20"/>
                <w:szCs w:val="20"/>
              </w:rPr>
              <w:t>.258</w:t>
            </w:r>
          </w:p>
        </w:tc>
      </w:tr>
      <w:tr w:rsidR="00436931" w:rsidRPr="009A696E" w14:paraId="43F05DBF" w14:textId="77777777" w:rsidTr="00436931">
        <w:tc>
          <w:tcPr>
            <w:tcW w:w="2520" w:type="dxa"/>
          </w:tcPr>
          <w:p w14:paraId="017AE7DA" w14:textId="77777777" w:rsidR="00436931" w:rsidRPr="009A696E" w:rsidRDefault="00436931" w:rsidP="00436931">
            <w:pPr>
              <w:rPr>
                <w:rFonts w:cs="Times New Roman"/>
                <w:bCs/>
                <w:sz w:val="20"/>
                <w:szCs w:val="20"/>
              </w:rPr>
            </w:pPr>
            <w:r w:rsidRPr="009A696E">
              <w:rPr>
                <w:rFonts w:eastAsia="Calibri" w:cs="Times New Roman"/>
                <w:bCs/>
                <w:sz w:val="20"/>
                <w:szCs w:val="20"/>
              </w:rPr>
              <w:t>Tangibles</w:t>
            </w:r>
          </w:p>
        </w:tc>
        <w:tc>
          <w:tcPr>
            <w:tcW w:w="1080" w:type="dxa"/>
            <w:vAlign w:val="center"/>
          </w:tcPr>
          <w:p w14:paraId="631D52C6" w14:textId="77777777" w:rsidR="00436931" w:rsidRPr="009A696E" w:rsidRDefault="00436931" w:rsidP="00436931">
            <w:pPr>
              <w:jc w:val="center"/>
              <w:rPr>
                <w:rFonts w:cs="Times New Roman"/>
                <w:sz w:val="20"/>
                <w:szCs w:val="20"/>
              </w:rPr>
            </w:pPr>
            <w:r w:rsidRPr="009A696E">
              <w:rPr>
                <w:rFonts w:cs="Times New Roman"/>
                <w:sz w:val="20"/>
                <w:szCs w:val="20"/>
              </w:rPr>
              <w:t>-.678</w:t>
            </w:r>
          </w:p>
        </w:tc>
        <w:tc>
          <w:tcPr>
            <w:tcW w:w="1350" w:type="dxa"/>
            <w:vAlign w:val="center"/>
          </w:tcPr>
          <w:p w14:paraId="76FD5D71" w14:textId="77777777" w:rsidR="00436931" w:rsidRPr="009A696E" w:rsidRDefault="00436931" w:rsidP="00436931">
            <w:pPr>
              <w:jc w:val="center"/>
              <w:rPr>
                <w:rFonts w:cs="Times New Roman"/>
                <w:sz w:val="20"/>
                <w:szCs w:val="20"/>
              </w:rPr>
            </w:pPr>
            <w:r w:rsidRPr="009A696E">
              <w:rPr>
                <w:rFonts w:cs="Times New Roman"/>
                <w:sz w:val="20"/>
                <w:szCs w:val="20"/>
              </w:rPr>
              <w:t>.129</w:t>
            </w:r>
          </w:p>
        </w:tc>
        <w:tc>
          <w:tcPr>
            <w:tcW w:w="1060" w:type="dxa"/>
            <w:vAlign w:val="center"/>
          </w:tcPr>
          <w:p w14:paraId="70F6AE23" w14:textId="77777777" w:rsidR="00436931" w:rsidRPr="009A696E" w:rsidRDefault="00436931" w:rsidP="00436931">
            <w:pPr>
              <w:jc w:val="center"/>
              <w:rPr>
                <w:rFonts w:cs="Times New Roman"/>
                <w:sz w:val="20"/>
                <w:szCs w:val="20"/>
              </w:rPr>
            </w:pPr>
            <w:r w:rsidRPr="009A696E">
              <w:rPr>
                <w:rFonts w:cs="Times New Roman"/>
                <w:sz w:val="20"/>
                <w:szCs w:val="20"/>
              </w:rPr>
              <w:t>.192</w:t>
            </w:r>
          </w:p>
        </w:tc>
        <w:tc>
          <w:tcPr>
            <w:tcW w:w="1460" w:type="dxa"/>
            <w:vAlign w:val="center"/>
          </w:tcPr>
          <w:p w14:paraId="428358BF" w14:textId="77777777" w:rsidR="00436931" w:rsidRPr="009A696E" w:rsidRDefault="00436931" w:rsidP="00436931">
            <w:pPr>
              <w:jc w:val="center"/>
              <w:rPr>
                <w:rFonts w:cs="Times New Roman"/>
                <w:sz w:val="20"/>
                <w:szCs w:val="20"/>
              </w:rPr>
            </w:pPr>
            <w:r w:rsidRPr="009A696E">
              <w:rPr>
                <w:rFonts w:cs="Times New Roman"/>
                <w:sz w:val="20"/>
                <w:szCs w:val="20"/>
              </w:rPr>
              <w:t>.258</w:t>
            </w:r>
          </w:p>
        </w:tc>
      </w:tr>
      <w:tr w:rsidR="00436931" w:rsidRPr="009A696E" w14:paraId="0F09B591" w14:textId="77777777" w:rsidTr="00436931">
        <w:tc>
          <w:tcPr>
            <w:tcW w:w="2520" w:type="dxa"/>
            <w:tcBorders>
              <w:bottom w:val="single" w:sz="4" w:space="0" w:color="auto"/>
            </w:tcBorders>
          </w:tcPr>
          <w:p w14:paraId="45B96D1C" w14:textId="380478E7" w:rsidR="00436931" w:rsidRPr="009A696E" w:rsidRDefault="001B190B" w:rsidP="001B190B">
            <w:pPr>
              <w:ind w:left="34" w:hanging="34"/>
              <w:jc w:val="left"/>
              <w:rPr>
                <w:rFonts w:cs="Times New Roman"/>
                <w:bCs/>
                <w:sz w:val="20"/>
                <w:szCs w:val="20"/>
              </w:rPr>
            </w:pPr>
            <w:r>
              <w:rPr>
                <w:rFonts w:eastAsia="Calibri" w:cs="Times New Roman"/>
                <w:bCs/>
                <w:sz w:val="20"/>
                <w:szCs w:val="20"/>
              </w:rPr>
              <w:t xml:space="preserve">Financial Accounting Academic </w:t>
            </w:r>
            <w:r w:rsidR="00436931" w:rsidRPr="009A696E">
              <w:rPr>
                <w:rFonts w:eastAsia="Calibri" w:cs="Times New Roman"/>
                <w:bCs/>
                <w:sz w:val="20"/>
                <w:szCs w:val="20"/>
              </w:rPr>
              <w:t>Performance</w:t>
            </w:r>
          </w:p>
        </w:tc>
        <w:tc>
          <w:tcPr>
            <w:tcW w:w="1080" w:type="dxa"/>
            <w:tcBorders>
              <w:bottom w:val="single" w:sz="4" w:space="0" w:color="auto"/>
            </w:tcBorders>
            <w:vAlign w:val="center"/>
          </w:tcPr>
          <w:p w14:paraId="759BA78E" w14:textId="77777777" w:rsidR="00436931" w:rsidRPr="009A696E" w:rsidRDefault="00436931" w:rsidP="00436931">
            <w:pPr>
              <w:jc w:val="center"/>
              <w:rPr>
                <w:rFonts w:cs="Times New Roman"/>
                <w:sz w:val="20"/>
                <w:szCs w:val="20"/>
              </w:rPr>
            </w:pPr>
            <w:r w:rsidRPr="009A696E">
              <w:rPr>
                <w:rFonts w:cs="Times New Roman"/>
                <w:sz w:val="20"/>
                <w:szCs w:val="20"/>
              </w:rPr>
              <w:t>-.654</w:t>
            </w:r>
          </w:p>
        </w:tc>
        <w:tc>
          <w:tcPr>
            <w:tcW w:w="1350" w:type="dxa"/>
            <w:tcBorders>
              <w:bottom w:val="single" w:sz="4" w:space="0" w:color="auto"/>
            </w:tcBorders>
            <w:vAlign w:val="center"/>
          </w:tcPr>
          <w:p w14:paraId="6F77F15D" w14:textId="77777777" w:rsidR="00436931" w:rsidRPr="009A696E" w:rsidRDefault="00436931" w:rsidP="00436931">
            <w:pPr>
              <w:jc w:val="center"/>
              <w:rPr>
                <w:rFonts w:cs="Times New Roman"/>
                <w:sz w:val="20"/>
                <w:szCs w:val="20"/>
              </w:rPr>
            </w:pPr>
            <w:r w:rsidRPr="009A696E">
              <w:rPr>
                <w:rFonts w:cs="Times New Roman"/>
                <w:sz w:val="20"/>
                <w:szCs w:val="20"/>
              </w:rPr>
              <w:t>.129</w:t>
            </w:r>
          </w:p>
        </w:tc>
        <w:tc>
          <w:tcPr>
            <w:tcW w:w="1060" w:type="dxa"/>
            <w:tcBorders>
              <w:bottom w:val="single" w:sz="4" w:space="0" w:color="auto"/>
            </w:tcBorders>
            <w:vAlign w:val="center"/>
          </w:tcPr>
          <w:p w14:paraId="67736383" w14:textId="77777777" w:rsidR="00436931" w:rsidRPr="009A696E" w:rsidRDefault="00436931" w:rsidP="00436931">
            <w:pPr>
              <w:jc w:val="center"/>
              <w:rPr>
                <w:rFonts w:cs="Times New Roman"/>
                <w:sz w:val="20"/>
                <w:szCs w:val="20"/>
              </w:rPr>
            </w:pPr>
            <w:r w:rsidRPr="009A696E">
              <w:rPr>
                <w:rFonts w:cs="Times New Roman"/>
                <w:sz w:val="20"/>
                <w:szCs w:val="20"/>
              </w:rPr>
              <w:t>-.115</w:t>
            </w:r>
          </w:p>
        </w:tc>
        <w:tc>
          <w:tcPr>
            <w:tcW w:w="1460" w:type="dxa"/>
            <w:tcBorders>
              <w:bottom w:val="single" w:sz="4" w:space="0" w:color="auto"/>
            </w:tcBorders>
            <w:vAlign w:val="center"/>
          </w:tcPr>
          <w:p w14:paraId="50BD73A1" w14:textId="77777777" w:rsidR="00436931" w:rsidRPr="009A696E" w:rsidRDefault="00436931" w:rsidP="00436931">
            <w:pPr>
              <w:jc w:val="center"/>
              <w:rPr>
                <w:rFonts w:cs="Times New Roman"/>
                <w:sz w:val="20"/>
                <w:szCs w:val="20"/>
              </w:rPr>
            </w:pPr>
            <w:r w:rsidRPr="009A696E">
              <w:rPr>
                <w:rFonts w:cs="Times New Roman"/>
                <w:sz w:val="20"/>
                <w:szCs w:val="20"/>
              </w:rPr>
              <w:t>.258</w:t>
            </w:r>
          </w:p>
        </w:tc>
      </w:tr>
    </w:tbl>
    <w:p w14:paraId="44046E0C" w14:textId="6FD084BE" w:rsidR="00C8245B" w:rsidRPr="009A696E" w:rsidRDefault="000B1A04" w:rsidP="00436931">
      <w:pPr>
        <w:spacing w:after="200" w:line="240" w:lineRule="auto"/>
        <w:rPr>
          <w:rFonts w:eastAsia="Times New Roman" w:cs="Times New Roman"/>
          <w:bCs/>
          <w:i/>
          <w:iCs/>
          <w:sz w:val="20"/>
          <w:szCs w:val="20"/>
        </w:rPr>
      </w:pPr>
      <w:r>
        <w:rPr>
          <w:rFonts w:eastAsia="Calibri" w:cs="Times New Roman"/>
          <w:b/>
          <w:bCs/>
          <w:sz w:val="20"/>
          <w:szCs w:val="20"/>
        </w:rPr>
        <w:t>Table 3</w:t>
      </w:r>
      <w:r w:rsidR="00C8245B" w:rsidRPr="009A696E">
        <w:rPr>
          <w:rFonts w:eastAsia="Calibri" w:cs="Times New Roman"/>
          <w:b/>
          <w:bCs/>
          <w:sz w:val="20"/>
          <w:szCs w:val="20"/>
        </w:rPr>
        <w:t xml:space="preserve">: Normality Results </w:t>
      </w:r>
    </w:p>
    <w:p w14:paraId="18B56AFF" w14:textId="77777777" w:rsidR="00436931" w:rsidRPr="009A696E" w:rsidRDefault="00436931" w:rsidP="00436931">
      <w:pPr>
        <w:keepNext/>
        <w:keepLines/>
        <w:spacing w:after="0" w:line="240" w:lineRule="auto"/>
        <w:outlineLvl w:val="1"/>
        <w:rPr>
          <w:rFonts w:eastAsia="Times New Roman" w:cs="Times New Roman"/>
          <w:b/>
          <w:sz w:val="20"/>
          <w:szCs w:val="20"/>
        </w:rPr>
      </w:pPr>
    </w:p>
    <w:p w14:paraId="77EFF258" w14:textId="77777777" w:rsidR="00436931" w:rsidRPr="009A696E" w:rsidRDefault="00436931" w:rsidP="00436931">
      <w:pPr>
        <w:keepNext/>
        <w:keepLines/>
        <w:spacing w:after="0" w:line="240" w:lineRule="auto"/>
        <w:outlineLvl w:val="1"/>
        <w:rPr>
          <w:rFonts w:eastAsia="Times New Roman" w:cs="Times New Roman"/>
          <w:b/>
          <w:sz w:val="20"/>
          <w:szCs w:val="20"/>
        </w:rPr>
      </w:pPr>
    </w:p>
    <w:p w14:paraId="343664B6" w14:textId="77777777" w:rsidR="00436931" w:rsidRPr="009A696E" w:rsidRDefault="00436931" w:rsidP="00436931">
      <w:pPr>
        <w:keepNext/>
        <w:keepLines/>
        <w:spacing w:after="0" w:line="240" w:lineRule="auto"/>
        <w:outlineLvl w:val="1"/>
        <w:rPr>
          <w:rFonts w:eastAsia="Times New Roman" w:cs="Times New Roman"/>
          <w:b/>
          <w:sz w:val="20"/>
          <w:szCs w:val="20"/>
        </w:rPr>
      </w:pPr>
    </w:p>
    <w:p w14:paraId="2F20F89A" w14:textId="77777777" w:rsidR="00436931" w:rsidRPr="009A696E" w:rsidRDefault="00436931" w:rsidP="00436931">
      <w:pPr>
        <w:keepNext/>
        <w:keepLines/>
        <w:spacing w:after="0" w:line="240" w:lineRule="auto"/>
        <w:outlineLvl w:val="1"/>
        <w:rPr>
          <w:rFonts w:eastAsia="Times New Roman" w:cs="Times New Roman"/>
          <w:b/>
          <w:sz w:val="20"/>
          <w:szCs w:val="20"/>
        </w:rPr>
      </w:pPr>
    </w:p>
    <w:p w14:paraId="28EE4965" w14:textId="77777777" w:rsidR="00436931" w:rsidRPr="009A696E" w:rsidRDefault="00436931" w:rsidP="00436931">
      <w:pPr>
        <w:keepNext/>
        <w:keepLines/>
        <w:spacing w:after="0" w:line="240" w:lineRule="auto"/>
        <w:outlineLvl w:val="1"/>
        <w:rPr>
          <w:rFonts w:eastAsia="Times New Roman" w:cs="Times New Roman"/>
          <w:b/>
          <w:sz w:val="20"/>
          <w:szCs w:val="20"/>
        </w:rPr>
      </w:pPr>
    </w:p>
    <w:p w14:paraId="217F3247" w14:textId="77777777" w:rsidR="00436931" w:rsidRPr="009A696E" w:rsidRDefault="00436931" w:rsidP="00436931">
      <w:pPr>
        <w:keepNext/>
        <w:keepLines/>
        <w:spacing w:after="0" w:line="240" w:lineRule="auto"/>
        <w:outlineLvl w:val="1"/>
        <w:rPr>
          <w:rFonts w:eastAsia="Times New Roman" w:cs="Times New Roman"/>
          <w:b/>
          <w:sz w:val="20"/>
          <w:szCs w:val="20"/>
        </w:rPr>
      </w:pPr>
    </w:p>
    <w:p w14:paraId="70F2AFCF" w14:textId="77777777" w:rsidR="00436931" w:rsidRPr="009A696E" w:rsidRDefault="00436931" w:rsidP="00436931">
      <w:pPr>
        <w:keepNext/>
        <w:keepLines/>
        <w:spacing w:after="0" w:line="240" w:lineRule="auto"/>
        <w:outlineLvl w:val="1"/>
        <w:rPr>
          <w:rFonts w:eastAsia="Times New Roman" w:cs="Times New Roman"/>
          <w:b/>
          <w:sz w:val="20"/>
          <w:szCs w:val="20"/>
        </w:rPr>
      </w:pPr>
    </w:p>
    <w:p w14:paraId="68F34EA6" w14:textId="77777777" w:rsidR="00436931" w:rsidRPr="009A696E" w:rsidRDefault="00436931" w:rsidP="00436931">
      <w:pPr>
        <w:keepNext/>
        <w:keepLines/>
        <w:spacing w:after="0" w:line="240" w:lineRule="auto"/>
        <w:outlineLvl w:val="1"/>
        <w:rPr>
          <w:rFonts w:eastAsia="Times New Roman" w:cs="Times New Roman"/>
          <w:b/>
          <w:sz w:val="20"/>
          <w:szCs w:val="20"/>
        </w:rPr>
      </w:pPr>
    </w:p>
    <w:p w14:paraId="5DDEFDEC" w14:textId="77777777" w:rsidR="00436931" w:rsidRPr="009A696E" w:rsidRDefault="00436931" w:rsidP="00436931">
      <w:pPr>
        <w:keepNext/>
        <w:keepLines/>
        <w:spacing w:after="0" w:line="240" w:lineRule="auto"/>
        <w:outlineLvl w:val="1"/>
        <w:rPr>
          <w:rFonts w:eastAsia="Times New Roman" w:cs="Times New Roman"/>
          <w:b/>
          <w:sz w:val="20"/>
          <w:szCs w:val="20"/>
        </w:rPr>
      </w:pPr>
    </w:p>
    <w:p w14:paraId="72BD4A1F" w14:textId="22422054" w:rsidR="00C8245B" w:rsidRPr="00226D63" w:rsidRDefault="00C8245B" w:rsidP="00436931">
      <w:pPr>
        <w:spacing w:before="240"/>
        <w:rPr>
          <w:rFonts w:cs="Times New Roman"/>
          <w:b/>
          <w:bCs/>
          <w:sz w:val="20"/>
          <w:szCs w:val="20"/>
        </w:rPr>
      </w:pPr>
      <w:r w:rsidRPr="00226D63">
        <w:rPr>
          <w:rFonts w:cs="Times New Roman"/>
          <w:b/>
          <w:bCs/>
          <w:sz w:val="20"/>
          <w:szCs w:val="20"/>
        </w:rPr>
        <w:t xml:space="preserve">Exploratory Factor Analysis (EFA) </w:t>
      </w:r>
    </w:p>
    <w:p w14:paraId="34831CA9" w14:textId="359ABAF5" w:rsidR="00587032" w:rsidRDefault="00CF2511" w:rsidP="00436931">
      <w:pPr>
        <w:spacing w:before="240"/>
        <w:rPr>
          <w:rFonts w:eastAsia="Times New Roman" w:cs="Times New Roman"/>
          <w:sz w:val="20"/>
          <w:szCs w:val="20"/>
        </w:rPr>
      </w:pPr>
      <w:r w:rsidRPr="009A696E">
        <w:rPr>
          <w:rFonts w:eastAsia="Times New Roman" w:cs="Times New Roman"/>
          <w:sz w:val="20"/>
          <w:szCs w:val="20"/>
        </w:rPr>
        <w:t xml:space="preserve">To enhance content validity and ensure each observed variables accurately measure their intended construct, an exploratory factor analysis (EFA) was conducted </w:t>
      </w:r>
      <w:r w:rsidR="00587032">
        <w:rPr>
          <w:rFonts w:eastAsia="Times New Roman" w:cs="Times New Roman"/>
          <w:sz w:val="20"/>
          <w:szCs w:val="20"/>
        </w:rPr>
        <w:t xml:space="preserve">in </w:t>
      </w:r>
      <w:r w:rsidRPr="009A696E">
        <w:rPr>
          <w:rFonts w:eastAsia="Times New Roman" w:cs="Times New Roman"/>
          <w:sz w:val="20"/>
          <w:szCs w:val="20"/>
        </w:rPr>
        <w:t xml:space="preserve">SPSS (version 25). Items with factor loadings below 0.5 and/or those that loaded on multiple constructs were excluded (Appiah-Kubi, 2024). </w:t>
      </w:r>
      <w:r w:rsidR="00587032">
        <w:rPr>
          <w:rFonts w:eastAsia="Times New Roman" w:cs="Times New Roman"/>
          <w:sz w:val="20"/>
          <w:szCs w:val="20"/>
        </w:rPr>
        <w:t xml:space="preserve">For the </w:t>
      </w:r>
      <w:r w:rsidR="003B174D">
        <w:rPr>
          <w:rFonts w:eastAsia="Times New Roman" w:cs="Times New Roman"/>
          <w:sz w:val="20"/>
          <w:szCs w:val="20"/>
        </w:rPr>
        <w:t xml:space="preserve">SERVQUAL </w:t>
      </w:r>
      <w:r w:rsidR="00587032">
        <w:rPr>
          <w:rFonts w:eastAsia="Times New Roman" w:cs="Times New Roman"/>
          <w:sz w:val="20"/>
          <w:szCs w:val="20"/>
        </w:rPr>
        <w:t>variables TAN, REL, RES, ASS, and EMP</w:t>
      </w:r>
      <w:r w:rsidR="003B174D">
        <w:rPr>
          <w:rFonts w:eastAsia="Times New Roman" w:cs="Times New Roman"/>
          <w:sz w:val="20"/>
          <w:szCs w:val="20"/>
        </w:rPr>
        <w:t>, out of the original 22 items on the scale, 3 items were dropped leaving 19 because of factor loadings below 0.5. Reliability (REL) had 1 item dropped leaving 4, Responsiveness (RES) had 1 dropped leaving 3, and Empathy (EMP) had 1 dropped leaving 4. For the dependent variable, Financial Accounting Academic Performance (SPA), out of a total of 8 items on the original scale, 2 dropped leaving 6 due to lower factor loadings below 0.5. Overall, after the factor analysis the total number of 30 items on the original scale reduced to 25 meaning that 5 items have dropped for the sake of factor loadings below 0.5</w:t>
      </w:r>
    </w:p>
    <w:p w14:paraId="58148E69" w14:textId="5614D1C2" w:rsidR="00CF2511" w:rsidRPr="00226D63" w:rsidRDefault="00CF2511" w:rsidP="00436931">
      <w:pPr>
        <w:spacing w:before="240"/>
        <w:rPr>
          <w:rFonts w:eastAsia="Times New Roman" w:cs="Times New Roman"/>
          <w:sz w:val="20"/>
          <w:szCs w:val="20"/>
        </w:rPr>
      </w:pPr>
      <w:r w:rsidRPr="009A696E">
        <w:rPr>
          <w:rFonts w:eastAsia="Times New Roman" w:cs="Times New Roman"/>
          <w:sz w:val="20"/>
          <w:szCs w:val="20"/>
        </w:rPr>
        <w:t>For EFA to be valid, specific criteria had to be satisfied, such as Total Variance Extracted (TVE), Kaiser-Meyer-Olkin (KMO), Bartlett’s Test of Sphericity (BTS), and the Determinant of Correlation (D</w:t>
      </w:r>
      <w:r w:rsidR="00C77A72">
        <w:rPr>
          <w:rFonts w:eastAsia="Times New Roman" w:cs="Times New Roman"/>
          <w:sz w:val="20"/>
          <w:szCs w:val="20"/>
        </w:rPr>
        <w:t>o</w:t>
      </w:r>
      <w:r w:rsidRPr="009A696E">
        <w:rPr>
          <w:rFonts w:eastAsia="Times New Roman" w:cs="Times New Roman"/>
          <w:sz w:val="20"/>
          <w:szCs w:val="20"/>
        </w:rPr>
        <w:t>C) (Fornell &amp; Larcker, 1981). The thresholds include a TVE above 50%, a KMO value over .60, a statistically significant BTS (≤ .05), and a D</w:t>
      </w:r>
      <w:r w:rsidR="00C77A72">
        <w:rPr>
          <w:rFonts w:eastAsia="Times New Roman" w:cs="Times New Roman"/>
          <w:sz w:val="20"/>
          <w:szCs w:val="20"/>
        </w:rPr>
        <w:t>o</w:t>
      </w:r>
      <w:r w:rsidRPr="009A696E">
        <w:rPr>
          <w:rFonts w:eastAsia="Times New Roman" w:cs="Times New Roman"/>
          <w:sz w:val="20"/>
          <w:szCs w:val="20"/>
        </w:rPr>
        <w:t xml:space="preserve">C not equal to zero. The results of </w:t>
      </w:r>
      <w:r w:rsidR="000B1A04">
        <w:rPr>
          <w:rFonts w:eastAsia="Times New Roman" w:cs="Times New Roman"/>
          <w:sz w:val="20"/>
          <w:szCs w:val="20"/>
        </w:rPr>
        <w:t>the EFA, as displayed in Table 3</w:t>
      </w:r>
      <w:r w:rsidRPr="009A696E">
        <w:rPr>
          <w:rFonts w:eastAsia="Times New Roman" w:cs="Times New Roman"/>
          <w:sz w:val="20"/>
          <w:szCs w:val="20"/>
        </w:rPr>
        <w:t>, revealed a TVE of 75.97%, a KMO value of .910, a BTS statistic of 12801.519 (significant at the .01), and a DOC of 5.059E-17. Since all these criteria were met, the retained items were considered appropriate for measuring the intended constructs.</w:t>
      </w:r>
    </w:p>
    <w:p w14:paraId="1DD4D2CE" w14:textId="3081A54C" w:rsidR="00C8245B" w:rsidRPr="00226D63" w:rsidRDefault="00C8245B" w:rsidP="00CF2511">
      <w:pPr>
        <w:rPr>
          <w:rFonts w:cs="Times New Roman"/>
          <w:b/>
          <w:bCs/>
          <w:sz w:val="20"/>
          <w:szCs w:val="20"/>
        </w:rPr>
      </w:pPr>
      <w:r w:rsidRPr="00226D63">
        <w:rPr>
          <w:rFonts w:cs="Times New Roman"/>
          <w:b/>
          <w:bCs/>
          <w:sz w:val="20"/>
          <w:szCs w:val="20"/>
        </w:rPr>
        <w:t xml:space="preserve">Confirmatory Factor Analysis (CFA) </w:t>
      </w:r>
    </w:p>
    <w:p w14:paraId="08A7F664" w14:textId="7AA71965" w:rsidR="00C8245B" w:rsidRPr="009A696E" w:rsidRDefault="00C8245B" w:rsidP="00CF2511">
      <w:pPr>
        <w:spacing w:line="240" w:lineRule="auto"/>
        <w:rPr>
          <w:rFonts w:eastAsia="Times New Roman" w:cs="Times New Roman"/>
          <w:sz w:val="20"/>
          <w:szCs w:val="20"/>
        </w:rPr>
      </w:pPr>
      <w:r w:rsidRPr="009A696E">
        <w:rPr>
          <w:rFonts w:eastAsia="Times New Roman" w:cs="Times New Roman"/>
          <w:sz w:val="20"/>
          <w:szCs w:val="20"/>
        </w:rPr>
        <w:t xml:space="preserve">Following the </w:t>
      </w:r>
      <w:r w:rsidR="001933A8" w:rsidRPr="009A696E">
        <w:rPr>
          <w:rFonts w:eastAsia="Times New Roman" w:cs="Times New Roman"/>
          <w:sz w:val="20"/>
          <w:szCs w:val="20"/>
        </w:rPr>
        <w:t>attainment</w:t>
      </w:r>
      <w:r w:rsidRPr="009A696E">
        <w:rPr>
          <w:rFonts w:eastAsia="Times New Roman" w:cs="Times New Roman"/>
          <w:sz w:val="20"/>
          <w:szCs w:val="20"/>
        </w:rPr>
        <w:t xml:space="preserve"> of the required thresholds in the EFA, a </w:t>
      </w:r>
      <w:r w:rsidR="00206422" w:rsidRPr="009A696E">
        <w:rPr>
          <w:rFonts w:eastAsia="Times New Roman" w:cs="Times New Roman"/>
          <w:sz w:val="20"/>
          <w:szCs w:val="20"/>
        </w:rPr>
        <w:t>c</w:t>
      </w:r>
      <w:r w:rsidRPr="009A696E">
        <w:rPr>
          <w:rFonts w:eastAsia="Times New Roman" w:cs="Times New Roman"/>
          <w:sz w:val="20"/>
          <w:szCs w:val="20"/>
        </w:rPr>
        <w:t xml:space="preserve">onfirmatory </w:t>
      </w:r>
      <w:r w:rsidR="00206422" w:rsidRPr="009A696E">
        <w:rPr>
          <w:rFonts w:eastAsia="Times New Roman" w:cs="Times New Roman"/>
          <w:sz w:val="20"/>
          <w:szCs w:val="20"/>
        </w:rPr>
        <w:t>f</w:t>
      </w:r>
      <w:r w:rsidRPr="009A696E">
        <w:rPr>
          <w:rFonts w:eastAsia="Times New Roman" w:cs="Times New Roman"/>
          <w:sz w:val="20"/>
          <w:szCs w:val="20"/>
        </w:rPr>
        <w:t xml:space="preserve">actor </w:t>
      </w:r>
      <w:r w:rsidR="00206422" w:rsidRPr="009A696E">
        <w:rPr>
          <w:rFonts w:eastAsia="Times New Roman" w:cs="Times New Roman"/>
          <w:sz w:val="20"/>
          <w:szCs w:val="20"/>
        </w:rPr>
        <w:t>a</w:t>
      </w:r>
      <w:r w:rsidRPr="009A696E">
        <w:rPr>
          <w:rFonts w:eastAsia="Times New Roman" w:cs="Times New Roman"/>
          <w:sz w:val="20"/>
          <w:szCs w:val="20"/>
        </w:rPr>
        <w:t>nalysis (CFA) was performed using Amos (v.23) to validate the</w:t>
      </w:r>
      <w:r w:rsidR="00206422" w:rsidRPr="009A696E">
        <w:rPr>
          <w:rFonts w:eastAsia="Times New Roman" w:cs="Times New Roman"/>
          <w:sz w:val="20"/>
          <w:szCs w:val="20"/>
        </w:rPr>
        <w:t xml:space="preserve"> measurement </w:t>
      </w:r>
      <w:r w:rsidRPr="009A696E">
        <w:rPr>
          <w:rFonts w:eastAsia="Times New Roman" w:cs="Times New Roman"/>
          <w:sz w:val="20"/>
          <w:szCs w:val="20"/>
        </w:rPr>
        <w:t xml:space="preserve">model. For this validation, multiple fit indices had to meet </w:t>
      </w:r>
      <w:r w:rsidR="00E616A8" w:rsidRPr="009A696E">
        <w:rPr>
          <w:rFonts w:eastAsia="Times New Roman" w:cs="Times New Roman"/>
          <w:sz w:val="20"/>
          <w:szCs w:val="20"/>
        </w:rPr>
        <w:t xml:space="preserve">the </w:t>
      </w:r>
      <w:r w:rsidRPr="009A696E">
        <w:rPr>
          <w:rFonts w:eastAsia="Times New Roman" w:cs="Times New Roman"/>
          <w:sz w:val="20"/>
          <w:szCs w:val="20"/>
        </w:rPr>
        <w:t>set benchmarks, including Standardised Factor Loading (SFL), Chi-Square/Degree of Freedom (CMIN/DF), Standardised Root Mean Square Residual (SRMR), Root Mean Square Error of Approximation (RMSEA), Goodness of Fit Index (GFI), Comparative Fit Index (CFI), and Tucker-Lewis Index (TLI), as recommended by Appiah-Kubi et al. (2024). Acceptable values are SFL &gt; .5, CMIN/DF &lt; 3, SRMR &lt; .08, RMSEA &lt; .08, GFI &gt; .9, and both CFI and TLI &gt; .9. The C</w:t>
      </w:r>
      <w:r w:rsidR="000B1A04">
        <w:rPr>
          <w:rFonts w:eastAsia="Times New Roman" w:cs="Times New Roman"/>
          <w:sz w:val="20"/>
          <w:szCs w:val="20"/>
        </w:rPr>
        <w:t>FA results, displayed in Table 5</w:t>
      </w:r>
      <w:r w:rsidRPr="009A696E">
        <w:rPr>
          <w:rFonts w:eastAsia="Times New Roman" w:cs="Times New Roman"/>
          <w:sz w:val="20"/>
          <w:szCs w:val="20"/>
        </w:rPr>
        <w:t xml:space="preserve"> and Figure 2, confirm the model fit, with CMIN/DF at 2.809, SRMR at .064, RMSEA at .055, GFI at .893, CFI at .937, and TLI at .914.</w:t>
      </w:r>
    </w:p>
    <w:p w14:paraId="620947FA" w14:textId="562DAB00" w:rsidR="007F4E3C" w:rsidRPr="009A696E" w:rsidRDefault="007F4E3C" w:rsidP="00CF2511">
      <w:pPr>
        <w:spacing w:line="240" w:lineRule="auto"/>
        <w:rPr>
          <w:rFonts w:eastAsia="Times New Roman" w:cs="Times New Roman"/>
          <w:sz w:val="20"/>
          <w:szCs w:val="20"/>
        </w:rPr>
      </w:pPr>
      <w:r w:rsidRPr="009A696E">
        <w:rPr>
          <w:rFonts w:eastAsia="Times New Roman" w:cs="Times New Roman"/>
          <w:sz w:val="20"/>
          <w:szCs w:val="20"/>
        </w:rPr>
        <w:lastRenderedPageBreak/>
        <w:t xml:space="preserve">With the CFA criteria met, the standardized factor loadings (SFLs) were used to calculate composite reliability (CR) and average variance extracted (AVE) for convergent validity, alongside Cronbach's alpha (CA) for internal consistency. Following Fornell and Larcker’s (1981) criterion, the thresholds for CR and CA were set at above 0.70 and for AVE above 0.50. </w:t>
      </w:r>
      <w:r w:rsidR="00226D63">
        <w:rPr>
          <w:rFonts w:eastAsia="Times New Roman" w:cs="Times New Roman"/>
          <w:sz w:val="20"/>
          <w:szCs w:val="20"/>
        </w:rPr>
        <w:t>A</w:t>
      </w:r>
      <w:r w:rsidRPr="009A696E">
        <w:rPr>
          <w:rFonts w:eastAsia="Times New Roman" w:cs="Times New Roman"/>
          <w:sz w:val="20"/>
          <w:szCs w:val="20"/>
        </w:rPr>
        <w:t>ll these criteria were met, confirming both convergent validity and reliability for the measurement model.</w:t>
      </w:r>
    </w:p>
    <w:p w14:paraId="506AD0E8" w14:textId="4E9F629C" w:rsidR="007F4E3C" w:rsidRPr="009A696E" w:rsidRDefault="007F4E3C" w:rsidP="007F4E3C">
      <w:pPr>
        <w:rPr>
          <w:rFonts w:cs="Times New Roman"/>
          <w:sz w:val="20"/>
          <w:szCs w:val="20"/>
        </w:rPr>
      </w:pPr>
      <w:r w:rsidRPr="009A696E">
        <w:rPr>
          <w:rFonts w:cs="Times New Roman"/>
          <w:sz w:val="20"/>
          <w:szCs w:val="20"/>
        </w:rPr>
        <w:t>Robustness tests are crucial in quantitative data analysis to assess how well the dataset fits the predicted model. Partial correlation analysis was used in this work to assess for robustness. When the zero-order correlation coefficients and the partial correlation coefficients do not deviate significantly, robustness is established (Borah et</w:t>
      </w:r>
      <w:r w:rsidR="000B1A04">
        <w:rPr>
          <w:rFonts w:cs="Times New Roman"/>
          <w:sz w:val="20"/>
          <w:szCs w:val="20"/>
        </w:rPr>
        <w:t xml:space="preserve"> al., 2023). As shown in Table 6</w:t>
      </w:r>
      <w:r w:rsidRPr="009A696E">
        <w:rPr>
          <w:rFonts w:cs="Times New Roman"/>
          <w:sz w:val="20"/>
          <w:szCs w:val="20"/>
        </w:rPr>
        <w:t>, the results indicate no substantial difference between these coefficients, leading to the conclusion that robustness was achieved in this study.</w:t>
      </w:r>
    </w:p>
    <w:p w14:paraId="2970F954" w14:textId="02DADEB1" w:rsidR="007F4E3C" w:rsidRDefault="007F4E3C" w:rsidP="001A5304">
      <w:pPr>
        <w:rPr>
          <w:rFonts w:cs="Times New Roman"/>
          <w:sz w:val="20"/>
          <w:szCs w:val="20"/>
        </w:rPr>
      </w:pPr>
      <w:r w:rsidRPr="009A696E">
        <w:rPr>
          <w:rFonts w:cs="Times New Roman"/>
          <w:sz w:val="20"/>
          <w:szCs w:val="20"/>
        </w:rPr>
        <w:t>Using the Fornell and Larcker (1981) criterion, the square roots of the average variance extracted (AVE) values were compared against the associated correlation coefficients in order to test discriminant v</w:t>
      </w:r>
      <w:r w:rsidR="000B1A04">
        <w:rPr>
          <w:rFonts w:cs="Times New Roman"/>
          <w:sz w:val="20"/>
          <w:szCs w:val="20"/>
        </w:rPr>
        <w:t>alidity. As displayed in Table 5</w:t>
      </w:r>
      <w:r w:rsidRPr="009A696E">
        <w:rPr>
          <w:rFonts w:cs="Times New Roman"/>
          <w:sz w:val="20"/>
          <w:szCs w:val="20"/>
        </w:rPr>
        <w:t>, the minimum square root of AVE was .727, while the highest inter-correlation coefficient was .669. Since the lowest AVE square root exceeded the highest correlation coefficient, the results confirmed discriminant validity for this study.</w:t>
      </w:r>
    </w:p>
    <w:p w14:paraId="25F83D3F" w14:textId="77777777" w:rsidR="00226D63" w:rsidRPr="009A696E" w:rsidRDefault="00226D63" w:rsidP="001A5304">
      <w:pPr>
        <w:rPr>
          <w:rFonts w:eastAsia="Times New Roman" w:cs="Times New Roman"/>
          <w:b/>
          <w:sz w:val="20"/>
          <w:szCs w:val="20"/>
        </w:rPr>
      </w:pPr>
    </w:p>
    <w:tbl>
      <w:tblPr>
        <w:tblpPr w:leftFromText="180" w:rightFromText="180" w:vertAnchor="text" w:horzAnchor="margin" w:tblpXSpec="center" w:tblpY="322"/>
        <w:tblW w:w="11765" w:type="dxa"/>
        <w:tblLayout w:type="fixed"/>
        <w:tblCellMar>
          <w:left w:w="0" w:type="dxa"/>
          <w:right w:w="0" w:type="dxa"/>
        </w:tblCellMar>
        <w:tblLook w:val="0000" w:firstRow="0" w:lastRow="0" w:firstColumn="0" w:lastColumn="0" w:noHBand="0" w:noVBand="0"/>
      </w:tblPr>
      <w:tblGrid>
        <w:gridCol w:w="1571"/>
        <w:gridCol w:w="927"/>
        <w:gridCol w:w="927"/>
        <w:gridCol w:w="834"/>
        <w:gridCol w:w="834"/>
        <w:gridCol w:w="834"/>
        <w:gridCol w:w="834"/>
        <w:gridCol w:w="834"/>
        <w:gridCol w:w="834"/>
        <w:gridCol w:w="834"/>
        <w:gridCol w:w="834"/>
        <w:gridCol w:w="834"/>
        <w:gridCol w:w="834"/>
      </w:tblGrid>
      <w:tr w:rsidR="00226D63" w:rsidRPr="009A696E" w14:paraId="7839AB79" w14:textId="77777777" w:rsidTr="00226D63">
        <w:trPr>
          <w:cantSplit/>
          <w:trHeight w:val="417"/>
        </w:trPr>
        <w:tc>
          <w:tcPr>
            <w:tcW w:w="1571" w:type="dxa"/>
            <w:tcBorders>
              <w:top w:val="single" w:sz="4" w:space="0" w:color="auto"/>
              <w:bottom w:val="single" w:sz="4" w:space="0" w:color="auto"/>
            </w:tcBorders>
            <w:shd w:val="clear" w:color="auto" w:fill="FFFFFF"/>
            <w:vAlign w:val="bottom"/>
          </w:tcPr>
          <w:p w14:paraId="5DD782BA" w14:textId="77777777" w:rsidR="00226D63" w:rsidRPr="009A696E" w:rsidRDefault="00226D63" w:rsidP="00226D63">
            <w:pPr>
              <w:spacing w:after="0" w:line="240" w:lineRule="auto"/>
              <w:rPr>
                <w:rFonts w:cs="Times New Roman"/>
                <w:sz w:val="20"/>
                <w:szCs w:val="20"/>
              </w:rPr>
            </w:pPr>
            <w:r w:rsidRPr="009A696E">
              <w:rPr>
                <w:rFonts w:cs="Times New Roman"/>
                <w:b/>
                <w:bCs/>
                <w:sz w:val="20"/>
                <w:szCs w:val="20"/>
              </w:rPr>
              <w:t>Variables</w:t>
            </w:r>
          </w:p>
        </w:tc>
        <w:tc>
          <w:tcPr>
            <w:tcW w:w="927" w:type="dxa"/>
            <w:tcBorders>
              <w:top w:val="single" w:sz="4" w:space="0" w:color="auto"/>
              <w:bottom w:val="single" w:sz="4" w:space="0" w:color="auto"/>
            </w:tcBorders>
            <w:shd w:val="clear" w:color="auto" w:fill="FFFFFF"/>
            <w:vAlign w:val="bottom"/>
          </w:tcPr>
          <w:p w14:paraId="2FBF102F" w14:textId="77777777" w:rsidR="00226D63" w:rsidRPr="009A696E" w:rsidRDefault="00226D63" w:rsidP="00226D63">
            <w:pPr>
              <w:spacing w:after="0" w:line="240" w:lineRule="auto"/>
              <w:rPr>
                <w:rFonts w:cs="Times New Roman"/>
                <w:b/>
                <w:bCs/>
                <w:sz w:val="20"/>
                <w:szCs w:val="20"/>
              </w:rPr>
            </w:pPr>
            <w:r w:rsidRPr="009A696E">
              <w:rPr>
                <w:rFonts w:cs="Times New Roman"/>
                <w:b/>
                <w:bCs/>
                <w:sz w:val="20"/>
                <w:szCs w:val="20"/>
              </w:rPr>
              <w:t xml:space="preserve">   1</w:t>
            </w:r>
          </w:p>
        </w:tc>
        <w:tc>
          <w:tcPr>
            <w:tcW w:w="927" w:type="dxa"/>
            <w:tcBorders>
              <w:top w:val="single" w:sz="4" w:space="0" w:color="auto"/>
              <w:bottom w:val="single" w:sz="4" w:space="0" w:color="auto"/>
            </w:tcBorders>
            <w:shd w:val="clear" w:color="auto" w:fill="FFFFFF"/>
            <w:vAlign w:val="bottom"/>
          </w:tcPr>
          <w:p w14:paraId="4FDCA328" w14:textId="77777777" w:rsidR="00226D63" w:rsidRPr="009A696E" w:rsidRDefault="00226D63" w:rsidP="00226D63">
            <w:pPr>
              <w:spacing w:after="0" w:line="240" w:lineRule="auto"/>
              <w:rPr>
                <w:rFonts w:cs="Times New Roman"/>
                <w:b/>
                <w:bCs/>
                <w:sz w:val="20"/>
                <w:szCs w:val="20"/>
              </w:rPr>
            </w:pPr>
            <w:r w:rsidRPr="009A696E">
              <w:rPr>
                <w:rFonts w:cs="Times New Roman"/>
                <w:b/>
                <w:bCs/>
                <w:sz w:val="20"/>
                <w:szCs w:val="20"/>
              </w:rPr>
              <w:t xml:space="preserve">  2</w:t>
            </w:r>
          </w:p>
        </w:tc>
        <w:tc>
          <w:tcPr>
            <w:tcW w:w="834" w:type="dxa"/>
            <w:tcBorders>
              <w:top w:val="single" w:sz="4" w:space="0" w:color="auto"/>
              <w:bottom w:val="single" w:sz="4" w:space="0" w:color="auto"/>
            </w:tcBorders>
            <w:shd w:val="clear" w:color="auto" w:fill="FFFFFF"/>
            <w:vAlign w:val="bottom"/>
          </w:tcPr>
          <w:p w14:paraId="5E6C0554" w14:textId="77777777" w:rsidR="00226D63" w:rsidRPr="009A696E" w:rsidRDefault="00226D63" w:rsidP="00226D63">
            <w:pPr>
              <w:spacing w:after="0" w:line="240" w:lineRule="auto"/>
              <w:rPr>
                <w:rFonts w:cs="Times New Roman"/>
                <w:b/>
                <w:bCs/>
                <w:sz w:val="20"/>
                <w:szCs w:val="20"/>
              </w:rPr>
            </w:pPr>
            <w:r w:rsidRPr="009A696E">
              <w:rPr>
                <w:rFonts w:cs="Times New Roman"/>
                <w:b/>
                <w:bCs/>
                <w:sz w:val="20"/>
                <w:szCs w:val="20"/>
              </w:rPr>
              <w:t xml:space="preserve">   3</w:t>
            </w:r>
          </w:p>
        </w:tc>
        <w:tc>
          <w:tcPr>
            <w:tcW w:w="834" w:type="dxa"/>
            <w:tcBorders>
              <w:top w:val="single" w:sz="4" w:space="0" w:color="auto"/>
              <w:bottom w:val="single" w:sz="4" w:space="0" w:color="auto"/>
            </w:tcBorders>
            <w:shd w:val="clear" w:color="auto" w:fill="FFFFFF"/>
            <w:vAlign w:val="bottom"/>
          </w:tcPr>
          <w:p w14:paraId="71155283" w14:textId="77777777" w:rsidR="00226D63" w:rsidRPr="009A696E" w:rsidRDefault="00226D63" w:rsidP="00226D63">
            <w:pPr>
              <w:spacing w:after="0" w:line="240" w:lineRule="auto"/>
              <w:rPr>
                <w:rFonts w:cs="Times New Roman"/>
                <w:b/>
                <w:bCs/>
                <w:sz w:val="20"/>
                <w:szCs w:val="20"/>
              </w:rPr>
            </w:pPr>
            <w:r w:rsidRPr="009A696E">
              <w:rPr>
                <w:rFonts w:cs="Times New Roman"/>
                <w:b/>
                <w:bCs/>
                <w:sz w:val="20"/>
                <w:szCs w:val="20"/>
              </w:rPr>
              <w:t xml:space="preserve">   4</w:t>
            </w:r>
          </w:p>
        </w:tc>
        <w:tc>
          <w:tcPr>
            <w:tcW w:w="834" w:type="dxa"/>
            <w:tcBorders>
              <w:top w:val="single" w:sz="4" w:space="0" w:color="auto"/>
              <w:bottom w:val="single" w:sz="4" w:space="0" w:color="auto"/>
            </w:tcBorders>
            <w:shd w:val="clear" w:color="auto" w:fill="FFFFFF"/>
            <w:vAlign w:val="bottom"/>
          </w:tcPr>
          <w:p w14:paraId="5A0B541D" w14:textId="77777777" w:rsidR="00226D63" w:rsidRPr="009A696E" w:rsidRDefault="00226D63" w:rsidP="00226D63">
            <w:pPr>
              <w:spacing w:after="0" w:line="240" w:lineRule="auto"/>
              <w:rPr>
                <w:rFonts w:cs="Times New Roman"/>
                <w:b/>
                <w:bCs/>
                <w:sz w:val="20"/>
                <w:szCs w:val="20"/>
              </w:rPr>
            </w:pPr>
            <w:r w:rsidRPr="009A696E">
              <w:rPr>
                <w:rFonts w:cs="Times New Roman"/>
                <w:b/>
                <w:bCs/>
                <w:sz w:val="20"/>
                <w:szCs w:val="20"/>
              </w:rPr>
              <w:t xml:space="preserve">   5</w:t>
            </w:r>
          </w:p>
        </w:tc>
        <w:tc>
          <w:tcPr>
            <w:tcW w:w="834" w:type="dxa"/>
            <w:tcBorders>
              <w:top w:val="single" w:sz="4" w:space="0" w:color="auto"/>
              <w:bottom w:val="single" w:sz="4" w:space="0" w:color="auto"/>
            </w:tcBorders>
            <w:shd w:val="clear" w:color="auto" w:fill="FFFFFF"/>
            <w:vAlign w:val="bottom"/>
          </w:tcPr>
          <w:p w14:paraId="7FA6C55B" w14:textId="77777777" w:rsidR="00226D63" w:rsidRPr="009A696E" w:rsidRDefault="00226D63" w:rsidP="00226D63">
            <w:pPr>
              <w:spacing w:after="0" w:line="240" w:lineRule="auto"/>
              <w:rPr>
                <w:rFonts w:cs="Times New Roman"/>
                <w:b/>
                <w:bCs/>
                <w:sz w:val="20"/>
                <w:szCs w:val="20"/>
              </w:rPr>
            </w:pPr>
            <w:r w:rsidRPr="009A696E">
              <w:rPr>
                <w:rFonts w:cs="Times New Roman"/>
                <w:b/>
                <w:bCs/>
                <w:sz w:val="20"/>
                <w:szCs w:val="20"/>
              </w:rPr>
              <w:t xml:space="preserve">  6</w:t>
            </w:r>
          </w:p>
        </w:tc>
        <w:tc>
          <w:tcPr>
            <w:tcW w:w="834" w:type="dxa"/>
            <w:tcBorders>
              <w:top w:val="single" w:sz="4" w:space="0" w:color="auto"/>
              <w:bottom w:val="single" w:sz="4" w:space="0" w:color="auto"/>
            </w:tcBorders>
            <w:shd w:val="clear" w:color="auto" w:fill="FFFFFF"/>
            <w:vAlign w:val="bottom"/>
          </w:tcPr>
          <w:p w14:paraId="3BEE38AF" w14:textId="77777777" w:rsidR="00226D63" w:rsidRPr="009A696E" w:rsidRDefault="00226D63" w:rsidP="00226D63">
            <w:pPr>
              <w:spacing w:after="0" w:line="240" w:lineRule="auto"/>
              <w:rPr>
                <w:rFonts w:cs="Times New Roman"/>
                <w:b/>
                <w:bCs/>
                <w:sz w:val="20"/>
                <w:szCs w:val="20"/>
              </w:rPr>
            </w:pPr>
            <w:r w:rsidRPr="009A696E">
              <w:rPr>
                <w:rFonts w:cs="Times New Roman"/>
                <w:b/>
                <w:bCs/>
                <w:sz w:val="20"/>
                <w:szCs w:val="20"/>
              </w:rPr>
              <w:t xml:space="preserve">  7</w:t>
            </w:r>
          </w:p>
        </w:tc>
        <w:tc>
          <w:tcPr>
            <w:tcW w:w="834" w:type="dxa"/>
            <w:tcBorders>
              <w:top w:val="single" w:sz="4" w:space="0" w:color="auto"/>
              <w:bottom w:val="single" w:sz="4" w:space="0" w:color="auto"/>
            </w:tcBorders>
            <w:shd w:val="clear" w:color="auto" w:fill="FFFFFF"/>
            <w:vAlign w:val="bottom"/>
          </w:tcPr>
          <w:p w14:paraId="3D015888" w14:textId="77777777" w:rsidR="00226D63" w:rsidRPr="009A696E" w:rsidRDefault="00226D63" w:rsidP="00226D63">
            <w:pPr>
              <w:spacing w:after="0" w:line="240" w:lineRule="auto"/>
              <w:rPr>
                <w:rFonts w:cs="Times New Roman"/>
                <w:b/>
                <w:bCs/>
                <w:sz w:val="20"/>
                <w:szCs w:val="20"/>
              </w:rPr>
            </w:pPr>
            <w:r w:rsidRPr="009A696E">
              <w:rPr>
                <w:rFonts w:cs="Times New Roman"/>
                <w:b/>
                <w:bCs/>
                <w:sz w:val="20"/>
                <w:szCs w:val="20"/>
              </w:rPr>
              <w:t xml:space="preserve">  8</w:t>
            </w:r>
          </w:p>
        </w:tc>
        <w:tc>
          <w:tcPr>
            <w:tcW w:w="834" w:type="dxa"/>
            <w:tcBorders>
              <w:top w:val="single" w:sz="4" w:space="0" w:color="auto"/>
              <w:bottom w:val="single" w:sz="4" w:space="0" w:color="auto"/>
            </w:tcBorders>
            <w:shd w:val="clear" w:color="auto" w:fill="FFFFFF"/>
            <w:vAlign w:val="bottom"/>
          </w:tcPr>
          <w:p w14:paraId="77AE33C4" w14:textId="77777777" w:rsidR="00226D63" w:rsidRPr="009A696E" w:rsidRDefault="00226D63" w:rsidP="00226D63">
            <w:pPr>
              <w:spacing w:after="0" w:line="240" w:lineRule="auto"/>
              <w:rPr>
                <w:rFonts w:cs="Times New Roman"/>
                <w:b/>
                <w:bCs/>
                <w:sz w:val="20"/>
                <w:szCs w:val="20"/>
              </w:rPr>
            </w:pPr>
            <w:r w:rsidRPr="009A696E">
              <w:rPr>
                <w:rFonts w:cs="Times New Roman"/>
                <w:b/>
                <w:bCs/>
                <w:sz w:val="20"/>
                <w:szCs w:val="20"/>
              </w:rPr>
              <w:t xml:space="preserve">  9</w:t>
            </w:r>
          </w:p>
        </w:tc>
        <w:tc>
          <w:tcPr>
            <w:tcW w:w="834" w:type="dxa"/>
            <w:tcBorders>
              <w:top w:val="single" w:sz="4" w:space="0" w:color="auto"/>
              <w:bottom w:val="single" w:sz="4" w:space="0" w:color="auto"/>
            </w:tcBorders>
            <w:shd w:val="clear" w:color="auto" w:fill="FFFFFF"/>
            <w:vAlign w:val="bottom"/>
          </w:tcPr>
          <w:p w14:paraId="7104E8A7" w14:textId="77777777" w:rsidR="00226D63" w:rsidRPr="009A696E" w:rsidRDefault="00226D63" w:rsidP="00226D63">
            <w:pPr>
              <w:spacing w:after="0" w:line="240" w:lineRule="auto"/>
              <w:rPr>
                <w:rFonts w:cs="Times New Roman"/>
                <w:b/>
                <w:bCs/>
                <w:sz w:val="20"/>
                <w:szCs w:val="20"/>
              </w:rPr>
            </w:pPr>
            <w:r w:rsidRPr="009A696E">
              <w:rPr>
                <w:rFonts w:cs="Times New Roman"/>
                <w:b/>
                <w:bCs/>
                <w:sz w:val="20"/>
                <w:szCs w:val="20"/>
              </w:rPr>
              <w:t xml:space="preserve">  10</w:t>
            </w:r>
          </w:p>
        </w:tc>
        <w:tc>
          <w:tcPr>
            <w:tcW w:w="834" w:type="dxa"/>
            <w:tcBorders>
              <w:top w:val="single" w:sz="4" w:space="0" w:color="auto"/>
              <w:bottom w:val="single" w:sz="4" w:space="0" w:color="auto"/>
            </w:tcBorders>
            <w:shd w:val="clear" w:color="auto" w:fill="FFFFFF"/>
            <w:vAlign w:val="bottom"/>
          </w:tcPr>
          <w:p w14:paraId="645E31A5" w14:textId="77777777" w:rsidR="00226D63" w:rsidRPr="009A696E" w:rsidRDefault="00226D63" w:rsidP="00226D63">
            <w:pPr>
              <w:spacing w:after="0" w:line="240" w:lineRule="auto"/>
              <w:rPr>
                <w:rFonts w:cs="Times New Roman"/>
                <w:b/>
                <w:bCs/>
                <w:sz w:val="20"/>
                <w:szCs w:val="20"/>
              </w:rPr>
            </w:pPr>
            <w:r w:rsidRPr="009A696E">
              <w:rPr>
                <w:rFonts w:cs="Times New Roman"/>
                <w:b/>
                <w:bCs/>
                <w:sz w:val="20"/>
                <w:szCs w:val="20"/>
              </w:rPr>
              <w:t xml:space="preserve">  11</w:t>
            </w:r>
          </w:p>
        </w:tc>
        <w:tc>
          <w:tcPr>
            <w:tcW w:w="834" w:type="dxa"/>
            <w:tcBorders>
              <w:top w:val="single" w:sz="4" w:space="0" w:color="auto"/>
              <w:bottom w:val="single" w:sz="4" w:space="0" w:color="auto"/>
            </w:tcBorders>
            <w:shd w:val="clear" w:color="auto" w:fill="FFFFFF"/>
            <w:vAlign w:val="bottom"/>
          </w:tcPr>
          <w:p w14:paraId="0CA38533" w14:textId="77777777" w:rsidR="00226D63" w:rsidRPr="009A696E" w:rsidRDefault="00226D63" w:rsidP="00226D63">
            <w:pPr>
              <w:spacing w:after="0" w:line="240" w:lineRule="auto"/>
              <w:rPr>
                <w:rFonts w:cs="Times New Roman"/>
                <w:b/>
                <w:bCs/>
                <w:sz w:val="20"/>
                <w:szCs w:val="20"/>
              </w:rPr>
            </w:pPr>
            <w:r w:rsidRPr="009A696E">
              <w:rPr>
                <w:rFonts w:cs="Times New Roman"/>
                <w:b/>
                <w:bCs/>
                <w:sz w:val="20"/>
                <w:szCs w:val="20"/>
              </w:rPr>
              <w:t xml:space="preserve">  12</w:t>
            </w:r>
          </w:p>
        </w:tc>
      </w:tr>
      <w:tr w:rsidR="00226D63" w:rsidRPr="009A696E" w14:paraId="5C0E2970" w14:textId="77777777" w:rsidTr="00226D63">
        <w:trPr>
          <w:cantSplit/>
          <w:trHeight w:val="409"/>
        </w:trPr>
        <w:tc>
          <w:tcPr>
            <w:tcW w:w="1571" w:type="dxa"/>
            <w:tcBorders>
              <w:top w:val="single" w:sz="4" w:space="0" w:color="auto"/>
            </w:tcBorders>
            <w:shd w:val="clear" w:color="auto" w:fill="FFFFFF"/>
          </w:tcPr>
          <w:p w14:paraId="577438C4"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INST (1)</w:t>
            </w:r>
          </w:p>
        </w:tc>
        <w:tc>
          <w:tcPr>
            <w:tcW w:w="927" w:type="dxa"/>
            <w:tcBorders>
              <w:top w:val="single" w:sz="4" w:space="0" w:color="auto"/>
            </w:tcBorders>
            <w:shd w:val="clear" w:color="auto" w:fill="FFFFFF"/>
            <w:vAlign w:val="center"/>
          </w:tcPr>
          <w:p w14:paraId="20B2A221"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 xml:space="preserve">   -</w:t>
            </w:r>
          </w:p>
        </w:tc>
        <w:tc>
          <w:tcPr>
            <w:tcW w:w="927" w:type="dxa"/>
            <w:tcBorders>
              <w:top w:val="single" w:sz="4" w:space="0" w:color="auto"/>
            </w:tcBorders>
            <w:shd w:val="clear" w:color="auto" w:fill="FFFFFF"/>
            <w:vAlign w:val="center"/>
          </w:tcPr>
          <w:p w14:paraId="00028730"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.175</w:t>
            </w:r>
          </w:p>
        </w:tc>
        <w:tc>
          <w:tcPr>
            <w:tcW w:w="834" w:type="dxa"/>
            <w:tcBorders>
              <w:top w:val="single" w:sz="4" w:space="0" w:color="auto"/>
            </w:tcBorders>
            <w:shd w:val="clear" w:color="auto" w:fill="FFFFFF"/>
            <w:vAlign w:val="center"/>
          </w:tcPr>
          <w:p w14:paraId="7C08DC94"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-.263</w:t>
            </w:r>
          </w:p>
        </w:tc>
        <w:tc>
          <w:tcPr>
            <w:tcW w:w="834" w:type="dxa"/>
            <w:tcBorders>
              <w:top w:val="single" w:sz="4" w:space="0" w:color="auto"/>
            </w:tcBorders>
            <w:shd w:val="clear" w:color="auto" w:fill="FFFFFF"/>
            <w:vAlign w:val="center"/>
          </w:tcPr>
          <w:p w14:paraId="7B03170B"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-.161</w:t>
            </w:r>
          </w:p>
        </w:tc>
        <w:tc>
          <w:tcPr>
            <w:tcW w:w="834" w:type="dxa"/>
            <w:tcBorders>
              <w:top w:val="single" w:sz="4" w:space="0" w:color="auto"/>
            </w:tcBorders>
            <w:shd w:val="clear" w:color="auto" w:fill="FFFFFF"/>
            <w:vAlign w:val="center"/>
          </w:tcPr>
          <w:p w14:paraId="409803BF"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.267</w:t>
            </w:r>
          </w:p>
        </w:tc>
        <w:tc>
          <w:tcPr>
            <w:tcW w:w="834" w:type="dxa"/>
            <w:tcBorders>
              <w:top w:val="single" w:sz="4" w:space="0" w:color="auto"/>
            </w:tcBorders>
            <w:shd w:val="clear" w:color="auto" w:fill="FFFFFF"/>
            <w:vAlign w:val="center"/>
          </w:tcPr>
          <w:p w14:paraId="22D48EE1"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.025</w:t>
            </w:r>
          </w:p>
        </w:tc>
        <w:tc>
          <w:tcPr>
            <w:tcW w:w="834" w:type="dxa"/>
            <w:tcBorders>
              <w:top w:val="single" w:sz="4" w:space="0" w:color="auto"/>
            </w:tcBorders>
            <w:shd w:val="clear" w:color="auto" w:fill="FFFFFF"/>
            <w:vAlign w:val="center"/>
          </w:tcPr>
          <w:p w14:paraId="4F7A1512"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.034</w:t>
            </w:r>
          </w:p>
        </w:tc>
        <w:tc>
          <w:tcPr>
            <w:tcW w:w="834" w:type="dxa"/>
            <w:tcBorders>
              <w:top w:val="single" w:sz="4" w:space="0" w:color="auto"/>
            </w:tcBorders>
            <w:shd w:val="clear" w:color="auto" w:fill="FFFFFF"/>
            <w:vAlign w:val="center"/>
          </w:tcPr>
          <w:p w14:paraId="19872A62"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.030</w:t>
            </w:r>
          </w:p>
        </w:tc>
        <w:tc>
          <w:tcPr>
            <w:tcW w:w="834" w:type="dxa"/>
            <w:tcBorders>
              <w:top w:val="single" w:sz="4" w:space="0" w:color="auto"/>
            </w:tcBorders>
            <w:shd w:val="clear" w:color="auto" w:fill="FFFFFF"/>
            <w:vAlign w:val="center"/>
          </w:tcPr>
          <w:p w14:paraId="7171B915"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.082</w:t>
            </w:r>
          </w:p>
        </w:tc>
        <w:tc>
          <w:tcPr>
            <w:tcW w:w="834" w:type="dxa"/>
            <w:tcBorders>
              <w:top w:val="single" w:sz="4" w:space="0" w:color="auto"/>
            </w:tcBorders>
            <w:shd w:val="clear" w:color="auto" w:fill="FFFFFF"/>
            <w:vAlign w:val="center"/>
          </w:tcPr>
          <w:p w14:paraId="32D63F69"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-.061</w:t>
            </w:r>
          </w:p>
        </w:tc>
        <w:tc>
          <w:tcPr>
            <w:tcW w:w="834" w:type="dxa"/>
            <w:tcBorders>
              <w:top w:val="single" w:sz="4" w:space="0" w:color="auto"/>
            </w:tcBorders>
            <w:shd w:val="clear" w:color="auto" w:fill="FFFFFF"/>
            <w:vAlign w:val="center"/>
          </w:tcPr>
          <w:p w14:paraId="604B5E75"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-.187</w:t>
            </w:r>
          </w:p>
        </w:tc>
        <w:tc>
          <w:tcPr>
            <w:tcW w:w="834" w:type="dxa"/>
            <w:tcBorders>
              <w:top w:val="single" w:sz="4" w:space="0" w:color="auto"/>
            </w:tcBorders>
            <w:shd w:val="clear" w:color="auto" w:fill="FFFFFF"/>
            <w:vAlign w:val="center"/>
          </w:tcPr>
          <w:p w14:paraId="46739B00"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.148</w:t>
            </w:r>
          </w:p>
        </w:tc>
      </w:tr>
      <w:tr w:rsidR="00226D63" w:rsidRPr="009A696E" w14:paraId="521DE037" w14:textId="77777777" w:rsidTr="00226D63">
        <w:trPr>
          <w:cantSplit/>
          <w:trHeight w:val="417"/>
        </w:trPr>
        <w:tc>
          <w:tcPr>
            <w:tcW w:w="1571" w:type="dxa"/>
            <w:shd w:val="clear" w:color="auto" w:fill="FFFFFF"/>
          </w:tcPr>
          <w:p w14:paraId="265890BF"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YEAR (2)</w:t>
            </w:r>
          </w:p>
        </w:tc>
        <w:tc>
          <w:tcPr>
            <w:tcW w:w="927" w:type="dxa"/>
            <w:shd w:val="clear" w:color="auto" w:fill="FFFFFF"/>
            <w:vAlign w:val="center"/>
          </w:tcPr>
          <w:p w14:paraId="2EB5A7CF"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.184</w:t>
            </w:r>
            <w:r w:rsidRPr="009A696E">
              <w:rPr>
                <w:rFonts w:cs="Times New Roman"/>
                <w:sz w:val="20"/>
                <w:szCs w:val="20"/>
                <w:vertAlign w:val="superscript"/>
              </w:rPr>
              <w:t>**</w:t>
            </w:r>
          </w:p>
        </w:tc>
        <w:tc>
          <w:tcPr>
            <w:tcW w:w="927" w:type="dxa"/>
            <w:shd w:val="clear" w:color="auto" w:fill="FFFFFF"/>
            <w:vAlign w:val="center"/>
          </w:tcPr>
          <w:p w14:paraId="09F3816D"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w:t>
            </w:r>
          </w:p>
        </w:tc>
        <w:tc>
          <w:tcPr>
            <w:tcW w:w="834" w:type="dxa"/>
            <w:shd w:val="clear" w:color="auto" w:fill="FFFFFF"/>
            <w:vAlign w:val="center"/>
          </w:tcPr>
          <w:p w14:paraId="5DB8E22D"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.024</w:t>
            </w:r>
          </w:p>
        </w:tc>
        <w:tc>
          <w:tcPr>
            <w:tcW w:w="834" w:type="dxa"/>
            <w:shd w:val="clear" w:color="auto" w:fill="FFFFFF"/>
            <w:vAlign w:val="center"/>
          </w:tcPr>
          <w:p w14:paraId="18C9BF4D"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.188</w:t>
            </w:r>
          </w:p>
        </w:tc>
        <w:tc>
          <w:tcPr>
            <w:tcW w:w="834" w:type="dxa"/>
            <w:shd w:val="clear" w:color="auto" w:fill="FFFFFF"/>
            <w:vAlign w:val="center"/>
          </w:tcPr>
          <w:p w14:paraId="0EBCB67B"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.068</w:t>
            </w:r>
          </w:p>
        </w:tc>
        <w:tc>
          <w:tcPr>
            <w:tcW w:w="834" w:type="dxa"/>
            <w:shd w:val="clear" w:color="auto" w:fill="FFFFFF"/>
            <w:vAlign w:val="center"/>
          </w:tcPr>
          <w:p w14:paraId="78B1476D"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.038</w:t>
            </w:r>
          </w:p>
        </w:tc>
        <w:tc>
          <w:tcPr>
            <w:tcW w:w="834" w:type="dxa"/>
            <w:shd w:val="clear" w:color="auto" w:fill="FFFFFF"/>
            <w:vAlign w:val="center"/>
          </w:tcPr>
          <w:p w14:paraId="440E0A06"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.035</w:t>
            </w:r>
          </w:p>
        </w:tc>
        <w:tc>
          <w:tcPr>
            <w:tcW w:w="834" w:type="dxa"/>
            <w:shd w:val="clear" w:color="auto" w:fill="FFFFFF"/>
            <w:vAlign w:val="center"/>
          </w:tcPr>
          <w:p w14:paraId="69A35188"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.067</w:t>
            </w:r>
          </w:p>
        </w:tc>
        <w:tc>
          <w:tcPr>
            <w:tcW w:w="834" w:type="dxa"/>
            <w:shd w:val="clear" w:color="auto" w:fill="FFFFFF"/>
            <w:vAlign w:val="center"/>
          </w:tcPr>
          <w:p w14:paraId="397BC7F1"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.088</w:t>
            </w:r>
          </w:p>
        </w:tc>
        <w:tc>
          <w:tcPr>
            <w:tcW w:w="834" w:type="dxa"/>
            <w:shd w:val="clear" w:color="auto" w:fill="FFFFFF"/>
            <w:vAlign w:val="center"/>
          </w:tcPr>
          <w:p w14:paraId="5CB233DA"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.040</w:t>
            </w:r>
          </w:p>
        </w:tc>
        <w:tc>
          <w:tcPr>
            <w:tcW w:w="834" w:type="dxa"/>
            <w:shd w:val="clear" w:color="auto" w:fill="FFFFFF"/>
            <w:vAlign w:val="center"/>
          </w:tcPr>
          <w:p w14:paraId="3B7C2117"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.055</w:t>
            </w:r>
          </w:p>
        </w:tc>
        <w:tc>
          <w:tcPr>
            <w:tcW w:w="834" w:type="dxa"/>
            <w:shd w:val="clear" w:color="auto" w:fill="FFFFFF"/>
            <w:vAlign w:val="center"/>
          </w:tcPr>
          <w:p w14:paraId="240E429A"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.039</w:t>
            </w:r>
          </w:p>
        </w:tc>
      </w:tr>
      <w:tr w:rsidR="00226D63" w:rsidRPr="009A696E" w14:paraId="31868CD0" w14:textId="77777777" w:rsidTr="00226D63">
        <w:trPr>
          <w:cantSplit/>
          <w:trHeight w:val="417"/>
        </w:trPr>
        <w:tc>
          <w:tcPr>
            <w:tcW w:w="1571" w:type="dxa"/>
            <w:shd w:val="clear" w:color="auto" w:fill="FFFFFF"/>
          </w:tcPr>
          <w:p w14:paraId="5F2F88C0"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GENDER (3)</w:t>
            </w:r>
          </w:p>
        </w:tc>
        <w:tc>
          <w:tcPr>
            <w:tcW w:w="927" w:type="dxa"/>
            <w:shd w:val="clear" w:color="auto" w:fill="FFFFFF"/>
            <w:vAlign w:val="center"/>
          </w:tcPr>
          <w:p w14:paraId="3D9E27BC"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-.184</w:t>
            </w:r>
            <w:r w:rsidRPr="009A696E">
              <w:rPr>
                <w:rFonts w:cs="Times New Roman"/>
                <w:sz w:val="20"/>
                <w:szCs w:val="20"/>
                <w:vertAlign w:val="superscript"/>
              </w:rPr>
              <w:t>**</w:t>
            </w:r>
          </w:p>
        </w:tc>
        <w:tc>
          <w:tcPr>
            <w:tcW w:w="927" w:type="dxa"/>
            <w:shd w:val="clear" w:color="auto" w:fill="FFFFFF"/>
            <w:vAlign w:val="center"/>
          </w:tcPr>
          <w:p w14:paraId="7767260B"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.084</w:t>
            </w:r>
          </w:p>
        </w:tc>
        <w:tc>
          <w:tcPr>
            <w:tcW w:w="834" w:type="dxa"/>
            <w:shd w:val="clear" w:color="auto" w:fill="FFFFFF"/>
            <w:vAlign w:val="center"/>
          </w:tcPr>
          <w:p w14:paraId="4B2B7087"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w:t>
            </w:r>
          </w:p>
        </w:tc>
        <w:tc>
          <w:tcPr>
            <w:tcW w:w="834" w:type="dxa"/>
            <w:shd w:val="clear" w:color="auto" w:fill="FFFFFF"/>
            <w:vAlign w:val="center"/>
          </w:tcPr>
          <w:p w14:paraId="5C88C0AF"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.032</w:t>
            </w:r>
          </w:p>
        </w:tc>
        <w:tc>
          <w:tcPr>
            <w:tcW w:w="834" w:type="dxa"/>
            <w:shd w:val="clear" w:color="auto" w:fill="FFFFFF"/>
            <w:vAlign w:val="center"/>
          </w:tcPr>
          <w:p w14:paraId="0554EB05"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-.035</w:t>
            </w:r>
          </w:p>
        </w:tc>
        <w:tc>
          <w:tcPr>
            <w:tcW w:w="834" w:type="dxa"/>
            <w:shd w:val="clear" w:color="auto" w:fill="FFFFFF"/>
            <w:vAlign w:val="center"/>
          </w:tcPr>
          <w:p w14:paraId="25C8D272"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.094</w:t>
            </w:r>
          </w:p>
        </w:tc>
        <w:tc>
          <w:tcPr>
            <w:tcW w:w="834" w:type="dxa"/>
            <w:shd w:val="clear" w:color="auto" w:fill="FFFFFF"/>
            <w:vAlign w:val="center"/>
          </w:tcPr>
          <w:p w14:paraId="243E18A9"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.074</w:t>
            </w:r>
          </w:p>
        </w:tc>
        <w:tc>
          <w:tcPr>
            <w:tcW w:w="834" w:type="dxa"/>
            <w:shd w:val="clear" w:color="auto" w:fill="FFFFFF"/>
            <w:vAlign w:val="center"/>
          </w:tcPr>
          <w:p w14:paraId="7D44DC8A"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.036</w:t>
            </w:r>
          </w:p>
        </w:tc>
        <w:tc>
          <w:tcPr>
            <w:tcW w:w="834" w:type="dxa"/>
            <w:shd w:val="clear" w:color="auto" w:fill="FFFFFF"/>
            <w:vAlign w:val="center"/>
          </w:tcPr>
          <w:p w14:paraId="55CD8F78"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.057</w:t>
            </w:r>
          </w:p>
        </w:tc>
        <w:tc>
          <w:tcPr>
            <w:tcW w:w="834" w:type="dxa"/>
            <w:shd w:val="clear" w:color="auto" w:fill="FFFFFF"/>
            <w:vAlign w:val="center"/>
          </w:tcPr>
          <w:p w14:paraId="4A05D9D1"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.077</w:t>
            </w:r>
          </w:p>
        </w:tc>
        <w:tc>
          <w:tcPr>
            <w:tcW w:w="834" w:type="dxa"/>
            <w:shd w:val="clear" w:color="auto" w:fill="FFFFFF"/>
            <w:vAlign w:val="center"/>
          </w:tcPr>
          <w:p w14:paraId="5D81FDFE"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.165</w:t>
            </w:r>
          </w:p>
        </w:tc>
        <w:tc>
          <w:tcPr>
            <w:tcW w:w="834" w:type="dxa"/>
            <w:shd w:val="clear" w:color="auto" w:fill="FFFFFF"/>
            <w:vAlign w:val="center"/>
          </w:tcPr>
          <w:p w14:paraId="5EF9D5A9"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.011</w:t>
            </w:r>
          </w:p>
        </w:tc>
      </w:tr>
      <w:tr w:rsidR="00226D63" w:rsidRPr="009A696E" w14:paraId="7BB11C3E" w14:textId="77777777" w:rsidTr="00226D63">
        <w:trPr>
          <w:cantSplit/>
          <w:trHeight w:val="417"/>
        </w:trPr>
        <w:tc>
          <w:tcPr>
            <w:tcW w:w="1571" w:type="dxa"/>
            <w:shd w:val="clear" w:color="auto" w:fill="FFFFFF"/>
          </w:tcPr>
          <w:p w14:paraId="11D4C7EE"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AGE (4)</w:t>
            </w:r>
          </w:p>
        </w:tc>
        <w:tc>
          <w:tcPr>
            <w:tcW w:w="927" w:type="dxa"/>
            <w:shd w:val="clear" w:color="auto" w:fill="FFFFFF"/>
            <w:vAlign w:val="center"/>
          </w:tcPr>
          <w:p w14:paraId="2B06AA10"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-.149</w:t>
            </w:r>
            <w:r w:rsidRPr="009A696E">
              <w:rPr>
                <w:rFonts w:cs="Times New Roman"/>
                <w:sz w:val="20"/>
                <w:szCs w:val="20"/>
                <w:vertAlign w:val="superscript"/>
              </w:rPr>
              <w:t>**</w:t>
            </w:r>
          </w:p>
        </w:tc>
        <w:tc>
          <w:tcPr>
            <w:tcW w:w="927" w:type="dxa"/>
            <w:shd w:val="clear" w:color="auto" w:fill="FFFFFF"/>
            <w:vAlign w:val="center"/>
          </w:tcPr>
          <w:p w14:paraId="39B6EEEC"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.200</w:t>
            </w:r>
            <w:r w:rsidRPr="009A696E">
              <w:rPr>
                <w:rFonts w:cs="Times New Roman"/>
                <w:sz w:val="20"/>
                <w:szCs w:val="20"/>
                <w:vertAlign w:val="superscript"/>
              </w:rPr>
              <w:t>**</w:t>
            </w:r>
          </w:p>
        </w:tc>
        <w:tc>
          <w:tcPr>
            <w:tcW w:w="834" w:type="dxa"/>
            <w:shd w:val="clear" w:color="auto" w:fill="FFFFFF"/>
            <w:vAlign w:val="center"/>
          </w:tcPr>
          <w:p w14:paraId="39F895AC"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.086</w:t>
            </w:r>
          </w:p>
        </w:tc>
        <w:tc>
          <w:tcPr>
            <w:tcW w:w="834" w:type="dxa"/>
            <w:shd w:val="clear" w:color="auto" w:fill="FFFFFF"/>
            <w:vAlign w:val="center"/>
          </w:tcPr>
          <w:p w14:paraId="1092BB55"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w:t>
            </w:r>
          </w:p>
        </w:tc>
        <w:tc>
          <w:tcPr>
            <w:tcW w:w="834" w:type="dxa"/>
            <w:shd w:val="clear" w:color="auto" w:fill="FFFFFF"/>
            <w:vAlign w:val="center"/>
          </w:tcPr>
          <w:p w14:paraId="6829692B"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.003</w:t>
            </w:r>
          </w:p>
        </w:tc>
        <w:tc>
          <w:tcPr>
            <w:tcW w:w="834" w:type="dxa"/>
            <w:shd w:val="clear" w:color="auto" w:fill="FFFFFF"/>
            <w:vAlign w:val="center"/>
          </w:tcPr>
          <w:p w14:paraId="17B486CB"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.023</w:t>
            </w:r>
          </w:p>
        </w:tc>
        <w:tc>
          <w:tcPr>
            <w:tcW w:w="834" w:type="dxa"/>
            <w:shd w:val="clear" w:color="auto" w:fill="FFFFFF"/>
            <w:vAlign w:val="center"/>
          </w:tcPr>
          <w:p w14:paraId="03A3CA01"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.045</w:t>
            </w:r>
          </w:p>
        </w:tc>
        <w:tc>
          <w:tcPr>
            <w:tcW w:w="834" w:type="dxa"/>
            <w:shd w:val="clear" w:color="auto" w:fill="FFFFFF"/>
            <w:vAlign w:val="center"/>
          </w:tcPr>
          <w:p w14:paraId="3D893AF1"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.074</w:t>
            </w:r>
          </w:p>
        </w:tc>
        <w:tc>
          <w:tcPr>
            <w:tcW w:w="834" w:type="dxa"/>
            <w:shd w:val="clear" w:color="auto" w:fill="FFFFFF"/>
            <w:vAlign w:val="center"/>
          </w:tcPr>
          <w:p w14:paraId="54A6FA54"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.041</w:t>
            </w:r>
          </w:p>
        </w:tc>
        <w:tc>
          <w:tcPr>
            <w:tcW w:w="834" w:type="dxa"/>
            <w:shd w:val="clear" w:color="auto" w:fill="FFFFFF"/>
            <w:vAlign w:val="center"/>
          </w:tcPr>
          <w:p w14:paraId="24DE4CFF"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-.006</w:t>
            </w:r>
          </w:p>
        </w:tc>
        <w:tc>
          <w:tcPr>
            <w:tcW w:w="834" w:type="dxa"/>
            <w:shd w:val="clear" w:color="auto" w:fill="FFFFFF"/>
            <w:vAlign w:val="center"/>
          </w:tcPr>
          <w:p w14:paraId="7F3C9C5D"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.096</w:t>
            </w:r>
          </w:p>
        </w:tc>
        <w:tc>
          <w:tcPr>
            <w:tcW w:w="834" w:type="dxa"/>
            <w:shd w:val="clear" w:color="auto" w:fill="FFFFFF"/>
            <w:vAlign w:val="center"/>
          </w:tcPr>
          <w:p w14:paraId="534791CC"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-.040</w:t>
            </w:r>
          </w:p>
        </w:tc>
      </w:tr>
      <w:tr w:rsidR="00226D63" w:rsidRPr="009A696E" w14:paraId="01D30E64" w14:textId="77777777" w:rsidTr="00226D63">
        <w:trPr>
          <w:cantSplit/>
          <w:trHeight w:val="409"/>
        </w:trPr>
        <w:tc>
          <w:tcPr>
            <w:tcW w:w="1571" w:type="dxa"/>
            <w:shd w:val="clear" w:color="auto" w:fill="FFFFFF"/>
          </w:tcPr>
          <w:p w14:paraId="54956E42" w14:textId="77777777" w:rsidR="00226D63" w:rsidRPr="009A696E" w:rsidRDefault="00226D63" w:rsidP="00226D63">
            <w:pPr>
              <w:spacing w:after="0" w:line="240" w:lineRule="auto"/>
              <w:rPr>
                <w:rFonts w:cs="Times New Roman"/>
                <w:sz w:val="20"/>
                <w:szCs w:val="20"/>
                <w:highlight w:val="yellow"/>
              </w:rPr>
            </w:pPr>
            <w:r w:rsidRPr="009A696E">
              <w:rPr>
                <w:rFonts w:cs="Times New Roman"/>
                <w:sz w:val="20"/>
                <w:szCs w:val="20"/>
              </w:rPr>
              <w:t>REL (5)</w:t>
            </w:r>
          </w:p>
        </w:tc>
        <w:tc>
          <w:tcPr>
            <w:tcW w:w="927" w:type="dxa"/>
            <w:shd w:val="clear" w:color="auto" w:fill="FFFFFF"/>
            <w:vAlign w:val="center"/>
          </w:tcPr>
          <w:p w14:paraId="03B3BE03"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.273</w:t>
            </w:r>
            <w:r w:rsidRPr="009A696E">
              <w:rPr>
                <w:rFonts w:cs="Times New Roman"/>
                <w:sz w:val="20"/>
                <w:szCs w:val="20"/>
                <w:vertAlign w:val="superscript"/>
              </w:rPr>
              <w:t>**</w:t>
            </w:r>
          </w:p>
        </w:tc>
        <w:tc>
          <w:tcPr>
            <w:tcW w:w="927" w:type="dxa"/>
            <w:shd w:val="clear" w:color="auto" w:fill="FFFFFF"/>
            <w:vAlign w:val="center"/>
          </w:tcPr>
          <w:p w14:paraId="218D1903"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.078</w:t>
            </w:r>
          </w:p>
        </w:tc>
        <w:tc>
          <w:tcPr>
            <w:tcW w:w="834" w:type="dxa"/>
            <w:shd w:val="clear" w:color="auto" w:fill="FFFFFF"/>
            <w:vAlign w:val="center"/>
          </w:tcPr>
          <w:p w14:paraId="3D054A1A"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.014</w:t>
            </w:r>
          </w:p>
        </w:tc>
        <w:tc>
          <w:tcPr>
            <w:tcW w:w="834" w:type="dxa"/>
            <w:shd w:val="clear" w:color="auto" w:fill="FFFFFF"/>
            <w:vAlign w:val="center"/>
          </w:tcPr>
          <w:p w14:paraId="0EF8A243"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.014</w:t>
            </w:r>
          </w:p>
        </w:tc>
        <w:tc>
          <w:tcPr>
            <w:tcW w:w="834" w:type="dxa"/>
            <w:shd w:val="clear" w:color="auto" w:fill="FFFFFF"/>
            <w:vAlign w:val="center"/>
          </w:tcPr>
          <w:p w14:paraId="73759D82" w14:textId="77777777" w:rsidR="00226D63" w:rsidRPr="009A696E" w:rsidRDefault="00226D63" w:rsidP="00226D63">
            <w:pPr>
              <w:spacing w:after="0" w:line="240" w:lineRule="auto"/>
              <w:rPr>
                <w:rFonts w:cs="Times New Roman"/>
                <w:b/>
                <w:bCs/>
                <w:i/>
                <w:iCs/>
                <w:sz w:val="20"/>
                <w:szCs w:val="20"/>
                <w:u w:val="single"/>
              </w:rPr>
            </w:pPr>
            <w:r w:rsidRPr="009A696E">
              <w:rPr>
                <w:rFonts w:cs="Times New Roman"/>
                <w:b/>
                <w:bCs/>
                <w:i/>
                <w:iCs/>
                <w:sz w:val="20"/>
                <w:szCs w:val="20"/>
                <w:u w:val="single"/>
              </w:rPr>
              <w:t>.754</w:t>
            </w:r>
          </w:p>
        </w:tc>
        <w:tc>
          <w:tcPr>
            <w:tcW w:w="834" w:type="dxa"/>
            <w:shd w:val="clear" w:color="auto" w:fill="FFFFFF"/>
            <w:vAlign w:val="center"/>
          </w:tcPr>
          <w:p w14:paraId="022874C6"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.600</w:t>
            </w:r>
          </w:p>
        </w:tc>
        <w:tc>
          <w:tcPr>
            <w:tcW w:w="834" w:type="dxa"/>
            <w:shd w:val="clear" w:color="auto" w:fill="FFFFFF"/>
            <w:vAlign w:val="center"/>
          </w:tcPr>
          <w:p w14:paraId="65147CCF"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.549</w:t>
            </w:r>
          </w:p>
        </w:tc>
        <w:tc>
          <w:tcPr>
            <w:tcW w:w="834" w:type="dxa"/>
            <w:shd w:val="clear" w:color="auto" w:fill="FFFFFF"/>
            <w:vAlign w:val="center"/>
          </w:tcPr>
          <w:p w14:paraId="5E0509D6"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.494</w:t>
            </w:r>
          </w:p>
        </w:tc>
        <w:tc>
          <w:tcPr>
            <w:tcW w:w="834" w:type="dxa"/>
            <w:shd w:val="clear" w:color="auto" w:fill="FFFFFF"/>
            <w:vAlign w:val="center"/>
          </w:tcPr>
          <w:p w14:paraId="02573229"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.582</w:t>
            </w:r>
          </w:p>
        </w:tc>
        <w:tc>
          <w:tcPr>
            <w:tcW w:w="834" w:type="dxa"/>
            <w:shd w:val="clear" w:color="auto" w:fill="FFFFFF"/>
            <w:vAlign w:val="center"/>
          </w:tcPr>
          <w:p w14:paraId="662BF315"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.440</w:t>
            </w:r>
          </w:p>
        </w:tc>
        <w:tc>
          <w:tcPr>
            <w:tcW w:w="834" w:type="dxa"/>
            <w:shd w:val="clear" w:color="auto" w:fill="FFFFFF"/>
            <w:vAlign w:val="center"/>
          </w:tcPr>
          <w:p w14:paraId="3F196292"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.662</w:t>
            </w:r>
          </w:p>
        </w:tc>
        <w:tc>
          <w:tcPr>
            <w:tcW w:w="834" w:type="dxa"/>
            <w:shd w:val="clear" w:color="auto" w:fill="FFFFFF"/>
            <w:vAlign w:val="center"/>
          </w:tcPr>
          <w:p w14:paraId="4BE741C5"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.665</w:t>
            </w:r>
          </w:p>
        </w:tc>
      </w:tr>
      <w:tr w:rsidR="00226D63" w:rsidRPr="009A696E" w14:paraId="68A500E4" w14:textId="77777777" w:rsidTr="00226D63">
        <w:trPr>
          <w:cantSplit/>
          <w:trHeight w:val="417"/>
        </w:trPr>
        <w:tc>
          <w:tcPr>
            <w:tcW w:w="1571" w:type="dxa"/>
            <w:shd w:val="clear" w:color="auto" w:fill="FFFFFF"/>
          </w:tcPr>
          <w:p w14:paraId="18DBD46B"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 xml:space="preserve">RES (6) </w:t>
            </w:r>
          </w:p>
        </w:tc>
        <w:tc>
          <w:tcPr>
            <w:tcW w:w="927" w:type="dxa"/>
            <w:shd w:val="clear" w:color="auto" w:fill="FFFFFF"/>
            <w:vAlign w:val="center"/>
          </w:tcPr>
          <w:p w14:paraId="4470C84B"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.032</w:t>
            </w:r>
          </w:p>
        </w:tc>
        <w:tc>
          <w:tcPr>
            <w:tcW w:w="927" w:type="dxa"/>
            <w:shd w:val="clear" w:color="auto" w:fill="FFFFFF"/>
            <w:vAlign w:val="center"/>
          </w:tcPr>
          <w:p w14:paraId="35C0B14D"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.049</w:t>
            </w:r>
          </w:p>
        </w:tc>
        <w:tc>
          <w:tcPr>
            <w:tcW w:w="834" w:type="dxa"/>
            <w:shd w:val="clear" w:color="auto" w:fill="FFFFFF"/>
            <w:vAlign w:val="center"/>
          </w:tcPr>
          <w:p w14:paraId="3C5E9876"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.125</w:t>
            </w:r>
            <w:r w:rsidRPr="009A696E">
              <w:rPr>
                <w:rFonts w:cs="Times New Roman"/>
                <w:sz w:val="20"/>
                <w:szCs w:val="20"/>
                <w:vertAlign w:val="superscript"/>
              </w:rPr>
              <w:t>*</w:t>
            </w:r>
          </w:p>
        </w:tc>
        <w:tc>
          <w:tcPr>
            <w:tcW w:w="834" w:type="dxa"/>
            <w:shd w:val="clear" w:color="auto" w:fill="FFFFFF"/>
            <w:vAlign w:val="center"/>
          </w:tcPr>
          <w:p w14:paraId="140BB745"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.033</w:t>
            </w:r>
          </w:p>
        </w:tc>
        <w:tc>
          <w:tcPr>
            <w:tcW w:w="834" w:type="dxa"/>
            <w:shd w:val="clear" w:color="auto" w:fill="FFFFFF"/>
            <w:vAlign w:val="center"/>
          </w:tcPr>
          <w:p w14:paraId="208281B9"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.613</w:t>
            </w:r>
            <w:r w:rsidRPr="009A696E">
              <w:rPr>
                <w:rFonts w:cs="Times New Roman"/>
                <w:sz w:val="20"/>
                <w:szCs w:val="20"/>
                <w:vertAlign w:val="superscript"/>
              </w:rPr>
              <w:t>**</w:t>
            </w:r>
          </w:p>
        </w:tc>
        <w:tc>
          <w:tcPr>
            <w:tcW w:w="834" w:type="dxa"/>
            <w:shd w:val="clear" w:color="auto" w:fill="FFFFFF"/>
            <w:vAlign w:val="center"/>
          </w:tcPr>
          <w:p w14:paraId="49B75DC3" w14:textId="77777777" w:rsidR="00226D63" w:rsidRPr="009A696E" w:rsidRDefault="00226D63" w:rsidP="00226D63">
            <w:pPr>
              <w:spacing w:after="0" w:line="240" w:lineRule="auto"/>
              <w:rPr>
                <w:rFonts w:cs="Times New Roman"/>
                <w:b/>
                <w:bCs/>
                <w:i/>
                <w:iCs/>
                <w:sz w:val="20"/>
                <w:szCs w:val="20"/>
                <w:u w:val="single"/>
              </w:rPr>
            </w:pPr>
            <w:r w:rsidRPr="009A696E">
              <w:rPr>
                <w:rFonts w:cs="Times New Roman"/>
                <w:b/>
                <w:bCs/>
                <w:i/>
                <w:iCs/>
                <w:sz w:val="20"/>
                <w:szCs w:val="20"/>
                <w:u w:val="single"/>
              </w:rPr>
              <w:t>.787</w:t>
            </w:r>
          </w:p>
        </w:tc>
        <w:tc>
          <w:tcPr>
            <w:tcW w:w="834" w:type="dxa"/>
            <w:shd w:val="clear" w:color="auto" w:fill="FFFFFF"/>
            <w:vAlign w:val="center"/>
          </w:tcPr>
          <w:p w14:paraId="1A94ED97"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.647</w:t>
            </w:r>
          </w:p>
        </w:tc>
        <w:tc>
          <w:tcPr>
            <w:tcW w:w="834" w:type="dxa"/>
            <w:shd w:val="clear" w:color="auto" w:fill="FFFFFF"/>
            <w:vAlign w:val="center"/>
          </w:tcPr>
          <w:p w14:paraId="5E6B74F9"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.415</w:t>
            </w:r>
          </w:p>
        </w:tc>
        <w:tc>
          <w:tcPr>
            <w:tcW w:w="834" w:type="dxa"/>
            <w:shd w:val="clear" w:color="auto" w:fill="FFFFFF"/>
            <w:vAlign w:val="center"/>
          </w:tcPr>
          <w:p w14:paraId="5B735A5C"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.618</w:t>
            </w:r>
          </w:p>
        </w:tc>
        <w:tc>
          <w:tcPr>
            <w:tcW w:w="834" w:type="dxa"/>
            <w:shd w:val="clear" w:color="auto" w:fill="FFFFFF"/>
            <w:vAlign w:val="center"/>
          </w:tcPr>
          <w:p w14:paraId="735E5675"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.642</w:t>
            </w:r>
          </w:p>
        </w:tc>
        <w:tc>
          <w:tcPr>
            <w:tcW w:w="834" w:type="dxa"/>
            <w:shd w:val="clear" w:color="auto" w:fill="FFFFFF"/>
            <w:vAlign w:val="center"/>
          </w:tcPr>
          <w:p w14:paraId="0527BAF2"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.681</w:t>
            </w:r>
          </w:p>
        </w:tc>
        <w:tc>
          <w:tcPr>
            <w:tcW w:w="834" w:type="dxa"/>
            <w:shd w:val="clear" w:color="auto" w:fill="FFFFFF"/>
            <w:vAlign w:val="center"/>
          </w:tcPr>
          <w:p w14:paraId="603B93E1"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.689</w:t>
            </w:r>
          </w:p>
        </w:tc>
      </w:tr>
      <w:tr w:rsidR="00226D63" w:rsidRPr="009A696E" w14:paraId="2AC8EC26" w14:textId="77777777" w:rsidTr="00226D63">
        <w:trPr>
          <w:cantSplit/>
          <w:trHeight w:val="417"/>
        </w:trPr>
        <w:tc>
          <w:tcPr>
            <w:tcW w:w="1571" w:type="dxa"/>
            <w:shd w:val="clear" w:color="auto" w:fill="FFFFFF"/>
          </w:tcPr>
          <w:p w14:paraId="1D202916"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ASS (7)</w:t>
            </w:r>
          </w:p>
        </w:tc>
        <w:tc>
          <w:tcPr>
            <w:tcW w:w="927" w:type="dxa"/>
            <w:shd w:val="clear" w:color="auto" w:fill="FFFFFF"/>
            <w:vAlign w:val="center"/>
          </w:tcPr>
          <w:p w14:paraId="75D4E6F0"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.041</w:t>
            </w:r>
          </w:p>
        </w:tc>
        <w:tc>
          <w:tcPr>
            <w:tcW w:w="927" w:type="dxa"/>
            <w:shd w:val="clear" w:color="auto" w:fill="FFFFFF"/>
            <w:vAlign w:val="center"/>
          </w:tcPr>
          <w:p w14:paraId="03AC7D00"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.045</w:t>
            </w:r>
          </w:p>
        </w:tc>
        <w:tc>
          <w:tcPr>
            <w:tcW w:w="834" w:type="dxa"/>
            <w:shd w:val="clear" w:color="auto" w:fill="FFFFFF"/>
            <w:vAlign w:val="center"/>
          </w:tcPr>
          <w:p w14:paraId="0B442D90"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.103</w:t>
            </w:r>
          </w:p>
        </w:tc>
        <w:tc>
          <w:tcPr>
            <w:tcW w:w="834" w:type="dxa"/>
            <w:shd w:val="clear" w:color="auto" w:fill="FFFFFF"/>
            <w:vAlign w:val="center"/>
          </w:tcPr>
          <w:p w14:paraId="5194A881"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.054</w:t>
            </w:r>
          </w:p>
        </w:tc>
        <w:tc>
          <w:tcPr>
            <w:tcW w:w="834" w:type="dxa"/>
            <w:shd w:val="clear" w:color="auto" w:fill="FFFFFF"/>
            <w:vAlign w:val="center"/>
          </w:tcPr>
          <w:p w14:paraId="4F1149BC"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.552</w:t>
            </w:r>
            <w:r w:rsidRPr="009A696E">
              <w:rPr>
                <w:rFonts w:cs="Times New Roman"/>
                <w:sz w:val="20"/>
                <w:szCs w:val="20"/>
                <w:vertAlign w:val="superscript"/>
              </w:rPr>
              <w:t>**</w:t>
            </w:r>
          </w:p>
        </w:tc>
        <w:tc>
          <w:tcPr>
            <w:tcW w:w="834" w:type="dxa"/>
            <w:shd w:val="clear" w:color="auto" w:fill="FFFFFF"/>
            <w:vAlign w:val="center"/>
          </w:tcPr>
          <w:p w14:paraId="65468836"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.659</w:t>
            </w:r>
            <w:r w:rsidRPr="009A696E">
              <w:rPr>
                <w:rFonts w:cs="Times New Roman"/>
                <w:sz w:val="20"/>
                <w:szCs w:val="20"/>
                <w:vertAlign w:val="superscript"/>
              </w:rPr>
              <w:t>**</w:t>
            </w:r>
          </w:p>
        </w:tc>
        <w:tc>
          <w:tcPr>
            <w:tcW w:w="834" w:type="dxa"/>
            <w:shd w:val="clear" w:color="auto" w:fill="FFFFFF"/>
            <w:vAlign w:val="center"/>
          </w:tcPr>
          <w:p w14:paraId="5DE4746E" w14:textId="77777777" w:rsidR="00226D63" w:rsidRPr="009A696E" w:rsidRDefault="00226D63" w:rsidP="00226D63">
            <w:pPr>
              <w:spacing w:after="0" w:line="240" w:lineRule="auto"/>
              <w:rPr>
                <w:rFonts w:cs="Times New Roman"/>
                <w:b/>
                <w:bCs/>
                <w:i/>
                <w:iCs/>
                <w:sz w:val="20"/>
                <w:szCs w:val="20"/>
                <w:u w:val="single"/>
              </w:rPr>
            </w:pPr>
            <w:r w:rsidRPr="009A696E">
              <w:rPr>
                <w:rFonts w:cs="Times New Roman"/>
                <w:b/>
                <w:bCs/>
                <w:i/>
                <w:iCs/>
                <w:sz w:val="20"/>
                <w:szCs w:val="20"/>
                <w:u w:val="single"/>
              </w:rPr>
              <w:t>.727</w:t>
            </w:r>
          </w:p>
        </w:tc>
        <w:tc>
          <w:tcPr>
            <w:tcW w:w="834" w:type="dxa"/>
            <w:shd w:val="clear" w:color="auto" w:fill="FFFFFF"/>
            <w:vAlign w:val="center"/>
          </w:tcPr>
          <w:p w14:paraId="2053809F"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.451</w:t>
            </w:r>
          </w:p>
        </w:tc>
        <w:tc>
          <w:tcPr>
            <w:tcW w:w="834" w:type="dxa"/>
            <w:shd w:val="clear" w:color="auto" w:fill="FFFFFF"/>
            <w:vAlign w:val="center"/>
          </w:tcPr>
          <w:p w14:paraId="3E7A1360"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.571</w:t>
            </w:r>
          </w:p>
        </w:tc>
        <w:tc>
          <w:tcPr>
            <w:tcW w:w="834" w:type="dxa"/>
            <w:shd w:val="clear" w:color="auto" w:fill="FFFFFF"/>
            <w:vAlign w:val="center"/>
          </w:tcPr>
          <w:p w14:paraId="6C462BE1"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.500</w:t>
            </w:r>
          </w:p>
        </w:tc>
        <w:tc>
          <w:tcPr>
            <w:tcW w:w="834" w:type="dxa"/>
            <w:shd w:val="clear" w:color="auto" w:fill="FFFFFF"/>
            <w:vAlign w:val="center"/>
          </w:tcPr>
          <w:p w14:paraId="5B0E470E"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.565</w:t>
            </w:r>
          </w:p>
        </w:tc>
        <w:tc>
          <w:tcPr>
            <w:tcW w:w="834" w:type="dxa"/>
            <w:shd w:val="clear" w:color="auto" w:fill="FFFFFF"/>
            <w:vAlign w:val="center"/>
          </w:tcPr>
          <w:p w14:paraId="4DC8C8B7"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.520</w:t>
            </w:r>
          </w:p>
        </w:tc>
      </w:tr>
      <w:tr w:rsidR="00226D63" w:rsidRPr="009A696E" w14:paraId="53BF2BCC" w14:textId="77777777" w:rsidTr="00226D63">
        <w:trPr>
          <w:cantSplit/>
          <w:trHeight w:val="417"/>
        </w:trPr>
        <w:tc>
          <w:tcPr>
            <w:tcW w:w="1571" w:type="dxa"/>
            <w:shd w:val="clear" w:color="auto" w:fill="FFFFFF"/>
          </w:tcPr>
          <w:p w14:paraId="79183535"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EMP (8)</w:t>
            </w:r>
          </w:p>
        </w:tc>
        <w:tc>
          <w:tcPr>
            <w:tcW w:w="927" w:type="dxa"/>
            <w:shd w:val="clear" w:color="auto" w:fill="FFFFFF"/>
            <w:vAlign w:val="center"/>
          </w:tcPr>
          <w:p w14:paraId="30BE366E"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.033</w:t>
            </w:r>
          </w:p>
        </w:tc>
        <w:tc>
          <w:tcPr>
            <w:tcW w:w="927" w:type="dxa"/>
            <w:shd w:val="clear" w:color="auto" w:fill="FFFFFF"/>
            <w:vAlign w:val="center"/>
          </w:tcPr>
          <w:p w14:paraId="0C3ADD53"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.071</w:t>
            </w:r>
          </w:p>
        </w:tc>
        <w:tc>
          <w:tcPr>
            <w:tcW w:w="834" w:type="dxa"/>
            <w:shd w:val="clear" w:color="auto" w:fill="FFFFFF"/>
            <w:vAlign w:val="center"/>
          </w:tcPr>
          <w:p w14:paraId="494977F1"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.049</w:t>
            </w:r>
          </w:p>
        </w:tc>
        <w:tc>
          <w:tcPr>
            <w:tcW w:w="834" w:type="dxa"/>
            <w:shd w:val="clear" w:color="auto" w:fill="FFFFFF"/>
            <w:vAlign w:val="center"/>
          </w:tcPr>
          <w:p w14:paraId="228B3AA2"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.078</w:t>
            </w:r>
          </w:p>
        </w:tc>
        <w:tc>
          <w:tcPr>
            <w:tcW w:w="834" w:type="dxa"/>
            <w:shd w:val="clear" w:color="auto" w:fill="FFFFFF"/>
            <w:vAlign w:val="center"/>
          </w:tcPr>
          <w:p w14:paraId="525529C6"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.444</w:t>
            </w:r>
            <w:r w:rsidRPr="009A696E">
              <w:rPr>
                <w:rFonts w:cs="Times New Roman"/>
                <w:sz w:val="20"/>
                <w:szCs w:val="20"/>
                <w:vertAlign w:val="superscript"/>
              </w:rPr>
              <w:t>**</w:t>
            </w:r>
          </w:p>
        </w:tc>
        <w:tc>
          <w:tcPr>
            <w:tcW w:w="834" w:type="dxa"/>
            <w:shd w:val="clear" w:color="auto" w:fill="FFFFFF"/>
            <w:vAlign w:val="center"/>
          </w:tcPr>
          <w:p w14:paraId="2830715D"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.415</w:t>
            </w:r>
            <w:r w:rsidRPr="009A696E">
              <w:rPr>
                <w:rFonts w:cs="Times New Roman"/>
                <w:sz w:val="20"/>
                <w:szCs w:val="20"/>
                <w:vertAlign w:val="superscript"/>
              </w:rPr>
              <w:t>**</w:t>
            </w:r>
          </w:p>
        </w:tc>
        <w:tc>
          <w:tcPr>
            <w:tcW w:w="834" w:type="dxa"/>
            <w:shd w:val="clear" w:color="auto" w:fill="FFFFFF"/>
            <w:vAlign w:val="center"/>
          </w:tcPr>
          <w:p w14:paraId="6579CDDB"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.456</w:t>
            </w:r>
            <w:r w:rsidRPr="009A696E">
              <w:rPr>
                <w:rFonts w:cs="Times New Roman"/>
                <w:sz w:val="20"/>
                <w:szCs w:val="20"/>
                <w:vertAlign w:val="superscript"/>
              </w:rPr>
              <w:t>**</w:t>
            </w:r>
          </w:p>
        </w:tc>
        <w:tc>
          <w:tcPr>
            <w:tcW w:w="834" w:type="dxa"/>
            <w:shd w:val="clear" w:color="auto" w:fill="FFFFFF"/>
            <w:vAlign w:val="center"/>
          </w:tcPr>
          <w:p w14:paraId="0CDB38EE" w14:textId="77777777" w:rsidR="00226D63" w:rsidRPr="009A696E" w:rsidRDefault="00226D63" w:rsidP="00226D63">
            <w:pPr>
              <w:spacing w:after="0" w:line="240" w:lineRule="auto"/>
              <w:rPr>
                <w:rFonts w:cs="Times New Roman"/>
                <w:b/>
                <w:bCs/>
                <w:i/>
                <w:iCs/>
                <w:sz w:val="20"/>
                <w:szCs w:val="20"/>
                <w:u w:val="single"/>
              </w:rPr>
            </w:pPr>
            <w:r w:rsidRPr="009A696E">
              <w:rPr>
                <w:rFonts w:cs="Times New Roman"/>
                <w:b/>
                <w:bCs/>
                <w:i/>
                <w:iCs/>
                <w:sz w:val="20"/>
                <w:szCs w:val="20"/>
                <w:u w:val="single"/>
              </w:rPr>
              <w:t>.830</w:t>
            </w:r>
          </w:p>
        </w:tc>
        <w:tc>
          <w:tcPr>
            <w:tcW w:w="834" w:type="dxa"/>
            <w:shd w:val="clear" w:color="auto" w:fill="FFFFFF"/>
            <w:vAlign w:val="center"/>
          </w:tcPr>
          <w:p w14:paraId="5123CB4A"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.230</w:t>
            </w:r>
          </w:p>
        </w:tc>
        <w:tc>
          <w:tcPr>
            <w:tcW w:w="834" w:type="dxa"/>
            <w:shd w:val="clear" w:color="auto" w:fill="FFFFFF"/>
            <w:vAlign w:val="center"/>
          </w:tcPr>
          <w:p w14:paraId="653AC500"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.253</w:t>
            </w:r>
          </w:p>
        </w:tc>
        <w:tc>
          <w:tcPr>
            <w:tcW w:w="834" w:type="dxa"/>
            <w:shd w:val="clear" w:color="auto" w:fill="FFFFFF"/>
            <w:vAlign w:val="center"/>
          </w:tcPr>
          <w:p w14:paraId="1AA47927"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.771</w:t>
            </w:r>
          </w:p>
        </w:tc>
        <w:tc>
          <w:tcPr>
            <w:tcW w:w="834" w:type="dxa"/>
            <w:shd w:val="clear" w:color="auto" w:fill="FFFFFF"/>
            <w:vAlign w:val="center"/>
          </w:tcPr>
          <w:p w14:paraId="32C89314"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.332</w:t>
            </w:r>
          </w:p>
        </w:tc>
      </w:tr>
      <w:tr w:rsidR="00226D63" w:rsidRPr="009A696E" w14:paraId="0D9B02B7" w14:textId="77777777" w:rsidTr="00226D63">
        <w:trPr>
          <w:cantSplit/>
          <w:trHeight w:val="409"/>
        </w:trPr>
        <w:tc>
          <w:tcPr>
            <w:tcW w:w="1571" w:type="dxa"/>
            <w:shd w:val="clear" w:color="auto" w:fill="FFFFFF"/>
          </w:tcPr>
          <w:p w14:paraId="68002087"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TAN (9)</w:t>
            </w:r>
          </w:p>
        </w:tc>
        <w:tc>
          <w:tcPr>
            <w:tcW w:w="927" w:type="dxa"/>
            <w:shd w:val="clear" w:color="auto" w:fill="FFFFFF"/>
            <w:vAlign w:val="center"/>
          </w:tcPr>
          <w:p w14:paraId="67ECB8B4"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.084</w:t>
            </w:r>
          </w:p>
        </w:tc>
        <w:tc>
          <w:tcPr>
            <w:tcW w:w="927" w:type="dxa"/>
            <w:shd w:val="clear" w:color="auto" w:fill="FFFFFF"/>
            <w:vAlign w:val="center"/>
          </w:tcPr>
          <w:p w14:paraId="7F76AD2D"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.091</w:t>
            </w:r>
          </w:p>
        </w:tc>
        <w:tc>
          <w:tcPr>
            <w:tcW w:w="834" w:type="dxa"/>
            <w:shd w:val="clear" w:color="auto" w:fill="FFFFFF"/>
            <w:vAlign w:val="center"/>
          </w:tcPr>
          <w:p w14:paraId="06DE84BF"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.065</w:t>
            </w:r>
          </w:p>
        </w:tc>
        <w:tc>
          <w:tcPr>
            <w:tcW w:w="834" w:type="dxa"/>
            <w:shd w:val="clear" w:color="auto" w:fill="FFFFFF"/>
            <w:vAlign w:val="center"/>
          </w:tcPr>
          <w:p w14:paraId="21974E5C"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.044</w:t>
            </w:r>
          </w:p>
        </w:tc>
        <w:tc>
          <w:tcPr>
            <w:tcW w:w="834" w:type="dxa"/>
            <w:shd w:val="clear" w:color="auto" w:fill="FFFFFF"/>
            <w:vAlign w:val="center"/>
          </w:tcPr>
          <w:p w14:paraId="44A5D106"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.571</w:t>
            </w:r>
            <w:r w:rsidRPr="009A696E">
              <w:rPr>
                <w:rFonts w:cs="Times New Roman"/>
                <w:sz w:val="20"/>
                <w:szCs w:val="20"/>
                <w:vertAlign w:val="superscript"/>
              </w:rPr>
              <w:t>**</w:t>
            </w:r>
          </w:p>
        </w:tc>
        <w:tc>
          <w:tcPr>
            <w:tcW w:w="834" w:type="dxa"/>
            <w:shd w:val="clear" w:color="auto" w:fill="FFFFFF"/>
            <w:vAlign w:val="center"/>
          </w:tcPr>
          <w:p w14:paraId="2850B676"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.608</w:t>
            </w:r>
            <w:r w:rsidRPr="009A696E">
              <w:rPr>
                <w:rFonts w:cs="Times New Roman"/>
                <w:sz w:val="20"/>
                <w:szCs w:val="20"/>
                <w:vertAlign w:val="superscript"/>
              </w:rPr>
              <w:t>**</w:t>
            </w:r>
          </w:p>
        </w:tc>
        <w:tc>
          <w:tcPr>
            <w:tcW w:w="834" w:type="dxa"/>
            <w:shd w:val="clear" w:color="auto" w:fill="FFFFFF"/>
            <w:vAlign w:val="center"/>
          </w:tcPr>
          <w:p w14:paraId="3B749A32"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.579</w:t>
            </w:r>
            <w:r w:rsidRPr="009A696E">
              <w:rPr>
                <w:rFonts w:cs="Times New Roman"/>
                <w:sz w:val="20"/>
                <w:szCs w:val="20"/>
                <w:vertAlign w:val="superscript"/>
              </w:rPr>
              <w:t>**</w:t>
            </w:r>
          </w:p>
        </w:tc>
        <w:tc>
          <w:tcPr>
            <w:tcW w:w="834" w:type="dxa"/>
            <w:shd w:val="clear" w:color="auto" w:fill="FFFFFF"/>
            <w:vAlign w:val="center"/>
          </w:tcPr>
          <w:p w14:paraId="034C3507"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.290</w:t>
            </w:r>
            <w:r w:rsidRPr="009A696E">
              <w:rPr>
                <w:rFonts w:cs="Times New Roman"/>
                <w:sz w:val="20"/>
                <w:szCs w:val="20"/>
                <w:vertAlign w:val="superscript"/>
              </w:rPr>
              <w:t>*</w:t>
            </w:r>
          </w:p>
        </w:tc>
        <w:tc>
          <w:tcPr>
            <w:tcW w:w="834" w:type="dxa"/>
            <w:shd w:val="clear" w:color="auto" w:fill="FFFFFF"/>
            <w:vAlign w:val="center"/>
          </w:tcPr>
          <w:p w14:paraId="1D9AFE40" w14:textId="77777777" w:rsidR="00226D63" w:rsidRPr="009A696E" w:rsidRDefault="00226D63" w:rsidP="00226D63">
            <w:pPr>
              <w:spacing w:after="0" w:line="240" w:lineRule="auto"/>
              <w:rPr>
                <w:rFonts w:cs="Times New Roman"/>
                <w:b/>
                <w:bCs/>
                <w:i/>
                <w:iCs/>
                <w:sz w:val="20"/>
                <w:szCs w:val="20"/>
                <w:u w:val="single"/>
              </w:rPr>
            </w:pPr>
            <w:r w:rsidRPr="009A696E">
              <w:rPr>
                <w:rFonts w:cs="Times New Roman"/>
                <w:b/>
                <w:bCs/>
                <w:i/>
                <w:iCs/>
                <w:sz w:val="20"/>
                <w:szCs w:val="20"/>
                <w:u w:val="single"/>
              </w:rPr>
              <w:t>.825</w:t>
            </w:r>
          </w:p>
        </w:tc>
        <w:tc>
          <w:tcPr>
            <w:tcW w:w="834" w:type="dxa"/>
            <w:shd w:val="clear" w:color="auto" w:fill="FFFFFF"/>
            <w:vAlign w:val="center"/>
          </w:tcPr>
          <w:p w14:paraId="5E189346"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.430</w:t>
            </w:r>
          </w:p>
        </w:tc>
        <w:tc>
          <w:tcPr>
            <w:tcW w:w="834" w:type="dxa"/>
            <w:shd w:val="clear" w:color="auto" w:fill="FFFFFF"/>
            <w:vAlign w:val="center"/>
          </w:tcPr>
          <w:p w14:paraId="6FD6D3D8"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.588</w:t>
            </w:r>
          </w:p>
        </w:tc>
        <w:tc>
          <w:tcPr>
            <w:tcW w:w="834" w:type="dxa"/>
            <w:shd w:val="clear" w:color="auto" w:fill="FFFFFF"/>
            <w:vAlign w:val="center"/>
          </w:tcPr>
          <w:p w14:paraId="1F8A097F"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.590</w:t>
            </w:r>
          </w:p>
        </w:tc>
      </w:tr>
      <w:tr w:rsidR="00226D63" w:rsidRPr="009A696E" w14:paraId="7B3F2921" w14:textId="77777777" w:rsidTr="00226D63">
        <w:trPr>
          <w:cantSplit/>
          <w:trHeight w:val="417"/>
        </w:trPr>
        <w:tc>
          <w:tcPr>
            <w:tcW w:w="1571" w:type="dxa"/>
            <w:tcBorders>
              <w:bottom w:val="single" w:sz="4" w:space="0" w:color="auto"/>
            </w:tcBorders>
            <w:shd w:val="clear" w:color="auto" w:fill="FFFFFF"/>
          </w:tcPr>
          <w:p w14:paraId="0EC3D517"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PERF (12)</w:t>
            </w:r>
          </w:p>
        </w:tc>
        <w:tc>
          <w:tcPr>
            <w:tcW w:w="927" w:type="dxa"/>
            <w:tcBorders>
              <w:bottom w:val="single" w:sz="4" w:space="0" w:color="auto"/>
            </w:tcBorders>
            <w:shd w:val="clear" w:color="auto" w:fill="FFFFFF"/>
            <w:vAlign w:val="center"/>
          </w:tcPr>
          <w:p w14:paraId="09D28616"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.157</w:t>
            </w:r>
            <w:r w:rsidRPr="009A696E">
              <w:rPr>
                <w:rFonts w:cs="Times New Roman"/>
                <w:sz w:val="20"/>
                <w:szCs w:val="20"/>
                <w:vertAlign w:val="superscript"/>
              </w:rPr>
              <w:t>**</w:t>
            </w:r>
          </w:p>
        </w:tc>
        <w:tc>
          <w:tcPr>
            <w:tcW w:w="927" w:type="dxa"/>
            <w:tcBorders>
              <w:bottom w:val="single" w:sz="4" w:space="0" w:color="auto"/>
            </w:tcBorders>
            <w:shd w:val="clear" w:color="auto" w:fill="FFFFFF"/>
            <w:vAlign w:val="center"/>
          </w:tcPr>
          <w:p w14:paraId="6C6EAC57"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.054</w:t>
            </w:r>
          </w:p>
        </w:tc>
        <w:tc>
          <w:tcPr>
            <w:tcW w:w="834" w:type="dxa"/>
            <w:tcBorders>
              <w:bottom w:val="single" w:sz="4" w:space="0" w:color="auto"/>
            </w:tcBorders>
            <w:shd w:val="clear" w:color="auto" w:fill="FFFFFF"/>
            <w:vAlign w:val="center"/>
          </w:tcPr>
          <w:p w14:paraId="6CD68834"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.068</w:t>
            </w:r>
          </w:p>
        </w:tc>
        <w:tc>
          <w:tcPr>
            <w:tcW w:w="834" w:type="dxa"/>
            <w:tcBorders>
              <w:bottom w:val="single" w:sz="4" w:space="0" w:color="auto"/>
            </w:tcBorders>
            <w:shd w:val="clear" w:color="auto" w:fill="FFFFFF"/>
            <w:vAlign w:val="center"/>
          </w:tcPr>
          <w:p w14:paraId="7D3423CE"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-.025</w:t>
            </w:r>
          </w:p>
        </w:tc>
        <w:tc>
          <w:tcPr>
            <w:tcW w:w="834" w:type="dxa"/>
            <w:tcBorders>
              <w:bottom w:val="single" w:sz="4" w:space="0" w:color="auto"/>
            </w:tcBorders>
            <w:shd w:val="clear" w:color="auto" w:fill="FFFFFF"/>
            <w:vAlign w:val="center"/>
          </w:tcPr>
          <w:p w14:paraId="544E8BD9"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.669</w:t>
            </w:r>
            <w:r w:rsidRPr="009A696E">
              <w:rPr>
                <w:rFonts w:cs="Times New Roman"/>
                <w:sz w:val="20"/>
                <w:szCs w:val="20"/>
                <w:vertAlign w:val="superscript"/>
              </w:rPr>
              <w:t>**</w:t>
            </w:r>
          </w:p>
        </w:tc>
        <w:tc>
          <w:tcPr>
            <w:tcW w:w="834" w:type="dxa"/>
            <w:tcBorders>
              <w:bottom w:val="single" w:sz="4" w:space="0" w:color="auto"/>
            </w:tcBorders>
            <w:shd w:val="clear" w:color="auto" w:fill="FFFFFF"/>
            <w:vAlign w:val="center"/>
          </w:tcPr>
          <w:p w14:paraId="6457E0F7"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.669</w:t>
            </w:r>
            <w:r w:rsidRPr="009A696E">
              <w:rPr>
                <w:rFonts w:cs="Times New Roman"/>
                <w:sz w:val="20"/>
                <w:szCs w:val="20"/>
                <w:vertAlign w:val="superscript"/>
              </w:rPr>
              <w:t>**</w:t>
            </w:r>
          </w:p>
        </w:tc>
        <w:tc>
          <w:tcPr>
            <w:tcW w:w="834" w:type="dxa"/>
            <w:tcBorders>
              <w:bottom w:val="single" w:sz="4" w:space="0" w:color="auto"/>
            </w:tcBorders>
            <w:shd w:val="clear" w:color="auto" w:fill="FFFFFF"/>
            <w:vAlign w:val="center"/>
          </w:tcPr>
          <w:p w14:paraId="1A5E5B78"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.502</w:t>
            </w:r>
            <w:r w:rsidRPr="009A696E">
              <w:rPr>
                <w:rFonts w:cs="Times New Roman"/>
                <w:sz w:val="20"/>
                <w:szCs w:val="20"/>
                <w:vertAlign w:val="superscript"/>
              </w:rPr>
              <w:t>**</w:t>
            </w:r>
          </w:p>
        </w:tc>
        <w:tc>
          <w:tcPr>
            <w:tcW w:w="834" w:type="dxa"/>
            <w:tcBorders>
              <w:bottom w:val="single" w:sz="4" w:space="0" w:color="auto"/>
            </w:tcBorders>
            <w:shd w:val="clear" w:color="auto" w:fill="FFFFFF"/>
            <w:vAlign w:val="center"/>
          </w:tcPr>
          <w:p w14:paraId="30E7C81C"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.362</w:t>
            </w:r>
            <w:r w:rsidRPr="009A696E">
              <w:rPr>
                <w:rFonts w:cs="Times New Roman"/>
                <w:sz w:val="20"/>
                <w:szCs w:val="20"/>
                <w:vertAlign w:val="superscript"/>
              </w:rPr>
              <w:t>**</w:t>
            </w:r>
          </w:p>
        </w:tc>
        <w:tc>
          <w:tcPr>
            <w:tcW w:w="834" w:type="dxa"/>
            <w:tcBorders>
              <w:bottom w:val="single" w:sz="4" w:space="0" w:color="auto"/>
            </w:tcBorders>
            <w:shd w:val="clear" w:color="auto" w:fill="FFFFFF"/>
            <w:vAlign w:val="center"/>
          </w:tcPr>
          <w:p w14:paraId="46F4B8E2"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.539</w:t>
            </w:r>
            <w:r w:rsidRPr="009A696E">
              <w:rPr>
                <w:rFonts w:cs="Times New Roman"/>
                <w:sz w:val="20"/>
                <w:szCs w:val="20"/>
                <w:vertAlign w:val="superscript"/>
              </w:rPr>
              <w:t>**</w:t>
            </w:r>
          </w:p>
        </w:tc>
        <w:tc>
          <w:tcPr>
            <w:tcW w:w="834" w:type="dxa"/>
            <w:tcBorders>
              <w:bottom w:val="single" w:sz="4" w:space="0" w:color="auto"/>
            </w:tcBorders>
            <w:shd w:val="clear" w:color="auto" w:fill="FFFFFF"/>
            <w:vAlign w:val="center"/>
          </w:tcPr>
          <w:p w14:paraId="3565805B"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.493</w:t>
            </w:r>
            <w:r w:rsidRPr="009A696E">
              <w:rPr>
                <w:rFonts w:cs="Times New Roman"/>
                <w:sz w:val="20"/>
                <w:szCs w:val="20"/>
                <w:vertAlign w:val="superscript"/>
              </w:rPr>
              <w:t>**</w:t>
            </w:r>
          </w:p>
        </w:tc>
        <w:tc>
          <w:tcPr>
            <w:tcW w:w="834" w:type="dxa"/>
            <w:tcBorders>
              <w:bottom w:val="single" w:sz="4" w:space="0" w:color="auto"/>
            </w:tcBorders>
            <w:shd w:val="clear" w:color="auto" w:fill="FFFFFF"/>
            <w:vAlign w:val="center"/>
          </w:tcPr>
          <w:p w14:paraId="11F9FD20" w14:textId="77777777" w:rsidR="00226D63" w:rsidRPr="009A696E" w:rsidRDefault="00226D63" w:rsidP="00226D63">
            <w:pPr>
              <w:spacing w:after="0" w:line="240" w:lineRule="auto"/>
              <w:rPr>
                <w:rFonts w:cs="Times New Roman"/>
                <w:sz w:val="20"/>
                <w:szCs w:val="20"/>
              </w:rPr>
            </w:pPr>
            <w:r w:rsidRPr="009A696E">
              <w:rPr>
                <w:rFonts w:cs="Times New Roman"/>
                <w:sz w:val="20"/>
                <w:szCs w:val="20"/>
              </w:rPr>
              <w:t>.554</w:t>
            </w:r>
            <w:r w:rsidRPr="009A696E">
              <w:rPr>
                <w:rFonts w:cs="Times New Roman"/>
                <w:sz w:val="20"/>
                <w:szCs w:val="20"/>
                <w:vertAlign w:val="superscript"/>
              </w:rPr>
              <w:t>**</w:t>
            </w:r>
          </w:p>
        </w:tc>
        <w:tc>
          <w:tcPr>
            <w:tcW w:w="834" w:type="dxa"/>
            <w:tcBorders>
              <w:bottom w:val="single" w:sz="4" w:space="0" w:color="auto"/>
            </w:tcBorders>
            <w:shd w:val="clear" w:color="auto" w:fill="FFFFFF"/>
            <w:vAlign w:val="center"/>
          </w:tcPr>
          <w:p w14:paraId="3E7074D7" w14:textId="77777777" w:rsidR="00226D63" w:rsidRPr="009A696E" w:rsidRDefault="00226D63" w:rsidP="00226D63">
            <w:pPr>
              <w:spacing w:after="0" w:line="240" w:lineRule="auto"/>
              <w:rPr>
                <w:rFonts w:cs="Times New Roman"/>
                <w:b/>
                <w:bCs/>
                <w:i/>
                <w:iCs/>
                <w:sz w:val="20"/>
                <w:szCs w:val="20"/>
                <w:u w:val="single"/>
              </w:rPr>
            </w:pPr>
            <w:r w:rsidRPr="009A696E">
              <w:rPr>
                <w:rFonts w:cs="Times New Roman"/>
                <w:b/>
                <w:bCs/>
                <w:i/>
                <w:iCs/>
                <w:sz w:val="20"/>
                <w:szCs w:val="20"/>
                <w:u w:val="single"/>
              </w:rPr>
              <w:t>.888</w:t>
            </w:r>
          </w:p>
        </w:tc>
      </w:tr>
    </w:tbl>
    <w:p w14:paraId="588592D7" w14:textId="18D465F5" w:rsidR="00226D63" w:rsidRPr="009A696E" w:rsidRDefault="00226D63" w:rsidP="00226D63">
      <w:pPr>
        <w:keepNext/>
        <w:spacing w:after="200" w:line="240" w:lineRule="auto"/>
        <w:rPr>
          <w:rFonts w:eastAsia="Calibri" w:cs="Times New Roman"/>
          <w:b/>
          <w:sz w:val="20"/>
          <w:szCs w:val="20"/>
          <w:lang w:bidi="en-US"/>
        </w:rPr>
      </w:pPr>
      <w:bookmarkStart w:id="4" w:name="_GoBack"/>
      <w:r w:rsidRPr="009A696E">
        <w:rPr>
          <w:rFonts w:eastAsia="Calibri" w:cs="Times New Roman"/>
          <w:b/>
          <w:sz w:val="20"/>
          <w:szCs w:val="20"/>
          <w:lang w:bidi="en-US"/>
        </w:rPr>
        <w:t>Table</w:t>
      </w:r>
      <w:bookmarkEnd w:id="4"/>
      <w:r w:rsidRPr="009A696E">
        <w:rPr>
          <w:rFonts w:eastAsia="Calibri" w:cs="Times New Roman"/>
          <w:b/>
          <w:sz w:val="20"/>
          <w:szCs w:val="20"/>
          <w:lang w:bidi="en-US"/>
        </w:rPr>
        <w:t xml:space="preserve"> </w:t>
      </w:r>
      <w:r w:rsidR="000B1A04">
        <w:rPr>
          <w:rFonts w:eastAsia="Calibri" w:cs="Times New Roman"/>
          <w:b/>
          <w:sz w:val="20"/>
          <w:szCs w:val="20"/>
          <w:lang w:bidi="en-US"/>
        </w:rPr>
        <w:t>4</w:t>
      </w:r>
      <w:r w:rsidRPr="009A696E">
        <w:rPr>
          <w:rFonts w:eastAsia="Calibri" w:cs="Times New Roman"/>
          <w:b/>
          <w:sz w:val="20"/>
          <w:szCs w:val="20"/>
          <w:lang w:bidi="en-US"/>
        </w:rPr>
        <w:t>: Partial Correlation, Zero-Order Correlation and Discriminant Validity</w:t>
      </w:r>
    </w:p>
    <w:p w14:paraId="17FD3965" w14:textId="77777777" w:rsidR="00226D63" w:rsidRPr="009A696E" w:rsidRDefault="00226D63" w:rsidP="00226D63">
      <w:pPr>
        <w:autoSpaceDE w:val="0"/>
        <w:autoSpaceDN w:val="0"/>
        <w:adjustRightInd w:val="0"/>
        <w:spacing w:after="0" w:line="240" w:lineRule="auto"/>
        <w:rPr>
          <w:rFonts w:cs="Times New Roman"/>
          <w:color w:val="000000"/>
          <w:sz w:val="20"/>
          <w:szCs w:val="20"/>
          <w:lang w:bidi="en-US"/>
        </w:rPr>
      </w:pPr>
      <w:bookmarkStart w:id="5" w:name="_Hlk53572973"/>
      <w:r w:rsidRPr="009A696E">
        <w:rPr>
          <w:rFonts w:cs="Times New Roman"/>
          <w:color w:val="000000"/>
          <w:sz w:val="20"/>
          <w:szCs w:val="20"/>
          <w:lang w:bidi="en-US"/>
        </w:rPr>
        <w:t>** significant at the 0.01 level (2-tailed); * significant at the 0.05 level (2-tailed).</w:t>
      </w:r>
      <w:bookmarkEnd w:id="5"/>
    </w:p>
    <w:p w14:paraId="688F938F" w14:textId="77777777" w:rsidR="00226D63" w:rsidRPr="009A696E" w:rsidRDefault="00226D63" w:rsidP="00226D63">
      <w:pPr>
        <w:autoSpaceDE w:val="0"/>
        <w:autoSpaceDN w:val="0"/>
        <w:adjustRightInd w:val="0"/>
        <w:spacing w:line="240" w:lineRule="auto"/>
        <w:rPr>
          <w:rFonts w:cs="Times New Roman"/>
          <w:color w:val="000000"/>
          <w:sz w:val="20"/>
          <w:szCs w:val="20"/>
          <w:vertAlign w:val="superscript"/>
          <w:lang w:bidi="en-US"/>
        </w:rPr>
      </w:pPr>
      <w:r w:rsidRPr="009A696E">
        <w:rPr>
          <w:rFonts w:cs="Times New Roman"/>
          <w:i/>
          <w:sz w:val="20"/>
          <w:szCs w:val="20"/>
          <w:lang w:bidi="en-US"/>
        </w:rPr>
        <w:t xml:space="preserve">√AVE are </w:t>
      </w:r>
      <w:r w:rsidRPr="009A696E">
        <w:rPr>
          <w:rFonts w:cs="Times New Roman"/>
          <w:b/>
          <w:bCs/>
          <w:iCs/>
          <w:sz w:val="20"/>
          <w:szCs w:val="20"/>
          <w:lang w:bidi="en-US"/>
        </w:rPr>
        <w:t>bold</w:t>
      </w:r>
      <w:r w:rsidRPr="009A696E">
        <w:rPr>
          <w:rFonts w:cs="Times New Roman"/>
          <w:i/>
          <w:sz w:val="20"/>
          <w:szCs w:val="20"/>
          <w:lang w:bidi="en-US"/>
        </w:rPr>
        <w:t xml:space="preserve"> and </w:t>
      </w:r>
      <w:r w:rsidRPr="009A696E">
        <w:rPr>
          <w:rFonts w:cs="Times New Roman"/>
          <w:iCs/>
          <w:sz w:val="20"/>
          <w:szCs w:val="20"/>
          <w:u w:val="single"/>
          <w:lang w:bidi="en-US"/>
        </w:rPr>
        <w:t>underlined</w:t>
      </w:r>
      <w:r w:rsidRPr="009A696E">
        <w:rPr>
          <w:rFonts w:cs="Times New Roman"/>
          <w:i/>
          <w:sz w:val="20"/>
          <w:szCs w:val="20"/>
          <w:lang w:bidi="en-US"/>
        </w:rPr>
        <w:tab/>
      </w:r>
    </w:p>
    <w:p w14:paraId="715C9B23" w14:textId="77777777" w:rsidR="007F4E3C" w:rsidRPr="009A696E" w:rsidRDefault="007F4E3C" w:rsidP="00CF2511">
      <w:pPr>
        <w:spacing w:line="240" w:lineRule="auto"/>
        <w:rPr>
          <w:rFonts w:eastAsia="Times New Roman" w:cs="Times New Roman"/>
          <w:sz w:val="20"/>
          <w:szCs w:val="20"/>
        </w:rPr>
      </w:pPr>
    </w:p>
    <w:p w14:paraId="01EF616A" w14:textId="01942E3A" w:rsidR="00C8245B" w:rsidRPr="00C77A72" w:rsidRDefault="00C8245B" w:rsidP="00C77A72">
      <w:pPr>
        <w:widowControl w:val="0"/>
        <w:tabs>
          <w:tab w:val="left" w:pos="2099"/>
        </w:tabs>
        <w:autoSpaceDE w:val="0"/>
        <w:autoSpaceDN w:val="0"/>
        <w:spacing w:after="0" w:line="240" w:lineRule="auto"/>
        <w:rPr>
          <w:rFonts w:cs="Times New Roman"/>
          <w:b/>
          <w:bCs/>
          <w:sz w:val="20"/>
          <w:szCs w:val="20"/>
          <w:lang w:bidi="en-US"/>
        </w:rPr>
        <w:sectPr w:rsidR="00C8245B" w:rsidRPr="00C77A72" w:rsidSect="00C8245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pPr>
      <w:r w:rsidRPr="009A696E">
        <w:rPr>
          <w:rFonts w:eastAsia="Times New Roman" w:cs="Times New Roman"/>
          <w:b/>
          <w:sz w:val="20"/>
          <w:szCs w:val="20"/>
        </w:rPr>
        <w:t xml:space="preserve">    </w:t>
      </w:r>
      <w:bookmarkStart w:id="6" w:name="_Toc85798105"/>
    </w:p>
    <w:bookmarkEnd w:id="6"/>
    <w:p w14:paraId="223D5F13" w14:textId="5374A71C" w:rsidR="00963CDA" w:rsidRPr="009A696E" w:rsidRDefault="00963CDA" w:rsidP="00C8245B">
      <w:pPr>
        <w:spacing w:before="240" w:line="240" w:lineRule="auto"/>
        <w:rPr>
          <w:rFonts w:cs="Times New Roman"/>
          <w:b/>
          <w:bCs/>
          <w:sz w:val="20"/>
          <w:szCs w:val="20"/>
        </w:rPr>
      </w:pPr>
      <w:r w:rsidRPr="009A696E">
        <w:rPr>
          <w:rFonts w:cs="Times New Roman"/>
          <w:b/>
          <w:bCs/>
          <w:sz w:val="20"/>
          <w:szCs w:val="20"/>
        </w:rPr>
        <w:lastRenderedPageBreak/>
        <w:t>Assessment of Structural Model, Path Analysis, and Hypothesis Testing</w:t>
      </w:r>
    </w:p>
    <w:p w14:paraId="27752542" w14:textId="77777777" w:rsidR="00963CDA" w:rsidRPr="009A696E" w:rsidRDefault="00963CDA" w:rsidP="00C8245B">
      <w:pPr>
        <w:spacing w:after="0" w:line="240" w:lineRule="auto"/>
        <w:rPr>
          <w:rFonts w:eastAsia="Calibri" w:cs="Times New Roman"/>
          <w:sz w:val="20"/>
          <w:szCs w:val="20"/>
        </w:rPr>
      </w:pPr>
      <w:r w:rsidRPr="009A696E">
        <w:rPr>
          <w:rFonts w:eastAsia="Calibri" w:cs="Times New Roman"/>
          <w:sz w:val="20"/>
          <w:szCs w:val="20"/>
        </w:rPr>
        <w:t xml:space="preserve">With regards to the hypothesised paths, it was found that accounting teaching </w:t>
      </w:r>
      <w:r w:rsidRPr="009A696E">
        <w:rPr>
          <w:rFonts w:eastAsia="Calibri" w:cs="Times New Roman"/>
          <w:i/>
          <w:iCs/>
          <w:sz w:val="20"/>
          <w:szCs w:val="20"/>
        </w:rPr>
        <w:t>reliability</w:t>
      </w:r>
      <w:r w:rsidRPr="009A696E">
        <w:rPr>
          <w:rFonts w:eastAsia="Calibri" w:cs="Times New Roman"/>
          <w:sz w:val="20"/>
          <w:szCs w:val="20"/>
        </w:rPr>
        <w:t xml:space="preserve"> has a statistically significant direct positive effect on undergraduate students’ performance in financial accounting (</w:t>
      </w:r>
      <m:oMath>
        <m:r>
          <m:rPr>
            <m:sty m:val="p"/>
          </m:rPr>
          <w:rPr>
            <w:rFonts w:ascii="Cambria Math" w:eastAsia="Calibri" w:hAnsi="Cambria Math" w:cs="Times New Roman"/>
            <w:sz w:val="20"/>
            <w:szCs w:val="20"/>
          </w:rPr>
          <m:t>β=</m:t>
        </m:r>
        <m:r>
          <m:rPr>
            <m:sty m:val="p"/>
          </m:rPr>
          <w:rPr>
            <w:rFonts w:ascii="Cambria Math" w:eastAsia="Calibri" w:hAnsi="Cambria Math" w:cs="Times New Roman"/>
            <w:color w:val="000000"/>
            <w:sz w:val="20"/>
            <w:szCs w:val="20"/>
          </w:rPr>
          <m:t>.628</m:t>
        </m:r>
        <m:r>
          <m:rPr>
            <m:sty m:val="p"/>
          </m:rPr>
          <w:rPr>
            <w:rFonts w:ascii="Cambria Math" w:eastAsia="Calibri" w:hAnsi="Cambria Math" w:cs="Times New Roman"/>
            <w:sz w:val="20"/>
            <w:szCs w:val="20"/>
          </w:rPr>
          <m:t>;p ˂ .01</m:t>
        </m:r>
      </m:oMath>
      <w:r w:rsidRPr="009A696E">
        <w:rPr>
          <w:rFonts w:eastAsia="Calibri" w:cs="Times New Roman"/>
          <w:sz w:val="20"/>
          <w:szCs w:val="20"/>
        </w:rPr>
        <w:t xml:space="preserve">). This means that a 100% increase in accounting teaching reliability will result in 62.8% increase in undergraduate students’ performance in financial accounting. Hence, </w:t>
      </w:r>
      <w:r w:rsidRPr="009A696E">
        <w:rPr>
          <w:rFonts w:eastAsia="Calibri" w:cs="Times New Roman"/>
          <w:i/>
          <w:sz w:val="20"/>
          <w:szCs w:val="20"/>
        </w:rPr>
        <w:t>H1</w:t>
      </w:r>
      <w:r w:rsidRPr="009A696E">
        <w:rPr>
          <w:rFonts w:eastAsia="Calibri" w:cs="Times New Roman"/>
          <w:sz w:val="20"/>
          <w:szCs w:val="20"/>
        </w:rPr>
        <w:t xml:space="preserve"> was accepted by the study. Also, the study found accounting teaching </w:t>
      </w:r>
      <w:r w:rsidRPr="009A696E">
        <w:rPr>
          <w:rFonts w:eastAsia="Calibri" w:cs="Times New Roman"/>
          <w:i/>
          <w:iCs/>
          <w:sz w:val="20"/>
          <w:szCs w:val="20"/>
        </w:rPr>
        <w:t>responsiveness</w:t>
      </w:r>
      <w:r w:rsidRPr="009A696E">
        <w:rPr>
          <w:rFonts w:eastAsia="Calibri" w:cs="Times New Roman"/>
          <w:sz w:val="20"/>
          <w:szCs w:val="20"/>
        </w:rPr>
        <w:t xml:space="preserve"> to have a statistically significant direct positive effect on undergraduate students’ performance in accounting (</w:t>
      </w:r>
      <m:oMath>
        <m:r>
          <m:rPr>
            <m:sty m:val="p"/>
          </m:rPr>
          <w:rPr>
            <w:rFonts w:ascii="Cambria Math" w:eastAsia="Calibri" w:hAnsi="Cambria Math" w:cs="Times New Roman"/>
            <w:sz w:val="20"/>
            <w:szCs w:val="20"/>
          </w:rPr>
          <m:t>β=</m:t>
        </m:r>
        <m:r>
          <m:rPr>
            <m:sty m:val="p"/>
          </m:rPr>
          <w:rPr>
            <w:rFonts w:ascii="Cambria Math" w:eastAsia="Calibri" w:hAnsi="Cambria Math" w:cs="Times New Roman"/>
            <w:color w:val="000000"/>
            <w:sz w:val="20"/>
            <w:szCs w:val="20"/>
          </w:rPr>
          <m:t>.293</m:t>
        </m:r>
        <m:r>
          <m:rPr>
            <m:sty m:val="p"/>
          </m:rPr>
          <w:rPr>
            <w:rFonts w:ascii="Cambria Math" w:eastAsia="Calibri" w:hAnsi="Cambria Math" w:cs="Times New Roman"/>
            <w:sz w:val="20"/>
            <w:szCs w:val="20"/>
          </w:rPr>
          <m:t>;p ˂ .01</m:t>
        </m:r>
      </m:oMath>
      <w:r w:rsidRPr="009A696E">
        <w:rPr>
          <w:rFonts w:eastAsia="Calibri" w:cs="Times New Roman"/>
          <w:sz w:val="20"/>
          <w:szCs w:val="20"/>
        </w:rPr>
        <w:t xml:space="preserve">), implying that a 100% increase in accounting teaching responsiveness will result in 29.3% increase in undergraduate students’ performance in financial accounting. Hence, </w:t>
      </w:r>
      <w:r w:rsidRPr="009A696E">
        <w:rPr>
          <w:rFonts w:eastAsia="Calibri" w:cs="Times New Roman"/>
          <w:i/>
          <w:sz w:val="20"/>
          <w:szCs w:val="20"/>
        </w:rPr>
        <w:t xml:space="preserve">H2 </w:t>
      </w:r>
      <w:r w:rsidRPr="009A696E">
        <w:rPr>
          <w:rFonts w:eastAsia="Calibri" w:cs="Times New Roman"/>
          <w:sz w:val="20"/>
          <w:szCs w:val="20"/>
        </w:rPr>
        <w:t>was accepted by the study. It was discovered that the impact of accounting teaching assurance on undergraduate students’ performance in accounting is positive but statistically insignificant (</w:t>
      </w:r>
      <m:oMath>
        <m:r>
          <m:rPr>
            <m:sty m:val="p"/>
          </m:rPr>
          <w:rPr>
            <w:rFonts w:ascii="Cambria Math" w:eastAsia="Calibri" w:hAnsi="Cambria Math" w:cs="Times New Roman"/>
            <w:sz w:val="20"/>
            <w:szCs w:val="20"/>
          </w:rPr>
          <m:t>β=</m:t>
        </m:r>
        <m:r>
          <m:rPr>
            <m:sty m:val="p"/>
          </m:rPr>
          <w:rPr>
            <w:rFonts w:ascii="Cambria Math" w:eastAsia="Calibri" w:hAnsi="Cambria Math" w:cs="Times New Roman"/>
            <w:color w:val="000000"/>
            <w:sz w:val="20"/>
            <w:szCs w:val="20"/>
          </w:rPr>
          <m:t>.013</m:t>
        </m:r>
        <m:r>
          <m:rPr>
            <m:sty m:val="p"/>
          </m:rPr>
          <w:rPr>
            <w:rFonts w:ascii="Cambria Math" w:eastAsia="Calibri" w:hAnsi="Cambria Math" w:cs="Times New Roman"/>
            <w:sz w:val="20"/>
            <w:szCs w:val="20"/>
          </w:rPr>
          <m:t>;p ˃ .05</m:t>
        </m:r>
      </m:oMath>
      <w:r w:rsidRPr="009A696E">
        <w:rPr>
          <w:rFonts w:eastAsia="Calibri" w:cs="Times New Roman"/>
          <w:sz w:val="20"/>
          <w:szCs w:val="20"/>
        </w:rPr>
        <w:t xml:space="preserve">), leading to the rejection of </w:t>
      </w:r>
      <w:r w:rsidRPr="009A696E">
        <w:rPr>
          <w:rFonts w:eastAsia="Calibri" w:cs="Times New Roman"/>
          <w:i/>
          <w:sz w:val="20"/>
          <w:szCs w:val="20"/>
        </w:rPr>
        <w:t>H3</w:t>
      </w:r>
      <w:r w:rsidRPr="009A696E">
        <w:rPr>
          <w:rFonts w:eastAsia="Calibri" w:cs="Times New Roman"/>
          <w:sz w:val="20"/>
          <w:szCs w:val="20"/>
        </w:rPr>
        <w:t>. Similarly, the study found the effect of accounting teaching empathy on undergraduate students’ performance in financial accounting to be statistically insignificant positive (</w:t>
      </w:r>
      <m:oMath>
        <m:r>
          <m:rPr>
            <m:sty m:val="p"/>
          </m:rPr>
          <w:rPr>
            <w:rFonts w:ascii="Cambria Math" w:eastAsia="Calibri" w:hAnsi="Cambria Math" w:cs="Times New Roman"/>
            <w:sz w:val="20"/>
            <w:szCs w:val="20"/>
          </w:rPr>
          <m:t>β=</m:t>
        </m:r>
        <m:r>
          <m:rPr>
            <m:sty m:val="p"/>
          </m:rPr>
          <w:rPr>
            <w:rFonts w:ascii="Cambria Math" w:eastAsia="Calibri" w:hAnsi="Cambria Math" w:cs="Times New Roman"/>
            <w:color w:val="000000"/>
            <w:sz w:val="20"/>
            <w:szCs w:val="20"/>
          </w:rPr>
          <m:t>.143</m:t>
        </m:r>
        <m:r>
          <m:rPr>
            <m:sty m:val="p"/>
          </m:rPr>
          <w:rPr>
            <w:rFonts w:ascii="Cambria Math" w:eastAsia="Calibri" w:hAnsi="Cambria Math" w:cs="Times New Roman"/>
            <w:sz w:val="20"/>
            <w:szCs w:val="20"/>
          </w:rPr>
          <m:t>;p ˃ .05</m:t>
        </m:r>
      </m:oMath>
      <w:r w:rsidRPr="009A696E">
        <w:rPr>
          <w:rFonts w:eastAsia="Calibri" w:cs="Times New Roman"/>
          <w:sz w:val="20"/>
          <w:szCs w:val="20"/>
        </w:rPr>
        <w:t xml:space="preserve">). Hence, </w:t>
      </w:r>
      <w:r w:rsidRPr="009A696E">
        <w:rPr>
          <w:rFonts w:eastAsia="Calibri" w:cs="Times New Roman"/>
          <w:i/>
          <w:sz w:val="20"/>
          <w:szCs w:val="20"/>
        </w:rPr>
        <w:t xml:space="preserve">H4 </w:t>
      </w:r>
      <w:r w:rsidRPr="009A696E">
        <w:rPr>
          <w:rFonts w:eastAsia="Calibri" w:cs="Times New Roman"/>
          <w:sz w:val="20"/>
          <w:szCs w:val="20"/>
        </w:rPr>
        <w:t>was rejected by the study. Also, accounting teaching tangibles was found to influence undergraduate students’ performance in financial accounting positively but statistically insignificant (</w:t>
      </w:r>
      <m:oMath>
        <m:r>
          <m:rPr>
            <m:sty m:val="p"/>
          </m:rPr>
          <w:rPr>
            <w:rFonts w:ascii="Cambria Math" w:eastAsia="Calibri" w:hAnsi="Cambria Math" w:cs="Times New Roman"/>
            <w:sz w:val="20"/>
            <w:szCs w:val="20"/>
          </w:rPr>
          <m:t>β=</m:t>
        </m:r>
        <m:r>
          <m:rPr>
            <m:sty m:val="p"/>
          </m:rPr>
          <w:rPr>
            <w:rFonts w:ascii="Cambria Math" w:eastAsia="Calibri" w:hAnsi="Cambria Math" w:cs="Times New Roman"/>
            <w:color w:val="000000"/>
            <w:sz w:val="20"/>
            <w:szCs w:val="20"/>
          </w:rPr>
          <m:t>.118</m:t>
        </m:r>
        <m:r>
          <m:rPr>
            <m:sty m:val="p"/>
          </m:rPr>
          <w:rPr>
            <w:rFonts w:ascii="Cambria Math" w:eastAsia="Calibri" w:hAnsi="Cambria Math" w:cs="Times New Roman"/>
            <w:sz w:val="20"/>
            <w:szCs w:val="20"/>
          </w:rPr>
          <m:t>;p ˃ .05</m:t>
        </m:r>
      </m:oMath>
      <w:r w:rsidRPr="009A696E">
        <w:rPr>
          <w:rFonts w:eastAsia="Calibri" w:cs="Times New Roman"/>
          <w:sz w:val="20"/>
          <w:szCs w:val="20"/>
        </w:rPr>
        <w:t xml:space="preserve">), which lead to the rejection of </w:t>
      </w:r>
      <w:r w:rsidRPr="009A696E">
        <w:rPr>
          <w:rFonts w:eastAsia="Calibri" w:cs="Times New Roman"/>
          <w:i/>
          <w:sz w:val="20"/>
          <w:szCs w:val="20"/>
        </w:rPr>
        <w:t>5</w:t>
      </w:r>
      <w:r w:rsidRPr="009A696E">
        <w:rPr>
          <w:rFonts w:eastAsia="Calibri" w:cs="Times New Roman"/>
          <w:sz w:val="20"/>
          <w:szCs w:val="20"/>
        </w:rPr>
        <w:t>. Therefore, at the end of the analysis, the empirical model has two dimensions of financial accounting teaching quality acting as determinants of students accounting performance (See Fig. 2).</w:t>
      </w:r>
    </w:p>
    <w:p w14:paraId="2D9570EB" w14:textId="77777777" w:rsidR="00533FA7" w:rsidRPr="009A696E" w:rsidRDefault="00533FA7" w:rsidP="00C8245B">
      <w:pPr>
        <w:spacing w:after="0" w:line="240" w:lineRule="auto"/>
        <w:rPr>
          <w:rFonts w:eastAsia="Calibri" w:cs="Times New Roman"/>
          <w:sz w:val="20"/>
          <w:szCs w:val="20"/>
        </w:rPr>
      </w:pPr>
    </w:p>
    <w:p w14:paraId="54232825" w14:textId="77777777" w:rsidR="00963CDA" w:rsidRPr="009A696E" w:rsidRDefault="00963CDA" w:rsidP="00C8245B">
      <w:pPr>
        <w:spacing w:after="0" w:line="240" w:lineRule="auto"/>
        <w:rPr>
          <w:rFonts w:eastAsia="Calibri" w:cs="Times New Roman"/>
          <w:sz w:val="20"/>
          <w:szCs w:val="20"/>
        </w:rPr>
      </w:pPr>
    </w:p>
    <w:p w14:paraId="63C8051B" w14:textId="1289352F" w:rsidR="00963CDA" w:rsidRPr="009A696E" w:rsidRDefault="00963CDA" w:rsidP="00C8245B">
      <w:pPr>
        <w:keepNext/>
        <w:spacing w:after="0" w:line="240" w:lineRule="auto"/>
        <w:jc w:val="left"/>
        <w:rPr>
          <w:rFonts w:eastAsia="Calibri" w:cs="Times New Roman"/>
          <w:b/>
          <w:bCs/>
          <w:sz w:val="20"/>
          <w:szCs w:val="20"/>
        </w:rPr>
      </w:pPr>
      <w:r w:rsidRPr="009A696E">
        <w:rPr>
          <w:rFonts w:eastAsia="Calibri" w:cs="Times New Roman"/>
          <w:b/>
          <w:sz w:val="20"/>
          <w:szCs w:val="20"/>
          <w:lang w:bidi="en-US"/>
        </w:rPr>
        <w:t xml:space="preserve">Table </w:t>
      </w:r>
      <w:r w:rsidR="000B1A04">
        <w:rPr>
          <w:rFonts w:eastAsia="Calibri" w:cs="Times New Roman"/>
          <w:b/>
          <w:sz w:val="20"/>
          <w:szCs w:val="20"/>
          <w:lang w:bidi="en-US"/>
        </w:rPr>
        <w:t>5</w:t>
      </w:r>
      <w:r w:rsidRPr="009A696E">
        <w:rPr>
          <w:rFonts w:eastAsia="Calibri" w:cs="Times New Roman"/>
          <w:b/>
          <w:sz w:val="20"/>
          <w:szCs w:val="20"/>
          <w:lang w:bidi="en-US"/>
        </w:rPr>
        <w:t xml:space="preserve">: Direct </w:t>
      </w:r>
      <w:r w:rsidR="001A5304" w:rsidRPr="009A696E">
        <w:rPr>
          <w:rFonts w:eastAsia="Calibri" w:cs="Times New Roman"/>
          <w:b/>
          <w:sz w:val="20"/>
          <w:szCs w:val="20"/>
          <w:lang w:bidi="en-US"/>
        </w:rPr>
        <w:t>Effect</w:t>
      </w:r>
      <w:r w:rsidRPr="009A696E">
        <w:rPr>
          <w:rFonts w:eastAsia="Calibri" w:cs="Times New Roman"/>
          <w:b/>
          <w:sz w:val="20"/>
          <w:szCs w:val="20"/>
          <w:lang w:bidi="en-US"/>
        </w:rPr>
        <w:t xml:space="preserve"> Estimates</w:t>
      </w:r>
    </w:p>
    <w:tbl>
      <w:tblPr>
        <w:tblStyle w:val="TableGrid1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340"/>
        <w:gridCol w:w="1800"/>
        <w:gridCol w:w="1800"/>
      </w:tblGrid>
      <w:tr w:rsidR="00963CDA" w:rsidRPr="009A696E" w14:paraId="0DAA9CEA" w14:textId="77777777" w:rsidTr="00E20ACC">
        <w:tc>
          <w:tcPr>
            <w:tcW w:w="2520" w:type="dxa"/>
            <w:tcBorders>
              <w:top w:val="single" w:sz="4" w:space="0" w:color="auto"/>
              <w:bottom w:val="single" w:sz="4" w:space="0" w:color="auto"/>
            </w:tcBorders>
            <w:hideMark/>
          </w:tcPr>
          <w:p w14:paraId="0B78CBB5" w14:textId="77777777" w:rsidR="00963CDA" w:rsidRPr="009A696E" w:rsidRDefault="00963CDA" w:rsidP="00C8245B">
            <w:pPr>
              <w:jc w:val="center"/>
              <w:rPr>
                <w:rFonts w:eastAsia="Times New Roman"/>
                <w:bCs/>
                <w:sz w:val="20"/>
                <w:szCs w:val="20"/>
              </w:rPr>
            </w:pPr>
            <w:r w:rsidRPr="009A696E">
              <w:rPr>
                <w:rFonts w:eastAsia="Times New Roman"/>
                <w:b/>
                <w:bCs/>
                <w:sz w:val="20"/>
                <w:szCs w:val="20"/>
              </w:rPr>
              <w:t>Direct Paths</w:t>
            </w:r>
          </w:p>
        </w:tc>
        <w:tc>
          <w:tcPr>
            <w:tcW w:w="2340" w:type="dxa"/>
            <w:tcBorders>
              <w:top w:val="single" w:sz="4" w:space="0" w:color="auto"/>
              <w:bottom w:val="single" w:sz="4" w:space="0" w:color="auto"/>
            </w:tcBorders>
            <w:hideMark/>
          </w:tcPr>
          <w:p w14:paraId="342B8BA3" w14:textId="77777777" w:rsidR="00963CDA" w:rsidRPr="009A696E" w:rsidRDefault="00963CDA" w:rsidP="00C8245B">
            <w:pPr>
              <w:jc w:val="center"/>
              <w:rPr>
                <w:rFonts w:eastAsia="Times New Roman"/>
                <w:b/>
                <w:bCs/>
                <w:sz w:val="20"/>
                <w:szCs w:val="20"/>
              </w:rPr>
            </w:pPr>
            <w:r w:rsidRPr="009A696E">
              <w:rPr>
                <w:rFonts w:eastAsia="Times New Roman"/>
                <w:b/>
                <w:bCs/>
                <w:sz w:val="20"/>
                <w:szCs w:val="20"/>
              </w:rPr>
              <w:t>UnStd. Estimate</w:t>
            </w:r>
          </w:p>
        </w:tc>
        <w:tc>
          <w:tcPr>
            <w:tcW w:w="1800" w:type="dxa"/>
            <w:tcBorders>
              <w:top w:val="single" w:sz="4" w:space="0" w:color="auto"/>
              <w:bottom w:val="single" w:sz="4" w:space="0" w:color="auto"/>
            </w:tcBorders>
            <w:hideMark/>
          </w:tcPr>
          <w:p w14:paraId="0598BE7D" w14:textId="77777777" w:rsidR="00963CDA" w:rsidRPr="009A696E" w:rsidRDefault="00963CDA" w:rsidP="00C8245B">
            <w:pPr>
              <w:jc w:val="center"/>
              <w:rPr>
                <w:rFonts w:eastAsia="Times New Roman"/>
                <w:b/>
                <w:bCs/>
                <w:sz w:val="20"/>
                <w:szCs w:val="20"/>
              </w:rPr>
            </w:pPr>
            <w:r w:rsidRPr="009A696E">
              <w:rPr>
                <w:rFonts w:eastAsia="Times New Roman"/>
                <w:b/>
                <w:bCs/>
                <w:sz w:val="20"/>
                <w:szCs w:val="20"/>
              </w:rPr>
              <w:t>S.E.</w:t>
            </w:r>
          </w:p>
        </w:tc>
        <w:tc>
          <w:tcPr>
            <w:tcW w:w="1800" w:type="dxa"/>
            <w:tcBorders>
              <w:top w:val="single" w:sz="4" w:space="0" w:color="auto"/>
              <w:bottom w:val="single" w:sz="4" w:space="0" w:color="auto"/>
            </w:tcBorders>
            <w:hideMark/>
          </w:tcPr>
          <w:p w14:paraId="4FD085D2" w14:textId="77777777" w:rsidR="00963CDA" w:rsidRPr="009A696E" w:rsidRDefault="00963CDA" w:rsidP="00C8245B">
            <w:pPr>
              <w:jc w:val="center"/>
              <w:rPr>
                <w:rFonts w:eastAsia="Times New Roman"/>
                <w:b/>
                <w:bCs/>
                <w:sz w:val="20"/>
                <w:szCs w:val="20"/>
              </w:rPr>
            </w:pPr>
            <w:r w:rsidRPr="009A696E">
              <w:rPr>
                <w:rFonts w:eastAsia="Times New Roman"/>
                <w:b/>
                <w:bCs/>
                <w:sz w:val="20"/>
                <w:szCs w:val="20"/>
              </w:rPr>
              <w:t>C.R.</w:t>
            </w:r>
          </w:p>
        </w:tc>
      </w:tr>
      <w:tr w:rsidR="00963CDA" w:rsidRPr="009A696E" w14:paraId="1C678553" w14:textId="77777777" w:rsidTr="00E20ACC">
        <w:tc>
          <w:tcPr>
            <w:tcW w:w="2520" w:type="dxa"/>
            <w:hideMark/>
          </w:tcPr>
          <w:p w14:paraId="65526564" w14:textId="77777777" w:rsidR="00963CDA" w:rsidRPr="009A696E" w:rsidRDefault="00963CDA" w:rsidP="00C8245B">
            <w:pPr>
              <w:rPr>
                <w:rFonts w:eastAsia="Times New Roman"/>
                <w:sz w:val="20"/>
                <w:szCs w:val="20"/>
              </w:rPr>
            </w:pPr>
            <w:r w:rsidRPr="009A696E">
              <w:rPr>
                <w:sz w:val="20"/>
                <w:szCs w:val="20"/>
              </w:rPr>
              <w:t>REL</w:t>
            </w:r>
            <w:r w:rsidRPr="009A696E">
              <w:rPr>
                <w:rFonts w:eastAsia="Times New Roman"/>
                <w:sz w:val="20"/>
                <w:szCs w:val="20"/>
              </w:rPr>
              <w:t xml:space="preserve"> → PERF</w:t>
            </w:r>
          </w:p>
        </w:tc>
        <w:tc>
          <w:tcPr>
            <w:tcW w:w="2340" w:type="dxa"/>
            <w:vAlign w:val="center"/>
            <w:hideMark/>
          </w:tcPr>
          <w:p w14:paraId="2508A9DC" w14:textId="77777777" w:rsidR="00963CDA" w:rsidRPr="009A696E" w:rsidRDefault="00963CDA" w:rsidP="00C8245B">
            <w:pPr>
              <w:jc w:val="center"/>
              <w:rPr>
                <w:rFonts w:eastAsia="Times New Roman"/>
                <w:sz w:val="20"/>
                <w:szCs w:val="20"/>
              </w:rPr>
            </w:pPr>
            <w:r w:rsidRPr="009A696E">
              <w:rPr>
                <w:sz w:val="20"/>
                <w:szCs w:val="20"/>
              </w:rPr>
              <w:t>.628</w:t>
            </w:r>
          </w:p>
        </w:tc>
        <w:tc>
          <w:tcPr>
            <w:tcW w:w="1800" w:type="dxa"/>
            <w:vAlign w:val="center"/>
            <w:hideMark/>
          </w:tcPr>
          <w:p w14:paraId="5869326A" w14:textId="77777777" w:rsidR="00963CDA" w:rsidRPr="009A696E" w:rsidRDefault="00963CDA" w:rsidP="00C8245B">
            <w:pPr>
              <w:jc w:val="center"/>
              <w:rPr>
                <w:rFonts w:eastAsia="Times New Roman"/>
                <w:sz w:val="20"/>
                <w:szCs w:val="20"/>
              </w:rPr>
            </w:pPr>
            <w:r w:rsidRPr="009A696E">
              <w:rPr>
                <w:sz w:val="20"/>
                <w:szCs w:val="20"/>
              </w:rPr>
              <w:t>.112</w:t>
            </w:r>
          </w:p>
        </w:tc>
        <w:tc>
          <w:tcPr>
            <w:tcW w:w="1800" w:type="dxa"/>
            <w:vAlign w:val="bottom"/>
            <w:hideMark/>
          </w:tcPr>
          <w:p w14:paraId="56BFF003" w14:textId="77777777" w:rsidR="00963CDA" w:rsidRPr="009A696E" w:rsidRDefault="00963CDA" w:rsidP="00C8245B">
            <w:pPr>
              <w:jc w:val="center"/>
              <w:rPr>
                <w:rFonts w:eastAsia="Times New Roman"/>
                <w:sz w:val="20"/>
                <w:szCs w:val="20"/>
              </w:rPr>
            </w:pPr>
            <w:r w:rsidRPr="009A696E">
              <w:rPr>
                <w:sz w:val="20"/>
                <w:szCs w:val="20"/>
              </w:rPr>
              <w:t>5.607</w:t>
            </w:r>
            <w:r w:rsidRPr="009A696E">
              <w:rPr>
                <w:rFonts w:eastAsia="Times New Roman"/>
                <w:sz w:val="20"/>
                <w:szCs w:val="20"/>
                <w:vertAlign w:val="superscript"/>
              </w:rPr>
              <w:t>**</w:t>
            </w:r>
          </w:p>
        </w:tc>
      </w:tr>
      <w:tr w:rsidR="00963CDA" w:rsidRPr="009A696E" w14:paraId="2D6AAADD" w14:textId="77777777" w:rsidTr="00E20ACC">
        <w:trPr>
          <w:trHeight w:val="363"/>
        </w:trPr>
        <w:tc>
          <w:tcPr>
            <w:tcW w:w="2520" w:type="dxa"/>
            <w:hideMark/>
          </w:tcPr>
          <w:p w14:paraId="4A7279A6" w14:textId="77777777" w:rsidR="00963CDA" w:rsidRPr="009A696E" w:rsidRDefault="00963CDA" w:rsidP="00C8245B">
            <w:pPr>
              <w:rPr>
                <w:rFonts w:eastAsia="Times New Roman"/>
                <w:sz w:val="20"/>
                <w:szCs w:val="20"/>
              </w:rPr>
            </w:pPr>
            <w:r w:rsidRPr="009A696E">
              <w:rPr>
                <w:sz w:val="20"/>
                <w:szCs w:val="20"/>
              </w:rPr>
              <w:t>RES</w:t>
            </w:r>
            <w:r w:rsidRPr="009A696E">
              <w:rPr>
                <w:rFonts w:eastAsia="Times New Roman"/>
                <w:sz w:val="20"/>
                <w:szCs w:val="20"/>
              </w:rPr>
              <w:t xml:space="preserve"> → PERF</w:t>
            </w:r>
          </w:p>
        </w:tc>
        <w:tc>
          <w:tcPr>
            <w:tcW w:w="2340" w:type="dxa"/>
            <w:vAlign w:val="center"/>
            <w:hideMark/>
          </w:tcPr>
          <w:p w14:paraId="24B1AD7F" w14:textId="77777777" w:rsidR="00963CDA" w:rsidRPr="009A696E" w:rsidRDefault="00963CDA" w:rsidP="00C8245B">
            <w:pPr>
              <w:jc w:val="center"/>
              <w:rPr>
                <w:rFonts w:eastAsia="Times New Roman"/>
                <w:sz w:val="20"/>
                <w:szCs w:val="20"/>
              </w:rPr>
            </w:pPr>
            <w:r w:rsidRPr="009A696E">
              <w:rPr>
                <w:sz w:val="20"/>
                <w:szCs w:val="20"/>
              </w:rPr>
              <w:t>.293</w:t>
            </w:r>
          </w:p>
        </w:tc>
        <w:tc>
          <w:tcPr>
            <w:tcW w:w="1800" w:type="dxa"/>
            <w:vAlign w:val="center"/>
            <w:hideMark/>
          </w:tcPr>
          <w:p w14:paraId="4F59B2F5" w14:textId="77777777" w:rsidR="00963CDA" w:rsidRPr="009A696E" w:rsidRDefault="00963CDA" w:rsidP="00C8245B">
            <w:pPr>
              <w:jc w:val="center"/>
              <w:rPr>
                <w:rFonts w:eastAsia="Times New Roman"/>
                <w:sz w:val="20"/>
                <w:szCs w:val="20"/>
              </w:rPr>
            </w:pPr>
            <w:r w:rsidRPr="009A696E">
              <w:rPr>
                <w:sz w:val="20"/>
                <w:szCs w:val="20"/>
              </w:rPr>
              <w:t>.043</w:t>
            </w:r>
          </w:p>
        </w:tc>
        <w:tc>
          <w:tcPr>
            <w:tcW w:w="1800" w:type="dxa"/>
            <w:vAlign w:val="bottom"/>
            <w:hideMark/>
          </w:tcPr>
          <w:p w14:paraId="3F334855" w14:textId="77777777" w:rsidR="00963CDA" w:rsidRPr="009A696E" w:rsidRDefault="00963CDA" w:rsidP="00C8245B">
            <w:pPr>
              <w:jc w:val="center"/>
              <w:rPr>
                <w:rFonts w:eastAsia="Times New Roman"/>
                <w:sz w:val="20"/>
                <w:szCs w:val="20"/>
              </w:rPr>
            </w:pPr>
            <w:r w:rsidRPr="009A696E">
              <w:rPr>
                <w:sz w:val="20"/>
                <w:szCs w:val="20"/>
              </w:rPr>
              <w:t>6.814</w:t>
            </w:r>
            <w:r w:rsidRPr="009A696E">
              <w:rPr>
                <w:rFonts w:eastAsia="Times New Roman"/>
                <w:sz w:val="20"/>
                <w:szCs w:val="20"/>
                <w:vertAlign w:val="superscript"/>
              </w:rPr>
              <w:t>**</w:t>
            </w:r>
          </w:p>
        </w:tc>
      </w:tr>
      <w:tr w:rsidR="00963CDA" w:rsidRPr="009A696E" w14:paraId="34726325" w14:textId="77777777" w:rsidTr="00E20ACC">
        <w:trPr>
          <w:trHeight w:val="327"/>
        </w:trPr>
        <w:tc>
          <w:tcPr>
            <w:tcW w:w="2520" w:type="dxa"/>
            <w:hideMark/>
          </w:tcPr>
          <w:p w14:paraId="7029ACC9" w14:textId="77777777" w:rsidR="00963CDA" w:rsidRPr="009A696E" w:rsidRDefault="00963CDA" w:rsidP="00C8245B">
            <w:pPr>
              <w:rPr>
                <w:rFonts w:eastAsia="Times New Roman"/>
                <w:sz w:val="20"/>
                <w:szCs w:val="20"/>
              </w:rPr>
            </w:pPr>
            <w:r w:rsidRPr="009A696E">
              <w:rPr>
                <w:sz w:val="20"/>
                <w:szCs w:val="20"/>
              </w:rPr>
              <w:t>ASS</w:t>
            </w:r>
            <w:r w:rsidRPr="009A696E">
              <w:rPr>
                <w:rFonts w:eastAsia="Times New Roman"/>
                <w:sz w:val="20"/>
                <w:szCs w:val="20"/>
              </w:rPr>
              <w:t xml:space="preserve"> → PERF</w:t>
            </w:r>
          </w:p>
        </w:tc>
        <w:tc>
          <w:tcPr>
            <w:tcW w:w="2340" w:type="dxa"/>
            <w:vAlign w:val="center"/>
            <w:hideMark/>
          </w:tcPr>
          <w:p w14:paraId="09D68652" w14:textId="77777777" w:rsidR="00963CDA" w:rsidRPr="009A696E" w:rsidRDefault="00963CDA" w:rsidP="00C8245B">
            <w:pPr>
              <w:jc w:val="center"/>
              <w:rPr>
                <w:rFonts w:eastAsia="Times New Roman"/>
                <w:sz w:val="20"/>
                <w:szCs w:val="20"/>
              </w:rPr>
            </w:pPr>
            <w:r w:rsidRPr="009A696E">
              <w:rPr>
                <w:sz w:val="20"/>
                <w:szCs w:val="20"/>
              </w:rPr>
              <w:t>.013</w:t>
            </w:r>
          </w:p>
        </w:tc>
        <w:tc>
          <w:tcPr>
            <w:tcW w:w="1800" w:type="dxa"/>
            <w:vAlign w:val="center"/>
            <w:hideMark/>
          </w:tcPr>
          <w:p w14:paraId="05EBAF77" w14:textId="77777777" w:rsidR="00963CDA" w:rsidRPr="009A696E" w:rsidRDefault="00963CDA" w:rsidP="00C8245B">
            <w:pPr>
              <w:jc w:val="center"/>
              <w:rPr>
                <w:rFonts w:eastAsia="Times New Roman"/>
                <w:sz w:val="20"/>
                <w:szCs w:val="20"/>
              </w:rPr>
            </w:pPr>
            <w:r w:rsidRPr="009A696E">
              <w:rPr>
                <w:sz w:val="20"/>
                <w:szCs w:val="20"/>
              </w:rPr>
              <w:t>.120</w:t>
            </w:r>
          </w:p>
        </w:tc>
        <w:tc>
          <w:tcPr>
            <w:tcW w:w="1800" w:type="dxa"/>
            <w:vAlign w:val="bottom"/>
            <w:hideMark/>
          </w:tcPr>
          <w:p w14:paraId="3DB71A22" w14:textId="77777777" w:rsidR="00963CDA" w:rsidRPr="009A696E" w:rsidRDefault="00963CDA" w:rsidP="00C8245B">
            <w:pPr>
              <w:jc w:val="center"/>
              <w:rPr>
                <w:rFonts w:eastAsia="Times New Roman"/>
                <w:sz w:val="20"/>
                <w:szCs w:val="20"/>
              </w:rPr>
            </w:pPr>
            <w:r w:rsidRPr="009A696E">
              <w:rPr>
                <w:sz w:val="20"/>
                <w:szCs w:val="20"/>
              </w:rPr>
              <w:t>.108</w:t>
            </w:r>
          </w:p>
        </w:tc>
      </w:tr>
      <w:tr w:rsidR="00963CDA" w:rsidRPr="009A696E" w14:paraId="018D09C2" w14:textId="77777777" w:rsidTr="00E20ACC">
        <w:tc>
          <w:tcPr>
            <w:tcW w:w="2520" w:type="dxa"/>
            <w:hideMark/>
          </w:tcPr>
          <w:p w14:paraId="23523F49" w14:textId="77777777" w:rsidR="00963CDA" w:rsidRPr="009A696E" w:rsidRDefault="00963CDA" w:rsidP="00C8245B">
            <w:pPr>
              <w:rPr>
                <w:rFonts w:eastAsia="Times New Roman"/>
                <w:sz w:val="20"/>
                <w:szCs w:val="20"/>
              </w:rPr>
            </w:pPr>
            <w:r w:rsidRPr="009A696E">
              <w:rPr>
                <w:sz w:val="20"/>
                <w:szCs w:val="20"/>
              </w:rPr>
              <w:t>EMP</w:t>
            </w:r>
            <w:r w:rsidRPr="009A696E">
              <w:rPr>
                <w:rFonts w:eastAsia="Times New Roman"/>
                <w:sz w:val="20"/>
                <w:szCs w:val="20"/>
              </w:rPr>
              <w:t xml:space="preserve"> → PERF</w:t>
            </w:r>
          </w:p>
        </w:tc>
        <w:tc>
          <w:tcPr>
            <w:tcW w:w="2340" w:type="dxa"/>
            <w:vAlign w:val="center"/>
            <w:hideMark/>
          </w:tcPr>
          <w:p w14:paraId="255299E1" w14:textId="77777777" w:rsidR="00963CDA" w:rsidRPr="009A696E" w:rsidRDefault="00963CDA" w:rsidP="00C8245B">
            <w:pPr>
              <w:jc w:val="center"/>
              <w:rPr>
                <w:rFonts w:eastAsia="Times New Roman"/>
                <w:sz w:val="20"/>
                <w:szCs w:val="20"/>
              </w:rPr>
            </w:pPr>
            <w:r w:rsidRPr="009A696E">
              <w:rPr>
                <w:sz w:val="20"/>
                <w:szCs w:val="20"/>
              </w:rPr>
              <w:t>.143</w:t>
            </w:r>
          </w:p>
        </w:tc>
        <w:tc>
          <w:tcPr>
            <w:tcW w:w="1800" w:type="dxa"/>
            <w:vAlign w:val="center"/>
            <w:hideMark/>
          </w:tcPr>
          <w:p w14:paraId="6CE615B7" w14:textId="77777777" w:rsidR="00963CDA" w:rsidRPr="009A696E" w:rsidRDefault="00963CDA" w:rsidP="00C8245B">
            <w:pPr>
              <w:jc w:val="center"/>
              <w:rPr>
                <w:rFonts w:eastAsia="Times New Roman"/>
                <w:sz w:val="20"/>
                <w:szCs w:val="20"/>
              </w:rPr>
            </w:pPr>
            <w:r w:rsidRPr="009A696E">
              <w:rPr>
                <w:sz w:val="20"/>
                <w:szCs w:val="20"/>
              </w:rPr>
              <w:t>.090</w:t>
            </w:r>
          </w:p>
        </w:tc>
        <w:tc>
          <w:tcPr>
            <w:tcW w:w="1800" w:type="dxa"/>
            <w:vAlign w:val="bottom"/>
            <w:hideMark/>
          </w:tcPr>
          <w:p w14:paraId="51DC0A89" w14:textId="77777777" w:rsidR="00963CDA" w:rsidRPr="009A696E" w:rsidRDefault="00963CDA" w:rsidP="00C8245B">
            <w:pPr>
              <w:jc w:val="center"/>
              <w:rPr>
                <w:rFonts w:eastAsia="Times New Roman"/>
                <w:sz w:val="20"/>
                <w:szCs w:val="20"/>
              </w:rPr>
            </w:pPr>
            <w:r w:rsidRPr="009A696E">
              <w:rPr>
                <w:sz w:val="20"/>
                <w:szCs w:val="20"/>
              </w:rPr>
              <w:t>1.589</w:t>
            </w:r>
          </w:p>
        </w:tc>
      </w:tr>
      <w:tr w:rsidR="00963CDA" w:rsidRPr="009A696E" w14:paraId="3B8F5909" w14:textId="77777777" w:rsidTr="00E20ACC">
        <w:tc>
          <w:tcPr>
            <w:tcW w:w="2520" w:type="dxa"/>
            <w:tcBorders>
              <w:bottom w:val="single" w:sz="4" w:space="0" w:color="auto"/>
            </w:tcBorders>
            <w:hideMark/>
          </w:tcPr>
          <w:p w14:paraId="1ABBFEBE" w14:textId="77777777" w:rsidR="00963CDA" w:rsidRPr="009A696E" w:rsidRDefault="00963CDA" w:rsidP="00C8245B">
            <w:pPr>
              <w:rPr>
                <w:rFonts w:eastAsia="Times New Roman"/>
                <w:sz w:val="20"/>
                <w:szCs w:val="20"/>
              </w:rPr>
            </w:pPr>
            <w:r w:rsidRPr="009A696E">
              <w:rPr>
                <w:sz w:val="20"/>
                <w:szCs w:val="20"/>
              </w:rPr>
              <w:t>TAN</w:t>
            </w:r>
            <w:r w:rsidRPr="009A696E">
              <w:rPr>
                <w:rFonts w:eastAsia="Times New Roman"/>
                <w:sz w:val="20"/>
                <w:szCs w:val="20"/>
              </w:rPr>
              <w:t xml:space="preserve"> → PERF</w:t>
            </w:r>
          </w:p>
        </w:tc>
        <w:tc>
          <w:tcPr>
            <w:tcW w:w="2340" w:type="dxa"/>
            <w:tcBorders>
              <w:bottom w:val="single" w:sz="4" w:space="0" w:color="auto"/>
            </w:tcBorders>
            <w:vAlign w:val="center"/>
            <w:hideMark/>
          </w:tcPr>
          <w:p w14:paraId="39287965" w14:textId="77777777" w:rsidR="00963CDA" w:rsidRPr="009A696E" w:rsidRDefault="00963CDA" w:rsidP="00C8245B">
            <w:pPr>
              <w:jc w:val="center"/>
              <w:rPr>
                <w:rFonts w:eastAsia="Times New Roman"/>
                <w:sz w:val="20"/>
                <w:szCs w:val="20"/>
              </w:rPr>
            </w:pPr>
            <w:r w:rsidRPr="009A696E">
              <w:rPr>
                <w:sz w:val="20"/>
                <w:szCs w:val="20"/>
              </w:rPr>
              <w:t>.118</w:t>
            </w:r>
          </w:p>
        </w:tc>
        <w:tc>
          <w:tcPr>
            <w:tcW w:w="1800" w:type="dxa"/>
            <w:tcBorders>
              <w:bottom w:val="single" w:sz="4" w:space="0" w:color="auto"/>
            </w:tcBorders>
            <w:vAlign w:val="center"/>
            <w:hideMark/>
          </w:tcPr>
          <w:p w14:paraId="60C5E9C6" w14:textId="77777777" w:rsidR="00963CDA" w:rsidRPr="009A696E" w:rsidRDefault="00963CDA" w:rsidP="00C8245B">
            <w:pPr>
              <w:jc w:val="center"/>
              <w:rPr>
                <w:rFonts w:eastAsia="Times New Roman"/>
                <w:sz w:val="20"/>
                <w:szCs w:val="20"/>
              </w:rPr>
            </w:pPr>
            <w:r w:rsidRPr="009A696E">
              <w:rPr>
                <w:sz w:val="20"/>
                <w:szCs w:val="20"/>
              </w:rPr>
              <w:t>.095</w:t>
            </w:r>
          </w:p>
        </w:tc>
        <w:tc>
          <w:tcPr>
            <w:tcW w:w="1800" w:type="dxa"/>
            <w:tcBorders>
              <w:bottom w:val="single" w:sz="4" w:space="0" w:color="auto"/>
            </w:tcBorders>
            <w:vAlign w:val="bottom"/>
            <w:hideMark/>
          </w:tcPr>
          <w:p w14:paraId="23A63D6E" w14:textId="77777777" w:rsidR="00963CDA" w:rsidRPr="009A696E" w:rsidRDefault="00963CDA" w:rsidP="00C8245B">
            <w:pPr>
              <w:jc w:val="center"/>
              <w:rPr>
                <w:rFonts w:eastAsia="Times New Roman"/>
                <w:sz w:val="20"/>
                <w:szCs w:val="20"/>
              </w:rPr>
            </w:pPr>
            <w:r w:rsidRPr="009A696E">
              <w:rPr>
                <w:sz w:val="20"/>
                <w:szCs w:val="20"/>
              </w:rPr>
              <w:t>1.242</w:t>
            </w:r>
          </w:p>
        </w:tc>
      </w:tr>
    </w:tbl>
    <w:p w14:paraId="05579154" w14:textId="77777777" w:rsidR="00963CDA" w:rsidRPr="009A696E" w:rsidRDefault="00963CDA" w:rsidP="00C8245B">
      <w:pPr>
        <w:autoSpaceDE w:val="0"/>
        <w:autoSpaceDN w:val="0"/>
        <w:adjustRightInd w:val="0"/>
        <w:spacing w:after="0" w:line="240" w:lineRule="auto"/>
        <w:rPr>
          <w:rFonts w:eastAsia="Calibri" w:cs="Times New Roman"/>
          <w:bCs/>
          <w:sz w:val="20"/>
          <w:szCs w:val="20"/>
          <w:lang w:bidi="en-US"/>
        </w:rPr>
      </w:pPr>
      <w:r w:rsidRPr="009A696E">
        <w:rPr>
          <w:rFonts w:eastAsia="Calibri" w:cs="Times New Roman"/>
          <w:bCs/>
          <w:color w:val="000000"/>
          <w:sz w:val="20"/>
          <w:szCs w:val="20"/>
          <w:lang w:bidi="en-US"/>
        </w:rPr>
        <w:t>Bootstrap Bias-Corrected Confidence Interval at 95%</w:t>
      </w:r>
    </w:p>
    <w:p w14:paraId="0B6EFBF1" w14:textId="77777777" w:rsidR="00963CDA" w:rsidRDefault="00963CDA" w:rsidP="00C8245B">
      <w:pPr>
        <w:autoSpaceDE w:val="0"/>
        <w:autoSpaceDN w:val="0"/>
        <w:adjustRightInd w:val="0"/>
        <w:spacing w:line="240" w:lineRule="auto"/>
        <w:rPr>
          <w:rFonts w:eastAsia="Calibri" w:cs="Times New Roman"/>
          <w:sz w:val="20"/>
          <w:szCs w:val="20"/>
          <w:lang w:bidi="en-US"/>
        </w:rPr>
      </w:pPr>
      <w:r w:rsidRPr="009A696E">
        <w:rPr>
          <w:rFonts w:eastAsia="Calibri" w:cs="Times New Roman"/>
          <w:sz w:val="20"/>
          <w:szCs w:val="20"/>
          <w:vertAlign w:val="superscript"/>
          <w:lang w:bidi="en-US"/>
        </w:rPr>
        <w:t>**</w:t>
      </w:r>
      <w:r w:rsidRPr="009A696E">
        <w:rPr>
          <w:rFonts w:eastAsia="Calibri" w:cs="Times New Roman"/>
          <w:sz w:val="20"/>
          <w:szCs w:val="20"/>
          <w:lang w:bidi="en-US"/>
        </w:rPr>
        <w:t xml:space="preserve">Sig. at 1%; </w:t>
      </w:r>
      <w:r w:rsidRPr="009A696E">
        <w:rPr>
          <w:rFonts w:eastAsia="Calibri" w:cs="Times New Roman"/>
          <w:sz w:val="20"/>
          <w:szCs w:val="20"/>
          <w:vertAlign w:val="superscript"/>
          <w:lang w:bidi="en-US"/>
        </w:rPr>
        <w:t>*</w:t>
      </w:r>
      <w:r w:rsidRPr="009A696E">
        <w:rPr>
          <w:rFonts w:eastAsia="Calibri" w:cs="Times New Roman"/>
          <w:sz w:val="20"/>
          <w:szCs w:val="20"/>
          <w:lang w:bidi="en-US"/>
        </w:rPr>
        <w:t>Sig. at 5%</w:t>
      </w:r>
    </w:p>
    <w:p w14:paraId="5FFFCDCD" w14:textId="77777777" w:rsidR="00D84579" w:rsidRDefault="00D84579" w:rsidP="00C8245B">
      <w:pPr>
        <w:autoSpaceDE w:val="0"/>
        <w:autoSpaceDN w:val="0"/>
        <w:adjustRightInd w:val="0"/>
        <w:spacing w:line="240" w:lineRule="auto"/>
        <w:rPr>
          <w:rFonts w:eastAsia="Calibri" w:cs="Times New Roman"/>
          <w:sz w:val="20"/>
          <w:szCs w:val="20"/>
          <w:lang w:bidi="en-US"/>
        </w:rPr>
      </w:pPr>
    </w:p>
    <w:p w14:paraId="1E905053" w14:textId="77777777" w:rsidR="00D84579" w:rsidRDefault="00D84579" w:rsidP="00C8245B">
      <w:pPr>
        <w:autoSpaceDE w:val="0"/>
        <w:autoSpaceDN w:val="0"/>
        <w:adjustRightInd w:val="0"/>
        <w:spacing w:line="240" w:lineRule="auto"/>
        <w:rPr>
          <w:rFonts w:eastAsia="Calibri" w:cs="Times New Roman"/>
          <w:sz w:val="20"/>
          <w:szCs w:val="20"/>
          <w:lang w:bidi="en-US"/>
        </w:rPr>
      </w:pPr>
    </w:p>
    <w:p w14:paraId="69A66FD9" w14:textId="77777777" w:rsidR="00D84579" w:rsidRPr="009A696E" w:rsidRDefault="00D84579" w:rsidP="00C8245B">
      <w:pPr>
        <w:autoSpaceDE w:val="0"/>
        <w:autoSpaceDN w:val="0"/>
        <w:adjustRightInd w:val="0"/>
        <w:spacing w:line="240" w:lineRule="auto"/>
        <w:rPr>
          <w:rFonts w:eastAsia="Calibri" w:cs="Times New Roman"/>
          <w:sz w:val="20"/>
          <w:szCs w:val="20"/>
          <w:lang w:bidi="en-US"/>
        </w:rPr>
      </w:pPr>
    </w:p>
    <w:p w14:paraId="3BC3F769" w14:textId="00CBC9F3" w:rsidR="00963CDA" w:rsidRPr="009A696E" w:rsidRDefault="005A5423" w:rsidP="00C8245B">
      <w:pPr>
        <w:autoSpaceDE w:val="0"/>
        <w:autoSpaceDN w:val="0"/>
        <w:adjustRightInd w:val="0"/>
        <w:spacing w:line="240" w:lineRule="auto"/>
        <w:rPr>
          <w:rFonts w:eastAsia="Calibri" w:cs="Times New Roman"/>
          <w:sz w:val="20"/>
          <w:szCs w:val="20"/>
          <w:lang w:bidi="en-US"/>
        </w:rPr>
      </w:pPr>
      <w:r w:rsidRPr="009A696E">
        <w:rPr>
          <w:rFonts w:eastAsia="Calibri" w:cs="Times New Roman"/>
          <w:noProof/>
          <w:sz w:val="20"/>
          <w:szCs w:val="20"/>
          <w:lang w:val="en-US"/>
          <w14:ligatures w14:val="standardContextual"/>
        </w:rPr>
        <mc:AlternateContent>
          <mc:Choice Requires="wpg">
            <w:drawing>
              <wp:anchor distT="0" distB="0" distL="114300" distR="114300" simplePos="0" relativeHeight="251661312" behindDoc="0" locked="0" layoutInCell="1" allowOverlap="1" wp14:anchorId="250F1112" wp14:editId="3BFFF47E">
                <wp:simplePos x="0" y="0"/>
                <wp:positionH relativeFrom="column">
                  <wp:posOffset>167640</wp:posOffset>
                </wp:positionH>
                <wp:positionV relativeFrom="paragraph">
                  <wp:posOffset>85725</wp:posOffset>
                </wp:positionV>
                <wp:extent cx="4991100" cy="2263140"/>
                <wp:effectExtent l="0" t="57150" r="19050" b="22860"/>
                <wp:wrapNone/>
                <wp:docPr id="1537161671" name="Group 1"/>
                <wp:cNvGraphicFramePr/>
                <a:graphic xmlns:a="http://schemas.openxmlformats.org/drawingml/2006/main">
                  <a:graphicData uri="http://schemas.microsoft.com/office/word/2010/wordprocessingGroup">
                    <wpg:wgp>
                      <wpg:cNvGrpSpPr/>
                      <wpg:grpSpPr>
                        <a:xfrm>
                          <a:off x="0" y="0"/>
                          <a:ext cx="4991100" cy="2263140"/>
                          <a:chOff x="0" y="0"/>
                          <a:chExt cx="4991100" cy="2263140"/>
                        </a:xfrm>
                      </wpg:grpSpPr>
                      <wpg:grpSp>
                        <wpg:cNvPr id="1913817830" name="Group 10"/>
                        <wpg:cNvGrpSpPr/>
                        <wpg:grpSpPr>
                          <a:xfrm>
                            <a:off x="0" y="0"/>
                            <a:ext cx="4991100" cy="2263140"/>
                            <a:chOff x="-495300" y="0"/>
                            <a:chExt cx="4991100" cy="2263140"/>
                          </a:xfrm>
                        </wpg:grpSpPr>
                        <wps:wsp>
                          <wps:cNvPr id="1644752231" name="Text Box 2"/>
                          <wps:cNvSpPr txBox="1"/>
                          <wps:spPr>
                            <a:xfrm>
                              <a:off x="2849880" y="0"/>
                              <a:ext cx="1645920" cy="342900"/>
                            </a:xfrm>
                            <a:prstGeom prst="rect">
                              <a:avLst/>
                            </a:prstGeom>
                            <a:solidFill>
                              <a:schemeClr val="lt1"/>
                            </a:solidFill>
                            <a:ln w="6350">
                              <a:solidFill>
                                <a:schemeClr val="tx1"/>
                              </a:solidFill>
                            </a:ln>
                          </wps:spPr>
                          <wps:txbx>
                            <w:txbxContent>
                              <w:p w14:paraId="2855B6C5" w14:textId="15F553EE" w:rsidR="00963CDA" w:rsidRDefault="00963CDA" w:rsidP="00943FBB">
                                <w:pPr>
                                  <w:jc w:val="center"/>
                                </w:pPr>
                                <w:r>
                                  <w:t>Reliability</w:t>
                                </w:r>
                                <w:r w:rsidR="00943FBB">
                                  <w:t xml:space="preserve"> (REL)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0591544" name="Text Box 2"/>
                          <wps:cNvSpPr txBox="1"/>
                          <wps:spPr>
                            <a:xfrm>
                              <a:off x="2857500" y="1920240"/>
                              <a:ext cx="1630680" cy="342900"/>
                            </a:xfrm>
                            <a:prstGeom prst="rect">
                              <a:avLst/>
                            </a:prstGeom>
                            <a:solidFill>
                              <a:schemeClr val="lt1"/>
                            </a:solidFill>
                            <a:ln w="6350">
                              <a:solidFill>
                                <a:schemeClr val="tx1"/>
                              </a:solidFill>
                            </a:ln>
                          </wps:spPr>
                          <wps:txbx>
                            <w:txbxContent>
                              <w:p w14:paraId="7CF1F6BB" w14:textId="6149EBCF" w:rsidR="00963CDA" w:rsidRDefault="00963CDA" w:rsidP="00943FBB">
                                <w:pPr>
                                  <w:jc w:val="center"/>
                                </w:pPr>
                                <w:r>
                                  <w:t>Responsiveness</w:t>
                                </w:r>
                                <w:r w:rsidR="00943FBB">
                                  <w:t xml:space="preserve"> (RES)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812436" name="Text Box 2"/>
                          <wps:cNvSpPr txBox="1"/>
                          <wps:spPr>
                            <a:xfrm>
                              <a:off x="-495300" y="1036320"/>
                              <a:ext cx="1508760" cy="548640"/>
                            </a:xfrm>
                            <a:prstGeom prst="rect">
                              <a:avLst/>
                            </a:prstGeom>
                            <a:solidFill>
                              <a:schemeClr val="lt1"/>
                            </a:solidFill>
                            <a:ln w="6350">
                              <a:solidFill>
                                <a:schemeClr val="tx1"/>
                              </a:solidFill>
                            </a:ln>
                          </wps:spPr>
                          <wps:txbx>
                            <w:txbxContent>
                              <w:p w14:paraId="553EF26E" w14:textId="746A3885" w:rsidR="00963CDA" w:rsidRDefault="00963CDA" w:rsidP="00963CDA">
                                <w:r>
                                  <w:t>Financial Accounting performance</w:t>
                                </w:r>
                                <w:r w:rsidR="00943FBB">
                                  <w:t xml:space="preserve"> (PERF)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8670251" name="Straight Arrow Connector 3"/>
                          <wps:cNvCnPr/>
                          <wps:spPr>
                            <a:xfrm flipH="1">
                              <a:off x="1013460" y="167640"/>
                              <a:ext cx="1836420" cy="1143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2572932" name="Straight Arrow Connector 4"/>
                          <wps:cNvCnPr/>
                          <wps:spPr>
                            <a:xfrm flipH="1" flipV="1">
                              <a:off x="1005840" y="1428750"/>
                              <a:ext cx="1851660" cy="6629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9781471" name="Text Box 9"/>
                          <wps:cNvSpPr txBox="1"/>
                          <wps:spPr>
                            <a:xfrm rot="19833719">
                              <a:off x="949194" y="396973"/>
                              <a:ext cx="2103216" cy="362983"/>
                            </a:xfrm>
                            <a:prstGeom prst="rect">
                              <a:avLst/>
                            </a:prstGeom>
                            <a:noFill/>
                            <a:ln w="6350">
                              <a:noFill/>
                            </a:ln>
                          </wps:spPr>
                          <wps:txbx>
                            <w:txbxContent>
                              <w:p w14:paraId="43371C47" w14:textId="77777777" w:rsidR="00963CDA" w:rsidRDefault="00963CDA" w:rsidP="00963CDA">
                                <m:oMathPara>
                                  <m:oMath>
                                    <m:r>
                                      <m:rPr>
                                        <m:sty m:val="p"/>
                                      </m:rPr>
                                      <w:rPr>
                                        <w:rFonts w:ascii="Cambria Math" w:eastAsia="Calibri" w:hAnsi="Cambria Math" w:cstheme="minorHAnsi"/>
                                        <w:szCs w:val="24"/>
                                      </w:rPr>
                                      <m:t>β=</m:t>
                                    </m:r>
                                    <m:r>
                                      <m:rPr>
                                        <m:sty m:val="p"/>
                                      </m:rPr>
                                      <w:rPr>
                                        <w:rFonts w:ascii="Cambria Math" w:eastAsia="Calibri" w:hAnsi="Cambria Math" w:cstheme="minorHAnsi"/>
                                        <w:color w:val="000000"/>
                                        <w:szCs w:val="24"/>
                                      </w:rPr>
                                      <m:t>.628</m:t>
                                    </m:r>
                                    <m:r>
                                      <m:rPr>
                                        <m:sty m:val="p"/>
                                      </m:rPr>
                                      <w:rPr>
                                        <w:rFonts w:ascii="Cambria Math" w:eastAsia="Calibri" w:hAnsi="Cambria Math" w:cstheme="minorHAnsi"/>
                                        <w:szCs w:val="24"/>
                                      </w:rPr>
                                      <m:t>;p ˂ .01</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81291192" name="Text Box 17"/>
                        <wps:cNvSpPr txBox="1"/>
                        <wps:spPr>
                          <a:xfrm rot="1142004">
                            <a:off x="1653540" y="1516380"/>
                            <a:ext cx="1577340" cy="320040"/>
                          </a:xfrm>
                          <a:prstGeom prst="rect">
                            <a:avLst/>
                          </a:prstGeom>
                          <a:noFill/>
                          <a:ln w="6350">
                            <a:noFill/>
                          </a:ln>
                        </wps:spPr>
                        <wps:txbx>
                          <w:txbxContent>
                            <w:p w14:paraId="46A2DAC0" w14:textId="77777777" w:rsidR="00963CDA" w:rsidRDefault="00963CDA" w:rsidP="00963CDA">
                              <m:oMathPara>
                                <m:oMath>
                                  <m:r>
                                    <m:rPr>
                                      <m:sty m:val="p"/>
                                    </m:rPr>
                                    <w:rPr>
                                      <w:rFonts w:ascii="Cambria Math" w:eastAsia="Calibri" w:hAnsi="Cambria Math" w:cstheme="minorHAnsi"/>
                                      <w:szCs w:val="24"/>
                                    </w:rPr>
                                    <m:t>β=</m:t>
                                  </m:r>
                                  <m:r>
                                    <m:rPr>
                                      <m:sty m:val="p"/>
                                    </m:rPr>
                                    <w:rPr>
                                      <w:rFonts w:ascii="Cambria Math" w:eastAsia="Calibri" w:hAnsi="Cambria Math" w:cstheme="minorHAnsi"/>
                                      <w:color w:val="000000"/>
                                      <w:szCs w:val="24"/>
                                    </w:rPr>
                                    <m:t>.293</m:t>
                                  </m:r>
                                  <m:r>
                                    <m:rPr>
                                      <m:sty m:val="p"/>
                                    </m:rPr>
                                    <w:rPr>
                                      <w:rFonts w:ascii="Cambria Math" w:eastAsia="Calibri" w:hAnsi="Cambria Math" w:cstheme="minorHAnsi"/>
                                      <w:szCs w:val="24"/>
                                    </w:rPr>
                                    <m:t>;p ˂ .01</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0F1112" id="Group 1" o:spid="_x0000_s1043" style="position:absolute;left:0;text-align:left;margin-left:13.2pt;margin-top:6.75pt;width:393pt;height:178.2pt;z-index:251661312" coordsize="49911,22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">
                <v:group id="_x0000_s1044" style="position:absolute;width:49911;height:22631" coordorigin="-4953" coordsize="49911,2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">
                  <v:shape id="Text Box 2" o:spid="_x0000_s1045" type="#_x0000_t202" style="position:absolute;left:28498;width:164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" fillcolor="white [3201]" strokecolor="black [3213]" strokeweight=".5pt">
                    <v:textbox>
                      <w:txbxContent>
                        <w:p w14:paraId="2855B6C5" w14:textId="15F553EE" w:rsidR="00963CDA" w:rsidRDefault="00963CDA" w:rsidP="00943FBB">
                          <w:pPr>
                            <w:jc w:val="center"/>
                          </w:pPr>
                          <w:r>
                            <w:t>Reliability</w:t>
                          </w:r>
                          <w:r w:rsidR="00943FBB">
                            <w:t xml:space="preserve"> (REL)</w:t>
                          </w:r>
                        </w:p>
                      </w:txbxContent>
                    </v:textbox>
                  </v:shape>
                  <v:shape id="Text Box 2" o:spid="_x0000_s1046" type="#_x0000_t202" style="position:absolute;left:28575;top:19202;width:1630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" fillcolor="white [3201]" strokecolor="black [3213]" strokeweight=".5pt">
                    <v:textbox>
                      <w:txbxContent>
                        <w:p w14:paraId="7CF1F6BB" w14:textId="6149EBCF" w:rsidR="00963CDA" w:rsidRDefault="00963CDA" w:rsidP="00943FBB">
                          <w:pPr>
                            <w:jc w:val="center"/>
                          </w:pPr>
                          <w:r>
                            <w:t>Responsiveness</w:t>
                          </w:r>
                          <w:r w:rsidR="00943FBB">
                            <w:t xml:space="preserve"> (RES)</w:t>
                          </w:r>
                        </w:p>
                      </w:txbxContent>
                    </v:textbox>
                  </v:shape>
                  <v:shape id="Text Box 2" o:spid="_x0000_s1047" type="#_x0000_t202" style="position:absolute;left:-4953;top:10363;width:1508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" fillcolor="white [3201]" strokecolor="black [3213]" strokeweight=".5pt">
                    <v:textbox>
                      <w:txbxContent>
                        <w:p w14:paraId="553EF26E" w14:textId="746A3885" w:rsidR="00963CDA" w:rsidRDefault="00963CDA" w:rsidP="00963CDA">
                          <w:r>
                            <w:t>Financial Accounting performance</w:t>
                          </w:r>
                          <w:r w:rsidR="00943FBB">
                            <w:t xml:space="preserve"> (PERF)</w:t>
                          </w:r>
                        </w:p>
                      </w:txbxContent>
                    </v:textbox>
                  </v:shape>
                  <v:shape id="Straight Arrow Connector 3" o:spid="_x0000_s1048" type="#_x0000_t32" style="position:absolute;left:10134;top:1676;width:18364;height:114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" strokecolor="black [3213]" strokeweight=".5pt">
                    <v:stroke endarrow="block" joinstyle="miter"/>
                  </v:shape>
                  <v:shape id="Straight Arrow Connector 4" o:spid="_x0000_s1049" type="#_x0000_t32" style="position:absolute;left:10058;top:14287;width:18517;height:66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" strokecolor="black [3213]" strokeweight=".5pt">
                    <v:stroke endarrow="block" joinstyle="miter"/>
                  </v:shape>
                  <v:shape id="Text Box 9" o:spid="_x0000_s1050" type="#_x0000_t202" style="position:absolute;left:9491;top:3969;width:21033;height:3630;rotation:-19292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" filled="f" stroked="f" strokeweight=".5pt">
                    <v:textbox>
                      <w:txbxContent>
                        <w:p w14:paraId="43371C47" w14:textId="77777777" w:rsidR="00963CDA" w:rsidRDefault="00963CDA" w:rsidP="00963CDA">
                          <m:oMathPara>
                            <m:oMath>
                              <m:r>
                                <m:rPr>
                                  <m:sty m:val="p"/>
                                </m:rPr>
                                <w:rPr>
                                  <w:rFonts w:ascii="Cambria Math" w:eastAsia="Calibri" w:hAnsi="Cambria Math" w:cstheme="minorHAnsi"/>
                                  <w:szCs w:val="24"/>
                                </w:rPr>
                                <m:t>β=</m:t>
                              </m:r>
                              <m:r>
                                <m:rPr>
                                  <m:sty m:val="p"/>
                                </m:rPr>
                                <w:rPr>
                                  <w:rFonts w:ascii="Cambria Math" w:eastAsia="Calibri" w:hAnsi="Cambria Math" w:cstheme="minorHAnsi"/>
                                  <w:color w:val="000000"/>
                                  <w:szCs w:val="24"/>
                                </w:rPr>
                                <m:t>.628</m:t>
                              </m:r>
                              <m:r>
                                <m:rPr>
                                  <m:sty m:val="p"/>
                                </m:rPr>
                                <w:rPr>
                                  <w:rFonts w:ascii="Cambria Math" w:eastAsia="Calibri" w:hAnsi="Cambria Math" w:cstheme="minorHAnsi"/>
                                  <w:szCs w:val="24"/>
                                </w:rPr>
                                <m:t>;p ˂ .01</m:t>
                              </m:r>
                            </m:oMath>
                          </m:oMathPara>
                        </w:p>
                      </w:txbxContent>
                    </v:textbox>
                  </v:shape>
                </v:group>
                <v:shape id="Text Box 17" o:spid="_x0000_s1051" type="#_x0000_t202" style="position:absolute;left:16535;top:15163;width:15773;height:3201;rotation:12473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" filled="f" stroked="f" strokeweight=".5pt">
                  <v:textbox>
                    <w:txbxContent>
                      <w:p w14:paraId="46A2DAC0" w14:textId="77777777" w:rsidR="00963CDA" w:rsidRDefault="00963CDA" w:rsidP="00963CDA">
                        <m:oMathPara>
                          <m:oMath>
                            <m:r>
                              <m:rPr>
                                <m:sty m:val="p"/>
                              </m:rPr>
                              <w:rPr>
                                <w:rFonts w:ascii="Cambria Math" w:eastAsia="Calibri" w:hAnsi="Cambria Math" w:cstheme="minorHAnsi"/>
                                <w:szCs w:val="24"/>
                              </w:rPr>
                              <m:t>β=</m:t>
                            </m:r>
                            <m:r>
                              <m:rPr>
                                <m:sty m:val="p"/>
                              </m:rPr>
                              <w:rPr>
                                <w:rFonts w:ascii="Cambria Math" w:eastAsia="Calibri" w:hAnsi="Cambria Math" w:cstheme="minorHAnsi"/>
                                <w:color w:val="000000"/>
                                <w:szCs w:val="24"/>
                              </w:rPr>
                              <m:t>.293</m:t>
                            </m:r>
                            <m:r>
                              <m:rPr>
                                <m:sty m:val="p"/>
                              </m:rPr>
                              <w:rPr>
                                <w:rFonts w:ascii="Cambria Math" w:eastAsia="Calibri" w:hAnsi="Cambria Math" w:cstheme="minorHAnsi"/>
                                <w:szCs w:val="24"/>
                              </w:rPr>
                              <m:t>;p ˂ .01</m:t>
                            </m:r>
                          </m:oMath>
                        </m:oMathPara>
                      </w:p>
                    </w:txbxContent>
                  </v:textbox>
                </v:shape>
              </v:group>
            </w:pict>
          </mc:Fallback>
        </mc:AlternateContent>
      </w:r>
    </w:p>
    <w:p w14:paraId="67F74D16" w14:textId="77777777" w:rsidR="00963CDA" w:rsidRPr="009A696E" w:rsidRDefault="00963CDA" w:rsidP="00C8245B">
      <w:pPr>
        <w:autoSpaceDE w:val="0"/>
        <w:autoSpaceDN w:val="0"/>
        <w:adjustRightInd w:val="0"/>
        <w:spacing w:line="240" w:lineRule="auto"/>
        <w:rPr>
          <w:rFonts w:eastAsia="Calibri" w:cs="Times New Roman"/>
          <w:b/>
          <w:i/>
          <w:sz w:val="20"/>
          <w:szCs w:val="20"/>
          <w:lang w:bidi="en-US"/>
        </w:rPr>
      </w:pPr>
    </w:p>
    <w:p w14:paraId="15552BF2" w14:textId="77777777" w:rsidR="00963CDA" w:rsidRPr="009A696E" w:rsidRDefault="00963CDA" w:rsidP="00C8245B">
      <w:pPr>
        <w:autoSpaceDE w:val="0"/>
        <w:autoSpaceDN w:val="0"/>
        <w:adjustRightInd w:val="0"/>
        <w:spacing w:line="240" w:lineRule="auto"/>
        <w:rPr>
          <w:rFonts w:eastAsia="Calibri" w:cs="Times New Roman"/>
          <w:b/>
          <w:i/>
          <w:sz w:val="20"/>
          <w:szCs w:val="20"/>
          <w:lang w:bidi="en-US"/>
        </w:rPr>
      </w:pPr>
    </w:p>
    <w:p w14:paraId="7F83AC6A" w14:textId="77777777" w:rsidR="00963CDA" w:rsidRPr="009A696E" w:rsidRDefault="00963CDA" w:rsidP="00C8245B">
      <w:pPr>
        <w:autoSpaceDE w:val="0"/>
        <w:autoSpaceDN w:val="0"/>
        <w:adjustRightInd w:val="0"/>
        <w:spacing w:line="240" w:lineRule="auto"/>
        <w:rPr>
          <w:rFonts w:eastAsia="Calibri" w:cs="Times New Roman"/>
          <w:b/>
          <w:i/>
          <w:sz w:val="20"/>
          <w:szCs w:val="20"/>
          <w:lang w:bidi="en-US"/>
        </w:rPr>
      </w:pPr>
    </w:p>
    <w:p w14:paraId="797A65FA" w14:textId="77777777" w:rsidR="00963CDA" w:rsidRPr="009A696E" w:rsidRDefault="00963CDA" w:rsidP="00C8245B">
      <w:pPr>
        <w:autoSpaceDE w:val="0"/>
        <w:autoSpaceDN w:val="0"/>
        <w:adjustRightInd w:val="0"/>
        <w:spacing w:line="240" w:lineRule="auto"/>
        <w:rPr>
          <w:rFonts w:eastAsia="Calibri" w:cs="Times New Roman"/>
          <w:b/>
          <w:i/>
          <w:sz w:val="20"/>
          <w:szCs w:val="20"/>
          <w:lang w:bidi="en-US"/>
        </w:rPr>
      </w:pPr>
    </w:p>
    <w:p w14:paraId="67A7113E" w14:textId="014FE960" w:rsidR="00963CDA" w:rsidRPr="009A696E" w:rsidRDefault="00963CDA" w:rsidP="00C8245B">
      <w:pPr>
        <w:autoSpaceDE w:val="0"/>
        <w:autoSpaceDN w:val="0"/>
        <w:adjustRightInd w:val="0"/>
        <w:spacing w:line="240" w:lineRule="auto"/>
        <w:rPr>
          <w:rFonts w:eastAsia="Calibri" w:cs="Times New Roman"/>
          <w:b/>
          <w:i/>
          <w:sz w:val="20"/>
          <w:szCs w:val="20"/>
          <w:lang w:bidi="en-US"/>
        </w:rPr>
      </w:pPr>
    </w:p>
    <w:p w14:paraId="0F4D673F" w14:textId="77777777" w:rsidR="00963CDA" w:rsidRPr="009A696E" w:rsidRDefault="00963CDA" w:rsidP="00C8245B">
      <w:pPr>
        <w:autoSpaceDE w:val="0"/>
        <w:autoSpaceDN w:val="0"/>
        <w:adjustRightInd w:val="0"/>
        <w:spacing w:line="240" w:lineRule="auto"/>
        <w:rPr>
          <w:rFonts w:eastAsia="Calibri" w:cs="Times New Roman"/>
          <w:b/>
          <w:i/>
          <w:sz w:val="20"/>
          <w:szCs w:val="20"/>
          <w:lang w:bidi="en-US"/>
        </w:rPr>
      </w:pPr>
    </w:p>
    <w:p w14:paraId="3C4EDFF8" w14:textId="77777777" w:rsidR="00963CDA" w:rsidRPr="009A696E" w:rsidRDefault="00963CDA" w:rsidP="00C8245B">
      <w:pPr>
        <w:spacing w:line="240" w:lineRule="auto"/>
        <w:rPr>
          <w:rFonts w:cs="Times New Roman"/>
          <w:b/>
          <w:bCs/>
          <w:sz w:val="20"/>
          <w:szCs w:val="20"/>
        </w:rPr>
      </w:pPr>
    </w:p>
    <w:p w14:paraId="5BC5CE5E" w14:textId="65535220" w:rsidR="00963CDA" w:rsidRPr="009A696E" w:rsidRDefault="00BD32CA" w:rsidP="00C8245B">
      <w:pPr>
        <w:spacing w:line="240" w:lineRule="auto"/>
        <w:rPr>
          <w:rFonts w:cs="Times New Roman"/>
          <w:sz w:val="20"/>
          <w:szCs w:val="20"/>
        </w:rPr>
      </w:pPr>
      <w:r w:rsidRPr="009A696E">
        <w:rPr>
          <w:rFonts w:cs="Times New Roman"/>
          <w:sz w:val="20"/>
          <w:szCs w:val="20"/>
        </w:rPr>
        <w:t>Fig. 2: Empirical Model</w:t>
      </w:r>
    </w:p>
    <w:p w14:paraId="4E8AE4C8" w14:textId="77777777" w:rsidR="00963CDA" w:rsidRDefault="00963CDA" w:rsidP="00C8245B">
      <w:pPr>
        <w:spacing w:line="240" w:lineRule="auto"/>
        <w:rPr>
          <w:rFonts w:cs="Times New Roman"/>
          <w:b/>
          <w:bCs/>
          <w:sz w:val="20"/>
          <w:szCs w:val="20"/>
        </w:rPr>
      </w:pPr>
      <w:r w:rsidRPr="00F16ED2">
        <w:rPr>
          <w:rFonts w:cs="Times New Roman"/>
          <w:b/>
          <w:bCs/>
          <w:sz w:val="20"/>
          <w:szCs w:val="20"/>
          <w:highlight w:val="yellow"/>
        </w:rPr>
        <w:t>5. DISCUSSION</w:t>
      </w:r>
    </w:p>
    <w:p w14:paraId="65C89573" w14:textId="73AEB598" w:rsidR="00025309" w:rsidRDefault="00B07AF6" w:rsidP="00025309">
      <w:pPr>
        <w:spacing w:line="240" w:lineRule="auto"/>
        <w:rPr>
          <w:rFonts w:cs="Times New Roman"/>
          <w:sz w:val="20"/>
          <w:szCs w:val="20"/>
        </w:rPr>
      </w:pPr>
      <w:r w:rsidRPr="00B07AF6">
        <w:rPr>
          <w:rFonts w:cs="Times New Roman"/>
          <w:sz w:val="20"/>
          <w:szCs w:val="20"/>
        </w:rPr>
        <w:t xml:space="preserve">Although previous studies have reported the relationship between teaching quality and students’ academic performance in different subjects (Arthur et al., 2022; Asadpoor &amp; Abolfazli, 2017), few existing studies have attempted to do this in financial accounting particularly in public universities in Ghana. The study adds meaningfully to the research literature on dimensions of teaching quality and students’ academic performance in the context of financial accounting teaching in public universities in Ghana. The finding regarding responsiveness </w:t>
      </w:r>
      <w:r w:rsidRPr="00B07AF6">
        <w:rPr>
          <w:rFonts w:cs="Times New Roman"/>
          <w:sz w:val="20"/>
          <w:szCs w:val="20"/>
        </w:rPr>
        <w:lastRenderedPageBreak/>
        <w:t>and reliability as the best predictors of academic performance by undergraduate students in financial accounting, the study enhances education service quality literature through the emphasis that lecturers’ responsiveness and teaching skills are more impactful on students’ academic success than physical infrastructure (Farooq et al., 2018). These results have significant implications for accounting educators, university administrators, and policy makers with a demand for more instructional responsiveness and consistency in achieving more effective learning and teaching in accounting education. While this study has made some contribution, it is not without limitations. First, the study used a cross-sectional research design, which captures data at a single point in time and does not take into account the changes in academic performance over time. A longitudinal design would be able to provide a clearer picture of how dimensions of teaching quality influence students’ academic performance in financial accounting. Second, the research focused on public universities alone in Ghana and may not generalise to private universities or even other educational systems with differential levels of teaching facilities and accessibility of resources. Last, the research relied on students’ self-report, and hence may have been compromised by response bias since students’ own perceptions of teacher quality and self-report performance may not align with objective quantification. Future studies must use longitudinal design in examining the degree to which financial accounting performance effects enhance or vary based on teaching quality dimensions over time. Other studies can extend its scope to include private universities as well as other countries, where feasible, to allow comparisons. Additionally, qualitative research approaches such as interviewing teachers and students could offer more insight into how certain teaching styles can affect academic performance. Lastly, further research on the interaction between variables of teaching quality and other factors like student motivation, learning style, and information technology integration into accounting education could possibly generate even higher contribution to financial accounting academic performance.</w:t>
      </w:r>
    </w:p>
    <w:p w14:paraId="1BE82AAD" w14:textId="7D807931" w:rsidR="00025309" w:rsidRPr="00025309" w:rsidRDefault="00025309" w:rsidP="00025309">
      <w:pPr>
        <w:spacing w:line="240" w:lineRule="auto"/>
        <w:rPr>
          <w:rFonts w:cs="Times New Roman"/>
          <w:b/>
          <w:bCs/>
          <w:sz w:val="20"/>
          <w:szCs w:val="20"/>
        </w:rPr>
      </w:pPr>
      <w:r w:rsidRPr="00F16ED2">
        <w:rPr>
          <w:rFonts w:cs="Times New Roman"/>
          <w:b/>
          <w:bCs/>
          <w:sz w:val="20"/>
          <w:szCs w:val="20"/>
          <w:highlight w:val="yellow"/>
        </w:rPr>
        <w:t xml:space="preserve">Table </w:t>
      </w:r>
      <w:r w:rsidR="000B1A04">
        <w:rPr>
          <w:rFonts w:cs="Times New Roman"/>
          <w:b/>
          <w:bCs/>
          <w:sz w:val="20"/>
          <w:szCs w:val="20"/>
          <w:highlight w:val="yellow"/>
        </w:rPr>
        <w:t>6</w:t>
      </w:r>
      <w:r w:rsidRPr="00F16ED2">
        <w:rPr>
          <w:rFonts w:cs="Times New Roman"/>
          <w:b/>
          <w:bCs/>
          <w:sz w:val="20"/>
          <w:szCs w:val="20"/>
          <w:highlight w:val="yellow"/>
        </w:rPr>
        <w:t>: Summary of Discussion</w:t>
      </w:r>
    </w:p>
    <w:tbl>
      <w:tblPr>
        <w:tblW w:w="0" w:type="auto"/>
        <w:tblCellSpacing w:w="15" w:type="dxa"/>
        <w:tblBorders>
          <w:top w:val="single" w:sz="4" w:space="0" w:color="000000"/>
          <w:bottom w:val="single" w:sz="4" w:space="0" w:color="000000"/>
        </w:tblBorders>
        <w:tblCellMar>
          <w:top w:w="15" w:type="dxa"/>
          <w:left w:w="15" w:type="dxa"/>
          <w:bottom w:w="15" w:type="dxa"/>
          <w:right w:w="15" w:type="dxa"/>
        </w:tblCellMar>
        <w:tblLook w:val="04A0" w:firstRow="1" w:lastRow="0" w:firstColumn="1" w:lastColumn="0" w:noHBand="0" w:noVBand="1"/>
      </w:tblPr>
      <w:tblGrid>
        <w:gridCol w:w="1179"/>
        <w:gridCol w:w="30"/>
        <w:gridCol w:w="1399"/>
        <w:gridCol w:w="30"/>
        <w:gridCol w:w="2217"/>
        <w:gridCol w:w="30"/>
        <w:gridCol w:w="2655"/>
        <w:gridCol w:w="433"/>
        <w:gridCol w:w="1053"/>
      </w:tblGrid>
      <w:tr w:rsidR="00025309" w:rsidRPr="00025309" w14:paraId="728E9926" w14:textId="77777777" w:rsidTr="001356F4">
        <w:trPr>
          <w:trHeight w:val="340"/>
          <w:tblCellSpacing w:w="15" w:type="dxa"/>
        </w:trPr>
        <w:tc>
          <w:tcPr>
            <w:tcW w:w="0" w:type="auto"/>
            <w:gridSpan w:val="2"/>
            <w:tcBorders>
              <w:top w:val="nil"/>
              <w:bottom w:val="single" w:sz="4" w:space="0" w:color="000000"/>
            </w:tcBorders>
            <w:vAlign w:val="center"/>
          </w:tcPr>
          <w:p w14:paraId="602EE60A" w14:textId="084ABB3D" w:rsidR="00025309" w:rsidRPr="00025309" w:rsidRDefault="00025309" w:rsidP="00025309">
            <w:pPr>
              <w:spacing w:line="240" w:lineRule="auto"/>
              <w:jc w:val="left"/>
              <w:rPr>
                <w:rFonts w:cs="Times New Roman"/>
                <w:sz w:val="20"/>
                <w:szCs w:val="20"/>
                <w:lang/>
              </w:rPr>
            </w:pPr>
            <w:r>
              <w:rPr>
                <w:rFonts w:cs="Times New Roman"/>
                <w:sz w:val="20"/>
                <w:szCs w:val="20"/>
                <w:lang/>
              </w:rPr>
              <w:t>Study</w:t>
            </w:r>
          </w:p>
        </w:tc>
        <w:tc>
          <w:tcPr>
            <w:tcW w:w="0" w:type="auto"/>
            <w:tcBorders>
              <w:top w:val="nil"/>
              <w:bottom w:val="single" w:sz="4" w:space="0" w:color="000000"/>
            </w:tcBorders>
            <w:vAlign w:val="center"/>
          </w:tcPr>
          <w:p w14:paraId="023BF590" w14:textId="05B41A9C" w:rsidR="00025309" w:rsidRPr="00025309" w:rsidRDefault="00025309" w:rsidP="00025309">
            <w:pPr>
              <w:spacing w:line="240" w:lineRule="auto"/>
              <w:jc w:val="left"/>
              <w:rPr>
                <w:rFonts w:cs="Times New Roman"/>
                <w:sz w:val="20"/>
                <w:szCs w:val="20"/>
                <w:lang/>
              </w:rPr>
            </w:pPr>
            <w:r>
              <w:rPr>
                <w:rFonts w:cs="Times New Roman"/>
                <w:sz w:val="20"/>
                <w:szCs w:val="20"/>
                <w:lang/>
              </w:rPr>
              <w:t>Teaching Quality Dimension</w:t>
            </w:r>
          </w:p>
        </w:tc>
        <w:tc>
          <w:tcPr>
            <w:tcW w:w="0" w:type="auto"/>
            <w:gridSpan w:val="3"/>
            <w:tcBorders>
              <w:top w:val="nil"/>
              <w:bottom w:val="single" w:sz="4" w:space="0" w:color="000000"/>
            </w:tcBorders>
            <w:vAlign w:val="center"/>
          </w:tcPr>
          <w:p w14:paraId="51484651" w14:textId="272139C2" w:rsidR="00025309" w:rsidRPr="00025309" w:rsidRDefault="00025309" w:rsidP="00025309">
            <w:pPr>
              <w:spacing w:line="240" w:lineRule="auto"/>
              <w:jc w:val="left"/>
              <w:rPr>
                <w:rFonts w:cs="Times New Roman"/>
                <w:sz w:val="20"/>
                <w:szCs w:val="20"/>
                <w:lang/>
              </w:rPr>
            </w:pPr>
            <w:r>
              <w:rPr>
                <w:rFonts w:cs="Times New Roman"/>
                <w:sz w:val="20"/>
                <w:szCs w:val="20"/>
                <w:lang/>
              </w:rPr>
              <w:t>Finding from previous study</w:t>
            </w:r>
          </w:p>
        </w:tc>
        <w:tc>
          <w:tcPr>
            <w:tcW w:w="0" w:type="auto"/>
            <w:gridSpan w:val="2"/>
            <w:tcBorders>
              <w:top w:val="nil"/>
              <w:bottom w:val="single" w:sz="4" w:space="0" w:color="000000"/>
            </w:tcBorders>
            <w:vAlign w:val="center"/>
          </w:tcPr>
          <w:p w14:paraId="5CBE6353" w14:textId="51701074" w:rsidR="00025309" w:rsidRPr="00025309" w:rsidRDefault="00025309" w:rsidP="00025309">
            <w:pPr>
              <w:spacing w:line="240" w:lineRule="auto"/>
              <w:jc w:val="left"/>
              <w:rPr>
                <w:rFonts w:cs="Times New Roman"/>
                <w:sz w:val="20"/>
                <w:szCs w:val="20"/>
                <w:lang/>
              </w:rPr>
            </w:pPr>
            <w:r>
              <w:rPr>
                <w:rFonts w:cs="Times New Roman"/>
                <w:sz w:val="20"/>
                <w:szCs w:val="20"/>
                <w:lang/>
              </w:rPr>
              <w:t>Finding from current study</w:t>
            </w:r>
          </w:p>
        </w:tc>
        <w:tc>
          <w:tcPr>
            <w:tcW w:w="771" w:type="dxa"/>
            <w:tcBorders>
              <w:top w:val="nil"/>
              <w:bottom w:val="single" w:sz="4" w:space="0" w:color="000000"/>
            </w:tcBorders>
            <w:vAlign w:val="center"/>
          </w:tcPr>
          <w:p w14:paraId="0EF54617" w14:textId="7A25B1A7" w:rsidR="00025309" w:rsidRPr="00025309" w:rsidRDefault="00FD322E" w:rsidP="00025309">
            <w:pPr>
              <w:spacing w:line="240" w:lineRule="auto"/>
              <w:rPr>
                <w:rFonts w:cs="Times New Roman"/>
                <w:sz w:val="20"/>
                <w:szCs w:val="20"/>
                <w:lang/>
              </w:rPr>
            </w:pPr>
            <w:r>
              <w:rPr>
                <w:rFonts w:cs="Times New Roman"/>
                <w:sz w:val="20"/>
                <w:szCs w:val="20"/>
                <w:lang/>
              </w:rPr>
              <w:t>Consistency</w:t>
            </w:r>
          </w:p>
        </w:tc>
      </w:tr>
      <w:tr w:rsidR="00025309" w:rsidRPr="00025309" w14:paraId="67545EE8" w14:textId="77777777" w:rsidTr="001356F4">
        <w:trPr>
          <w:trHeight w:val="340"/>
          <w:tblCellSpacing w:w="15" w:type="dxa"/>
        </w:trPr>
        <w:tc>
          <w:tcPr>
            <w:tcW w:w="0" w:type="auto"/>
            <w:vAlign w:val="center"/>
            <w:hideMark/>
          </w:tcPr>
          <w:p w14:paraId="3A61DD2F"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Asadpoor &amp; Abolfazli (2017)</w:t>
            </w:r>
          </w:p>
        </w:tc>
        <w:tc>
          <w:tcPr>
            <w:tcW w:w="0" w:type="auto"/>
            <w:gridSpan w:val="3"/>
            <w:vAlign w:val="center"/>
            <w:hideMark/>
          </w:tcPr>
          <w:p w14:paraId="576F36AE"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Reliability</w:t>
            </w:r>
          </w:p>
        </w:tc>
        <w:tc>
          <w:tcPr>
            <w:tcW w:w="0" w:type="auto"/>
            <w:vAlign w:val="center"/>
            <w:hideMark/>
          </w:tcPr>
          <w:p w14:paraId="60918C8C"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Reliability influences consumers' trust in service providers and their overall perception after using the service.</w:t>
            </w:r>
          </w:p>
        </w:tc>
        <w:tc>
          <w:tcPr>
            <w:tcW w:w="0" w:type="auto"/>
            <w:gridSpan w:val="2"/>
            <w:vAlign w:val="center"/>
            <w:hideMark/>
          </w:tcPr>
          <w:p w14:paraId="4AC9C0CF"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Reliability of accounting teaching significantly predicted students' performance in financial accounting.</w:t>
            </w:r>
          </w:p>
        </w:tc>
        <w:tc>
          <w:tcPr>
            <w:tcW w:w="771" w:type="dxa"/>
            <w:gridSpan w:val="2"/>
            <w:vAlign w:val="center"/>
            <w:hideMark/>
          </w:tcPr>
          <w:p w14:paraId="38F698E5" w14:textId="77777777" w:rsidR="00025309" w:rsidRPr="00025309" w:rsidRDefault="00025309" w:rsidP="00025309">
            <w:pPr>
              <w:spacing w:line="240" w:lineRule="auto"/>
              <w:rPr>
                <w:rFonts w:cs="Times New Roman"/>
                <w:sz w:val="20"/>
                <w:szCs w:val="20"/>
                <w:lang/>
              </w:rPr>
            </w:pPr>
            <w:r w:rsidRPr="00025309">
              <w:rPr>
                <w:rFonts w:cs="Times New Roman"/>
                <w:sz w:val="20"/>
                <w:szCs w:val="20"/>
                <w:lang/>
              </w:rPr>
              <w:t>Consistent</w:t>
            </w:r>
          </w:p>
        </w:tc>
      </w:tr>
      <w:tr w:rsidR="00025309" w:rsidRPr="00025309" w14:paraId="3539EB88" w14:textId="77777777" w:rsidTr="001356F4">
        <w:trPr>
          <w:trHeight w:val="340"/>
          <w:tblCellSpacing w:w="15" w:type="dxa"/>
        </w:trPr>
        <w:tc>
          <w:tcPr>
            <w:tcW w:w="0" w:type="auto"/>
            <w:vAlign w:val="center"/>
            <w:hideMark/>
          </w:tcPr>
          <w:p w14:paraId="2AC9E2B1"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Kaura &amp; Datta (2012)</w:t>
            </w:r>
          </w:p>
        </w:tc>
        <w:tc>
          <w:tcPr>
            <w:tcW w:w="0" w:type="auto"/>
            <w:gridSpan w:val="3"/>
            <w:vAlign w:val="center"/>
            <w:hideMark/>
          </w:tcPr>
          <w:p w14:paraId="1E0A762C"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Reliability</w:t>
            </w:r>
          </w:p>
        </w:tc>
        <w:tc>
          <w:tcPr>
            <w:tcW w:w="0" w:type="auto"/>
            <w:vAlign w:val="center"/>
            <w:hideMark/>
          </w:tcPr>
          <w:p w14:paraId="12642F9B"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Reliability is experienced through the human component of service quality (instructors).</w:t>
            </w:r>
          </w:p>
        </w:tc>
        <w:tc>
          <w:tcPr>
            <w:tcW w:w="0" w:type="auto"/>
            <w:gridSpan w:val="2"/>
            <w:vAlign w:val="center"/>
            <w:hideMark/>
          </w:tcPr>
          <w:p w14:paraId="28831AF0"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The ability of accounting lecturers to deliver lessons as promised, address learning difficulties, and provide error-free content influenced students' performance.</w:t>
            </w:r>
          </w:p>
        </w:tc>
        <w:tc>
          <w:tcPr>
            <w:tcW w:w="771" w:type="dxa"/>
            <w:gridSpan w:val="2"/>
            <w:vAlign w:val="center"/>
            <w:hideMark/>
          </w:tcPr>
          <w:p w14:paraId="48AD238E" w14:textId="77777777" w:rsidR="00025309" w:rsidRPr="00025309" w:rsidRDefault="00025309" w:rsidP="00025309">
            <w:pPr>
              <w:spacing w:line="240" w:lineRule="auto"/>
              <w:rPr>
                <w:rFonts w:cs="Times New Roman"/>
                <w:sz w:val="20"/>
                <w:szCs w:val="20"/>
                <w:lang/>
              </w:rPr>
            </w:pPr>
            <w:r w:rsidRPr="00025309">
              <w:rPr>
                <w:rFonts w:cs="Times New Roman"/>
                <w:sz w:val="20"/>
                <w:szCs w:val="20"/>
                <w:lang/>
              </w:rPr>
              <w:t>Consistent</w:t>
            </w:r>
          </w:p>
        </w:tc>
      </w:tr>
      <w:tr w:rsidR="00025309" w:rsidRPr="00025309" w14:paraId="449E225A" w14:textId="77777777" w:rsidTr="001356F4">
        <w:trPr>
          <w:trHeight w:val="340"/>
          <w:tblCellSpacing w:w="15" w:type="dxa"/>
        </w:trPr>
        <w:tc>
          <w:tcPr>
            <w:tcW w:w="0" w:type="auto"/>
            <w:vAlign w:val="center"/>
            <w:hideMark/>
          </w:tcPr>
          <w:p w14:paraId="0A0D9E4C"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Arthur et al. (2022)</w:t>
            </w:r>
          </w:p>
        </w:tc>
        <w:tc>
          <w:tcPr>
            <w:tcW w:w="0" w:type="auto"/>
            <w:gridSpan w:val="3"/>
            <w:vAlign w:val="center"/>
            <w:hideMark/>
          </w:tcPr>
          <w:p w14:paraId="477E6D93"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Reliability</w:t>
            </w:r>
          </w:p>
        </w:tc>
        <w:tc>
          <w:tcPr>
            <w:tcW w:w="0" w:type="auto"/>
            <w:vAlign w:val="center"/>
            <w:hideMark/>
          </w:tcPr>
          <w:p w14:paraId="583E816F"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Reliability significantly predicted students' achievement in mathematics.</w:t>
            </w:r>
          </w:p>
        </w:tc>
        <w:tc>
          <w:tcPr>
            <w:tcW w:w="0" w:type="auto"/>
            <w:gridSpan w:val="2"/>
            <w:vAlign w:val="center"/>
            <w:hideMark/>
          </w:tcPr>
          <w:p w14:paraId="70F861C7"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Reliability significantly predicted students' financial accounting performance.</w:t>
            </w:r>
          </w:p>
        </w:tc>
        <w:tc>
          <w:tcPr>
            <w:tcW w:w="771" w:type="dxa"/>
            <w:gridSpan w:val="2"/>
            <w:vAlign w:val="center"/>
            <w:hideMark/>
          </w:tcPr>
          <w:p w14:paraId="03CC0310" w14:textId="77777777" w:rsidR="00025309" w:rsidRPr="00025309" w:rsidRDefault="00025309" w:rsidP="00025309">
            <w:pPr>
              <w:spacing w:line="240" w:lineRule="auto"/>
              <w:rPr>
                <w:rFonts w:cs="Times New Roman"/>
                <w:sz w:val="20"/>
                <w:szCs w:val="20"/>
                <w:lang/>
              </w:rPr>
            </w:pPr>
            <w:r w:rsidRPr="00025309">
              <w:rPr>
                <w:rFonts w:cs="Times New Roman"/>
                <w:sz w:val="20"/>
                <w:szCs w:val="20"/>
                <w:lang/>
              </w:rPr>
              <w:t>Consistent</w:t>
            </w:r>
          </w:p>
        </w:tc>
      </w:tr>
      <w:tr w:rsidR="00025309" w:rsidRPr="00025309" w14:paraId="6FF58C03" w14:textId="77777777" w:rsidTr="001356F4">
        <w:trPr>
          <w:trHeight w:val="340"/>
          <w:tblCellSpacing w:w="15" w:type="dxa"/>
        </w:trPr>
        <w:tc>
          <w:tcPr>
            <w:tcW w:w="0" w:type="auto"/>
            <w:vAlign w:val="center"/>
            <w:hideMark/>
          </w:tcPr>
          <w:p w14:paraId="0198B09D"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Ye et al. (2017)</w:t>
            </w:r>
          </w:p>
        </w:tc>
        <w:tc>
          <w:tcPr>
            <w:tcW w:w="0" w:type="auto"/>
            <w:gridSpan w:val="3"/>
            <w:vAlign w:val="center"/>
            <w:hideMark/>
          </w:tcPr>
          <w:p w14:paraId="59BC2950"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Responsiveness</w:t>
            </w:r>
          </w:p>
        </w:tc>
        <w:tc>
          <w:tcPr>
            <w:tcW w:w="0" w:type="auto"/>
            <w:vAlign w:val="center"/>
            <w:hideMark/>
          </w:tcPr>
          <w:p w14:paraId="2289B756"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Responsiveness is the ability of service providers to promptly resolve client concerns.</w:t>
            </w:r>
          </w:p>
        </w:tc>
        <w:tc>
          <w:tcPr>
            <w:tcW w:w="0" w:type="auto"/>
            <w:gridSpan w:val="2"/>
            <w:vAlign w:val="center"/>
            <w:hideMark/>
          </w:tcPr>
          <w:p w14:paraId="184B11F2"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Accounting lecturers' responsiveness (punctuality, willingness to help, answering questions) significantly influenced students' success.</w:t>
            </w:r>
          </w:p>
        </w:tc>
        <w:tc>
          <w:tcPr>
            <w:tcW w:w="771" w:type="dxa"/>
            <w:gridSpan w:val="2"/>
            <w:vAlign w:val="center"/>
            <w:hideMark/>
          </w:tcPr>
          <w:p w14:paraId="12FC3121" w14:textId="77777777" w:rsidR="00025309" w:rsidRPr="00025309" w:rsidRDefault="00025309" w:rsidP="00025309">
            <w:pPr>
              <w:spacing w:line="240" w:lineRule="auto"/>
              <w:rPr>
                <w:rFonts w:cs="Times New Roman"/>
                <w:sz w:val="20"/>
                <w:szCs w:val="20"/>
                <w:lang/>
              </w:rPr>
            </w:pPr>
            <w:r w:rsidRPr="00025309">
              <w:rPr>
                <w:rFonts w:cs="Times New Roman"/>
                <w:sz w:val="20"/>
                <w:szCs w:val="20"/>
                <w:lang/>
              </w:rPr>
              <w:t>Consistent</w:t>
            </w:r>
          </w:p>
        </w:tc>
      </w:tr>
      <w:tr w:rsidR="00025309" w:rsidRPr="00025309" w14:paraId="4CE3B1E8" w14:textId="77777777" w:rsidTr="001356F4">
        <w:trPr>
          <w:trHeight w:val="340"/>
          <w:tblCellSpacing w:w="15" w:type="dxa"/>
        </w:trPr>
        <w:tc>
          <w:tcPr>
            <w:tcW w:w="0" w:type="auto"/>
            <w:vAlign w:val="center"/>
            <w:hideMark/>
          </w:tcPr>
          <w:p w14:paraId="3A0944CE"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Kaura et al. (2012)</w:t>
            </w:r>
          </w:p>
        </w:tc>
        <w:tc>
          <w:tcPr>
            <w:tcW w:w="0" w:type="auto"/>
            <w:gridSpan w:val="3"/>
            <w:vAlign w:val="center"/>
            <w:hideMark/>
          </w:tcPr>
          <w:p w14:paraId="10A1541A"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Responsiveness</w:t>
            </w:r>
          </w:p>
        </w:tc>
        <w:tc>
          <w:tcPr>
            <w:tcW w:w="0" w:type="auto"/>
            <w:vAlign w:val="center"/>
            <w:hideMark/>
          </w:tcPr>
          <w:p w14:paraId="182424F1"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Responsiveness is a human component of service quality, often seen in customer service interactions.</w:t>
            </w:r>
          </w:p>
        </w:tc>
        <w:tc>
          <w:tcPr>
            <w:tcW w:w="0" w:type="auto"/>
            <w:gridSpan w:val="2"/>
            <w:vAlign w:val="center"/>
            <w:hideMark/>
          </w:tcPr>
          <w:p w14:paraId="3DA9ED92"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Responsiveness in financial accounting teaching positively impacted students' academic performance.</w:t>
            </w:r>
          </w:p>
        </w:tc>
        <w:tc>
          <w:tcPr>
            <w:tcW w:w="771" w:type="dxa"/>
            <w:gridSpan w:val="2"/>
            <w:vAlign w:val="center"/>
            <w:hideMark/>
          </w:tcPr>
          <w:p w14:paraId="3B0BC079" w14:textId="77777777" w:rsidR="00025309" w:rsidRPr="00025309" w:rsidRDefault="00025309" w:rsidP="00025309">
            <w:pPr>
              <w:spacing w:line="240" w:lineRule="auto"/>
              <w:rPr>
                <w:rFonts w:cs="Times New Roman"/>
                <w:sz w:val="20"/>
                <w:szCs w:val="20"/>
                <w:lang/>
              </w:rPr>
            </w:pPr>
            <w:r w:rsidRPr="00025309">
              <w:rPr>
                <w:rFonts w:cs="Times New Roman"/>
                <w:sz w:val="20"/>
                <w:szCs w:val="20"/>
                <w:lang/>
              </w:rPr>
              <w:t>Consistent</w:t>
            </w:r>
          </w:p>
        </w:tc>
      </w:tr>
      <w:tr w:rsidR="00025309" w:rsidRPr="00025309" w14:paraId="60EF0AC7" w14:textId="77777777" w:rsidTr="001356F4">
        <w:trPr>
          <w:trHeight w:val="340"/>
          <w:tblCellSpacing w:w="15" w:type="dxa"/>
        </w:trPr>
        <w:tc>
          <w:tcPr>
            <w:tcW w:w="0" w:type="auto"/>
            <w:vAlign w:val="center"/>
            <w:hideMark/>
          </w:tcPr>
          <w:p w14:paraId="562CE3DA"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lastRenderedPageBreak/>
              <w:t>Arthur et al. (2022)</w:t>
            </w:r>
          </w:p>
        </w:tc>
        <w:tc>
          <w:tcPr>
            <w:tcW w:w="0" w:type="auto"/>
            <w:gridSpan w:val="3"/>
            <w:vAlign w:val="center"/>
            <w:hideMark/>
          </w:tcPr>
          <w:p w14:paraId="132E027B"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Responsiveness</w:t>
            </w:r>
          </w:p>
        </w:tc>
        <w:tc>
          <w:tcPr>
            <w:tcW w:w="0" w:type="auto"/>
            <w:vAlign w:val="center"/>
            <w:hideMark/>
          </w:tcPr>
          <w:p w14:paraId="6721EBD1"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Responsiveness significantly predicted students' achievement in mathematics.</w:t>
            </w:r>
          </w:p>
        </w:tc>
        <w:tc>
          <w:tcPr>
            <w:tcW w:w="0" w:type="auto"/>
            <w:gridSpan w:val="2"/>
            <w:vAlign w:val="center"/>
            <w:hideMark/>
          </w:tcPr>
          <w:p w14:paraId="1B60A78A"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Responsiveness significantly predicted students' financial accounting performance.</w:t>
            </w:r>
          </w:p>
        </w:tc>
        <w:tc>
          <w:tcPr>
            <w:tcW w:w="771" w:type="dxa"/>
            <w:gridSpan w:val="2"/>
            <w:vAlign w:val="center"/>
            <w:hideMark/>
          </w:tcPr>
          <w:p w14:paraId="66082136" w14:textId="77777777" w:rsidR="00025309" w:rsidRPr="00025309" w:rsidRDefault="00025309" w:rsidP="00025309">
            <w:pPr>
              <w:spacing w:line="240" w:lineRule="auto"/>
              <w:rPr>
                <w:rFonts w:cs="Times New Roman"/>
                <w:sz w:val="20"/>
                <w:szCs w:val="20"/>
                <w:lang/>
              </w:rPr>
            </w:pPr>
            <w:r w:rsidRPr="00025309">
              <w:rPr>
                <w:rFonts w:cs="Times New Roman"/>
                <w:sz w:val="20"/>
                <w:szCs w:val="20"/>
                <w:lang/>
              </w:rPr>
              <w:t>Consistent</w:t>
            </w:r>
          </w:p>
        </w:tc>
      </w:tr>
      <w:tr w:rsidR="00025309" w:rsidRPr="00025309" w14:paraId="20541C0F" w14:textId="77777777" w:rsidTr="001356F4">
        <w:trPr>
          <w:trHeight w:val="340"/>
          <w:tblCellSpacing w:w="15" w:type="dxa"/>
        </w:trPr>
        <w:tc>
          <w:tcPr>
            <w:tcW w:w="0" w:type="auto"/>
            <w:vAlign w:val="center"/>
            <w:hideMark/>
          </w:tcPr>
          <w:p w14:paraId="4D7D5F4A"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Khan &amp; Fasih (2014)</w:t>
            </w:r>
          </w:p>
        </w:tc>
        <w:tc>
          <w:tcPr>
            <w:tcW w:w="0" w:type="auto"/>
            <w:gridSpan w:val="3"/>
            <w:vAlign w:val="center"/>
            <w:hideMark/>
          </w:tcPr>
          <w:p w14:paraId="5DBD8268"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Assurance</w:t>
            </w:r>
          </w:p>
        </w:tc>
        <w:tc>
          <w:tcPr>
            <w:tcW w:w="0" w:type="auto"/>
            <w:vAlign w:val="center"/>
            <w:hideMark/>
          </w:tcPr>
          <w:p w14:paraId="4A40B888"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Displaying knowledge during service interactions builds customer confidence in service quality.</w:t>
            </w:r>
          </w:p>
        </w:tc>
        <w:tc>
          <w:tcPr>
            <w:tcW w:w="0" w:type="auto"/>
            <w:gridSpan w:val="2"/>
            <w:vAlign w:val="center"/>
            <w:hideMark/>
          </w:tcPr>
          <w:p w14:paraId="2FF410B3"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Expertise of accounting lecturers inspired student confidence in financial accounting.</w:t>
            </w:r>
          </w:p>
        </w:tc>
        <w:tc>
          <w:tcPr>
            <w:tcW w:w="771" w:type="dxa"/>
            <w:gridSpan w:val="2"/>
            <w:vAlign w:val="center"/>
            <w:hideMark/>
          </w:tcPr>
          <w:p w14:paraId="41316DF5" w14:textId="77777777" w:rsidR="00025309" w:rsidRPr="00025309" w:rsidRDefault="00025309" w:rsidP="00025309">
            <w:pPr>
              <w:spacing w:line="240" w:lineRule="auto"/>
              <w:rPr>
                <w:rFonts w:cs="Times New Roman"/>
                <w:sz w:val="20"/>
                <w:szCs w:val="20"/>
                <w:lang/>
              </w:rPr>
            </w:pPr>
            <w:r w:rsidRPr="00025309">
              <w:rPr>
                <w:rFonts w:cs="Times New Roman"/>
                <w:sz w:val="20"/>
                <w:szCs w:val="20"/>
                <w:lang/>
              </w:rPr>
              <w:t>Consistent</w:t>
            </w:r>
          </w:p>
        </w:tc>
      </w:tr>
      <w:tr w:rsidR="00025309" w:rsidRPr="00025309" w14:paraId="1C5B61CB" w14:textId="77777777" w:rsidTr="001356F4">
        <w:trPr>
          <w:trHeight w:val="340"/>
          <w:tblCellSpacing w:w="15" w:type="dxa"/>
        </w:trPr>
        <w:tc>
          <w:tcPr>
            <w:tcW w:w="0" w:type="auto"/>
            <w:vAlign w:val="center"/>
            <w:hideMark/>
          </w:tcPr>
          <w:p w14:paraId="55C52CEF"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Alolayyan et al. (2018); Naidoo (2014)</w:t>
            </w:r>
          </w:p>
        </w:tc>
        <w:tc>
          <w:tcPr>
            <w:tcW w:w="0" w:type="auto"/>
            <w:gridSpan w:val="3"/>
            <w:vAlign w:val="center"/>
            <w:hideMark/>
          </w:tcPr>
          <w:p w14:paraId="0859C397"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Assurance</w:t>
            </w:r>
          </w:p>
        </w:tc>
        <w:tc>
          <w:tcPr>
            <w:tcW w:w="0" w:type="auto"/>
            <w:vAlign w:val="center"/>
            <w:hideMark/>
          </w:tcPr>
          <w:p w14:paraId="76B12782"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Effective communication and personal explanations are essential for service quality.</w:t>
            </w:r>
          </w:p>
        </w:tc>
        <w:tc>
          <w:tcPr>
            <w:tcW w:w="0" w:type="auto"/>
            <w:gridSpan w:val="2"/>
            <w:vAlign w:val="center"/>
            <w:hideMark/>
          </w:tcPr>
          <w:p w14:paraId="05459426"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Assurance had an insignificant impact on students' financial accounting performance.</w:t>
            </w:r>
          </w:p>
        </w:tc>
        <w:tc>
          <w:tcPr>
            <w:tcW w:w="771" w:type="dxa"/>
            <w:gridSpan w:val="2"/>
            <w:vAlign w:val="center"/>
            <w:hideMark/>
          </w:tcPr>
          <w:p w14:paraId="59513B43" w14:textId="77777777" w:rsidR="00025309" w:rsidRPr="00025309" w:rsidRDefault="00025309" w:rsidP="00025309">
            <w:pPr>
              <w:spacing w:line="240" w:lineRule="auto"/>
              <w:rPr>
                <w:rFonts w:cs="Times New Roman"/>
                <w:sz w:val="20"/>
                <w:szCs w:val="20"/>
                <w:lang/>
              </w:rPr>
            </w:pPr>
            <w:r w:rsidRPr="00025309">
              <w:rPr>
                <w:rFonts w:cs="Times New Roman"/>
                <w:sz w:val="20"/>
                <w:szCs w:val="20"/>
                <w:lang/>
              </w:rPr>
              <w:t>Inconsistent</w:t>
            </w:r>
          </w:p>
        </w:tc>
      </w:tr>
      <w:tr w:rsidR="00025309" w:rsidRPr="00025309" w14:paraId="32512F9F" w14:textId="77777777" w:rsidTr="001356F4">
        <w:trPr>
          <w:trHeight w:val="340"/>
          <w:tblCellSpacing w:w="15" w:type="dxa"/>
        </w:trPr>
        <w:tc>
          <w:tcPr>
            <w:tcW w:w="0" w:type="auto"/>
            <w:vAlign w:val="center"/>
            <w:hideMark/>
          </w:tcPr>
          <w:p w14:paraId="78C36429"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Arthur et al. (2021)</w:t>
            </w:r>
          </w:p>
        </w:tc>
        <w:tc>
          <w:tcPr>
            <w:tcW w:w="0" w:type="auto"/>
            <w:gridSpan w:val="3"/>
            <w:vAlign w:val="center"/>
            <w:hideMark/>
          </w:tcPr>
          <w:p w14:paraId="7AE67AAB"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Assurance</w:t>
            </w:r>
          </w:p>
        </w:tc>
        <w:tc>
          <w:tcPr>
            <w:tcW w:w="0" w:type="auto"/>
            <w:vAlign w:val="center"/>
            <w:hideMark/>
          </w:tcPr>
          <w:p w14:paraId="76FCE309"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Assurance significantly predicted students' achievement in mathematics.</w:t>
            </w:r>
          </w:p>
        </w:tc>
        <w:tc>
          <w:tcPr>
            <w:tcW w:w="0" w:type="auto"/>
            <w:gridSpan w:val="2"/>
            <w:vAlign w:val="center"/>
            <w:hideMark/>
          </w:tcPr>
          <w:p w14:paraId="5E9EC648"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Assurance had an insignificant impact on students' financial accounting performance.</w:t>
            </w:r>
          </w:p>
        </w:tc>
        <w:tc>
          <w:tcPr>
            <w:tcW w:w="771" w:type="dxa"/>
            <w:gridSpan w:val="2"/>
            <w:vAlign w:val="center"/>
            <w:hideMark/>
          </w:tcPr>
          <w:p w14:paraId="0C29954C" w14:textId="77777777" w:rsidR="00025309" w:rsidRPr="00025309" w:rsidRDefault="00025309" w:rsidP="00025309">
            <w:pPr>
              <w:spacing w:line="240" w:lineRule="auto"/>
              <w:rPr>
                <w:rFonts w:cs="Times New Roman"/>
                <w:sz w:val="20"/>
                <w:szCs w:val="20"/>
                <w:lang/>
              </w:rPr>
            </w:pPr>
            <w:r w:rsidRPr="00025309">
              <w:rPr>
                <w:rFonts w:cs="Times New Roman"/>
                <w:sz w:val="20"/>
                <w:szCs w:val="20"/>
                <w:lang/>
              </w:rPr>
              <w:t>Inconsistent</w:t>
            </w:r>
          </w:p>
        </w:tc>
      </w:tr>
      <w:tr w:rsidR="00025309" w:rsidRPr="00025309" w14:paraId="6A9890F0" w14:textId="77777777" w:rsidTr="001356F4">
        <w:trPr>
          <w:trHeight w:val="340"/>
          <w:tblCellSpacing w:w="15" w:type="dxa"/>
        </w:trPr>
        <w:tc>
          <w:tcPr>
            <w:tcW w:w="0" w:type="auto"/>
            <w:vAlign w:val="center"/>
            <w:hideMark/>
          </w:tcPr>
          <w:p w14:paraId="6F9CA446"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Bahadur et al. (2018)</w:t>
            </w:r>
          </w:p>
        </w:tc>
        <w:tc>
          <w:tcPr>
            <w:tcW w:w="0" w:type="auto"/>
            <w:gridSpan w:val="3"/>
            <w:vAlign w:val="center"/>
            <w:hideMark/>
          </w:tcPr>
          <w:p w14:paraId="67571680"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Empathy</w:t>
            </w:r>
          </w:p>
        </w:tc>
        <w:tc>
          <w:tcPr>
            <w:tcW w:w="0" w:type="auto"/>
            <w:vAlign w:val="center"/>
            <w:hideMark/>
          </w:tcPr>
          <w:p w14:paraId="13071D1F"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Empathy, through individualized support, enhances student performance.</w:t>
            </w:r>
          </w:p>
        </w:tc>
        <w:tc>
          <w:tcPr>
            <w:tcW w:w="0" w:type="auto"/>
            <w:gridSpan w:val="2"/>
            <w:vAlign w:val="center"/>
            <w:hideMark/>
          </w:tcPr>
          <w:p w14:paraId="12F4E1F7"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Empathy had no significant impact on students' financial accounting performance.</w:t>
            </w:r>
          </w:p>
        </w:tc>
        <w:tc>
          <w:tcPr>
            <w:tcW w:w="771" w:type="dxa"/>
            <w:gridSpan w:val="2"/>
            <w:vAlign w:val="center"/>
            <w:hideMark/>
          </w:tcPr>
          <w:p w14:paraId="578D80F1" w14:textId="77777777" w:rsidR="00025309" w:rsidRPr="00025309" w:rsidRDefault="00025309" w:rsidP="00025309">
            <w:pPr>
              <w:spacing w:line="240" w:lineRule="auto"/>
              <w:rPr>
                <w:rFonts w:cs="Times New Roman"/>
                <w:sz w:val="20"/>
                <w:szCs w:val="20"/>
                <w:lang/>
              </w:rPr>
            </w:pPr>
            <w:r w:rsidRPr="00025309">
              <w:rPr>
                <w:rFonts w:cs="Times New Roman"/>
                <w:sz w:val="20"/>
                <w:szCs w:val="20"/>
                <w:lang/>
              </w:rPr>
              <w:t>Inconsistent</w:t>
            </w:r>
          </w:p>
        </w:tc>
      </w:tr>
      <w:tr w:rsidR="00025309" w:rsidRPr="00025309" w14:paraId="295AA260" w14:textId="77777777" w:rsidTr="001356F4">
        <w:trPr>
          <w:trHeight w:val="340"/>
          <w:tblCellSpacing w:w="15" w:type="dxa"/>
        </w:trPr>
        <w:tc>
          <w:tcPr>
            <w:tcW w:w="0" w:type="auto"/>
            <w:vAlign w:val="center"/>
            <w:hideMark/>
          </w:tcPr>
          <w:p w14:paraId="79FD3CE6"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Arthur et al. (2021)</w:t>
            </w:r>
          </w:p>
        </w:tc>
        <w:tc>
          <w:tcPr>
            <w:tcW w:w="0" w:type="auto"/>
            <w:gridSpan w:val="3"/>
            <w:vAlign w:val="center"/>
            <w:hideMark/>
          </w:tcPr>
          <w:p w14:paraId="03162B1C"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Empathy</w:t>
            </w:r>
          </w:p>
        </w:tc>
        <w:tc>
          <w:tcPr>
            <w:tcW w:w="0" w:type="auto"/>
            <w:vAlign w:val="center"/>
            <w:hideMark/>
          </w:tcPr>
          <w:p w14:paraId="048085DA"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Empathy significantly predicted students' achievement in mathematics.</w:t>
            </w:r>
          </w:p>
        </w:tc>
        <w:tc>
          <w:tcPr>
            <w:tcW w:w="0" w:type="auto"/>
            <w:gridSpan w:val="2"/>
            <w:vAlign w:val="center"/>
            <w:hideMark/>
          </w:tcPr>
          <w:p w14:paraId="519BA3E9"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Empathy had no significant impact on students' financial accounting performance.</w:t>
            </w:r>
          </w:p>
        </w:tc>
        <w:tc>
          <w:tcPr>
            <w:tcW w:w="771" w:type="dxa"/>
            <w:gridSpan w:val="2"/>
            <w:vAlign w:val="center"/>
            <w:hideMark/>
          </w:tcPr>
          <w:p w14:paraId="5AEBF674" w14:textId="77777777" w:rsidR="00025309" w:rsidRPr="00025309" w:rsidRDefault="00025309" w:rsidP="00025309">
            <w:pPr>
              <w:spacing w:line="240" w:lineRule="auto"/>
              <w:rPr>
                <w:rFonts w:cs="Times New Roman"/>
                <w:sz w:val="20"/>
                <w:szCs w:val="20"/>
                <w:lang/>
              </w:rPr>
            </w:pPr>
            <w:r w:rsidRPr="00025309">
              <w:rPr>
                <w:rFonts w:cs="Times New Roman"/>
                <w:sz w:val="20"/>
                <w:szCs w:val="20"/>
                <w:lang/>
              </w:rPr>
              <w:t>Inconsistent</w:t>
            </w:r>
          </w:p>
        </w:tc>
      </w:tr>
      <w:tr w:rsidR="00025309" w:rsidRPr="00025309" w14:paraId="2F43130F" w14:textId="77777777" w:rsidTr="001356F4">
        <w:trPr>
          <w:trHeight w:val="340"/>
          <w:tblCellSpacing w:w="15" w:type="dxa"/>
        </w:trPr>
        <w:tc>
          <w:tcPr>
            <w:tcW w:w="0" w:type="auto"/>
            <w:vAlign w:val="center"/>
            <w:hideMark/>
          </w:tcPr>
          <w:p w14:paraId="1513F560"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Farooq et al. (2018)</w:t>
            </w:r>
          </w:p>
        </w:tc>
        <w:tc>
          <w:tcPr>
            <w:tcW w:w="0" w:type="auto"/>
            <w:gridSpan w:val="3"/>
            <w:vAlign w:val="center"/>
            <w:hideMark/>
          </w:tcPr>
          <w:p w14:paraId="39B915B4"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Tangibles</w:t>
            </w:r>
          </w:p>
        </w:tc>
        <w:tc>
          <w:tcPr>
            <w:tcW w:w="0" w:type="auto"/>
            <w:vAlign w:val="center"/>
            <w:hideMark/>
          </w:tcPr>
          <w:p w14:paraId="0C826C37"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Tangibles are items that can be seen or touched and are perceived differently by customers.</w:t>
            </w:r>
          </w:p>
        </w:tc>
        <w:tc>
          <w:tcPr>
            <w:tcW w:w="0" w:type="auto"/>
            <w:gridSpan w:val="2"/>
            <w:vAlign w:val="center"/>
            <w:hideMark/>
          </w:tcPr>
          <w:p w14:paraId="027E3AF3"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Students' performance in financial accounting was unaffected by tangible aspects (e.g., infrastructure, lecturer appearance).</w:t>
            </w:r>
          </w:p>
        </w:tc>
        <w:tc>
          <w:tcPr>
            <w:tcW w:w="771" w:type="dxa"/>
            <w:gridSpan w:val="2"/>
            <w:vAlign w:val="center"/>
            <w:hideMark/>
          </w:tcPr>
          <w:p w14:paraId="3FA81BE6"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Inconsistent</w:t>
            </w:r>
          </w:p>
        </w:tc>
      </w:tr>
      <w:tr w:rsidR="00025309" w:rsidRPr="00025309" w14:paraId="50A74CC8" w14:textId="77777777" w:rsidTr="001356F4">
        <w:trPr>
          <w:trHeight w:val="340"/>
          <w:tblCellSpacing w:w="15" w:type="dxa"/>
        </w:trPr>
        <w:tc>
          <w:tcPr>
            <w:tcW w:w="0" w:type="auto"/>
            <w:vAlign w:val="center"/>
            <w:hideMark/>
          </w:tcPr>
          <w:p w14:paraId="3B3F0263"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Koklic et al. (2017)</w:t>
            </w:r>
          </w:p>
        </w:tc>
        <w:tc>
          <w:tcPr>
            <w:tcW w:w="0" w:type="auto"/>
            <w:gridSpan w:val="3"/>
            <w:vAlign w:val="center"/>
            <w:hideMark/>
          </w:tcPr>
          <w:p w14:paraId="7B4B64EE"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Tangibles</w:t>
            </w:r>
          </w:p>
        </w:tc>
        <w:tc>
          <w:tcPr>
            <w:tcW w:w="0" w:type="auto"/>
            <w:vAlign w:val="center"/>
            <w:hideMark/>
          </w:tcPr>
          <w:p w14:paraId="166BFDEB"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Tangibles improve customer interaction and experience in service industries.</w:t>
            </w:r>
          </w:p>
        </w:tc>
        <w:tc>
          <w:tcPr>
            <w:tcW w:w="0" w:type="auto"/>
            <w:gridSpan w:val="2"/>
            <w:vAlign w:val="center"/>
            <w:hideMark/>
          </w:tcPr>
          <w:p w14:paraId="47F8D2CC"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Tangibles did not influence students’ performance; lecturers' expertise and teaching ability were more crucial.</w:t>
            </w:r>
          </w:p>
        </w:tc>
        <w:tc>
          <w:tcPr>
            <w:tcW w:w="771" w:type="dxa"/>
            <w:gridSpan w:val="2"/>
            <w:vAlign w:val="center"/>
            <w:hideMark/>
          </w:tcPr>
          <w:p w14:paraId="2FBBBF51" w14:textId="77777777" w:rsidR="00025309" w:rsidRPr="00025309" w:rsidRDefault="00025309" w:rsidP="00025309">
            <w:pPr>
              <w:spacing w:line="240" w:lineRule="auto"/>
              <w:jc w:val="left"/>
              <w:rPr>
                <w:rFonts w:cs="Times New Roman"/>
                <w:sz w:val="20"/>
                <w:szCs w:val="20"/>
                <w:lang/>
              </w:rPr>
            </w:pPr>
            <w:r w:rsidRPr="00025309">
              <w:rPr>
                <w:rFonts w:cs="Times New Roman"/>
                <w:sz w:val="20"/>
                <w:szCs w:val="20"/>
                <w:lang/>
              </w:rPr>
              <w:t>Inconsistent</w:t>
            </w:r>
          </w:p>
        </w:tc>
      </w:tr>
    </w:tbl>
    <w:p w14:paraId="34FE4D53" w14:textId="77777777" w:rsidR="00481B27" w:rsidRPr="00B07AF6" w:rsidRDefault="00481B27" w:rsidP="00C8245B">
      <w:pPr>
        <w:spacing w:line="240" w:lineRule="auto"/>
        <w:rPr>
          <w:rFonts w:cs="Times New Roman"/>
          <w:sz w:val="20"/>
          <w:szCs w:val="20"/>
        </w:rPr>
      </w:pPr>
    </w:p>
    <w:p w14:paraId="28C4CA95" w14:textId="5BBACFFE" w:rsidR="00963CDA" w:rsidRPr="009A696E" w:rsidRDefault="00963CDA" w:rsidP="00C8245B">
      <w:pPr>
        <w:spacing w:line="240" w:lineRule="auto"/>
        <w:rPr>
          <w:rFonts w:cs="Times New Roman"/>
          <w:sz w:val="20"/>
          <w:szCs w:val="20"/>
        </w:rPr>
      </w:pPr>
      <w:r w:rsidRPr="009A696E">
        <w:rPr>
          <w:rFonts w:eastAsia="Calibri" w:cs="Times New Roman"/>
          <w:sz w:val="20"/>
          <w:szCs w:val="20"/>
        </w:rPr>
        <w:t xml:space="preserve">According to our </w:t>
      </w:r>
      <w:r w:rsidR="00A622FD">
        <w:rPr>
          <w:rFonts w:eastAsia="Calibri" w:cs="Times New Roman"/>
          <w:sz w:val="20"/>
          <w:szCs w:val="20"/>
        </w:rPr>
        <w:t>study</w:t>
      </w:r>
      <w:r w:rsidRPr="009A696E">
        <w:rPr>
          <w:rFonts w:eastAsia="Calibri" w:cs="Times New Roman"/>
          <w:sz w:val="20"/>
          <w:szCs w:val="20"/>
        </w:rPr>
        <w:t xml:space="preserve"> undergraduate students' performance in financial accounting was significantly </w:t>
      </w:r>
      <w:proofErr w:type="spellStart"/>
      <w:r w:rsidR="00A622FD">
        <w:rPr>
          <w:rFonts w:eastAsia="Calibri" w:cs="Times New Roman"/>
          <w:sz w:val="20"/>
          <w:szCs w:val="20"/>
        </w:rPr>
        <w:t>postivly</w:t>
      </w:r>
      <w:proofErr w:type="spellEnd"/>
      <w:r w:rsidR="00A622FD">
        <w:rPr>
          <w:rFonts w:eastAsia="Calibri" w:cs="Times New Roman"/>
          <w:sz w:val="20"/>
          <w:szCs w:val="20"/>
        </w:rPr>
        <w:t xml:space="preserve"> </w:t>
      </w:r>
      <w:r w:rsidRPr="009A696E">
        <w:rPr>
          <w:rFonts w:eastAsia="Calibri" w:cs="Times New Roman"/>
          <w:sz w:val="20"/>
          <w:szCs w:val="20"/>
        </w:rPr>
        <w:t xml:space="preserve">predicted by the reliability component of accounting teaching. Reliability, according to Asadpoor and Abolfazli (2017), influences consumers' trust in the service provider as well as their general opinion after using the service. According to Kaura </w:t>
      </w:r>
      <w:r w:rsidR="00767413" w:rsidRPr="009A696E">
        <w:rPr>
          <w:rFonts w:eastAsia="Calibri" w:cs="Times New Roman"/>
          <w:sz w:val="20"/>
          <w:szCs w:val="20"/>
        </w:rPr>
        <w:t xml:space="preserve">and Datta </w:t>
      </w:r>
      <w:r w:rsidRPr="009A696E">
        <w:rPr>
          <w:rFonts w:eastAsia="Calibri" w:cs="Times New Roman"/>
          <w:sz w:val="20"/>
          <w:szCs w:val="20"/>
        </w:rPr>
        <w:t xml:space="preserve">(2012), the human component of service quality in this case, the "people" are the accounting instructors is how reliability is experienced. This suggests that undergraduate students' performance in financial accounting was predicted by the ability of accounting lecturers to deliver lessons as promised, address students' accounting learning difficulties, finish the syllabus on time, provide error-free content, and leave a lasting impression on students during their first encounter. </w:t>
      </w:r>
      <w:r w:rsidRPr="009A696E">
        <w:rPr>
          <w:rFonts w:cs="Times New Roman"/>
          <w:sz w:val="20"/>
          <w:szCs w:val="20"/>
        </w:rPr>
        <w:t xml:space="preserve">The results of the study concur with those of Arthur et al. (2022), who discovered that students' mathematical achievement was significantly predicted by the reliability component of mathematics instruction quality. </w:t>
      </w:r>
    </w:p>
    <w:p w14:paraId="209C84E1" w14:textId="0D0A882D" w:rsidR="00963CDA" w:rsidRPr="009A696E" w:rsidRDefault="00963CDA" w:rsidP="00C8245B">
      <w:pPr>
        <w:spacing w:line="240" w:lineRule="auto"/>
        <w:rPr>
          <w:rFonts w:cs="Times New Roman"/>
          <w:sz w:val="20"/>
          <w:szCs w:val="20"/>
        </w:rPr>
      </w:pPr>
      <w:r w:rsidRPr="009A696E">
        <w:rPr>
          <w:rFonts w:cs="Times New Roman"/>
          <w:sz w:val="20"/>
          <w:szCs w:val="20"/>
        </w:rPr>
        <w:t xml:space="preserve">The study also discovered a strong positive </w:t>
      </w:r>
      <w:r w:rsidR="00F97159" w:rsidRPr="009A696E">
        <w:rPr>
          <w:rFonts w:cs="Times New Roman"/>
          <w:sz w:val="20"/>
          <w:szCs w:val="20"/>
        </w:rPr>
        <w:t>relationship</w:t>
      </w:r>
      <w:r w:rsidRPr="009A696E">
        <w:rPr>
          <w:rFonts w:cs="Times New Roman"/>
          <w:sz w:val="20"/>
          <w:szCs w:val="20"/>
        </w:rPr>
        <w:t xml:space="preserve"> between undergraduate students' performance in financial accounting and the responsiveness of accounting teaching.  According to Ye et al. (2017), responsiveness is the ability of the service provider to promptly resolve client concerns. As a component of the quality of accounting instruction, responsiveness also refers to the lecturers' capacity to quickly resolve students' difficulties when they are studying financial accounting. According to Kaura et al. (2012), responsiveness is considered a human </w:t>
      </w:r>
      <w:r w:rsidRPr="009A696E">
        <w:rPr>
          <w:rFonts w:cs="Times New Roman"/>
          <w:sz w:val="20"/>
          <w:szCs w:val="20"/>
        </w:rPr>
        <w:lastRenderedPageBreak/>
        <w:t xml:space="preserve">component of service quality and is made possible via customer service interfaces, websites, emails, and other means in a variety of other service industries. The responsiveness of financial accounting lecturers, demonstrated through their punctuality, readiness to assist students facing challenges, and their openness to answering questions during class, was found to significantly influence students' success in financial accounting. Consequently, undergraduate students' academic performance in accounting improved as a result of the assistance that accounting professors gave. The results of the study are consistent with those of Arthur et al. (2022), who discovered that students' mathematical achievement was significantly predicted by the responsiveness component of mathematics teaching quality. </w:t>
      </w:r>
    </w:p>
    <w:p w14:paraId="2FA281E8" w14:textId="77777777" w:rsidR="00963CDA" w:rsidRPr="009A696E" w:rsidRDefault="00963CDA" w:rsidP="00C8245B">
      <w:pPr>
        <w:spacing w:line="240" w:lineRule="auto"/>
        <w:rPr>
          <w:rFonts w:cs="Times New Roman"/>
          <w:sz w:val="20"/>
          <w:szCs w:val="20"/>
        </w:rPr>
      </w:pPr>
      <w:r w:rsidRPr="009A696E">
        <w:rPr>
          <w:rFonts w:cs="Times New Roman"/>
          <w:sz w:val="20"/>
          <w:szCs w:val="20"/>
        </w:rPr>
        <w:t>Khan and Fasih (2014) suggested that when service staff exhibit their knowledge during service interactions, it gives customers confidence in the quality of the service provided. This display of knowledge is even more crucial when evaluating the quality of teaching. Since education revolves around the influence of knowledge, one cannot impart what they do not have. As a sector that requires a deep understanding, the expertise displayed by accounting lecturers instil a sense of confidence in their students. Because their lecturer has the expertise to support their efforts, students are inspired to succeed. Effective communication and personal explanations are seen as essential elements in assessing the quality of services (Alolayyan et al., 2018; Naidoo, 2014). Students' academic performance will improve when lecturers exhibit these qualities in the classroom. Similarly, the current study discovered that accounting teaching assurance, demonstrated by the lecturers' capacity to inspire confidence in their students, gave them the impression that passing financial accounting was feasible, and that the lecturers' readiness to respond to their questions during class had insignificant impact on the financial accounting performance of undergraduate students.  The results of the study are inconsistent with those of Arthur et al. (2021), who discovered that students' achievement in mathematics was significantly predicted by the assurance dimension of accounting teaching quality.</w:t>
      </w:r>
    </w:p>
    <w:p w14:paraId="085E76C7" w14:textId="77777777" w:rsidR="00963CDA" w:rsidRPr="009A696E" w:rsidRDefault="00963CDA" w:rsidP="00C8245B">
      <w:pPr>
        <w:spacing w:line="240" w:lineRule="auto"/>
        <w:rPr>
          <w:rFonts w:cs="Times New Roman"/>
          <w:sz w:val="20"/>
          <w:szCs w:val="20"/>
        </w:rPr>
      </w:pPr>
      <w:r w:rsidRPr="009A696E">
        <w:rPr>
          <w:rFonts w:cs="Times New Roman"/>
          <w:sz w:val="20"/>
          <w:szCs w:val="20"/>
        </w:rPr>
        <w:t xml:space="preserve">According to Khan and Fasih (2014), empathy is the ability of a service business to give each customer's wants and concerns individualised attention, effectively address those needs and challenges, and take responsibility for resolving those challenges. Furthermore, empathy is seen to be a human component of service quality that might enhance student performance in learning environments (Bahadur et al., 2018). For example, giving pupils individualised support will improve their academic achievement. The current results also showed that undergraduate students' financial accounting performance was not significantly impacted by accounting teaching empathy. To put it another way, students' success in accounting was significantly impacted by the ability of accounting lecturers to give each student individualised attention, to genuinely care about their welfare, and to comprehend the difficulties and demands that students encounter when learning financial accounting. This ran counter to the findings of Arthur et al. (2021), who discovered that students' achievement in mathematics was significantly predicted by the empathy dimension of accounting instruction quality. </w:t>
      </w:r>
    </w:p>
    <w:p w14:paraId="24161D8F" w14:textId="2907385D" w:rsidR="00963CDA" w:rsidRDefault="00963CDA" w:rsidP="00526598">
      <w:pPr>
        <w:spacing w:line="240" w:lineRule="auto"/>
        <w:rPr>
          <w:rFonts w:cs="Times New Roman"/>
          <w:sz w:val="20"/>
          <w:szCs w:val="20"/>
        </w:rPr>
      </w:pPr>
      <w:r w:rsidRPr="009A696E">
        <w:rPr>
          <w:rFonts w:cs="Times New Roman"/>
          <w:sz w:val="20"/>
          <w:szCs w:val="20"/>
        </w:rPr>
        <w:t>According to Farooq et al. (2018), tangibles are items that can be seen or touched. Like the other SERVQUAL dimensions, customers perceive and interpret tangibles differently, and service providers use them in diverse ways. The current study found that undergraduate students' financial accounting performance was unaffected by the observable component of accounting teaching quality. In other words, students' performance in financial accounting was unaffected by the facilities' and infrastructure's aesthetic appeal or the lecturers' looks. This was in contrast to the findings of Koklic et al. (2017), who acknowledged tangibles as crucial for service businesses since they are special assets that improve client interaction and experience. However, rather than the aesthetic appeal of the learning environment or the quality of the equipment, the lecturer's qualities (expertise, instructional abilities, interpersonal skills, etc.) are used to evaluate the quality of teaching (perceived service quality) in higher education. For example, a state-of-the-art laboratory or classroom is not required to teach financial accounting. The capabilities (both knowledge and teaching ability) of the lecturer are crucial for accounting education at the higher education level. Consequently, the results regarding accounting teaching quality in relation to student performance reinforce the effective teaching theory and contribute to the literature for future research on student outcomes.</w:t>
      </w:r>
    </w:p>
    <w:p w14:paraId="6D66162B" w14:textId="58449639" w:rsidR="00526598" w:rsidRDefault="00526598" w:rsidP="00C8245B">
      <w:pPr>
        <w:spacing w:after="0" w:line="240" w:lineRule="auto"/>
        <w:rPr>
          <w:rFonts w:cs="Times New Roman"/>
          <w:b/>
          <w:bCs/>
          <w:sz w:val="20"/>
          <w:szCs w:val="20"/>
        </w:rPr>
      </w:pPr>
      <w:r w:rsidRPr="005C6826">
        <w:rPr>
          <w:rFonts w:cs="Times New Roman"/>
          <w:b/>
          <w:bCs/>
          <w:sz w:val="20"/>
          <w:szCs w:val="20"/>
          <w:highlight w:val="yellow"/>
        </w:rPr>
        <w:t xml:space="preserve">Conclusions </w:t>
      </w:r>
      <w:r w:rsidR="00B27B8C" w:rsidRPr="005C6826">
        <w:rPr>
          <w:rFonts w:cs="Times New Roman"/>
          <w:b/>
          <w:bCs/>
          <w:sz w:val="20"/>
          <w:szCs w:val="20"/>
          <w:highlight w:val="yellow"/>
        </w:rPr>
        <w:t>and Recommendations</w:t>
      </w:r>
    </w:p>
    <w:p w14:paraId="07E48FC2" w14:textId="5AFE56C2" w:rsidR="00526598" w:rsidRPr="00526598" w:rsidRDefault="00B27B8C" w:rsidP="00C8245B">
      <w:pPr>
        <w:spacing w:after="0" w:line="240" w:lineRule="auto"/>
        <w:rPr>
          <w:rFonts w:cs="Times New Roman"/>
          <w:sz w:val="20"/>
          <w:szCs w:val="20"/>
        </w:rPr>
      </w:pPr>
      <w:r w:rsidRPr="00B27B8C">
        <w:rPr>
          <w:rFonts w:cs="Times New Roman"/>
          <w:sz w:val="20"/>
          <w:szCs w:val="20"/>
        </w:rPr>
        <w:t xml:space="preserve">The study confirmed that responsiveness and reliability in accounting </w:t>
      </w:r>
      <w:r>
        <w:rPr>
          <w:rFonts w:cs="Times New Roman"/>
          <w:sz w:val="20"/>
          <w:szCs w:val="20"/>
        </w:rPr>
        <w:t xml:space="preserve">teaching </w:t>
      </w:r>
      <w:r w:rsidRPr="00B27B8C">
        <w:rPr>
          <w:rFonts w:cs="Times New Roman"/>
          <w:sz w:val="20"/>
          <w:szCs w:val="20"/>
        </w:rPr>
        <w:t>significantly affect undergraduate financial accounting students</w:t>
      </w:r>
      <w:r>
        <w:rPr>
          <w:rFonts w:cs="Times New Roman"/>
          <w:sz w:val="20"/>
          <w:szCs w:val="20"/>
        </w:rPr>
        <w:t>’ academic</w:t>
      </w:r>
      <w:r w:rsidRPr="00B27B8C">
        <w:rPr>
          <w:rFonts w:cs="Times New Roman"/>
          <w:sz w:val="20"/>
          <w:szCs w:val="20"/>
        </w:rPr>
        <w:t xml:space="preserve"> performance. Students perform better when lecturers teach regularly, complete </w:t>
      </w:r>
      <w:r>
        <w:rPr>
          <w:rFonts w:cs="Times New Roman"/>
          <w:sz w:val="20"/>
          <w:szCs w:val="20"/>
        </w:rPr>
        <w:t xml:space="preserve">difficult </w:t>
      </w:r>
      <w:r w:rsidRPr="00B27B8C">
        <w:rPr>
          <w:rFonts w:cs="Times New Roman"/>
          <w:sz w:val="20"/>
          <w:szCs w:val="20"/>
        </w:rPr>
        <w:t xml:space="preserve">topics, complete the </w:t>
      </w:r>
      <w:r>
        <w:rPr>
          <w:rFonts w:cs="Times New Roman"/>
          <w:sz w:val="20"/>
          <w:szCs w:val="20"/>
        </w:rPr>
        <w:t>course</w:t>
      </w:r>
      <w:r w:rsidRPr="00B27B8C">
        <w:rPr>
          <w:rFonts w:cs="Times New Roman"/>
          <w:sz w:val="20"/>
          <w:szCs w:val="20"/>
        </w:rPr>
        <w:t xml:space="preserve"> within time, and provide </w:t>
      </w:r>
      <w:r w:rsidR="005C6826">
        <w:rPr>
          <w:rFonts w:cs="Times New Roman"/>
          <w:sz w:val="20"/>
          <w:szCs w:val="20"/>
        </w:rPr>
        <w:t>lessons</w:t>
      </w:r>
      <w:r w:rsidRPr="00B27B8C">
        <w:rPr>
          <w:rFonts w:cs="Times New Roman"/>
          <w:sz w:val="20"/>
          <w:szCs w:val="20"/>
        </w:rPr>
        <w:t xml:space="preserve"> with zero errors. In the same manner, lecturers</w:t>
      </w:r>
      <w:r>
        <w:rPr>
          <w:rFonts w:cs="Times New Roman"/>
          <w:sz w:val="20"/>
          <w:szCs w:val="20"/>
        </w:rPr>
        <w:t>’</w:t>
      </w:r>
      <w:r w:rsidRPr="00B27B8C">
        <w:rPr>
          <w:rFonts w:cs="Times New Roman"/>
          <w:sz w:val="20"/>
          <w:szCs w:val="20"/>
        </w:rPr>
        <w:t xml:space="preserve"> punctuality, availability to assist students, and willingness to clarify questions enhance students</w:t>
      </w:r>
      <w:r>
        <w:rPr>
          <w:rFonts w:cs="Times New Roman"/>
          <w:sz w:val="20"/>
          <w:szCs w:val="20"/>
        </w:rPr>
        <w:t xml:space="preserve">’ </w:t>
      </w:r>
      <w:r w:rsidRPr="00B27B8C">
        <w:rPr>
          <w:rFonts w:cs="Times New Roman"/>
          <w:sz w:val="20"/>
          <w:szCs w:val="20"/>
        </w:rPr>
        <w:t>attainment.</w:t>
      </w:r>
      <w:r>
        <w:rPr>
          <w:rFonts w:cs="Times New Roman"/>
          <w:sz w:val="20"/>
          <w:szCs w:val="20"/>
        </w:rPr>
        <w:t xml:space="preserve"> </w:t>
      </w:r>
      <w:r w:rsidRPr="00B27B8C">
        <w:rPr>
          <w:rFonts w:cs="Times New Roman"/>
          <w:sz w:val="20"/>
          <w:szCs w:val="20"/>
        </w:rPr>
        <w:t>Assurance, empathy, and tangibles did not have any influence on financial accounting performance among students. Regardless of how much lecturer experience and personal attention are appreciated, these were not specifically converted to improved academic performance. Additionally, physical facilities and the lecturers' appearance did not influence students</w:t>
      </w:r>
      <w:r>
        <w:rPr>
          <w:rFonts w:cs="Times New Roman"/>
          <w:sz w:val="20"/>
          <w:szCs w:val="20"/>
        </w:rPr>
        <w:t>’</w:t>
      </w:r>
      <w:r w:rsidRPr="00B27B8C">
        <w:rPr>
          <w:rFonts w:cs="Times New Roman"/>
          <w:sz w:val="20"/>
          <w:szCs w:val="20"/>
        </w:rPr>
        <w:t xml:space="preserve"> performance, with the implication being that teaching </w:t>
      </w:r>
      <w:r w:rsidRPr="00B27B8C">
        <w:rPr>
          <w:rFonts w:cs="Times New Roman"/>
          <w:sz w:val="20"/>
          <w:szCs w:val="20"/>
        </w:rPr>
        <w:lastRenderedPageBreak/>
        <w:t>effectiveness trumps appearance in tertiary education.</w:t>
      </w:r>
      <w:r>
        <w:rPr>
          <w:rFonts w:cs="Times New Roman"/>
          <w:sz w:val="20"/>
          <w:szCs w:val="20"/>
        </w:rPr>
        <w:t xml:space="preserve"> </w:t>
      </w:r>
      <w:r w:rsidRPr="00B27B8C">
        <w:rPr>
          <w:rFonts w:cs="Times New Roman"/>
          <w:sz w:val="20"/>
          <w:szCs w:val="20"/>
        </w:rPr>
        <w:t xml:space="preserve">The findings are in line with previous research in other </w:t>
      </w:r>
      <w:r>
        <w:rPr>
          <w:rFonts w:cs="Times New Roman"/>
          <w:sz w:val="20"/>
          <w:szCs w:val="20"/>
        </w:rPr>
        <w:t>subjects</w:t>
      </w:r>
      <w:r w:rsidRPr="00B27B8C">
        <w:rPr>
          <w:rFonts w:cs="Times New Roman"/>
          <w:sz w:val="20"/>
          <w:szCs w:val="20"/>
        </w:rPr>
        <w:t>, most prominently mathematics</w:t>
      </w:r>
      <w:r>
        <w:rPr>
          <w:rFonts w:cs="Times New Roman"/>
          <w:sz w:val="20"/>
          <w:szCs w:val="20"/>
        </w:rPr>
        <w:t xml:space="preserve"> (Arthur et al., 2022)</w:t>
      </w:r>
      <w:r w:rsidRPr="00B27B8C">
        <w:rPr>
          <w:rFonts w:cs="Times New Roman"/>
          <w:sz w:val="20"/>
          <w:szCs w:val="20"/>
        </w:rPr>
        <w:t>, where responsiveness and reliability were also strong predictors of student learning. However, the lack of appreciable effect from assurance and empathy contradicts previous research that identified these dimensions as being prominent in other teaching settings. This acts to highlight the subject-specific nature of teaching quality and the need for further research.</w:t>
      </w:r>
      <w:r>
        <w:rPr>
          <w:rFonts w:cs="Times New Roman"/>
          <w:sz w:val="20"/>
          <w:szCs w:val="20"/>
        </w:rPr>
        <w:t xml:space="preserve"> </w:t>
      </w:r>
      <w:r w:rsidRPr="00B27B8C">
        <w:rPr>
          <w:rFonts w:cs="Times New Roman"/>
          <w:sz w:val="20"/>
          <w:szCs w:val="20"/>
        </w:rPr>
        <w:t>The research reiterates the need for organized and efficient teaching approaches, prioritizing clarity in communication, consistency, and student involvement over aspects of physical infrastructure or aesthetics. The findings imply that the quality of teaching financial accounting should be centred on reliability and responsiveness in order to achieve optimum academic success.</w:t>
      </w:r>
      <w:r>
        <w:rPr>
          <w:rFonts w:cs="Times New Roman"/>
          <w:sz w:val="20"/>
          <w:szCs w:val="20"/>
        </w:rPr>
        <w:t xml:space="preserve"> </w:t>
      </w:r>
      <w:r w:rsidRPr="00B27B8C">
        <w:rPr>
          <w:rFonts w:cs="Times New Roman"/>
          <w:sz w:val="20"/>
          <w:szCs w:val="20"/>
        </w:rPr>
        <w:t xml:space="preserve">On the basis of these findings, the research stresses the importance of continuous development of teaching quality, particularly in rendering lecturer’s student-centred and ensuring structured and coherent teaching. Faculty </w:t>
      </w:r>
      <w:r w:rsidR="005C6826">
        <w:rPr>
          <w:rFonts w:cs="Times New Roman"/>
          <w:sz w:val="20"/>
          <w:szCs w:val="20"/>
        </w:rPr>
        <w:t xml:space="preserve">professional </w:t>
      </w:r>
      <w:r w:rsidRPr="00B27B8C">
        <w:rPr>
          <w:rFonts w:cs="Times New Roman"/>
          <w:sz w:val="20"/>
          <w:szCs w:val="20"/>
        </w:rPr>
        <w:t xml:space="preserve">development programs for enhancing teaching effectiveness and directly influencing student </w:t>
      </w:r>
      <w:r w:rsidR="005C6826">
        <w:rPr>
          <w:rFonts w:cs="Times New Roman"/>
          <w:sz w:val="20"/>
          <w:szCs w:val="20"/>
        </w:rPr>
        <w:t xml:space="preserve">performance </w:t>
      </w:r>
      <w:r w:rsidRPr="00B27B8C">
        <w:rPr>
          <w:rFonts w:cs="Times New Roman"/>
          <w:sz w:val="20"/>
          <w:szCs w:val="20"/>
        </w:rPr>
        <w:t>should be given priority by universities.</w:t>
      </w:r>
    </w:p>
    <w:p w14:paraId="2FF5F59B" w14:textId="77B7BF60" w:rsidR="0004615F" w:rsidRDefault="0004615F" w:rsidP="00C8245B">
      <w:pPr>
        <w:spacing w:after="0" w:line="240" w:lineRule="auto"/>
        <w:rPr>
          <w:rFonts w:cs="Times New Roman"/>
          <w:sz w:val="20"/>
          <w:szCs w:val="20"/>
        </w:rPr>
      </w:pPr>
    </w:p>
    <w:p w14:paraId="483B2FE4" w14:textId="77777777" w:rsidR="00A57E62" w:rsidRPr="00A57E62" w:rsidRDefault="00A57E62" w:rsidP="00A57E62">
      <w:pPr>
        <w:spacing w:after="0" w:line="240" w:lineRule="auto"/>
        <w:rPr>
          <w:rFonts w:cs="Times New Roman"/>
          <w:sz w:val="20"/>
          <w:szCs w:val="20"/>
        </w:rPr>
      </w:pPr>
      <w:r w:rsidRPr="00A57E62">
        <w:rPr>
          <w:rFonts w:cs="Times New Roman"/>
          <w:sz w:val="20"/>
          <w:szCs w:val="20"/>
        </w:rPr>
        <w:t>Disclaimer (Artificial intelligence)</w:t>
      </w:r>
    </w:p>
    <w:p w14:paraId="21A926CE" w14:textId="77777777" w:rsidR="00A57E62" w:rsidRPr="00A57E62" w:rsidRDefault="00A57E62" w:rsidP="00A57E62">
      <w:pPr>
        <w:spacing w:after="0" w:line="240" w:lineRule="auto"/>
        <w:rPr>
          <w:rFonts w:cs="Times New Roman"/>
          <w:sz w:val="20"/>
          <w:szCs w:val="20"/>
        </w:rPr>
      </w:pPr>
      <w:r w:rsidRPr="00A57E62">
        <w:rPr>
          <w:rFonts w:cs="Times New Roman"/>
          <w:sz w:val="20"/>
          <w:szCs w:val="20"/>
        </w:rPr>
        <w:t xml:space="preserve">Option 1: </w:t>
      </w:r>
    </w:p>
    <w:p w14:paraId="714272AB" w14:textId="77777777" w:rsidR="00A57E62" w:rsidRPr="00A57E62" w:rsidRDefault="00A57E62" w:rsidP="00A57E62">
      <w:pPr>
        <w:spacing w:after="0" w:line="240" w:lineRule="auto"/>
        <w:rPr>
          <w:rFonts w:cs="Times New Roman"/>
          <w:sz w:val="20"/>
          <w:szCs w:val="20"/>
        </w:rPr>
      </w:pPr>
      <w:r w:rsidRPr="00A57E62">
        <w:rPr>
          <w:rFonts w:cs="Times New Roman"/>
          <w:sz w:val="20"/>
          <w:szCs w:val="20"/>
        </w:rPr>
        <w:t>Author(s) hereby declare that NO generative AI technologies such as Large Language Models (</w:t>
      </w:r>
      <w:proofErr w:type="spellStart"/>
      <w:r w:rsidRPr="00A57E62">
        <w:rPr>
          <w:rFonts w:cs="Times New Roman"/>
          <w:sz w:val="20"/>
          <w:szCs w:val="20"/>
        </w:rPr>
        <w:t>ChatGPT</w:t>
      </w:r>
      <w:proofErr w:type="spellEnd"/>
      <w:r w:rsidRPr="00A57E62">
        <w:rPr>
          <w:rFonts w:cs="Times New Roman"/>
          <w:sz w:val="20"/>
          <w:szCs w:val="20"/>
        </w:rPr>
        <w:t xml:space="preserve">, COPILOT, etc.) and text-to-image generators have been used during the writing or editing of this manuscript. </w:t>
      </w:r>
    </w:p>
    <w:p w14:paraId="1D35EF0D" w14:textId="77777777" w:rsidR="00A57E62" w:rsidRPr="00A57E62" w:rsidRDefault="00A57E62" w:rsidP="00A57E62">
      <w:pPr>
        <w:spacing w:after="0" w:line="240" w:lineRule="auto"/>
        <w:rPr>
          <w:rFonts w:cs="Times New Roman"/>
          <w:sz w:val="20"/>
          <w:szCs w:val="20"/>
        </w:rPr>
      </w:pPr>
      <w:r w:rsidRPr="00A57E62">
        <w:rPr>
          <w:rFonts w:cs="Times New Roman"/>
          <w:sz w:val="20"/>
          <w:szCs w:val="20"/>
        </w:rPr>
        <w:t xml:space="preserve">Option 2: </w:t>
      </w:r>
    </w:p>
    <w:p w14:paraId="392092F9" w14:textId="77777777" w:rsidR="00A57E62" w:rsidRPr="00A57E62" w:rsidRDefault="00A57E62" w:rsidP="00A57E62">
      <w:pPr>
        <w:spacing w:after="0" w:line="240" w:lineRule="auto"/>
        <w:rPr>
          <w:rFonts w:cs="Times New Roman"/>
          <w:sz w:val="20"/>
          <w:szCs w:val="20"/>
        </w:rPr>
      </w:pPr>
      <w:r w:rsidRPr="00A57E62">
        <w:rPr>
          <w:rFonts w:cs="Times New Roman"/>
          <w:sz w:val="20"/>
          <w:szCs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1B33EB6" w14:textId="77777777" w:rsidR="00A57E62" w:rsidRPr="00A57E62" w:rsidRDefault="00A57E62" w:rsidP="00A57E62">
      <w:pPr>
        <w:spacing w:after="0" w:line="240" w:lineRule="auto"/>
        <w:rPr>
          <w:rFonts w:cs="Times New Roman"/>
          <w:sz w:val="20"/>
          <w:szCs w:val="20"/>
        </w:rPr>
      </w:pPr>
      <w:r w:rsidRPr="00A57E62">
        <w:rPr>
          <w:rFonts w:cs="Times New Roman"/>
          <w:sz w:val="20"/>
          <w:szCs w:val="20"/>
        </w:rPr>
        <w:t>Details of the AI usage are given below:</w:t>
      </w:r>
    </w:p>
    <w:p w14:paraId="4479A74E" w14:textId="77777777" w:rsidR="00A57E62" w:rsidRPr="00A57E62" w:rsidRDefault="00A57E62" w:rsidP="00A57E62">
      <w:pPr>
        <w:spacing w:after="0" w:line="240" w:lineRule="auto"/>
        <w:rPr>
          <w:rFonts w:cs="Times New Roman"/>
          <w:sz w:val="20"/>
          <w:szCs w:val="20"/>
        </w:rPr>
      </w:pPr>
      <w:r w:rsidRPr="00A57E62">
        <w:rPr>
          <w:rFonts w:cs="Times New Roman"/>
          <w:sz w:val="20"/>
          <w:szCs w:val="20"/>
        </w:rPr>
        <w:t>1.</w:t>
      </w:r>
    </w:p>
    <w:p w14:paraId="0A14375A" w14:textId="77777777" w:rsidR="00A57E62" w:rsidRPr="00A57E62" w:rsidRDefault="00A57E62" w:rsidP="00A57E62">
      <w:pPr>
        <w:spacing w:after="0" w:line="240" w:lineRule="auto"/>
        <w:rPr>
          <w:rFonts w:cs="Times New Roman"/>
          <w:sz w:val="20"/>
          <w:szCs w:val="20"/>
        </w:rPr>
      </w:pPr>
      <w:r w:rsidRPr="00A57E62">
        <w:rPr>
          <w:rFonts w:cs="Times New Roman"/>
          <w:sz w:val="20"/>
          <w:szCs w:val="20"/>
        </w:rPr>
        <w:t>2.</w:t>
      </w:r>
    </w:p>
    <w:p w14:paraId="5F35C2A1" w14:textId="449C2D45" w:rsidR="00A57E62" w:rsidRPr="009A696E" w:rsidRDefault="00A57E62" w:rsidP="00A57E62">
      <w:pPr>
        <w:spacing w:after="0" w:line="240" w:lineRule="auto"/>
        <w:rPr>
          <w:rFonts w:cs="Times New Roman"/>
          <w:sz w:val="20"/>
          <w:szCs w:val="20"/>
        </w:rPr>
      </w:pPr>
      <w:r w:rsidRPr="00A57E62">
        <w:rPr>
          <w:rFonts w:cs="Times New Roman"/>
          <w:sz w:val="20"/>
          <w:szCs w:val="20"/>
        </w:rPr>
        <w:t>3.</w:t>
      </w:r>
    </w:p>
    <w:p w14:paraId="7F78AF71" w14:textId="77777777" w:rsidR="00963CDA" w:rsidRDefault="00963CDA" w:rsidP="00C8245B">
      <w:pPr>
        <w:spacing w:before="240" w:line="240" w:lineRule="auto"/>
        <w:rPr>
          <w:rFonts w:cs="Times New Roman"/>
          <w:b/>
          <w:bCs/>
          <w:sz w:val="20"/>
          <w:szCs w:val="20"/>
        </w:rPr>
      </w:pPr>
      <w:r w:rsidRPr="009A696E">
        <w:rPr>
          <w:rFonts w:cs="Times New Roman"/>
          <w:b/>
          <w:bCs/>
          <w:sz w:val="20"/>
          <w:szCs w:val="20"/>
        </w:rPr>
        <w:t>References</w:t>
      </w:r>
    </w:p>
    <w:p w14:paraId="736CC9CE"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 xml:space="preserve">Ahinful, G. S., </w:t>
      </w:r>
      <w:proofErr w:type="spellStart"/>
      <w:r w:rsidRPr="003A7EB5">
        <w:rPr>
          <w:rFonts w:cs="Times New Roman"/>
          <w:sz w:val="20"/>
          <w:szCs w:val="20"/>
        </w:rPr>
        <w:t>Tauringana</w:t>
      </w:r>
      <w:proofErr w:type="spellEnd"/>
      <w:r w:rsidRPr="003A7EB5">
        <w:rPr>
          <w:rFonts w:cs="Times New Roman"/>
          <w:sz w:val="20"/>
          <w:szCs w:val="20"/>
        </w:rPr>
        <w:t xml:space="preserve">, V., </w:t>
      </w:r>
      <w:proofErr w:type="spellStart"/>
      <w:r w:rsidRPr="003A7EB5">
        <w:rPr>
          <w:rFonts w:cs="Times New Roman"/>
          <w:sz w:val="20"/>
          <w:szCs w:val="20"/>
        </w:rPr>
        <w:t>Bansah</w:t>
      </w:r>
      <w:proofErr w:type="spellEnd"/>
      <w:r w:rsidRPr="003A7EB5">
        <w:rPr>
          <w:rFonts w:cs="Times New Roman"/>
          <w:sz w:val="20"/>
          <w:szCs w:val="20"/>
        </w:rPr>
        <w:t xml:space="preserve">, E. A., &amp; Essuman, D. (2019). Determinants of academic performance of accounting students in Ghanaian secondary and tertiary education institutions. </w:t>
      </w:r>
      <w:r w:rsidRPr="003A7EB5">
        <w:rPr>
          <w:rFonts w:cs="Times New Roman"/>
          <w:i/>
          <w:iCs/>
          <w:sz w:val="20"/>
          <w:szCs w:val="20"/>
        </w:rPr>
        <w:t>Accounting Education</w:t>
      </w:r>
      <w:r w:rsidRPr="003A7EB5">
        <w:rPr>
          <w:rFonts w:cs="Times New Roman"/>
          <w:sz w:val="20"/>
          <w:szCs w:val="20"/>
        </w:rPr>
        <w:t xml:space="preserve">, </w:t>
      </w:r>
      <w:r w:rsidRPr="003A7EB5">
        <w:rPr>
          <w:rFonts w:cs="Times New Roman"/>
          <w:i/>
          <w:iCs/>
          <w:sz w:val="20"/>
          <w:szCs w:val="20"/>
        </w:rPr>
        <w:t>28</w:t>
      </w:r>
      <w:r w:rsidRPr="003A7EB5">
        <w:rPr>
          <w:rFonts w:cs="Times New Roman"/>
          <w:sz w:val="20"/>
          <w:szCs w:val="20"/>
        </w:rPr>
        <w:t>(6), 553-581.</w:t>
      </w:r>
    </w:p>
    <w:p w14:paraId="2F86E517"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Al-</w:t>
      </w:r>
      <w:proofErr w:type="spellStart"/>
      <w:r w:rsidRPr="003A7EB5">
        <w:rPr>
          <w:rFonts w:cs="Times New Roman"/>
          <w:sz w:val="20"/>
          <w:szCs w:val="20"/>
        </w:rPr>
        <w:t>Abyadh</w:t>
      </w:r>
      <w:proofErr w:type="spellEnd"/>
      <w:r w:rsidRPr="003A7EB5">
        <w:rPr>
          <w:rFonts w:cs="Times New Roman"/>
          <w:sz w:val="20"/>
          <w:szCs w:val="20"/>
        </w:rPr>
        <w:t>, M. H. A., &amp; Abdel Azeem, H. A. H. (2022). Academic achievement: influences of university students’ self-management and perceived self-efficacy. </w:t>
      </w:r>
      <w:r w:rsidRPr="003A7EB5">
        <w:rPr>
          <w:rFonts w:cs="Times New Roman"/>
          <w:i/>
          <w:iCs/>
          <w:sz w:val="20"/>
          <w:szCs w:val="20"/>
        </w:rPr>
        <w:t>Journal of Intelligence</w:t>
      </w:r>
      <w:r w:rsidRPr="003A7EB5">
        <w:rPr>
          <w:rFonts w:cs="Times New Roman"/>
          <w:sz w:val="20"/>
          <w:szCs w:val="20"/>
        </w:rPr>
        <w:t>, </w:t>
      </w:r>
      <w:r w:rsidRPr="003A7EB5">
        <w:rPr>
          <w:rFonts w:cs="Times New Roman"/>
          <w:i/>
          <w:iCs/>
          <w:sz w:val="20"/>
          <w:szCs w:val="20"/>
        </w:rPr>
        <w:t>10</w:t>
      </w:r>
      <w:r w:rsidRPr="003A7EB5">
        <w:rPr>
          <w:rFonts w:cs="Times New Roman"/>
          <w:sz w:val="20"/>
          <w:szCs w:val="20"/>
        </w:rPr>
        <w:t>(3), 55.</w:t>
      </w:r>
    </w:p>
    <w:p w14:paraId="650F6391" w14:textId="77777777" w:rsidR="003A7EB5" w:rsidRPr="003A7EB5" w:rsidRDefault="003A7EB5" w:rsidP="00C8245B">
      <w:pPr>
        <w:spacing w:before="240" w:line="240" w:lineRule="auto"/>
        <w:rPr>
          <w:rFonts w:cs="Times New Roman"/>
          <w:sz w:val="20"/>
          <w:szCs w:val="20"/>
        </w:rPr>
      </w:pPr>
      <w:r w:rsidRPr="003A7EB5">
        <w:rPr>
          <w:rFonts w:cs="Times New Roman"/>
          <w:sz w:val="20"/>
          <w:szCs w:val="20"/>
        </w:rPr>
        <w:t>Alolayyan, M. N., Al-</w:t>
      </w:r>
      <w:proofErr w:type="spellStart"/>
      <w:r w:rsidRPr="003A7EB5">
        <w:rPr>
          <w:rFonts w:cs="Times New Roman"/>
          <w:sz w:val="20"/>
          <w:szCs w:val="20"/>
        </w:rPr>
        <w:t>Hawary</w:t>
      </w:r>
      <w:proofErr w:type="spellEnd"/>
      <w:r w:rsidRPr="003A7EB5">
        <w:rPr>
          <w:rFonts w:cs="Times New Roman"/>
          <w:sz w:val="20"/>
          <w:szCs w:val="20"/>
        </w:rPr>
        <w:t>, S. I. S., Mohammad, A. A. S., &amp; Al-Nady, B. A. H. A. (2018). Banking service quality provided by commercial banks and customer satisfaction. A structural equation modelling approaches. </w:t>
      </w:r>
      <w:r w:rsidRPr="003A7EB5">
        <w:rPr>
          <w:rFonts w:cs="Times New Roman"/>
          <w:i/>
          <w:iCs/>
          <w:sz w:val="20"/>
          <w:szCs w:val="20"/>
        </w:rPr>
        <w:t>International Journal of Productivity and Quality Management</w:t>
      </w:r>
      <w:r w:rsidRPr="003A7EB5">
        <w:rPr>
          <w:rFonts w:cs="Times New Roman"/>
          <w:sz w:val="20"/>
          <w:szCs w:val="20"/>
        </w:rPr>
        <w:t>, </w:t>
      </w:r>
      <w:r w:rsidRPr="003A7EB5">
        <w:rPr>
          <w:rFonts w:cs="Times New Roman"/>
          <w:i/>
          <w:iCs/>
          <w:sz w:val="20"/>
          <w:szCs w:val="20"/>
        </w:rPr>
        <w:t>24</w:t>
      </w:r>
      <w:r w:rsidRPr="003A7EB5">
        <w:rPr>
          <w:rFonts w:cs="Times New Roman"/>
          <w:sz w:val="20"/>
          <w:szCs w:val="20"/>
        </w:rPr>
        <w:t>(4), 543-565.</w:t>
      </w:r>
    </w:p>
    <w:p w14:paraId="1A6BA511"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Alves, H., &amp; Raposo, M. (2007). Conceptual model of student satisfaction in higher education. </w:t>
      </w:r>
      <w:r w:rsidRPr="003A7EB5">
        <w:rPr>
          <w:rFonts w:cs="Times New Roman"/>
          <w:i/>
          <w:iCs/>
          <w:sz w:val="20"/>
          <w:szCs w:val="20"/>
        </w:rPr>
        <w:t>Total Quality Management</w:t>
      </w:r>
      <w:r w:rsidRPr="003A7EB5">
        <w:rPr>
          <w:rFonts w:cs="Times New Roman"/>
          <w:sz w:val="20"/>
          <w:szCs w:val="20"/>
        </w:rPr>
        <w:t>, </w:t>
      </w:r>
      <w:r w:rsidRPr="003A7EB5">
        <w:rPr>
          <w:rFonts w:cs="Times New Roman"/>
          <w:i/>
          <w:iCs/>
          <w:sz w:val="20"/>
          <w:szCs w:val="20"/>
        </w:rPr>
        <w:t>18</w:t>
      </w:r>
      <w:r w:rsidRPr="003A7EB5">
        <w:rPr>
          <w:rFonts w:cs="Times New Roman"/>
          <w:sz w:val="20"/>
          <w:szCs w:val="20"/>
        </w:rPr>
        <w:t>(5), 571-588.</w:t>
      </w:r>
    </w:p>
    <w:p w14:paraId="2EA84C87"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Alvesson, M. (2013). </w:t>
      </w:r>
      <w:r w:rsidRPr="003A7EB5">
        <w:rPr>
          <w:rFonts w:cs="Times New Roman"/>
          <w:i/>
          <w:iCs/>
          <w:sz w:val="20"/>
          <w:szCs w:val="20"/>
        </w:rPr>
        <w:t>The triumph of emptiness: Consumption, higher education, and work organization</w:t>
      </w:r>
      <w:r w:rsidRPr="003A7EB5">
        <w:rPr>
          <w:rFonts w:cs="Times New Roman"/>
          <w:sz w:val="20"/>
          <w:szCs w:val="20"/>
        </w:rPr>
        <w:t>. OUP Oxford.</w:t>
      </w:r>
    </w:p>
    <w:p w14:paraId="098C983C"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Appiah-Kubi, E. (2024). Management knowledge and sustainability reporting in SMEs: The role of perceived benefit and stakeholder pressure. </w:t>
      </w:r>
      <w:r w:rsidRPr="003A7EB5">
        <w:rPr>
          <w:rFonts w:cs="Times New Roman"/>
          <w:i/>
          <w:iCs/>
          <w:sz w:val="20"/>
          <w:szCs w:val="20"/>
        </w:rPr>
        <w:t>Journal of Cleaner Production</w:t>
      </w:r>
      <w:r w:rsidRPr="003A7EB5">
        <w:rPr>
          <w:rFonts w:cs="Times New Roman"/>
          <w:sz w:val="20"/>
          <w:szCs w:val="20"/>
        </w:rPr>
        <w:t>, </w:t>
      </w:r>
      <w:r w:rsidRPr="003A7EB5">
        <w:rPr>
          <w:rFonts w:cs="Times New Roman"/>
          <w:i/>
          <w:iCs/>
          <w:sz w:val="20"/>
          <w:szCs w:val="20"/>
        </w:rPr>
        <w:t>434</w:t>
      </w:r>
      <w:r w:rsidRPr="003A7EB5">
        <w:rPr>
          <w:rFonts w:cs="Times New Roman"/>
          <w:sz w:val="20"/>
          <w:szCs w:val="20"/>
        </w:rPr>
        <w:t>, 140067.</w:t>
      </w:r>
    </w:p>
    <w:p w14:paraId="71B8EA52"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 xml:space="preserve">Arthur, Y. D., Dogbe, C. S. K., &amp; Asiedu-Addo, S. K. (2022). </w:t>
      </w:r>
      <w:proofErr w:type="spellStart"/>
      <w:r w:rsidRPr="003A7EB5">
        <w:rPr>
          <w:rFonts w:cs="Times New Roman"/>
          <w:sz w:val="20"/>
          <w:szCs w:val="20"/>
        </w:rPr>
        <w:t>Modeling</w:t>
      </w:r>
      <w:proofErr w:type="spellEnd"/>
      <w:r w:rsidRPr="003A7EB5">
        <w:rPr>
          <w:rFonts w:cs="Times New Roman"/>
          <w:sz w:val="20"/>
          <w:szCs w:val="20"/>
        </w:rPr>
        <w:t xml:space="preserve"> students' mathematics achievement and performance through teaching quality: SERVQUAL perspective. </w:t>
      </w:r>
      <w:r w:rsidRPr="003A7EB5">
        <w:rPr>
          <w:rFonts w:cs="Times New Roman"/>
          <w:i/>
          <w:iCs/>
          <w:sz w:val="20"/>
          <w:szCs w:val="20"/>
        </w:rPr>
        <w:t>Journal of Applied Research in Higher Education</w:t>
      </w:r>
      <w:r w:rsidRPr="003A7EB5">
        <w:rPr>
          <w:rFonts w:cs="Times New Roman"/>
          <w:sz w:val="20"/>
          <w:szCs w:val="20"/>
        </w:rPr>
        <w:t>, </w:t>
      </w:r>
      <w:r w:rsidRPr="003A7EB5">
        <w:rPr>
          <w:rFonts w:cs="Times New Roman"/>
          <w:i/>
          <w:iCs/>
          <w:sz w:val="20"/>
          <w:szCs w:val="20"/>
        </w:rPr>
        <w:t>14</w:t>
      </w:r>
      <w:r w:rsidRPr="003A7EB5">
        <w:rPr>
          <w:rFonts w:cs="Times New Roman"/>
          <w:sz w:val="20"/>
          <w:szCs w:val="20"/>
        </w:rPr>
        <w:t>(4), 1509-1523.</w:t>
      </w:r>
    </w:p>
    <w:p w14:paraId="5E02324A"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 xml:space="preserve">Asadpoor, S., &amp; Abolfazli, A. (2017). Effect of electronic service quality on customer satisfaction and loyalty </w:t>
      </w:r>
      <w:proofErr w:type="spellStart"/>
      <w:r w:rsidRPr="003A7EB5">
        <w:rPr>
          <w:rFonts w:cs="Times New Roman"/>
          <w:sz w:val="20"/>
          <w:szCs w:val="20"/>
        </w:rPr>
        <w:t>Saderat</w:t>
      </w:r>
      <w:proofErr w:type="spellEnd"/>
      <w:r w:rsidRPr="003A7EB5">
        <w:rPr>
          <w:rFonts w:cs="Times New Roman"/>
          <w:sz w:val="20"/>
          <w:szCs w:val="20"/>
        </w:rPr>
        <w:t xml:space="preserve"> Bank’s customers. </w:t>
      </w:r>
      <w:r w:rsidRPr="003A7EB5">
        <w:rPr>
          <w:rFonts w:cs="Times New Roman"/>
          <w:i/>
          <w:iCs/>
          <w:sz w:val="20"/>
          <w:szCs w:val="20"/>
        </w:rPr>
        <w:t>International Journal of Scientific Study</w:t>
      </w:r>
      <w:r w:rsidRPr="003A7EB5">
        <w:rPr>
          <w:rFonts w:cs="Times New Roman"/>
          <w:sz w:val="20"/>
          <w:szCs w:val="20"/>
        </w:rPr>
        <w:t>, </w:t>
      </w:r>
      <w:r w:rsidRPr="003A7EB5">
        <w:rPr>
          <w:rFonts w:cs="Times New Roman"/>
          <w:i/>
          <w:iCs/>
          <w:sz w:val="20"/>
          <w:szCs w:val="20"/>
        </w:rPr>
        <w:t>5</w:t>
      </w:r>
      <w:r w:rsidRPr="003A7EB5">
        <w:rPr>
          <w:rFonts w:cs="Times New Roman"/>
          <w:sz w:val="20"/>
          <w:szCs w:val="20"/>
        </w:rPr>
        <w:t>(4), 407-411.</w:t>
      </w:r>
    </w:p>
    <w:p w14:paraId="15502D4F"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 xml:space="preserve">Belsito, C. (2016). The importance of ‘teacher </w:t>
      </w:r>
      <w:proofErr w:type="spellStart"/>
      <w:r w:rsidRPr="003A7EB5">
        <w:rPr>
          <w:rFonts w:cs="Times New Roman"/>
          <w:sz w:val="20"/>
          <w:szCs w:val="20"/>
        </w:rPr>
        <w:t>quality’and</w:t>
      </w:r>
      <w:proofErr w:type="spellEnd"/>
      <w:r w:rsidRPr="003A7EB5">
        <w:rPr>
          <w:rFonts w:cs="Times New Roman"/>
          <w:sz w:val="20"/>
          <w:szCs w:val="20"/>
        </w:rPr>
        <w:t xml:space="preserve"> ‘quality </w:t>
      </w:r>
      <w:proofErr w:type="spellStart"/>
      <w:r w:rsidRPr="003A7EB5">
        <w:rPr>
          <w:rFonts w:cs="Times New Roman"/>
          <w:sz w:val="20"/>
          <w:szCs w:val="20"/>
        </w:rPr>
        <w:t>teaching’on</w:t>
      </w:r>
      <w:proofErr w:type="spellEnd"/>
      <w:r w:rsidRPr="003A7EB5">
        <w:rPr>
          <w:rFonts w:cs="Times New Roman"/>
          <w:sz w:val="20"/>
          <w:szCs w:val="20"/>
        </w:rPr>
        <w:t xml:space="preserve"> academic performance. Journal of Student Engagement: Education Matters, 6(1), 28-38.</w:t>
      </w:r>
    </w:p>
    <w:p w14:paraId="3FE6DCCE"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Borges, L. F. M., Santos, C. K. S., &amp; Leal, E. A. (2014). Quality in educational service: Expectations versus performance in the accounting undergraduate course. </w:t>
      </w:r>
      <w:r w:rsidRPr="003A7EB5">
        <w:rPr>
          <w:rFonts w:cs="Times New Roman"/>
          <w:i/>
          <w:iCs/>
          <w:sz w:val="20"/>
          <w:szCs w:val="20"/>
        </w:rPr>
        <w:t>European Scientific Journal</w:t>
      </w:r>
      <w:r w:rsidRPr="003A7EB5">
        <w:rPr>
          <w:rFonts w:cs="Times New Roman"/>
          <w:sz w:val="20"/>
          <w:szCs w:val="20"/>
        </w:rPr>
        <w:t>, </w:t>
      </w:r>
      <w:r w:rsidRPr="003A7EB5">
        <w:rPr>
          <w:rFonts w:cs="Times New Roman"/>
          <w:i/>
          <w:iCs/>
          <w:sz w:val="20"/>
          <w:szCs w:val="20"/>
        </w:rPr>
        <w:t>10</w:t>
      </w:r>
      <w:r w:rsidRPr="003A7EB5">
        <w:rPr>
          <w:rFonts w:cs="Times New Roman"/>
          <w:sz w:val="20"/>
          <w:szCs w:val="20"/>
        </w:rPr>
        <w:t>(1).</w:t>
      </w:r>
    </w:p>
    <w:p w14:paraId="16B1B204"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lastRenderedPageBreak/>
        <w:t xml:space="preserve">Chin, R. Y. K., </w:t>
      </w:r>
      <w:proofErr w:type="spellStart"/>
      <w:r w:rsidRPr="003A7EB5">
        <w:rPr>
          <w:rFonts w:cs="Times New Roman"/>
          <w:sz w:val="20"/>
          <w:szCs w:val="20"/>
        </w:rPr>
        <w:t>Tjahjono</w:t>
      </w:r>
      <w:proofErr w:type="spellEnd"/>
      <w:r w:rsidRPr="003A7EB5">
        <w:rPr>
          <w:rFonts w:cs="Times New Roman"/>
          <w:sz w:val="20"/>
          <w:szCs w:val="20"/>
        </w:rPr>
        <w:t>, R., Rutledge, M. J. R., Lambert, T., &amp; Deboever, N. (2019). The evaluation of e-learning resources as an adjunct to otolaryngology teaching: a pilot study. </w:t>
      </w:r>
      <w:r w:rsidRPr="003A7EB5">
        <w:rPr>
          <w:rFonts w:cs="Times New Roman"/>
          <w:i/>
          <w:iCs/>
          <w:sz w:val="20"/>
          <w:szCs w:val="20"/>
        </w:rPr>
        <w:t>BMC Medical Education</w:t>
      </w:r>
      <w:r w:rsidRPr="003A7EB5">
        <w:rPr>
          <w:rFonts w:cs="Times New Roman"/>
          <w:sz w:val="20"/>
          <w:szCs w:val="20"/>
        </w:rPr>
        <w:t>, </w:t>
      </w:r>
      <w:r w:rsidRPr="003A7EB5">
        <w:rPr>
          <w:rFonts w:cs="Times New Roman"/>
          <w:i/>
          <w:iCs/>
          <w:sz w:val="20"/>
          <w:szCs w:val="20"/>
        </w:rPr>
        <w:t>19</w:t>
      </w:r>
      <w:r w:rsidRPr="003A7EB5">
        <w:rPr>
          <w:rFonts w:cs="Times New Roman"/>
          <w:sz w:val="20"/>
          <w:szCs w:val="20"/>
        </w:rPr>
        <w:t>, 1-9.</w:t>
      </w:r>
    </w:p>
    <w:p w14:paraId="3A06FB80"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Darling-Hammond, L. (2000). Teacher quality and student achievement. </w:t>
      </w:r>
      <w:r w:rsidRPr="003A7EB5">
        <w:rPr>
          <w:rFonts w:cs="Times New Roman"/>
          <w:i/>
          <w:iCs/>
          <w:sz w:val="20"/>
          <w:szCs w:val="20"/>
        </w:rPr>
        <w:t>Education policy analysis archives</w:t>
      </w:r>
      <w:r w:rsidRPr="003A7EB5">
        <w:rPr>
          <w:rFonts w:cs="Times New Roman"/>
          <w:sz w:val="20"/>
          <w:szCs w:val="20"/>
        </w:rPr>
        <w:t>, </w:t>
      </w:r>
      <w:r w:rsidRPr="003A7EB5">
        <w:rPr>
          <w:rFonts w:cs="Times New Roman"/>
          <w:i/>
          <w:iCs/>
          <w:sz w:val="20"/>
          <w:szCs w:val="20"/>
        </w:rPr>
        <w:t>8</w:t>
      </w:r>
      <w:r w:rsidRPr="003A7EB5">
        <w:rPr>
          <w:rFonts w:cs="Times New Roman"/>
          <w:sz w:val="20"/>
          <w:szCs w:val="20"/>
        </w:rPr>
        <w:t>, 1-1.</w:t>
      </w:r>
    </w:p>
    <w:p w14:paraId="38EB323F"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Darling-Hammond, L. (2017). Teacher education around the world: What can we learn from international practice? European journal of teacher education, 40(3), 291-309.</w:t>
      </w:r>
    </w:p>
    <w:p w14:paraId="31F35F13"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 xml:space="preserve">Debrah, O., </w:t>
      </w:r>
      <w:proofErr w:type="spellStart"/>
      <w:r w:rsidRPr="003A7EB5">
        <w:rPr>
          <w:rFonts w:cs="Times New Roman"/>
          <w:sz w:val="20"/>
          <w:szCs w:val="20"/>
        </w:rPr>
        <w:t>Inusah</w:t>
      </w:r>
      <w:proofErr w:type="spellEnd"/>
      <w:r w:rsidRPr="003A7EB5">
        <w:rPr>
          <w:rFonts w:cs="Times New Roman"/>
          <w:sz w:val="20"/>
          <w:szCs w:val="20"/>
        </w:rPr>
        <w:t>, N., &amp; Dwommor, J. Y. (2021). Students’ Satisfaction with Accounting Teachers’ Lesson Delivery, the Role of Perceived Quality of Lesson Delivery in Ghanaian Senior High Schools. </w:t>
      </w:r>
      <w:r w:rsidRPr="003A7EB5">
        <w:rPr>
          <w:rFonts w:cs="Times New Roman"/>
          <w:i/>
          <w:iCs/>
          <w:sz w:val="20"/>
          <w:szCs w:val="20"/>
        </w:rPr>
        <w:t>Business and Economic Research</w:t>
      </w:r>
      <w:r w:rsidRPr="003A7EB5">
        <w:rPr>
          <w:rFonts w:cs="Times New Roman"/>
          <w:sz w:val="20"/>
          <w:szCs w:val="20"/>
        </w:rPr>
        <w:t>, </w:t>
      </w:r>
      <w:r w:rsidRPr="003A7EB5">
        <w:rPr>
          <w:rFonts w:cs="Times New Roman"/>
          <w:i/>
          <w:iCs/>
          <w:sz w:val="20"/>
          <w:szCs w:val="20"/>
        </w:rPr>
        <w:t>11</w:t>
      </w:r>
      <w:r w:rsidRPr="003A7EB5">
        <w:rPr>
          <w:rFonts w:cs="Times New Roman"/>
          <w:sz w:val="20"/>
          <w:szCs w:val="20"/>
        </w:rPr>
        <w:t>(1), 109-124.</w:t>
      </w:r>
    </w:p>
    <w:p w14:paraId="60931A9E"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 xml:space="preserve">Farooq, M. S., Salam, M., Fayolle, A., Jaafar, N., &amp; </w:t>
      </w:r>
      <w:proofErr w:type="spellStart"/>
      <w:r w:rsidRPr="003A7EB5">
        <w:rPr>
          <w:rFonts w:cs="Times New Roman"/>
          <w:sz w:val="20"/>
          <w:szCs w:val="20"/>
        </w:rPr>
        <w:t>Ayupp</w:t>
      </w:r>
      <w:proofErr w:type="spellEnd"/>
      <w:r w:rsidRPr="003A7EB5">
        <w:rPr>
          <w:rFonts w:cs="Times New Roman"/>
          <w:sz w:val="20"/>
          <w:szCs w:val="20"/>
        </w:rPr>
        <w:t>, K. (2018). Impact of service quality on customer satisfaction in Malaysia airlines: A PLS-SEM approach. </w:t>
      </w:r>
      <w:r w:rsidRPr="003A7EB5">
        <w:rPr>
          <w:rFonts w:cs="Times New Roman"/>
          <w:i/>
          <w:iCs/>
          <w:sz w:val="20"/>
          <w:szCs w:val="20"/>
        </w:rPr>
        <w:t>Journal of Air Transport Management</w:t>
      </w:r>
      <w:r w:rsidRPr="003A7EB5">
        <w:rPr>
          <w:rFonts w:cs="Times New Roman"/>
          <w:sz w:val="20"/>
          <w:szCs w:val="20"/>
        </w:rPr>
        <w:t>, </w:t>
      </w:r>
      <w:r w:rsidRPr="003A7EB5">
        <w:rPr>
          <w:rFonts w:cs="Times New Roman"/>
          <w:i/>
          <w:iCs/>
          <w:sz w:val="20"/>
          <w:szCs w:val="20"/>
        </w:rPr>
        <w:t>67</w:t>
      </w:r>
      <w:r w:rsidRPr="003A7EB5">
        <w:rPr>
          <w:rFonts w:cs="Times New Roman"/>
          <w:sz w:val="20"/>
          <w:szCs w:val="20"/>
        </w:rPr>
        <w:t>, 169-180.</w:t>
      </w:r>
    </w:p>
    <w:p w14:paraId="0670FA84"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Feldman, S. (1988). Structure and consistency in public opinion: The role of core beliefs and values. </w:t>
      </w:r>
      <w:r w:rsidRPr="003A7EB5">
        <w:rPr>
          <w:rFonts w:cs="Times New Roman"/>
          <w:i/>
          <w:iCs/>
          <w:sz w:val="20"/>
          <w:szCs w:val="20"/>
        </w:rPr>
        <w:t>American Journal of political science</w:t>
      </w:r>
      <w:r w:rsidRPr="003A7EB5">
        <w:rPr>
          <w:rFonts w:cs="Times New Roman"/>
          <w:sz w:val="20"/>
          <w:szCs w:val="20"/>
        </w:rPr>
        <w:t>, 416-440.</w:t>
      </w:r>
    </w:p>
    <w:p w14:paraId="374748A2"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Fornell, C., &amp; Larcker, D. F. (1981). Evaluating structural equation models with unobservable variables and measurement error. </w:t>
      </w:r>
      <w:r w:rsidRPr="003A7EB5">
        <w:rPr>
          <w:rFonts w:cs="Times New Roman"/>
          <w:i/>
          <w:iCs/>
          <w:sz w:val="20"/>
          <w:szCs w:val="20"/>
        </w:rPr>
        <w:t>Journal of marketing research</w:t>
      </w:r>
      <w:r w:rsidRPr="003A7EB5">
        <w:rPr>
          <w:rFonts w:cs="Times New Roman"/>
          <w:sz w:val="20"/>
          <w:szCs w:val="20"/>
        </w:rPr>
        <w:t>, </w:t>
      </w:r>
      <w:r w:rsidRPr="003A7EB5">
        <w:rPr>
          <w:rFonts w:cs="Times New Roman"/>
          <w:i/>
          <w:iCs/>
          <w:sz w:val="20"/>
          <w:szCs w:val="20"/>
        </w:rPr>
        <w:t>18</w:t>
      </w:r>
      <w:r w:rsidRPr="003A7EB5">
        <w:rPr>
          <w:rFonts w:cs="Times New Roman"/>
          <w:sz w:val="20"/>
          <w:szCs w:val="20"/>
        </w:rPr>
        <w:t>(1), 39-50.</w:t>
      </w:r>
    </w:p>
    <w:p w14:paraId="44BA4EE9"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 xml:space="preserve">Frisby, B. N., Berger, E., Burchett, M., </w:t>
      </w:r>
      <w:proofErr w:type="spellStart"/>
      <w:r w:rsidRPr="003A7EB5">
        <w:rPr>
          <w:rFonts w:cs="Times New Roman"/>
          <w:sz w:val="20"/>
          <w:szCs w:val="20"/>
        </w:rPr>
        <w:t>Herovic</w:t>
      </w:r>
      <w:proofErr w:type="spellEnd"/>
      <w:r w:rsidRPr="003A7EB5">
        <w:rPr>
          <w:rFonts w:cs="Times New Roman"/>
          <w:sz w:val="20"/>
          <w:szCs w:val="20"/>
        </w:rPr>
        <w:t>, E., &amp; Strawser, M. G. (2014). Participation apprehensive students: The influence of face support and instructor–student rapport on classroom participation. </w:t>
      </w:r>
      <w:r w:rsidRPr="003A7EB5">
        <w:rPr>
          <w:rFonts w:cs="Times New Roman"/>
          <w:i/>
          <w:iCs/>
          <w:sz w:val="20"/>
          <w:szCs w:val="20"/>
        </w:rPr>
        <w:t>Communication Education</w:t>
      </w:r>
      <w:r w:rsidRPr="003A7EB5">
        <w:rPr>
          <w:rFonts w:cs="Times New Roman"/>
          <w:sz w:val="20"/>
          <w:szCs w:val="20"/>
        </w:rPr>
        <w:t>, </w:t>
      </w:r>
      <w:r w:rsidRPr="003A7EB5">
        <w:rPr>
          <w:rFonts w:cs="Times New Roman"/>
          <w:i/>
          <w:iCs/>
          <w:sz w:val="20"/>
          <w:szCs w:val="20"/>
        </w:rPr>
        <w:t>63</w:t>
      </w:r>
      <w:r w:rsidRPr="003A7EB5">
        <w:rPr>
          <w:rFonts w:cs="Times New Roman"/>
          <w:sz w:val="20"/>
          <w:szCs w:val="20"/>
        </w:rPr>
        <w:t>(2), 105-123.</w:t>
      </w:r>
    </w:p>
    <w:p w14:paraId="3A72153D" w14:textId="77777777" w:rsidR="003A7EB5" w:rsidRPr="003A7EB5" w:rsidRDefault="003A7EB5" w:rsidP="00D35F36">
      <w:pPr>
        <w:rPr>
          <w:rFonts w:cs="Times New Roman"/>
          <w:sz w:val="20"/>
          <w:szCs w:val="20"/>
        </w:rPr>
      </w:pPr>
      <w:r w:rsidRPr="003A7EB5">
        <w:rPr>
          <w:rFonts w:cs="Times New Roman"/>
          <w:sz w:val="20"/>
          <w:szCs w:val="20"/>
        </w:rPr>
        <w:t>Fuchs, K. (2021). How Do Undergraduate Tourism Students Perceive the Service Quality in their Educational Institution? An Assessment Using the SERVQUAL Framework. </w:t>
      </w:r>
      <w:r w:rsidRPr="003A7EB5">
        <w:rPr>
          <w:rFonts w:cs="Times New Roman"/>
          <w:i/>
          <w:iCs/>
          <w:sz w:val="20"/>
          <w:szCs w:val="20"/>
        </w:rPr>
        <w:t>Journal of Environmental Management and Tourism (JEMT)</w:t>
      </w:r>
      <w:r w:rsidRPr="003A7EB5">
        <w:rPr>
          <w:rFonts w:cs="Times New Roman"/>
          <w:sz w:val="20"/>
          <w:szCs w:val="20"/>
        </w:rPr>
        <w:t>, </w:t>
      </w:r>
      <w:r w:rsidRPr="003A7EB5">
        <w:rPr>
          <w:rFonts w:cs="Times New Roman"/>
          <w:i/>
          <w:iCs/>
          <w:sz w:val="20"/>
          <w:szCs w:val="20"/>
        </w:rPr>
        <w:t>12</w:t>
      </w:r>
      <w:r w:rsidRPr="003A7EB5">
        <w:rPr>
          <w:rFonts w:cs="Times New Roman"/>
          <w:sz w:val="20"/>
          <w:szCs w:val="20"/>
        </w:rPr>
        <w:t>(04 (52)), 1076-1084.</w:t>
      </w:r>
    </w:p>
    <w:p w14:paraId="45A5A1C6"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 xml:space="preserve">Gerbing, D. W., &amp; Anderson, J. C. (1988). An updated paradigm for scale development incorporating </w:t>
      </w:r>
      <w:proofErr w:type="spellStart"/>
      <w:r w:rsidRPr="003A7EB5">
        <w:rPr>
          <w:rFonts w:cs="Times New Roman"/>
          <w:sz w:val="20"/>
          <w:szCs w:val="20"/>
        </w:rPr>
        <w:t>unidimensionality</w:t>
      </w:r>
      <w:proofErr w:type="spellEnd"/>
      <w:r w:rsidRPr="003A7EB5">
        <w:rPr>
          <w:rFonts w:cs="Times New Roman"/>
          <w:sz w:val="20"/>
          <w:szCs w:val="20"/>
        </w:rPr>
        <w:t xml:space="preserve"> and its assessment. </w:t>
      </w:r>
      <w:r w:rsidRPr="003A7EB5">
        <w:rPr>
          <w:rFonts w:cs="Times New Roman"/>
          <w:i/>
          <w:iCs/>
          <w:sz w:val="20"/>
          <w:szCs w:val="20"/>
        </w:rPr>
        <w:t>Journal of marketing research</w:t>
      </w:r>
      <w:r w:rsidRPr="003A7EB5">
        <w:rPr>
          <w:rFonts w:cs="Times New Roman"/>
          <w:sz w:val="20"/>
          <w:szCs w:val="20"/>
        </w:rPr>
        <w:t>, </w:t>
      </w:r>
      <w:r w:rsidRPr="003A7EB5">
        <w:rPr>
          <w:rFonts w:cs="Times New Roman"/>
          <w:i/>
          <w:iCs/>
          <w:sz w:val="20"/>
          <w:szCs w:val="20"/>
        </w:rPr>
        <w:t>25</w:t>
      </w:r>
      <w:r w:rsidRPr="003A7EB5">
        <w:rPr>
          <w:rFonts w:cs="Times New Roman"/>
          <w:sz w:val="20"/>
          <w:szCs w:val="20"/>
        </w:rPr>
        <w:t>(2), 186-192.</w:t>
      </w:r>
    </w:p>
    <w:p w14:paraId="7E3BEFE2"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 xml:space="preserve">Guney, Y. (2009). Exogenous and endogenous factors influencing students' performance in undergraduate accounting modules. </w:t>
      </w:r>
      <w:r w:rsidRPr="003A7EB5">
        <w:rPr>
          <w:rFonts w:cs="Times New Roman"/>
          <w:i/>
          <w:iCs/>
          <w:sz w:val="20"/>
          <w:szCs w:val="20"/>
        </w:rPr>
        <w:t>Accounting Education</w:t>
      </w:r>
      <w:r w:rsidRPr="003A7EB5">
        <w:rPr>
          <w:rFonts w:cs="Times New Roman"/>
          <w:sz w:val="20"/>
          <w:szCs w:val="20"/>
        </w:rPr>
        <w:t xml:space="preserve">, </w:t>
      </w:r>
      <w:r w:rsidRPr="003A7EB5">
        <w:rPr>
          <w:rFonts w:cs="Times New Roman"/>
          <w:i/>
          <w:iCs/>
          <w:sz w:val="20"/>
          <w:szCs w:val="20"/>
        </w:rPr>
        <w:t>18</w:t>
      </w:r>
      <w:r w:rsidRPr="003A7EB5">
        <w:rPr>
          <w:rFonts w:cs="Times New Roman"/>
          <w:sz w:val="20"/>
          <w:szCs w:val="20"/>
        </w:rPr>
        <w:t>(1), 51-73.</w:t>
      </w:r>
    </w:p>
    <w:p w14:paraId="5C6EB1D4"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Hamre, B. K., &amp; Pianta, R. C. (2001). Early teacher–child relationships and the trajectory of children's school outcomes through eighth grade. </w:t>
      </w:r>
      <w:r w:rsidRPr="003A7EB5">
        <w:rPr>
          <w:rFonts w:cs="Times New Roman"/>
          <w:i/>
          <w:iCs/>
          <w:sz w:val="20"/>
          <w:szCs w:val="20"/>
        </w:rPr>
        <w:t>Child development</w:t>
      </w:r>
      <w:r w:rsidRPr="003A7EB5">
        <w:rPr>
          <w:rFonts w:cs="Times New Roman"/>
          <w:sz w:val="20"/>
          <w:szCs w:val="20"/>
        </w:rPr>
        <w:t>, </w:t>
      </w:r>
      <w:r w:rsidRPr="003A7EB5">
        <w:rPr>
          <w:rFonts w:cs="Times New Roman"/>
          <w:i/>
          <w:iCs/>
          <w:sz w:val="20"/>
          <w:szCs w:val="20"/>
        </w:rPr>
        <w:t>72</w:t>
      </w:r>
      <w:r w:rsidRPr="003A7EB5">
        <w:rPr>
          <w:rFonts w:cs="Times New Roman"/>
          <w:sz w:val="20"/>
          <w:szCs w:val="20"/>
        </w:rPr>
        <w:t>(2), 625-638.</w:t>
      </w:r>
    </w:p>
    <w:p w14:paraId="1DA8EE41"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 xml:space="preserve">Hanushek, E. A. (2021). Addressing cross-national generalisability in educational impact evaluation. </w:t>
      </w:r>
      <w:r w:rsidRPr="003A7EB5">
        <w:rPr>
          <w:rFonts w:cs="Times New Roman"/>
          <w:i/>
          <w:iCs/>
          <w:sz w:val="20"/>
          <w:szCs w:val="20"/>
        </w:rPr>
        <w:t>International Journal of Educational Development</w:t>
      </w:r>
      <w:r w:rsidRPr="003A7EB5">
        <w:rPr>
          <w:rFonts w:cs="Times New Roman"/>
          <w:sz w:val="20"/>
          <w:szCs w:val="20"/>
        </w:rPr>
        <w:t xml:space="preserve">, </w:t>
      </w:r>
      <w:r w:rsidRPr="003A7EB5">
        <w:rPr>
          <w:rFonts w:cs="Times New Roman"/>
          <w:i/>
          <w:iCs/>
          <w:sz w:val="20"/>
          <w:szCs w:val="20"/>
        </w:rPr>
        <w:t>80</w:t>
      </w:r>
      <w:r w:rsidRPr="003A7EB5">
        <w:rPr>
          <w:rFonts w:cs="Times New Roman"/>
          <w:sz w:val="20"/>
          <w:szCs w:val="20"/>
        </w:rPr>
        <w:t>, 102318.</w:t>
      </w:r>
    </w:p>
    <w:p w14:paraId="74C8FE17"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Hattie, J. (2009). The black box of tertiary assessment: An impending revolution. Tertiary assessment &amp; higher education student outcomes: Policy, practice &amp; research, 259, 275.</w:t>
      </w:r>
    </w:p>
    <w:p w14:paraId="5DC8A753"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Hill, H. C., &amp; Chin, M. (2018). Connections between teachers’ knowledge of students, instruction, and achievement outcomes. </w:t>
      </w:r>
      <w:r w:rsidRPr="003A7EB5">
        <w:rPr>
          <w:rFonts w:cs="Times New Roman"/>
          <w:i/>
          <w:iCs/>
          <w:sz w:val="20"/>
          <w:szCs w:val="20"/>
        </w:rPr>
        <w:t>American Educational Research Journal</w:t>
      </w:r>
      <w:r w:rsidRPr="003A7EB5">
        <w:rPr>
          <w:rFonts w:cs="Times New Roman"/>
          <w:sz w:val="20"/>
          <w:szCs w:val="20"/>
        </w:rPr>
        <w:t>, </w:t>
      </w:r>
      <w:r w:rsidRPr="003A7EB5">
        <w:rPr>
          <w:rFonts w:cs="Times New Roman"/>
          <w:i/>
          <w:iCs/>
          <w:sz w:val="20"/>
          <w:szCs w:val="20"/>
        </w:rPr>
        <w:t>55</w:t>
      </w:r>
      <w:r w:rsidRPr="003A7EB5">
        <w:rPr>
          <w:rFonts w:cs="Times New Roman"/>
          <w:sz w:val="20"/>
          <w:szCs w:val="20"/>
        </w:rPr>
        <w:t>(5), 1076-1112.</w:t>
      </w:r>
    </w:p>
    <w:p w14:paraId="75C7F570"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Hoque, U. S., Akhter, N., Absar, N., Khandaker, M. U., &amp; Al-Mamun, A. (2023). Assessing service quality using SERVQUAL model: An empirical study on some private universities in Bangladesh. </w:t>
      </w:r>
      <w:r w:rsidRPr="003A7EB5">
        <w:rPr>
          <w:rFonts w:cs="Times New Roman"/>
          <w:i/>
          <w:iCs/>
          <w:sz w:val="20"/>
          <w:szCs w:val="20"/>
        </w:rPr>
        <w:t>Trends in Higher Education</w:t>
      </w:r>
      <w:r w:rsidRPr="003A7EB5">
        <w:rPr>
          <w:rFonts w:cs="Times New Roman"/>
          <w:sz w:val="20"/>
          <w:szCs w:val="20"/>
        </w:rPr>
        <w:t>, </w:t>
      </w:r>
      <w:r w:rsidRPr="003A7EB5">
        <w:rPr>
          <w:rFonts w:cs="Times New Roman"/>
          <w:i/>
          <w:iCs/>
          <w:sz w:val="20"/>
          <w:szCs w:val="20"/>
        </w:rPr>
        <w:t>2</w:t>
      </w:r>
      <w:r w:rsidRPr="003A7EB5">
        <w:rPr>
          <w:rFonts w:cs="Times New Roman"/>
          <w:sz w:val="20"/>
          <w:szCs w:val="20"/>
        </w:rPr>
        <w:t>(1), 255-269.</w:t>
      </w:r>
    </w:p>
    <w:p w14:paraId="131FC52C"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Hu, L. T., &amp; Bentler, P. M. (1999). Cutoff criteria for fit indexes in covariance structure analysis: Conventional criteria versus new alternatives. </w:t>
      </w:r>
      <w:r w:rsidRPr="003A7EB5">
        <w:rPr>
          <w:rFonts w:cs="Times New Roman"/>
          <w:i/>
          <w:iCs/>
          <w:sz w:val="20"/>
          <w:szCs w:val="20"/>
        </w:rPr>
        <w:t xml:space="preserve">Structural equation </w:t>
      </w:r>
      <w:proofErr w:type="spellStart"/>
      <w:r w:rsidRPr="003A7EB5">
        <w:rPr>
          <w:rFonts w:cs="Times New Roman"/>
          <w:i/>
          <w:iCs/>
          <w:sz w:val="20"/>
          <w:szCs w:val="20"/>
        </w:rPr>
        <w:t>modeling</w:t>
      </w:r>
      <w:proofErr w:type="spellEnd"/>
      <w:r w:rsidRPr="003A7EB5">
        <w:rPr>
          <w:rFonts w:cs="Times New Roman"/>
          <w:i/>
          <w:iCs/>
          <w:sz w:val="20"/>
          <w:szCs w:val="20"/>
        </w:rPr>
        <w:t>: a multidisciplinary journal</w:t>
      </w:r>
      <w:r w:rsidRPr="003A7EB5">
        <w:rPr>
          <w:rFonts w:cs="Times New Roman"/>
          <w:sz w:val="20"/>
          <w:szCs w:val="20"/>
        </w:rPr>
        <w:t>, </w:t>
      </w:r>
      <w:r w:rsidRPr="003A7EB5">
        <w:rPr>
          <w:rFonts w:cs="Times New Roman"/>
          <w:i/>
          <w:iCs/>
          <w:sz w:val="20"/>
          <w:szCs w:val="20"/>
        </w:rPr>
        <w:t>6</w:t>
      </w:r>
      <w:r w:rsidRPr="003A7EB5">
        <w:rPr>
          <w:rFonts w:cs="Times New Roman"/>
          <w:sz w:val="20"/>
          <w:szCs w:val="20"/>
        </w:rPr>
        <w:t>(1), 1-55.</w:t>
      </w:r>
    </w:p>
    <w:p w14:paraId="44DBE9A6"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lang w:val="pl-PL"/>
        </w:rPr>
        <w:t xml:space="preserve">Ile, C. M., &amp; Nkiruka, N. W. O. K. O. Y. E. (2020). </w:t>
      </w:r>
      <w:r w:rsidRPr="003A7EB5">
        <w:rPr>
          <w:rFonts w:cs="Times New Roman"/>
          <w:sz w:val="20"/>
          <w:szCs w:val="20"/>
        </w:rPr>
        <w:t xml:space="preserve">Effect </w:t>
      </w:r>
      <w:proofErr w:type="gramStart"/>
      <w:r w:rsidRPr="003A7EB5">
        <w:rPr>
          <w:rFonts w:cs="Times New Roman"/>
          <w:sz w:val="20"/>
          <w:szCs w:val="20"/>
        </w:rPr>
        <w:t>Of Scaffolding Teaching Method On</w:t>
      </w:r>
      <w:proofErr w:type="gramEnd"/>
      <w:r w:rsidRPr="003A7EB5">
        <w:rPr>
          <w:rFonts w:cs="Times New Roman"/>
          <w:sz w:val="20"/>
          <w:szCs w:val="20"/>
        </w:rPr>
        <w:t xml:space="preserve"> Students’ academic Performance In Financial Accounting In Secondary Schools In Anambra State, Nigeria. </w:t>
      </w:r>
      <w:r w:rsidRPr="003A7EB5">
        <w:rPr>
          <w:rFonts w:cs="Times New Roman"/>
          <w:i/>
          <w:iCs/>
          <w:sz w:val="20"/>
          <w:szCs w:val="20"/>
        </w:rPr>
        <w:t>International Journal of Education Humanities and Social Science</w:t>
      </w:r>
      <w:r w:rsidRPr="003A7EB5">
        <w:rPr>
          <w:rFonts w:cs="Times New Roman"/>
          <w:sz w:val="20"/>
          <w:szCs w:val="20"/>
        </w:rPr>
        <w:t xml:space="preserve">, </w:t>
      </w:r>
      <w:r w:rsidRPr="003A7EB5">
        <w:rPr>
          <w:rFonts w:cs="Times New Roman"/>
          <w:i/>
          <w:iCs/>
          <w:sz w:val="20"/>
          <w:szCs w:val="20"/>
        </w:rPr>
        <w:t>3</w:t>
      </w:r>
      <w:r w:rsidRPr="003A7EB5">
        <w:rPr>
          <w:rFonts w:cs="Times New Roman"/>
          <w:sz w:val="20"/>
          <w:szCs w:val="20"/>
        </w:rPr>
        <w:t>(1), 150-160.</w:t>
      </w:r>
    </w:p>
    <w:p w14:paraId="439F55C7" w14:textId="77777777" w:rsidR="003A7EB5" w:rsidRPr="003A7EB5" w:rsidRDefault="003A7EB5" w:rsidP="00DD4393">
      <w:pPr>
        <w:spacing w:line="240" w:lineRule="auto"/>
        <w:ind w:left="720" w:hanging="720"/>
        <w:rPr>
          <w:rFonts w:cs="Times New Roman"/>
          <w:sz w:val="20"/>
          <w:szCs w:val="20"/>
        </w:rPr>
      </w:pPr>
      <w:r w:rsidRPr="003A7EB5">
        <w:rPr>
          <w:rFonts w:cs="Times New Roman"/>
          <w:sz w:val="20"/>
          <w:szCs w:val="20"/>
        </w:rPr>
        <w:t>Institute of Chartered Accountants Ghana (ICAG) Examiner’s Report, (2019), May 2019 professional examination, examiner’s report, questions and answers. http://icagh. Com /</w:t>
      </w:r>
      <w:proofErr w:type="spellStart"/>
      <w:r w:rsidRPr="003A7EB5">
        <w:rPr>
          <w:rFonts w:cs="Times New Roman"/>
          <w:sz w:val="20"/>
          <w:szCs w:val="20"/>
        </w:rPr>
        <w:t>newsite</w:t>
      </w:r>
      <w:proofErr w:type="spellEnd"/>
      <w:r w:rsidRPr="003A7EB5">
        <w:rPr>
          <w:rFonts w:cs="Times New Roman"/>
          <w:sz w:val="20"/>
          <w:szCs w:val="20"/>
        </w:rPr>
        <w:t>/past-questions-and-suggested-solutions.</w:t>
      </w:r>
    </w:p>
    <w:p w14:paraId="52AA9047" w14:textId="77777777" w:rsidR="003A7EB5" w:rsidRPr="003A7EB5" w:rsidRDefault="003A7EB5" w:rsidP="00DD4393">
      <w:pPr>
        <w:spacing w:line="240" w:lineRule="auto"/>
        <w:ind w:left="720" w:hanging="720"/>
        <w:rPr>
          <w:rFonts w:cs="Times New Roman"/>
          <w:sz w:val="20"/>
          <w:szCs w:val="20"/>
        </w:rPr>
      </w:pPr>
      <w:r w:rsidRPr="003A7EB5">
        <w:rPr>
          <w:rFonts w:cs="Times New Roman"/>
          <w:sz w:val="20"/>
          <w:szCs w:val="20"/>
        </w:rPr>
        <w:lastRenderedPageBreak/>
        <w:t>Institute of Chartered Accountants Ghana (ICAG) Examiner’s Report, (2022), August 2022 professional examination, examiner’s report, questions and answers. http://icagh. Com /</w:t>
      </w:r>
      <w:proofErr w:type="spellStart"/>
      <w:r w:rsidRPr="003A7EB5">
        <w:rPr>
          <w:rFonts w:cs="Times New Roman"/>
          <w:sz w:val="20"/>
          <w:szCs w:val="20"/>
        </w:rPr>
        <w:t>newsite</w:t>
      </w:r>
      <w:proofErr w:type="spellEnd"/>
      <w:r w:rsidRPr="003A7EB5">
        <w:rPr>
          <w:rFonts w:cs="Times New Roman"/>
          <w:sz w:val="20"/>
          <w:szCs w:val="20"/>
        </w:rPr>
        <w:t>/past-questions-and-suggested-solutions.</w:t>
      </w:r>
    </w:p>
    <w:p w14:paraId="746DDD97"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Jancey, J., &amp; Burns, S. (2013). Institutional factors and the postgraduate student experience. </w:t>
      </w:r>
      <w:r w:rsidRPr="003A7EB5">
        <w:rPr>
          <w:rFonts w:cs="Times New Roman"/>
          <w:i/>
          <w:iCs/>
          <w:sz w:val="20"/>
          <w:szCs w:val="20"/>
        </w:rPr>
        <w:t>Quality assurance in education</w:t>
      </w:r>
      <w:r w:rsidRPr="003A7EB5">
        <w:rPr>
          <w:rFonts w:cs="Times New Roman"/>
          <w:sz w:val="20"/>
          <w:szCs w:val="20"/>
        </w:rPr>
        <w:t>, </w:t>
      </w:r>
      <w:r w:rsidRPr="003A7EB5">
        <w:rPr>
          <w:rFonts w:cs="Times New Roman"/>
          <w:i/>
          <w:iCs/>
          <w:sz w:val="20"/>
          <w:szCs w:val="20"/>
        </w:rPr>
        <w:t>21</w:t>
      </w:r>
      <w:r w:rsidRPr="003A7EB5">
        <w:rPr>
          <w:rFonts w:cs="Times New Roman"/>
          <w:sz w:val="20"/>
          <w:szCs w:val="20"/>
        </w:rPr>
        <w:t>(3), 311-322.</w:t>
      </w:r>
    </w:p>
    <w:p w14:paraId="35DAD5FA"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lang w:val="en-US"/>
        </w:rPr>
        <w:t xml:space="preserve">Kaura, V., &amp; Datta, S. K. (2012). </w:t>
      </w:r>
      <w:r w:rsidRPr="003A7EB5">
        <w:rPr>
          <w:rFonts w:cs="Times New Roman"/>
          <w:sz w:val="20"/>
          <w:szCs w:val="20"/>
        </w:rPr>
        <w:t>Impact of Service Quality on Satisfaction in the Indian Banking Sector. </w:t>
      </w:r>
      <w:r w:rsidRPr="003A7EB5">
        <w:rPr>
          <w:rFonts w:cs="Times New Roman"/>
          <w:i/>
          <w:iCs/>
          <w:sz w:val="20"/>
          <w:szCs w:val="20"/>
        </w:rPr>
        <w:t>IUP Journal of Marketing Management</w:t>
      </w:r>
      <w:r w:rsidRPr="003A7EB5">
        <w:rPr>
          <w:rFonts w:cs="Times New Roman"/>
          <w:sz w:val="20"/>
          <w:szCs w:val="20"/>
        </w:rPr>
        <w:t>, </w:t>
      </w:r>
      <w:r w:rsidRPr="003A7EB5">
        <w:rPr>
          <w:rFonts w:cs="Times New Roman"/>
          <w:i/>
          <w:iCs/>
          <w:sz w:val="20"/>
          <w:szCs w:val="20"/>
        </w:rPr>
        <w:t>11</w:t>
      </w:r>
      <w:r w:rsidRPr="003A7EB5">
        <w:rPr>
          <w:rFonts w:cs="Times New Roman"/>
          <w:sz w:val="20"/>
          <w:szCs w:val="20"/>
        </w:rPr>
        <w:t>(3).</w:t>
      </w:r>
    </w:p>
    <w:p w14:paraId="274FB5DB"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lang w:val="en-US"/>
        </w:rPr>
        <w:t xml:space="preserve">Kausar, A., Kiyani, A. I., &amp; Suleman, Q. (2017). </w:t>
      </w:r>
      <w:r w:rsidRPr="003A7EB5">
        <w:rPr>
          <w:rFonts w:cs="Times New Roman"/>
          <w:sz w:val="20"/>
          <w:szCs w:val="20"/>
        </w:rPr>
        <w:t>Effect of classroom environment on the academic achievement of secondary school students in the subject of Pakistan studies at secondary level in Rawalpindi district. </w:t>
      </w:r>
      <w:r w:rsidRPr="003A7EB5">
        <w:rPr>
          <w:rFonts w:cs="Times New Roman"/>
          <w:i/>
          <w:iCs/>
          <w:sz w:val="20"/>
          <w:szCs w:val="20"/>
        </w:rPr>
        <w:t>Journal of Education and Practice</w:t>
      </w:r>
      <w:r w:rsidRPr="003A7EB5">
        <w:rPr>
          <w:rFonts w:cs="Times New Roman"/>
          <w:sz w:val="20"/>
          <w:szCs w:val="20"/>
        </w:rPr>
        <w:t>, </w:t>
      </w:r>
      <w:r w:rsidRPr="003A7EB5">
        <w:rPr>
          <w:rFonts w:cs="Times New Roman"/>
          <w:i/>
          <w:iCs/>
          <w:sz w:val="20"/>
          <w:szCs w:val="20"/>
        </w:rPr>
        <w:t>8</w:t>
      </w:r>
      <w:r w:rsidRPr="003A7EB5">
        <w:rPr>
          <w:rFonts w:cs="Times New Roman"/>
          <w:sz w:val="20"/>
          <w:szCs w:val="20"/>
        </w:rPr>
        <w:t>(24), 56-63.</w:t>
      </w:r>
    </w:p>
    <w:p w14:paraId="38006AD3"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Khan, M. M., &amp; Fasih, M. (2014). Impact of service quality on customer satisfaction and customer loyalty: Evidence from banking sector. </w:t>
      </w:r>
      <w:r w:rsidRPr="003A7EB5">
        <w:rPr>
          <w:rFonts w:cs="Times New Roman"/>
          <w:i/>
          <w:iCs/>
          <w:sz w:val="20"/>
          <w:szCs w:val="20"/>
        </w:rPr>
        <w:t>Pakistan Journal of Commerce and Social Sciences (PJCSS)</w:t>
      </w:r>
      <w:r w:rsidRPr="003A7EB5">
        <w:rPr>
          <w:rFonts w:cs="Times New Roman"/>
          <w:sz w:val="20"/>
          <w:szCs w:val="20"/>
        </w:rPr>
        <w:t>, </w:t>
      </w:r>
      <w:r w:rsidRPr="003A7EB5">
        <w:rPr>
          <w:rFonts w:cs="Times New Roman"/>
          <w:i/>
          <w:iCs/>
          <w:sz w:val="20"/>
          <w:szCs w:val="20"/>
        </w:rPr>
        <w:t>8</w:t>
      </w:r>
      <w:r w:rsidRPr="003A7EB5">
        <w:rPr>
          <w:rFonts w:cs="Times New Roman"/>
          <w:sz w:val="20"/>
          <w:szCs w:val="20"/>
        </w:rPr>
        <w:t>(2), 331-354.</w:t>
      </w:r>
    </w:p>
    <w:p w14:paraId="030EF972"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 xml:space="preserve">Koklic, M. K., </w:t>
      </w:r>
      <w:proofErr w:type="spellStart"/>
      <w:r w:rsidRPr="003A7EB5">
        <w:rPr>
          <w:rFonts w:cs="Times New Roman"/>
          <w:sz w:val="20"/>
          <w:szCs w:val="20"/>
        </w:rPr>
        <w:t>Kukar</w:t>
      </w:r>
      <w:proofErr w:type="spellEnd"/>
      <w:r w:rsidRPr="003A7EB5">
        <w:rPr>
          <w:rFonts w:cs="Times New Roman"/>
          <w:sz w:val="20"/>
          <w:szCs w:val="20"/>
        </w:rPr>
        <w:t xml:space="preserve">-Kinney, M., &amp; </w:t>
      </w:r>
      <w:proofErr w:type="spellStart"/>
      <w:r w:rsidRPr="003A7EB5">
        <w:rPr>
          <w:rFonts w:cs="Times New Roman"/>
          <w:sz w:val="20"/>
          <w:szCs w:val="20"/>
        </w:rPr>
        <w:t>Vegelj</w:t>
      </w:r>
      <w:proofErr w:type="spellEnd"/>
      <w:r w:rsidRPr="003A7EB5">
        <w:rPr>
          <w:rFonts w:cs="Times New Roman"/>
          <w:sz w:val="20"/>
          <w:szCs w:val="20"/>
        </w:rPr>
        <w:t>, S. (2017). An investigation of customer satisfaction with low-cost and full-service airline companies. </w:t>
      </w:r>
      <w:r w:rsidRPr="003A7EB5">
        <w:rPr>
          <w:rFonts w:cs="Times New Roman"/>
          <w:i/>
          <w:iCs/>
          <w:sz w:val="20"/>
          <w:szCs w:val="20"/>
        </w:rPr>
        <w:t>Journal of Business Research</w:t>
      </w:r>
      <w:r w:rsidRPr="003A7EB5">
        <w:rPr>
          <w:rFonts w:cs="Times New Roman"/>
          <w:sz w:val="20"/>
          <w:szCs w:val="20"/>
        </w:rPr>
        <w:t>, </w:t>
      </w:r>
      <w:r w:rsidRPr="003A7EB5">
        <w:rPr>
          <w:rFonts w:cs="Times New Roman"/>
          <w:i/>
          <w:iCs/>
          <w:sz w:val="20"/>
          <w:szCs w:val="20"/>
        </w:rPr>
        <w:t>80</w:t>
      </w:r>
      <w:r w:rsidRPr="003A7EB5">
        <w:rPr>
          <w:rFonts w:cs="Times New Roman"/>
          <w:sz w:val="20"/>
          <w:szCs w:val="20"/>
        </w:rPr>
        <w:t>, 188-196.</w:t>
      </w:r>
    </w:p>
    <w:p w14:paraId="70844741" w14:textId="77777777" w:rsidR="003A7EB5" w:rsidRPr="003A7EB5" w:rsidRDefault="003A7EB5" w:rsidP="00D35F36">
      <w:pPr>
        <w:rPr>
          <w:rFonts w:cs="Times New Roman"/>
          <w:sz w:val="20"/>
          <w:szCs w:val="20"/>
        </w:rPr>
      </w:pPr>
      <w:r w:rsidRPr="003A7EB5">
        <w:rPr>
          <w:rFonts w:cs="Times New Roman"/>
          <w:sz w:val="20"/>
          <w:szCs w:val="20"/>
        </w:rPr>
        <w:t>La Rotta, D., Usuga, O. C., &amp; Clavijo, V. (2020). Perceived service quality factors in online higher education. </w:t>
      </w:r>
      <w:r w:rsidRPr="003A7EB5">
        <w:rPr>
          <w:rFonts w:cs="Times New Roman"/>
          <w:i/>
          <w:iCs/>
          <w:sz w:val="20"/>
          <w:szCs w:val="20"/>
        </w:rPr>
        <w:t>Learning Environments Research</w:t>
      </w:r>
      <w:r w:rsidRPr="003A7EB5">
        <w:rPr>
          <w:rFonts w:cs="Times New Roman"/>
          <w:sz w:val="20"/>
          <w:szCs w:val="20"/>
        </w:rPr>
        <w:t>, </w:t>
      </w:r>
      <w:r w:rsidRPr="003A7EB5">
        <w:rPr>
          <w:rFonts w:cs="Times New Roman"/>
          <w:i/>
          <w:iCs/>
          <w:sz w:val="20"/>
          <w:szCs w:val="20"/>
        </w:rPr>
        <w:t>23</w:t>
      </w:r>
      <w:r w:rsidRPr="003A7EB5">
        <w:rPr>
          <w:rFonts w:cs="Times New Roman"/>
          <w:sz w:val="20"/>
          <w:szCs w:val="20"/>
        </w:rPr>
        <w:t>(2), 251-267.</w:t>
      </w:r>
    </w:p>
    <w:p w14:paraId="1DAE7557"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Li, T., Guo, T., &amp; Qi, Z. (2023). The Impact of School Service Quality on Student Learning Satisfaction: A Comparative Study of Public and Private High Schools in China.</w:t>
      </w:r>
    </w:p>
    <w:p w14:paraId="48D8443A"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 xml:space="preserve">Lupo, T. (2013). A fuzzy </w:t>
      </w:r>
      <w:proofErr w:type="spellStart"/>
      <w:r w:rsidRPr="003A7EB5">
        <w:rPr>
          <w:rFonts w:cs="Times New Roman"/>
          <w:sz w:val="20"/>
          <w:szCs w:val="20"/>
        </w:rPr>
        <w:t>ServQual</w:t>
      </w:r>
      <w:proofErr w:type="spellEnd"/>
      <w:r w:rsidRPr="003A7EB5">
        <w:rPr>
          <w:rFonts w:cs="Times New Roman"/>
          <w:sz w:val="20"/>
          <w:szCs w:val="20"/>
        </w:rPr>
        <w:t xml:space="preserve"> based method for reliable measurements of education quality in Italian higher education area. </w:t>
      </w:r>
      <w:r w:rsidRPr="003A7EB5">
        <w:rPr>
          <w:rFonts w:cs="Times New Roman"/>
          <w:i/>
          <w:iCs/>
          <w:sz w:val="20"/>
          <w:szCs w:val="20"/>
        </w:rPr>
        <w:t>Expert systems with applications</w:t>
      </w:r>
      <w:r w:rsidRPr="003A7EB5">
        <w:rPr>
          <w:rFonts w:cs="Times New Roman"/>
          <w:sz w:val="20"/>
          <w:szCs w:val="20"/>
        </w:rPr>
        <w:t>, </w:t>
      </w:r>
      <w:r w:rsidRPr="003A7EB5">
        <w:rPr>
          <w:rFonts w:cs="Times New Roman"/>
          <w:i/>
          <w:iCs/>
          <w:sz w:val="20"/>
          <w:szCs w:val="20"/>
        </w:rPr>
        <w:t>40</w:t>
      </w:r>
      <w:r w:rsidRPr="003A7EB5">
        <w:rPr>
          <w:rFonts w:cs="Times New Roman"/>
          <w:sz w:val="20"/>
          <w:szCs w:val="20"/>
        </w:rPr>
        <w:t>(17), 7096-7110.</w:t>
      </w:r>
    </w:p>
    <w:p w14:paraId="2BBE32B3"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 xml:space="preserve">Magasi, C., </w:t>
      </w:r>
      <w:proofErr w:type="spellStart"/>
      <w:r w:rsidRPr="003A7EB5">
        <w:rPr>
          <w:rFonts w:cs="Times New Roman"/>
          <w:sz w:val="20"/>
          <w:szCs w:val="20"/>
        </w:rPr>
        <w:t>Mashenene</w:t>
      </w:r>
      <w:proofErr w:type="spellEnd"/>
      <w:r w:rsidRPr="003A7EB5">
        <w:rPr>
          <w:rFonts w:cs="Times New Roman"/>
          <w:sz w:val="20"/>
          <w:szCs w:val="20"/>
        </w:rPr>
        <w:t xml:space="preserve">, R. G., &amp; </w:t>
      </w:r>
      <w:proofErr w:type="spellStart"/>
      <w:r w:rsidRPr="003A7EB5">
        <w:rPr>
          <w:rFonts w:cs="Times New Roman"/>
          <w:sz w:val="20"/>
          <w:szCs w:val="20"/>
        </w:rPr>
        <w:t>Ndengenesa</w:t>
      </w:r>
      <w:proofErr w:type="spellEnd"/>
      <w:r w:rsidRPr="003A7EB5">
        <w:rPr>
          <w:rFonts w:cs="Times New Roman"/>
          <w:sz w:val="20"/>
          <w:szCs w:val="20"/>
        </w:rPr>
        <w:t>, D. M. (2022). Service quality and students’ satisfaction in Tanzania’s higher education: A re-examination of SERVQUAL model. </w:t>
      </w:r>
      <w:r w:rsidRPr="003A7EB5">
        <w:rPr>
          <w:rFonts w:cs="Times New Roman"/>
          <w:i/>
          <w:iCs/>
          <w:sz w:val="20"/>
          <w:szCs w:val="20"/>
        </w:rPr>
        <w:t>International review of management and marketing</w:t>
      </w:r>
      <w:r w:rsidRPr="003A7EB5">
        <w:rPr>
          <w:rFonts w:cs="Times New Roman"/>
          <w:sz w:val="20"/>
          <w:szCs w:val="20"/>
        </w:rPr>
        <w:t>, </w:t>
      </w:r>
      <w:r w:rsidRPr="003A7EB5">
        <w:rPr>
          <w:rFonts w:cs="Times New Roman"/>
          <w:i/>
          <w:iCs/>
          <w:sz w:val="20"/>
          <w:szCs w:val="20"/>
        </w:rPr>
        <w:t>12</w:t>
      </w:r>
      <w:r w:rsidRPr="003A7EB5">
        <w:rPr>
          <w:rFonts w:cs="Times New Roman"/>
          <w:sz w:val="20"/>
          <w:szCs w:val="20"/>
        </w:rPr>
        <w:t>(3), 18-25.</w:t>
      </w:r>
    </w:p>
    <w:p w14:paraId="3AABB766"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Malik, R. H., &amp; Rizvi, A. A. (2018). Effect of Classroom Learning Environment on Students' Academic Achievement in Mathematics at Secondary Level. </w:t>
      </w:r>
      <w:r w:rsidRPr="003A7EB5">
        <w:rPr>
          <w:rFonts w:cs="Times New Roman"/>
          <w:i/>
          <w:iCs/>
          <w:sz w:val="20"/>
          <w:szCs w:val="20"/>
        </w:rPr>
        <w:t>Bulletin of Education and research</w:t>
      </w:r>
      <w:r w:rsidRPr="003A7EB5">
        <w:rPr>
          <w:rFonts w:cs="Times New Roman"/>
          <w:sz w:val="20"/>
          <w:szCs w:val="20"/>
        </w:rPr>
        <w:t>, </w:t>
      </w:r>
      <w:r w:rsidRPr="003A7EB5">
        <w:rPr>
          <w:rFonts w:cs="Times New Roman"/>
          <w:i/>
          <w:iCs/>
          <w:sz w:val="20"/>
          <w:szCs w:val="20"/>
        </w:rPr>
        <w:t>40</w:t>
      </w:r>
      <w:r w:rsidRPr="003A7EB5">
        <w:rPr>
          <w:rFonts w:cs="Times New Roman"/>
          <w:sz w:val="20"/>
          <w:szCs w:val="20"/>
        </w:rPr>
        <w:t>(2), 207-218.</w:t>
      </w:r>
    </w:p>
    <w:p w14:paraId="68A78AA3"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Mbise, E. R., &amp; Tuninga, R. S. (2013). The application of SERVQUAL to business schools in an emerging market: The case of Tanzania. </w:t>
      </w:r>
      <w:r w:rsidRPr="003A7EB5">
        <w:rPr>
          <w:rFonts w:cs="Times New Roman"/>
          <w:i/>
          <w:iCs/>
          <w:sz w:val="20"/>
          <w:szCs w:val="20"/>
        </w:rPr>
        <w:t>Journal of Transnational Management</w:t>
      </w:r>
      <w:r w:rsidRPr="003A7EB5">
        <w:rPr>
          <w:rFonts w:cs="Times New Roman"/>
          <w:sz w:val="20"/>
          <w:szCs w:val="20"/>
        </w:rPr>
        <w:t>, </w:t>
      </w:r>
      <w:r w:rsidRPr="003A7EB5">
        <w:rPr>
          <w:rFonts w:cs="Times New Roman"/>
          <w:i/>
          <w:iCs/>
          <w:sz w:val="20"/>
          <w:szCs w:val="20"/>
        </w:rPr>
        <w:t>18</w:t>
      </w:r>
      <w:r w:rsidRPr="003A7EB5">
        <w:rPr>
          <w:rFonts w:cs="Times New Roman"/>
          <w:sz w:val="20"/>
          <w:szCs w:val="20"/>
        </w:rPr>
        <w:t>(2), 101-124.</w:t>
      </w:r>
    </w:p>
    <w:p w14:paraId="7E7E6D19"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Miller, R. &amp; Brewer, J. (2003). Sampling, snowball: accessing hidden and hard-to-reach populations. </w:t>
      </w:r>
      <w:r w:rsidRPr="003A7EB5">
        <w:rPr>
          <w:rFonts w:cs="Times New Roman"/>
          <w:i/>
          <w:iCs/>
          <w:sz w:val="20"/>
          <w:szCs w:val="20"/>
        </w:rPr>
        <w:t>The AZ of social research: A dictionary of key social science research concepts</w:t>
      </w:r>
      <w:r w:rsidRPr="003A7EB5">
        <w:rPr>
          <w:rFonts w:cs="Times New Roman"/>
          <w:sz w:val="20"/>
          <w:szCs w:val="20"/>
        </w:rPr>
        <w:t>, </w:t>
      </w:r>
      <w:r w:rsidRPr="003A7EB5">
        <w:rPr>
          <w:rFonts w:cs="Times New Roman"/>
          <w:i/>
          <w:iCs/>
          <w:sz w:val="20"/>
          <w:szCs w:val="20"/>
        </w:rPr>
        <w:t>274</w:t>
      </w:r>
      <w:r w:rsidRPr="003A7EB5">
        <w:rPr>
          <w:rFonts w:cs="Times New Roman"/>
          <w:sz w:val="20"/>
          <w:szCs w:val="20"/>
        </w:rPr>
        <w:t>.</w:t>
      </w:r>
    </w:p>
    <w:p w14:paraId="532C48C6"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Naidoo, V. (2014). Service quality perceptions of students at a South African University. </w:t>
      </w:r>
      <w:r w:rsidRPr="003A7EB5">
        <w:rPr>
          <w:rFonts w:cs="Times New Roman"/>
          <w:i/>
          <w:iCs/>
          <w:sz w:val="20"/>
          <w:szCs w:val="20"/>
        </w:rPr>
        <w:t>Mediterranean Journal of Social Sciences</w:t>
      </w:r>
      <w:r w:rsidRPr="003A7EB5">
        <w:rPr>
          <w:rFonts w:cs="Times New Roman"/>
          <w:sz w:val="20"/>
          <w:szCs w:val="20"/>
        </w:rPr>
        <w:t>, </w:t>
      </w:r>
      <w:r w:rsidRPr="003A7EB5">
        <w:rPr>
          <w:rFonts w:cs="Times New Roman"/>
          <w:i/>
          <w:iCs/>
          <w:sz w:val="20"/>
          <w:szCs w:val="20"/>
        </w:rPr>
        <w:t>5</w:t>
      </w:r>
      <w:r w:rsidRPr="003A7EB5">
        <w:rPr>
          <w:rFonts w:cs="Times New Roman"/>
          <w:sz w:val="20"/>
          <w:szCs w:val="20"/>
        </w:rPr>
        <w:t>(27), 199.</w:t>
      </w:r>
    </w:p>
    <w:p w14:paraId="64F0B4F6" w14:textId="77777777" w:rsidR="003A7EB5" w:rsidRPr="003A7EB5" w:rsidRDefault="003A7EB5" w:rsidP="00D35F36">
      <w:pPr>
        <w:rPr>
          <w:rFonts w:cs="Times New Roman"/>
          <w:sz w:val="20"/>
          <w:szCs w:val="20"/>
        </w:rPr>
      </w:pPr>
      <w:r w:rsidRPr="003A7EB5">
        <w:rPr>
          <w:rFonts w:cs="Times New Roman"/>
          <w:sz w:val="20"/>
          <w:szCs w:val="20"/>
        </w:rPr>
        <w:t>Onditi, E. O., &amp; Wechuli, T. W. (2017). Service quality and student satisfaction in higher education institutions: A review of literature. </w:t>
      </w:r>
      <w:r w:rsidRPr="003A7EB5">
        <w:rPr>
          <w:rFonts w:cs="Times New Roman"/>
          <w:i/>
          <w:iCs/>
          <w:sz w:val="20"/>
          <w:szCs w:val="20"/>
        </w:rPr>
        <w:t>International journal of scientific and research publications</w:t>
      </w:r>
      <w:r w:rsidRPr="003A7EB5">
        <w:rPr>
          <w:rFonts w:cs="Times New Roman"/>
          <w:sz w:val="20"/>
          <w:szCs w:val="20"/>
        </w:rPr>
        <w:t>, </w:t>
      </w:r>
      <w:r w:rsidRPr="003A7EB5">
        <w:rPr>
          <w:rFonts w:cs="Times New Roman"/>
          <w:i/>
          <w:iCs/>
          <w:sz w:val="20"/>
          <w:szCs w:val="20"/>
        </w:rPr>
        <w:t>7</w:t>
      </w:r>
      <w:r w:rsidRPr="003A7EB5">
        <w:rPr>
          <w:rFonts w:cs="Times New Roman"/>
          <w:sz w:val="20"/>
          <w:szCs w:val="20"/>
        </w:rPr>
        <w:t>(7), 328-335.</w:t>
      </w:r>
    </w:p>
    <w:p w14:paraId="015B23D4" w14:textId="77777777" w:rsidR="003A7EB5" w:rsidRPr="003A7EB5" w:rsidRDefault="003A7EB5" w:rsidP="00FC4EE8">
      <w:pPr>
        <w:spacing w:line="240" w:lineRule="auto"/>
        <w:ind w:left="709" w:hanging="709"/>
        <w:rPr>
          <w:rFonts w:eastAsia="Times New Roman" w:cs="Times New Roman"/>
          <w:sz w:val="20"/>
          <w:szCs w:val="20"/>
        </w:rPr>
      </w:pPr>
      <w:r w:rsidRPr="003A7EB5">
        <w:rPr>
          <w:rFonts w:eastAsia="Times New Roman" w:cs="Times New Roman"/>
          <w:sz w:val="20"/>
          <w:szCs w:val="20"/>
        </w:rPr>
        <w:t xml:space="preserve">Owoeye, O. D., Faleye, B. A., &amp; Jimoh, K. (2022). Student Factors and Parental Involvement on Academic Performance of Senior Secondary School Students Qualifying Examination in Osun State Secondary Schools. </w:t>
      </w:r>
      <w:r w:rsidRPr="003A7EB5">
        <w:rPr>
          <w:rFonts w:eastAsia="Times New Roman" w:cs="Times New Roman"/>
          <w:i/>
          <w:iCs/>
          <w:sz w:val="20"/>
          <w:szCs w:val="20"/>
        </w:rPr>
        <w:t>Journal of Digital Learning and Education</w:t>
      </w:r>
      <w:r w:rsidRPr="003A7EB5">
        <w:rPr>
          <w:rFonts w:eastAsia="Times New Roman" w:cs="Times New Roman"/>
          <w:sz w:val="20"/>
          <w:szCs w:val="20"/>
        </w:rPr>
        <w:t xml:space="preserve">, </w:t>
      </w:r>
      <w:r w:rsidRPr="003A7EB5">
        <w:rPr>
          <w:rFonts w:eastAsia="Times New Roman" w:cs="Times New Roman"/>
          <w:i/>
          <w:iCs/>
          <w:sz w:val="20"/>
          <w:szCs w:val="20"/>
        </w:rPr>
        <w:t>2</w:t>
      </w:r>
      <w:r w:rsidRPr="003A7EB5">
        <w:rPr>
          <w:rFonts w:eastAsia="Times New Roman" w:cs="Times New Roman"/>
          <w:sz w:val="20"/>
          <w:szCs w:val="20"/>
        </w:rPr>
        <w:t>(2), 127-133.</w:t>
      </w:r>
    </w:p>
    <w:p w14:paraId="207A230E" w14:textId="77777777" w:rsidR="003A7EB5" w:rsidRPr="003A7EB5" w:rsidRDefault="003A7EB5" w:rsidP="00FC4EE8">
      <w:pPr>
        <w:spacing w:line="240" w:lineRule="auto"/>
        <w:ind w:left="709" w:hanging="709"/>
        <w:rPr>
          <w:rFonts w:eastAsia="Times New Roman" w:cs="Times New Roman"/>
          <w:sz w:val="20"/>
          <w:szCs w:val="20"/>
        </w:rPr>
      </w:pPr>
      <w:r w:rsidRPr="003A7EB5">
        <w:rPr>
          <w:rFonts w:eastAsia="Times New Roman" w:cs="Times New Roman"/>
          <w:sz w:val="20"/>
          <w:szCs w:val="20"/>
        </w:rPr>
        <w:t xml:space="preserve">Papageorgiou, E., &amp; Callaghan, C. W. (2020). Accountancy learning skills and student performance in accounting education: evidence from the South African context. </w:t>
      </w:r>
      <w:r w:rsidRPr="003A7EB5">
        <w:rPr>
          <w:rFonts w:eastAsia="Times New Roman" w:cs="Times New Roman"/>
          <w:i/>
          <w:iCs/>
          <w:sz w:val="20"/>
          <w:szCs w:val="20"/>
        </w:rPr>
        <w:t>Accounting Education</w:t>
      </w:r>
      <w:r w:rsidRPr="003A7EB5">
        <w:rPr>
          <w:rFonts w:eastAsia="Times New Roman" w:cs="Times New Roman"/>
          <w:sz w:val="20"/>
          <w:szCs w:val="20"/>
        </w:rPr>
        <w:t xml:space="preserve">, </w:t>
      </w:r>
      <w:r w:rsidRPr="003A7EB5">
        <w:rPr>
          <w:rFonts w:eastAsia="Times New Roman" w:cs="Times New Roman"/>
          <w:i/>
          <w:iCs/>
          <w:sz w:val="20"/>
          <w:szCs w:val="20"/>
        </w:rPr>
        <w:t>29</w:t>
      </w:r>
      <w:r w:rsidRPr="003A7EB5">
        <w:rPr>
          <w:rFonts w:eastAsia="Times New Roman" w:cs="Times New Roman"/>
          <w:sz w:val="20"/>
          <w:szCs w:val="20"/>
        </w:rPr>
        <w:t>(2), 205-228.</w:t>
      </w:r>
    </w:p>
    <w:p w14:paraId="089F9BEB" w14:textId="77777777" w:rsidR="003A7EB5" w:rsidRPr="003A7EB5" w:rsidRDefault="003A7EB5" w:rsidP="00FC4EE8">
      <w:pPr>
        <w:spacing w:line="240" w:lineRule="auto"/>
        <w:ind w:left="709" w:hanging="709"/>
        <w:rPr>
          <w:rFonts w:eastAsia="Times New Roman" w:cs="Times New Roman"/>
          <w:sz w:val="20"/>
          <w:szCs w:val="20"/>
        </w:rPr>
      </w:pPr>
      <w:r w:rsidRPr="003A7EB5">
        <w:rPr>
          <w:rFonts w:eastAsia="Times New Roman" w:cs="Times New Roman"/>
          <w:sz w:val="20"/>
          <w:szCs w:val="20"/>
        </w:rPr>
        <w:t xml:space="preserve">Parasuraman, A., Zeithaml, V. A., &amp; Berry, L. L. (1988). </w:t>
      </w:r>
      <w:proofErr w:type="spellStart"/>
      <w:r w:rsidRPr="003A7EB5">
        <w:rPr>
          <w:rFonts w:eastAsia="Times New Roman" w:cs="Times New Roman"/>
          <w:sz w:val="20"/>
          <w:szCs w:val="20"/>
        </w:rPr>
        <w:t>Servqual</w:t>
      </w:r>
      <w:proofErr w:type="spellEnd"/>
      <w:r w:rsidRPr="003A7EB5">
        <w:rPr>
          <w:rFonts w:eastAsia="Times New Roman" w:cs="Times New Roman"/>
          <w:sz w:val="20"/>
          <w:szCs w:val="20"/>
        </w:rPr>
        <w:t>: A multiple-item scale for measuring consumer perc. Journal of retailing, 64(1), 12.</w:t>
      </w:r>
    </w:p>
    <w:p w14:paraId="6E2D3E74" w14:textId="77777777" w:rsidR="003A7EB5" w:rsidRPr="003A7EB5" w:rsidRDefault="003A7EB5" w:rsidP="00D35F36">
      <w:pPr>
        <w:rPr>
          <w:rFonts w:cs="Times New Roman"/>
          <w:sz w:val="20"/>
          <w:szCs w:val="20"/>
        </w:rPr>
      </w:pPr>
      <w:r w:rsidRPr="003A7EB5">
        <w:rPr>
          <w:rFonts w:cs="Times New Roman"/>
          <w:sz w:val="20"/>
          <w:szCs w:val="20"/>
        </w:rPr>
        <w:t>Pedro, E., Mendes, L., &amp; Lourenço, L. (2018). PERCEIVED SERVICE QUALITY AND STUDENTS'SATISFACTION IN HIGHER EDUCATION: THE INFLUENCE OF TEACHING METHODS. </w:t>
      </w:r>
      <w:r w:rsidRPr="003A7EB5">
        <w:rPr>
          <w:rFonts w:cs="Times New Roman"/>
          <w:i/>
          <w:iCs/>
          <w:sz w:val="20"/>
          <w:szCs w:val="20"/>
        </w:rPr>
        <w:t>International Journal for Quality Research</w:t>
      </w:r>
      <w:r w:rsidRPr="003A7EB5">
        <w:rPr>
          <w:rFonts w:cs="Times New Roman"/>
          <w:sz w:val="20"/>
          <w:szCs w:val="20"/>
        </w:rPr>
        <w:t>, </w:t>
      </w:r>
      <w:r w:rsidRPr="003A7EB5">
        <w:rPr>
          <w:rFonts w:cs="Times New Roman"/>
          <w:i/>
          <w:iCs/>
          <w:sz w:val="20"/>
          <w:szCs w:val="20"/>
        </w:rPr>
        <w:t>12</w:t>
      </w:r>
      <w:r w:rsidRPr="003A7EB5">
        <w:rPr>
          <w:rFonts w:cs="Times New Roman"/>
          <w:sz w:val="20"/>
          <w:szCs w:val="20"/>
        </w:rPr>
        <w:t>(1), 165.</w:t>
      </w:r>
    </w:p>
    <w:p w14:paraId="58C1D38D"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lastRenderedPageBreak/>
        <w:t>Pianta, R. C., Belsky, J., Vandergrift, N., Houts, R., &amp; Morrison, F. J. (2008). Classroom effects on children’s achievement trajectories in elementary school. </w:t>
      </w:r>
      <w:r w:rsidRPr="003A7EB5">
        <w:rPr>
          <w:rFonts w:cs="Times New Roman"/>
          <w:i/>
          <w:iCs/>
          <w:sz w:val="20"/>
          <w:szCs w:val="20"/>
        </w:rPr>
        <w:t>American educational research journal</w:t>
      </w:r>
      <w:r w:rsidRPr="003A7EB5">
        <w:rPr>
          <w:rFonts w:cs="Times New Roman"/>
          <w:sz w:val="20"/>
          <w:szCs w:val="20"/>
        </w:rPr>
        <w:t>, </w:t>
      </w:r>
      <w:r w:rsidRPr="003A7EB5">
        <w:rPr>
          <w:rFonts w:cs="Times New Roman"/>
          <w:i/>
          <w:iCs/>
          <w:sz w:val="20"/>
          <w:szCs w:val="20"/>
        </w:rPr>
        <w:t>45</w:t>
      </w:r>
      <w:r w:rsidRPr="003A7EB5">
        <w:rPr>
          <w:rFonts w:cs="Times New Roman"/>
          <w:sz w:val="20"/>
          <w:szCs w:val="20"/>
        </w:rPr>
        <w:t>(2), 365-397.</w:t>
      </w:r>
    </w:p>
    <w:p w14:paraId="1EDD9D91" w14:textId="77777777" w:rsidR="003A7EB5" w:rsidRPr="003A7EB5" w:rsidRDefault="003A7EB5" w:rsidP="00FC4EE8">
      <w:pPr>
        <w:spacing w:line="240" w:lineRule="auto"/>
        <w:ind w:left="709" w:hanging="709"/>
        <w:rPr>
          <w:rFonts w:cs="Times New Roman"/>
          <w:sz w:val="20"/>
          <w:szCs w:val="20"/>
        </w:rPr>
      </w:pPr>
      <w:proofErr w:type="spellStart"/>
      <w:r w:rsidRPr="003A7EB5">
        <w:rPr>
          <w:rFonts w:cs="Times New Roman"/>
          <w:sz w:val="20"/>
          <w:szCs w:val="20"/>
        </w:rPr>
        <w:t>Poulou</w:t>
      </w:r>
      <w:proofErr w:type="spellEnd"/>
      <w:r w:rsidRPr="003A7EB5">
        <w:rPr>
          <w:rFonts w:cs="Times New Roman"/>
          <w:sz w:val="20"/>
          <w:szCs w:val="20"/>
        </w:rPr>
        <w:t>, M. S. (2017). An examination of the relationship among teachers' perceptions of social-emotional learning, teaching efficacy, teacher-student interactions, and students' behavioral difficulties. </w:t>
      </w:r>
      <w:r w:rsidRPr="003A7EB5">
        <w:rPr>
          <w:rFonts w:cs="Times New Roman"/>
          <w:i/>
          <w:iCs/>
          <w:sz w:val="20"/>
          <w:szCs w:val="20"/>
        </w:rPr>
        <w:t>International Journal of School &amp; Educational Psychology</w:t>
      </w:r>
      <w:r w:rsidRPr="003A7EB5">
        <w:rPr>
          <w:rFonts w:cs="Times New Roman"/>
          <w:sz w:val="20"/>
          <w:szCs w:val="20"/>
        </w:rPr>
        <w:t>, </w:t>
      </w:r>
      <w:r w:rsidRPr="003A7EB5">
        <w:rPr>
          <w:rFonts w:cs="Times New Roman"/>
          <w:i/>
          <w:iCs/>
          <w:sz w:val="20"/>
          <w:szCs w:val="20"/>
        </w:rPr>
        <w:t>5</w:t>
      </w:r>
      <w:r w:rsidRPr="003A7EB5">
        <w:rPr>
          <w:rFonts w:cs="Times New Roman"/>
          <w:sz w:val="20"/>
          <w:szCs w:val="20"/>
        </w:rPr>
        <w:t>(2), 126-136.</w:t>
      </w:r>
    </w:p>
    <w:p w14:paraId="36F2993F"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Reeve, J. (2013). How students create motivationally supportive learning environments for themselves: The concept of agentic engagement. Journal of educational psychology, 105(3), 579.</w:t>
      </w:r>
    </w:p>
    <w:p w14:paraId="13EDCA00"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lang w:val="pl-PL"/>
        </w:rPr>
        <w:t xml:space="preserve">Sahney, S., Banwet, D. K., &amp; Karunes, S. (2004). </w:t>
      </w:r>
      <w:r w:rsidRPr="003A7EB5">
        <w:rPr>
          <w:rFonts w:cs="Times New Roman"/>
          <w:sz w:val="20"/>
          <w:szCs w:val="20"/>
        </w:rPr>
        <w:t>A SERVQUAL and QFD approach to total quality education: A student perspective. </w:t>
      </w:r>
      <w:r w:rsidRPr="003A7EB5">
        <w:rPr>
          <w:rFonts w:cs="Times New Roman"/>
          <w:i/>
          <w:iCs/>
          <w:sz w:val="20"/>
          <w:szCs w:val="20"/>
        </w:rPr>
        <w:t>International Journal of productivity and performance management</w:t>
      </w:r>
      <w:r w:rsidRPr="003A7EB5">
        <w:rPr>
          <w:rFonts w:cs="Times New Roman"/>
          <w:sz w:val="20"/>
          <w:szCs w:val="20"/>
        </w:rPr>
        <w:t>, </w:t>
      </w:r>
      <w:r w:rsidRPr="003A7EB5">
        <w:rPr>
          <w:rFonts w:cs="Times New Roman"/>
          <w:i/>
          <w:iCs/>
          <w:sz w:val="20"/>
          <w:szCs w:val="20"/>
        </w:rPr>
        <w:t>53</w:t>
      </w:r>
      <w:r w:rsidRPr="003A7EB5">
        <w:rPr>
          <w:rFonts w:cs="Times New Roman"/>
          <w:sz w:val="20"/>
          <w:szCs w:val="20"/>
        </w:rPr>
        <w:t>(2), 143-166.</w:t>
      </w:r>
    </w:p>
    <w:p w14:paraId="246B19C0"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Sangster, A., Stoner, G., &amp; Flood, B. (2020). Insights into accounting education in a COVID-19 world. </w:t>
      </w:r>
      <w:r w:rsidRPr="003A7EB5">
        <w:rPr>
          <w:rFonts w:cs="Times New Roman"/>
          <w:i/>
          <w:iCs/>
          <w:sz w:val="20"/>
          <w:szCs w:val="20"/>
        </w:rPr>
        <w:t>Accounting Education</w:t>
      </w:r>
      <w:r w:rsidRPr="003A7EB5">
        <w:rPr>
          <w:rFonts w:cs="Times New Roman"/>
          <w:sz w:val="20"/>
          <w:szCs w:val="20"/>
        </w:rPr>
        <w:t>, </w:t>
      </w:r>
      <w:r w:rsidRPr="003A7EB5">
        <w:rPr>
          <w:rFonts w:cs="Times New Roman"/>
          <w:i/>
          <w:iCs/>
          <w:sz w:val="20"/>
          <w:szCs w:val="20"/>
        </w:rPr>
        <w:t>29</w:t>
      </w:r>
      <w:r w:rsidRPr="003A7EB5">
        <w:rPr>
          <w:rFonts w:cs="Times New Roman"/>
          <w:sz w:val="20"/>
          <w:szCs w:val="20"/>
        </w:rPr>
        <w:t>(5), 431-562.</w:t>
      </w:r>
    </w:p>
    <w:p w14:paraId="3BC7939F"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Schneider, M., &amp; Preckel, F. (2017). Variables associated with achievement in higher education: A systematic review of meta-analyses. </w:t>
      </w:r>
      <w:r w:rsidRPr="003A7EB5">
        <w:rPr>
          <w:rFonts w:cs="Times New Roman"/>
          <w:i/>
          <w:iCs/>
          <w:sz w:val="20"/>
          <w:szCs w:val="20"/>
        </w:rPr>
        <w:t>Psychological bulletin</w:t>
      </w:r>
      <w:r w:rsidRPr="003A7EB5">
        <w:rPr>
          <w:rFonts w:cs="Times New Roman"/>
          <w:sz w:val="20"/>
          <w:szCs w:val="20"/>
        </w:rPr>
        <w:t>, </w:t>
      </w:r>
      <w:r w:rsidRPr="003A7EB5">
        <w:rPr>
          <w:rFonts w:cs="Times New Roman"/>
          <w:i/>
          <w:iCs/>
          <w:sz w:val="20"/>
          <w:szCs w:val="20"/>
        </w:rPr>
        <w:t>143</w:t>
      </w:r>
      <w:r w:rsidRPr="003A7EB5">
        <w:rPr>
          <w:rFonts w:cs="Times New Roman"/>
          <w:sz w:val="20"/>
          <w:szCs w:val="20"/>
        </w:rPr>
        <w:t>(6), 565.</w:t>
      </w:r>
    </w:p>
    <w:p w14:paraId="72770F6E"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Sohail, M. S., &amp; Hasan, M. (2021). Students’ perceptions of service quality in Saudi universities: the SERVPERF model. </w:t>
      </w:r>
      <w:r w:rsidRPr="003A7EB5">
        <w:rPr>
          <w:rFonts w:cs="Times New Roman"/>
          <w:i/>
          <w:iCs/>
          <w:sz w:val="20"/>
          <w:szCs w:val="20"/>
        </w:rPr>
        <w:t>Learning and Teaching in Higher Education: Gulf Perspectives</w:t>
      </w:r>
      <w:r w:rsidRPr="003A7EB5">
        <w:rPr>
          <w:rFonts w:cs="Times New Roman"/>
          <w:sz w:val="20"/>
          <w:szCs w:val="20"/>
        </w:rPr>
        <w:t>, </w:t>
      </w:r>
      <w:r w:rsidRPr="003A7EB5">
        <w:rPr>
          <w:rFonts w:cs="Times New Roman"/>
          <w:i/>
          <w:iCs/>
          <w:sz w:val="20"/>
          <w:szCs w:val="20"/>
        </w:rPr>
        <w:t>17</w:t>
      </w:r>
      <w:r w:rsidRPr="003A7EB5">
        <w:rPr>
          <w:rFonts w:cs="Times New Roman"/>
          <w:sz w:val="20"/>
          <w:szCs w:val="20"/>
        </w:rPr>
        <w:t>(1), 54-66.</w:t>
      </w:r>
    </w:p>
    <w:p w14:paraId="5C97D28A"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 xml:space="preserve">Sothan, S. (2019). The determinants of academic performance: evidence from a Cambodian University. </w:t>
      </w:r>
      <w:r w:rsidRPr="003A7EB5">
        <w:rPr>
          <w:rFonts w:cs="Times New Roman"/>
          <w:i/>
          <w:iCs/>
          <w:sz w:val="20"/>
          <w:szCs w:val="20"/>
        </w:rPr>
        <w:t>Studies in Higher Education</w:t>
      </w:r>
      <w:r w:rsidRPr="003A7EB5">
        <w:rPr>
          <w:rFonts w:cs="Times New Roman"/>
          <w:sz w:val="20"/>
          <w:szCs w:val="20"/>
        </w:rPr>
        <w:t xml:space="preserve">, </w:t>
      </w:r>
      <w:r w:rsidRPr="003A7EB5">
        <w:rPr>
          <w:rFonts w:cs="Times New Roman"/>
          <w:i/>
          <w:iCs/>
          <w:sz w:val="20"/>
          <w:szCs w:val="20"/>
        </w:rPr>
        <w:t>44</w:t>
      </w:r>
      <w:r w:rsidRPr="003A7EB5">
        <w:rPr>
          <w:rFonts w:cs="Times New Roman"/>
          <w:sz w:val="20"/>
          <w:szCs w:val="20"/>
        </w:rPr>
        <w:t>(11), 2096-2111.</w:t>
      </w:r>
    </w:p>
    <w:p w14:paraId="4774E168"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Stodnick, M., &amp; Rogers, P. (2008). Using SERVQUAL to measure the quality of the classroom experience. </w:t>
      </w:r>
      <w:r w:rsidRPr="003A7EB5">
        <w:rPr>
          <w:rFonts w:cs="Times New Roman"/>
          <w:i/>
          <w:iCs/>
          <w:sz w:val="20"/>
          <w:szCs w:val="20"/>
        </w:rPr>
        <w:t>Decision Sciences Journal of Innovative Education</w:t>
      </w:r>
      <w:r w:rsidRPr="003A7EB5">
        <w:rPr>
          <w:rFonts w:cs="Times New Roman"/>
          <w:sz w:val="20"/>
          <w:szCs w:val="20"/>
        </w:rPr>
        <w:t>, </w:t>
      </w:r>
      <w:r w:rsidRPr="003A7EB5">
        <w:rPr>
          <w:rFonts w:cs="Times New Roman"/>
          <w:i/>
          <w:iCs/>
          <w:sz w:val="20"/>
          <w:szCs w:val="20"/>
        </w:rPr>
        <w:t>6</w:t>
      </w:r>
      <w:r w:rsidRPr="003A7EB5">
        <w:rPr>
          <w:rFonts w:cs="Times New Roman"/>
          <w:sz w:val="20"/>
          <w:szCs w:val="20"/>
        </w:rPr>
        <w:t>(1), 115-133.</w:t>
      </w:r>
    </w:p>
    <w:p w14:paraId="69F8347C" w14:textId="77777777" w:rsidR="003A7EB5" w:rsidRPr="003A7EB5" w:rsidRDefault="003A7EB5" w:rsidP="00C8245B">
      <w:pPr>
        <w:spacing w:before="240" w:line="240" w:lineRule="auto"/>
        <w:rPr>
          <w:rFonts w:cs="Times New Roman"/>
          <w:sz w:val="20"/>
          <w:szCs w:val="20"/>
        </w:rPr>
      </w:pPr>
      <w:r w:rsidRPr="003A7EB5">
        <w:rPr>
          <w:rFonts w:cs="Times New Roman"/>
          <w:sz w:val="20"/>
          <w:szCs w:val="20"/>
        </w:rPr>
        <w:t>Surya Bahadur, G. C., Gurung, S. K., Poudel, R. L., Yadav, U. S., Bhattacharjee, A., &amp; Dhungana, B. R. (2024). The effect of higher education service quality on satisfaction among business students in India and Nepal. </w:t>
      </w:r>
      <w:r w:rsidRPr="003A7EB5">
        <w:rPr>
          <w:rFonts w:cs="Times New Roman"/>
          <w:i/>
          <w:iCs/>
          <w:sz w:val="20"/>
          <w:szCs w:val="20"/>
        </w:rPr>
        <w:t>Cogent Education</w:t>
      </w:r>
      <w:r w:rsidRPr="003A7EB5">
        <w:rPr>
          <w:rFonts w:cs="Times New Roman"/>
          <w:sz w:val="20"/>
          <w:szCs w:val="20"/>
        </w:rPr>
        <w:t>, </w:t>
      </w:r>
      <w:r w:rsidRPr="003A7EB5">
        <w:rPr>
          <w:rFonts w:cs="Times New Roman"/>
          <w:i/>
          <w:iCs/>
          <w:sz w:val="20"/>
          <w:szCs w:val="20"/>
        </w:rPr>
        <w:t>11</w:t>
      </w:r>
      <w:r w:rsidRPr="003A7EB5">
        <w:rPr>
          <w:rFonts w:cs="Times New Roman"/>
          <w:sz w:val="20"/>
          <w:szCs w:val="20"/>
        </w:rPr>
        <w:t>(1), 2393521.</w:t>
      </w:r>
    </w:p>
    <w:p w14:paraId="720273DA" w14:textId="77777777" w:rsidR="003A7EB5" w:rsidRPr="003A7EB5" w:rsidRDefault="003A7EB5" w:rsidP="00FC4EE8">
      <w:pPr>
        <w:spacing w:line="240" w:lineRule="auto"/>
        <w:ind w:left="709" w:hanging="709"/>
        <w:rPr>
          <w:rFonts w:eastAsia="Times New Roman" w:cs="Times New Roman"/>
          <w:sz w:val="20"/>
          <w:szCs w:val="20"/>
        </w:rPr>
      </w:pPr>
      <w:r w:rsidRPr="003A7EB5">
        <w:rPr>
          <w:rFonts w:eastAsia="Times New Roman" w:cs="Times New Roman"/>
          <w:sz w:val="20"/>
          <w:szCs w:val="20"/>
        </w:rPr>
        <w:t xml:space="preserve">Taiwo, W. F. (2022). Guided Discovery Instructional Strategy and Students’ Attainment in Financial Accounting Concepts. </w:t>
      </w:r>
      <w:proofErr w:type="spellStart"/>
      <w:r w:rsidRPr="003A7EB5">
        <w:rPr>
          <w:rFonts w:eastAsia="Times New Roman" w:cs="Times New Roman"/>
          <w:i/>
          <w:iCs/>
          <w:sz w:val="20"/>
          <w:szCs w:val="20"/>
        </w:rPr>
        <w:t>Pedagogika</w:t>
      </w:r>
      <w:proofErr w:type="spellEnd"/>
      <w:r w:rsidRPr="003A7EB5">
        <w:rPr>
          <w:rFonts w:eastAsia="Times New Roman" w:cs="Times New Roman"/>
          <w:sz w:val="20"/>
          <w:szCs w:val="20"/>
        </w:rPr>
        <w:t xml:space="preserve">, </w:t>
      </w:r>
      <w:r w:rsidRPr="003A7EB5">
        <w:rPr>
          <w:rFonts w:eastAsia="Times New Roman" w:cs="Times New Roman"/>
          <w:i/>
          <w:iCs/>
          <w:sz w:val="20"/>
          <w:szCs w:val="20"/>
        </w:rPr>
        <w:t>147</w:t>
      </w:r>
      <w:r w:rsidRPr="003A7EB5">
        <w:rPr>
          <w:rFonts w:eastAsia="Times New Roman" w:cs="Times New Roman"/>
          <w:sz w:val="20"/>
          <w:szCs w:val="20"/>
        </w:rPr>
        <w:t>(3), 147-163.</w:t>
      </w:r>
    </w:p>
    <w:p w14:paraId="6323673B" w14:textId="77777777" w:rsidR="003A7EB5" w:rsidRPr="003A7EB5" w:rsidRDefault="003A7EB5" w:rsidP="00FC4EE8">
      <w:pPr>
        <w:spacing w:line="240" w:lineRule="auto"/>
        <w:ind w:left="709" w:hanging="709"/>
        <w:rPr>
          <w:rFonts w:cs="Times New Roman"/>
          <w:color w:val="222222"/>
          <w:sz w:val="20"/>
          <w:szCs w:val="20"/>
          <w:shd w:val="clear" w:color="auto" w:fill="FFFFFF"/>
        </w:rPr>
      </w:pPr>
      <w:r w:rsidRPr="003A7EB5">
        <w:rPr>
          <w:rFonts w:cs="Times New Roman"/>
          <w:color w:val="222222"/>
          <w:sz w:val="20"/>
          <w:szCs w:val="20"/>
          <w:shd w:val="clear" w:color="auto" w:fill="FFFFFF"/>
        </w:rPr>
        <w:t>Tschannen-Moran, M., Hoy, A. W., &amp; Hoy, W. K. (1998). Teacher efficacy: Its meaning and measure. </w:t>
      </w:r>
      <w:r w:rsidRPr="003A7EB5">
        <w:rPr>
          <w:rFonts w:cs="Times New Roman"/>
          <w:i/>
          <w:iCs/>
          <w:color w:val="222222"/>
          <w:sz w:val="20"/>
          <w:szCs w:val="20"/>
          <w:shd w:val="clear" w:color="auto" w:fill="FFFFFF"/>
        </w:rPr>
        <w:t>Review of educational research</w:t>
      </w:r>
      <w:r w:rsidRPr="003A7EB5">
        <w:rPr>
          <w:rFonts w:cs="Times New Roman"/>
          <w:color w:val="222222"/>
          <w:sz w:val="20"/>
          <w:szCs w:val="20"/>
          <w:shd w:val="clear" w:color="auto" w:fill="FFFFFF"/>
        </w:rPr>
        <w:t>, </w:t>
      </w:r>
      <w:r w:rsidRPr="003A7EB5">
        <w:rPr>
          <w:rFonts w:cs="Times New Roman"/>
          <w:i/>
          <w:iCs/>
          <w:color w:val="222222"/>
          <w:sz w:val="20"/>
          <w:szCs w:val="20"/>
          <w:shd w:val="clear" w:color="auto" w:fill="FFFFFF"/>
        </w:rPr>
        <w:t>68</w:t>
      </w:r>
      <w:r w:rsidRPr="003A7EB5">
        <w:rPr>
          <w:rFonts w:cs="Times New Roman"/>
          <w:color w:val="222222"/>
          <w:sz w:val="20"/>
          <w:szCs w:val="20"/>
          <w:shd w:val="clear" w:color="auto" w:fill="FFFFFF"/>
        </w:rPr>
        <w:t>(2), 202-248.</w:t>
      </w:r>
    </w:p>
    <w:p w14:paraId="603C3825"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Wentzel, K. R. (2010). Students' relationships with teachers. In </w:t>
      </w:r>
      <w:r w:rsidRPr="003A7EB5">
        <w:rPr>
          <w:rFonts w:cs="Times New Roman"/>
          <w:i/>
          <w:iCs/>
          <w:sz w:val="20"/>
          <w:szCs w:val="20"/>
        </w:rPr>
        <w:t>Handbook of research on schools, schooling and human development</w:t>
      </w:r>
      <w:r w:rsidRPr="003A7EB5">
        <w:rPr>
          <w:rFonts w:cs="Times New Roman"/>
          <w:sz w:val="20"/>
          <w:szCs w:val="20"/>
        </w:rPr>
        <w:t> (pp. 75-91). Routledge.</w:t>
      </w:r>
    </w:p>
    <w:p w14:paraId="0142CAFF"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Wygal, D. E., &amp; Stout, D. E. (2015). Shining a light on effective teaching best practices: Survey findings from award-winning accounting educators. </w:t>
      </w:r>
      <w:r w:rsidRPr="003A7EB5">
        <w:rPr>
          <w:rFonts w:cs="Times New Roman"/>
          <w:i/>
          <w:iCs/>
          <w:sz w:val="20"/>
          <w:szCs w:val="20"/>
        </w:rPr>
        <w:t>Issues in Accounting Education</w:t>
      </w:r>
      <w:r w:rsidRPr="003A7EB5">
        <w:rPr>
          <w:rFonts w:cs="Times New Roman"/>
          <w:sz w:val="20"/>
          <w:szCs w:val="20"/>
        </w:rPr>
        <w:t>, </w:t>
      </w:r>
      <w:r w:rsidRPr="003A7EB5">
        <w:rPr>
          <w:rFonts w:cs="Times New Roman"/>
          <w:i/>
          <w:iCs/>
          <w:sz w:val="20"/>
          <w:szCs w:val="20"/>
        </w:rPr>
        <w:t>30</w:t>
      </w:r>
      <w:r w:rsidRPr="003A7EB5">
        <w:rPr>
          <w:rFonts w:cs="Times New Roman"/>
          <w:sz w:val="20"/>
          <w:szCs w:val="20"/>
        </w:rPr>
        <w:t>(3), 173-205.</w:t>
      </w:r>
    </w:p>
    <w:p w14:paraId="7A724D29"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Wygal, D. E., Watty, K., &amp; Stout, D. E. (2014). Drivers of teaching effectiveness: Views from accounting educator exemplars in Australia. </w:t>
      </w:r>
      <w:r w:rsidRPr="003A7EB5">
        <w:rPr>
          <w:rFonts w:cs="Times New Roman"/>
          <w:i/>
          <w:iCs/>
          <w:sz w:val="20"/>
          <w:szCs w:val="20"/>
        </w:rPr>
        <w:t>Accounting Education</w:t>
      </w:r>
      <w:r w:rsidRPr="003A7EB5">
        <w:rPr>
          <w:rFonts w:cs="Times New Roman"/>
          <w:sz w:val="20"/>
          <w:szCs w:val="20"/>
        </w:rPr>
        <w:t>, </w:t>
      </w:r>
      <w:r w:rsidRPr="003A7EB5">
        <w:rPr>
          <w:rFonts w:cs="Times New Roman"/>
          <w:i/>
          <w:iCs/>
          <w:sz w:val="20"/>
          <w:szCs w:val="20"/>
        </w:rPr>
        <w:t>23</w:t>
      </w:r>
      <w:r w:rsidRPr="003A7EB5">
        <w:rPr>
          <w:rFonts w:cs="Times New Roman"/>
          <w:sz w:val="20"/>
          <w:szCs w:val="20"/>
        </w:rPr>
        <w:t>(4), 322-342.</w:t>
      </w:r>
    </w:p>
    <w:p w14:paraId="0E070467" w14:textId="77777777" w:rsidR="003A7EB5" w:rsidRPr="003A7EB5" w:rsidRDefault="003A7EB5" w:rsidP="00FC4EE8">
      <w:pPr>
        <w:spacing w:line="240" w:lineRule="auto"/>
        <w:ind w:left="709" w:hanging="709"/>
        <w:rPr>
          <w:rFonts w:cs="Times New Roman"/>
          <w:sz w:val="20"/>
          <w:szCs w:val="20"/>
        </w:rPr>
      </w:pPr>
      <w:r w:rsidRPr="003A7EB5">
        <w:rPr>
          <w:rFonts w:cs="Times New Roman"/>
          <w:sz w:val="20"/>
          <w:szCs w:val="20"/>
        </w:rPr>
        <w:t>Ye, J., Dong, B., &amp; Lee, J. Y. (2017). The long-term impact of service empathy and responsiveness on customer satisfaction and profitability: a longitudinal investigation in a healthcare context. </w:t>
      </w:r>
      <w:r w:rsidRPr="003A7EB5">
        <w:rPr>
          <w:rFonts w:cs="Times New Roman"/>
          <w:i/>
          <w:iCs/>
          <w:sz w:val="20"/>
          <w:szCs w:val="20"/>
        </w:rPr>
        <w:t>Marketing Letters</w:t>
      </w:r>
      <w:r w:rsidRPr="003A7EB5">
        <w:rPr>
          <w:rFonts w:cs="Times New Roman"/>
          <w:sz w:val="20"/>
          <w:szCs w:val="20"/>
        </w:rPr>
        <w:t>, </w:t>
      </w:r>
      <w:r w:rsidRPr="003A7EB5">
        <w:rPr>
          <w:rFonts w:cs="Times New Roman"/>
          <w:i/>
          <w:iCs/>
          <w:sz w:val="20"/>
          <w:szCs w:val="20"/>
        </w:rPr>
        <w:t>28</w:t>
      </w:r>
      <w:r w:rsidRPr="003A7EB5">
        <w:rPr>
          <w:rFonts w:cs="Times New Roman"/>
          <w:sz w:val="20"/>
          <w:szCs w:val="20"/>
        </w:rPr>
        <w:t>, 551-564.</w:t>
      </w:r>
    </w:p>
    <w:p w14:paraId="53EF809B" w14:textId="77777777" w:rsidR="00963CDA" w:rsidRPr="009A696E" w:rsidRDefault="00963CDA" w:rsidP="00C8245B">
      <w:pPr>
        <w:spacing w:before="240" w:line="240" w:lineRule="auto"/>
        <w:rPr>
          <w:rFonts w:cs="Times New Roman"/>
          <w:b/>
          <w:bCs/>
          <w:sz w:val="20"/>
          <w:szCs w:val="20"/>
        </w:rPr>
      </w:pPr>
    </w:p>
    <w:p w14:paraId="5383BB49" w14:textId="77777777" w:rsidR="00963CDA" w:rsidRPr="009A696E" w:rsidRDefault="00963CDA" w:rsidP="00C8245B">
      <w:pPr>
        <w:spacing w:line="240" w:lineRule="auto"/>
        <w:rPr>
          <w:rFonts w:cs="Times New Roman"/>
          <w:sz w:val="20"/>
          <w:szCs w:val="20"/>
        </w:rPr>
      </w:pPr>
    </w:p>
    <w:sectPr w:rsidR="00963CDA" w:rsidRPr="009A69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0B8B1" w14:textId="77777777" w:rsidR="00445490" w:rsidRDefault="00445490">
      <w:pPr>
        <w:spacing w:after="0" w:line="240" w:lineRule="auto"/>
      </w:pPr>
      <w:r>
        <w:separator/>
      </w:r>
    </w:p>
  </w:endnote>
  <w:endnote w:type="continuationSeparator" w:id="0">
    <w:p w14:paraId="68BF6234" w14:textId="77777777" w:rsidR="00445490" w:rsidRDefault="00445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5EFCF" w14:textId="77777777" w:rsidR="00182327" w:rsidRDefault="00182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626837"/>
      <w:docPartObj>
        <w:docPartGallery w:val="Page Numbers (Bottom of Page)"/>
        <w:docPartUnique/>
      </w:docPartObj>
    </w:sdtPr>
    <w:sdtEndPr>
      <w:rPr>
        <w:noProof/>
      </w:rPr>
    </w:sdtEndPr>
    <w:sdtContent>
      <w:p w14:paraId="1D240EB4" w14:textId="4F56D703" w:rsidR="005208F1" w:rsidRDefault="009A611E">
        <w:pPr>
          <w:pStyle w:val="Footer"/>
          <w:jc w:val="center"/>
        </w:pPr>
        <w:r>
          <w:fldChar w:fldCharType="begin"/>
        </w:r>
        <w:r>
          <w:instrText xml:space="preserve"> PAGE   \* MERGEFORMAT </w:instrText>
        </w:r>
        <w:r>
          <w:fldChar w:fldCharType="separate"/>
        </w:r>
        <w:r w:rsidR="000B1A04">
          <w:rPr>
            <w:noProof/>
          </w:rPr>
          <w:t>14</w:t>
        </w:r>
        <w:r>
          <w:rPr>
            <w:noProof/>
          </w:rPr>
          <w:fldChar w:fldCharType="end"/>
        </w:r>
      </w:p>
    </w:sdtContent>
  </w:sdt>
  <w:p w14:paraId="0B54DEF8" w14:textId="77777777" w:rsidR="005208F1" w:rsidRDefault="005208F1">
    <w:pPr>
      <w:pStyle w:val="Footer"/>
    </w:pPr>
  </w:p>
  <w:p w14:paraId="51FA7FD3" w14:textId="77777777" w:rsidR="005208F1" w:rsidRDefault="005208F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0F733" w14:textId="77777777" w:rsidR="00182327" w:rsidRDefault="00182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27B55" w14:textId="77777777" w:rsidR="00445490" w:rsidRDefault="00445490">
      <w:pPr>
        <w:spacing w:after="0" w:line="240" w:lineRule="auto"/>
      </w:pPr>
      <w:r>
        <w:separator/>
      </w:r>
    </w:p>
  </w:footnote>
  <w:footnote w:type="continuationSeparator" w:id="0">
    <w:p w14:paraId="381EA22D" w14:textId="77777777" w:rsidR="00445490" w:rsidRDefault="00445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D961" w14:textId="1B101AB2" w:rsidR="00182327" w:rsidRDefault="00445490">
    <w:pPr>
      <w:pStyle w:val="Header"/>
    </w:pPr>
    <w:r>
      <w:rPr>
        <w:noProof/>
      </w:rPr>
      <w:pict w14:anchorId="488E6D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798626"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7DDA5" w14:textId="1F0965F4" w:rsidR="005208F1" w:rsidRDefault="00445490">
    <w:pPr>
      <w:pStyle w:val="Header"/>
    </w:pPr>
    <w:r>
      <w:rPr>
        <w:noProof/>
      </w:rPr>
      <w:pict w14:anchorId="2B741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798627"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5049E" w14:textId="22228532" w:rsidR="00182327" w:rsidRDefault="00445490">
    <w:pPr>
      <w:pStyle w:val="Header"/>
    </w:pPr>
    <w:r>
      <w:rPr>
        <w:noProof/>
      </w:rPr>
      <w:pict w14:anchorId="7F9C1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798625"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28F8"/>
    <w:multiLevelType w:val="multilevel"/>
    <w:tmpl w:val="C478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94980"/>
    <w:multiLevelType w:val="multilevel"/>
    <w:tmpl w:val="0D56EC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4F815FB"/>
    <w:multiLevelType w:val="multilevel"/>
    <w:tmpl w:val="CE70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715C16"/>
    <w:multiLevelType w:val="multilevel"/>
    <w:tmpl w:val="1658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7D02"/>
    <w:multiLevelType w:val="multilevel"/>
    <w:tmpl w:val="0E52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334F5E"/>
    <w:multiLevelType w:val="multilevel"/>
    <w:tmpl w:val="191C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DA"/>
    <w:rsid w:val="00001745"/>
    <w:rsid w:val="00004FC0"/>
    <w:rsid w:val="000070D6"/>
    <w:rsid w:val="000139B9"/>
    <w:rsid w:val="0002503E"/>
    <w:rsid w:val="00025309"/>
    <w:rsid w:val="00035CD3"/>
    <w:rsid w:val="00035E4D"/>
    <w:rsid w:val="00040298"/>
    <w:rsid w:val="00042BE6"/>
    <w:rsid w:val="0004615F"/>
    <w:rsid w:val="000474A7"/>
    <w:rsid w:val="0005147B"/>
    <w:rsid w:val="000514E6"/>
    <w:rsid w:val="0005362F"/>
    <w:rsid w:val="00056E49"/>
    <w:rsid w:val="000706F2"/>
    <w:rsid w:val="00073289"/>
    <w:rsid w:val="00075685"/>
    <w:rsid w:val="00077DE4"/>
    <w:rsid w:val="0009425D"/>
    <w:rsid w:val="0009517E"/>
    <w:rsid w:val="000B1A04"/>
    <w:rsid w:val="000B6D0C"/>
    <w:rsid w:val="000C516D"/>
    <w:rsid w:val="000D40A2"/>
    <w:rsid w:val="000D5BDF"/>
    <w:rsid w:val="000E02E4"/>
    <w:rsid w:val="000E3ED6"/>
    <w:rsid w:val="000F069F"/>
    <w:rsid w:val="000F63A3"/>
    <w:rsid w:val="001113D9"/>
    <w:rsid w:val="00115B3B"/>
    <w:rsid w:val="001247DC"/>
    <w:rsid w:val="00124EFC"/>
    <w:rsid w:val="0012588A"/>
    <w:rsid w:val="00126365"/>
    <w:rsid w:val="00126F36"/>
    <w:rsid w:val="001356F4"/>
    <w:rsid w:val="00137701"/>
    <w:rsid w:val="00141F8E"/>
    <w:rsid w:val="00165980"/>
    <w:rsid w:val="00167060"/>
    <w:rsid w:val="00167349"/>
    <w:rsid w:val="00182327"/>
    <w:rsid w:val="001933A8"/>
    <w:rsid w:val="001A48B1"/>
    <w:rsid w:val="001A5304"/>
    <w:rsid w:val="001A5D00"/>
    <w:rsid w:val="001B190B"/>
    <w:rsid w:val="001D30F5"/>
    <w:rsid w:val="001E3DD4"/>
    <w:rsid w:val="001E4C20"/>
    <w:rsid w:val="001F689A"/>
    <w:rsid w:val="001F702F"/>
    <w:rsid w:val="00200D63"/>
    <w:rsid w:val="002044F0"/>
    <w:rsid w:val="00206422"/>
    <w:rsid w:val="00216BF9"/>
    <w:rsid w:val="00217254"/>
    <w:rsid w:val="00224D82"/>
    <w:rsid w:val="00226D63"/>
    <w:rsid w:val="002306EA"/>
    <w:rsid w:val="002338CC"/>
    <w:rsid w:val="002340B0"/>
    <w:rsid w:val="0023578E"/>
    <w:rsid w:val="00247D9F"/>
    <w:rsid w:val="00262F10"/>
    <w:rsid w:val="002640CC"/>
    <w:rsid w:val="002808A4"/>
    <w:rsid w:val="002856E8"/>
    <w:rsid w:val="00294489"/>
    <w:rsid w:val="00297300"/>
    <w:rsid w:val="002C342B"/>
    <w:rsid w:val="002C5D24"/>
    <w:rsid w:val="002D7E0F"/>
    <w:rsid w:val="002E04F4"/>
    <w:rsid w:val="002F0E79"/>
    <w:rsid w:val="002F5990"/>
    <w:rsid w:val="003025F0"/>
    <w:rsid w:val="0030342A"/>
    <w:rsid w:val="003133A9"/>
    <w:rsid w:val="00315C8E"/>
    <w:rsid w:val="00321F79"/>
    <w:rsid w:val="0032398D"/>
    <w:rsid w:val="00334C85"/>
    <w:rsid w:val="00345276"/>
    <w:rsid w:val="003525D0"/>
    <w:rsid w:val="0036089E"/>
    <w:rsid w:val="00364146"/>
    <w:rsid w:val="003661A3"/>
    <w:rsid w:val="003700B3"/>
    <w:rsid w:val="0037699B"/>
    <w:rsid w:val="003834C8"/>
    <w:rsid w:val="00392BA6"/>
    <w:rsid w:val="003A1EF6"/>
    <w:rsid w:val="003A6082"/>
    <w:rsid w:val="003A7EB5"/>
    <w:rsid w:val="003B174D"/>
    <w:rsid w:val="003B20C1"/>
    <w:rsid w:val="003D6451"/>
    <w:rsid w:val="003E22D5"/>
    <w:rsid w:val="003E4DFD"/>
    <w:rsid w:val="00402A68"/>
    <w:rsid w:val="00432F09"/>
    <w:rsid w:val="00433173"/>
    <w:rsid w:val="00436931"/>
    <w:rsid w:val="004422CA"/>
    <w:rsid w:val="00445490"/>
    <w:rsid w:val="004645CC"/>
    <w:rsid w:val="00480577"/>
    <w:rsid w:val="00481B27"/>
    <w:rsid w:val="00482A75"/>
    <w:rsid w:val="00483E4F"/>
    <w:rsid w:val="00486095"/>
    <w:rsid w:val="004A727E"/>
    <w:rsid w:val="004B16E3"/>
    <w:rsid w:val="004B6A45"/>
    <w:rsid w:val="004D04ED"/>
    <w:rsid w:val="004D443C"/>
    <w:rsid w:val="004D6E39"/>
    <w:rsid w:val="004E57AC"/>
    <w:rsid w:val="00500B09"/>
    <w:rsid w:val="00515C91"/>
    <w:rsid w:val="005208F1"/>
    <w:rsid w:val="005217E7"/>
    <w:rsid w:val="00526598"/>
    <w:rsid w:val="00532844"/>
    <w:rsid w:val="00533FA7"/>
    <w:rsid w:val="0054311E"/>
    <w:rsid w:val="005543D2"/>
    <w:rsid w:val="00557419"/>
    <w:rsid w:val="00573C2A"/>
    <w:rsid w:val="00576276"/>
    <w:rsid w:val="00581B03"/>
    <w:rsid w:val="00586FB7"/>
    <w:rsid w:val="00587032"/>
    <w:rsid w:val="005A52E2"/>
    <w:rsid w:val="005A5423"/>
    <w:rsid w:val="005A55F4"/>
    <w:rsid w:val="005A6929"/>
    <w:rsid w:val="005C6810"/>
    <w:rsid w:val="005C6826"/>
    <w:rsid w:val="005D7D5C"/>
    <w:rsid w:val="005F03E1"/>
    <w:rsid w:val="00606579"/>
    <w:rsid w:val="00606BED"/>
    <w:rsid w:val="00614949"/>
    <w:rsid w:val="006275B1"/>
    <w:rsid w:val="00633993"/>
    <w:rsid w:val="006410C4"/>
    <w:rsid w:val="00645107"/>
    <w:rsid w:val="00653C3B"/>
    <w:rsid w:val="0066292B"/>
    <w:rsid w:val="00662CD9"/>
    <w:rsid w:val="006816BC"/>
    <w:rsid w:val="006B4DFC"/>
    <w:rsid w:val="006C148E"/>
    <w:rsid w:val="006C241A"/>
    <w:rsid w:val="006C46BB"/>
    <w:rsid w:val="006D19B1"/>
    <w:rsid w:val="006D3005"/>
    <w:rsid w:val="006D6329"/>
    <w:rsid w:val="006E5524"/>
    <w:rsid w:val="006E5881"/>
    <w:rsid w:val="006F678B"/>
    <w:rsid w:val="00703D3C"/>
    <w:rsid w:val="00721AD8"/>
    <w:rsid w:val="00723AC6"/>
    <w:rsid w:val="00726854"/>
    <w:rsid w:val="007301CE"/>
    <w:rsid w:val="007332C8"/>
    <w:rsid w:val="00733FE4"/>
    <w:rsid w:val="00736A76"/>
    <w:rsid w:val="00757948"/>
    <w:rsid w:val="007611A0"/>
    <w:rsid w:val="00767413"/>
    <w:rsid w:val="007702E5"/>
    <w:rsid w:val="007745F7"/>
    <w:rsid w:val="00774FCC"/>
    <w:rsid w:val="0078504B"/>
    <w:rsid w:val="007A23B1"/>
    <w:rsid w:val="007A2C84"/>
    <w:rsid w:val="007A6575"/>
    <w:rsid w:val="007B4F0E"/>
    <w:rsid w:val="007D2550"/>
    <w:rsid w:val="007F13DA"/>
    <w:rsid w:val="007F4E3C"/>
    <w:rsid w:val="007F6187"/>
    <w:rsid w:val="007F6BB4"/>
    <w:rsid w:val="00810065"/>
    <w:rsid w:val="0081487A"/>
    <w:rsid w:val="00822D6F"/>
    <w:rsid w:val="00827592"/>
    <w:rsid w:val="00827730"/>
    <w:rsid w:val="00835A12"/>
    <w:rsid w:val="008441E7"/>
    <w:rsid w:val="00854CAE"/>
    <w:rsid w:val="00856934"/>
    <w:rsid w:val="00861615"/>
    <w:rsid w:val="008718E4"/>
    <w:rsid w:val="008725E9"/>
    <w:rsid w:val="00874A3F"/>
    <w:rsid w:val="008770BC"/>
    <w:rsid w:val="00893F47"/>
    <w:rsid w:val="008A16F2"/>
    <w:rsid w:val="008B3ABC"/>
    <w:rsid w:val="008B3E79"/>
    <w:rsid w:val="008D2912"/>
    <w:rsid w:val="008E2EA0"/>
    <w:rsid w:val="00904907"/>
    <w:rsid w:val="00912201"/>
    <w:rsid w:val="0091438F"/>
    <w:rsid w:val="00936D70"/>
    <w:rsid w:val="0094384B"/>
    <w:rsid w:val="00943FBB"/>
    <w:rsid w:val="00963CDA"/>
    <w:rsid w:val="00977ECB"/>
    <w:rsid w:val="00982058"/>
    <w:rsid w:val="0098328B"/>
    <w:rsid w:val="009931EC"/>
    <w:rsid w:val="009A05EA"/>
    <w:rsid w:val="009A5B70"/>
    <w:rsid w:val="009A611E"/>
    <w:rsid w:val="009A63BA"/>
    <w:rsid w:val="009A696E"/>
    <w:rsid w:val="009F4119"/>
    <w:rsid w:val="009F61F0"/>
    <w:rsid w:val="00A00453"/>
    <w:rsid w:val="00A05ABD"/>
    <w:rsid w:val="00A16439"/>
    <w:rsid w:val="00A24A03"/>
    <w:rsid w:val="00A33868"/>
    <w:rsid w:val="00A3762D"/>
    <w:rsid w:val="00A4706A"/>
    <w:rsid w:val="00A534F8"/>
    <w:rsid w:val="00A57E62"/>
    <w:rsid w:val="00A621F3"/>
    <w:rsid w:val="00A622FD"/>
    <w:rsid w:val="00A656FD"/>
    <w:rsid w:val="00A65FCF"/>
    <w:rsid w:val="00A776B3"/>
    <w:rsid w:val="00A81EE0"/>
    <w:rsid w:val="00AA0AEA"/>
    <w:rsid w:val="00AB4CD7"/>
    <w:rsid w:val="00AC0F6D"/>
    <w:rsid w:val="00AC2A65"/>
    <w:rsid w:val="00AC3164"/>
    <w:rsid w:val="00AD7266"/>
    <w:rsid w:val="00AE037B"/>
    <w:rsid w:val="00AE2707"/>
    <w:rsid w:val="00AE32C2"/>
    <w:rsid w:val="00B00B32"/>
    <w:rsid w:val="00B07AF6"/>
    <w:rsid w:val="00B1114C"/>
    <w:rsid w:val="00B14438"/>
    <w:rsid w:val="00B237B3"/>
    <w:rsid w:val="00B24C4E"/>
    <w:rsid w:val="00B24ECB"/>
    <w:rsid w:val="00B27B8C"/>
    <w:rsid w:val="00B3155F"/>
    <w:rsid w:val="00B35C00"/>
    <w:rsid w:val="00B51BB3"/>
    <w:rsid w:val="00B51F09"/>
    <w:rsid w:val="00B6580E"/>
    <w:rsid w:val="00B826EC"/>
    <w:rsid w:val="00B909DA"/>
    <w:rsid w:val="00BA0F03"/>
    <w:rsid w:val="00BA1B8D"/>
    <w:rsid w:val="00BD32CA"/>
    <w:rsid w:val="00BE4D82"/>
    <w:rsid w:val="00BF0119"/>
    <w:rsid w:val="00C02D90"/>
    <w:rsid w:val="00C10AF1"/>
    <w:rsid w:val="00C117FA"/>
    <w:rsid w:val="00C1374C"/>
    <w:rsid w:val="00C14296"/>
    <w:rsid w:val="00C17F97"/>
    <w:rsid w:val="00C20AD0"/>
    <w:rsid w:val="00C56B86"/>
    <w:rsid w:val="00C777DD"/>
    <w:rsid w:val="00C77A72"/>
    <w:rsid w:val="00C800D2"/>
    <w:rsid w:val="00C8245B"/>
    <w:rsid w:val="00C87C0C"/>
    <w:rsid w:val="00C91F7C"/>
    <w:rsid w:val="00C94D77"/>
    <w:rsid w:val="00CC24B7"/>
    <w:rsid w:val="00CC2BC0"/>
    <w:rsid w:val="00CD004D"/>
    <w:rsid w:val="00CE3D53"/>
    <w:rsid w:val="00CE7D16"/>
    <w:rsid w:val="00CF2511"/>
    <w:rsid w:val="00CF33B7"/>
    <w:rsid w:val="00D1056C"/>
    <w:rsid w:val="00D24301"/>
    <w:rsid w:val="00D26D48"/>
    <w:rsid w:val="00D35F36"/>
    <w:rsid w:val="00D634F4"/>
    <w:rsid w:val="00D70A4C"/>
    <w:rsid w:val="00D84579"/>
    <w:rsid w:val="00D87949"/>
    <w:rsid w:val="00DA1246"/>
    <w:rsid w:val="00DA1E7A"/>
    <w:rsid w:val="00DB0FDC"/>
    <w:rsid w:val="00DB27EB"/>
    <w:rsid w:val="00DB502D"/>
    <w:rsid w:val="00DB6BC5"/>
    <w:rsid w:val="00DC323D"/>
    <w:rsid w:val="00DD0ADD"/>
    <w:rsid w:val="00DD4393"/>
    <w:rsid w:val="00DD514A"/>
    <w:rsid w:val="00DF16FD"/>
    <w:rsid w:val="00E0332B"/>
    <w:rsid w:val="00E17D76"/>
    <w:rsid w:val="00E256F9"/>
    <w:rsid w:val="00E25FF2"/>
    <w:rsid w:val="00E37B09"/>
    <w:rsid w:val="00E616A8"/>
    <w:rsid w:val="00E70047"/>
    <w:rsid w:val="00E71FF5"/>
    <w:rsid w:val="00EA25DD"/>
    <w:rsid w:val="00ED1FE3"/>
    <w:rsid w:val="00ED247C"/>
    <w:rsid w:val="00ED53D3"/>
    <w:rsid w:val="00EE05B4"/>
    <w:rsid w:val="00EE0BCB"/>
    <w:rsid w:val="00EE5DD0"/>
    <w:rsid w:val="00EF26DD"/>
    <w:rsid w:val="00EF70F7"/>
    <w:rsid w:val="00F00BA8"/>
    <w:rsid w:val="00F02643"/>
    <w:rsid w:val="00F05988"/>
    <w:rsid w:val="00F16ED2"/>
    <w:rsid w:val="00F223CA"/>
    <w:rsid w:val="00F23045"/>
    <w:rsid w:val="00F26849"/>
    <w:rsid w:val="00F352A3"/>
    <w:rsid w:val="00F36D70"/>
    <w:rsid w:val="00F474CA"/>
    <w:rsid w:val="00F508B9"/>
    <w:rsid w:val="00F721B4"/>
    <w:rsid w:val="00F84A99"/>
    <w:rsid w:val="00F9320E"/>
    <w:rsid w:val="00F93B40"/>
    <w:rsid w:val="00F97159"/>
    <w:rsid w:val="00FA0DA7"/>
    <w:rsid w:val="00FA664C"/>
    <w:rsid w:val="00FC18EA"/>
    <w:rsid w:val="00FC4EE8"/>
    <w:rsid w:val="00FC75CF"/>
    <w:rsid w:val="00FD322E"/>
    <w:rsid w:val="00FE0683"/>
    <w:rsid w:val="00FE6C53"/>
    <w:rsid w:val="00FF289C"/>
    <w:rsid w:val="00FF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EDDCF5"/>
  <w15:chartTrackingRefBased/>
  <w15:docId w15:val="{E09DA690-9D32-458C-8746-CF5A03A9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CDA"/>
    <w:pPr>
      <w:jc w:val="both"/>
    </w:pPr>
    <w:rPr>
      <w:rFonts w:ascii="Times New Roman" w:hAnsi="Times New Roman"/>
      <w:kern w:val="0"/>
      <w:sz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3CDA"/>
    <w:rPr>
      <w:sz w:val="16"/>
      <w:szCs w:val="16"/>
    </w:rPr>
  </w:style>
  <w:style w:type="paragraph" w:styleId="CommentText">
    <w:name w:val="annotation text"/>
    <w:basedOn w:val="Normal"/>
    <w:link w:val="CommentTextChar"/>
    <w:uiPriority w:val="99"/>
    <w:semiHidden/>
    <w:unhideWhenUsed/>
    <w:rsid w:val="00963CDA"/>
    <w:pPr>
      <w:spacing w:line="240" w:lineRule="auto"/>
    </w:pPr>
    <w:rPr>
      <w:sz w:val="20"/>
      <w:szCs w:val="20"/>
    </w:rPr>
  </w:style>
  <w:style w:type="character" w:customStyle="1" w:styleId="CommentTextChar">
    <w:name w:val="Comment Text Char"/>
    <w:basedOn w:val="DefaultParagraphFont"/>
    <w:link w:val="CommentText"/>
    <w:uiPriority w:val="99"/>
    <w:semiHidden/>
    <w:rsid w:val="00963CDA"/>
    <w:rPr>
      <w:rFonts w:ascii="Times New Roman" w:hAnsi="Times New Roman"/>
      <w:kern w:val="0"/>
      <w:sz w:val="20"/>
      <w:szCs w:val="20"/>
      <w:lang w:val="en-GB"/>
      <w14:ligatures w14:val="none"/>
    </w:rPr>
  </w:style>
  <w:style w:type="paragraph" w:customStyle="1" w:styleId="Default">
    <w:name w:val="Default"/>
    <w:link w:val="DefaultChar"/>
    <w:qFormat/>
    <w:rsid w:val="00963CDA"/>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DefaultChar">
    <w:name w:val="Default Char"/>
    <w:link w:val="Default"/>
    <w:locked/>
    <w:rsid w:val="00963CDA"/>
    <w:rPr>
      <w:rFonts w:ascii="Times New Roman" w:hAnsi="Times New Roman" w:cs="Times New Roman"/>
      <w:color w:val="000000"/>
      <w:kern w:val="0"/>
      <w:sz w:val="24"/>
      <w:szCs w:val="24"/>
      <w:lang w:val="en-GB"/>
      <w14:ligatures w14:val="none"/>
    </w:rPr>
  </w:style>
  <w:style w:type="table" w:customStyle="1" w:styleId="TableGrid2">
    <w:name w:val="Table Grid2"/>
    <w:basedOn w:val="TableNormal"/>
    <w:next w:val="TableGrid"/>
    <w:uiPriority w:val="39"/>
    <w:qFormat/>
    <w:rsid w:val="00963CDA"/>
    <w:pPr>
      <w:spacing w:after="0" w:line="240" w:lineRule="auto"/>
    </w:pPr>
    <w:rPr>
      <w:rFonts w:ascii="Times New Roman" w:eastAsia="SimSu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uiPriority w:val="39"/>
    <w:rsid w:val="00963CDA"/>
    <w:pPr>
      <w:spacing w:after="0" w:line="240" w:lineRule="auto"/>
    </w:pPr>
    <w:rPr>
      <w:rFonts w:ascii="Times New Roman" w:eastAsia="Calibri"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rsid w:val="00963CDA"/>
    <w:pPr>
      <w:spacing w:after="0" w:line="240" w:lineRule="auto"/>
    </w:pPr>
    <w:rPr>
      <w:rFonts w:ascii="Times New Roman" w:eastAsia="Calibri"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63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42BE6"/>
    <w:rPr>
      <w:b/>
      <w:bCs/>
    </w:rPr>
  </w:style>
  <w:style w:type="character" w:customStyle="1" w:styleId="CommentSubjectChar">
    <w:name w:val="Comment Subject Char"/>
    <w:basedOn w:val="CommentTextChar"/>
    <w:link w:val="CommentSubject"/>
    <w:uiPriority w:val="99"/>
    <w:semiHidden/>
    <w:rsid w:val="00042BE6"/>
    <w:rPr>
      <w:rFonts w:ascii="Times New Roman" w:hAnsi="Times New Roman"/>
      <w:b/>
      <w:bCs/>
      <w:kern w:val="0"/>
      <w:sz w:val="20"/>
      <w:szCs w:val="20"/>
      <w:lang w:val="en-GB"/>
      <w14:ligatures w14:val="none"/>
    </w:rPr>
  </w:style>
  <w:style w:type="character" w:styleId="PlaceholderText">
    <w:name w:val="Placeholder Text"/>
    <w:basedOn w:val="DefaultParagraphFont"/>
    <w:uiPriority w:val="99"/>
    <w:semiHidden/>
    <w:rsid w:val="00DC323D"/>
    <w:rPr>
      <w:color w:val="666666"/>
    </w:rPr>
  </w:style>
  <w:style w:type="paragraph" w:styleId="Header">
    <w:name w:val="header"/>
    <w:basedOn w:val="Normal"/>
    <w:link w:val="HeaderChar"/>
    <w:uiPriority w:val="99"/>
    <w:unhideWhenUsed/>
    <w:rsid w:val="00C82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45B"/>
    <w:rPr>
      <w:rFonts w:ascii="Times New Roman" w:hAnsi="Times New Roman"/>
      <w:kern w:val="0"/>
      <w:sz w:val="24"/>
      <w:lang w:val="en-GB"/>
      <w14:ligatures w14:val="none"/>
    </w:rPr>
  </w:style>
  <w:style w:type="paragraph" w:styleId="Footer">
    <w:name w:val="footer"/>
    <w:basedOn w:val="Normal"/>
    <w:link w:val="FooterChar"/>
    <w:uiPriority w:val="99"/>
    <w:unhideWhenUsed/>
    <w:rsid w:val="00C82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45B"/>
    <w:rPr>
      <w:rFonts w:ascii="Times New Roman" w:hAnsi="Times New Roman"/>
      <w:kern w:val="0"/>
      <w:sz w:val="24"/>
      <w:lang w:val="en-GB"/>
      <w14:ligatures w14:val="none"/>
    </w:rPr>
  </w:style>
  <w:style w:type="table" w:customStyle="1" w:styleId="TableGrid1">
    <w:name w:val="Table Grid1"/>
    <w:basedOn w:val="TableNormal"/>
    <w:next w:val="TableGrid"/>
    <w:uiPriority w:val="59"/>
    <w:qFormat/>
    <w:rsid w:val="00C824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C8245B"/>
    <w:pPr>
      <w:spacing w:after="0" w:line="240" w:lineRule="auto"/>
    </w:pPr>
    <w:rPr>
      <w:rFonts w:ascii="Times New Roman" w:eastAsia="Calibri"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14296"/>
    <w:rPr>
      <w:rFonts w:cs="Times New Roman"/>
      <w:szCs w:val="24"/>
    </w:rPr>
  </w:style>
  <w:style w:type="character" w:styleId="Hyperlink">
    <w:name w:val="Hyperlink"/>
    <w:basedOn w:val="DefaultParagraphFont"/>
    <w:uiPriority w:val="99"/>
    <w:unhideWhenUsed/>
    <w:rsid w:val="00C14296"/>
    <w:rPr>
      <w:color w:val="0563C1" w:themeColor="hyperlink"/>
      <w:u w:val="single"/>
    </w:rPr>
  </w:style>
  <w:style w:type="character" w:customStyle="1" w:styleId="UnresolvedMention">
    <w:name w:val="Unresolved Mention"/>
    <w:basedOn w:val="DefaultParagraphFont"/>
    <w:uiPriority w:val="99"/>
    <w:semiHidden/>
    <w:unhideWhenUsed/>
    <w:rsid w:val="00C14296"/>
    <w:rPr>
      <w:color w:val="605E5C"/>
      <w:shd w:val="clear" w:color="auto" w:fill="E1DFDD"/>
    </w:rPr>
  </w:style>
  <w:style w:type="paragraph" w:styleId="ListParagraph">
    <w:name w:val="List Paragraph"/>
    <w:basedOn w:val="Normal"/>
    <w:uiPriority w:val="34"/>
    <w:qFormat/>
    <w:rsid w:val="00856934"/>
    <w:pPr>
      <w:ind w:left="720"/>
      <w:contextualSpacing/>
    </w:pPr>
  </w:style>
  <w:style w:type="character" w:styleId="Strong">
    <w:name w:val="Strong"/>
    <w:basedOn w:val="DefaultParagraphFont"/>
    <w:uiPriority w:val="22"/>
    <w:qFormat/>
    <w:rsid w:val="00025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4430">
      <w:bodyDiv w:val="1"/>
      <w:marLeft w:val="0"/>
      <w:marRight w:val="0"/>
      <w:marTop w:val="0"/>
      <w:marBottom w:val="0"/>
      <w:divBdr>
        <w:top w:val="none" w:sz="0" w:space="0" w:color="auto"/>
        <w:left w:val="none" w:sz="0" w:space="0" w:color="auto"/>
        <w:bottom w:val="none" w:sz="0" w:space="0" w:color="auto"/>
        <w:right w:val="none" w:sz="0" w:space="0" w:color="auto"/>
      </w:divBdr>
    </w:div>
    <w:div w:id="32659797">
      <w:bodyDiv w:val="1"/>
      <w:marLeft w:val="0"/>
      <w:marRight w:val="0"/>
      <w:marTop w:val="0"/>
      <w:marBottom w:val="0"/>
      <w:divBdr>
        <w:top w:val="none" w:sz="0" w:space="0" w:color="auto"/>
        <w:left w:val="none" w:sz="0" w:space="0" w:color="auto"/>
        <w:bottom w:val="none" w:sz="0" w:space="0" w:color="auto"/>
        <w:right w:val="none" w:sz="0" w:space="0" w:color="auto"/>
      </w:divBdr>
    </w:div>
    <w:div w:id="42759037">
      <w:bodyDiv w:val="1"/>
      <w:marLeft w:val="0"/>
      <w:marRight w:val="0"/>
      <w:marTop w:val="0"/>
      <w:marBottom w:val="0"/>
      <w:divBdr>
        <w:top w:val="none" w:sz="0" w:space="0" w:color="auto"/>
        <w:left w:val="none" w:sz="0" w:space="0" w:color="auto"/>
        <w:bottom w:val="none" w:sz="0" w:space="0" w:color="auto"/>
        <w:right w:val="none" w:sz="0" w:space="0" w:color="auto"/>
      </w:divBdr>
    </w:div>
    <w:div w:id="294262677">
      <w:bodyDiv w:val="1"/>
      <w:marLeft w:val="0"/>
      <w:marRight w:val="0"/>
      <w:marTop w:val="0"/>
      <w:marBottom w:val="0"/>
      <w:divBdr>
        <w:top w:val="none" w:sz="0" w:space="0" w:color="auto"/>
        <w:left w:val="none" w:sz="0" w:space="0" w:color="auto"/>
        <w:bottom w:val="none" w:sz="0" w:space="0" w:color="auto"/>
        <w:right w:val="none" w:sz="0" w:space="0" w:color="auto"/>
      </w:divBdr>
    </w:div>
    <w:div w:id="419840332">
      <w:bodyDiv w:val="1"/>
      <w:marLeft w:val="0"/>
      <w:marRight w:val="0"/>
      <w:marTop w:val="0"/>
      <w:marBottom w:val="0"/>
      <w:divBdr>
        <w:top w:val="none" w:sz="0" w:space="0" w:color="auto"/>
        <w:left w:val="none" w:sz="0" w:space="0" w:color="auto"/>
        <w:bottom w:val="none" w:sz="0" w:space="0" w:color="auto"/>
        <w:right w:val="none" w:sz="0" w:space="0" w:color="auto"/>
      </w:divBdr>
    </w:div>
    <w:div w:id="486365994">
      <w:bodyDiv w:val="1"/>
      <w:marLeft w:val="0"/>
      <w:marRight w:val="0"/>
      <w:marTop w:val="0"/>
      <w:marBottom w:val="0"/>
      <w:divBdr>
        <w:top w:val="none" w:sz="0" w:space="0" w:color="auto"/>
        <w:left w:val="none" w:sz="0" w:space="0" w:color="auto"/>
        <w:bottom w:val="none" w:sz="0" w:space="0" w:color="auto"/>
        <w:right w:val="none" w:sz="0" w:space="0" w:color="auto"/>
      </w:divBdr>
    </w:div>
    <w:div w:id="653801516">
      <w:bodyDiv w:val="1"/>
      <w:marLeft w:val="0"/>
      <w:marRight w:val="0"/>
      <w:marTop w:val="0"/>
      <w:marBottom w:val="0"/>
      <w:divBdr>
        <w:top w:val="none" w:sz="0" w:space="0" w:color="auto"/>
        <w:left w:val="none" w:sz="0" w:space="0" w:color="auto"/>
        <w:bottom w:val="none" w:sz="0" w:space="0" w:color="auto"/>
        <w:right w:val="none" w:sz="0" w:space="0" w:color="auto"/>
      </w:divBdr>
    </w:div>
    <w:div w:id="676232933">
      <w:bodyDiv w:val="1"/>
      <w:marLeft w:val="0"/>
      <w:marRight w:val="0"/>
      <w:marTop w:val="0"/>
      <w:marBottom w:val="0"/>
      <w:divBdr>
        <w:top w:val="none" w:sz="0" w:space="0" w:color="auto"/>
        <w:left w:val="none" w:sz="0" w:space="0" w:color="auto"/>
        <w:bottom w:val="none" w:sz="0" w:space="0" w:color="auto"/>
        <w:right w:val="none" w:sz="0" w:space="0" w:color="auto"/>
      </w:divBdr>
    </w:div>
    <w:div w:id="858081758">
      <w:bodyDiv w:val="1"/>
      <w:marLeft w:val="0"/>
      <w:marRight w:val="0"/>
      <w:marTop w:val="0"/>
      <w:marBottom w:val="0"/>
      <w:divBdr>
        <w:top w:val="none" w:sz="0" w:space="0" w:color="auto"/>
        <w:left w:val="none" w:sz="0" w:space="0" w:color="auto"/>
        <w:bottom w:val="none" w:sz="0" w:space="0" w:color="auto"/>
        <w:right w:val="none" w:sz="0" w:space="0" w:color="auto"/>
      </w:divBdr>
    </w:div>
    <w:div w:id="913900709">
      <w:bodyDiv w:val="1"/>
      <w:marLeft w:val="0"/>
      <w:marRight w:val="0"/>
      <w:marTop w:val="0"/>
      <w:marBottom w:val="0"/>
      <w:divBdr>
        <w:top w:val="none" w:sz="0" w:space="0" w:color="auto"/>
        <w:left w:val="none" w:sz="0" w:space="0" w:color="auto"/>
        <w:bottom w:val="none" w:sz="0" w:space="0" w:color="auto"/>
        <w:right w:val="none" w:sz="0" w:space="0" w:color="auto"/>
      </w:divBdr>
    </w:div>
    <w:div w:id="917401277">
      <w:bodyDiv w:val="1"/>
      <w:marLeft w:val="0"/>
      <w:marRight w:val="0"/>
      <w:marTop w:val="0"/>
      <w:marBottom w:val="0"/>
      <w:divBdr>
        <w:top w:val="none" w:sz="0" w:space="0" w:color="auto"/>
        <w:left w:val="none" w:sz="0" w:space="0" w:color="auto"/>
        <w:bottom w:val="none" w:sz="0" w:space="0" w:color="auto"/>
        <w:right w:val="none" w:sz="0" w:space="0" w:color="auto"/>
      </w:divBdr>
      <w:divsChild>
        <w:div w:id="38094277">
          <w:marLeft w:val="0"/>
          <w:marRight w:val="0"/>
          <w:marTop w:val="0"/>
          <w:marBottom w:val="0"/>
          <w:divBdr>
            <w:top w:val="none" w:sz="0" w:space="0" w:color="auto"/>
            <w:left w:val="none" w:sz="0" w:space="0" w:color="auto"/>
            <w:bottom w:val="none" w:sz="0" w:space="0" w:color="auto"/>
            <w:right w:val="none" w:sz="0" w:space="0" w:color="auto"/>
          </w:divBdr>
          <w:divsChild>
            <w:div w:id="232661932">
              <w:marLeft w:val="0"/>
              <w:marRight w:val="0"/>
              <w:marTop w:val="0"/>
              <w:marBottom w:val="0"/>
              <w:divBdr>
                <w:top w:val="none" w:sz="0" w:space="0" w:color="auto"/>
                <w:left w:val="none" w:sz="0" w:space="0" w:color="auto"/>
                <w:bottom w:val="none" w:sz="0" w:space="0" w:color="auto"/>
                <w:right w:val="none" w:sz="0" w:space="0" w:color="auto"/>
              </w:divBdr>
              <w:divsChild>
                <w:div w:id="873539290">
                  <w:marLeft w:val="0"/>
                  <w:marRight w:val="0"/>
                  <w:marTop w:val="0"/>
                  <w:marBottom w:val="0"/>
                  <w:divBdr>
                    <w:top w:val="none" w:sz="0" w:space="0" w:color="auto"/>
                    <w:left w:val="none" w:sz="0" w:space="0" w:color="auto"/>
                    <w:bottom w:val="none" w:sz="0" w:space="0" w:color="auto"/>
                    <w:right w:val="none" w:sz="0" w:space="0" w:color="auto"/>
                  </w:divBdr>
                  <w:divsChild>
                    <w:div w:id="759715570">
                      <w:marLeft w:val="0"/>
                      <w:marRight w:val="0"/>
                      <w:marTop w:val="0"/>
                      <w:marBottom w:val="0"/>
                      <w:divBdr>
                        <w:top w:val="none" w:sz="0" w:space="0" w:color="auto"/>
                        <w:left w:val="none" w:sz="0" w:space="0" w:color="auto"/>
                        <w:bottom w:val="none" w:sz="0" w:space="0" w:color="auto"/>
                        <w:right w:val="none" w:sz="0" w:space="0" w:color="auto"/>
                      </w:divBdr>
                      <w:divsChild>
                        <w:div w:id="1853645852">
                          <w:marLeft w:val="0"/>
                          <w:marRight w:val="0"/>
                          <w:marTop w:val="0"/>
                          <w:marBottom w:val="0"/>
                          <w:divBdr>
                            <w:top w:val="none" w:sz="0" w:space="0" w:color="auto"/>
                            <w:left w:val="none" w:sz="0" w:space="0" w:color="auto"/>
                            <w:bottom w:val="none" w:sz="0" w:space="0" w:color="auto"/>
                            <w:right w:val="none" w:sz="0" w:space="0" w:color="auto"/>
                          </w:divBdr>
                          <w:divsChild>
                            <w:div w:id="3886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02074">
      <w:bodyDiv w:val="1"/>
      <w:marLeft w:val="0"/>
      <w:marRight w:val="0"/>
      <w:marTop w:val="0"/>
      <w:marBottom w:val="0"/>
      <w:divBdr>
        <w:top w:val="none" w:sz="0" w:space="0" w:color="auto"/>
        <w:left w:val="none" w:sz="0" w:space="0" w:color="auto"/>
        <w:bottom w:val="none" w:sz="0" w:space="0" w:color="auto"/>
        <w:right w:val="none" w:sz="0" w:space="0" w:color="auto"/>
      </w:divBdr>
    </w:div>
    <w:div w:id="1157381400">
      <w:bodyDiv w:val="1"/>
      <w:marLeft w:val="0"/>
      <w:marRight w:val="0"/>
      <w:marTop w:val="0"/>
      <w:marBottom w:val="0"/>
      <w:divBdr>
        <w:top w:val="none" w:sz="0" w:space="0" w:color="auto"/>
        <w:left w:val="none" w:sz="0" w:space="0" w:color="auto"/>
        <w:bottom w:val="none" w:sz="0" w:space="0" w:color="auto"/>
        <w:right w:val="none" w:sz="0" w:space="0" w:color="auto"/>
      </w:divBdr>
      <w:divsChild>
        <w:div w:id="1118792999">
          <w:marLeft w:val="0"/>
          <w:marRight w:val="0"/>
          <w:marTop w:val="0"/>
          <w:marBottom w:val="0"/>
          <w:divBdr>
            <w:top w:val="none" w:sz="0" w:space="0" w:color="auto"/>
            <w:left w:val="none" w:sz="0" w:space="0" w:color="auto"/>
            <w:bottom w:val="none" w:sz="0" w:space="0" w:color="auto"/>
            <w:right w:val="none" w:sz="0" w:space="0" w:color="auto"/>
          </w:divBdr>
        </w:div>
        <w:div w:id="721100466">
          <w:marLeft w:val="0"/>
          <w:marRight w:val="0"/>
          <w:marTop w:val="0"/>
          <w:marBottom w:val="0"/>
          <w:divBdr>
            <w:top w:val="none" w:sz="0" w:space="0" w:color="auto"/>
            <w:left w:val="none" w:sz="0" w:space="0" w:color="auto"/>
            <w:bottom w:val="none" w:sz="0" w:space="0" w:color="auto"/>
            <w:right w:val="none" w:sz="0" w:space="0" w:color="auto"/>
          </w:divBdr>
        </w:div>
        <w:div w:id="290553023">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
        <w:div w:id="2124104497">
          <w:marLeft w:val="0"/>
          <w:marRight w:val="0"/>
          <w:marTop w:val="0"/>
          <w:marBottom w:val="0"/>
          <w:divBdr>
            <w:top w:val="none" w:sz="0" w:space="0" w:color="auto"/>
            <w:left w:val="none" w:sz="0" w:space="0" w:color="auto"/>
            <w:bottom w:val="none" w:sz="0" w:space="0" w:color="auto"/>
            <w:right w:val="none" w:sz="0" w:space="0" w:color="auto"/>
          </w:divBdr>
        </w:div>
      </w:divsChild>
    </w:div>
    <w:div w:id="1232884684">
      <w:bodyDiv w:val="1"/>
      <w:marLeft w:val="0"/>
      <w:marRight w:val="0"/>
      <w:marTop w:val="0"/>
      <w:marBottom w:val="0"/>
      <w:divBdr>
        <w:top w:val="none" w:sz="0" w:space="0" w:color="auto"/>
        <w:left w:val="none" w:sz="0" w:space="0" w:color="auto"/>
        <w:bottom w:val="none" w:sz="0" w:space="0" w:color="auto"/>
        <w:right w:val="none" w:sz="0" w:space="0" w:color="auto"/>
      </w:divBdr>
      <w:divsChild>
        <w:div w:id="710809086">
          <w:marLeft w:val="0"/>
          <w:marRight w:val="0"/>
          <w:marTop w:val="0"/>
          <w:marBottom w:val="0"/>
          <w:divBdr>
            <w:top w:val="none" w:sz="0" w:space="0" w:color="auto"/>
            <w:left w:val="none" w:sz="0" w:space="0" w:color="auto"/>
            <w:bottom w:val="none" w:sz="0" w:space="0" w:color="auto"/>
            <w:right w:val="none" w:sz="0" w:space="0" w:color="auto"/>
          </w:divBdr>
          <w:divsChild>
            <w:div w:id="1233851528">
              <w:marLeft w:val="0"/>
              <w:marRight w:val="0"/>
              <w:marTop w:val="0"/>
              <w:marBottom w:val="0"/>
              <w:divBdr>
                <w:top w:val="none" w:sz="0" w:space="0" w:color="auto"/>
                <w:left w:val="none" w:sz="0" w:space="0" w:color="auto"/>
                <w:bottom w:val="none" w:sz="0" w:space="0" w:color="auto"/>
                <w:right w:val="none" w:sz="0" w:space="0" w:color="auto"/>
              </w:divBdr>
              <w:divsChild>
                <w:div w:id="1547251737">
                  <w:marLeft w:val="0"/>
                  <w:marRight w:val="0"/>
                  <w:marTop w:val="0"/>
                  <w:marBottom w:val="0"/>
                  <w:divBdr>
                    <w:top w:val="none" w:sz="0" w:space="0" w:color="auto"/>
                    <w:left w:val="none" w:sz="0" w:space="0" w:color="auto"/>
                    <w:bottom w:val="none" w:sz="0" w:space="0" w:color="auto"/>
                    <w:right w:val="none" w:sz="0" w:space="0" w:color="auto"/>
                  </w:divBdr>
                  <w:divsChild>
                    <w:div w:id="341511001">
                      <w:marLeft w:val="0"/>
                      <w:marRight w:val="0"/>
                      <w:marTop w:val="0"/>
                      <w:marBottom w:val="0"/>
                      <w:divBdr>
                        <w:top w:val="none" w:sz="0" w:space="0" w:color="auto"/>
                        <w:left w:val="none" w:sz="0" w:space="0" w:color="auto"/>
                        <w:bottom w:val="none" w:sz="0" w:space="0" w:color="auto"/>
                        <w:right w:val="none" w:sz="0" w:space="0" w:color="auto"/>
                      </w:divBdr>
                      <w:divsChild>
                        <w:div w:id="112289272">
                          <w:marLeft w:val="0"/>
                          <w:marRight w:val="0"/>
                          <w:marTop w:val="0"/>
                          <w:marBottom w:val="0"/>
                          <w:divBdr>
                            <w:top w:val="none" w:sz="0" w:space="0" w:color="auto"/>
                            <w:left w:val="none" w:sz="0" w:space="0" w:color="auto"/>
                            <w:bottom w:val="none" w:sz="0" w:space="0" w:color="auto"/>
                            <w:right w:val="none" w:sz="0" w:space="0" w:color="auto"/>
                          </w:divBdr>
                          <w:divsChild>
                            <w:div w:id="11253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554796">
      <w:bodyDiv w:val="1"/>
      <w:marLeft w:val="0"/>
      <w:marRight w:val="0"/>
      <w:marTop w:val="0"/>
      <w:marBottom w:val="0"/>
      <w:divBdr>
        <w:top w:val="none" w:sz="0" w:space="0" w:color="auto"/>
        <w:left w:val="none" w:sz="0" w:space="0" w:color="auto"/>
        <w:bottom w:val="none" w:sz="0" w:space="0" w:color="auto"/>
        <w:right w:val="none" w:sz="0" w:space="0" w:color="auto"/>
      </w:divBdr>
    </w:div>
    <w:div w:id="1412195361">
      <w:bodyDiv w:val="1"/>
      <w:marLeft w:val="0"/>
      <w:marRight w:val="0"/>
      <w:marTop w:val="0"/>
      <w:marBottom w:val="0"/>
      <w:divBdr>
        <w:top w:val="none" w:sz="0" w:space="0" w:color="auto"/>
        <w:left w:val="none" w:sz="0" w:space="0" w:color="auto"/>
        <w:bottom w:val="none" w:sz="0" w:space="0" w:color="auto"/>
        <w:right w:val="none" w:sz="0" w:space="0" w:color="auto"/>
      </w:divBdr>
      <w:divsChild>
        <w:div w:id="1547452814">
          <w:marLeft w:val="0"/>
          <w:marRight w:val="0"/>
          <w:marTop w:val="0"/>
          <w:marBottom w:val="0"/>
          <w:divBdr>
            <w:top w:val="none" w:sz="0" w:space="0" w:color="auto"/>
            <w:left w:val="none" w:sz="0" w:space="0" w:color="auto"/>
            <w:bottom w:val="none" w:sz="0" w:space="0" w:color="auto"/>
            <w:right w:val="none" w:sz="0" w:space="0" w:color="auto"/>
          </w:divBdr>
        </w:div>
        <w:div w:id="1996759464">
          <w:marLeft w:val="0"/>
          <w:marRight w:val="0"/>
          <w:marTop w:val="0"/>
          <w:marBottom w:val="0"/>
          <w:divBdr>
            <w:top w:val="none" w:sz="0" w:space="0" w:color="auto"/>
            <w:left w:val="none" w:sz="0" w:space="0" w:color="auto"/>
            <w:bottom w:val="none" w:sz="0" w:space="0" w:color="auto"/>
            <w:right w:val="none" w:sz="0" w:space="0" w:color="auto"/>
          </w:divBdr>
        </w:div>
        <w:div w:id="1321883623">
          <w:marLeft w:val="0"/>
          <w:marRight w:val="0"/>
          <w:marTop w:val="0"/>
          <w:marBottom w:val="0"/>
          <w:divBdr>
            <w:top w:val="none" w:sz="0" w:space="0" w:color="auto"/>
            <w:left w:val="none" w:sz="0" w:space="0" w:color="auto"/>
            <w:bottom w:val="none" w:sz="0" w:space="0" w:color="auto"/>
            <w:right w:val="none" w:sz="0" w:space="0" w:color="auto"/>
          </w:divBdr>
        </w:div>
        <w:div w:id="1575168577">
          <w:marLeft w:val="0"/>
          <w:marRight w:val="0"/>
          <w:marTop w:val="0"/>
          <w:marBottom w:val="0"/>
          <w:divBdr>
            <w:top w:val="none" w:sz="0" w:space="0" w:color="auto"/>
            <w:left w:val="none" w:sz="0" w:space="0" w:color="auto"/>
            <w:bottom w:val="none" w:sz="0" w:space="0" w:color="auto"/>
            <w:right w:val="none" w:sz="0" w:space="0" w:color="auto"/>
          </w:divBdr>
        </w:div>
        <w:div w:id="31078773">
          <w:marLeft w:val="0"/>
          <w:marRight w:val="0"/>
          <w:marTop w:val="0"/>
          <w:marBottom w:val="0"/>
          <w:divBdr>
            <w:top w:val="none" w:sz="0" w:space="0" w:color="auto"/>
            <w:left w:val="none" w:sz="0" w:space="0" w:color="auto"/>
            <w:bottom w:val="none" w:sz="0" w:space="0" w:color="auto"/>
            <w:right w:val="none" w:sz="0" w:space="0" w:color="auto"/>
          </w:divBdr>
        </w:div>
      </w:divsChild>
    </w:div>
    <w:div w:id="1456407270">
      <w:bodyDiv w:val="1"/>
      <w:marLeft w:val="0"/>
      <w:marRight w:val="0"/>
      <w:marTop w:val="0"/>
      <w:marBottom w:val="0"/>
      <w:divBdr>
        <w:top w:val="none" w:sz="0" w:space="0" w:color="auto"/>
        <w:left w:val="none" w:sz="0" w:space="0" w:color="auto"/>
        <w:bottom w:val="none" w:sz="0" w:space="0" w:color="auto"/>
        <w:right w:val="none" w:sz="0" w:space="0" w:color="auto"/>
      </w:divBdr>
    </w:div>
    <w:div w:id="1522888712">
      <w:bodyDiv w:val="1"/>
      <w:marLeft w:val="0"/>
      <w:marRight w:val="0"/>
      <w:marTop w:val="0"/>
      <w:marBottom w:val="0"/>
      <w:divBdr>
        <w:top w:val="none" w:sz="0" w:space="0" w:color="auto"/>
        <w:left w:val="none" w:sz="0" w:space="0" w:color="auto"/>
        <w:bottom w:val="none" w:sz="0" w:space="0" w:color="auto"/>
        <w:right w:val="none" w:sz="0" w:space="0" w:color="auto"/>
      </w:divBdr>
    </w:div>
    <w:div w:id="1548181774">
      <w:bodyDiv w:val="1"/>
      <w:marLeft w:val="0"/>
      <w:marRight w:val="0"/>
      <w:marTop w:val="0"/>
      <w:marBottom w:val="0"/>
      <w:divBdr>
        <w:top w:val="none" w:sz="0" w:space="0" w:color="auto"/>
        <w:left w:val="none" w:sz="0" w:space="0" w:color="auto"/>
        <w:bottom w:val="none" w:sz="0" w:space="0" w:color="auto"/>
        <w:right w:val="none" w:sz="0" w:space="0" w:color="auto"/>
      </w:divBdr>
    </w:div>
    <w:div w:id="1731225865">
      <w:bodyDiv w:val="1"/>
      <w:marLeft w:val="0"/>
      <w:marRight w:val="0"/>
      <w:marTop w:val="0"/>
      <w:marBottom w:val="0"/>
      <w:divBdr>
        <w:top w:val="none" w:sz="0" w:space="0" w:color="auto"/>
        <w:left w:val="none" w:sz="0" w:space="0" w:color="auto"/>
        <w:bottom w:val="none" w:sz="0" w:space="0" w:color="auto"/>
        <w:right w:val="none" w:sz="0" w:space="0" w:color="auto"/>
      </w:divBdr>
    </w:div>
    <w:div w:id="2020697061">
      <w:bodyDiv w:val="1"/>
      <w:marLeft w:val="0"/>
      <w:marRight w:val="0"/>
      <w:marTop w:val="0"/>
      <w:marBottom w:val="0"/>
      <w:divBdr>
        <w:top w:val="none" w:sz="0" w:space="0" w:color="auto"/>
        <w:left w:val="none" w:sz="0" w:space="0" w:color="auto"/>
        <w:bottom w:val="none" w:sz="0" w:space="0" w:color="auto"/>
        <w:right w:val="none" w:sz="0" w:space="0" w:color="auto"/>
      </w:divBdr>
    </w:div>
    <w:div w:id="2055612839">
      <w:bodyDiv w:val="1"/>
      <w:marLeft w:val="0"/>
      <w:marRight w:val="0"/>
      <w:marTop w:val="0"/>
      <w:marBottom w:val="0"/>
      <w:divBdr>
        <w:top w:val="none" w:sz="0" w:space="0" w:color="auto"/>
        <w:left w:val="none" w:sz="0" w:space="0" w:color="auto"/>
        <w:bottom w:val="none" w:sz="0" w:space="0" w:color="auto"/>
        <w:right w:val="none" w:sz="0" w:space="0" w:color="auto"/>
      </w:divBdr>
    </w:div>
    <w:div w:id="214172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18</Pages>
  <Words>10517</Words>
  <Characters>59953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gyasi bannor</dc:creator>
  <cp:keywords/>
  <dc:description/>
  <cp:lastModifiedBy>SDI CPU 1127</cp:lastModifiedBy>
  <cp:revision>59</cp:revision>
  <dcterms:created xsi:type="dcterms:W3CDTF">2024-12-31T20:57:00Z</dcterms:created>
  <dcterms:modified xsi:type="dcterms:W3CDTF">2025-03-11T06:32:00Z</dcterms:modified>
</cp:coreProperties>
</file>