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381" w:rsidRPr="00CF3F90" w:rsidRDefault="00763C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 w:rsidRPr="00CF3F90">
        <w:pict w14:anchorId="0A82941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50pt;height:50pt;z-index:251656704;visibility:hidden">
            <o:lock v:ext="edit" selection="t"/>
          </v:shape>
        </w:pict>
      </w:r>
      <w:r w:rsidRPr="00CF3F90">
        <w:pict w14:anchorId="4E77D85F">
          <v:shape id="_x0000_s1027" type="#_x0000_t136" style="position:absolute;margin-left:0;margin-top:0;width:50pt;height:50pt;z-index:251657728;visibility:hidden">
            <o:lock v:ext="edit" selection="t"/>
          </v:shape>
        </w:pict>
      </w:r>
      <w:r w:rsidRPr="00CF3F90">
        <w:pict w14:anchorId="3A720597">
          <v:shape id="_x0000_s1026" type="#_x0000_t136" style="position:absolute;margin-left:0;margin-top:0;width:50pt;height:50pt;z-index:251658752;visibility:hidden">
            <o:lock v:ext="edit" selection="t"/>
          </v:shape>
        </w:pict>
      </w:r>
    </w:p>
    <w:p w:rsidR="00E36381" w:rsidRPr="00CF3F90" w:rsidRDefault="00763CFF">
      <w:pPr>
        <w:pStyle w:val="Title"/>
        <w:spacing w:after="0"/>
        <w:jc w:val="both"/>
        <w:rPr>
          <w:rFonts w:ascii="Arial" w:eastAsia="Arial" w:hAnsi="Arial" w:cs="Arial"/>
        </w:rPr>
      </w:pPr>
      <w:r w:rsidRPr="00CF3F90">
        <w:rPr>
          <w:rFonts w:ascii="Arial" w:eastAsia="Arial" w:hAnsi="Arial" w:cs="Arial"/>
        </w:rPr>
        <w:t>Case report</w:t>
      </w:r>
    </w:p>
    <w:p w:rsidR="00E36381" w:rsidRPr="00CF3F90" w:rsidRDefault="00E36381">
      <w:pPr>
        <w:pStyle w:val="Title"/>
        <w:spacing w:after="0"/>
        <w:jc w:val="both"/>
        <w:rPr>
          <w:rFonts w:ascii="Arial" w:eastAsia="Arial" w:hAnsi="Arial" w:cs="Arial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right"/>
        <w:rPr>
          <w:rFonts w:ascii="Times" w:eastAsia="Times" w:hAnsi="Times" w:cs="Times"/>
          <w:color w:val="000000"/>
        </w:rPr>
      </w:pPr>
      <w:r w:rsidRPr="00CF3F90">
        <w:rPr>
          <w:rFonts w:ascii="Arial" w:eastAsia="Arial" w:hAnsi="Arial" w:cs="Arial"/>
          <w:b/>
          <w:color w:val="000000"/>
          <w:sz w:val="36"/>
          <w:szCs w:val="36"/>
        </w:rPr>
        <w:t xml:space="preserve">A Rare Case of </w:t>
      </w:r>
      <w:proofErr w:type="spellStart"/>
      <w:r w:rsidRPr="00CF3F90">
        <w:rPr>
          <w:rFonts w:ascii="Arial" w:eastAsia="Arial" w:hAnsi="Arial" w:cs="Arial"/>
          <w:b/>
          <w:color w:val="000000"/>
          <w:sz w:val="36"/>
          <w:szCs w:val="36"/>
        </w:rPr>
        <w:t>Thymic</w:t>
      </w:r>
      <w:proofErr w:type="spellEnd"/>
      <w:r w:rsidRPr="00CF3F90">
        <w:rPr>
          <w:rFonts w:ascii="Arial" w:eastAsia="Arial" w:hAnsi="Arial" w:cs="Arial"/>
          <w:b/>
          <w:color w:val="000000"/>
          <w:sz w:val="36"/>
          <w:szCs w:val="36"/>
        </w:rPr>
        <w:t xml:space="preserve"> Cancer and Its Management: A Case Report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36"/>
          <w:szCs w:val="36"/>
        </w:rPr>
      </w:pP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  <w:sectPr w:rsidR="00E36381" w:rsidRPr="00CF3F9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2016" w:bottom="720" w:left="2016" w:header="720" w:footer="720" w:gutter="0"/>
          <w:pgNumType w:start="1"/>
          <w:cols w:space="720"/>
        </w:sectPr>
      </w:pPr>
      <w:r w:rsidRPr="00CF3F90">
        <w:rPr>
          <w:rFonts w:ascii="Arial" w:eastAsia="Arial" w:hAnsi="Arial" w:cs="Arial"/>
          <w:noProof/>
          <w:color w:val="000000"/>
          <w:sz w:val="16"/>
          <w:szCs w:val="16"/>
        </w:rPr>
        <mc:AlternateContent>
          <mc:Choice Requires="wps">
            <w:drawing>
              <wp:inline distT="0" distB="0" distL="0" distR="0">
                <wp:extent cx="0" cy="19050"/>
                <wp:effectExtent l="0" t="0" r="0" b="0"/>
                <wp:docPr id="1073741828" name="Straight Arrow Connector 1073741828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740024" y="3780000"/>
                          <a:ext cx="5211953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0" cy="19050"/>
                <wp:effectExtent b="0" l="0" r="0" t="0"/>
                <wp:docPr descr="Line" id="1073741828" name="image4.png"/>
                <a:graphic>
                  <a:graphicData uri="http://schemas.openxmlformats.org/drawingml/2006/picture">
                    <pic:pic>
                      <pic:nvPicPr>
                        <pic:cNvPr descr="Line"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RPr="00CF3F90">
        <w:rPr>
          <w:rFonts w:ascii="Arial" w:eastAsia="Arial" w:hAnsi="Arial" w:cs="Arial"/>
          <w:color w:val="000000"/>
          <w:sz w:val="16"/>
          <w:szCs w:val="16"/>
        </w:rPr>
        <w:t>.</w:t>
      </w:r>
    </w:p>
    <w:p w:rsidR="00E36381" w:rsidRPr="00CF3F90" w:rsidRDefault="00763CF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smallCaps/>
          <w:color w:val="000000"/>
        </w:rPr>
      </w:pPr>
      <w:r w:rsidRPr="00CF3F90">
        <w:rPr>
          <w:rFonts w:ascii="Arial" w:eastAsia="Arial" w:hAnsi="Arial" w:cs="Arial"/>
          <w:b/>
          <w:smallCaps/>
          <w:color w:val="000000"/>
          <w:sz w:val="22"/>
          <w:szCs w:val="22"/>
        </w:rPr>
        <w:t>A</w:t>
      </w:r>
      <w:r w:rsidRPr="00CF3F90">
        <w:rPr>
          <w:rFonts w:ascii="Helvetica Neue" w:eastAsia="Helvetica Neue" w:hAnsi="Helvetica Neue" w:cs="Helvetica Neue"/>
          <w:b/>
          <w:smallCaps/>
          <w:color w:val="000000"/>
          <w:sz w:val="22"/>
          <w:szCs w:val="22"/>
        </w:rPr>
        <w:t>bstract: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smallCaps/>
          <w:color w:val="000000"/>
        </w:rPr>
      </w:pPr>
    </w:p>
    <w:p w:rsidR="00E36381" w:rsidRPr="00CF3F90" w:rsidRDefault="00E36381">
      <w:pP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E36381">
      <w:pP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763CFF">
      <w:pPr>
        <w:jc w:val="both"/>
        <w:rPr>
          <w:rFonts w:ascii="Arial" w:eastAsia="Arial" w:hAnsi="Arial" w:cs="Arial"/>
          <w:sz w:val="20"/>
          <w:szCs w:val="20"/>
        </w:rPr>
      </w:pPr>
      <w:r w:rsidRPr="00CF3F90">
        <w:rPr>
          <w:rFonts w:ascii="Arial" w:eastAsia="Arial" w:hAnsi="Arial" w:cs="Arial"/>
          <w:sz w:val="20"/>
          <w:szCs w:val="20"/>
        </w:rPr>
        <w:t xml:space="preserve">The rare form of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cancer demonstrates high aggressiveness in its behavior. A 55-year-old male patient with stage III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 received extensive surgical treatment followed by cisplatin-etoposide chemotherapy. The patient received optimal tre</w:t>
      </w:r>
      <w:r w:rsidRPr="00CF3F90">
        <w:rPr>
          <w:rFonts w:ascii="Arial" w:eastAsia="Arial" w:hAnsi="Arial" w:cs="Arial"/>
          <w:sz w:val="20"/>
          <w:szCs w:val="20"/>
        </w:rPr>
        <w:t xml:space="preserve">atment from three medical disciplines composed of surgical teams alongside radiation specialists and medical oncologists. Follow-up monitoring should continue indefinitely because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 exhibits aggressive characteristics. The treatment of advan</w:t>
      </w:r>
      <w:r w:rsidRPr="00CF3F90">
        <w:rPr>
          <w:rFonts w:ascii="Arial" w:eastAsia="Arial" w:hAnsi="Arial" w:cs="Arial"/>
          <w:sz w:val="20"/>
          <w:szCs w:val="20"/>
        </w:rPr>
        <w:t xml:space="preserve">ced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 requires multiple treatment modalities which demonstrates their importance in this case.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</w:rPr>
      </w:pPr>
      <w:r w:rsidRPr="00CF3F90">
        <w:rPr>
          <w:rFonts w:ascii="Arial" w:eastAsia="Arial" w:hAnsi="Arial" w:cs="Arial"/>
          <w:i/>
          <w:color w:val="000000"/>
          <w:sz w:val="20"/>
          <w:szCs w:val="20"/>
        </w:rPr>
        <w:t xml:space="preserve">Keywords: </w:t>
      </w:r>
      <w:proofErr w:type="spellStart"/>
      <w:r w:rsidRPr="00CF3F90">
        <w:rPr>
          <w:rFonts w:ascii="Arial" w:eastAsia="Arial" w:hAnsi="Arial" w:cs="Arial"/>
          <w:i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i/>
          <w:color w:val="000000"/>
          <w:sz w:val="20"/>
          <w:szCs w:val="20"/>
        </w:rPr>
        <w:t xml:space="preserve"> carcinoma, Multimodal treatment, Surgical resection, Adjuvant</w:t>
      </w:r>
      <w:proofErr w:type="gramStart"/>
      <w:r w:rsidRPr="00CF3F90">
        <w:rPr>
          <w:rFonts w:ascii="Arial" w:eastAsia="Arial" w:hAnsi="Arial" w:cs="Arial"/>
          <w:i/>
          <w:color w:val="000000"/>
          <w:sz w:val="20"/>
          <w:szCs w:val="20"/>
        </w:rPr>
        <w:t>  chemotherapy</w:t>
      </w:r>
      <w:proofErr w:type="gramEnd"/>
      <w:r w:rsidRPr="00CF3F90">
        <w:rPr>
          <w:rFonts w:ascii="Arial" w:eastAsia="Arial" w:hAnsi="Arial" w:cs="Arial"/>
          <w:i/>
          <w:color w:val="000000"/>
          <w:sz w:val="20"/>
          <w:szCs w:val="20"/>
        </w:rPr>
        <w:t>,  Radiation  therapy, Multidisciplinary approach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18"/>
          <w:szCs w:val="18"/>
        </w:rPr>
      </w:pP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000000"/>
          <w:sz w:val="20"/>
          <w:szCs w:val="20"/>
        </w:rPr>
      </w:pPr>
    </w:p>
    <w:p w:rsidR="00E36381" w:rsidRPr="00CF3F90" w:rsidRDefault="00763CF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 w:rsidRPr="00CF3F90">
        <w:rPr>
          <w:rFonts w:ascii="Arial" w:eastAsia="Arial" w:hAnsi="Arial" w:cs="Arial"/>
          <w:b/>
          <w:smallCaps/>
          <w:color w:val="000000"/>
          <w:sz w:val="22"/>
          <w:szCs w:val="22"/>
        </w:rPr>
        <w:t>1. INTRODUCTION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" w:eastAsia="Times" w:hAnsi="Times" w:cs="Times"/>
          <w:color w:val="00000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The thymus gland, a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bilobed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structure situated in the anterior mediastinum, plays a pivotal role in the maturation and differentiation of T-lymphocytes, serving as the primary site for T-cell development.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is a rare and aggr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essive form of cancer originating from the epithelial cells of the thymus gland, characterized by capsular invasion and metastasis. This malignancy represents only 0.2 to 1.5% of all cancers and has an estimated incidence of between 0.13 and 0.32 per 100,0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00 individuals per year [1]. Histologically,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carcinomas are classified into various subtypes, including squamous cell carcinoma,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lymphoepithelioma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-like carcinoma, basaloid carcinoma,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mucoepidermoid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carcinoma, clear cell carcinoma, </w:t>
      </w:r>
      <w:proofErr w:type="spellStart"/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sarcomatoid</w:t>
      </w:r>
      <w:proofErr w:type="spellEnd"/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oma, and mixed small cell undifferentiated, and are typically characterized by epithelial cell atypia, a high nuclear-to-cytoplasmic ratio, necrosis, and keratinization [2]. The majority of patients with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carcinomas are between 40 and 60 years of age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and they often present with symptoms such as chest pain, shortness of breath, and persistent cough [3]. Ninety per cent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thymomas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carcinomas occur in the anterior mediastinum, and patients often present with advanced disease, with a 5-year s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urvival rate ranging from 30 to 50% [4].In this case report, we present a case of a </w:t>
      </w:r>
      <w:r w:rsidRPr="00CF3F90">
        <w:rPr>
          <w:rFonts w:ascii="Arial" w:eastAsia="Arial" w:hAnsi="Arial" w:cs="Arial"/>
          <w:sz w:val="20"/>
          <w:szCs w:val="20"/>
        </w:rPr>
        <w:t>55-year-old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male diagnosed with stage-III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</w:t>
      </w:r>
      <w:r w:rsidRPr="00CF3F90">
        <w:rPr>
          <w:color w:val="000000"/>
          <w:sz w:val="29"/>
          <w:szCs w:val="29"/>
        </w:rPr>
        <w:t>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763CF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 w:rsidRPr="00CF3F90">
        <w:rPr>
          <w:rFonts w:ascii="Arial" w:eastAsia="Arial" w:hAnsi="Arial" w:cs="Arial"/>
          <w:b/>
          <w:smallCaps/>
          <w:color w:val="000000"/>
          <w:sz w:val="22"/>
          <w:szCs w:val="22"/>
        </w:rPr>
        <w:t>2. Case presentation: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A 55-year-old male patient presented with symptoms of chest pain, shortness of breath, and a chronic cough that had persisted for the last three months. His medical history was unremarkable, except for a brief period of smoking in his twenties. The physica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l examination did not reveal any significant findings.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Imaging studies, including CT scan and X-Ray, were conducted, leading to the discovery of a large mediastinal mass. A biopsy of the mass revealed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grade III.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lastRenderedPageBreak/>
        <w:t>The imaging studies reveale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d an anterior mediastinal mass invading the left anterior chest wall, suggesting possible involvement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tissue, such as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thymoma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or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carcinoma. The presence of coarse calcifications, as shown in Figure 1, further supported this diagnosis. Lymp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homa was considered less likely, particularly in the absence of prior therapy. Additionally, mediastinal and left axillary lymphadenopathy were noted, while no evidence of </w:t>
      </w:r>
      <w:r w:rsidRPr="00CF3F90">
        <w:rPr>
          <w:rFonts w:ascii="Arial" w:eastAsia="Arial" w:hAnsi="Arial" w:cs="Arial"/>
          <w:sz w:val="20"/>
          <w:szCs w:val="20"/>
        </w:rPr>
        <w:t>metastatic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disease or lymphadenopathy in the abdomen or pelvis was observed.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211953" cy="5100948"/>
            <wp:effectExtent l="0" t="0" r="0" b="0"/>
            <wp:docPr id="1073741829" name="image3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mag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953" cy="51009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Figure 1: A chest X-ray showed an anterior mediastinal mass infiltrating the left anterior chest wall, suggestive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tissue involvement.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In the anterior mediastinum, a soft tissue mass with coarse calcifications, measuring 6.6 x 2.1 cm, was present.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This mass encased and narrowed the left innominate vein and the arch vessels at their origin, with </w:t>
      </w:r>
      <w:r w:rsidRPr="00CF3F90">
        <w:rPr>
          <w:rFonts w:ascii="Arial" w:eastAsia="Arial" w:hAnsi="Arial" w:cs="Arial"/>
          <w:sz w:val="20"/>
          <w:szCs w:val="20"/>
        </w:rPr>
        <w:t xml:space="preserve">a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broad abutment of the aortic arch. Furthermore, a component of the mass (3.5 x 2.1 cm) invaded the left anterior chest wall, possibly </w:t>
      </w:r>
      <w:r w:rsidRPr="00CF3F90">
        <w:rPr>
          <w:rFonts w:ascii="Arial" w:eastAsia="Arial" w:hAnsi="Arial" w:cs="Arial"/>
          <w:sz w:val="20"/>
          <w:szCs w:val="20"/>
        </w:rPr>
        <w:t>involving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the left p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ectoralis major muscle near its origin. Axillary and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subpectoral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lymphadenopathy were observed, with a larger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subpectoral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node measuring 2.6 x 1.2 cm. Soft tissue nodularity was noted throughout the middle mediastinum, along with a pericardial lesion/node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measuring 3.8 x 1.8 cm, as shown in Figure 2.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211953" cy="3874607"/>
            <wp:effectExtent l="0" t="0" r="0" b="0"/>
            <wp:docPr id="1073741830" name="image2.png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1953" cy="38746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Figure 2: A Computed Tomography (CT) scan illustrating an anterior mediastinal mass (blue arrows) infiltrating the left anterior chest wall. The presence of coarse calcifications suggested a high likelihood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of this mass being composed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tissue, possibly indicating a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thymoma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or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  <w:r w:rsidRPr="00CF3F90">
        <w:rPr>
          <w:rFonts w:ascii="Arial" w:eastAsia="Arial" w:hAnsi="Arial" w:cs="Arial"/>
          <w:sz w:val="20"/>
          <w:szCs w:val="20"/>
        </w:rPr>
        <w:t xml:space="preserve">Histopathological examination of the biopsy specimen revealed poorly differentiated squamous cell carcinoma of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origin. Grossly, the resected specimen measured 8.5 × 6.2 × 4.3 cm with irregular borders and areas of necrosis. Microscopically, the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tumo</w:t>
      </w:r>
      <w:r w:rsidRPr="00CF3F90">
        <w:rPr>
          <w:rFonts w:ascii="Arial" w:eastAsia="Arial" w:hAnsi="Arial" w:cs="Arial"/>
          <w:sz w:val="20"/>
          <w:szCs w:val="20"/>
        </w:rPr>
        <w:t>ur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showed sheets of atypical epithelial cells with prominent nucleoli, a high nuclear-to-cytoplasmic ratio, and frequent mitotic figures.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Immunohistochemical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staining was positive for p63, CD5, and cytokeratin, confirming the diagnosis of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squamous c</w:t>
      </w:r>
      <w:r w:rsidRPr="00CF3F90">
        <w:rPr>
          <w:rFonts w:ascii="Arial" w:eastAsia="Arial" w:hAnsi="Arial" w:cs="Arial"/>
          <w:sz w:val="20"/>
          <w:szCs w:val="20"/>
        </w:rPr>
        <w:t>ell carcinoma (WHO Type C). Areas of keratinization and focal calcification were also observed, consistent with the imaging findings.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sz w:val="20"/>
          <w:szCs w:val="20"/>
        </w:rPr>
      </w:pPr>
      <w:r w:rsidRPr="00CF3F90">
        <w:rPr>
          <w:rFonts w:ascii="Arial" w:eastAsia="Arial" w:hAnsi="Arial" w:cs="Arial"/>
          <w:noProof/>
          <w:sz w:val="20"/>
          <w:szCs w:val="20"/>
        </w:rPr>
        <w:drawing>
          <wp:inline distT="114300" distB="114300" distL="114300" distR="114300">
            <wp:extent cx="4068128" cy="2417078"/>
            <wp:effectExtent l="0" t="0" r="0" b="0"/>
            <wp:docPr id="107374183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8128" cy="2417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763CFF">
      <w:pPr>
        <w:spacing w:before="240" w:after="240"/>
        <w:jc w:val="both"/>
        <w:rPr>
          <w:rFonts w:ascii="Arial" w:eastAsia="Arial" w:hAnsi="Arial" w:cs="Arial"/>
          <w:sz w:val="20"/>
          <w:szCs w:val="20"/>
        </w:rPr>
      </w:pPr>
      <w:r w:rsidRPr="00CF3F90">
        <w:rPr>
          <w:rFonts w:ascii="Arial" w:eastAsia="Arial" w:hAnsi="Arial" w:cs="Arial"/>
          <w:sz w:val="20"/>
          <w:szCs w:val="20"/>
        </w:rPr>
        <w:lastRenderedPageBreak/>
        <w:t xml:space="preserve">Figure 3: Histopathological examination of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carcinoma. A) Hematoxylin and eosin (H&amp;E) staining showing sheets of poorly differentiated squamous cell carcinoma with prominent nucleoli, high nuclear-to-cytoplasmic ratio, and frequent mitotic figures (m</w:t>
      </w:r>
      <w:r w:rsidRPr="00CF3F90">
        <w:rPr>
          <w:rFonts w:ascii="Arial" w:eastAsia="Arial" w:hAnsi="Arial" w:cs="Arial"/>
          <w:sz w:val="20"/>
          <w:szCs w:val="20"/>
        </w:rPr>
        <w:t xml:space="preserve">agnification 200×). B) Area demonstrating keratinization and cellular atypia characteristic of squamous cell carcinoma of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origin (magnification 400×). C)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Immunohistochemical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staining showing strong positivity for p63, confirming the epithelial origi</w:t>
      </w:r>
      <w:r w:rsidRPr="00CF3F90">
        <w:rPr>
          <w:rFonts w:ascii="Arial" w:eastAsia="Arial" w:hAnsi="Arial" w:cs="Arial"/>
          <w:sz w:val="20"/>
          <w:szCs w:val="20"/>
        </w:rPr>
        <w:t xml:space="preserve">n of the tumor (magnification 200×). D) CD5 immunostaining demonstrating diffuse membrane positivity, supporting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epithelial origin (magnification 200×).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The case was reviewed during a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board meeting involving oncologists, thoracic surgeons, r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adiation therapists, and pathologists. They created an individualized intervention program for the patient. Due to the localized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advancement, a multidisciplinary approach was adopted, involving multiple surgical procedures, including a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thymectomy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d the resection of surrounding tissues, as much as possible. The goal was to remove the entire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>, necessitating the removal of the thymus and the surrounding tissues.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Postoperatively, the patient underwent adjuvant chemotherapy with a regimen tailored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to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CF3F90">
        <w:rPr>
          <w:rFonts w:ascii="Arial" w:eastAsia="Arial" w:hAnsi="Arial" w:cs="Arial"/>
          <w:sz w:val="20"/>
          <w:szCs w:val="20"/>
        </w:rPr>
        <w:t>carcinomas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such as cisplatin and etoposide, in an attempt to eliminate any remaining cancer cells and reduce the risk of recurrence. </w:t>
      </w:r>
      <w:r w:rsidRPr="00CF3F90">
        <w:rPr>
          <w:rFonts w:ascii="Arial" w:eastAsia="Arial" w:hAnsi="Arial" w:cs="Arial"/>
          <w:sz w:val="20"/>
          <w:szCs w:val="20"/>
        </w:rPr>
        <w:t>Considering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the local achievements with curative radiation therapy and the low risk of local relapse, adjuvant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radiation therapy was also considered.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Routine follow-up visits, including CT and PET scans, were scheduled to identify any potential recurrence or </w:t>
      </w:r>
      <w:r w:rsidRPr="00CF3F90">
        <w:rPr>
          <w:rFonts w:ascii="Arial" w:eastAsia="Arial" w:hAnsi="Arial" w:cs="Arial"/>
          <w:sz w:val="20"/>
          <w:szCs w:val="20"/>
        </w:rPr>
        <w:t>metastasis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The patient responded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favourably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to the multidimensional treatment strategy, as evidenced by the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lack of disease </w:t>
      </w:r>
      <w:r w:rsidRPr="00CF3F90">
        <w:rPr>
          <w:rFonts w:ascii="Arial" w:eastAsia="Arial" w:hAnsi="Arial" w:cs="Arial"/>
          <w:sz w:val="20"/>
          <w:szCs w:val="20"/>
        </w:rPr>
        <w:t>progression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during the subsequent surveillance period. However, intensive long-term monitoring is necessary to identify any possible recurrences or residual side effects of the therapy.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763CF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 w:rsidRPr="00CF3F90">
        <w:rPr>
          <w:rFonts w:ascii="Arial" w:eastAsia="Arial" w:hAnsi="Arial" w:cs="Arial"/>
          <w:b/>
          <w:smallCaps/>
          <w:color w:val="000000"/>
          <w:sz w:val="22"/>
          <w:szCs w:val="22"/>
        </w:rPr>
        <w:t>3. discussion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is an uncommon and highly aggressive type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cancer, representing only 10-15% of all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malignancies [5]. Due to its rarity and the often advanced stage of the disease at the time of diagnosis, </w:t>
      </w:r>
      <w:r w:rsidRPr="00CF3F90">
        <w:rPr>
          <w:rFonts w:ascii="Arial" w:eastAsia="Arial" w:hAnsi="Arial" w:cs="Arial"/>
          <w:sz w:val="20"/>
          <w:szCs w:val="20"/>
        </w:rPr>
        <w:t>managing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can pose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significant challenges.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Several classification systems for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malignancies have been developed, based on morphological,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histogenetic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or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immunophenotypic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characteristics. However, these offer limited prognostic value and are challenging to apply clinically. The TNM classifica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tion by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Weissferdt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-Moran is also available for staging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carcinoma. Meanwhile, the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Masaoka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staging system is widely used clinically and is the most important determinant of survival following surgical resection. This system is based on the extent of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</w:t>
      </w:r>
      <w:r w:rsidRPr="00CF3F90">
        <w:rPr>
          <w:rFonts w:ascii="Arial" w:eastAsia="Arial" w:hAnsi="Arial" w:cs="Arial"/>
          <w:sz w:val="20"/>
          <w:szCs w:val="20"/>
        </w:rPr>
        <w:t>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metastasis and invasion. In the present case, the patient was diagnosed with stage III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using this classification [6].</w:t>
      </w:r>
      <w:r w:rsidRPr="00CF3F90">
        <w:rPr>
          <w:rFonts w:ascii="Arial" w:eastAsia="Arial" w:hAnsi="Arial" w:cs="Arial"/>
          <w:sz w:val="20"/>
          <w:szCs w:val="20"/>
        </w:rPr>
        <w:t xml:space="preserve">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Recently, the World Health Organization has proposed a new classification system for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malignancies based on t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heir morphological characteristics. This new classification aims to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standardise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the categorization of these rare and complex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tumours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providing a more consistent framework for clinicians and researchers to understand and manage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carcinomas [7]. Despi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te these efforts, the rarity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and the heterogeneity of its presentation make it difficult to establish clear guidelines for its management [8]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The primary treatment modality for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is aggressive surgical resection, which re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mains the most </w:t>
      </w:r>
      <w:r w:rsidRPr="00CF3F90">
        <w:rPr>
          <w:rFonts w:ascii="Arial" w:eastAsia="Arial" w:hAnsi="Arial" w:cs="Arial"/>
          <w:sz w:val="20"/>
          <w:szCs w:val="20"/>
        </w:rPr>
        <w:t>significant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prognostic factor for disease-free and overall survival [8]. Adjuvant chemotherapy and radiation therapy are often employed in cases of locally advanced or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unresectable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disease, as well as in the setting of recurrence [1</w:t>
      </w: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,5,9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>]. Th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e 5-year survival rate for patients with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remains low, ranging from 30 to 50%, underscoring the need for continued research and innovation to improve the outcomes for this rare and challenging malignancy.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The patient underwent an extensive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surgical procedure, including a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thymectomy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resection of adjacent tissues involved in the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. This comprehensive surgical approach was crucial, as it aimed to achieve complete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removal, providing the best chance for long-term disease control.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In addition to the surgical intervention, the patient also received adjuvant chemotherapy with a regimen tailored to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carcinomas, such as cisplatin and etoposide. This combination is effective in targeting the rapidly dividing cancer cells and poten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tially improving the patient's prognosis [10]. Furthermore, adjuvant radiation therapy was </w:t>
      </w:r>
      <w:r w:rsidRPr="00CF3F90">
        <w:rPr>
          <w:rFonts w:ascii="Arial" w:eastAsia="Arial" w:hAnsi="Arial" w:cs="Arial"/>
          <w:sz w:val="20"/>
          <w:szCs w:val="20"/>
        </w:rPr>
        <w:t>considered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for this patient, given the advanced stage of the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>, as it can provide local disease control and reduce the risk of local recurrence, which is a comm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on issue in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Our patient presented with chronic cough, chest pain, and shortness of breath for 3 months. In contrast, most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patients are typically asymptomatic. While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is often associated with paraneoplastic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CF3F90">
        <w:rPr>
          <w:rFonts w:ascii="Arial" w:eastAsia="Arial" w:hAnsi="Arial" w:cs="Arial"/>
          <w:sz w:val="20"/>
          <w:szCs w:val="20"/>
        </w:rPr>
        <w:t>syndromes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like myasthenia gravis and pure red cell aplasia, [9] our patient did not exhibit any such symptoms, which may have contributed to the late diagnosis.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Comprehensive imaging using CT, MRI, and PET scans was employed to diagnose the extent of the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metastasis in our patient. The involvement of a multidisciplinary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board, with the collaboration of oncologists, thoracic surgeons, radiation oncologists, and pathologists, reflects the specialized and tailored approach required for managi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ng this complex case.</w:t>
      </w:r>
      <w:r w:rsidRPr="00CF3F90">
        <w:rPr>
          <w:rFonts w:ascii="Arial" w:eastAsia="Arial" w:hAnsi="Arial" w:cs="Arial"/>
          <w:sz w:val="20"/>
          <w:szCs w:val="20"/>
        </w:rPr>
        <w:t xml:space="preserve">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The decision to perform an extensive surgical resection, including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thymectomy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removal of surrounding tissues, indicates the aggressive nature of the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the determination to treat it completely. The adjuvant chemotherapy wi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th cisplatin and etoposide, as well as the adjuvant radiation therapy, were aimed at eliminating any remaining cancer cells and controlling local disease, respectively, to reduce the risk of recurrence.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Recent advancements, such as the use of proton therap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y and immunotherapy with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Pembrolizumab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have shown </w:t>
      </w:r>
      <w:r w:rsidRPr="00CF3F90">
        <w:rPr>
          <w:rFonts w:ascii="Arial" w:eastAsia="Arial" w:hAnsi="Arial" w:cs="Arial"/>
          <w:sz w:val="20"/>
          <w:szCs w:val="20"/>
        </w:rPr>
        <w:t>promise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in the management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malignancies and may benefit patients in the future [8]. The positive early response and lack of disease progression observed in our patient's case suggest that the tail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ored, multidisciplinary approach was successful, though long-term follow-up remains crucial to monitor for any potential late effects or recurrences.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CF3F90">
        <w:rPr>
          <w:rFonts w:ascii="Arial" w:eastAsia="Arial" w:hAnsi="Arial" w:cs="Arial"/>
          <w:sz w:val="20"/>
          <w:szCs w:val="20"/>
        </w:rPr>
        <w:t>Our findings align with those of Ahmad et al. [11], who reported similar clinical presentations in a serie</w:t>
      </w:r>
      <w:r w:rsidRPr="00CF3F90">
        <w:rPr>
          <w:rFonts w:ascii="Arial" w:eastAsia="Arial" w:hAnsi="Arial" w:cs="Arial"/>
          <w:sz w:val="20"/>
          <w:szCs w:val="20"/>
        </w:rPr>
        <w:t xml:space="preserve">s of 12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 cases, with chest pain and dyspnea being predominant symptoms. Litvak et al. [12] demonstrated in their retrospective analysis of 48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 patients that complete surgical resection significantly improved 5-year survival </w:t>
      </w:r>
      <w:r w:rsidRPr="00CF3F90">
        <w:rPr>
          <w:rFonts w:ascii="Arial" w:eastAsia="Arial" w:hAnsi="Arial" w:cs="Arial"/>
          <w:sz w:val="20"/>
          <w:szCs w:val="20"/>
        </w:rPr>
        <w:t>rates from 24% to 53% compared to incomplete resection.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CF3F90">
        <w:rPr>
          <w:rFonts w:ascii="Arial" w:eastAsia="Arial" w:hAnsi="Arial" w:cs="Arial"/>
          <w:sz w:val="20"/>
          <w:szCs w:val="20"/>
        </w:rPr>
        <w:t xml:space="preserve">The chemotherapy regimen we selected is supported by the work of Lemma et al. [13], who showed a 39% response rate with cisplatin and etoposide in patients with advanced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malignancies. Regarding radiation therapy, Wu et al. [14] demonstrated that adj</w:t>
      </w:r>
      <w:r w:rsidRPr="00CF3F90">
        <w:rPr>
          <w:rFonts w:ascii="Arial" w:eastAsia="Arial" w:hAnsi="Arial" w:cs="Arial"/>
          <w:sz w:val="20"/>
          <w:szCs w:val="20"/>
        </w:rPr>
        <w:t xml:space="preserve">uvant radiotherapy reduced local recurrence rates from 53% to 21% in patients with stage III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tumors.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 w:rsidRPr="00CF3F90">
        <w:rPr>
          <w:rFonts w:ascii="Arial" w:eastAsia="Arial" w:hAnsi="Arial" w:cs="Arial"/>
          <w:sz w:val="20"/>
          <w:szCs w:val="20"/>
        </w:rPr>
        <w:t xml:space="preserve">Recent studies by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Giaccone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et al. [15] have explored the role of targeted therapies, including c-KIT inhibitors, in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carcinomas with specific </w:t>
      </w:r>
      <w:r w:rsidRPr="00CF3F90">
        <w:rPr>
          <w:rFonts w:ascii="Arial" w:eastAsia="Arial" w:hAnsi="Arial" w:cs="Arial"/>
          <w:sz w:val="20"/>
          <w:szCs w:val="20"/>
        </w:rPr>
        <w:t xml:space="preserve">molecular alterations. Additionally, Cho et al. [16] reported promising results with immune checkpoint inhibitors in refractory </w:t>
      </w:r>
      <w:proofErr w:type="spellStart"/>
      <w:r w:rsidRPr="00CF3F90">
        <w:rPr>
          <w:rFonts w:ascii="Arial" w:eastAsia="Arial" w:hAnsi="Arial" w:cs="Arial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sz w:val="20"/>
          <w:szCs w:val="20"/>
        </w:rPr>
        <w:t xml:space="preserve"> carcinomas, although with careful monitoring for immune-related adverse events due to the unique immunological role of th</w:t>
      </w:r>
      <w:r w:rsidRPr="00CF3F90">
        <w:rPr>
          <w:rFonts w:ascii="Arial" w:eastAsia="Arial" w:hAnsi="Arial" w:cs="Arial"/>
          <w:sz w:val="20"/>
          <w:szCs w:val="20"/>
        </w:rPr>
        <w:t>e thymus.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763CF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 w:rsidRPr="00CF3F90">
        <w:rPr>
          <w:rFonts w:ascii="Arial" w:eastAsia="Arial" w:hAnsi="Arial" w:cs="Arial"/>
          <w:b/>
          <w:smallCaps/>
          <w:color w:val="000000"/>
          <w:sz w:val="22"/>
          <w:szCs w:val="22"/>
        </w:rPr>
        <w:lastRenderedPageBreak/>
        <w:t>4. Conclusion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The management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requires a multimodal approach, involving aggressive surgical resection, plat-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inum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-based combination chemotherapy, and radiotherapy. In cases where the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is not completely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resectable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neoadjuvant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chemotherapy and/or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radiation therapy may be employed to downstage the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tumour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improve the chances of complete surgical resection. It is important to note that the optimal management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 remains to be defined, and further research is needed to improve the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outcomes for patients with this rare and aggressive form of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cancer.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406DD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Consent </w:t>
      </w:r>
    </w:p>
    <w:p w:rsidR="00E36381" w:rsidRPr="00CF3F90" w:rsidRDefault="00763CF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Written  informed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 consent  for  publication  of  their 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clinical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   details    and/or    clinical    images    was 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obtained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from the patient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406DD4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0000"/>
          <w:sz w:val="22"/>
          <w:szCs w:val="22"/>
        </w:rPr>
        <w:t xml:space="preserve">Ethical approval 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As   per   international   standards   or   university 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standards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  written   ethical   approval   has   been 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collected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preserved by the author(s)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36381" w:rsidRPr="00CF3F90" w:rsidRDefault="00E36381">
      <w:pPr>
        <w:keepNext/>
        <w:jc w:val="both"/>
        <w:rPr>
          <w:rFonts w:ascii="Arial" w:eastAsia="Arial" w:hAnsi="Arial" w:cs="Arial"/>
          <w:sz w:val="20"/>
          <w:szCs w:val="20"/>
        </w:rPr>
      </w:pPr>
      <w:bookmarkStart w:id="0" w:name="_GoBack"/>
      <w:bookmarkEnd w:id="0"/>
    </w:p>
    <w:p w:rsidR="00E36381" w:rsidRPr="00CF3F90" w:rsidRDefault="00763CFF">
      <w:pPr>
        <w:keepNext/>
        <w:jc w:val="both"/>
        <w:rPr>
          <w:rFonts w:ascii="Arial" w:eastAsia="Arial" w:hAnsi="Arial" w:cs="Arial"/>
          <w:b/>
          <w:smallCaps/>
          <w:sz w:val="22"/>
          <w:szCs w:val="22"/>
        </w:rPr>
      </w:pPr>
      <w:r w:rsidRPr="00CF3F90">
        <w:rPr>
          <w:rFonts w:ascii="Arial" w:eastAsia="Arial" w:hAnsi="Arial" w:cs="Arial"/>
          <w:b/>
          <w:smallCaps/>
          <w:sz w:val="22"/>
          <w:szCs w:val="22"/>
        </w:rPr>
        <w:t>Role Played by Each Author:</w:t>
      </w:r>
    </w:p>
    <w:p w:rsidR="00E36381" w:rsidRPr="00CF3F90" w:rsidRDefault="00763CFF">
      <w:pPr>
        <w:rPr>
          <w:rFonts w:ascii="Arial" w:eastAsia="Arial" w:hAnsi="Arial" w:cs="Arial"/>
          <w:b/>
          <w:smallCaps/>
          <w:sz w:val="20"/>
          <w:szCs w:val="20"/>
        </w:rPr>
      </w:pP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Niragh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 xml:space="preserve"> </w:t>
      </w: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Sikdar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:</w:t>
      </w:r>
      <w:r w:rsidRPr="00CF3F90">
        <w:rPr>
          <w:rFonts w:ascii="Arial" w:eastAsia="Arial" w:hAnsi="Arial" w:cs="Arial"/>
          <w:color w:val="0C0F12"/>
          <w:sz w:val="20"/>
          <w:szCs w:val="20"/>
        </w:rPr>
        <w:t xml:space="preserve"> Conceptualization, Methodology, </w:t>
      </w:r>
      <w:proofErr w:type="gramStart"/>
      <w:r w:rsidRPr="00CF3F90">
        <w:rPr>
          <w:rFonts w:ascii="Arial" w:eastAsia="Arial" w:hAnsi="Arial" w:cs="Arial"/>
          <w:color w:val="0C0F12"/>
          <w:sz w:val="20"/>
          <w:szCs w:val="20"/>
        </w:rPr>
        <w:t>Software</w:t>
      </w:r>
      <w:proofErr w:type="gramEnd"/>
      <w:r w:rsidRPr="00CF3F90">
        <w:rPr>
          <w:rFonts w:ascii="Arial" w:eastAsia="Arial" w:hAnsi="Arial" w:cs="Arial"/>
          <w:color w:val="0C0F12"/>
          <w:sz w:val="20"/>
          <w:szCs w:val="20"/>
        </w:rPr>
        <w:t xml:space="preserve">, </w:t>
      </w:r>
      <w:proofErr w:type="spellStart"/>
      <w:r w:rsidRPr="00CF3F90">
        <w:rPr>
          <w:rFonts w:ascii="Arial" w:eastAsia="Arial" w:hAnsi="Arial" w:cs="Arial"/>
          <w:color w:val="0C0F12"/>
          <w:sz w:val="20"/>
          <w:szCs w:val="20"/>
        </w:rPr>
        <w:t>writing.</w:t>
      </w:r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Brahma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 xml:space="preserve"> Kumar Bhattacharya.</w:t>
      </w:r>
      <w:r w:rsidRPr="00CF3F90">
        <w:rPr>
          <w:rFonts w:ascii="Arial" w:eastAsia="Arial" w:hAnsi="Arial" w:cs="Arial"/>
          <w:color w:val="0C0F12"/>
          <w:sz w:val="20"/>
          <w:szCs w:val="20"/>
        </w:rPr>
        <w:t xml:space="preserve">: Data curation, Writing- Original draft preparation. </w:t>
      </w: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Megha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 xml:space="preserve"> </w:t>
      </w: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Mahida</w:t>
      </w:r>
      <w:proofErr w:type="spellEnd"/>
      <w:r w:rsidRPr="00CF3F90">
        <w:rPr>
          <w:rFonts w:ascii="Arial" w:eastAsia="Arial" w:hAnsi="Arial" w:cs="Arial"/>
          <w:color w:val="0C0F12"/>
          <w:sz w:val="20"/>
          <w:szCs w:val="20"/>
        </w:rPr>
        <w:t xml:space="preserve">: Visualization, Investigation. </w:t>
      </w:r>
      <w:proofErr w:type="spellStart"/>
      <w:r w:rsidRPr="00CF3F90">
        <w:rPr>
          <w:rFonts w:ascii="Arial" w:eastAsia="Arial" w:hAnsi="Arial" w:cs="Arial"/>
          <w:b/>
          <w:i/>
          <w:color w:val="0C0F12"/>
          <w:sz w:val="20"/>
          <w:szCs w:val="20"/>
        </w:rPr>
        <w:t>Sanskruti</w:t>
      </w:r>
      <w:proofErr w:type="spellEnd"/>
      <w:r w:rsidRPr="00CF3F90">
        <w:rPr>
          <w:rFonts w:ascii="Arial" w:eastAsia="Arial" w:hAnsi="Arial" w:cs="Arial"/>
          <w:b/>
          <w:i/>
          <w:color w:val="0C0F12"/>
          <w:sz w:val="20"/>
          <w:szCs w:val="20"/>
        </w:rPr>
        <w:t xml:space="preserve"> </w:t>
      </w:r>
      <w:proofErr w:type="spellStart"/>
      <w:r w:rsidRPr="00CF3F90">
        <w:rPr>
          <w:rFonts w:ascii="Arial" w:eastAsia="Arial" w:hAnsi="Arial" w:cs="Arial"/>
          <w:b/>
          <w:i/>
          <w:color w:val="0C0F12"/>
          <w:sz w:val="20"/>
          <w:szCs w:val="20"/>
        </w:rPr>
        <w:t>Shailesh</w:t>
      </w:r>
      <w:proofErr w:type="spellEnd"/>
      <w:r w:rsidRPr="00CF3F90">
        <w:rPr>
          <w:rFonts w:ascii="Arial" w:eastAsia="Arial" w:hAnsi="Arial" w:cs="Arial"/>
          <w:b/>
          <w:i/>
          <w:color w:val="0C0F12"/>
          <w:sz w:val="20"/>
          <w:szCs w:val="20"/>
        </w:rPr>
        <w:t xml:space="preserve"> </w:t>
      </w:r>
      <w:proofErr w:type="spellStart"/>
      <w:proofErr w:type="gramStart"/>
      <w:r w:rsidRPr="00CF3F90">
        <w:rPr>
          <w:rFonts w:ascii="Arial" w:eastAsia="Arial" w:hAnsi="Arial" w:cs="Arial"/>
          <w:b/>
          <w:i/>
          <w:color w:val="0C0F12"/>
          <w:sz w:val="20"/>
          <w:szCs w:val="20"/>
        </w:rPr>
        <w:t>Rathod</w:t>
      </w:r>
      <w:proofErr w:type="spellEnd"/>
      <w:r w:rsidRPr="00CF3F90">
        <w:rPr>
          <w:rFonts w:ascii="Arial" w:eastAsia="Arial" w:hAnsi="Arial" w:cs="Arial"/>
          <w:b/>
          <w:i/>
          <w:color w:val="0C0F12"/>
          <w:sz w:val="20"/>
          <w:szCs w:val="20"/>
        </w:rPr>
        <w:t xml:space="preserve"> </w:t>
      </w:r>
      <w:r w:rsidRPr="00CF3F90">
        <w:rPr>
          <w:rFonts w:ascii="Arial" w:eastAsia="Arial" w:hAnsi="Arial" w:cs="Arial"/>
          <w:i/>
          <w:color w:val="0C0F12"/>
          <w:sz w:val="20"/>
          <w:szCs w:val="20"/>
        </w:rPr>
        <w:t>:</w:t>
      </w:r>
      <w:proofErr w:type="gramEnd"/>
      <w:r w:rsidRPr="00CF3F90">
        <w:rPr>
          <w:rFonts w:ascii="Arial" w:eastAsia="Arial" w:hAnsi="Arial" w:cs="Arial"/>
          <w:color w:val="0C0F12"/>
          <w:sz w:val="20"/>
          <w:szCs w:val="20"/>
        </w:rPr>
        <w:t xml:space="preserve"> Supervision.</w:t>
      </w:r>
      <w:r w:rsidRPr="00CF3F90">
        <w:rPr>
          <w:rFonts w:ascii="Arial" w:eastAsia="Arial" w:hAnsi="Arial" w:cs="Arial"/>
          <w:b/>
          <w:color w:val="0C0F12"/>
          <w:sz w:val="20"/>
          <w:szCs w:val="20"/>
        </w:rPr>
        <w:t xml:space="preserve">: </w:t>
      </w: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Kirti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 xml:space="preserve"> </w:t>
      </w: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Pichiah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 xml:space="preserve"> John</w:t>
      </w:r>
      <w:r w:rsidRPr="00CF3F90">
        <w:rPr>
          <w:rFonts w:ascii="Arial" w:eastAsia="Arial" w:hAnsi="Arial" w:cs="Arial"/>
          <w:color w:val="0C0F12"/>
          <w:sz w:val="20"/>
          <w:szCs w:val="20"/>
        </w:rPr>
        <w:t>: Softw</w:t>
      </w:r>
      <w:r w:rsidRPr="00CF3F90">
        <w:rPr>
          <w:rFonts w:ascii="Arial" w:eastAsia="Arial" w:hAnsi="Arial" w:cs="Arial"/>
          <w:color w:val="0C0F12"/>
          <w:sz w:val="20"/>
          <w:szCs w:val="20"/>
        </w:rPr>
        <w:t xml:space="preserve">are, Validation.: </w:t>
      </w: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Anushka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 xml:space="preserve"> </w:t>
      </w:r>
      <w:proofErr w:type="spellStart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Baidya</w:t>
      </w:r>
      <w:proofErr w:type="spellEnd"/>
      <w:r w:rsidRPr="00CF3F90">
        <w:rPr>
          <w:rFonts w:ascii="Arial" w:eastAsia="Arial" w:hAnsi="Arial" w:cs="Arial"/>
          <w:b/>
          <w:color w:val="0C0F12"/>
          <w:sz w:val="20"/>
          <w:szCs w:val="20"/>
        </w:rPr>
        <w:t>:</w:t>
      </w:r>
      <w:r w:rsidRPr="00CF3F90">
        <w:rPr>
          <w:rFonts w:ascii="Arial" w:eastAsia="Arial" w:hAnsi="Arial" w:cs="Arial"/>
          <w:color w:val="0C0F12"/>
          <w:sz w:val="20"/>
          <w:szCs w:val="20"/>
        </w:rPr>
        <w:t xml:space="preserve"> Writing- Reviewing and Editing,</w:t>
      </w:r>
    </w:p>
    <w:p w:rsidR="00E36381" w:rsidRPr="00CF3F90" w:rsidRDefault="00E36381">
      <w:pPr>
        <w:keepNext/>
        <w:jc w:val="both"/>
        <w:rPr>
          <w:rFonts w:ascii="Arial" w:eastAsia="Arial" w:hAnsi="Arial" w:cs="Arial"/>
          <w:sz w:val="20"/>
          <w:szCs w:val="20"/>
        </w:rPr>
      </w:pPr>
    </w:p>
    <w:p w:rsidR="00E36381" w:rsidRPr="00CF3F90" w:rsidRDefault="00E3638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  <w:rPr>
          <w:rFonts w:ascii="Calibri" w:eastAsia="Calibri" w:hAnsi="Calibri" w:cs="Calibri"/>
          <w:b/>
          <w:sz w:val="22"/>
          <w:szCs w:val="22"/>
        </w:rPr>
      </w:pPr>
    </w:p>
    <w:p w:rsidR="00E36381" w:rsidRPr="00CF3F90" w:rsidRDefault="00763C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 w:rsidRPr="00CF3F90">
        <w:rPr>
          <w:rFonts w:ascii="Calibri" w:eastAsia="Calibri" w:hAnsi="Calibri" w:cs="Calibri"/>
          <w:b/>
          <w:sz w:val="22"/>
          <w:szCs w:val="22"/>
        </w:rPr>
        <w:t>Disclaimer (Artificial intelligence)</w:t>
      </w:r>
    </w:p>
    <w:p w:rsidR="00E36381" w:rsidRPr="00CF3F90" w:rsidRDefault="00763CF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  <w:rPr>
          <w:rFonts w:ascii="Calibri" w:eastAsia="Calibri" w:hAnsi="Calibri" w:cs="Calibri"/>
          <w:sz w:val="22"/>
          <w:szCs w:val="22"/>
        </w:rPr>
      </w:pPr>
      <w:r w:rsidRPr="00CF3F90">
        <w:rPr>
          <w:rFonts w:ascii="Calibri" w:eastAsia="Calibri" w:hAnsi="Calibri" w:cs="Calibri"/>
          <w:sz w:val="22"/>
          <w:szCs w:val="22"/>
        </w:rPr>
        <w:t>Author(s) hereby declare that NO generative AI technologies such as Large Language Models (</w:t>
      </w:r>
      <w:proofErr w:type="spellStart"/>
      <w:r w:rsidRPr="00CF3F90">
        <w:rPr>
          <w:rFonts w:ascii="Calibri" w:eastAsia="Calibri" w:hAnsi="Calibri" w:cs="Calibri"/>
          <w:sz w:val="22"/>
          <w:szCs w:val="22"/>
        </w:rPr>
        <w:t>ChatGPT</w:t>
      </w:r>
      <w:proofErr w:type="spellEnd"/>
      <w:r w:rsidRPr="00CF3F90">
        <w:rPr>
          <w:rFonts w:ascii="Calibri" w:eastAsia="Calibri" w:hAnsi="Calibri" w:cs="Calibri"/>
          <w:sz w:val="22"/>
          <w:szCs w:val="22"/>
        </w:rPr>
        <w:t>, COPILOT, etc.) and text-to-image generators have be</w:t>
      </w:r>
      <w:r w:rsidRPr="00CF3F90">
        <w:rPr>
          <w:rFonts w:ascii="Calibri" w:eastAsia="Calibri" w:hAnsi="Calibri" w:cs="Calibri"/>
          <w:sz w:val="22"/>
          <w:szCs w:val="22"/>
        </w:rPr>
        <w:t xml:space="preserve">en used during the writing or editing of this manuscript. 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</w:p>
    <w:p w:rsidR="00E36381" w:rsidRPr="00CF3F90" w:rsidRDefault="00763CFF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 w:rsidRPr="00CF3F90">
        <w:rPr>
          <w:rFonts w:ascii="Arial" w:eastAsia="Arial" w:hAnsi="Arial" w:cs="Arial"/>
          <w:b/>
          <w:smallCaps/>
          <w:color w:val="000000"/>
          <w:sz w:val="22"/>
          <w:szCs w:val="22"/>
        </w:rPr>
        <w:t>References</w:t>
      </w:r>
    </w:p>
    <w:p w:rsidR="00E36381" w:rsidRPr="00CF3F90" w:rsidRDefault="00E36381">
      <w:pPr>
        <w:keepNext/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1. 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Rajan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A., &amp;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Giaccone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G. (2008, December 1). Treatment of Advanced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Thymoma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and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Springer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Science+Business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Media, 9(4-6), 277-287. https://doi.org/10.1007/s11864-009-0083-7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2.  Wain, S L., Kier, R., Vollmer, R T., &amp;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Bossen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>, E H. (1986, November 1). Basaloid-squamous carcinoma of the tongue, hypopharynx, and larynx</w:t>
      </w: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:.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Elsevier BV, 17(11)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, 1158-1166. https://doi.org/10.1016/s0046- 8177(86)80422-1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3. 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Suster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S. (2005, August 1).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carcinoma: update of current diagnostic criteria and histologic types. Else-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vier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BV, 22(3), 198-212. https://doi.org/10.1053/j.semdp.2006.02.006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4.  Thomas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C R., Wright, C D., &amp;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Loehrer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P J. (1999, July 1).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Thymoma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>: State of the Art. Lippincott Williams &amp; Wilkins, 17(7), 2280-2280. https://doi.org/10.1200/jco.1999.17.7.2280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5. 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Eng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T Y., Fuller, C D.,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Jagirdar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J.,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Bains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>, Y., &amp; Thomas, C R. (2004, July 1)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.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carcinoma: state of the art review. Elsevier BV, 59(3), 654-664. https://doi.org/10.1016/j.ijrobp.2003.11.021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6.  Koga, K.,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Matsuno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Y., Noguchi, M., Mukai, K.,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Asamura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H., Goya, T., &amp;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Shimosato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Y. (1994, May 1). A re- view of 79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thymomas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>: Modif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ication of staging system and reappraisal of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lastRenderedPageBreak/>
        <w:t>conventional division into invasive and non</w:t>
      </w:r>
      <w:r w:rsidRPr="00CF3F90">
        <w:rPr>
          <w:rFonts w:ascii="Arimo" w:eastAsia="Arimo" w:hAnsi="Arimo" w:cs="Arimo"/>
          <w:color w:val="000000"/>
          <w:sz w:val="20"/>
          <w:szCs w:val="20"/>
        </w:rPr>
        <w:t>‐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invasive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thymoma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>. Wiley, 44(5), 359-367. https://doi.org/10.1111/j.1440-1827.1994.tb02936.x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7.  Han, J., Lee, K S., Yi, C A., Kim, T S., Shim, Y M., Kim, Y T., Kim, K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., &amp; Kwon, O J. (2003, January 1).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Epithelial Tumors Classified According to a Newly Established WHO Scheme: CT and MR Findings. Korean Society of Radiology, 4(1), 46-46. https://doi.org/10.3348/kjr.2003.4.1.46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8. 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Rossana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B. (2014, January 1).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Malignancies in the Targeted Therapies Era. OMICS Publishing Group, </w:t>
      </w:r>
      <w:proofErr w:type="gramStart"/>
      <w:r w:rsidRPr="00CF3F90">
        <w:rPr>
          <w:rFonts w:ascii="Arial" w:eastAsia="Arial" w:hAnsi="Arial" w:cs="Arial"/>
          <w:color w:val="000000"/>
          <w:sz w:val="20"/>
          <w:szCs w:val="20"/>
        </w:rPr>
        <w:t>s8(</w:t>
      </w:r>
      <w:proofErr w:type="gramEnd"/>
      <w:r w:rsidRPr="00CF3F90">
        <w:rPr>
          <w:rFonts w:ascii="Arial" w:eastAsia="Arial" w:hAnsi="Arial" w:cs="Arial"/>
          <w:color w:val="000000"/>
          <w:sz w:val="20"/>
          <w:szCs w:val="20"/>
        </w:rPr>
        <w:t>01). https://doi.org/10.4172/2157-2518.s8-008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9.  Christie, B., &amp;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Moremen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J R. (2012, July 1).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Carcinoma: Incidence, Classification and Treatment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Strate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-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gies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of a Rare Tumo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>r. SAGE Publishing, 78(7), 335-337. https://doi.org/10.1177/000313481207800701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Times" w:eastAsia="Times" w:hAnsi="Times" w:cs="Times"/>
          <w:color w:val="000000"/>
        </w:rPr>
      </w:pPr>
      <w:r w:rsidRPr="00CF3F90">
        <w:rPr>
          <w:rFonts w:ascii="Arial" w:eastAsia="Arial" w:hAnsi="Arial" w:cs="Arial"/>
          <w:color w:val="000000"/>
          <w:sz w:val="20"/>
          <w:szCs w:val="20"/>
        </w:rPr>
        <w:t>10.</w:t>
      </w:r>
      <w:r w:rsidRPr="00CF3F90">
        <w:rPr>
          <w:rFonts w:ascii="Arial" w:eastAsia="Arial" w:hAnsi="Arial" w:cs="Arial"/>
          <w:sz w:val="20"/>
          <w:szCs w:val="20"/>
        </w:rPr>
        <w:t xml:space="preserve"> </w:t>
      </w:r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Yano, T., Hara, N., Ichinose, Y.,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Asoh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H., Yokoyama, H., &amp;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Ohta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, M. (1993, April 1). Treatment and prognosis of primary </w:t>
      </w:r>
      <w:proofErr w:type="spellStart"/>
      <w:r w:rsidRPr="00CF3F90">
        <w:rPr>
          <w:rFonts w:ascii="Arial" w:eastAsia="Arial" w:hAnsi="Arial" w:cs="Arial"/>
          <w:color w:val="000000"/>
          <w:sz w:val="20"/>
          <w:szCs w:val="20"/>
        </w:rPr>
        <w:t>thymic</w:t>
      </w:r>
      <w:proofErr w:type="spellEnd"/>
      <w:r w:rsidRPr="00CF3F90">
        <w:rPr>
          <w:rFonts w:ascii="Arial" w:eastAsia="Arial" w:hAnsi="Arial" w:cs="Arial"/>
          <w:color w:val="000000"/>
          <w:sz w:val="20"/>
          <w:szCs w:val="20"/>
        </w:rPr>
        <w:t xml:space="preserve"> carcinoma. Wiley, 52(4), 255-258. https://doi.org/10.1002/jso.2930520412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</w:rPr>
      </w:pPr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11. Ahmad U, et al.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Thymic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carcinoma outcomes and progn</w:t>
      </w:r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osis: Results of an international analysis. J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Thorac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Cardiovasc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Surg. 2015</w:t>
      </w:r>
      <w:proofErr w:type="gramStart"/>
      <w:r w:rsidRPr="00CF3F90">
        <w:rPr>
          <w:rFonts w:ascii="Helvetica Neue" w:eastAsia="Helvetica Neue" w:hAnsi="Helvetica Neue" w:cs="Helvetica Neue"/>
          <w:sz w:val="20"/>
          <w:szCs w:val="20"/>
        </w:rPr>
        <w:t>;149</w:t>
      </w:r>
      <w:proofErr w:type="gramEnd"/>
      <w:r w:rsidRPr="00CF3F90">
        <w:rPr>
          <w:rFonts w:ascii="Helvetica Neue" w:eastAsia="Helvetica Neue" w:hAnsi="Helvetica Neue" w:cs="Helvetica Neue"/>
          <w:sz w:val="20"/>
          <w:szCs w:val="20"/>
        </w:rPr>
        <w:t>(1):95-101.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</w:rPr>
      </w:pPr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12. Litvak AM, et al. Clinical characteristics and outcomes for patients with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thymic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carcinoma: Evaluation of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Masaoka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staging. J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Thorac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Oncol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>. 2014</w:t>
      </w:r>
      <w:proofErr w:type="gramStart"/>
      <w:r w:rsidRPr="00CF3F90">
        <w:rPr>
          <w:rFonts w:ascii="Helvetica Neue" w:eastAsia="Helvetica Neue" w:hAnsi="Helvetica Neue" w:cs="Helvetica Neue"/>
          <w:sz w:val="20"/>
          <w:szCs w:val="20"/>
        </w:rPr>
        <w:t>;9</w:t>
      </w:r>
      <w:proofErr w:type="gramEnd"/>
      <w:r w:rsidRPr="00CF3F90">
        <w:rPr>
          <w:rFonts w:ascii="Helvetica Neue" w:eastAsia="Helvetica Neue" w:hAnsi="Helvetica Neue" w:cs="Helvetica Neue"/>
          <w:sz w:val="20"/>
          <w:szCs w:val="20"/>
        </w:rPr>
        <w:t>(12):1810-1815.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</w:rPr>
      </w:pPr>
      <w:r w:rsidRPr="00CF3F90">
        <w:rPr>
          <w:rFonts w:ascii="Helvetica Neue" w:eastAsia="Helvetica Neue" w:hAnsi="Helvetica Neue" w:cs="Helvetica Neue"/>
          <w:sz w:val="20"/>
          <w:szCs w:val="20"/>
        </w:rPr>
        <w:t>1</w:t>
      </w:r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3. Lemma GL, et al. Phase II study of carboplatin and paclitaxel in advanced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thymoma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and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thymic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carcinoma. J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Clin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Oncol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>. 2011</w:t>
      </w:r>
      <w:proofErr w:type="gramStart"/>
      <w:r w:rsidRPr="00CF3F90">
        <w:rPr>
          <w:rFonts w:ascii="Helvetica Neue" w:eastAsia="Helvetica Neue" w:hAnsi="Helvetica Neue" w:cs="Helvetica Neue"/>
          <w:sz w:val="20"/>
          <w:szCs w:val="20"/>
        </w:rPr>
        <w:t>;29</w:t>
      </w:r>
      <w:proofErr w:type="gramEnd"/>
      <w:r w:rsidRPr="00CF3F90">
        <w:rPr>
          <w:rFonts w:ascii="Helvetica Neue" w:eastAsia="Helvetica Neue" w:hAnsi="Helvetica Neue" w:cs="Helvetica Neue"/>
          <w:sz w:val="20"/>
          <w:szCs w:val="20"/>
        </w:rPr>
        <w:t>(15):2060-2065.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</w:rPr>
      </w:pPr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14 .Wu KL, et al. Patterns of failure after resection of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thymic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carcinoma: Implications for radiation therapy.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Int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J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Radiat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Oncol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Biol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Phys. 2010</w:t>
      </w:r>
      <w:proofErr w:type="gramStart"/>
      <w:r w:rsidRPr="00CF3F90">
        <w:rPr>
          <w:rFonts w:ascii="Helvetica Neue" w:eastAsia="Helvetica Neue" w:hAnsi="Helvetica Neue" w:cs="Helvetica Neue"/>
          <w:sz w:val="20"/>
          <w:szCs w:val="20"/>
        </w:rPr>
        <w:t>;77</w:t>
      </w:r>
      <w:proofErr w:type="gramEnd"/>
      <w:r w:rsidRPr="00CF3F90">
        <w:rPr>
          <w:rFonts w:ascii="Helvetica Neue" w:eastAsia="Helvetica Neue" w:hAnsi="Helvetica Neue" w:cs="Helvetica Neue"/>
          <w:sz w:val="20"/>
          <w:szCs w:val="20"/>
        </w:rPr>
        <w:t>(4):1195-1200.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sz w:val="20"/>
          <w:szCs w:val="20"/>
        </w:rPr>
      </w:pPr>
      <w:r w:rsidRPr="00CF3F90">
        <w:rPr>
          <w:rFonts w:ascii="Helvetica Neue" w:eastAsia="Helvetica Neue" w:hAnsi="Helvetica Neue" w:cs="Helvetica Neue"/>
          <w:sz w:val="20"/>
          <w:szCs w:val="20"/>
        </w:rPr>
        <w:t>15</w:t>
      </w:r>
      <w:proofErr w:type="gramStart"/>
      <w:r w:rsidRPr="00CF3F90">
        <w:rPr>
          <w:rFonts w:ascii="Helvetica Neue" w:eastAsia="Helvetica Neue" w:hAnsi="Helvetica Neue" w:cs="Helvetica Neue"/>
          <w:sz w:val="20"/>
          <w:szCs w:val="20"/>
        </w:rPr>
        <w:t>.Giaccone</w:t>
      </w:r>
      <w:proofErr w:type="gram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G, et al. Phase II study of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belinostat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in patients with recurrent or refractory a</w:t>
      </w:r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dvanced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thymic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epithelial tumors. J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Clin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Oncol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>. 2011</w:t>
      </w:r>
      <w:proofErr w:type="gramStart"/>
      <w:r w:rsidRPr="00CF3F90">
        <w:rPr>
          <w:rFonts w:ascii="Helvetica Neue" w:eastAsia="Helvetica Neue" w:hAnsi="Helvetica Neue" w:cs="Helvetica Neue"/>
          <w:sz w:val="20"/>
          <w:szCs w:val="20"/>
        </w:rPr>
        <w:t>;29</w:t>
      </w:r>
      <w:proofErr w:type="gramEnd"/>
      <w:r w:rsidRPr="00CF3F90">
        <w:rPr>
          <w:rFonts w:ascii="Helvetica Neue" w:eastAsia="Helvetica Neue" w:hAnsi="Helvetica Neue" w:cs="Helvetica Neue"/>
          <w:sz w:val="20"/>
          <w:szCs w:val="20"/>
        </w:rPr>
        <w:t>(15):2052-2059.</w:t>
      </w:r>
    </w:p>
    <w:p w:rsidR="00E36381" w:rsidRPr="00CF3F90" w:rsidRDefault="00763CFF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0"/>
          <w:szCs w:val="20"/>
        </w:rPr>
      </w:pPr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16. Cho J, et al. The efficacy of anti-PD-1/PD-L1 antibody in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thymic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carcinoma and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thymic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carcinoid: A systematic review. Ann </w:t>
      </w:r>
      <w:proofErr w:type="spellStart"/>
      <w:r w:rsidRPr="00CF3F90">
        <w:rPr>
          <w:rFonts w:ascii="Helvetica Neue" w:eastAsia="Helvetica Neue" w:hAnsi="Helvetica Neue" w:cs="Helvetica Neue"/>
          <w:sz w:val="20"/>
          <w:szCs w:val="20"/>
        </w:rPr>
        <w:t>Palliat</w:t>
      </w:r>
      <w:proofErr w:type="spellEnd"/>
      <w:r w:rsidRPr="00CF3F90">
        <w:rPr>
          <w:rFonts w:ascii="Helvetica Neue" w:eastAsia="Helvetica Neue" w:hAnsi="Helvetica Neue" w:cs="Helvetica Neue"/>
          <w:sz w:val="20"/>
          <w:szCs w:val="20"/>
        </w:rPr>
        <w:t xml:space="preserve"> Med. 2020</w:t>
      </w:r>
      <w:proofErr w:type="gramStart"/>
      <w:r w:rsidRPr="00CF3F90">
        <w:rPr>
          <w:rFonts w:ascii="Helvetica Neue" w:eastAsia="Helvetica Neue" w:hAnsi="Helvetica Neue" w:cs="Helvetica Neue"/>
          <w:sz w:val="20"/>
          <w:szCs w:val="20"/>
        </w:rPr>
        <w:t>;9</w:t>
      </w:r>
      <w:proofErr w:type="gramEnd"/>
      <w:r w:rsidRPr="00CF3F90">
        <w:rPr>
          <w:rFonts w:ascii="Helvetica Neue" w:eastAsia="Helvetica Neue" w:hAnsi="Helvetica Neue" w:cs="Helvetica Neue"/>
          <w:sz w:val="20"/>
          <w:szCs w:val="20"/>
        </w:rPr>
        <w:t>(4):2020-2027.</w:t>
      </w:r>
    </w:p>
    <w:p w:rsidR="00E36381" w:rsidRPr="00CF3F90" w:rsidRDefault="00E363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:rsidR="00E36381" w:rsidRDefault="00E3638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jc w:val="both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sectPr w:rsidR="00E36381">
      <w:type w:val="continuous"/>
      <w:pgSz w:w="12240" w:h="15840"/>
      <w:pgMar w:top="720" w:right="2016" w:bottom="720" w:left="20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CFF" w:rsidRDefault="00763CFF">
      <w:r>
        <w:separator/>
      </w:r>
    </w:p>
  </w:endnote>
  <w:endnote w:type="continuationSeparator" w:id="0">
    <w:p w:rsidR="00763CFF" w:rsidRDefault="00763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m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81" w:rsidRDefault="00E363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81" w:rsidRDefault="00E363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81" w:rsidRDefault="00E3638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Helvetica Neue" w:eastAsia="Helvetica Neue" w:hAnsi="Helvetica Neue" w:cs="Helvetica Neue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CFF" w:rsidRDefault="00763CFF">
      <w:r>
        <w:separator/>
      </w:r>
    </w:p>
  </w:footnote>
  <w:footnote w:type="continuationSeparator" w:id="0">
    <w:p w:rsidR="00763CFF" w:rsidRDefault="00763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81" w:rsidRDefault="00763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 w14:anchorId="7B1D06E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49" type="#_x0000_t136" style="position:absolute;margin-left:0;margin-top:0;width:520.65pt;height:57.8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81" w:rsidRDefault="00763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 w14:anchorId="6B5DDC5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margin-left:0;margin-top:0;width:520.65pt;height:57.8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381" w:rsidRDefault="00763CF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pict w14:anchorId="4AA62FC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520.65pt;height:57.8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UNDER PEER REVIEW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381"/>
    <w:rsid w:val="00406DD4"/>
    <w:rsid w:val="00763CFF"/>
    <w:rsid w:val="00CF3F90"/>
    <w:rsid w:val="00E3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E489485"/>
  <w15:docId w15:val="{EE2856A6-61AC-4F86-8B26-371D5529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pPr>
      <w:spacing w:after="360"/>
      <w:jc w:val="right"/>
    </w:pPr>
    <w:rPr>
      <w:rFonts w:ascii="Helvetica" w:eastAsia="Helvetica" w:hAnsi="Helvetica" w:cs="Helvetica"/>
      <w:b/>
      <w:bCs/>
      <w:color w:val="000000"/>
      <w:kern w:val="28"/>
      <w:sz w:val="36"/>
      <w:szCs w:val="36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ascii="Helvetica" w:hAnsi="Helvetica" w:cs="Arial Unicode MS"/>
      <w:color w:val="000000"/>
      <w:u w:color="000000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uthor">
    <w:name w:val="Author"/>
    <w:pPr>
      <w:spacing w:line="280" w:lineRule="exact"/>
      <w:jc w:val="right"/>
    </w:pPr>
    <w:rPr>
      <w:rFonts w:ascii="Helvetica" w:eastAsia="Helvetica" w:hAnsi="Helvetica" w:cs="Helvetica"/>
      <w:b/>
      <w:bCs/>
      <w:color w:val="000000"/>
      <w:u w:color="000000"/>
    </w:rPr>
  </w:style>
  <w:style w:type="paragraph" w:customStyle="1" w:styleId="Affiliation">
    <w:name w:val="Affiliation"/>
    <w:pPr>
      <w:spacing w:after="240" w:line="240" w:lineRule="exact"/>
      <w:jc w:val="right"/>
    </w:pPr>
    <w:rPr>
      <w:rFonts w:ascii="Helvetica" w:hAnsi="Helvetica" w:cs="Arial Unicode MS"/>
      <w:color w:val="000000"/>
      <w:u w:color="000000"/>
    </w:rPr>
  </w:style>
  <w:style w:type="paragraph" w:customStyle="1" w:styleId="Copyright">
    <w:name w:val="Copyright"/>
    <w:pPr>
      <w:spacing w:after="960" w:line="200" w:lineRule="exact"/>
    </w:pPr>
    <w:rPr>
      <w:rFonts w:ascii="Helvetica" w:eastAsia="Helvetica" w:hAnsi="Helvetica" w:cs="Helvetica"/>
      <w:color w:val="000000"/>
      <w:sz w:val="16"/>
      <w:szCs w:val="16"/>
      <w:u w:color="000000"/>
    </w:rPr>
  </w:style>
  <w:style w:type="paragraph" w:customStyle="1" w:styleId="AbstHead">
    <w:name w:val="Abst Head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</w:rPr>
  </w:style>
  <w:style w:type="paragraph" w:customStyle="1" w:styleId="BodyA">
    <w:name w:val="Body A"/>
    <w:pPr>
      <w:spacing w:after="240"/>
      <w:jc w:val="both"/>
    </w:pPr>
    <w:rPr>
      <w:rFonts w:ascii="Helvetica" w:eastAsia="Helvetica" w:hAnsi="Helvetica" w:cs="Helvetica"/>
      <w:color w:val="000000"/>
      <w:u w:color="000000"/>
    </w:rPr>
  </w:style>
  <w:style w:type="paragraph" w:customStyle="1" w:styleId="Head1">
    <w:name w:val="Head1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</w:rPr>
  </w:style>
  <w:style w:type="paragraph" w:customStyle="1" w:styleId="ConcHead">
    <w:name w:val="Conc Head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</w:rPr>
  </w:style>
  <w:style w:type="paragraph" w:customStyle="1" w:styleId="AcknHead">
    <w:name w:val="Ackn Head"/>
    <w:pPr>
      <w:keepNext/>
      <w:spacing w:after="240"/>
    </w:pPr>
    <w:rPr>
      <w:rFonts w:ascii="Helvetica" w:eastAsia="Helvetica" w:hAnsi="Helvetica" w:cs="Helvetica"/>
      <w:b/>
      <w:bCs/>
      <w:caps/>
      <w:color w:val="000000"/>
      <w:sz w:val="22"/>
      <w:szCs w:val="22"/>
      <w:u w:color="000000"/>
    </w:rPr>
  </w:style>
  <w:style w:type="paragraph" w:customStyle="1" w:styleId="Body">
    <w:name w:val="Body"/>
    <w:rPr>
      <w:rFonts w:ascii="Helvetica" w:eastAsia="Helvetica" w:hAnsi="Helvetica" w:cs="Helvetica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ReferHead">
    <w:name w:val="Refer Head"/>
    <w:pPr>
      <w:keepNext/>
      <w:spacing w:after="240"/>
    </w:pPr>
    <w:rPr>
      <w:rFonts w:ascii="Helvetica" w:hAnsi="Helvetica" w:cs="Arial Unicode MS"/>
      <w:b/>
      <w:bCs/>
      <w:caps/>
      <w:color w:val="000000"/>
      <w:sz w:val="22"/>
      <w:szCs w:val="22"/>
      <w:u w:color="000000"/>
    </w:rPr>
  </w:style>
  <w:style w:type="paragraph" w:customStyle="1" w:styleId="Reference">
    <w:name w:val="Reference"/>
    <w:pPr>
      <w:tabs>
        <w:tab w:val="left" w:pos="360"/>
      </w:tabs>
      <w:spacing w:line="240" w:lineRule="exact"/>
      <w:jc w:val="both"/>
    </w:pPr>
    <w:rPr>
      <w:rFonts w:ascii="Helvetica" w:eastAsia="Helvetica" w:hAnsi="Helvetica" w:cs="Helvetica"/>
      <w:color w:val="000000"/>
      <w:u w:color="00000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D6A8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E5A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5A2A"/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XvW3u/iG3ZK9+zmspc5qynrc8Q==">CgMxLjA4AHIhMUVsQ0VtazM1c3VSN25WYlJtQ2dxM2VrLVNkbktlTlhz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2613</Words>
  <Characters>14897</Characters>
  <Application>Microsoft Office Word</Application>
  <DocSecurity>0</DocSecurity>
  <Lines>124</Lines>
  <Paragraphs>34</Paragraphs>
  <ScaleCrop>false</ScaleCrop>
  <Company/>
  <LinksUpToDate>false</LinksUpToDate>
  <CharactersWithSpaces>17476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CPU 1127</cp:lastModifiedBy>
  <cp:revision>3</cp:revision>
  <dcterms:created xsi:type="dcterms:W3CDTF">2025-03-03T04:07:00Z</dcterms:created>
  <dcterms:modified xsi:type="dcterms:W3CDTF">2025-03-11T05:18:00Z</dcterms:modified>
</cp:coreProperties>
</file>