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91AF0" w14:textId="6C0B1F82" w:rsidR="009F1DDF" w:rsidRDefault="009F1DDF" w:rsidP="00AC71BF">
      <w:pPr>
        <w:pStyle w:val="NormalWeb"/>
        <w:jc w:val="center"/>
        <w:rPr>
          <w:b/>
          <w:bCs/>
          <w:sz w:val="32"/>
          <w:szCs w:val="32"/>
          <w:lang w:val="en-GB"/>
        </w:rPr>
      </w:pPr>
    </w:p>
    <w:p w14:paraId="01C4B285" w14:textId="0124385B" w:rsidR="009F1DDF" w:rsidRPr="001A43E8" w:rsidRDefault="009F1DDF" w:rsidP="00AC71BF">
      <w:pPr>
        <w:pStyle w:val="NormalWeb"/>
        <w:jc w:val="center"/>
        <w:rPr>
          <w:rStyle w:val="Strong"/>
          <w:sz w:val="28"/>
          <w:lang w:val="en-US"/>
        </w:rPr>
      </w:pPr>
      <w:r w:rsidRPr="001A43E8">
        <w:rPr>
          <w:rStyle w:val="Strong"/>
          <w:sz w:val="28"/>
          <w:lang w:val="en-US"/>
        </w:rPr>
        <w:t>A clinical c</w:t>
      </w:r>
      <w:r w:rsidR="007F2072" w:rsidRPr="001A43E8">
        <w:rPr>
          <w:rStyle w:val="Strong"/>
          <w:sz w:val="28"/>
          <w:lang w:val="en-US"/>
        </w:rPr>
        <w:t>ase s</w:t>
      </w:r>
      <w:r w:rsidRPr="001A43E8">
        <w:rPr>
          <w:rStyle w:val="Strong"/>
          <w:sz w:val="28"/>
          <w:lang w:val="en-US"/>
        </w:rPr>
        <w:t xml:space="preserve">tudy on scarf pin ingestion: </w:t>
      </w:r>
      <w:r w:rsidR="00271099" w:rsidRPr="001A43E8">
        <w:rPr>
          <w:rStyle w:val="Strong"/>
          <w:sz w:val="28"/>
          <w:lang w:val="en-US"/>
        </w:rPr>
        <w:t>Diagnosis</w:t>
      </w:r>
      <w:r w:rsidRPr="001A43E8">
        <w:rPr>
          <w:rStyle w:val="Strong"/>
          <w:sz w:val="28"/>
          <w:lang w:val="en-US"/>
        </w:rPr>
        <w:t xml:space="preserve"> and Treatment</w:t>
      </w:r>
    </w:p>
    <w:p w14:paraId="6592B114" w14:textId="77777777" w:rsidR="00116C5A" w:rsidRPr="008D3529" w:rsidRDefault="00116C5A" w:rsidP="00AC71BF">
      <w:pPr>
        <w:pStyle w:val="NormalWeb"/>
        <w:jc w:val="center"/>
        <w:rPr>
          <w:rStyle w:val="Strong"/>
          <w:lang w:val="en-US"/>
        </w:rPr>
      </w:pPr>
    </w:p>
    <w:p w14:paraId="60F4D17A" w14:textId="0D6DF3D4" w:rsidR="008F5981" w:rsidRPr="008D3529" w:rsidRDefault="008F5981" w:rsidP="008F5981">
      <w:pPr>
        <w:pStyle w:val="NormalWeb"/>
        <w:jc w:val="both"/>
        <w:rPr>
          <w:rStyle w:val="Strong"/>
          <w:lang w:val="en-US"/>
        </w:rPr>
      </w:pPr>
      <w:r w:rsidRPr="008D3529">
        <w:rPr>
          <w:rStyle w:val="Strong"/>
          <w:rFonts w:hint="cs"/>
          <w:lang w:val="en-US"/>
        </w:rPr>
        <w:t xml:space="preserve">ABSTRACT </w:t>
      </w:r>
    </w:p>
    <w:p w14:paraId="3F3B9E5E" w14:textId="77777777" w:rsidR="00205195" w:rsidRPr="008D3529" w:rsidRDefault="00224156" w:rsidP="00224156">
      <w:pPr>
        <w:pStyle w:val="NormalWeb"/>
        <w:jc w:val="both"/>
        <w:rPr>
          <w:lang w:val="en-US"/>
        </w:rPr>
      </w:pPr>
      <w:r w:rsidRPr="008D3529">
        <w:rPr>
          <w:lang w:val="en-US"/>
        </w:rPr>
        <w:t>Background</w:t>
      </w:r>
      <w:r w:rsidR="00205195" w:rsidRPr="008D3529">
        <w:rPr>
          <w:lang w:val="en-US"/>
        </w:rPr>
        <w:t xml:space="preserve">: </w:t>
      </w:r>
      <w:r w:rsidRPr="008D3529">
        <w:rPr>
          <w:lang w:val="en-US"/>
        </w:rPr>
        <w:t>Foreign body ingestion, whether accidental or intentional, is a common occurrence and the second most frequent indication for emergency endoscopy. Symptoms can vary significantly depending on the patient, the type of foreign body, and its location, ranging from no clinical signs to severe and potentially life-threatening complications. However, another type of accidental ingestion—scarf pin ingestion—has been increasingly reported among young Muslim girls, drawing growing attention.</w:t>
      </w:r>
    </w:p>
    <w:p w14:paraId="2BAD17D1" w14:textId="5AD5EF28" w:rsidR="00224156" w:rsidRPr="008D3529" w:rsidRDefault="00224156" w:rsidP="00224156">
      <w:pPr>
        <w:pStyle w:val="NormalWeb"/>
        <w:jc w:val="both"/>
        <w:rPr>
          <w:lang w:val="en-US"/>
        </w:rPr>
      </w:pPr>
      <w:r w:rsidRPr="008D3529">
        <w:rPr>
          <w:lang w:val="en-US"/>
        </w:rPr>
        <w:t>Patients and Methods</w:t>
      </w:r>
      <w:r w:rsidR="00205195" w:rsidRPr="008D3529">
        <w:rPr>
          <w:lang w:val="en-US"/>
        </w:rPr>
        <w:t xml:space="preserve">: </w:t>
      </w:r>
      <w:r w:rsidRPr="008D3529">
        <w:rPr>
          <w:lang w:val="en-US"/>
        </w:rPr>
        <w:t>A retrospective study was conducted, including four patients who were admitted to the emergency department after swallowing a scarf pin.</w:t>
      </w:r>
    </w:p>
    <w:p w14:paraId="4346A3BC" w14:textId="52351131" w:rsidR="00224156" w:rsidRPr="008D3529" w:rsidRDefault="00224156" w:rsidP="00224156">
      <w:pPr>
        <w:pStyle w:val="NormalWeb"/>
        <w:jc w:val="both"/>
        <w:rPr>
          <w:lang w:val="en-US"/>
        </w:rPr>
      </w:pPr>
      <w:r w:rsidRPr="008D3529">
        <w:rPr>
          <w:lang w:val="en-US"/>
        </w:rPr>
        <w:t>Results</w:t>
      </w:r>
      <w:r w:rsidR="00205195" w:rsidRPr="008D3529">
        <w:rPr>
          <w:lang w:val="en-US"/>
        </w:rPr>
        <w:t xml:space="preserve">: </w:t>
      </w:r>
      <w:r w:rsidRPr="008D3529">
        <w:rPr>
          <w:lang w:val="en-US"/>
        </w:rPr>
        <w:t>Four veiled young women were admitted to the emergency department after accidentally swallowing a pin they had been holding between their lips while adjusting their veils. Plain abdominal radiographs taken at admission revealed a needle-shaped metallic shadow in the gastric region in all patients. Endoscopic extraction was successfully performed in all cases. Follow-up endoscopy confirmed the absence of mucosal lacerations in the esophagus or stomach, allowing all patients to be discharged the same day.</w:t>
      </w:r>
    </w:p>
    <w:p w14:paraId="2362B3A4" w14:textId="19086530" w:rsidR="00224156" w:rsidRPr="008D3529" w:rsidRDefault="00224156" w:rsidP="00224156">
      <w:pPr>
        <w:pStyle w:val="NormalWeb"/>
        <w:jc w:val="both"/>
        <w:rPr>
          <w:lang w:val="en-US"/>
        </w:rPr>
      </w:pPr>
      <w:r w:rsidRPr="008D3529">
        <w:rPr>
          <w:lang w:val="en-US"/>
        </w:rPr>
        <w:t>Conclusion</w:t>
      </w:r>
      <w:r w:rsidR="00205195" w:rsidRPr="008D3529">
        <w:rPr>
          <w:lang w:val="en-US"/>
        </w:rPr>
        <w:t xml:space="preserve">: </w:t>
      </w:r>
      <w:r w:rsidRPr="008D3529">
        <w:rPr>
          <w:lang w:val="en-US"/>
        </w:rPr>
        <w:t>Although this accident can be prevented, increasing public awareness of its potential complications is essential to reducing its occurrence.</w:t>
      </w:r>
    </w:p>
    <w:p w14:paraId="648E4B90" w14:textId="18380715" w:rsidR="008F5981" w:rsidRPr="008D3529" w:rsidRDefault="008F5981" w:rsidP="008F5981">
      <w:pPr>
        <w:pStyle w:val="NormalWeb"/>
        <w:jc w:val="both"/>
        <w:rPr>
          <w:i/>
          <w:iCs/>
          <w:lang w:val="en-US"/>
        </w:rPr>
      </w:pPr>
      <w:r w:rsidRPr="00697136">
        <w:rPr>
          <w:b/>
          <w:i/>
          <w:iCs/>
          <w:lang w:val="en-US"/>
        </w:rPr>
        <w:t>Keywords:</w:t>
      </w:r>
      <w:r w:rsidRPr="008D3529">
        <w:rPr>
          <w:i/>
          <w:iCs/>
          <w:sz w:val="20"/>
          <w:szCs w:val="20"/>
          <w:lang w:val="en-US"/>
        </w:rPr>
        <w:t xml:space="preserve"> </w:t>
      </w:r>
      <w:r w:rsidRPr="008D3529">
        <w:rPr>
          <w:sz w:val="22"/>
          <w:szCs w:val="22"/>
          <w:lang w:val="en-US"/>
        </w:rPr>
        <w:t>scarf pin ingestion</w:t>
      </w:r>
      <w:r w:rsidRPr="008D3529">
        <w:rPr>
          <w:b/>
          <w:bCs/>
          <w:sz w:val="22"/>
          <w:szCs w:val="22"/>
          <w:lang w:val="en-US"/>
        </w:rPr>
        <w:t xml:space="preserve">, </w:t>
      </w:r>
      <w:r w:rsidRPr="008D3529">
        <w:rPr>
          <w:rFonts w:hint="cs"/>
          <w:sz w:val="22"/>
          <w:szCs w:val="22"/>
          <w:lang w:val="en-US"/>
        </w:rPr>
        <w:t>endoscop</w:t>
      </w:r>
      <w:r w:rsidRPr="008D3529">
        <w:rPr>
          <w:sz w:val="22"/>
          <w:szCs w:val="22"/>
          <w:lang w:val="en-US"/>
        </w:rPr>
        <w:t xml:space="preserve">y, </w:t>
      </w:r>
      <w:proofErr w:type="spellStart"/>
      <w:r w:rsidRPr="008D3529">
        <w:rPr>
          <w:sz w:val="22"/>
          <w:szCs w:val="22"/>
          <w:lang w:val="en-US"/>
        </w:rPr>
        <w:t>hijabi</w:t>
      </w:r>
      <w:proofErr w:type="spellEnd"/>
      <w:r w:rsidRPr="008D3529">
        <w:rPr>
          <w:sz w:val="22"/>
          <w:szCs w:val="22"/>
          <w:lang w:val="en-US"/>
        </w:rPr>
        <w:t xml:space="preserve"> women</w:t>
      </w:r>
      <w:r w:rsidR="00697136">
        <w:rPr>
          <w:sz w:val="22"/>
          <w:szCs w:val="22"/>
          <w:lang w:val="en-US"/>
        </w:rPr>
        <w:t xml:space="preserve">, </w:t>
      </w:r>
      <w:r w:rsidR="00697136" w:rsidRPr="00697136">
        <w:rPr>
          <w:sz w:val="22"/>
          <w:szCs w:val="22"/>
          <w:lang w:val="en-US"/>
        </w:rPr>
        <w:t>Diagnosis and Treatment</w:t>
      </w:r>
    </w:p>
    <w:p w14:paraId="41F5AFB3" w14:textId="77777777" w:rsidR="008F5981" w:rsidRPr="008D3529" w:rsidRDefault="008F5981" w:rsidP="008F5981">
      <w:pPr>
        <w:pStyle w:val="NormalWeb"/>
        <w:numPr>
          <w:ilvl w:val="0"/>
          <w:numId w:val="2"/>
        </w:numPr>
        <w:jc w:val="both"/>
        <w:rPr>
          <w:rStyle w:val="Strong"/>
          <w:lang w:val="en-US"/>
        </w:rPr>
      </w:pPr>
      <w:r w:rsidRPr="008D3529">
        <w:rPr>
          <w:rStyle w:val="Strong"/>
          <w:rFonts w:hint="cs"/>
          <w:lang w:val="en-US"/>
        </w:rPr>
        <w:t>INTRODUCTION</w:t>
      </w:r>
    </w:p>
    <w:p w14:paraId="09623E72" w14:textId="77777777" w:rsidR="008F5981" w:rsidRPr="008D3529" w:rsidRDefault="008F5981" w:rsidP="008F5981">
      <w:pPr>
        <w:pStyle w:val="NormalWeb"/>
        <w:jc w:val="both"/>
        <w:rPr>
          <w:b/>
          <w:bCs/>
          <w:lang w:val="en-US"/>
        </w:rPr>
      </w:pPr>
      <w:r w:rsidRPr="008D3529">
        <w:rPr>
          <w:rFonts w:hint="cs"/>
          <w:lang w:val="en-US"/>
        </w:rPr>
        <w:t>Foreign body ingestion primarily results from the accidental swallowing of objects. While the exact frequency of this phenomenon is unknown, most cases occur in children, with the highest incidence between 6 months and 6 years [1]. In healthy adults, this type of incident is more common in individuals with psychiatric disorders, developmental delays, or those under the influence of alcohol. However, another type of accidental ingestion is becoming more significant, notably scarf pins, reported among young Muslim girls who hold them between their lips or teeth while adjusting their headscarves. The hijab pin is a pointed metal object about 3 cm long with a small plastic ball at one end (Fig. 1). Due to the sharp tip and length of the pin, this ingestion poses a particularly high risk of perforation, aspiration, or bleeding.</w:t>
      </w:r>
      <w:r w:rsidRPr="008D3529">
        <w:rPr>
          <w:rFonts w:hint="cs"/>
          <w:lang w:val="en-US"/>
        </w:rPr>
        <w:br/>
        <w:t>We report the cases of four young women who accidentally swallowed a hijab pin and review the literature on this topic.</w:t>
      </w:r>
    </w:p>
    <w:p w14:paraId="19025BC8" w14:textId="77777777" w:rsidR="008F5981" w:rsidRPr="008D3529" w:rsidRDefault="008F5981" w:rsidP="008F5981">
      <w:pPr>
        <w:pStyle w:val="NormalWeb"/>
        <w:keepNext/>
        <w:jc w:val="center"/>
      </w:pPr>
      <w:r w:rsidRPr="008D3529">
        <w:rPr>
          <w:rFonts w:hint="cs"/>
          <w:noProof/>
          <w:color w:val="000000" w:themeColor="text1"/>
          <w:lang w:val="en-US" w:eastAsia="en-US"/>
        </w:rPr>
        <w:lastRenderedPageBreak/>
        <w:drawing>
          <wp:inline distT="0" distB="0" distL="0" distR="0" wp14:anchorId="25AA394D" wp14:editId="0E64FDD7">
            <wp:extent cx="2461846" cy="1673225"/>
            <wp:effectExtent l="0" t="0" r="2540" b="3175"/>
            <wp:docPr id="650900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99023" name="Image 599399023"/>
                    <pic:cNvPicPr/>
                  </pic:nvPicPr>
                  <pic:blipFill rotWithShape="1">
                    <a:blip r:embed="rId7" cstate="print">
                      <a:extLst>
                        <a:ext uri="{28A0092B-C50C-407E-A947-70E740481C1C}">
                          <a14:useLocalDpi xmlns:a14="http://schemas.microsoft.com/office/drawing/2010/main" val="0"/>
                        </a:ext>
                      </a:extLst>
                    </a:blip>
                    <a:srcRect l="35553" t="36839" r="20373" b="28155"/>
                    <a:stretch/>
                  </pic:blipFill>
                  <pic:spPr bwMode="auto">
                    <a:xfrm>
                      <a:off x="0" y="0"/>
                      <a:ext cx="2495867" cy="1696348"/>
                    </a:xfrm>
                    <a:prstGeom prst="rect">
                      <a:avLst/>
                    </a:prstGeom>
                    <a:ln>
                      <a:noFill/>
                    </a:ln>
                    <a:extLst>
                      <a:ext uri="{53640926-AAD7-44D8-BBD7-CCE9431645EC}">
                        <a14:shadowObscured xmlns:a14="http://schemas.microsoft.com/office/drawing/2010/main"/>
                      </a:ext>
                    </a:extLst>
                  </pic:spPr>
                </pic:pic>
              </a:graphicData>
            </a:graphic>
          </wp:inline>
        </w:drawing>
      </w:r>
    </w:p>
    <w:p w14:paraId="0A87BC42" w14:textId="387468C0" w:rsidR="008F5981" w:rsidRPr="008D3529" w:rsidRDefault="008F5981" w:rsidP="008F5981">
      <w:pPr>
        <w:pStyle w:val="Caption"/>
        <w:jc w:val="center"/>
        <w:rPr>
          <w:lang w:val="en-US"/>
        </w:rPr>
      </w:pPr>
      <w:r w:rsidRPr="008D3529">
        <w:rPr>
          <w:rFonts w:hint="cs"/>
          <w:lang w:val="en-US"/>
        </w:rPr>
        <w:t xml:space="preserve">Figure 1: A hijab pin </w:t>
      </w:r>
      <w:r w:rsidRPr="008D3529">
        <w:rPr>
          <w:rFonts w:ascii="Cambria Math" w:hAnsi="Cambria Math" w:cs="Cambria Math"/>
          <w:lang w:val="en-US"/>
        </w:rPr>
        <w:t>∼</w:t>
      </w:r>
      <w:r w:rsidRPr="008D3529">
        <w:rPr>
          <w:rFonts w:hint="cs"/>
          <w:lang w:val="en-US"/>
        </w:rPr>
        <w:t>3 cm in length with a plastic ball head.</w:t>
      </w:r>
    </w:p>
    <w:p w14:paraId="144DF716" w14:textId="77777777" w:rsidR="008F5981" w:rsidRPr="008D3529" w:rsidRDefault="008F5981" w:rsidP="008F5981">
      <w:pPr>
        <w:pStyle w:val="NormalWeb"/>
        <w:numPr>
          <w:ilvl w:val="0"/>
          <w:numId w:val="2"/>
        </w:numPr>
        <w:jc w:val="both"/>
        <w:rPr>
          <w:rStyle w:val="Strong"/>
          <w:lang w:val="en-US"/>
        </w:rPr>
      </w:pPr>
      <w:r w:rsidRPr="008D3529">
        <w:rPr>
          <w:rStyle w:val="Strong"/>
          <w:rFonts w:hint="cs"/>
          <w:lang w:val="en-US"/>
        </w:rPr>
        <w:t>CASE</w:t>
      </w:r>
      <w:r w:rsidRPr="008D3529">
        <w:rPr>
          <w:rStyle w:val="Strong"/>
          <w:lang w:val="en-US"/>
        </w:rPr>
        <w:t>S</w:t>
      </w:r>
      <w:r w:rsidRPr="008D3529">
        <w:rPr>
          <w:rStyle w:val="Strong"/>
          <w:rFonts w:hint="cs"/>
          <w:lang w:val="en-US"/>
        </w:rPr>
        <w:t xml:space="preserve"> PRESENTATION</w:t>
      </w:r>
    </w:p>
    <w:p w14:paraId="0E0CC8EF" w14:textId="77777777" w:rsidR="008F5981" w:rsidRPr="008D3529" w:rsidRDefault="008F5981" w:rsidP="008F5981">
      <w:pPr>
        <w:pStyle w:val="NormalWeb"/>
        <w:jc w:val="both"/>
        <w:rPr>
          <w:lang w:val="en-US"/>
        </w:rPr>
      </w:pPr>
      <w:r w:rsidRPr="008D3529">
        <w:rPr>
          <w:rFonts w:hint="cs"/>
          <w:lang w:val="en-US"/>
        </w:rPr>
        <w:t>Four patients were admitted to the emergency department after accidentally swallowing a scarf pin. These pins are used to secure the hijab, a religious veil worn by Muslim women that covers the hair and neck. The patients, young Muslim women aged 18 to 20, explained that they usually held the pin between their teeth while adjusting their hijab. One of them mentioned holding the pin between her lips when she accidentally coughed while arranging her veil. Each patient had swallowed a single pin. The average consultation delay was three days, ranging from two to seven days. They had no significant medical history and were all asymptomatic, except for one who reported cervical discomfort when swallowing. Upon arrival, vital signs were normal, and clinical examination revealed no abnormalities.</w:t>
      </w:r>
      <w:r w:rsidRPr="008D3529">
        <w:rPr>
          <w:rFonts w:hint="cs"/>
          <w:lang w:val="en-US"/>
        </w:rPr>
        <w:br/>
        <w:t xml:space="preserve">Plain abdominal radiographs taken at admission showed a needle-shaped metallic shadow in the area corresponding to the gastric region in all patients (Fig. 2). </w:t>
      </w:r>
    </w:p>
    <w:p w14:paraId="1B85264F" w14:textId="77777777" w:rsidR="008F5981" w:rsidRPr="008D3529" w:rsidRDefault="008F5981" w:rsidP="008F5981">
      <w:pPr>
        <w:pStyle w:val="NormalWeb"/>
        <w:jc w:val="center"/>
        <w:rPr>
          <w:lang w:val="en-US"/>
        </w:rPr>
      </w:pPr>
      <w:r w:rsidRPr="008D3529">
        <w:rPr>
          <w:rFonts w:hint="cs"/>
          <w:noProof/>
          <w:color w:val="000000" w:themeColor="text1"/>
          <w:lang w:val="en-US" w:eastAsia="en-US"/>
          <w14:ligatures w14:val="standardContextual"/>
        </w:rPr>
        <mc:AlternateContent>
          <mc:Choice Requires="wps">
            <w:drawing>
              <wp:anchor distT="0" distB="0" distL="114300" distR="114300" simplePos="0" relativeHeight="251660288" behindDoc="0" locked="0" layoutInCell="1" allowOverlap="1" wp14:anchorId="536AE3CA" wp14:editId="46B1AF8C">
                <wp:simplePos x="0" y="0"/>
                <wp:positionH relativeFrom="column">
                  <wp:posOffset>3104422</wp:posOffset>
                </wp:positionH>
                <wp:positionV relativeFrom="paragraph">
                  <wp:posOffset>431659</wp:posOffset>
                </wp:positionV>
                <wp:extent cx="324092" cy="80692"/>
                <wp:effectExtent l="12700" t="12700" r="6350" b="33655"/>
                <wp:wrapNone/>
                <wp:docPr id="531380724" name="Flèche vers la droite 1"/>
                <wp:cNvGraphicFramePr/>
                <a:graphic xmlns:a="http://schemas.openxmlformats.org/drawingml/2006/main">
                  <a:graphicData uri="http://schemas.microsoft.com/office/word/2010/wordprocessingShape">
                    <wps:wsp>
                      <wps:cNvSpPr/>
                      <wps:spPr>
                        <a:xfrm rot="705384" flipV="1">
                          <a:off x="0" y="0"/>
                          <a:ext cx="324092" cy="80692"/>
                        </a:xfrm>
                        <a:prstGeom prst="rightArrow">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050DCC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 o:spid="_x0000_s1026" type="#_x0000_t13" style="position:absolute;margin-left:244.45pt;margin-top:34pt;width:25.5pt;height:6.35pt;rotation:-770467fd;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" adj="18911" fillcolor="#c00000" stroked="f" strokeweight="1pt"/>
            </w:pict>
          </mc:Fallback>
        </mc:AlternateContent>
      </w:r>
      <w:r w:rsidRPr="008D3529">
        <w:rPr>
          <w:rFonts w:hint="cs"/>
        </w:rPr>
        <w:fldChar w:fldCharType="begin"/>
      </w:r>
      <w:r w:rsidRPr="008D3529">
        <w:rPr>
          <w:rFonts w:hint="cs"/>
        </w:rPr>
        <w:instrText xml:space="preserve"> INCLUDEPICTURE "/Users/Med/Library/Group Containers/UBF8T346G9.ms/WebArchiveCopyPasteTempFiles/com.microsoft.Word/page21image29523392" \* MERGEFORMATINET </w:instrText>
      </w:r>
      <w:r w:rsidRPr="008D3529">
        <w:rPr>
          <w:rFonts w:hint="cs"/>
        </w:rPr>
        <w:fldChar w:fldCharType="separate"/>
      </w:r>
      <w:r w:rsidRPr="008D3529">
        <w:rPr>
          <w:rFonts w:hint="cs"/>
          <w:noProof/>
          <w:lang w:val="en-US" w:eastAsia="en-US"/>
        </w:rPr>
        <w:drawing>
          <wp:inline distT="0" distB="0" distL="0" distR="0" wp14:anchorId="29A86EAB" wp14:editId="3DAA63AC">
            <wp:extent cx="2363373" cy="2447290"/>
            <wp:effectExtent l="0" t="0" r="0" b="3810"/>
            <wp:docPr id="1964201047" name="Image 5" descr="page21image2952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1image29523392"/>
                    <pic:cNvPicPr>
                      <a:picLocks noChangeAspect="1" noChangeArrowheads="1"/>
                    </pic:cNvPicPr>
                  </pic:nvPicPr>
                  <pic:blipFill rotWithShape="1">
                    <a:blip r:embed="rId8">
                      <a:extLst>
                        <a:ext uri="{28A0092B-C50C-407E-A947-70E740481C1C}">
                          <a14:useLocalDpi xmlns:a14="http://schemas.microsoft.com/office/drawing/2010/main" val="0"/>
                        </a:ext>
                      </a:extLst>
                    </a:blip>
                    <a:srcRect l="1195" r="5379"/>
                    <a:stretch/>
                  </pic:blipFill>
                  <pic:spPr bwMode="auto">
                    <a:xfrm>
                      <a:off x="0" y="0"/>
                      <a:ext cx="2399239" cy="2484430"/>
                    </a:xfrm>
                    <a:prstGeom prst="rect">
                      <a:avLst/>
                    </a:prstGeom>
                    <a:noFill/>
                    <a:ln>
                      <a:noFill/>
                    </a:ln>
                    <a:extLst>
                      <a:ext uri="{53640926-AAD7-44D8-BBD7-CCE9431645EC}">
                        <a14:shadowObscured xmlns:a14="http://schemas.microsoft.com/office/drawing/2010/main"/>
                      </a:ext>
                    </a:extLst>
                  </pic:spPr>
                </pic:pic>
              </a:graphicData>
            </a:graphic>
          </wp:inline>
        </w:drawing>
      </w:r>
      <w:r w:rsidRPr="008D3529">
        <w:rPr>
          <w:rFonts w:hint="cs"/>
        </w:rPr>
        <w:fldChar w:fldCharType="end"/>
      </w:r>
    </w:p>
    <w:p w14:paraId="5E1B61FD" w14:textId="77777777" w:rsidR="008F5981" w:rsidRPr="008D3529" w:rsidRDefault="008F5981" w:rsidP="008F5981">
      <w:pPr>
        <w:pStyle w:val="Caption"/>
        <w:spacing w:line="276" w:lineRule="auto"/>
        <w:jc w:val="center"/>
        <w:rPr>
          <w:lang w:val="en-US"/>
        </w:rPr>
      </w:pPr>
      <w:r w:rsidRPr="008D3529">
        <w:rPr>
          <w:rFonts w:hint="cs"/>
          <w:lang w:val="en-US"/>
        </w:rPr>
        <w:t xml:space="preserve">Figure </w:t>
      </w:r>
      <w:proofErr w:type="gramStart"/>
      <w:r w:rsidRPr="008D3529">
        <w:rPr>
          <w:rFonts w:hint="cs"/>
          <w:lang w:val="en-US"/>
        </w:rPr>
        <w:t>2 :</w:t>
      </w:r>
      <w:proofErr w:type="gramEnd"/>
      <w:r w:rsidRPr="008D3529">
        <w:rPr>
          <w:rFonts w:hint="cs"/>
          <w:lang w:val="en-US"/>
        </w:rPr>
        <w:t xml:space="preserve"> An unprepared abdominal film showing a needle in an intragastric position.</w:t>
      </w:r>
    </w:p>
    <w:p w14:paraId="5B8B1714" w14:textId="77777777" w:rsidR="008F5981" w:rsidRPr="008D3529" w:rsidRDefault="008F5981" w:rsidP="008F5981">
      <w:pPr>
        <w:pStyle w:val="NormalWeb"/>
        <w:jc w:val="both"/>
        <w:rPr>
          <w:lang w:val="en-US"/>
        </w:rPr>
      </w:pPr>
      <w:r w:rsidRPr="008D3529">
        <w:rPr>
          <w:rFonts w:hint="cs"/>
          <w:lang w:val="en-US"/>
        </w:rPr>
        <w:t>One patient also underwent an abdominal CT scan, revealing a 23 mm linear foreign body in the antrum-pyloric region without detectable complications (Fig. 3).</w:t>
      </w:r>
    </w:p>
    <w:p w14:paraId="020130E3" w14:textId="77777777" w:rsidR="008F5981" w:rsidRPr="008D3529" w:rsidRDefault="008F5981" w:rsidP="008F5981">
      <w:pPr>
        <w:pStyle w:val="NormalWeb"/>
        <w:jc w:val="center"/>
        <w:rPr>
          <w:lang w:val="en-US"/>
        </w:rPr>
      </w:pPr>
      <w:r w:rsidRPr="008D3529">
        <w:rPr>
          <w:rFonts w:hint="cs"/>
          <w:noProof/>
          <w:color w:val="000000" w:themeColor="text1"/>
          <w:lang w:val="en-US" w:eastAsia="en-US"/>
          <w14:ligatures w14:val="standardContextual"/>
        </w:rPr>
        <w:lastRenderedPageBreak/>
        <mc:AlternateContent>
          <mc:Choice Requires="wps">
            <w:drawing>
              <wp:anchor distT="0" distB="0" distL="114300" distR="114300" simplePos="0" relativeHeight="251659264" behindDoc="0" locked="0" layoutInCell="1" allowOverlap="1" wp14:anchorId="4CBE973F" wp14:editId="46BD3CF4">
                <wp:simplePos x="0" y="0"/>
                <wp:positionH relativeFrom="column">
                  <wp:posOffset>2225215</wp:posOffset>
                </wp:positionH>
                <wp:positionV relativeFrom="paragraph">
                  <wp:posOffset>610767</wp:posOffset>
                </wp:positionV>
                <wp:extent cx="324092" cy="93924"/>
                <wp:effectExtent l="12700" t="25400" r="0" b="33655"/>
                <wp:wrapNone/>
                <wp:docPr id="1067863883" name="Flèche vers la droite 1"/>
                <wp:cNvGraphicFramePr/>
                <a:graphic xmlns:a="http://schemas.openxmlformats.org/drawingml/2006/main">
                  <a:graphicData uri="http://schemas.microsoft.com/office/word/2010/wordprocessingShape">
                    <wps:wsp>
                      <wps:cNvSpPr/>
                      <wps:spPr>
                        <a:xfrm rot="906620">
                          <a:off x="0" y="0"/>
                          <a:ext cx="324092" cy="93924"/>
                        </a:xfrm>
                        <a:prstGeom prst="rightArrow">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3E32CE32" id="Flèche vers la droite 1" o:spid="_x0000_s1026" type="#_x0000_t13" style="position:absolute;margin-left:175.2pt;margin-top:48.1pt;width:25.5pt;height:7.4pt;rotation:990271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" adj="18470" fillcolor="#c00000" stroked="f" strokeweight="1pt"/>
            </w:pict>
          </mc:Fallback>
        </mc:AlternateContent>
      </w:r>
      <w:r w:rsidRPr="008D3529">
        <w:rPr>
          <w:rFonts w:hint="cs"/>
          <w:noProof/>
          <w:color w:val="000000" w:themeColor="text1"/>
          <w:lang w:val="en-US" w:eastAsia="en-US"/>
        </w:rPr>
        <w:drawing>
          <wp:inline distT="0" distB="0" distL="0" distR="0" wp14:anchorId="64D83A26" wp14:editId="563BB804">
            <wp:extent cx="2772308" cy="2186695"/>
            <wp:effectExtent l="0" t="0" r="0" b="0"/>
            <wp:docPr id="15527964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57529" name="Image 1888957529"/>
                    <pic:cNvPicPr/>
                  </pic:nvPicPr>
                  <pic:blipFill rotWithShape="1">
                    <a:blip r:embed="rId9">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6025" t="8538" r="13125" b="8029"/>
                    <a:stretch/>
                  </pic:blipFill>
                  <pic:spPr bwMode="auto">
                    <a:xfrm>
                      <a:off x="0" y="0"/>
                      <a:ext cx="2784276" cy="2196135"/>
                    </a:xfrm>
                    <a:prstGeom prst="rect">
                      <a:avLst/>
                    </a:prstGeom>
                    <a:ln>
                      <a:noFill/>
                    </a:ln>
                    <a:extLst>
                      <a:ext uri="{53640926-AAD7-44D8-BBD7-CCE9431645EC}">
                        <a14:shadowObscured xmlns:a14="http://schemas.microsoft.com/office/drawing/2010/main"/>
                      </a:ext>
                    </a:extLst>
                  </pic:spPr>
                </pic:pic>
              </a:graphicData>
            </a:graphic>
          </wp:inline>
        </w:drawing>
      </w:r>
    </w:p>
    <w:p w14:paraId="02BD270C" w14:textId="77777777" w:rsidR="008F5981" w:rsidRPr="008D3529" w:rsidRDefault="008F5981" w:rsidP="008F5981">
      <w:pPr>
        <w:pStyle w:val="Caption"/>
        <w:jc w:val="center"/>
        <w:rPr>
          <w:lang w:val="en-US"/>
        </w:rPr>
      </w:pPr>
      <w:r w:rsidRPr="008D3529">
        <w:rPr>
          <w:rFonts w:hint="cs"/>
          <w:lang w:val="en-US"/>
        </w:rPr>
        <w:t xml:space="preserve">Figure </w:t>
      </w:r>
      <w:proofErr w:type="gramStart"/>
      <w:r w:rsidRPr="008D3529">
        <w:rPr>
          <w:rFonts w:hint="cs"/>
          <w:lang w:val="en-US"/>
        </w:rPr>
        <w:t>3 :</w:t>
      </w:r>
      <w:proofErr w:type="gramEnd"/>
      <w:r w:rsidRPr="008D3529">
        <w:rPr>
          <w:rFonts w:hint="cs"/>
          <w:lang w:val="en-US"/>
        </w:rPr>
        <w:t xml:space="preserve"> A CT scan showing the presence of a linear foreign body in the </w:t>
      </w:r>
      <w:proofErr w:type="spellStart"/>
      <w:r w:rsidRPr="008D3529">
        <w:rPr>
          <w:rFonts w:hint="cs"/>
          <w:lang w:val="en-US"/>
        </w:rPr>
        <w:t>antropyloric</w:t>
      </w:r>
      <w:proofErr w:type="spellEnd"/>
      <w:r w:rsidRPr="008D3529">
        <w:rPr>
          <w:rFonts w:hint="cs"/>
          <w:lang w:val="en-US"/>
        </w:rPr>
        <w:t xml:space="preserve"> region.</w:t>
      </w:r>
    </w:p>
    <w:p w14:paraId="2D8F9BC7" w14:textId="77777777" w:rsidR="008F5981" w:rsidRPr="008D3529" w:rsidRDefault="008F5981" w:rsidP="008F5981">
      <w:pPr>
        <w:pStyle w:val="NormalWeb"/>
        <w:jc w:val="both"/>
        <w:rPr>
          <w:lang w:val="en-US"/>
        </w:rPr>
      </w:pPr>
      <w:r w:rsidRPr="008D3529">
        <w:rPr>
          <w:rFonts w:hint="cs"/>
          <w:lang w:val="en-US"/>
        </w:rPr>
        <w:t>Emergency esophagogastroduodenoscopy was performed under sedation for all patients. The scarf pins were located in the antral region in three patients, with one pin embedded (Fig. 4), and in the duodenal region in the fourth patient. No severe mucosal lesions were observed in the esophagus or stomach. Endoscopic extraction was performed using a polypectomy snare in one case (Fig. 5), a crocodile snare in another, and a rat-tooth snare in two cases. A follow-up endoscopy confirmed the absence of mucosal lacerations in the esophagus or stomach, allowing all patients to be discharged the same day.</w:t>
      </w:r>
    </w:p>
    <w:p w14:paraId="7957F667" w14:textId="77777777" w:rsidR="008F5981" w:rsidRPr="008D3529" w:rsidRDefault="008F5981" w:rsidP="008F5981">
      <w:pPr>
        <w:pStyle w:val="NormalWeb"/>
        <w:keepNext/>
        <w:jc w:val="center"/>
      </w:pPr>
      <w:r w:rsidRPr="008D3529">
        <w:rPr>
          <w:rFonts w:hint="cs"/>
          <w:noProof/>
          <w:color w:val="000000" w:themeColor="text1"/>
          <w:lang w:val="en-US" w:eastAsia="en-US"/>
        </w:rPr>
        <w:drawing>
          <wp:inline distT="0" distB="0" distL="0" distR="0" wp14:anchorId="4C0F6717" wp14:editId="05F2BDF1">
            <wp:extent cx="2247430" cy="1800000"/>
            <wp:effectExtent l="0" t="0" r="635" b="3810"/>
            <wp:docPr id="2092685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50202" name="Image 2116250202"/>
                    <pic:cNvPicPr/>
                  </pic:nvPicPr>
                  <pic:blipFill rotWithShape="1">
                    <a:blip r:embed="rId11" cstate="print">
                      <a:extLst>
                        <a:ext uri="{28A0092B-C50C-407E-A947-70E740481C1C}">
                          <a14:useLocalDpi xmlns:a14="http://schemas.microsoft.com/office/drawing/2010/main" val="0"/>
                        </a:ext>
                      </a:extLst>
                    </a:blip>
                    <a:srcRect l="30886" t="40269" r="13470" b="39907"/>
                    <a:stretch/>
                  </pic:blipFill>
                  <pic:spPr bwMode="auto">
                    <a:xfrm>
                      <a:off x="0" y="0"/>
                      <a:ext cx="2247430" cy="1800000"/>
                    </a:xfrm>
                    <a:prstGeom prst="rect">
                      <a:avLst/>
                    </a:prstGeom>
                    <a:ln>
                      <a:noFill/>
                    </a:ln>
                    <a:extLst>
                      <a:ext uri="{53640926-AAD7-44D8-BBD7-CCE9431645EC}">
                        <a14:shadowObscured xmlns:a14="http://schemas.microsoft.com/office/drawing/2010/main"/>
                      </a:ext>
                    </a:extLst>
                  </pic:spPr>
                </pic:pic>
              </a:graphicData>
            </a:graphic>
          </wp:inline>
        </w:drawing>
      </w:r>
    </w:p>
    <w:p w14:paraId="3E94D32A" w14:textId="77777777" w:rsidR="008F5981" w:rsidRPr="008D3529" w:rsidRDefault="008F5981" w:rsidP="008F5981">
      <w:pPr>
        <w:pStyle w:val="Caption"/>
        <w:jc w:val="center"/>
        <w:rPr>
          <w:color w:val="auto"/>
          <w:lang w:val="en-US"/>
        </w:rPr>
      </w:pPr>
      <w:r w:rsidRPr="008D3529">
        <w:rPr>
          <w:rFonts w:hint="cs"/>
          <w:lang w:val="en-US"/>
        </w:rPr>
        <w:t>Figure 4: Pin embedded in the antrum.</w:t>
      </w:r>
    </w:p>
    <w:p w14:paraId="6E75D4F0" w14:textId="77777777" w:rsidR="008F5981" w:rsidRPr="008D3529" w:rsidRDefault="008F5981" w:rsidP="008F5981">
      <w:pPr>
        <w:pStyle w:val="NormalWeb"/>
        <w:keepNext/>
        <w:jc w:val="center"/>
      </w:pPr>
      <w:r w:rsidRPr="008D3529">
        <w:rPr>
          <w:rFonts w:hint="cs"/>
          <w:noProof/>
          <w:color w:val="000000" w:themeColor="text1"/>
          <w:lang w:val="en-US" w:eastAsia="en-US"/>
        </w:rPr>
        <w:drawing>
          <wp:inline distT="0" distB="0" distL="0" distR="0" wp14:anchorId="4C6D7F32" wp14:editId="1FB5874B">
            <wp:extent cx="2232000" cy="1834681"/>
            <wp:effectExtent l="0" t="0" r="3810" b="0"/>
            <wp:docPr id="742426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03867" name="Image 873303867"/>
                    <pic:cNvPicPr/>
                  </pic:nvPicPr>
                  <pic:blipFill rotWithShape="1">
                    <a:blip r:embed="rId12" cstate="print">
                      <a:extLst>
                        <a:ext uri="{28A0092B-C50C-407E-A947-70E740481C1C}">
                          <a14:useLocalDpi xmlns:a14="http://schemas.microsoft.com/office/drawing/2010/main" val="0"/>
                        </a:ext>
                      </a:extLst>
                    </a:blip>
                    <a:srcRect l="34986" t="37651" r="1370" b="38216"/>
                    <a:stretch/>
                  </pic:blipFill>
                  <pic:spPr bwMode="auto">
                    <a:xfrm>
                      <a:off x="0" y="0"/>
                      <a:ext cx="2232000" cy="1834681"/>
                    </a:xfrm>
                    <a:prstGeom prst="rect">
                      <a:avLst/>
                    </a:prstGeom>
                    <a:ln>
                      <a:noFill/>
                    </a:ln>
                    <a:extLst>
                      <a:ext uri="{53640926-AAD7-44D8-BBD7-CCE9431645EC}">
                        <a14:shadowObscured xmlns:a14="http://schemas.microsoft.com/office/drawing/2010/main"/>
                      </a:ext>
                    </a:extLst>
                  </pic:spPr>
                </pic:pic>
              </a:graphicData>
            </a:graphic>
          </wp:inline>
        </w:drawing>
      </w:r>
    </w:p>
    <w:p w14:paraId="3976DD7F" w14:textId="77777777" w:rsidR="008F5981" w:rsidRPr="008D3529" w:rsidRDefault="008F5981" w:rsidP="008F5981">
      <w:pPr>
        <w:pStyle w:val="NormalWeb"/>
        <w:jc w:val="center"/>
        <w:rPr>
          <w:rStyle w:val="Strong"/>
          <w:rFonts w:eastAsiaTheme="minorHAnsi"/>
          <w:b w:val="0"/>
          <w:bCs w:val="0"/>
          <w:i/>
          <w:iCs/>
          <w:color w:val="44546A" w:themeColor="text2"/>
          <w:kern w:val="2"/>
          <w:sz w:val="18"/>
          <w:szCs w:val="18"/>
          <w:lang w:val="en-US" w:eastAsia="en-US"/>
          <w14:ligatures w14:val="standardContextual"/>
        </w:rPr>
      </w:pPr>
      <w:r w:rsidRPr="008D3529">
        <w:rPr>
          <w:rFonts w:eastAsiaTheme="minorHAnsi" w:hint="cs"/>
          <w:i/>
          <w:iCs/>
          <w:color w:val="44546A" w:themeColor="text2"/>
          <w:kern w:val="2"/>
          <w:sz w:val="18"/>
          <w:szCs w:val="18"/>
          <w:lang w:val="en-US" w:eastAsia="en-US"/>
          <w14:ligatures w14:val="standardContextual"/>
        </w:rPr>
        <w:t>Figure 5: Successful extraction of the needle using the polypectomy loop.</w:t>
      </w:r>
    </w:p>
    <w:p w14:paraId="201C109A" w14:textId="77777777" w:rsidR="008F5981" w:rsidRPr="008D3529" w:rsidRDefault="008F5981" w:rsidP="008F5981">
      <w:pPr>
        <w:pStyle w:val="NormalWeb"/>
        <w:numPr>
          <w:ilvl w:val="0"/>
          <w:numId w:val="2"/>
        </w:numPr>
        <w:jc w:val="both"/>
        <w:rPr>
          <w:rStyle w:val="Strong"/>
          <w:lang w:val="en-US"/>
        </w:rPr>
      </w:pPr>
      <w:r w:rsidRPr="008D3529">
        <w:rPr>
          <w:rStyle w:val="Strong"/>
          <w:rFonts w:hint="cs"/>
          <w:lang w:val="en-US"/>
        </w:rPr>
        <w:t>DISCUSSION</w:t>
      </w:r>
    </w:p>
    <w:p w14:paraId="22C72108" w14:textId="77777777" w:rsidR="00A44F58" w:rsidRPr="008D3529" w:rsidRDefault="008F5981" w:rsidP="008F5981">
      <w:pPr>
        <w:pStyle w:val="NormalWeb"/>
        <w:jc w:val="both"/>
        <w:rPr>
          <w:lang w:val="en-US"/>
        </w:rPr>
      </w:pPr>
      <w:r w:rsidRPr="008D3529">
        <w:rPr>
          <w:rFonts w:hint="cs"/>
          <w:lang w:val="en-US"/>
        </w:rPr>
        <w:lastRenderedPageBreak/>
        <w:t>Accidental scarf pin ingestion, though rare, is relatively common among young Muslim women, with most reported cases</w:t>
      </w:r>
      <w:bookmarkStart w:id="0" w:name="_GoBack"/>
      <w:bookmarkEnd w:id="0"/>
      <w:r w:rsidRPr="008D3529">
        <w:rPr>
          <w:rFonts w:hint="cs"/>
          <w:lang w:val="en-US"/>
        </w:rPr>
        <w:t xml:space="preserve"> occurring in the 11 to 20 age group [2,3,4]. This situation often arises from the habit of holding pins between their teeth or lips while adjusting their hijab. It requires particular attention due to the risk of severe complications. These pins, classified as sharp foreign bodies, are particularly concerning due to the increased risk of intestinal perforation (15 to 35% of cases). Their impaction in the intestinal tract can cause local inflammation, leading to bleeding, obstructions, or erosions [2,5]. Rare complications, such as foreign body migration into the mediastinum and thorax, have also been reported [5]. The risk of complications is higher in patients with adhesions from previous abdominal surgery or pre-existing intestinal diseases, such as Crohn's disease [2].</w:t>
      </w:r>
      <w:r w:rsidRPr="008D3529">
        <w:rPr>
          <w:rFonts w:hint="cs"/>
          <w:lang w:val="en-US"/>
        </w:rPr>
        <w:br/>
        <w:t>The removal of these foreign bodies is prioritized when they are located in the esophagus or stomach [6]. It is recommended to extract them as soon as possible to limit complications. If extraction fails, daily clinical monitoring and follow-up radiographs are necessary. Surgical intervention is considered if the object has not progressed within three days of ingestion [7]. Although some cases report spontaneous passage of sharp foreign bodies in adults [8], many severe complications have been observed, such as perforated appendicitis, transluminal migration into the peritoneum, liver abscesses, or colon and small intestine perforations [9,10]. An Indian study on 75 young Muslim girls who accidentally ingested a scarf pin showed a successful recovery by esophagogastroduodenoscopy in 48% of patients, while the others were treated conservatively. However, 2.6% of patients developed peritonitis requiring laparotomy, and one patient died [2].</w:t>
      </w:r>
      <w:r w:rsidRPr="008D3529">
        <w:rPr>
          <w:rFonts w:hint="cs"/>
          <w:lang w:val="en-US"/>
        </w:rPr>
        <w:br/>
        <w:t xml:space="preserve">The study by </w:t>
      </w:r>
      <w:proofErr w:type="spellStart"/>
      <w:r w:rsidRPr="008D3529">
        <w:rPr>
          <w:rFonts w:hint="cs"/>
          <w:lang w:val="en-US"/>
        </w:rPr>
        <w:t>Yogev</w:t>
      </w:r>
      <w:proofErr w:type="spellEnd"/>
      <w:r w:rsidRPr="008D3529">
        <w:rPr>
          <w:rFonts w:hint="cs"/>
          <w:lang w:val="en-US"/>
        </w:rPr>
        <w:t xml:space="preserve"> et al. also demonstrated associated risks, with 208 patients having swallowed a hijab pin. Although the risk of catastrophic sequelae is low, it becomes significant if the pin remains impacted for several months </w:t>
      </w:r>
      <w:r w:rsidRPr="008D3529">
        <w:rPr>
          <w:rFonts w:hint="cs"/>
          <w:color w:val="000000" w:themeColor="text1"/>
          <w:lang w:val="en-US"/>
        </w:rPr>
        <w:t>[</w:t>
      </w:r>
      <w:r w:rsidRPr="008D3529">
        <w:rPr>
          <w:color w:val="000000" w:themeColor="text1"/>
          <w:lang w:val="en-US"/>
        </w:rPr>
        <w:t>11</w:t>
      </w:r>
      <w:r w:rsidRPr="008D3529">
        <w:rPr>
          <w:rFonts w:hint="cs"/>
          <w:color w:val="000000" w:themeColor="text1"/>
          <w:lang w:val="en-US"/>
        </w:rPr>
        <w:t>]</w:t>
      </w:r>
      <w:r w:rsidRPr="008D3529">
        <w:rPr>
          <w:rFonts w:hint="cs"/>
          <w:lang w:val="en-US"/>
        </w:rPr>
        <w:t xml:space="preserve">. Patients who recently ingested a pin or did so in the past few months should undergo a CT scan to rule out any infectious or mechanical risks </w:t>
      </w:r>
      <w:r w:rsidRPr="008D3529">
        <w:rPr>
          <w:rFonts w:hint="cs"/>
          <w:color w:val="000000" w:themeColor="text1"/>
          <w:lang w:val="en-US"/>
        </w:rPr>
        <w:t>[</w:t>
      </w:r>
      <w:r w:rsidRPr="008D3529">
        <w:rPr>
          <w:color w:val="000000" w:themeColor="text1"/>
          <w:lang w:val="en-US"/>
        </w:rPr>
        <w:t>12</w:t>
      </w:r>
      <w:r w:rsidRPr="008D3529">
        <w:rPr>
          <w:rFonts w:hint="cs"/>
          <w:color w:val="000000" w:themeColor="text1"/>
          <w:lang w:val="en-US"/>
        </w:rPr>
        <w:t>]</w:t>
      </w:r>
      <w:r w:rsidRPr="008D3529">
        <w:rPr>
          <w:rFonts w:hint="cs"/>
          <w:lang w:val="en-US"/>
        </w:rPr>
        <w:t>.</w:t>
      </w:r>
    </w:p>
    <w:p w14:paraId="48385EE2" w14:textId="77777777" w:rsidR="00A44F58" w:rsidRPr="008D3529" w:rsidRDefault="00A44F58" w:rsidP="00A44F58">
      <w:pPr>
        <w:pStyle w:val="NormalWeb"/>
        <w:jc w:val="both"/>
        <w:rPr>
          <w:lang w:val="en-US"/>
        </w:rPr>
      </w:pPr>
      <w:r w:rsidRPr="008D3529">
        <w:rPr>
          <w:lang w:val="en-US"/>
        </w:rPr>
        <w:t>The American Society for Gastrointestinal Endoscopy (ASGE) recommends urgent endoscopic extraction of foreign bodies that remain in the esophagus [13]. Once the object reaches the stomach, there is a limited window for endoscopic removal, as most foreign bodies are expelled within 4 to 6 days [3]. Similarly, the European Society of Gastrointestinal Endoscopy (ESGE) advises urgent endoscopic extraction of sharp foreign bodies in the esophagus, ideally within 2 to 6 hours. For those located in the stomach, intervention should occur within 24 hours of ingestion [7].</w:t>
      </w:r>
    </w:p>
    <w:p w14:paraId="359CD10E" w14:textId="4443FC6C" w:rsidR="00A44F58" w:rsidRPr="008D3529" w:rsidRDefault="00A44F58" w:rsidP="00A44F58">
      <w:pPr>
        <w:pStyle w:val="NormalWeb"/>
        <w:jc w:val="both"/>
        <w:rPr>
          <w:lang w:val="en-US"/>
        </w:rPr>
      </w:pPr>
      <w:r w:rsidRPr="008D3529">
        <w:rPr>
          <w:lang w:val="en-US"/>
        </w:rPr>
        <w:t xml:space="preserve">Endoscopic extraction requires access to various tools, including snares, polypectomy snares, </w:t>
      </w:r>
      <w:proofErr w:type="spellStart"/>
      <w:r w:rsidRPr="008D3529">
        <w:rPr>
          <w:lang w:val="en-US"/>
        </w:rPr>
        <w:t>Dormia</w:t>
      </w:r>
      <w:proofErr w:type="spellEnd"/>
      <w:r w:rsidRPr="008D3529">
        <w:rPr>
          <w:lang w:val="en-US"/>
        </w:rPr>
        <w:t xml:space="preserve"> baskets, and tripod forceps with "rat-tooth" or "crocodile" tips. Additionally, plastic protective caps are used to cover the tip of the endoscope, protecting the esophageal wall during the removal of sharp or pointed foreign bodies [14,15].</w:t>
      </w:r>
    </w:p>
    <w:p w14:paraId="6B0DCEBE" w14:textId="48D42FDE" w:rsidR="00C70980" w:rsidRPr="008D3529" w:rsidRDefault="00A44F58" w:rsidP="008F5981">
      <w:pPr>
        <w:pStyle w:val="NormalWeb"/>
        <w:jc w:val="both"/>
        <w:rPr>
          <w:lang w:val="en-US"/>
        </w:rPr>
      </w:pPr>
      <w:r w:rsidRPr="008D3529">
        <w:rPr>
          <w:lang w:val="en-US"/>
        </w:rPr>
        <w:t>If endoscopic extraction is not feasible, close clinical monitoring with radiographic follow-up is essential. In cases of bleeding or perforation, immediate surgical exploration is required. An endoscopic examination is also recommended after foreign body removal to assess for any residual complications [7].</w:t>
      </w:r>
    </w:p>
    <w:p w14:paraId="296143A7" w14:textId="77777777" w:rsidR="008F5981" w:rsidRPr="008D3529" w:rsidRDefault="008F5981" w:rsidP="008F5981">
      <w:pPr>
        <w:pStyle w:val="NormalWeb"/>
        <w:numPr>
          <w:ilvl w:val="0"/>
          <w:numId w:val="2"/>
        </w:numPr>
        <w:jc w:val="both"/>
        <w:rPr>
          <w:rStyle w:val="Strong"/>
          <w:lang w:val="en-US"/>
        </w:rPr>
      </w:pPr>
      <w:r w:rsidRPr="008D3529">
        <w:rPr>
          <w:rStyle w:val="Strong"/>
          <w:rFonts w:hint="cs"/>
          <w:lang w:val="en-US"/>
        </w:rPr>
        <w:t>CONCLUSION</w:t>
      </w:r>
    </w:p>
    <w:p w14:paraId="136D1B30" w14:textId="77777777" w:rsidR="008F5981" w:rsidRPr="008D3529" w:rsidRDefault="008F5981" w:rsidP="008F5981">
      <w:pPr>
        <w:pStyle w:val="NormalWeb"/>
        <w:spacing w:line="276" w:lineRule="auto"/>
        <w:jc w:val="both"/>
        <w:rPr>
          <w:b/>
          <w:bCs/>
          <w:color w:val="000000" w:themeColor="text1"/>
          <w:lang w:val="en-US"/>
        </w:rPr>
      </w:pPr>
      <w:r w:rsidRPr="008D3529">
        <w:rPr>
          <w:rFonts w:hint="cs"/>
          <w:lang w:val="en-US"/>
        </w:rPr>
        <w:t xml:space="preserve">Foreign body ingestion in adults is rare, but cases of hijab pin ingestion are increasing, posing a potential cultural risk among women who wear the veil. Early endoscopic extraction can </w:t>
      </w:r>
      <w:r w:rsidRPr="008D3529">
        <w:rPr>
          <w:rFonts w:hint="cs"/>
          <w:lang w:val="en-US"/>
        </w:rPr>
        <w:lastRenderedPageBreak/>
        <w:t>prevent complications such as hemorrhages or perforations. Although preventable, this issue requires health education to inform the public about the complications related to this accident.</w:t>
      </w:r>
    </w:p>
    <w:p w14:paraId="5BB8B8C8" w14:textId="77777777" w:rsidR="008F5981" w:rsidRPr="008D3529" w:rsidRDefault="008F5981" w:rsidP="008F5981">
      <w:pPr>
        <w:pStyle w:val="NormalWeb"/>
        <w:spacing w:line="276" w:lineRule="auto"/>
        <w:jc w:val="both"/>
        <w:rPr>
          <w:b/>
          <w:bCs/>
          <w:color w:val="000000" w:themeColor="text1"/>
          <w:lang w:val="en-US"/>
        </w:rPr>
      </w:pPr>
      <w:r w:rsidRPr="008D3529">
        <w:rPr>
          <w:b/>
          <w:bCs/>
          <w:color w:val="000000" w:themeColor="text1"/>
          <w:lang w:val="en-US"/>
        </w:rPr>
        <w:t xml:space="preserve">CONSENT </w:t>
      </w:r>
    </w:p>
    <w:p w14:paraId="5895C146" w14:textId="77777777" w:rsidR="008F5981" w:rsidRPr="008D3529" w:rsidRDefault="008F5981" w:rsidP="008F5981">
      <w:pPr>
        <w:pStyle w:val="NormalWeb"/>
        <w:spacing w:line="276" w:lineRule="auto"/>
        <w:jc w:val="both"/>
        <w:rPr>
          <w:lang w:val="en-US"/>
        </w:rPr>
      </w:pPr>
      <w:r w:rsidRPr="008D3529">
        <w:rPr>
          <w:lang w:val="en-US"/>
        </w:rPr>
        <w:t>As   per   international   standards   or   university standards, patient(s) written consent has been collected and preserved by the author(s).</w:t>
      </w:r>
    </w:p>
    <w:p w14:paraId="34900824" w14:textId="77777777" w:rsidR="006124F4" w:rsidRPr="008D3529" w:rsidRDefault="006124F4" w:rsidP="006124F4">
      <w:pPr>
        <w:rPr>
          <w:rFonts w:ascii="Times New Roman" w:eastAsia="Times New Roman" w:hAnsi="Times New Roman" w:cs="Times New Roman"/>
          <w:kern w:val="0"/>
          <w:lang w:val="en-US" w:eastAsia="fr-FR"/>
          <w14:ligatures w14:val="none"/>
        </w:rPr>
      </w:pPr>
    </w:p>
    <w:p w14:paraId="3A0885B5" w14:textId="77777777" w:rsidR="008074C8" w:rsidRPr="008D3529" w:rsidRDefault="008074C8" w:rsidP="008074C8">
      <w:pPr>
        <w:rPr>
          <w:rFonts w:ascii="Calibri" w:eastAsia="Calibri" w:hAnsi="Calibri" w:cs="Times New Roman"/>
          <w:b/>
          <w:bCs/>
          <w:lang w:val="en-US"/>
        </w:rPr>
      </w:pPr>
      <w:bookmarkStart w:id="1" w:name="_Hlk180402183"/>
      <w:bookmarkStart w:id="2" w:name="_Hlk183680988"/>
      <w:r w:rsidRPr="008D3529">
        <w:rPr>
          <w:rFonts w:ascii="Calibri" w:eastAsia="Calibri" w:hAnsi="Calibri" w:cs="Times New Roman"/>
          <w:b/>
          <w:bCs/>
          <w:lang w:val="en-US"/>
        </w:rPr>
        <w:t>Disclaimer (Artificial intelligence)</w:t>
      </w:r>
    </w:p>
    <w:p w14:paraId="7E78CB7B" w14:textId="77777777" w:rsidR="00F83167" w:rsidRPr="008D3529" w:rsidRDefault="00F83167" w:rsidP="008074C8">
      <w:pPr>
        <w:rPr>
          <w:rFonts w:ascii="Calibri" w:eastAsia="Calibri" w:hAnsi="Calibri" w:cs="Times New Roman"/>
          <w:lang w:val="en-US"/>
        </w:rPr>
      </w:pPr>
    </w:p>
    <w:p w14:paraId="7AB79AF6" w14:textId="5BA25A8D" w:rsidR="008074C8" w:rsidRPr="008D3529" w:rsidRDefault="008074C8" w:rsidP="008074C8">
      <w:pPr>
        <w:rPr>
          <w:rFonts w:ascii="Calibri" w:eastAsia="Calibri" w:hAnsi="Calibri" w:cs="Times New Roman"/>
          <w:lang w:val="en-US"/>
        </w:rPr>
      </w:pPr>
      <w:r w:rsidRPr="008D3529">
        <w:rPr>
          <w:rFonts w:ascii="Calibri" w:eastAsia="Calibri" w:hAnsi="Calibri" w:cs="Times New Roman"/>
          <w:lang w:val="en-US"/>
        </w:rPr>
        <w:t>Author(s) hereby declare that NO generative AI technologies such as Large Language Models (</w:t>
      </w:r>
      <w:proofErr w:type="spellStart"/>
      <w:r w:rsidRPr="008D3529">
        <w:rPr>
          <w:rFonts w:ascii="Calibri" w:eastAsia="Calibri" w:hAnsi="Calibri" w:cs="Times New Roman"/>
          <w:lang w:val="en-US"/>
        </w:rPr>
        <w:t>ChatGPT</w:t>
      </w:r>
      <w:proofErr w:type="spellEnd"/>
      <w:r w:rsidRPr="008D3529">
        <w:rPr>
          <w:rFonts w:ascii="Calibri" w:eastAsia="Calibri" w:hAnsi="Calibri" w:cs="Times New Roman"/>
          <w:lang w:val="en-US"/>
        </w:rPr>
        <w:t xml:space="preserve">, COPILOT, etc.) and text-to-image generators have been used during the writing or editing of this manuscript. </w:t>
      </w:r>
    </w:p>
    <w:bookmarkEnd w:id="1"/>
    <w:bookmarkEnd w:id="2"/>
    <w:p w14:paraId="2F46611E" w14:textId="77777777" w:rsidR="008074C8" w:rsidRPr="008D3529" w:rsidRDefault="008074C8" w:rsidP="008F5981">
      <w:pPr>
        <w:pStyle w:val="NormalWeb"/>
        <w:spacing w:line="276" w:lineRule="auto"/>
        <w:jc w:val="both"/>
        <w:rPr>
          <w:lang w:val="en-US"/>
        </w:rPr>
      </w:pPr>
    </w:p>
    <w:p w14:paraId="1B4EF16F" w14:textId="77777777" w:rsidR="009A31F5" w:rsidRPr="008D3529" w:rsidRDefault="009A31F5" w:rsidP="008F5981">
      <w:pPr>
        <w:pStyle w:val="NormalWeb"/>
        <w:spacing w:line="276" w:lineRule="auto"/>
        <w:jc w:val="both"/>
        <w:rPr>
          <w:b/>
          <w:bCs/>
          <w:color w:val="000000" w:themeColor="text1"/>
          <w:lang w:val="en-US"/>
        </w:rPr>
      </w:pPr>
    </w:p>
    <w:p w14:paraId="63E18423" w14:textId="19FD08FF" w:rsidR="008F5981" w:rsidRPr="008D3529" w:rsidRDefault="008F5981" w:rsidP="008F5981">
      <w:pPr>
        <w:pStyle w:val="NormalWeb"/>
        <w:spacing w:line="276" w:lineRule="auto"/>
        <w:jc w:val="both"/>
        <w:rPr>
          <w:b/>
          <w:bCs/>
          <w:color w:val="000000" w:themeColor="text1"/>
          <w:lang w:val="en-US"/>
        </w:rPr>
      </w:pPr>
      <w:r w:rsidRPr="008D3529">
        <w:rPr>
          <w:rFonts w:hint="cs"/>
          <w:b/>
          <w:bCs/>
          <w:color w:val="000000" w:themeColor="text1"/>
          <w:lang w:val="en-US"/>
        </w:rPr>
        <w:t xml:space="preserve">REFERENCE </w:t>
      </w:r>
    </w:p>
    <w:p w14:paraId="5D970D9A" w14:textId="77777777" w:rsidR="008F5981" w:rsidRPr="008D3529" w:rsidRDefault="008F5981" w:rsidP="008F5981">
      <w:pPr>
        <w:pStyle w:val="NormalWeb"/>
        <w:numPr>
          <w:ilvl w:val="0"/>
          <w:numId w:val="1"/>
        </w:numPr>
        <w:spacing w:line="276" w:lineRule="auto"/>
        <w:jc w:val="both"/>
        <w:rPr>
          <w:color w:val="000000" w:themeColor="text1"/>
          <w:lang w:val="en-US"/>
        </w:rPr>
      </w:pPr>
      <w:proofErr w:type="spellStart"/>
      <w:r w:rsidRPr="008D3529">
        <w:rPr>
          <w:rFonts w:hint="cs"/>
          <w:color w:val="000000" w:themeColor="text1"/>
          <w:lang w:val="en-US"/>
        </w:rPr>
        <w:t>Quentin.V</w:t>
      </w:r>
      <w:proofErr w:type="spellEnd"/>
      <w:r w:rsidRPr="008D3529">
        <w:rPr>
          <w:rFonts w:hint="cs"/>
          <w:color w:val="000000" w:themeColor="text1"/>
          <w:lang w:val="en-US"/>
        </w:rPr>
        <w:t xml:space="preserve"> </w:t>
      </w:r>
      <w:r w:rsidRPr="008D3529">
        <w:rPr>
          <w:rFonts w:hint="cs"/>
          <w:lang w:val="en-US"/>
        </w:rPr>
        <w:t>Foreign Bodies of the Upper and Lower Digestive Tract, Hepato-Gastro and Digestive Oncology / Volume 29; Number 2; February 2022.</w:t>
      </w:r>
    </w:p>
    <w:p w14:paraId="06F1BEEA" w14:textId="77777777" w:rsidR="008F5981" w:rsidRPr="008D3529" w:rsidRDefault="008F5981" w:rsidP="008F5981">
      <w:pPr>
        <w:pStyle w:val="NormalWeb"/>
        <w:numPr>
          <w:ilvl w:val="0"/>
          <w:numId w:val="1"/>
        </w:numPr>
        <w:spacing w:line="276" w:lineRule="auto"/>
        <w:jc w:val="both"/>
        <w:rPr>
          <w:color w:val="000000" w:themeColor="text1"/>
          <w:lang w:val="en-US"/>
        </w:rPr>
      </w:pPr>
      <w:r w:rsidRPr="008D3529">
        <w:rPr>
          <w:rFonts w:hint="cs"/>
          <w:color w:val="000000" w:themeColor="text1"/>
          <w:lang w:val="en-US"/>
        </w:rPr>
        <w:t xml:space="preserve">Mir SA, Dar HM, Dogra V, </w:t>
      </w:r>
      <w:proofErr w:type="spellStart"/>
      <w:r w:rsidRPr="008D3529">
        <w:rPr>
          <w:rFonts w:hint="cs"/>
          <w:color w:val="000000" w:themeColor="text1"/>
          <w:lang w:val="en-US"/>
        </w:rPr>
        <w:t>Gilkar</w:t>
      </w:r>
      <w:proofErr w:type="spellEnd"/>
      <w:r w:rsidRPr="008D3529">
        <w:rPr>
          <w:rFonts w:hint="cs"/>
          <w:color w:val="000000" w:themeColor="text1"/>
          <w:lang w:val="en-US"/>
        </w:rPr>
        <w:t xml:space="preserve"> IA, Ahmad MM. Accidental ingestion of hairpins in adolescent Muslim girls while doing or undoing the headscarf. Int Surg J </w:t>
      </w:r>
      <w:proofErr w:type="gramStart"/>
      <w:r w:rsidRPr="008D3529">
        <w:rPr>
          <w:rFonts w:hint="cs"/>
          <w:color w:val="000000" w:themeColor="text1"/>
          <w:lang w:val="en-US"/>
        </w:rPr>
        <w:t>2016;2:377</w:t>
      </w:r>
      <w:proofErr w:type="gramEnd"/>
      <w:r w:rsidRPr="008D3529">
        <w:rPr>
          <w:rFonts w:hint="cs"/>
          <w:color w:val="000000" w:themeColor="text1"/>
          <w:lang w:val="en-US"/>
        </w:rPr>
        <w:t xml:space="preserve">‐80. </w:t>
      </w:r>
    </w:p>
    <w:p w14:paraId="0335D50D" w14:textId="77777777" w:rsidR="008F5981" w:rsidRPr="008D3529" w:rsidRDefault="008F5981" w:rsidP="008F5981">
      <w:pPr>
        <w:pStyle w:val="NormalWeb"/>
        <w:numPr>
          <w:ilvl w:val="0"/>
          <w:numId w:val="1"/>
        </w:numPr>
        <w:spacing w:line="276" w:lineRule="auto"/>
        <w:jc w:val="both"/>
        <w:rPr>
          <w:color w:val="000000" w:themeColor="text1"/>
          <w:lang w:val="en-US"/>
        </w:rPr>
      </w:pPr>
      <w:r w:rsidRPr="008D3529">
        <w:rPr>
          <w:rFonts w:hint="cs"/>
          <w:color w:val="000000" w:themeColor="text1"/>
          <w:lang w:val="en-US"/>
        </w:rPr>
        <w:t xml:space="preserve">Goh J1, Patel N, Boulton R. Accidental hijab pin ingestion in Muslim women: an </w:t>
      </w:r>
      <w:proofErr w:type="spellStart"/>
      <w:r w:rsidRPr="008D3529">
        <w:rPr>
          <w:rFonts w:hint="cs"/>
          <w:color w:val="000000" w:themeColor="text1"/>
          <w:lang w:val="en-US"/>
        </w:rPr>
        <w:t>emergingendoscopic</w:t>
      </w:r>
      <w:proofErr w:type="spellEnd"/>
      <w:r w:rsidRPr="008D3529">
        <w:rPr>
          <w:rFonts w:hint="cs"/>
          <w:color w:val="000000" w:themeColor="text1"/>
          <w:lang w:val="en-US"/>
        </w:rPr>
        <w:t xml:space="preserve"> emergency? BMJ Case Rep 2014; 2014: bcr2013202336. </w:t>
      </w:r>
    </w:p>
    <w:p w14:paraId="433B167C" w14:textId="77777777" w:rsidR="008F5981" w:rsidRPr="008D3529" w:rsidRDefault="008F5981" w:rsidP="008F5981">
      <w:pPr>
        <w:pStyle w:val="NormalWeb"/>
        <w:numPr>
          <w:ilvl w:val="0"/>
          <w:numId w:val="1"/>
        </w:numPr>
        <w:spacing w:line="276" w:lineRule="auto"/>
        <w:jc w:val="both"/>
        <w:rPr>
          <w:color w:val="000000" w:themeColor="text1"/>
          <w:lang w:val="en-US"/>
        </w:rPr>
      </w:pPr>
      <w:proofErr w:type="spellStart"/>
      <w:r w:rsidRPr="008D3529">
        <w:rPr>
          <w:rFonts w:hint="cs"/>
          <w:color w:val="000000" w:themeColor="text1"/>
          <w:lang w:val="en-US"/>
        </w:rPr>
        <w:t>Akbulut</w:t>
      </w:r>
      <w:proofErr w:type="spellEnd"/>
      <w:r w:rsidRPr="008D3529">
        <w:rPr>
          <w:rFonts w:hint="cs"/>
          <w:color w:val="000000" w:themeColor="text1"/>
          <w:lang w:val="en-US"/>
        </w:rPr>
        <w:t xml:space="preserve"> S, </w:t>
      </w:r>
      <w:proofErr w:type="spellStart"/>
      <w:r w:rsidRPr="008D3529">
        <w:rPr>
          <w:rFonts w:hint="cs"/>
          <w:color w:val="000000" w:themeColor="text1"/>
          <w:lang w:val="en-US"/>
        </w:rPr>
        <w:t>Cakabay</w:t>
      </w:r>
      <w:proofErr w:type="spellEnd"/>
      <w:r w:rsidRPr="008D3529">
        <w:rPr>
          <w:rFonts w:hint="cs"/>
          <w:color w:val="000000" w:themeColor="text1"/>
          <w:lang w:val="en-US"/>
        </w:rPr>
        <w:t xml:space="preserve"> B, </w:t>
      </w:r>
      <w:proofErr w:type="spellStart"/>
      <w:r w:rsidRPr="008D3529">
        <w:rPr>
          <w:rFonts w:hint="cs"/>
          <w:color w:val="000000" w:themeColor="text1"/>
          <w:lang w:val="en-US"/>
        </w:rPr>
        <w:t>Sezgin</w:t>
      </w:r>
      <w:proofErr w:type="spellEnd"/>
      <w:r w:rsidRPr="008D3529">
        <w:rPr>
          <w:rFonts w:hint="cs"/>
          <w:color w:val="000000" w:themeColor="text1"/>
          <w:lang w:val="en-US"/>
        </w:rPr>
        <w:t xml:space="preserve"> A, </w:t>
      </w:r>
      <w:proofErr w:type="spellStart"/>
      <w:r w:rsidRPr="008D3529">
        <w:rPr>
          <w:rFonts w:hint="cs"/>
          <w:color w:val="000000" w:themeColor="text1"/>
          <w:lang w:val="en-US"/>
        </w:rPr>
        <w:t>Ozhasenekler</w:t>
      </w:r>
      <w:proofErr w:type="spellEnd"/>
      <w:r w:rsidRPr="008D3529">
        <w:rPr>
          <w:rFonts w:hint="cs"/>
          <w:color w:val="000000" w:themeColor="text1"/>
          <w:lang w:val="en-US"/>
        </w:rPr>
        <w:t xml:space="preserve"> A, </w:t>
      </w:r>
      <w:proofErr w:type="spellStart"/>
      <w:r w:rsidRPr="008D3529">
        <w:rPr>
          <w:rFonts w:hint="cs"/>
          <w:color w:val="000000" w:themeColor="text1"/>
          <w:lang w:val="en-US"/>
        </w:rPr>
        <w:t>Senol</w:t>
      </w:r>
      <w:proofErr w:type="spellEnd"/>
      <w:r w:rsidRPr="008D3529">
        <w:rPr>
          <w:rFonts w:hint="cs"/>
          <w:color w:val="000000" w:themeColor="text1"/>
          <w:lang w:val="en-US"/>
        </w:rPr>
        <w:t xml:space="preserve"> A. Careless use of turban pins: a possible problem for turbaned patients. J </w:t>
      </w:r>
      <w:proofErr w:type="spellStart"/>
      <w:r w:rsidRPr="008D3529">
        <w:rPr>
          <w:rFonts w:hint="cs"/>
          <w:color w:val="000000" w:themeColor="text1"/>
          <w:lang w:val="en-US"/>
        </w:rPr>
        <w:t>Gastrointest</w:t>
      </w:r>
      <w:proofErr w:type="spellEnd"/>
      <w:r w:rsidRPr="008D3529">
        <w:rPr>
          <w:rFonts w:hint="cs"/>
          <w:color w:val="000000" w:themeColor="text1"/>
          <w:lang w:val="en-US"/>
        </w:rPr>
        <w:t xml:space="preserve"> Surg 2009; 13(10): 1859-63. </w:t>
      </w:r>
    </w:p>
    <w:p w14:paraId="4CDA66D2" w14:textId="77777777" w:rsidR="008F5981" w:rsidRPr="008D3529" w:rsidRDefault="008F5981" w:rsidP="008F5981">
      <w:pPr>
        <w:pStyle w:val="NormalWeb"/>
        <w:numPr>
          <w:ilvl w:val="0"/>
          <w:numId w:val="1"/>
        </w:numPr>
        <w:spacing w:line="276" w:lineRule="auto"/>
        <w:jc w:val="both"/>
        <w:rPr>
          <w:color w:val="000000" w:themeColor="text1"/>
          <w:lang w:val="en-US"/>
        </w:rPr>
      </w:pPr>
      <w:proofErr w:type="spellStart"/>
      <w:r w:rsidRPr="008D3529">
        <w:rPr>
          <w:rFonts w:hint="cs"/>
          <w:color w:val="000000" w:themeColor="text1"/>
          <w:lang w:val="en-US"/>
        </w:rPr>
        <w:t>Ozkan</w:t>
      </w:r>
      <w:proofErr w:type="spellEnd"/>
      <w:r w:rsidRPr="008D3529">
        <w:rPr>
          <w:rFonts w:hint="cs"/>
          <w:color w:val="000000" w:themeColor="text1"/>
          <w:lang w:val="en-US"/>
        </w:rPr>
        <w:t xml:space="preserve"> Z, </w:t>
      </w:r>
      <w:proofErr w:type="spellStart"/>
      <w:r w:rsidRPr="008D3529">
        <w:rPr>
          <w:rFonts w:hint="cs"/>
          <w:color w:val="000000" w:themeColor="text1"/>
          <w:lang w:val="en-US"/>
        </w:rPr>
        <w:t>Kement</w:t>
      </w:r>
      <w:proofErr w:type="spellEnd"/>
      <w:r w:rsidRPr="008D3529">
        <w:rPr>
          <w:rFonts w:hint="cs"/>
          <w:color w:val="000000" w:themeColor="text1"/>
          <w:lang w:val="en-US"/>
        </w:rPr>
        <w:t xml:space="preserve"> M, </w:t>
      </w:r>
      <w:proofErr w:type="spellStart"/>
      <w:r w:rsidRPr="008D3529">
        <w:rPr>
          <w:rFonts w:hint="cs"/>
          <w:color w:val="000000" w:themeColor="text1"/>
          <w:lang w:val="en-US"/>
        </w:rPr>
        <w:t>Kargı</w:t>
      </w:r>
      <w:proofErr w:type="spellEnd"/>
      <w:r w:rsidRPr="008D3529">
        <w:rPr>
          <w:rFonts w:hint="cs"/>
          <w:color w:val="000000" w:themeColor="text1"/>
          <w:lang w:val="en-US"/>
        </w:rPr>
        <w:t xml:space="preserve"> AB, </w:t>
      </w:r>
      <w:proofErr w:type="spellStart"/>
      <w:r w:rsidRPr="008D3529">
        <w:rPr>
          <w:rFonts w:hint="cs"/>
          <w:color w:val="000000" w:themeColor="text1"/>
          <w:lang w:val="en-US"/>
        </w:rPr>
        <w:t>Censur</w:t>
      </w:r>
      <w:proofErr w:type="spellEnd"/>
      <w:r w:rsidRPr="008D3529">
        <w:rPr>
          <w:rFonts w:hint="cs"/>
          <w:color w:val="000000" w:themeColor="text1"/>
          <w:lang w:val="en-US"/>
        </w:rPr>
        <w:t xml:space="preserve"> Z, </w:t>
      </w:r>
      <w:proofErr w:type="spellStart"/>
      <w:r w:rsidRPr="008D3529">
        <w:rPr>
          <w:rFonts w:hint="cs"/>
          <w:color w:val="000000" w:themeColor="text1"/>
          <w:lang w:val="en-US"/>
        </w:rPr>
        <w:t>Gezen</w:t>
      </w:r>
      <w:proofErr w:type="spellEnd"/>
      <w:r w:rsidRPr="008D3529">
        <w:rPr>
          <w:rFonts w:hint="cs"/>
          <w:color w:val="000000" w:themeColor="text1"/>
          <w:lang w:val="en-US"/>
        </w:rPr>
        <w:t xml:space="preserve"> FC, </w:t>
      </w:r>
      <w:proofErr w:type="spellStart"/>
      <w:r w:rsidRPr="008D3529">
        <w:rPr>
          <w:rFonts w:hint="cs"/>
          <w:color w:val="000000" w:themeColor="text1"/>
          <w:lang w:val="en-US"/>
        </w:rPr>
        <w:t>Vural</w:t>
      </w:r>
      <w:proofErr w:type="spellEnd"/>
      <w:r w:rsidRPr="008D3529">
        <w:rPr>
          <w:rFonts w:hint="cs"/>
          <w:color w:val="000000" w:themeColor="text1"/>
          <w:lang w:val="en-US"/>
        </w:rPr>
        <w:t xml:space="preserve"> S, et al. An interesting journey of an ingested needle: a case report and review of the literature on extra-abdominal migration of ingested </w:t>
      </w:r>
      <w:r w:rsidRPr="008D3529">
        <w:rPr>
          <w:color w:val="000000" w:themeColor="text1"/>
          <w:lang w:val="en-US"/>
        </w:rPr>
        <w:t>foreign</w:t>
      </w:r>
      <w:r w:rsidRPr="008D3529">
        <w:rPr>
          <w:rFonts w:hint="cs"/>
          <w:color w:val="000000" w:themeColor="text1"/>
          <w:lang w:val="en-US"/>
        </w:rPr>
        <w:t xml:space="preserve"> bodies. J </w:t>
      </w:r>
      <w:proofErr w:type="spellStart"/>
      <w:r w:rsidRPr="008D3529">
        <w:rPr>
          <w:rFonts w:hint="cs"/>
          <w:color w:val="000000" w:themeColor="text1"/>
          <w:lang w:val="en-US"/>
        </w:rPr>
        <w:t>Cardiothorac</w:t>
      </w:r>
      <w:proofErr w:type="spellEnd"/>
      <w:r w:rsidRPr="008D3529">
        <w:rPr>
          <w:rFonts w:hint="cs"/>
          <w:color w:val="000000" w:themeColor="text1"/>
          <w:lang w:val="en-US"/>
        </w:rPr>
        <w:t xml:space="preserve"> Surg 2011; 6: 77. </w:t>
      </w:r>
    </w:p>
    <w:p w14:paraId="71A7539D" w14:textId="77777777" w:rsidR="008F5981" w:rsidRPr="008D3529" w:rsidRDefault="008F5981" w:rsidP="008F5981">
      <w:pPr>
        <w:pStyle w:val="NormalWeb"/>
        <w:numPr>
          <w:ilvl w:val="0"/>
          <w:numId w:val="1"/>
        </w:numPr>
        <w:spacing w:line="276" w:lineRule="auto"/>
        <w:jc w:val="both"/>
        <w:rPr>
          <w:color w:val="000000" w:themeColor="text1"/>
        </w:rPr>
      </w:pPr>
      <w:proofErr w:type="spellStart"/>
      <w:r w:rsidRPr="008D3529">
        <w:rPr>
          <w:rStyle w:val="HTMLCite"/>
          <w:rFonts w:hint="cs"/>
          <w:i w:val="0"/>
          <w:iCs w:val="0"/>
          <w:color w:val="000000" w:themeColor="text1"/>
          <w:sz w:val="26"/>
          <w:szCs w:val="26"/>
          <w:shd w:val="clear" w:color="auto" w:fill="FFFFFF"/>
          <w:lang w:val="en-US"/>
        </w:rPr>
        <w:t>Bezabih</w:t>
      </w:r>
      <w:proofErr w:type="spellEnd"/>
      <w:r w:rsidRPr="008D3529">
        <w:rPr>
          <w:rStyle w:val="HTMLCite"/>
          <w:rFonts w:hint="cs"/>
          <w:i w:val="0"/>
          <w:iCs w:val="0"/>
          <w:color w:val="000000" w:themeColor="text1"/>
          <w:sz w:val="26"/>
          <w:szCs w:val="26"/>
          <w:shd w:val="clear" w:color="auto" w:fill="FFFFFF"/>
          <w:lang w:val="en-US"/>
        </w:rPr>
        <w:t xml:space="preserve"> YS, </w:t>
      </w:r>
      <w:proofErr w:type="spellStart"/>
      <w:r w:rsidRPr="008D3529">
        <w:rPr>
          <w:rStyle w:val="HTMLCite"/>
          <w:rFonts w:hint="cs"/>
          <w:i w:val="0"/>
          <w:iCs w:val="0"/>
          <w:color w:val="000000" w:themeColor="text1"/>
          <w:sz w:val="26"/>
          <w:szCs w:val="26"/>
          <w:shd w:val="clear" w:color="auto" w:fill="FFFFFF"/>
          <w:lang w:val="en-US"/>
        </w:rPr>
        <w:t>Getu</w:t>
      </w:r>
      <w:proofErr w:type="spellEnd"/>
      <w:r w:rsidRPr="008D3529">
        <w:rPr>
          <w:rStyle w:val="HTMLCite"/>
          <w:rFonts w:hint="cs"/>
          <w:i w:val="0"/>
          <w:iCs w:val="0"/>
          <w:color w:val="000000" w:themeColor="text1"/>
          <w:sz w:val="26"/>
          <w:szCs w:val="26"/>
          <w:shd w:val="clear" w:color="auto" w:fill="FFFFFF"/>
          <w:lang w:val="en-US"/>
        </w:rPr>
        <w:t xml:space="preserve"> ME Spontaneous passage of a metal nail accidentally ingested by an adult: Case Report</w:t>
      </w:r>
      <w:r w:rsidRPr="008D3529">
        <w:rPr>
          <w:rStyle w:val="HTMLCite"/>
          <w:rFonts w:hint="cs"/>
          <w:i w:val="0"/>
          <w:iCs w:val="0"/>
          <w:color w:val="1B1B1B"/>
          <w:sz w:val="26"/>
          <w:szCs w:val="26"/>
          <w:shd w:val="clear" w:color="auto" w:fill="FFFFFF"/>
          <w:lang w:val="en-US"/>
        </w:rPr>
        <w:t xml:space="preserve">. Int. J. Surg. Case Rep. 2022; 92: 106865. </w:t>
      </w:r>
      <w:proofErr w:type="spellStart"/>
      <w:r w:rsidRPr="008D3529">
        <w:rPr>
          <w:rStyle w:val="HTMLCite"/>
          <w:rFonts w:hint="cs"/>
          <w:i w:val="0"/>
          <w:iCs w:val="0"/>
          <w:color w:val="1B1B1B"/>
          <w:sz w:val="26"/>
          <w:szCs w:val="26"/>
          <w:shd w:val="clear" w:color="auto" w:fill="FFFFFF"/>
          <w:lang w:val="en-US"/>
        </w:rPr>
        <w:t>doi</w:t>
      </w:r>
      <w:proofErr w:type="spellEnd"/>
      <w:r w:rsidRPr="008D3529">
        <w:rPr>
          <w:rStyle w:val="HTMLCite"/>
          <w:rFonts w:hint="cs"/>
          <w:i w:val="0"/>
          <w:iCs w:val="0"/>
          <w:color w:val="1B1B1B"/>
          <w:sz w:val="26"/>
          <w:szCs w:val="26"/>
          <w:shd w:val="clear" w:color="auto" w:fill="FFFFFF"/>
          <w:lang w:val="en-US"/>
        </w:rPr>
        <w:t>: 10.1016/j.ijscr.2022.106865.</w:t>
      </w:r>
      <w:r w:rsidRPr="008D3529">
        <w:rPr>
          <w:rFonts w:hint="cs"/>
          <w:color w:val="1B1B1B"/>
          <w:sz w:val="26"/>
          <w:szCs w:val="26"/>
          <w:shd w:val="clear" w:color="auto" w:fill="FFFFFF"/>
          <w:lang w:val="en-US"/>
        </w:rPr>
        <w:t> </w:t>
      </w:r>
    </w:p>
    <w:p w14:paraId="3B3F9942" w14:textId="77777777" w:rsidR="008F5981" w:rsidRPr="008D3529" w:rsidRDefault="008F5981" w:rsidP="008F5981">
      <w:pPr>
        <w:pStyle w:val="NormalWeb"/>
        <w:numPr>
          <w:ilvl w:val="0"/>
          <w:numId w:val="1"/>
        </w:numPr>
        <w:spacing w:line="276" w:lineRule="auto"/>
        <w:jc w:val="both"/>
        <w:rPr>
          <w:color w:val="000000" w:themeColor="text1"/>
          <w:lang w:val="en-US"/>
        </w:rPr>
      </w:pPr>
      <w:proofErr w:type="spellStart"/>
      <w:r w:rsidRPr="008D3529">
        <w:rPr>
          <w:rStyle w:val="HTMLCite"/>
          <w:rFonts w:hint="cs"/>
          <w:i w:val="0"/>
          <w:iCs w:val="0"/>
          <w:color w:val="000000" w:themeColor="text1"/>
          <w:shd w:val="clear" w:color="auto" w:fill="FFFFFF"/>
          <w:lang w:val="en-US"/>
        </w:rPr>
        <w:t>Birk</w:t>
      </w:r>
      <w:proofErr w:type="spellEnd"/>
      <w:r w:rsidRPr="008D3529">
        <w:rPr>
          <w:rStyle w:val="HTMLCite"/>
          <w:rFonts w:hint="cs"/>
          <w:i w:val="0"/>
          <w:iCs w:val="0"/>
          <w:color w:val="000000" w:themeColor="text1"/>
          <w:shd w:val="clear" w:color="auto" w:fill="FFFFFF"/>
          <w:lang w:val="en-US"/>
        </w:rPr>
        <w:t xml:space="preserve"> M., </w:t>
      </w:r>
      <w:proofErr w:type="spellStart"/>
      <w:r w:rsidRPr="008D3529">
        <w:rPr>
          <w:rStyle w:val="HTMLCite"/>
          <w:rFonts w:hint="cs"/>
          <w:i w:val="0"/>
          <w:iCs w:val="0"/>
          <w:color w:val="000000" w:themeColor="text1"/>
          <w:shd w:val="clear" w:color="auto" w:fill="FFFFFF"/>
          <w:lang w:val="en-US"/>
        </w:rPr>
        <w:t>Bauerfeind</w:t>
      </w:r>
      <w:proofErr w:type="spellEnd"/>
      <w:r w:rsidRPr="008D3529">
        <w:rPr>
          <w:rStyle w:val="HTMLCite"/>
          <w:rFonts w:hint="cs"/>
          <w:i w:val="0"/>
          <w:iCs w:val="0"/>
          <w:color w:val="000000" w:themeColor="text1"/>
          <w:shd w:val="clear" w:color="auto" w:fill="FFFFFF"/>
          <w:lang w:val="en-US"/>
        </w:rPr>
        <w:t xml:space="preserve"> P., </w:t>
      </w:r>
      <w:proofErr w:type="spellStart"/>
      <w:r w:rsidRPr="008D3529">
        <w:rPr>
          <w:rStyle w:val="HTMLCite"/>
          <w:rFonts w:hint="cs"/>
          <w:i w:val="0"/>
          <w:iCs w:val="0"/>
          <w:color w:val="000000" w:themeColor="text1"/>
          <w:shd w:val="clear" w:color="auto" w:fill="FFFFFF"/>
          <w:lang w:val="en-US"/>
        </w:rPr>
        <w:t>Deprez</w:t>
      </w:r>
      <w:proofErr w:type="spellEnd"/>
      <w:r w:rsidRPr="008D3529">
        <w:rPr>
          <w:rStyle w:val="HTMLCite"/>
          <w:rFonts w:hint="cs"/>
          <w:i w:val="0"/>
          <w:iCs w:val="0"/>
          <w:color w:val="000000" w:themeColor="text1"/>
          <w:shd w:val="clear" w:color="auto" w:fill="FFFFFF"/>
          <w:lang w:val="en-US"/>
        </w:rPr>
        <w:t xml:space="preserve"> PH, </w:t>
      </w:r>
      <w:proofErr w:type="spellStart"/>
      <w:r w:rsidRPr="008D3529">
        <w:rPr>
          <w:rStyle w:val="HTMLCite"/>
          <w:rFonts w:hint="cs"/>
          <w:i w:val="0"/>
          <w:iCs w:val="0"/>
          <w:color w:val="000000" w:themeColor="text1"/>
          <w:shd w:val="clear" w:color="auto" w:fill="FFFFFF"/>
          <w:lang w:val="en-US"/>
        </w:rPr>
        <w:t>Häfner</w:t>
      </w:r>
      <w:proofErr w:type="spellEnd"/>
      <w:r w:rsidRPr="008D3529">
        <w:rPr>
          <w:rStyle w:val="HTMLCite"/>
          <w:rFonts w:hint="cs"/>
          <w:i w:val="0"/>
          <w:iCs w:val="0"/>
          <w:color w:val="000000" w:themeColor="text1"/>
          <w:shd w:val="clear" w:color="auto" w:fill="FFFFFF"/>
          <w:lang w:val="en-US"/>
        </w:rPr>
        <w:t xml:space="preserve"> M., Hartmann D., Hassan C., </w:t>
      </w:r>
      <w:proofErr w:type="spellStart"/>
      <w:r w:rsidRPr="008D3529">
        <w:rPr>
          <w:rStyle w:val="HTMLCite"/>
          <w:rFonts w:hint="cs"/>
          <w:i w:val="0"/>
          <w:iCs w:val="0"/>
          <w:color w:val="000000" w:themeColor="text1"/>
          <w:shd w:val="clear" w:color="auto" w:fill="FFFFFF"/>
          <w:lang w:val="en-US"/>
        </w:rPr>
        <w:t>Hucl</w:t>
      </w:r>
      <w:proofErr w:type="spellEnd"/>
      <w:r w:rsidRPr="008D3529">
        <w:rPr>
          <w:rStyle w:val="HTMLCite"/>
          <w:rFonts w:hint="cs"/>
          <w:i w:val="0"/>
          <w:iCs w:val="0"/>
          <w:color w:val="000000" w:themeColor="text1"/>
          <w:shd w:val="clear" w:color="auto" w:fill="FFFFFF"/>
          <w:lang w:val="en-US"/>
        </w:rPr>
        <w:t xml:space="preserve"> T., </w:t>
      </w:r>
      <w:proofErr w:type="spellStart"/>
      <w:r w:rsidRPr="008D3529">
        <w:rPr>
          <w:rStyle w:val="HTMLCite"/>
          <w:rFonts w:hint="cs"/>
          <w:i w:val="0"/>
          <w:iCs w:val="0"/>
          <w:color w:val="000000" w:themeColor="text1"/>
          <w:shd w:val="clear" w:color="auto" w:fill="FFFFFF"/>
          <w:lang w:val="en-US"/>
        </w:rPr>
        <w:t>Lesur</w:t>
      </w:r>
      <w:proofErr w:type="spellEnd"/>
      <w:r w:rsidRPr="008D3529">
        <w:rPr>
          <w:rStyle w:val="HTMLCite"/>
          <w:rFonts w:hint="cs"/>
          <w:i w:val="0"/>
          <w:iCs w:val="0"/>
          <w:color w:val="000000" w:themeColor="text1"/>
          <w:shd w:val="clear" w:color="auto" w:fill="FFFFFF"/>
          <w:lang w:val="en-US"/>
        </w:rPr>
        <w:t xml:space="preserve"> G., </w:t>
      </w:r>
      <w:proofErr w:type="spellStart"/>
      <w:r w:rsidRPr="008D3529">
        <w:rPr>
          <w:rStyle w:val="HTMLCite"/>
          <w:rFonts w:hint="cs"/>
          <w:i w:val="0"/>
          <w:iCs w:val="0"/>
          <w:color w:val="000000" w:themeColor="text1"/>
          <w:shd w:val="clear" w:color="auto" w:fill="FFFFFF"/>
          <w:lang w:val="en-US"/>
        </w:rPr>
        <w:t>Aabakken</w:t>
      </w:r>
      <w:proofErr w:type="spellEnd"/>
      <w:r w:rsidRPr="008D3529">
        <w:rPr>
          <w:rStyle w:val="HTMLCite"/>
          <w:rFonts w:hint="cs"/>
          <w:i w:val="0"/>
          <w:iCs w:val="0"/>
          <w:color w:val="000000" w:themeColor="text1"/>
          <w:shd w:val="clear" w:color="auto" w:fill="FFFFFF"/>
          <w:lang w:val="en-US"/>
        </w:rPr>
        <w:t xml:space="preserve"> L., </w:t>
      </w:r>
      <w:proofErr w:type="spellStart"/>
      <w:r w:rsidRPr="008D3529">
        <w:rPr>
          <w:rStyle w:val="HTMLCite"/>
          <w:rFonts w:hint="cs"/>
          <w:i w:val="0"/>
          <w:iCs w:val="0"/>
          <w:color w:val="000000" w:themeColor="text1"/>
          <w:shd w:val="clear" w:color="auto" w:fill="FFFFFF"/>
          <w:lang w:val="en-US"/>
        </w:rPr>
        <w:t>Meining</w:t>
      </w:r>
      <w:proofErr w:type="spellEnd"/>
      <w:r w:rsidRPr="008D3529">
        <w:rPr>
          <w:rStyle w:val="HTMLCite"/>
          <w:rFonts w:hint="cs"/>
          <w:i w:val="0"/>
          <w:iCs w:val="0"/>
          <w:color w:val="000000" w:themeColor="text1"/>
          <w:shd w:val="clear" w:color="auto" w:fill="FFFFFF"/>
          <w:lang w:val="en-US"/>
        </w:rPr>
        <w:t xml:space="preserve"> A. </w:t>
      </w:r>
      <w:r w:rsidRPr="008D3529">
        <w:rPr>
          <w:rFonts w:hint="cs"/>
          <w:lang w:val="en-US"/>
        </w:rPr>
        <w:t xml:space="preserve">Removal of foreign bodies in the upper gastrointestinal tract in adults: Clinical Guide of the European Society of Gastrointestinal Endoscopy (ESGE). Endoscopy. </w:t>
      </w:r>
      <w:r w:rsidRPr="008D3529">
        <w:rPr>
          <w:rStyle w:val="HTMLCite"/>
          <w:rFonts w:hint="cs"/>
          <w:i w:val="0"/>
          <w:iCs w:val="0"/>
          <w:color w:val="000000" w:themeColor="text1"/>
          <w:shd w:val="clear" w:color="auto" w:fill="FFFFFF"/>
          <w:lang w:val="en-US"/>
        </w:rPr>
        <w:t xml:space="preserve">2016; 48: 489–496. </w:t>
      </w:r>
      <w:proofErr w:type="spellStart"/>
      <w:r w:rsidRPr="008D3529">
        <w:rPr>
          <w:rStyle w:val="HTMLCite"/>
          <w:rFonts w:hint="cs"/>
          <w:i w:val="0"/>
          <w:iCs w:val="0"/>
          <w:color w:val="000000" w:themeColor="text1"/>
          <w:shd w:val="clear" w:color="auto" w:fill="FFFFFF"/>
          <w:lang w:val="en-US"/>
        </w:rPr>
        <w:t>doi</w:t>
      </w:r>
      <w:proofErr w:type="spellEnd"/>
      <w:r w:rsidRPr="008D3529">
        <w:rPr>
          <w:rStyle w:val="HTMLCite"/>
          <w:rFonts w:hint="cs"/>
          <w:i w:val="0"/>
          <w:iCs w:val="0"/>
          <w:color w:val="000000" w:themeColor="text1"/>
          <w:shd w:val="clear" w:color="auto" w:fill="FFFFFF"/>
          <w:lang w:val="en-US"/>
        </w:rPr>
        <w:t>: 10.1055/s-0042-100456.</w:t>
      </w:r>
    </w:p>
    <w:p w14:paraId="11E7501F" w14:textId="77777777" w:rsidR="008F5981" w:rsidRPr="008D3529" w:rsidRDefault="008F5981" w:rsidP="008F5981">
      <w:pPr>
        <w:pStyle w:val="NormalWeb"/>
        <w:numPr>
          <w:ilvl w:val="0"/>
          <w:numId w:val="1"/>
        </w:numPr>
        <w:spacing w:line="276" w:lineRule="auto"/>
        <w:jc w:val="both"/>
        <w:rPr>
          <w:color w:val="000000" w:themeColor="text1"/>
          <w:lang w:val="en-US"/>
        </w:rPr>
      </w:pPr>
      <w:r w:rsidRPr="008D3529">
        <w:rPr>
          <w:rFonts w:hint="cs"/>
          <w:color w:val="000000" w:themeColor="text1"/>
          <w:lang w:val="en-US"/>
        </w:rPr>
        <w:t xml:space="preserve">Butterworth JR, Wright K, Boulton RB, et al. Management of swallowed razor blades—retrieve or wait-and-see? Gut </w:t>
      </w:r>
      <w:proofErr w:type="gramStart"/>
      <w:r w:rsidRPr="008D3529">
        <w:rPr>
          <w:rFonts w:hint="cs"/>
          <w:color w:val="000000" w:themeColor="text1"/>
          <w:lang w:val="en-US"/>
        </w:rPr>
        <w:t>2004;53:477</w:t>
      </w:r>
      <w:proofErr w:type="gramEnd"/>
      <w:r w:rsidRPr="008D3529">
        <w:rPr>
          <w:rFonts w:hint="cs"/>
          <w:color w:val="000000" w:themeColor="text1"/>
          <w:lang w:val="en-US"/>
        </w:rPr>
        <w:t>, 486.</w:t>
      </w:r>
    </w:p>
    <w:p w14:paraId="71F97240" w14:textId="77777777" w:rsidR="008F5981" w:rsidRPr="008D3529" w:rsidRDefault="008F5981" w:rsidP="008F5981">
      <w:pPr>
        <w:pStyle w:val="NormalWeb"/>
        <w:numPr>
          <w:ilvl w:val="0"/>
          <w:numId w:val="1"/>
        </w:numPr>
        <w:spacing w:line="276" w:lineRule="auto"/>
        <w:jc w:val="both"/>
        <w:rPr>
          <w:color w:val="000000" w:themeColor="text1"/>
          <w:lang w:val="en-US"/>
        </w:rPr>
      </w:pPr>
      <w:r w:rsidRPr="008D3529">
        <w:rPr>
          <w:rFonts w:hint="cs"/>
          <w:color w:val="000000" w:themeColor="text1"/>
          <w:lang w:val="en-US"/>
        </w:rPr>
        <w:t xml:space="preserve">Glick WA, Simo KA, Swan RZ, et al. Pyogenic hepatic abscess secondary to </w:t>
      </w:r>
      <w:proofErr w:type="spellStart"/>
      <w:r w:rsidRPr="008D3529">
        <w:rPr>
          <w:rFonts w:hint="cs"/>
          <w:color w:val="000000" w:themeColor="text1"/>
          <w:lang w:val="en-US"/>
        </w:rPr>
        <w:t>endolumenal</w:t>
      </w:r>
      <w:proofErr w:type="spellEnd"/>
      <w:r w:rsidRPr="008D3529">
        <w:rPr>
          <w:rFonts w:hint="cs"/>
          <w:color w:val="000000" w:themeColor="text1"/>
          <w:lang w:val="en-US"/>
        </w:rPr>
        <w:t xml:space="preserve"> perforation of an ingested foreign body. J </w:t>
      </w:r>
      <w:proofErr w:type="spellStart"/>
      <w:r w:rsidRPr="008D3529">
        <w:rPr>
          <w:rFonts w:hint="cs"/>
          <w:color w:val="000000" w:themeColor="text1"/>
          <w:lang w:val="en-US"/>
        </w:rPr>
        <w:t>Gastrointest</w:t>
      </w:r>
      <w:proofErr w:type="spellEnd"/>
      <w:r w:rsidRPr="008D3529">
        <w:rPr>
          <w:rFonts w:hint="cs"/>
          <w:color w:val="000000" w:themeColor="text1"/>
          <w:lang w:val="en-US"/>
        </w:rPr>
        <w:t xml:space="preserve"> Surg </w:t>
      </w:r>
      <w:proofErr w:type="gramStart"/>
      <w:r w:rsidRPr="008D3529">
        <w:rPr>
          <w:rFonts w:hint="cs"/>
          <w:color w:val="000000" w:themeColor="text1"/>
          <w:lang w:val="en-US"/>
        </w:rPr>
        <w:t>2012;16:885</w:t>
      </w:r>
      <w:proofErr w:type="gramEnd"/>
      <w:r w:rsidRPr="008D3529">
        <w:rPr>
          <w:rFonts w:hint="cs"/>
          <w:color w:val="000000" w:themeColor="text1"/>
          <w:lang w:val="en-US"/>
        </w:rPr>
        <w:t>–7.</w:t>
      </w:r>
    </w:p>
    <w:p w14:paraId="09A0FBE9" w14:textId="77777777" w:rsidR="008F5981" w:rsidRPr="008D3529" w:rsidRDefault="008F5981" w:rsidP="008F5981">
      <w:pPr>
        <w:pStyle w:val="NormalWeb"/>
        <w:numPr>
          <w:ilvl w:val="0"/>
          <w:numId w:val="1"/>
        </w:numPr>
        <w:spacing w:line="276" w:lineRule="auto"/>
        <w:jc w:val="both"/>
        <w:rPr>
          <w:color w:val="000000" w:themeColor="text1"/>
        </w:rPr>
      </w:pPr>
      <w:r w:rsidRPr="008D3529">
        <w:rPr>
          <w:rFonts w:hint="cs"/>
          <w:color w:val="000000" w:themeColor="text1"/>
        </w:rPr>
        <w:t xml:space="preserve">Klein K, </w:t>
      </w:r>
      <w:proofErr w:type="spellStart"/>
      <w:r w:rsidRPr="008D3529">
        <w:rPr>
          <w:rFonts w:hint="cs"/>
          <w:color w:val="000000" w:themeColor="text1"/>
        </w:rPr>
        <w:t>Pegoli</w:t>
      </w:r>
      <w:proofErr w:type="spellEnd"/>
      <w:r w:rsidRPr="008D3529">
        <w:rPr>
          <w:rFonts w:hint="cs"/>
          <w:color w:val="000000" w:themeColor="text1"/>
        </w:rPr>
        <w:t xml:space="preserve"> W Jr, Lee YH. </w:t>
      </w:r>
      <w:r w:rsidRPr="008D3529">
        <w:rPr>
          <w:rFonts w:hint="cs"/>
          <w:color w:val="000000" w:themeColor="text1"/>
          <w:lang w:val="en-US"/>
        </w:rPr>
        <w:t xml:space="preserve">Transluminal migration of ingested foreign body without peritonitis. </w:t>
      </w:r>
      <w:r w:rsidRPr="008D3529">
        <w:rPr>
          <w:rFonts w:hint="cs"/>
          <w:color w:val="000000" w:themeColor="text1"/>
        </w:rPr>
        <w:t xml:space="preserve">J </w:t>
      </w:r>
      <w:proofErr w:type="spellStart"/>
      <w:r w:rsidRPr="008D3529">
        <w:rPr>
          <w:rFonts w:hint="cs"/>
          <w:color w:val="000000" w:themeColor="text1"/>
        </w:rPr>
        <w:t>Pediatric</w:t>
      </w:r>
      <w:proofErr w:type="spellEnd"/>
      <w:r w:rsidRPr="008D3529">
        <w:rPr>
          <w:rFonts w:hint="cs"/>
          <w:color w:val="000000" w:themeColor="text1"/>
        </w:rPr>
        <w:t xml:space="preserve"> </w:t>
      </w:r>
      <w:proofErr w:type="spellStart"/>
      <w:r w:rsidRPr="008D3529">
        <w:rPr>
          <w:rFonts w:hint="cs"/>
          <w:color w:val="000000" w:themeColor="text1"/>
        </w:rPr>
        <w:t>Surg</w:t>
      </w:r>
      <w:proofErr w:type="spellEnd"/>
      <w:r w:rsidRPr="008D3529">
        <w:rPr>
          <w:rFonts w:hint="cs"/>
          <w:color w:val="000000" w:themeColor="text1"/>
        </w:rPr>
        <w:t xml:space="preserve"> 2012;47:788–91.</w:t>
      </w:r>
    </w:p>
    <w:p w14:paraId="7FECDA74" w14:textId="77777777" w:rsidR="008F5981" w:rsidRPr="008D3529" w:rsidRDefault="008F5981" w:rsidP="008F5981">
      <w:pPr>
        <w:pStyle w:val="NormalWeb"/>
        <w:numPr>
          <w:ilvl w:val="0"/>
          <w:numId w:val="1"/>
        </w:numPr>
        <w:spacing w:line="276" w:lineRule="auto"/>
        <w:jc w:val="both"/>
        <w:rPr>
          <w:color w:val="000000" w:themeColor="text1"/>
          <w:lang w:val="en-US"/>
        </w:rPr>
      </w:pPr>
      <w:proofErr w:type="spellStart"/>
      <w:r w:rsidRPr="008D3529">
        <w:rPr>
          <w:rFonts w:hint="cs"/>
          <w:color w:val="000000" w:themeColor="text1"/>
          <w:lang w:val="en-US"/>
        </w:rPr>
        <w:lastRenderedPageBreak/>
        <w:t>Yogev</w:t>
      </w:r>
      <w:proofErr w:type="spellEnd"/>
      <w:r w:rsidRPr="008D3529">
        <w:rPr>
          <w:rFonts w:hint="cs"/>
          <w:color w:val="000000" w:themeColor="text1"/>
          <w:lang w:val="en-US"/>
        </w:rPr>
        <w:t xml:space="preserve"> D., </w:t>
      </w:r>
      <w:proofErr w:type="spellStart"/>
      <w:r w:rsidRPr="008D3529">
        <w:rPr>
          <w:rFonts w:hint="cs"/>
          <w:color w:val="000000" w:themeColor="text1"/>
          <w:lang w:val="en-US"/>
        </w:rPr>
        <w:t>Mahameed</w:t>
      </w:r>
      <w:proofErr w:type="spellEnd"/>
      <w:r w:rsidRPr="008D3529">
        <w:rPr>
          <w:rFonts w:hint="cs"/>
          <w:color w:val="000000" w:themeColor="text1"/>
          <w:lang w:val="en-US"/>
        </w:rPr>
        <w:t xml:space="preserve"> F., </w:t>
      </w:r>
      <w:proofErr w:type="spellStart"/>
      <w:r w:rsidRPr="008D3529">
        <w:rPr>
          <w:rFonts w:hint="cs"/>
          <w:color w:val="000000" w:themeColor="text1"/>
          <w:lang w:val="en-US"/>
        </w:rPr>
        <w:t>Gileles</w:t>
      </w:r>
      <w:proofErr w:type="spellEnd"/>
      <w:r w:rsidRPr="008D3529">
        <w:rPr>
          <w:rFonts w:hint="cs"/>
          <w:color w:val="000000" w:themeColor="text1"/>
          <w:lang w:val="en-US"/>
        </w:rPr>
        <w:t xml:space="preserve">-Hillel A., Millman P., </w:t>
      </w:r>
      <w:proofErr w:type="spellStart"/>
      <w:r w:rsidRPr="008D3529">
        <w:rPr>
          <w:rFonts w:hint="cs"/>
          <w:color w:val="000000" w:themeColor="text1"/>
          <w:lang w:val="en-US"/>
        </w:rPr>
        <w:t>Davidovics</w:t>
      </w:r>
      <w:proofErr w:type="spellEnd"/>
      <w:r w:rsidRPr="008D3529">
        <w:rPr>
          <w:rFonts w:hint="cs"/>
          <w:color w:val="000000" w:themeColor="text1"/>
          <w:lang w:val="en-US"/>
        </w:rPr>
        <w:t xml:space="preserve"> Z., </w:t>
      </w:r>
      <w:proofErr w:type="spellStart"/>
      <w:r w:rsidRPr="008D3529">
        <w:rPr>
          <w:rFonts w:hint="cs"/>
          <w:color w:val="000000" w:themeColor="text1"/>
          <w:lang w:val="en-US"/>
        </w:rPr>
        <w:t>Hashavya</w:t>
      </w:r>
      <w:proofErr w:type="spellEnd"/>
      <w:r w:rsidRPr="008D3529">
        <w:rPr>
          <w:rFonts w:hint="cs"/>
          <w:color w:val="000000" w:themeColor="text1"/>
          <w:lang w:val="en-US"/>
        </w:rPr>
        <w:t xml:space="preserve"> S., </w:t>
      </w:r>
      <w:proofErr w:type="spellStart"/>
      <w:r w:rsidRPr="008D3529">
        <w:rPr>
          <w:rFonts w:hint="cs"/>
          <w:color w:val="000000" w:themeColor="text1"/>
          <w:lang w:val="en-US"/>
        </w:rPr>
        <w:t>Rekhtman</w:t>
      </w:r>
      <w:proofErr w:type="spellEnd"/>
      <w:r w:rsidRPr="008D3529">
        <w:rPr>
          <w:rFonts w:hint="cs"/>
          <w:color w:val="000000" w:themeColor="text1"/>
          <w:lang w:val="en-US"/>
        </w:rPr>
        <w:t xml:space="preserve"> D., </w:t>
      </w:r>
      <w:proofErr w:type="spellStart"/>
      <w:r w:rsidRPr="008D3529">
        <w:rPr>
          <w:rFonts w:hint="cs"/>
          <w:color w:val="000000" w:themeColor="text1"/>
          <w:lang w:val="en-US"/>
        </w:rPr>
        <w:t>Wilschanski</w:t>
      </w:r>
      <w:proofErr w:type="spellEnd"/>
      <w:r w:rsidRPr="008D3529">
        <w:rPr>
          <w:rFonts w:hint="cs"/>
          <w:color w:val="000000" w:themeColor="text1"/>
          <w:lang w:val="en-US"/>
        </w:rPr>
        <w:t xml:space="preserve"> M., </w:t>
      </w:r>
      <w:proofErr w:type="spellStart"/>
      <w:r w:rsidRPr="008D3529">
        <w:rPr>
          <w:rFonts w:hint="cs"/>
          <w:color w:val="000000" w:themeColor="text1"/>
          <w:lang w:val="en-US"/>
        </w:rPr>
        <w:t>Berkun</w:t>
      </w:r>
      <w:proofErr w:type="spellEnd"/>
      <w:r w:rsidRPr="008D3529">
        <w:rPr>
          <w:rFonts w:hint="cs"/>
          <w:color w:val="000000" w:themeColor="text1"/>
          <w:lang w:val="en-US"/>
        </w:rPr>
        <w:t xml:space="preserve"> Y., </w:t>
      </w:r>
      <w:proofErr w:type="spellStart"/>
      <w:r w:rsidRPr="008D3529">
        <w:rPr>
          <w:rFonts w:hint="cs"/>
          <w:color w:val="000000" w:themeColor="text1"/>
          <w:lang w:val="en-US"/>
        </w:rPr>
        <w:t>Slae</w:t>
      </w:r>
      <w:proofErr w:type="spellEnd"/>
      <w:r w:rsidRPr="008D3529">
        <w:rPr>
          <w:rFonts w:hint="cs"/>
          <w:color w:val="000000" w:themeColor="text1"/>
          <w:lang w:val="en-US"/>
        </w:rPr>
        <w:t xml:space="preserve"> M. Ingestion of hijab pins. Pediatrics. 2020; 145: e20193472. </w:t>
      </w:r>
      <w:proofErr w:type="spellStart"/>
      <w:r w:rsidRPr="008D3529">
        <w:rPr>
          <w:rFonts w:hint="cs"/>
          <w:color w:val="000000" w:themeColor="text1"/>
          <w:lang w:val="en-US"/>
        </w:rPr>
        <w:t>doi</w:t>
      </w:r>
      <w:proofErr w:type="spellEnd"/>
      <w:r w:rsidRPr="008D3529">
        <w:rPr>
          <w:rFonts w:hint="cs"/>
          <w:color w:val="000000" w:themeColor="text1"/>
          <w:lang w:val="en-US"/>
        </w:rPr>
        <w:t>: 10.1542/peds.2019-3472.</w:t>
      </w:r>
    </w:p>
    <w:p w14:paraId="3C8598EA" w14:textId="77777777" w:rsidR="008F5981" w:rsidRPr="008D3529" w:rsidRDefault="008F5981" w:rsidP="008F5981">
      <w:pPr>
        <w:pStyle w:val="NormalWeb"/>
        <w:numPr>
          <w:ilvl w:val="0"/>
          <w:numId w:val="1"/>
        </w:numPr>
        <w:spacing w:line="276" w:lineRule="auto"/>
        <w:jc w:val="both"/>
        <w:rPr>
          <w:color w:val="000000" w:themeColor="text1"/>
          <w:sz w:val="26"/>
          <w:szCs w:val="26"/>
          <w:shd w:val="clear" w:color="auto" w:fill="FFFFFF"/>
        </w:rPr>
      </w:pPr>
      <w:proofErr w:type="spellStart"/>
      <w:r w:rsidRPr="008D3529">
        <w:rPr>
          <w:rStyle w:val="HTMLCite"/>
          <w:rFonts w:hint="cs"/>
          <w:i w:val="0"/>
          <w:iCs w:val="0"/>
          <w:color w:val="000000" w:themeColor="text1"/>
          <w:sz w:val="26"/>
          <w:szCs w:val="26"/>
          <w:shd w:val="clear" w:color="auto" w:fill="FFFFFF"/>
          <w:lang w:val="en-US"/>
        </w:rPr>
        <w:t>Zong</w:t>
      </w:r>
      <w:proofErr w:type="spellEnd"/>
      <w:r w:rsidRPr="008D3529">
        <w:rPr>
          <w:rStyle w:val="HTMLCite"/>
          <w:rFonts w:hint="cs"/>
          <w:i w:val="0"/>
          <w:iCs w:val="0"/>
          <w:color w:val="000000" w:themeColor="text1"/>
          <w:sz w:val="26"/>
          <w:szCs w:val="26"/>
          <w:shd w:val="clear" w:color="auto" w:fill="FFFFFF"/>
          <w:lang w:val="en-US"/>
        </w:rPr>
        <w:t xml:space="preserve"> Y., Zhao H., Sun C., Ji M., Wu Y., Zhang S., Wang Y. Differences between intentional and accidental ingestion of foreign bodies in China. BMC Gastroenterol. 2020; 20: 90. </w:t>
      </w:r>
      <w:proofErr w:type="spellStart"/>
      <w:r w:rsidRPr="008D3529">
        <w:rPr>
          <w:rStyle w:val="HTMLCite"/>
          <w:rFonts w:hint="cs"/>
          <w:i w:val="0"/>
          <w:iCs w:val="0"/>
          <w:color w:val="000000" w:themeColor="text1"/>
          <w:sz w:val="26"/>
          <w:szCs w:val="26"/>
          <w:shd w:val="clear" w:color="auto" w:fill="FFFFFF"/>
          <w:lang w:val="en-US"/>
        </w:rPr>
        <w:t>doi</w:t>
      </w:r>
      <w:proofErr w:type="spellEnd"/>
      <w:r w:rsidRPr="008D3529">
        <w:rPr>
          <w:rStyle w:val="HTMLCite"/>
          <w:rFonts w:hint="cs"/>
          <w:i w:val="0"/>
          <w:iCs w:val="0"/>
          <w:color w:val="000000" w:themeColor="text1"/>
          <w:sz w:val="26"/>
          <w:szCs w:val="26"/>
          <w:shd w:val="clear" w:color="auto" w:fill="FFFFFF"/>
          <w:lang w:val="en-US"/>
        </w:rPr>
        <w:t>: 10.1186/s12876-020-01224-z.</w:t>
      </w:r>
      <w:r w:rsidRPr="008D3529">
        <w:rPr>
          <w:rFonts w:hint="cs"/>
          <w:color w:val="000000" w:themeColor="text1"/>
          <w:lang w:val="en-US"/>
        </w:rPr>
        <w:t xml:space="preserve"> </w:t>
      </w:r>
    </w:p>
    <w:p w14:paraId="6C481DC0" w14:textId="7689CA10" w:rsidR="008F5981" w:rsidRPr="008D3529" w:rsidRDefault="008F5981" w:rsidP="00A44F58">
      <w:pPr>
        <w:pStyle w:val="NormalWeb"/>
        <w:numPr>
          <w:ilvl w:val="0"/>
          <w:numId w:val="1"/>
        </w:numPr>
        <w:spacing w:line="276" w:lineRule="auto"/>
        <w:jc w:val="both"/>
        <w:rPr>
          <w:color w:val="000000" w:themeColor="text1"/>
          <w:lang w:val="en-US"/>
        </w:rPr>
      </w:pPr>
      <w:r w:rsidRPr="008D3529">
        <w:rPr>
          <w:rFonts w:hint="cs"/>
          <w:color w:val="000000" w:themeColor="text1"/>
          <w:lang w:val="en-US"/>
        </w:rPr>
        <w:t xml:space="preserve">ASGE Standards of Practice Committee, </w:t>
      </w:r>
      <w:proofErr w:type="spellStart"/>
      <w:r w:rsidRPr="008D3529">
        <w:rPr>
          <w:rFonts w:hint="cs"/>
          <w:color w:val="000000" w:themeColor="text1"/>
          <w:lang w:val="en-US"/>
        </w:rPr>
        <w:t>Ikenberry</w:t>
      </w:r>
      <w:proofErr w:type="spellEnd"/>
      <w:r w:rsidRPr="008D3529">
        <w:rPr>
          <w:rFonts w:hint="cs"/>
          <w:color w:val="000000" w:themeColor="text1"/>
          <w:lang w:val="en-US"/>
        </w:rPr>
        <w:t xml:space="preserve"> SO, </w:t>
      </w:r>
      <w:proofErr w:type="spellStart"/>
      <w:r w:rsidRPr="008D3529">
        <w:rPr>
          <w:rFonts w:hint="cs"/>
          <w:color w:val="000000" w:themeColor="text1"/>
          <w:lang w:val="en-US"/>
        </w:rPr>
        <w:t>Jue</w:t>
      </w:r>
      <w:proofErr w:type="spellEnd"/>
      <w:r w:rsidRPr="008D3529">
        <w:rPr>
          <w:rFonts w:hint="cs"/>
          <w:color w:val="000000" w:themeColor="text1"/>
          <w:lang w:val="en-US"/>
        </w:rPr>
        <w:t xml:space="preserve"> TL, Anderson MA, </w:t>
      </w:r>
      <w:proofErr w:type="spellStart"/>
      <w:r w:rsidRPr="008D3529">
        <w:rPr>
          <w:rFonts w:hint="cs"/>
          <w:color w:val="000000" w:themeColor="text1"/>
          <w:lang w:val="en-US"/>
        </w:rPr>
        <w:t>Appalaneni</w:t>
      </w:r>
      <w:proofErr w:type="spellEnd"/>
      <w:r w:rsidRPr="008D3529">
        <w:rPr>
          <w:rFonts w:hint="cs"/>
          <w:color w:val="000000" w:themeColor="text1"/>
          <w:lang w:val="en-US"/>
        </w:rPr>
        <w:t xml:space="preserve"> V, Banerjee S, et al. Management of ingested foreign body and food impactions.</w:t>
      </w:r>
      <w:r w:rsidR="00A44F58" w:rsidRPr="008D3529">
        <w:rPr>
          <w:color w:val="000000" w:themeColor="text1"/>
          <w:lang w:val="en-US"/>
        </w:rPr>
        <w:t xml:space="preserve"> </w:t>
      </w:r>
      <w:proofErr w:type="spellStart"/>
      <w:r w:rsidRPr="008D3529">
        <w:rPr>
          <w:rFonts w:hint="cs"/>
          <w:color w:val="000000" w:themeColor="text1"/>
          <w:lang w:val="en-US"/>
        </w:rPr>
        <w:t>Gastrointest</w:t>
      </w:r>
      <w:proofErr w:type="spellEnd"/>
      <w:r w:rsidRPr="008D3529">
        <w:rPr>
          <w:rFonts w:hint="cs"/>
          <w:color w:val="000000" w:themeColor="text1"/>
          <w:lang w:val="en-US"/>
        </w:rPr>
        <w:t xml:space="preserve"> </w:t>
      </w:r>
      <w:proofErr w:type="spellStart"/>
      <w:r w:rsidRPr="008D3529">
        <w:rPr>
          <w:rFonts w:hint="cs"/>
          <w:color w:val="000000" w:themeColor="text1"/>
          <w:lang w:val="en-US"/>
        </w:rPr>
        <w:t>Endosc</w:t>
      </w:r>
      <w:proofErr w:type="spellEnd"/>
      <w:r w:rsidRPr="008D3529">
        <w:rPr>
          <w:rFonts w:hint="cs"/>
          <w:color w:val="000000" w:themeColor="text1"/>
          <w:lang w:val="en-US"/>
        </w:rPr>
        <w:t xml:space="preserve"> 2011; 73(6): 1085-91. </w:t>
      </w:r>
    </w:p>
    <w:p w14:paraId="01725E10" w14:textId="77777777" w:rsidR="00A44F58" w:rsidRPr="008D3529" w:rsidRDefault="00A44F58" w:rsidP="00A44F58">
      <w:pPr>
        <w:pStyle w:val="NormalWeb"/>
        <w:numPr>
          <w:ilvl w:val="0"/>
          <w:numId w:val="1"/>
        </w:numPr>
        <w:spacing w:line="276" w:lineRule="auto"/>
        <w:jc w:val="both"/>
        <w:rPr>
          <w:color w:val="000000" w:themeColor="text1"/>
          <w:lang w:val="en-US"/>
        </w:rPr>
      </w:pPr>
      <w:r w:rsidRPr="008D3529">
        <w:rPr>
          <w:color w:val="000000" w:themeColor="text1"/>
          <w:lang w:val="en-US"/>
        </w:rPr>
        <w:t xml:space="preserve">Chen MK, </w:t>
      </w:r>
      <w:proofErr w:type="spellStart"/>
      <w:r w:rsidRPr="008D3529">
        <w:rPr>
          <w:color w:val="000000" w:themeColor="text1"/>
          <w:lang w:val="en-US"/>
        </w:rPr>
        <w:t>Beierle</w:t>
      </w:r>
      <w:proofErr w:type="spellEnd"/>
      <w:r w:rsidRPr="008D3529">
        <w:rPr>
          <w:color w:val="000000" w:themeColor="text1"/>
          <w:lang w:val="en-US"/>
        </w:rPr>
        <w:t xml:space="preserve"> EA. Gastrointestinal foreign bodies. </w:t>
      </w:r>
      <w:proofErr w:type="spellStart"/>
      <w:r w:rsidRPr="008D3529">
        <w:rPr>
          <w:color w:val="000000" w:themeColor="text1"/>
          <w:lang w:val="en-US"/>
        </w:rPr>
        <w:t>Pediatr</w:t>
      </w:r>
      <w:proofErr w:type="spellEnd"/>
      <w:r w:rsidRPr="008D3529">
        <w:rPr>
          <w:color w:val="000000" w:themeColor="text1"/>
          <w:lang w:val="en-US"/>
        </w:rPr>
        <w:t xml:space="preserve"> Ann </w:t>
      </w:r>
      <w:proofErr w:type="gramStart"/>
      <w:r w:rsidRPr="008D3529">
        <w:rPr>
          <w:color w:val="000000" w:themeColor="text1"/>
          <w:lang w:val="en-US"/>
        </w:rPr>
        <w:t>2001;30:736</w:t>
      </w:r>
      <w:proofErr w:type="gramEnd"/>
      <w:r w:rsidRPr="008D3529">
        <w:rPr>
          <w:color w:val="000000" w:themeColor="text1"/>
          <w:lang w:val="en-US"/>
        </w:rPr>
        <w:t xml:space="preserve">–42. </w:t>
      </w:r>
    </w:p>
    <w:p w14:paraId="56337837" w14:textId="369AAC9A" w:rsidR="00A44F58" w:rsidRPr="008D3529" w:rsidRDefault="00A44F58" w:rsidP="00A44F58">
      <w:pPr>
        <w:pStyle w:val="NormalWeb"/>
        <w:numPr>
          <w:ilvl w:val="0"/>
          <w:numId w:val="1"/>
        </w:numPr>
        <w:spacing w:line="276" w:lineRule="auto"/>
        <w:jc w:val="both"/>
        <w:rPr>
          <w:color w:val="000000" w:themeColor="text1"/>
          <w:lang w:val="en-US"/>
        </w:rPr>
      </w:pPr>
      <w:r w:rsidRPr="008D3529">
        <w:rPr>
          <w:color w:val="000000" w:themeColor="text1"/>
          <w:lang w:val="en-US"/>
        </w:rPr>
        <w:t xml:space="preserve">Kay M, Wyllie R. Techniques of foreign body removal in infants and children. Techniques in </w:t>
      </w:r>
      <w:proofErr w:type="spellStart"/>
      <w:r w:rsidRPr="008D3529">
        <w:rPr>
          <w:color w:val="000000" w:themeColor="text1"/>
          <w:lang w:val="en-US"/>
        </w:rPr>
        <w:t>Gastrointest</w:t>
      </w:r>
      <w:proofErr w:type="spellEnd"/>
      <w:r w:rsidRPr="008D3529">
        <w:rPr>
          <w:color w:val="000000" w:themeColor="text1"/>
          <w:lang w:val="en-US"/>
        </w:rPr>
        <w:t xml:space="preserve"> </w:t>
      </w:r>
      <w:proofErr w:type="spellStart"/>
      <w:r w:rsidRPr="008D3529">
        <w:rPr>
          <w:color w:val="000000" w:themeColor="text1"/>
          <w:lang w:val="en-US"/>
        </w:rPr>
        <w:t>Endosc</w:t>
      </w:r>
      <w:proofErr w:type="spellEnd"/>
      <w:r w:rsidRPr="008D3529">
        <w:rPr>
          <w:color w:val="000000" w:themeColor="text1"/>
          <w:lang w:val="en-US"/>
        </w:rPr>
        <w:t xml:space="preserve"> 2002; 4:188–95. </w:t>
      </w:r>
    </w:p>
    <w:sectPr w:rsidR="00A44F58" w:rsidRPr="008D352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192F4" w14:textId="77777777" w:rsidR="00E90D7F" w:rsidRDefault="00E90D7F" w:rsidP="009A31F5">
      <w:r>
        <w:separator/>
      </w:r>
    </w:p>
  </w:endnote>
  <w:endnote w:type="continuationSeparator" w:id="0">
    <w:p w14:paraId="0D0C770A" w14:textId="77777777" w:rsidR="00E90D7F" w:rsidRDefault="00E90D7F" w:rsidP="009A3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5796C" w14:textId="77777777" w:rsidR="009A31F5" w:rsidRDefault="009A3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27EC0" w14:textId="77777777" w:rsidR="009A31F5" w:rsidRDefault="009A31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22354" w14:textId="77777777" w:rsidR="009A31F5" w:rsidRDefault="009A3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B3D57" w14:textId="77777777" w:rsidR="00E90D7F" w:rsidRDefault="00E90D7F" w:rsidP="009A31F5">
      <w:r>
        <w:separator/>
      </w:r>
    </w:p>
  </w:footnote>
  <w:footnote w:type="continuationSeparator" w:id="0">
    <w:p w14:paraId="7DFAFEBE" w14:textId="77777777" w:rsidR="00E90D7F" w:rsidRDefault="00E90D7F" w:rsidP="009A3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CCFCA" w14:textId="1EF6BBB6" w:rsidR="009A31F5" w:rsidRDefault="00E90D7F">
    <w:pPr>
      <w:pStyle w:val="Header"/>
    </w:pPr>
    <w:r>
      <w:rPr>
        <w:noProof/>
      </w:rPr>
      <w:pict w14:anchorId="775F5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381876" o:spid="_x0000_s2051" type="#_x0000_t136" alt="" style="position:absolute;margin-left:0;margin-top:0;width:538.55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D53F6" w14:textId="782D998B" w:rsidR="009A31F5" w:rsidRDefault="00E90D7F">
    <w:pPr>
      <w:pStyle w:val="Header"/>
    </w:pPr>
    <w:r>
      <w:rPr>
        <w:noProof/>
      </w:rPr>
      <w:pict w14:anchorId="4CAF3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381877" o:spid="_x0000_s2050"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169F0" w14:textId="7B23BB68" w:rsidR="009A31F5" w:rsidRDefault="00E90D7F">
    <w:pPr>
      <w:pStyle w:val="Header"/>
    </w:pPr>
    <w:r>
      <w:rPr>
        <w:noProof/>
      </w:rPr>
      <w:pict w14:anchorId="601E0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381875" o:spid="_x0000_s2049" type="#_x0000_t136" alt="" style="position:absolute;margin-left:0;margin-top:0;width:538.55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500F"/>
    <w:multiLevelType w:val="hybridMultilevel"/>
    <w:tmpl w:val="D1FE946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4B7D3408"/>
    <w:multiLevelType w:val="multilevel"/>
    <w:tmpl w:val="9B3CE946"/>
    <w:lvl w:ilvl="0">
      <w:start w:val="1"/>
      <w:numFmt w:val="decimal"/>
      <w:lvlText w:val="%1."/>
      <w:lvlJc w:val="left"/>
      <w:pPr>
        <w:tabs>
          <w:tab w:val="num" w:pos="360"/>
        </w:tabs>
        <w:ind w:left="360" w:hanging="360"/>
      </w:pPr>
      <w:rPr>
        <w:color w:val="000000" w:themeColor="text1"/>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7EE27409"/>
    <w:multiLevelType w:val="multilevel"/>
    <w:tmpl w:val="9B3CE946"/>
    <w:lvl w:ilvl="0">
      <w:start w:val="1"/>
      <w:numFmt w:val="decimal"/>
      <w:lvlText w:val="%1."/>
      <w:lvlJc w:val="left"/>
      <w:pPr>
        <w:tabs>
          <w:tab w:val="num" w:pos="360"/>
        </w:tabs>
        <w:ind w:left="360" w:hanging="360"/>
      </w:pPr>
      <w:rPr>
        <w:color w:val="000000" w:themeColor="text1"/>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981"/>
    <w:rsid w:val="00116C5A"/>
    <w:rsid w:val="00195382"/>
    <w:rsid w:val="001A43E8"/>
    <w:rsid w:val="001F2A09"/>
    <w:rsid w:val="00205195"/>
    <w:rsid w:val="00224156"/>
    <w:rsid w:val="00271099"/>
    <w:rsid w:val="002F1E1F"/>
    <w:rsid w:val="00354340"/>
    <w:rsid w:val="0035467B"/>
    <w:rsid w:val="00492484"/>
    <w:rsid w:val="006124F4"/>
    <w:rsid w:val="00697136"/>
    <w:rsid w:val="007A3D67"/>
    <w:rsid w:val="007D063B"/>
    <w:rsid w:val="007F2072"/>
    <w:rsid w:val="008074C8"/>
    <w:rsid w:val="0083551F"/>
    <w:rsid w:val="008D3529"/>
    <w:rsid w:val="008F5981"/>
    <w:rsid w:val="00980B8F"/>
    <w:rsid w:val="009A1229"/>
    <w:rsid w:val="009A31F5"/>
    <w:rsid w:val="009F1DDF"/>
    <w:rsid w:val="00A31982"/>
    <w:rsid w:val="00A44F58"/>
    <w:rsid w:val="00A561D4"/>
    <w:rsid w:val="00AC71BF"/>
    <w:rsid w:val="00B226BF"/>
    <w:rsid w:val="00C665A9"/>
    <w:rsid w:val="00C70980"/>
    <w:rsid w:val="00D73D76"/>
    <w:rsid w:val="00D9710F"/>
    <w:rsid w:val="00DC7971"/>
    <w:rsid w:val="00E40F57"/>
    <w:rsid w:val="00E90D7F"/>
    <w:rsid w:val="00EB4360"/>
    <w:rsid w:val="00EC0855"/>
    <w:rsid w:val="00F12DCB"/>
    <w:rsid w:val="00F83167"/>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87CBE0"/>
  <w15:chartTrackingRefBased/>
  <w15:docId w15:val="{556AEA2F-8ACF-1343-A949-BE061ED4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19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5981"/>
    <w:pPr>
      <w:spacing w:before="100" w:beforeAutospacing="1" w:after="100" w:afterAutospacing="1"/>
    </w:pPr>
    <w:rPr>
      <w:rFonts w:ascii="Times New Roman" w:eastAsia="Times New Roman" w:hAnsi="Times New Roman" w:cs="Times New Roman"/>
      <w:kern w:val="0"/>
      <w:lang w:eastAsia="fr-FR"/>
      <w14:ligatures w14:val="none"/>
    </w:rPr>
  </w:style>
  <w:style w:type="character" w:styleId="HTMLCite">
    <w:name w:val="HTML Cite"/>
    <w:basedOn w:val="DefaultParagraphFont"/>
    <w:uiPriority w:val="99"/>
    <w:semiHidden/>
    <w:unhideWhenUsed/>
    <w:rsid w:val="008F5981"/>
    <w:rPr>
      <w:i/>
      <w:iCs/>
    </w:rPr>
  </w:style>
  <w:style w:type="paragraph" w:styleId="Caption">
    <w:name w:val="caption"/>
    <w:basedOn w:val="Normal"/>
    <w:next w:val="Normal"/>
    <w:uiPriority w:val="35"/>
    <w:unhideWhenUsed/>
    <w:qFormat/>
    <w:rsid w:val="008F5981"/>
    <w:pPr>
      <w:spacing w:after="200"/>
    </w:pPr>
    <w:rPr>
      <w:rFonts w:ascii="Times New Roman" w:eastAsia="Times New Roman" w:hAnsi="Times New Roman" w:cs="Times New Roman"/>
      <w:i/>
      <w:iCs/>
      <w:color w:val="44546A" w:themeColor="text2"/>
      <w:kern w:val="0"/>
      <w:sz w:val="18"/>
      <w:szCs w:val="18"/>
      <w:lang w:eastAsia="fr-FR"/>
      <w14:ligatures w14:val="none"/>
    </w:rPr>
  </w:style>
  <w:style w:type="character" w:styleId="Strong">
    <w:name w:val="Strong"/>
    <w:basedOn w:val="DefaultParagraphFont"/>
    <w:uiPriority w:val="22"/>
    <w:qFormat/>
    <w:rsid w:val="008F5981"/>
    <w:rPr>
      <w:b/>
      <w:bCs/>
    </w:rPr>
  </w:style>
  <w:style w:type="character" w:styleId="Hyperlink">
    <w:name w:val="Hyperlink"/>
    <w:basedOn w:val="DefaultParagraphFont"/>
    <w:uiPriority w:val="99"/>
    <w:unhideWhenUsed/>
    <w:rsid w:val="00195382"/>
    <w:rPr>
      <w:color w:val="0563C1" w:themeColor="hyperlink"/>
      <w:u w:val="single"/>
    </w:rPr>
  </w:style>
  <w:style w:type="character" w:customStyle="1" w:styleId="UnresolvedMention1">
    <w:name w:val="Unresolved Mention1"/>
    <w:basedOn w:val="DefaultParagraphFont"/>
    <w:uiPriority w:val="99"/>
    <w:semiHidden/>
    <w:unhideWhenUsed/>
    <w:rsid w:val="00195382"/>
    <w:rPr>
      <w:color w:val="605E5C"/>
      <w:shd w:val="clear" w:color="auto" w:fill="E1DFDD"/>
    </w:rPr>
  </w:style>
  <w:style w:type="paragraph" w:styleId="Header">
    <w:name w:val="header"/>
    <w:basedOn w:val="Normal"/>
    <w:link w:val="HeaderChar"/>
    <w:uiPriority w:val="99"/>
    <w:unhideWhenUsed/>
    <w:rsid w:val="009A31F5"/>
    <w:pPr>
      <w:tabs>
        <w:tab w:val="center" w:pos="4680"/>
        <w:tab w:val="right" w:pos="9360"/>
      </w:tabs>
    </w:pPr>
  </w:style>
  <w:style w:type="character" w:customStyle="1" w:styleId="HeaderChar">
    <w:name w:val="Header Char"/>
    <w:basedOn w:val="DefaultParagraphFont"/>
    <w:link w:val="Header"/>
    <w:uiPriority w:val="99"/>
    <w:rsid w:val="009A31F5"/>
  </w:style>
  <w:style w:type="paragraph" w:styleId="Footer">
    <w:name w:val="footer"/>
    <w:basedOn w:val="Normal"/>
    <w:link w:val="FooterChar"/>
    <w:uiPriority w:val="99"/>
    <w:unhideWhenUsed/>
    <w:rsid w:val="009A31F5"/>
    <w:pPr>
      <w:tabs>
        <w:tab w:val="center" w:pos="4680"/>
        <w:tab w:val="right" w:pos="9360"/>
      </w:tabs>
    </w:pPr>
  </w:style>
  <w:style w:type="character" w:customStyle="1" w:styleId="FooterChar">
    <w:name w:val="Footer Char"/>
    <w:basedOn w:val="DefaultParagraphFont"/>
    <w:link w:val="Footer"/>
    <w:uiPriority w:val="99"/>
    <w:rsid w:val="009A3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774237">
      <w:bodyDiv w:val="1"/>
      <w:marLeft w:val="0"/>
      <w:marRight w:val="0"/>
      <w:marTop w:val="0"/>
      <w:marBottom w:val="0"/>
      <w:divBdr>
        <w:top w:val="none" w:sz="0" w:space="0" w:color="auto"/>
        <w:left w:val="none" w:sz="0" w:space="0" w:color="auto"/>
        <w:bottom w:val="none" w:sz="0" w:space="0" w:color="auto"/>
        <w:right w:val="none" w:sz="0" w:space="0" w:color="auto"/>
      </w:divBdr>
    </w:div>
    <w:div w:id="528564079">
      <w:bodyDiv w:val="1"/>
      <w:marLeft w:val="0"/>
      <w:marRight w:val="0"/>
      <w:marTop w:val="0"/>
      <w:marBottom w:val="0"/>
      <w:divBdr>
        <w:top w:val="none" w:sz="0" w:space="0" w:color="auto"/>
        <w:left w:val="none" w:sz="0" w:space="0" w:color="auto"/>
        <w:bottom w:val="none" w:sz="0" w:space="0" w:color="auto"/>
        <w:right w:val="none" w:sz="0" w:space="0" w:color="auto"/>
      </w:divBdr>
    </w:div>
    <w:div w:id="540552107">
      <w:bodyDiv w:val="1"/>
      <w:marLeft w:val="0"/>
      <w:marRight w:val="0"/>
      <w:marTop w:val="0"/>
      <w:marBottom w:val="0"/>
      <w:divBdr>
        <w:top w:val="none" w:sz="0" w:space="0" w:color="auto"/>
        <w:left w:val="none" w:sz="0" w:space="0" w:color="auto"/>
        <w:bottom w:val="none" w:sz="0" w:space="0" w:color="auto"/>
        <w:right w:val="none" w:sz="0" w:space="0" w:color="auto"/>
      </w:divBdr>
      <w:divsChild>
        <w:div w:id="1709992878">
          <w:marLeft w:val="0"/>
          <w:marRight w:val="0"/>
          <w:marTop w:val="0"/>
          <w:marBottom w:val="0"/>
          <w:divBdr>
            <w:top w:val="none" w:sz="0" w:space="0" w:color="auto"/>
            <w:left w:val="none" w:sz="0" w:space="0" w:color="auto"/>
            <w:bottom w:val="none" w:sz="0" w:space="0" w:color="auto"/>
            <w:right w:val="none" w:sz="0" w:space="0" w:color="auto"/>
          </w:divBdr>
          <w:divsChild>
            <w:div w:id="2034186280">
              <w:marLeft w:val="0"/>
              <w:marRight w:val="0"/>
              <w:marTop w:val="0"/>
              <w:marBottom w:val="0"/>
              <w:divBdr>
                <w:top w:val="none" w:sz="0" w:space="0" w:color="auto"/>
                <w:left w:val="none" w:sz="0" w:space="0" w:color="auto"/>
                <w:bottom w:val="none" w:sz="0" w:space="0" w:color="auto"/>
                <w:right w:val="none" w:sz="0" w:space="0" w:color="auto"/>
              </w:divBdr>
              <w:divsChild>
                <w:div w:id="9071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7004">
      <w:bodyDiv w:val="1"/>
      <w:marLeft w:val="0"/>
      <w:marRight w:val="0"/>
      <w:marTop w:val="0"/>
      <w:marBottom w:val="0"/>
      <w:divBdr>
        <w:top w:val="none" w:sz="0" w:space="0" w:color="auto"/>
        <w:left w:val="none" w:sz="0" w:space="0" w:color="auto"/>
        <w:bottom w:val="none" w:sz="0" w:space="0" w:color="auto"/>
        <w:right w:val="none" w:sz="0" w:space="0" w:color="auto"/>
      </w:divBdr>
    </w:div>
    <w:div w:id="1552493644">
      <w:bodyDiv w:val="1"/>
      <w:marLeft w:val="0"/>
      <w:marRight w:val="0"/>
      <w:marTop w:val="0"/>
      <w:marBottom w:val="0"/>
      <w:divBdr>
        <w:top w:val="none" w:sz="0" w:space="0" w:color="auto"/>
        <w:left w:val="none" w:sz="0" w:space="0" w:color="auto"/>
        <w:bottom w:val="none" w:sz="0" w:space="0" w:color="auto"/>
        <w:right w:val="none" w:sz="0" w:space="0" w:color="auto"/>
      </w:divBdr>
      <w:divsChild>
        <w:div w:id="1096487960">
          <w:marLeft w:val="0"/>
          <w:marRight w:val="0"/>
          <w:marTop w:val="0"/>
          <w:marBottom w:val="0"/>
          <w:divBdr>
            <w:top w:val="none" w:sz="0" w:space="0" w:color="auto"/>
            <w:left w:val="none" w:sz="0" w:space="0" w:color="auto"/>
            <w:bottom w:val="none" w:sz="0" w:space="0" w:color="auto"/>
            <w:right w:val="none" w:sz="0" w:space="0" w:color="auto"/>
          </w:divBdr>
          <w:divsChild>
            <w:div w:id="1078594172">
              <w:marLeft w:val="0"/>
              <w:marRight w:val="0"/>
              <w:marTop w:val="0"/>
              <w:marBottom w:val="0"/>
              <w:divBdr>
                <w:top w:val="none" w:sz="0" w:space="0" w:color="auto"/>
                <w:left w:val="none" w:sz="0" w:space="0" w:color="auto"/>
                <w:bottom w:val="none" w:sz="0" w:space="0" w:color="auto"/>
                <w:right w:val="none" w:sz="0" w:space="0" w:color="auto"/>
              </w:divBdr>
              <w:divsChild>
                <w:div w:id="1871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08177">
      <w:bodyDiv w:val="1"/>
      <w:marLeft w:val="0"/>
      <w:marRight w:val="0"/>
      <w:marTop w:val="0"/>
      <w:marBottom w:val="0"/>
      <w:divBdr>
        <w:top w:val="none" w:sz="0" w:space="0" w:color="auto"/>
        <w:left w:val="none" w:sz="0" w:space="0" w:color="auto"/>
        <w:bottom w:val="none" w:sz="0" w:space="0" w:color="auto"/>
        <w:right w:val="none" w:sz="0" w:space="0" w:color="auto"/>
      </w:divBdr>
      <w:divsChild>
        <w:div w:id="594243741">
          <w:marLeft w:val="0"/>
          <w:marRight w:val="0"/>
          <w:marTop w:val="0"/>
          <w:marBottom w:val="0"/>
          <w:divBdr>
            <w:top w:val="none" w:sz="0" w:space="0" w:color="auto"/>
            <w:left w:val="none" w:sz="0" w:space="0" w:color="auto"/>
            <w:bottom w:val="none" w:sz="0" w:space="0" w:color="auto"/>
            <w:right w:val="none" w:sz="0" w:space="0" w:color="auto"/>
          </w:divBdr>
          <w:divsChild>
            <w:div w:id="1548373849">
              <w:marLeft w:val="0"/>
              <w:marRight w:val="0"/>
              <w:marTop w:val="0"/>
              <w:marBottom w:val="0"/>
              <w:divBdr>
                <w:top w:val="none" w:sz="0" w:space="0" w:color="auto"/>
                <w:left w:val="none" w:sz="0" w:space="0" w:color="auto"/>
                <w:bottom w:val="none" w:sz="0" w:space="0" w:color="auto"/>
                <w:right w:val="none" w:sz="0" w:space="0" w:color="auto"/>
              </w:divBdr>
              <w:divsChild>
                <w:div w:id="17456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25860">
      <w:bodyDiv w:val="1"/>
      <w:marLeft w:val="0"/>
      <w:marRight w:val="0"/>
      <w:marTop w:val="0"/>
      <w:marBottom w:val="0"/>
      <w:divBdr>
        <w:top w:val="none" w:sz="0" w:space="0" w:color="auto"/>
        <w:left w:val="none" w:sz="0" w:space="0" w:color="auto"/>
        <w:bottom w:val="none" w:sz="0" w:space="0" w:color="auto"/>
        <w:right w:val="none" w:sz="0" w:space="0" w:color="auto"/>
      </w:divBdr>
    </w:div>
    <w:div w:id="2009863967">
      <w:bodyDiv w:val="1"/>
      <w:marLeft w:val="0"/>
      <w:marRight w:val="0"/>
      <w:marTop w:val="0"/>
      <w:marBottom w:val="0"/>
      <w:divBdr>
        <w:top w:val="none" w:sz="0" w:space="0" w:color="auto"/>
        <w:left w:val="none" w:sz="0" w:space="0" w:color="auto"/>
        <w:bottom w:val="none" w:sz="0" w:space="0" w:color="auto"/>
        <w:right w:val="none" w:sz="0" w:space="0" w:color="auto"/>
      </w:divBdr>
    </w:div>
    <w:div w:id="211998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6</Pages>
  <Words>1738</Words>
  <Characters>9913</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ziyad.bebe@gmail.com</dc:creator>
  <cp:keywords/>
  <dc:description/>
  <cp:lastModifiedBy>SDI 1183</cp:lastModifiedBy>
  <cp:revision>38</cp:revision>
  <dcterms:created xsi:type="dcterms:W3CDTF">2025-03-07T14:03:00Z</dcterms:created>
  <dcterms:modified xsi:type="dcterms:W3CDTF">2025-03-22T12:22:00Z</dcterms:modified>
</cp:coreProperties>
</file>