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5ACB0" w14:textId="0074E018" w:rsidR="008507DD" w:rsidRPr="00471419" w:rsidRDefault="003A4165">
      <w:pPr>
        <w:jc w:val="center"/>
        <w:rPr>
          <w:b/>
          <w:sz w:val="36"/>
          <w:szCs w:val="24"/>
        </w:rPr>
      </w:pPr>
      <w:r w:rsidRPr="00471419">
        <w:rPr>
          <w:b/>
          <w:sz w:val="36"/>
          <w:szCs w:val="24"/>
        </w:rPr>
        <w:t xml:space="preserve">The Impact of Cybersecurity Governance on National Security by Strengthening Critical Infrastructure through IT Auditing and Risk </w:t>
      </w:r>
      <w:r w:rsidR="00DF5C51">
        <w:rPr>
          <w:b/>
          <w:sz w:val="36"/>
          <w:szCs w:val="24"/>
        </w:rPr>
        <w:t>M</w:t>
      </w:r>
      <w:r w:rsidRPr="00471419">
        <w:rPr>
          <w:b/>
          <w:sz w:val="36"/>
          <w:szCs w:val="24"/>
        </w:rPr>
        <w:t xml:space="preserve">anagement </w:t>
      </w:r>
    </w:p>
    <w:p w14:paraId="1DEF237C" w14:textId="77777777" w:rsidR="00DF5C51" w:rsidRDefault="00DF5C51">
      <w:pPr>
        <w:rPr>
          <w:b/>
          <w:sz w:val="24"/>
          <w:szCs w:val="24"/>
        </w:rPr>
      </w:pPr>
    </w:p>
    <w:p w14:paraId="46E3F10A" w14:textId="77777777" w:rsidR="00DF5C51" w:rsidRDefault="00DF5C51">
      <w:pPr>
        <w:rPr>
          <w:b/>
          <w:sz w:val="24"/>
          <w:szCs w:val="24"/>
        </w:rPr>
      </w:pPr>
    </w:p>
    <w:p w14:paraId="50458F14" w14:textId="77777777" w:rsidR="00DF5C51" w:rsidRDefault="00DF5C51">
      <w:pPr>
        <w:rPr>
          <w:b/>
          <w:sz w:val="24"/>
          <w:szCs w:val="24"/>
        </w:rPr>
      </w:pPr>
    </w:p>
    <w:p w14:paraId="45F8F37A" w14:textId="77777777" w:rsidR="00DF5C51" w:rsidRDefault="00DF5C51">
      <w:pPr>
        <w:rPr>
          <w:b/>
          <w:sz w:val="24"/>
          <w:szCs w:val="24"/>
        </w:rPr>
      </w:pPr>
    </w:p>
    <w:p w14:paraId="50BE8D2A" w14:textId="79E0F3E1" w:rsidR="008507DD" w:rsidRPr="00471419" w:rsidRDefault="003A4165">
      <w:pPr>
        <w:rPr>
          <w:b/>
          <w:sz w:val="24"/>
          <w:szCs w:val="24"/>
        </w:rPr>
      </w:pPr>
      <w:r w:rsidRPr="00471419">
        <w:rPr>
          <w:b/>
          <w:sz w:val="24"/>
          <w:szCs w:val="24"/>
        </w:rPr>
        <w:t>Abstract</w:t>
      </w:r>
    </w:p>
    <w:p w14:paraId="393A6B0F" w14:textId="25B5BFE7" w:rsidR="008507DD" w:rsidRPr="00A654A5" w:rsidRDefault="00A654A5">
      <w:pPr>
        <w:spacing w:before="160" w:after="160"/>
        <w:jc w:val="both"/>
        <w:rPr>
          <w:i/>
          <w:sz w:val="24"/>
          <w:szCs w:val="24"/>
        </w:rPr>
      </w:pPr>
      <w:r w:rsidRPr="00A654A5">
        <w:rPr>
          <w:i/>
          <w:iCs/>
          <w:color w:val="000000"/>
          <w:sz w:val="24"/>
          <w:szCs w:val="24"/>
        </w:rPr>
        <w:t>Cybersecurity governance is increasingly recognized as a cornerstone of national security, especially in protecting critical infrastructure sectors such as energy, healthcare, finance, telecommunications, and transportation. This study investigates how governance frameworks, IT auditing, and risk management practices collectively reduce cyber threats and enhance the resilience of essential services. Using data from CISA, GAO audit reports, Verizon DBIR, and the World Economic Forum, the study assesses governance effectiveness through a combination of statistical techniques, including regression analysis, survival modeling, and data reduction methods. Findings reveal that organizations adopting both the NIST Cybersecurity Framework and ISO 27001 report a 75.8% reduction in cyber exploits, while IT audits lead to a 38–45% decrease in identified vulnerabilities. Additionally, proactive risk management strategies significantly delay the occurrence of cyber incidents, extending the average time to breach by over 260 days. These results underscore the critical importance of structured cybersecurity governance in minimizing threats and ensuring the continuity of national infrastructure. However, the study also highlights several implementation challenges, including regulatory inconsistencies, budget constraints, and a shortage of skilled cybersecurity professionals. These obstacles vary by region and sector, with under-resourced public institutions and developing economies facing the most significant barriers to effective governance. Recommendations include regulatory harmonization, mandating regular cybersecurity audits, and increasing investments in cybersecurity training and threat intelligence particularly in regions with fragmented oversight. The study offers valuable guidance for policymakers, regulators, and industry leaders seeking to strengthen national resilience in an evolving cyber threat landscape.</w:t>
      </w:r>
    </w:p>
    <w:p w14:paraId="112A0062" w14:textId="77777777" w:rsidR="008507DD" w:rsidRPr="00471419" w:rsidRDefault="003A4165">
      <w:pPr>
        <w:spacing w:before="160" w:after="160"/>
        <w:jc w:val="both"/>
        <w:rPr>
          <w:b/>
          <w:sz w:val="24"/>
          <w:szCs w:val="24"/>
        </w:rPr>
      </w:pPr>
      <w:r w:rsidRPr="00471419">
        <w:rPr>
          <w:b/>
          <w:sz w:val="24"/>
          <w:szCs w:val="24"/>
        </w:rPr>
        <w:t>Keywords: Cybersecurity Governance, IT Auditing, Risk Management, Critical Infrastructure, National Security</w:t>
      </w:r>
    </w:p>
    <w:p w14:paraId="135D7297" w14:textId="77777777" w:rsidR="008507DD" w:rsidRPr="00471419" w:rsidRDefault="008507DD">
      <w:pPr>
        <w:rPr>
          <w:b/>
          <w:sz w:val="24"/>
          <w:szCs w:val="24"/>
        </w:rPr>
      </w:pPr>
    </w:p>
    <w:p w14:paraId="0301CD2C" w14:textId="77777777" w:rsidR="008507DD" w:rsidRPr="00471419" w:rsidRDefault="00471419">
      <w:pPr>
        <w:pStyle w:val="Heading3"/>
        <w:keepNext w:val="0"/>
        <w:keepLines w:val="0"/>
        <w:spacing w:before="280"/>
        <w:rPr>
          <w:b/>
          <w:color w:val="000000"/>
          <w:sz w:val="24"/>
          <w:szCs w:val="24"/>
        </w:rPr>
      </w:pPr>
      <w:bookmarkStart w:id="0" w:name="_hdubtjo471sw" w:colFirst="0" w:colLast="0"/>
      <w:bookmarkEnd w:id="0"/>
      <w:r>
        <w:rPr>
          <w:b/>
          <w:color w:val="000000"/>
          <w:sz w:val="24"/>
          <w:szCs w:val="24"/>
        </w:rPr>
        <w:t>1.</w:t>
      </w:r>
      <w:r>
        <w:rPr>
          <w:b/>
          <w:color w:val="000000"/>
          <w:sz w:val="24"/>
          <w:szCs w:val="24"/>
        </w:rPr>
        <w:tab/>
      </w:r>
      <w:r w:rsidRPr="00471419">
        <w:rPr>
          <w:b/>
          <w:color w:val="000000"/>
          <w:sz w:val="24"/>
          <w:szCs w:val="24"/>
        </w:rPr>
        <w:t>Introduction</w:t>
      </w:r>
    </w:p>
    <w:p w14:paraId="7728BAF1" w14:textId="77777777" w:rsidR="008507DD" w:rsidRPr="00471419" w:rsidRDefault="003A4165">
      <w:pPr>
        <w:spacing w:before="240" w:after="240"/>
        <w:rPr>
          <w:sz w:val="24"/>
          <w:szCs w:val="24"/>
        </w:rPr>
      </w:pPr>
      <w:r w:rsidRPr="00471419">
        <w:rPr>
          <w:sz w:val="24"/>
          <w:szCs w:val="24"/>
        </w:rPr>
        <w:lastRenderedPageBreak/>
        <w:t>The increasing dependence on interconnected digital infrastructures has heightened the significance of cybersecurity governance in national security. Cybersecurity governance encompasses policies, standards, management structures, and compliance frameworks designed to enforce strict cybersecurity measures within critical sectors. The interconnected nature of modern digital systems necessitates comprehensive governance frameworks to mitigate risks effectively and ensure the protection of essential services.</w:t>
      </w:r>
    </w:p>
    <w:p w14:paraId="7098A4F7" w14:textId="77777777" w:rsidR="008507DD" w:rsidRPr="00471419" w:rsidRDefault="003A4165">
      <w:pPr>
        <w:spacing w:before="240" w:after="240"/>
        <w:rPr>
          <w:sz w:val="24"/>
          <w:szCs w:val="24"/>
        </w:rPr>
      </w:pPr>
      <w:r w:rsidRPr="00471419">
        <w:rPr>
          <w:sz w:val="24"/>
          <w:szCs w:val="24"/>
        </w:rPr>
        <w:t>According to AlDaajeh and Alrabaee (2024), cybersecurity governance plays a crucial role in safeguarding key sectors such as energy, healthcare, finance, telecommunications, and transportation, all of which are frequent targets of sophisticated cyber threats. Effective governance establishes a secure digital environment, safeguards sensitive information, ensures the continuity of critical services, and upholds economic stability. Conversely, inadequate cybersecurity governance exposes national infrastructure to severe risks, as demonstrated by the 2021 Colonial Pipeline ransomware attack in the United States, which severely disrupted fuel distribution and prompted regulatory interventions by the Transportation Security Administration (TSA) (Easterly &amp; Fanning, 2023). Such incidents highlight vulnerabilities in critical infrastructure, necessitating the enforcement of stronger cybersecurity measures and compliance frameworks by institutions such as the Cybersecurity and Infrastructure Security Agency (CISA).</w:t>
      </w:r>
    </w:p>
    <w:p w14:paraId="2AFD7A6A" w14:textId="77777777" w:rsidR="008507DD" w:rsidRPr="00471419" w:rsidRDefault="003A4165">
      <w:pPr>
        <w:spacing w:before="240" w:after="240"/>
        <w:rPr>
          <w:sz w:val="24"/>
          <w:szCs w:val="24"/>
        </w:rPr>
      </w:pPr>
      <w:r w:rsidRPr="00471419">
        <w:rPr>
          <w:sz w:val="24"/>
          <w:szCs w:val="24"/>
        </w:rPr>
        <w:t>Similarly, cybersecurity deficiencies in the United Kingdom were underscored by the National Audit Office’s review of 58 critical government IT systems, which revealed vulnerabilities stemming from outdated legacy technologies and insufficient resource allocation (National Audit Office, 2025). Recent cyberattacks on the British Library and the National Health Service (NHS) further emphasize the urgent need for enhanced cybersecurity governance reinforced by rigorous IT auditing (British Library, 2024). According to Itani et al. (2024), IT auditing is an indispensable component of cybersecurity governance, systematically identifying security vulnerabilities, ensuring compliance with established standards, and strengthening overall cyber resilience. The necessity of thorough IT audits was demonstrated by the U.S. Environmental Protection Agency’s identification of critical cybersecurity vulnerabilities in drinking water systems, which affected approximately 193 million individuals (U.S. Government Accountability Office, 2025). Additionally, the unauthorized access incident at an Australian hospital in early 2024, resulting from inadequate enforcement of multi-factor authentication, reinforces the importance of preemptive IT audits in identifying and mitigating security weaknesses (Courty &amp; Atkin, 2024).</w:t>
      </w:r>
    </w:p>
    <w:p w14:paraId="594DF086" w14:textId="77777777" w:rsidR="008507DD" w:rsidRPr="00471419" w:rsidRDefault="003A4165">
      <w:pPr>
        <w:spacing w:before="240" w:after="240"/>
        <w:rPr>
          <w:sz w:val="24"/>
          <w:szCs w:val="24"/>
        </w:rPr>
      </w:pPr>
      <w:r w:rsidRPr="00471419">
        <w:rPr>
          <w:sz w:val="24"/>
          <w:szCs w:val="24"/>
        </w:rPr>
        <w:t xml:space="preserve">Risk management is another fundamental aspect of cybersecurity governance, complementing IT auditing by systematically assessing and mitigating potential cyber </w:t>
      </w:r>
      <w:r w:rsidRPr="00471419">
        <w:rPr>
          <w:sz w:val="24"/>
          <w:szCs w:val="24"/>
        </w:rPr>
        <w:lastRenderedPageBreak/>
        <w:t xml:space="preserve">threats. Organizations that fail to meet cybersecurity compliance standards experience a significantly higher rate of security breaches, underscoring the critical role of proactive risk management. Delima (2024) posits that compliance with cybersecurity standards is directly correlated with reduced cyberattack incidents, as Thales group findings indicate that organizations failing cybersecurity audits reported a 47% breach rate, compared to only 17% among compliant entities. These statistics emphasize the necessity of robust risk management strategies to protect national infrastructure. </w:t>
      </w:r>
      <w:r w:rsidRPr="00471419">
        <w:rPr>
          <w:b/>
          <w:sz w:val="24"/>
          <w:szCs w:val="24"/>
        </w:rPr>
        <w:t>Figure 1</w:t>
      </w:r>
      <w:r w:rsidRPr="00471419">
        <w:rPr>
          <w:sz w:val="24"/>
          <w:szCs w:val="24"/>
        </w:rPr>
        <w:t xml:space="preserve"> presents a summarized visualization of notable cybersecurity incidents and statistical evidence from 2021 to 2024. This graph underscores the magnitude and severity of cybersecurity vulnerabilities affecting critical infrastructure globally. It highlights the critical role that effective cybersecurity governance—including rigorous IT auditing and proactive risk management—plays in significantly reducing incident rates, financial losses, and the number of people exposed to cyber threats.</w:t>
      </w:r>
    </w:p>
    <w:p w14:paraId="1E11317A" w14:textId="77777777" w:rsidR="008507DD" w:rsidRPr="00471419" w:rsidRDefault="008507DD">
      <w:pPr>
        <w:spacing w:before="240" w:after="240"/>
        <w:rPr>
          <w:sz w:val="24"/>
          <w:szCs w:val="24"/>
        </w:rPr>
      </w:pPr>
    </w:p>
    <w:p w14:paraId="14A3E546" w14:textId="77777777" w:rsidR="008507DD" w:rsidRDefault="003A4165">
      <w:pPr>
        <w:spacing w:before="240" w:after="240"/>
        <w:jc w:val="both"/>
        <w:rPr>
          <w:sz w:val="24"/>
          <w:szCs w:val="24"/>
        </w:rPr>
      </w:pPr>
      <w:r w:rsidRPr="00471419">
        <w:rPr>
          <w:noProof/>
          <w:sz w:val="24"/>
          <w:szCs w:val="24"/>
          <w:lang w:val="en-US"/>
        </w:rPr>
        <w:drawing>
          <wp:inline distT="114300" distB="114300" distL="114300" distR="114300" wp14:anchorId="76330572" wp14:editId="1E64D7DC">
            <wp:extent cx="5943212" cy="3946664"/>
            <wp:effectExtent l="0" t="0" r="635"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58098" cy="3956549"/>
                    </a:xfrm>
                    <a:prstGeom prst="rect">
                      <a:avLst/>
                    </a:prstGeom>
                    <a:ln/>
                  </pic:spPr>
                </pic:pic>
              </a:graphicData>
            </a:graphic>
          </wp:inline>
        </w:drawing>
      </w:r>
    </w:p>
    <w:p w14:paraId="4678F264" w14:textId="13AAD49F" w:rsidR="00117A17" w:rsidRPr="00471419" w:rsidRDefault="00117A17">
      <w:pPr>
        <w:spacing w:before="240" w:after="240"/>
        <w:jc w:val="both"/>
        <w:rPr>
          <w:sz w:val="24"/>
          <w:szCs w:val="24"/>
        </w:rPr>
      </w:pPr>
      <w:r>
        <w:rPr>
          <w:sz w:val="24"/>
          <w:szCs w:val="24"/>
        </w:rPr>
        <w:t>Fig 1-</w:t>
      </w:r>
      <w:r w:rsidR="001333D2">
        <w:rPr>
          <w:sz w:val="24"/>
          <w:szCs w:val="24"/>
        </w:rPr>
        <w:t xml:space="preserve"> </w:t>
      </w:r>
      <w:r w:rsidR="001333D2" w:rsidRPr="00CC1D2C">
        <w:rPr>
          <w:sz w:val="24"/>
          <w:szCs w:val="24"/>
        </w:rPr>
        <w:t>Cybersecurity incidents and statist</w:t>
      </w:r>
      <w:r w:rsidR="003E6DD4" w:rsidRPr="00CC1D2C">
        <w:rPr>
          <w:sz w:val="24"/>
          <w:szCs w:val="24"/>
        </w:rPr>
        <w:t>ical evidence from 2021 to 2024</w:t>
      </w:r>
      <w:r w:rsidR="001333D2" w:rsidRPr="00471419">
        <w:rPr>
          <w:sz w:val="24"/>
          <w:szCs w:val="24"/>
        </w:rPr>
        <w:t xml:space="preserve"> </w:t>
      </w:r>
    </w:p>
    <w:p w14:paraId="6E9F5AA3" w14:textId="77777777" w:rsidR="008507DD" w:rsidRPr="00471419" w:rsidRDefault="003A4165">
      <w:pPr>
        <w:spacing w:before="240" w:after="240"/>
        <w:rPr>
          <w:sz w:val="24"/>
          <w:szCs w:val="24"/>
        </w:rPr>
      </w:pPr>
      <w:r w:rsidRPr="00471419">
        <w:rPr>
          <w:sz w:val="24"/>
          <w:szCs w:val="24"/>
        </w:rPr>
        <w:t xml:space="preserve">The financial consequences of cybersecurity breaches further highlight the urgency of strong governance measures. The U.S. Department of the Treasury reported a substantial increase in ransomware-related financial losses, with approximately $886 </w:t>
      </w:r>
      <w:r w:rsidRPr="00471419">
        <w:rPr>
          <w:sz w:val="24"/>
          <w:szCs w:val="24"/>
        </w:rPr>
        <w:lastRenderedPageBreak/>
        <w:t>million in damages recorded in 2021—an alarming 68% rise from the previous year (United States Government Accountability Office, 2024). Similarly, the FBI documented 870 ransomware attacks in 2022, primarily targeting manufacturing, energy, healthcare, and transportation sectors, reinforcing the significant economic and operational risks cyber threats pose to national security (Kapko, 2023).</w:t>
      </w:r>
    </w:p>
    <w:p w14:paraId="7264FF7F" w14:textId="77777777" w:rsidR="008507DD" w:rsidRPr="00471419" w:rsidRDefault="003A4165">
      <w:pPr>
        <w:spacing w:before="240" w:after="240"/>
        <w:rPr>
          <w:sz w:val="24"/>
          <w:szCs w:val="24"/>
        </w:rPr>
      </w:pPr>
      <w:r w:rsidRPr="00471419">
        <w:rPr>
          <w:sz w:val="24"/>
          <w:szCs w:val="24"/>
        </w:rPr>
        <w:t>Recognizing cybersecurity governance as a national security priority, governments and regulatory bodies worldwide have adopted internationally recognized standards such as ISO 27001/27002 and the National Institute of Standards and Technology (NIST) Cybersecurity Framework. However, ITGovernance (2016) argues that despite the widespread adoption of these frameworks, practical implementation challenges persist. The Reserve Bank of Australia’s assessment of the Australian Securities Exchange (ASX) revealed considerable shortcomings in the management of cyber and operational risks, highlighting the persistent complexities of achieving effective cybersecurity governance within financial institutions (Reserve Bank of Australia, 2024).</w:t>
      </w:r>
    </w:p>
    <w:p w14:paraId="27AA94B6" w14:textId="77777777" w:rsidR="008507DD" w:rsidRPr="00471419" w:rsidRDefault="003A4165">
      <w:pPr>
        <w:spacing w:before="240" w:after="240"/>
        <w:rPr>
          <w:sz w:val="24"/>
          <w:szCs w:val="24"/>
        </w:rPr>
      </w:pPr>
      <w:r w:rsidRPr="00471419">
        <w:rPr>
          <w:sz w:val="24"/>
          <w:szCs w:val="24"/>
        </w:rPr>
        <w:t>Global cybersecurity trends indicate that cyber threats are increasing in sophistication, necessitating governance frameworks capable of adapting to emerging threats. Australian Signals Directorate (2024) identified phishing attacks, exploitation of publicly accessible applications, and brute-force attacks as predominant threats to Australian critical infrastructure sectors in the 2023-2024 fiscal year. Such evolving threats require governance models that incorporate continuous threat monitoring, proactive risk mitigation, and strategic cybersecurity interventions.</w:t>
      </w:r>
    </w:p>
    <w:p w14:paraId="5617E168" w14:textId="77777777" w:rsidR="008507DD" w:rsidRPr="00471419" w:rsidRDefault="003A4165">
      <w:pPr>
        <w:spacing w:before="240" w:after="240"/>
        <w:rPr>
          <w:sz w:val="24"/>
          <w:szCs w:val="24"/>
        </w:rPr>
      </w:pPr>
      <w:r w:rsidRPr="00471419">
        <w:rPr>
          <w:sz w:val="24"/>
          <w:szCs w:val="24"/>
        </w:rPr>
        <w:t>Despite widespread recognition of cybersecurity governance as an essential aspect of national security, significant obstacles continue to hinder its effective implementation. One of the most pressing challenges is the inconsistency of governance practices across interconnected entities. For instance, San Antonio’s city-owned utilities independently manage cybersecurity protocols, raising concerns about fragmented governance structures that may undermine comprehensive protection efforts (ARSOC, 2021). Additionally, inadequate investment and staffing within government departments, as criticized by the UK National Audit Office (NAO), present substantial barriers to the effective execution of cybersecurity governance frameworks. Overcoming these challenges requires strategic resource allocation and prioritization of cybersecurity initiatives to enhance national resilience against cyber threats.</w:t>
      </w:r>
    </w:p>
    <w:p w14:paraId="6D2F4412" w14:textId="77777777" w:rsidR="008507DD" w:rsidRPr="00471419" w:rsidRDefault="003A4165">
      <w:pPr>
        <w:spacing w:before="240" w:after="240"/>
        <w:rPr>
          <w:b/>
          <w:color w:val="000000"/>
          <w:sz w:val="24"/>
          <w:szCs w:val="24"/>
        </w:rPr>
      </w:pPr>
      <w:r w:rsidRPr="00471419">
        <w:rPr>
          <w:sz w:val="24"/>
          <w:szCs w:val="24"/>
        </w:rPr>
        <w:t xml:space="preserve">Addressing these governance challenges necessitates a multi-faceted approach that includes rigorous IT auditing, stringent compliance enforcement, and comprehensive risk management strategies. Effective governance frameworks not only protect critical national infrastructure but also contribute directly to national security by mitigating cyber threats in an increasingly interconnected digital environment. The research aims to  </w:t>
      </w:r>
      <w:r w:rsidRPr="00471419">
        <w:rPr>
          <w:sz w:val="24"/>
          <w:szCs w:val="24"/>
        </w:rPr>
        <w:lastRenderedPageBreak/>
        <w:t>investigate how cybersecurity governance contributes to enhancing national security by strengthening the resilience and protection of critical infrastructure through effective IT auditing and risk management practices, by achieving the following objectives :</w:t>
      </w:r>
    </w:p>
    <w:p w14:paraId="495358F4" w14:textId="77777777" w:rsidR="008507DD" w:rsidRPr="00471419" w:rsidRDefault="003A4165">
      <w:pPr>
        <w:numPr>
          <w:ilvl w:val="0"/>
          <w:numId w:val="4"/>
        </w:numPr>
        <w:spacing w:before="240"/>
        <w:rPr>
          <w:sz w:val="24"/>
          <w:szCs w:val="24"/>
        </w:rPr>
      </w:pPr>
      <w:r w:rsidRPr="00471419">
        <w:rPr>
          <w:sz w:val="24"/>
          <w:szCs w:val="24"/>
        </w:rPr>
        <w:t>Critically analyzes cybersecurity governance frameworks and their effectiveness in enhancing national security.</w:t>
      </w:r>
      <w:r w:rsidRPr="00471419">
        <w:rPr>
          <w:sz w:val="24"/>
          <w:szCs w:val="24"/>
        </w:rPr>
        <w:br/>
      </w:r>
    </w:p>
    <w:p w14:paraId="1D887092" w14:textId="77777777" w:rsidR="008507DD" w:rsidRPr="00471419" w:rsidRDefault="003A4165">
      <w:pPr>
        <w:numPr>
          <w:ilvl w:val="0"/>
          <w:numId w:val="4"/>
        </w:numPr>
        <w:rPr>
          <w:sz w:val="24"/>
          <w:szCs w:val="24"/>
        </w:rPr>
      </w:pPr>
      <w:r w:rsidRPr="00471419">
        <w:rPr>
          <w:sz w:val="24"/>
          <w:szCs w:val="24"/>
        </w:rPr>
        <w:t>Assesses the role of IT auditing in identifying vulnerabilities and mitigating cybersecurity risks in critical infrastructure.</w:t>
      </w:r>
      <w:r w:rsidRPr="00471419">
        <w:rPr>
          <w:sz w:val="24"/>
          <w:szCs w:val="24"/>
        </w:rPr>
        <w:br/>
        <w:t xml:space="preserve"> </w:t>
      </w:r>
    </w:p>
    <w:p w14:paraId="1653420C" w14:textId="77777777" w:rsidR="008507DD" w:rsidRPr="00471419" w:rsidRDefault="003A4165">
      <w:pPr>
        <w:numPr>
          <w:ilvl w:val="0"/>
          <w:numId w:val="4"/>
        </w:numPr>
        <w:rPr>
          <w:sz w:val="24"/>
          <w:szCs w:val="24"/>
        </w:rPr>
      </w:pPr>
      <w:r w:rsidRPr="00471419">
        <w:rPr>
          <w:sz w:val="24"/>
          <w:szCs w:val="24"/>
        </w:rPr>
        <w:t>Evaluates the effectiveness of current risk management strategies in preventing cyber incidents affecting critical national infrastructure.</w:t>
      </w:r>
      <w:r w:rsidRPr="00471419">
        <w:rPr>
          <w:sz w:val="24"/>
          <w:szCs w:val="24"/>
        </w:rPr>
        <w:br/>
        <w:t xml:space="preserve"> </w:t>
      </w:r>
    </w:p>
    <w:p w14:paraId="131971E5" w14:textId="77777777" w:rsidR="008507DD" w:rsidRPr="00471419" w:rsidRDefault="003A4165">
      <w:pPr>
        <w:numPr>
          <w:ilvl w:val="0"/>
          <w:numId w:val="4"/>
        </w:numPr>
        <w:spacing w:after="240"/>
        <w:rPr>
          <w:sz w:val="24"/>
          <w:szCs w:val="24"/>
        </w:rPr>
      </w:pPr>
      <w:r w:rsidRPr="00471419">
        <w:rPr>
          <w:sz w:val="24"/>
          <w:szCs w:val="24"/>
        </w:rPr>
        <w:t xml:space="preserve">Identifies challenges associated with implementing cybersecurity governance measures in critical infrastructure sectors. </w:t>
      </w:r>
    </w:p>
    <w:p w14:paraId="5233261F" w14:textId="77777777" w:rsidR="008507DD" w:rsidRPr="00471419" w:rsidRDefault="008507DD">
      <w:pPr>
        <w:rPr>
          <w:sz w:val="24"/>
          <w:szCs w:val="24"/>
        </w:rPr>
      </w:pPr>
    </w:p>
    <w:p w14:paraId="0F4A5B7E" w14:textId="77777777" w:rsidR="008507DD" w:rsidRPr="00471419" w:rsidRDefault="008507DD">
      <w:pPr>
        <w:rPr>
          <w:sz w:val="24"/>
          <w:szCs w:val="24"/>
        </w:rPr>
      </w:pPr>
    </w:p>
    <w:p w14:paraId="32A4974A" w14:textId="77777777" w:rsidR="008507DD" w:rsidRPr="00471419" w:rsidRDefault="00471419">
      <w:pPr>
        <w:jc w:val="both"/>
        <w:rPr>
          <w:rFonts w:eastAsia="Roboto"/>
          <w:color w:val="0D0D0D"/>
          <w:sz w:val="24"/>
          <w:szCs w:val="24"/>
          <w:highlight w:val="white"/>
        </w:rPr>
      </w:pPr>
      <w:r>
        <w:rPr>
          <w:rFonts w:eastAsia="Roboto"/>
          <w:b/>
          <w:color w:val="0D0D0D"/>
          <w:sz w:val="24"/>
          <w:szCs w:val="24"/>
          <w:highlight w:val="white"/>
        </w:rPr>
        <w:t>2.</w:t>
      </w:r>
      <w:r>
        <w:rPr>
          <w:rFonts w:eastAsia="Roboto"/>
          <w:b/>
          <w:color w:val="0D0D0D"/>
          <w:sz w:val="24"/>
          <w:szCs w:val="24"/>
          <w:highlight w:val="white"/>
        </w:rPr>
        <w:tab/>
      </w:r>
      <w:r w:rsidRPr="00471419">
        <w:rPr>
          <w:rFonts w:eastAsia="Roboto"/>
          <w:b/>
          <w:color w:val="0D0D0D"/>
          <w:sz w:val="24"/>
          <w:szCs w:val="24"/>
          <w:highlight w:val="white"/>
        </w:rPr>
        <w:t xml:space="preserve">Literature Review </w:t>
      </w:r>
    </w:p>
    <w:p w14:paraId="6F4CB34B"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bookmarkStart w:id="1" w:name="_o8b8rfw0rldk" w:colFirst="0" w:colLast="0"/>
      <w:bookmarkEnd w:id="1"/>
      <w:r w:rsidRPr="00471419">
        <w:rPr>
          <w:color w:val="0D0D0D"/>
          <w:sz w:val="24"/>
          <w:szCs w:val="24"/>
          <w:highlight w:val="white"/>
        </w:rPr>
        <w:t>The integration of comprehensive cybersecurity governance frameworks is fundamental to national security, particularly within critical infrastructure sectors. Several widely recognized frameworks provide structured approaches to managing and mitigating cybersecurity risks, including the National Institute of Standards and Technology (NIST) Cybersecurity Framework, the ISO/IEC 27001 and 27002 standards, and the European Union’s Network Code on Cybersecurity for critical infrastructure. According to ITGovernance (2016), these frameworks offer distinct yet complementary guidance, with varying degrees of adoption and effectiveness across different sectors.</w:t>
      </w:r>
    </w:p>
    <w:p w14:paraId="6C87340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The NIST Cybersecurity Framework, introduced in 2014, employs a voluntary, risk-based approach structured around five core functions: Identify, Protect, Detect, Respond, and Recover (Alshar’e, 2023; Ajayi et al., 2025). Its adaptability has led to widespread adoption across industries, particularly in the United States. The framework’s significance was underscored by the 2021 Colonial Pipeline ransomware attack, which disrupted fuel supply chains and exposed critical vulnerabilities in the energy sector (Mittal, 2024; Balogun, 2025). In response, the Transportation Security Administration (TSA) and the Cybersecurity and Infrastructure Security Agency (CISA) issued mandatory security directives aligned with the NIST framework, requiring enhanced reporting and security </w:t>
      </w:r>
      <w:r w:rsidRPr="00471419">
        <w:rPr>
          <w:color w:val="0D0D0D"/>
          <w:sz w:val="24"/>
          <w:szCs w:val="24"/>
          <w:highlight w:val="white"/>
        </w:rPr>
        <w:lastRenderedPageBreak/>
        <w:t>measures (TSA, 2023; Kolade et al., 2025). However, concerns emerged regarding the potential exposure of sensitive cybersecurity data to governmental authorities, raising debates about regulatory oversight and data privacy (Mariam, 2024; Rébé, 2022; Obioha-Val, 2025).</w:t>
      </w:r>
    </w:p>
    <w:p w14:paraId="19E43DC6"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Similarly, the ISO/IEC 27001 and 27002 standards focus on information security management systems (ISMS), providing internationally recognized guidelines for implementing and improving organizational cybersecurity (Akshay, 2025; Olutimehin, 2025). These standards offer a certifiable framework that enhances credibility and trust across various industries, including governmental IT infrastructure and financial institutions. </w:t>
      </w:r>
      <w:r w:rsidRPr="00471419">
        <w:rPr>
          <w:sz w:val="24"/>
          <w:szCs w:val="24"/>
        </w:rPr>
        <w:t xml:space="preserve"> National Audit Office (2025)</w:t>
      </w:r>
      <w:r w:rsidRPr="00471419">
        <w:rPr>
          <w:color w:val="0D0D0D"/>
          <w:sz w:val="24"/>
          <w:szCs w:val="24"/>
          <w:highlight w:val="white"/>
        </w:rPr>
        <w:t xml:space="preserve"> contends that assessments by the UK’s National Audit Office (NAO) frequently reference ISO standards, highlighting persistent cybersecurity resilience gaps in government departments. In the financial sector, the Reserve Bank of Australia’s (RBA) evaluation of the Australian Securities Exchange (ASX) revealed critical deficiencies in operational risk management, emphasizing the need for broader adoption and stricter enforcement of ISO standards to maintain financial stability </w:t>
      </w:r>
      <w:r w:rsidRPr="00471419">
        <w:rPr>
          <w:sz w:val="24"/>
          <w:szCs w:val="24"/>
        </w:rPr>
        <w:t>(Reserve Bank of Australia, 2024)</w:t>
      </w:r>
      <w:r w:rsidRPr="00471419">
        <w:rPr>
          <w:color w:val="0D0D0D"/>
          <w:sz w:val="24"/>
          <w:szCs w:val="24"/>
          <w:highlight w:val="white"/>
        </w:rPr>
        <w:t>.</w:t>
      </w:r>
    </w:p>
    <w:p w14:paraId="64229C2F"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The European Union's Network Code on Cybersecurity adopts a sector-specific approach focused on protecting critical energy infrastructure within EU member states (European Commission, 2024). Developed by the European Union Agency for Cybersecurity (ENISA), this framework establishes common minimum cybersecurity requirements for cross-border electricity flows, emphasizing harmonized risk management, monitoring, and crisis response under the NIS2 directive. However, ENISA (2024) argues that disparities in cybersecurity maturity among EU nations hinder uniform adoption, thereby limiting collective effectiveness. Despite their structured nature, these frameworks face challenges related to inconsistent implementation and inadequate sector-specific adaptation. Ali et al. (2024) posits that effective cybersecurity governance demands rigorous compliance, continuous assessment, and targeted customization to address evolving threats within critical infrastructure domains.</w:t>
      </w:r>
    </w:p>
    <w:p w14:paraId="1ECEAD50"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2" w:name="_kw4vx0gk6650" w:colFirst="0" w:colLast="0"/>
      <w:bookmarkEnd w:id="2"/>
      <w:r w:rsidRPr="00471419">
        <w:rPr>
          <w:b/>
          <w:color w:val="0D0D0D"/>
          <w:sz w:val="24"/>
          <w:szCs w:val="24"/>
          <w:highlight w:val="white"/>
        </w:rPr>
        <w:t>The Role and Impact of IT Auditing in Cybersecurity</w:t>
      </w:r>
    </w:p>
    <w:p w14:paraId="79DBA1A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Information Technology (IT) auditing is a fundamental component of cybersecurity governance, providing systematic and independent evaluations of an organization's IT </w:t>
      </w:r>
      <w:r w:rsidRPr="00471419">
        <w:rPr>
          <w:color w:val="0D0D0D"/>
          <w:sz w:val="24"/>
          <w:szCs w:val="24"/>
          <w:highlight w:val="white"/>
        </w:rPr>
        <w:lastRenderedPageBreak/>
        <w:t>infrastructure, operational procedures, and security controls. According to Itani et al. (2024), IT auditing enhances cybersecurity by identifying vulnerabilities, ensuring compliance with regulatory requirements and internal policies, and facilitating risk mitigation within critical infrastructure sectors. Established methodologies, such as ISACA’s IT Audit Framework (ITAF) and ISO/IEC 27007, serve as key standards guiding these audit processes, ensuring consistency and effectiveness in cybersecurity governance (ISACA, 2020; Balogun et al., 2025).</w:t>
      </w:r>
    </w:p>
    <w:p w14:paraId="79D5DB2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A primary function of IT auditing is vulnerability identification, where comprehensive assessments detect weaknesses within organizational networks and systems, enabling timely remediation (Edwards, 2024; Obioha-Val et al., 2025). Additionally, IT audits verify regulatory and policy compliance, safeguarding organizations against legal liabilities and ensuring operational integrity (Ilori et al., 2024; Olutimehin, 2025). Furthermore, Ilori et al. (2024) posits that IT auditing plays a pivotal role in risk mitigation, offering strategic recommendations that strengthen resilience against potential cyber threats.</w:t>
      </w:r>
    </w:p>
    <w:p w14:paraId="1C459D05"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The impact of rigorous IT auditing on critical infrastructure resilience is evident in recent cybersecurity incidents. For instance, the U.S. Environmental Protection Agency identified cybersecurity vulnerabilities in 9% of evaluated public drinking water systems, highlighting risks of potential service disruption or infrastructure compromise (Wood, 2024; Balogun et al., 2025). Similarly, the 2024 National Audit Office (NAO) report in the United Kingdom revealed significant cyber-resilience deficiencies across 58 critical government IT systems, primarily attributed to outdated legacy technologies </w:t>
      </w:r>
      <w:r w:rsidRPr="00471419">
        <w:rPr>
          <w:sz w:val="24"/>
          <w:szCs w:val="24"/>
        </w:rPr>
        <w:t>(National Audit Office, 2025)</w:t>
      </w:r>
      <w:r w:rsidRPr="00471419">
        <w:rPr>
          <w:color w:val="0D0D0D"/>
          <w:sz w:val="24"/>
          <w:szCs w:val="24"/>
          <w:highlight w:val="white"/>
        </w:rPr>
        <w:t>. These findings underscore the necessity of systematic IT auditing in proactively identifying and addressing security vulnerabilities.</w:t>
      </w:r>
    </w:p>
    <w:p w14:paraId="35A59CAA"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Further emphasizing the importance of IT auditing, the 2024 cyberattack on American Water, the largest U.S. water and wastewater utility, exposed unauthorized network activities, illustrating persistent cybersecurity gaps in essential services (Kerner, 2024; Obioha-Val et al., 2025). Additionally, the unauthorized access incident involving an Australian hospital network demonstrated the critical role of IT audits in detecting deficiencies in multi-factor authentication (MFA) protocols, reinforcing the need for robust enforcement of cybersecurity measures </w:t>
      </w:r>
      <w:r w:rsidRPr="00471419">
        <w:rPr>
          <w:sz w:val="24"/>
          <w:szCs w:val="24"/>
        </w:rPr>
        <w:t>(Courty &amp; Atkin, 2024; Olutimehin, 2025)</w:t>
      </w:r>
      <w:r w:rsidRPr="00471419">
        <w:rPr>
          <w:color w:val="0D0D0D"/>
          <w:sz w:val="24"/>
          <w:szCs w:val="24"/>
          <w:highlight w:val="white"/>
        </w:rPr>
        <w:t>.</w:t>
      </w:r>
    </w:p>
    <w:p w14:paraId="2D77E30D"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lastRenderedPageBreak/>
        <w:t>Existing research establishes a direct correlation between comprehensive IT auditing practices and improved cybersecurity resilience (Slapničar et al., 2022; Malatji et al., 2021; Alao et al., 2024). According to Saeed et al. (2023), organizations with mature IT audit functions exhibit heightened capacity to identify and mitigate vulnerabilities proactively, reducing the likelihood of successful cyberattacks. Regular independent audits further enhance regulatory compliance, organizational risk awareness, and overall security posture (Al-Karaki et al., 2020; Obioha-Val et al., 2025). However, Safitra et al. (2023) contends that challenges such as resource constraints and rapidly evolving cyber threats necessitate continuous refinement of IT audit methodologies to ensure sustained cybersecurity effectiveness.</w:t>
      </w:r>
    </w:p>
    <w:p w14:paraId="6B4E3386" w14:textId="77777777" w:rsidR="008507DD" w:rsidRPr="00471419" w:rsidRDefault="003A4165">
      <w:pPr>
        <w:pStyle w:val="Heading3"/>
        <w:keepNext w:val="0"/>
        <w:keepLines w:val="0"/>
        <w:spacing w:before="280"/>
        <w:jc w:val="both"/>
        <w:rPr>
          <w:rFonts w:eastAsia="Roboto"/>
          <w:b/>
          <w:color w:val="0D0D0D"/>
          <w:sz w:val="24"/>
          <w:szCs w:val="24"/>
          <w:highlight w:val="white"/>
        </w:rPr>
      </w:pPr>
      <w:bookmarkStart w:id="3" w:name="_422poshr3g7o" w:colFirst="0" w:colLast="0"/>
      <w:bookmarkEnd w:id="3"/>
      <w:r w:rsidRPr="00471419">
        <w:rPr>
          <w:rFonts w:eastAsia="Roboto"/>
          <w:b/>
          <w:color w:val="0D0D0D"/>
          <w:sz w:val="24"/>
          <w:szCs w:val="24"/>
          <w:highlight w:val="white"/>
        </w:rPr>
        <w:t>Risk Management Practices in Cybersecurity</w:t>
      </w:r>
    </w:p>
    <w:p w14:paraId="321B98A9"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Risk management is a fundamental component of cybersecurity governance, systematically identifying, evaluating, and mitigating cyber threats that endanger critical infrastructure and national security. According to Rofi’ah (2025), this cyclical process encompasses risk assessment, risk analysis, and strategic mitigation, ensuring organizations adopt proactive cybersecurity measures.</w:t>
      </w:r>
    </w:p>
    <w:p w14:paraId="67BC6455"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Risk assessment serves as the initial stage, identifying vulnerabilities and potential cyber threats within organizational information systems (Armenia et al., 2021; Gbadebo et al., 2024). Following this, risk analysis evaluates the likelihood and potential impact of identified threats, allowing organizations to prioritize mitigation efforts (Aven &amp; Zio, 2021; Kolade et al., 2024). Based on these evaluations, organizations implement targeted mitigation strategies, including enhanced security controls, refined monitoring mechanisms, and robust incident response protocols, all of which significantly reduce cybersecurity risks (Tahmasebi, 2024; Joseph, 2024).</w:t>
      </w:r>
    </w:p>
    <w:p w14:paraId="41620205"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Leading cybersecurity frameworks, including the National Institute of Standards and Technology (NIST) Cybersecurity Framework and ISO/IEC 27001, emphasize risk-informed decision-making. Paz (2023) posits that these frameworks direct organizations to prioritize cybersecurity initiatives based on assessed threats to their operational objectives (Papachristofis et al., 2025; Mayeke et al., 2024). Specifically, ISO/IEC 27001 mandates the establishment of an Information Security Management System (ISMS) incorporating rigorous risk assessment and treatment processes, reinforcing the necessity of proactive cyber risk management (Nugraha &amp; Nasyuha, 2024; Val et al., 2024).</w:t>
      </w:r>
    </w:p>
    <w:p w14:paraId="67F45E4B"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 xml:space="preserve">Empirical research demonstrates the effectiveness of structured risk management. According to </w:t>
      </w:r>
      <w:r w:rsidRPr="00471419">
        <w:rPr>
          <w:sz w:val="24"/>
          <w:szCs w:val="24"/>
        </w:rPr>
        <w:t>Delima (2024)</w:t>
      </w:r>
      <w:r w:rsidRPr="00471419">
        <w:rPr>
          <w:rFonts w:eastAsia="Roboto"/>
          <w:color w:val="0D0D0D"/>
          <w:sz w:val="24"/>
          <w:szCs w:val="24"/>
          <w:highlight w:val="white"/>
        </w:rPr>
        <w:t xml:space="preserve">, organizations adhering strictly to cybersecurity compliance </w:t>
      </w:r>
      <w:r w:rsidRPr="00471419">
        <w:rPr>
          <w:rFonts w:eastAsia="Roboto"/>
          <w:color w:val="0D0D0D"/>
          <w:sz w:val="24"/>
          <w:szCs w:val="24"/>
          <w:highlight w:val="white"/>
        </w:rPr>
        <w:lastRenderedPageBreak/>
        <w:t xml:space="preserve">standards—which inherently integrate risk management—experienced significantly fewer breaches compared to non-compliant entities. </w:t>
      </w:r>
      <w:r w:rsidRPr="00471419">
        <w:rPr>
          <w:sz w:val="24"/>
          <w:szCs w:val="24"/>
        </w:rPr>
        <w:t xml:space="preserve">Delima (2024) </w:t>
      </w:r>
      <w:r w:rsidRPr="00471419">
        <w:rPr>
          <w:rFonts w:eastAsia="Roboto"/>
          <w:color w:val="0D0D0D"/>
          <w:sz w:val="24"/>
          <w:szCs w:val="24"/>
          <w:highlight w:val="white"/>
        </w:rPr>
        <w:t>further established a direct correlation between compliance and reduced cybersecurity incidents, underscoring the practical benefits of systematic risk management. Additionally, the study highlighted the growing prevalence of ransomware attacks targeting critical sectors, reinforcing the need for comprehensive risk management approaches to counter evolving threats (Karim, 2024; Samuel-Okon et al., 2024).</w:t>
      </w:r>
    </w:p>
    <w:p w14:paraId="24D25357"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ThoughtLab (2024) provides further insights into the financial advantages of cybersecurity investments driven by strategic risk management. According to Safitra et al. (2023), organizations that allocate resources proactively to cybersecurity initiatives substantially mitigate the financial impact of cyber incidents, strengthening their overall resilience.</w:t>
      </w:r>
    </w:p>
    <w:p w14:paraId="33D40041"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Despite these strengths, Afaneh et al. (2023) contends that risk management practices face challenges, including limited resources, insufficient expertise, and inconsistent organizational commitment. Additionally, the rapidly evolving nature of cyber threats necessitates a shift from static methodologies to agile, intelligence-driven strategies capable of anticipating and addressing emerging risks (Tahmasebi, 2024; Olutimehin et al., 2025).</w:t>
      </w:r>
    </w:p>
    <w:p w14:paraId="671A9AAC" w14:textId="77777777" w:rsidR="008507DD" w:rsidRPr="00471419" w:rsidRDefault="003A4165">
      <w:pPr>
        <w:pStyle w:val="Heading3"/>
        <w:keepNext w:val="0"/>
        <w:keepLines w:val="0"/>
        <w:spacing w:before="280"/>
        <w:jc w:val="both"/>
        <w:rPr>
          <w:rFonts w:eastAsia="Roboto"/>
          <w:b/>
          <w:color w:val="0D0D0D"/>
          <w:sz w:val="24"/>
          <w:szCs w:val="24"/>
          <w:highlight w:val="white"/>
        </w:rPr>
      </w:pPr>
      <w:bookmarkStart w:id="4" w:name="_5x0tx8wics87" w:colFirst="0" w:colLast="0"/>
      <w:bookmarkEnd w:id="4"/>
      <w:r w:rsidRPr="00471419">
        <w:rPr>
          <w:rFonts w:eastAsia="Roboto"/>
          <w:b/>
          <w:color w:val="0D0D0D"/>
          <w:sz w:val="24"/>
          <w:szCs w:val="24"/>
          <w:highlight w:val="white"/>
        </w:rPr>
        <w:t>Challenges and Barriers in Cybersecurity Governance Implementation</w:t>
      </w:r>
    </w:p>
    <w:p w14:paraId="02ACA941"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 xml:space="preserve">The effective implementation of cybersecurity governance within critical infrastructure sectors encounters significant challenges that undermine efforts to establish and maintain comprehensive security measures. Among the primary obstacles is inadequate resource allocation, particularly insufficient financial investment and staffing shortages. </w:t>
      </w:r>
      <w:r w:rsidRPr="00471419">
        <w:rPr>
          <w:sz w:val="24"/>
          <w:szCs w:val="24"/>
        </w:rPr>
        <w:t>National Audit Office (2025)</w:t>
      </w:r>
      <w:r w:rsidRPr="00471419">
        <w:rPr>
          <w:rFonts w:eastAsia="Roboto"/>
          <w:color w:val="0D0D0D"/>
          <w:sz w:val="24"/>
          <w:szCs w:val="24"/>
          <w:highlight w:val="white"/>
        </w:rPr>
        <w:t xml:space="preserve"> identified critical cyber-resilience deficiencies within government departments, attributing vulnerabilities to reliance on outdated legacy technologies and insufficient cybersecurity investments. These resource constraints expose critical infrastructure to heightened risks of exploitation by malicious actors .</w:t>
      </w:r>
    </w:p>
    <w:p w14:paraId="34E5E440"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In addition to financial constraints, operational and technical complexities pose further challenges to cybersecurity governance. The Reserve Bank of Australia’s (RBA) evaluation of the Australian Securities Exchange (ASX) revealed substantial shortcomings in operational risk management and technology controls. Eyers (2024) posits that the ASX’s risk culture lags behind industry standards, reflecting persistent difficulties in managing cyber risks in complex operational environments, particularly when legacy systems remain in use. These findings highlight the necessity for continuous technical audits and operational oversight to strengthen organizational resilience].</w:t>
      </w:r>
    </w:p>
    <w:p w14:paraId="72724996"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 xml:space="preserve">Stakeholder coordination represents another significant barrier to cybersecurity governance. The San Antonio city-owned utilities case illustrates how independent </w:t>
      </w:r>
      <w:r w:rsidRPr="00471419">
        <w:rPr>
          <w:rFonts w:eastAsia="Roboto"/>
          <w:color w:val="0D0D0D"/>
          <w:sz w:val="24"/>
          <w:szCs w:val="24"/>
          <w:highlight w:val="white"/>
        </w:rPr>
        <w:lastRenderedPageBreak/>
        <w:t xml:space="preserve">cybersecurity management, in the absence of city-wide oversight, can lead to security inconsistencies and system vulnerabilities </w:t>
      </w:r>
      <w:r w:rsidRPr="00471419">
        <w:rPr>
          <w:sz w:val="24"/>
          <w:szCs w:val="24"/>
        </w:rPr>
        <w:t>(ARSOC, 2021)</w:t>
      </w:r>
      <w:r w:rsidRPr="00471419">
        <w:rPr>
          <w:rFonts w:eastAsia="Roboto"/>
          <w:color w:val="0D0D0D"/>
          <w:sz w:val="24"/>
          <w:szCs w:val="24"/>
          <w:highlight w:val="white"/>
        </w:rPr>
        <w:t>. According to Hansen and Antonsen (2024), fragmented governance structures hinder comprehensive risk mitigation, emphasizing the importance of integrated security strategies to ensure consistent protection across interconnected systems.</w:t>
      </w:r>
    </w:p>
    <w:p w14:paraId="257DE446"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Furthermore, systemic and organizational barriers, such as diverging regulatory compliance requirements, ineffective governance frameworks, and insufficient external collaboration, exacerbate cybersecurity challenges (Xi, 2024). A thematic analysis of cybersecurity governance literature identifies six major challenge categories: regulatory compliance, industry adaptation, resource management, stakeholder collaboration, IT infrastructure oversight, and operational governance (Katrakazas &amp; Papastergiou, 2024; Salako et al., 2024). These findings underscore the necessity of harmonized regulatory frameworks and coordinated stakeholder engagement to enhance cybersecurity resilience.</w:t>
      </w:r>
    </w:p>
    <w:p w14:paraId="69AB10BE"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In regions with limited technological infrastructure and lower cybersecurity awareness, such as Nigeria, these challenges become particularly acute (Ibrahim et al., 2024). Kariuki et al. (2023) contends that insufficient cybersecurity expertise, weak enforcement mechanisms, and broader socio-economic constraints further intensify vulnerabilities. Addressing these issues requires targeted capacity-building initiatives, strategic investments, and regulatory reforms. A coordinated approach involving governmental institutions, private sector stakeholders, and cybersecurity professionals remains essential to improving critical infrastructure resilience and effectively countering the persistent threats posed by cyber adversaries (Roshanaei, 2021).</w:t>
      </w:r>
    </w:p>
    <w:p w14:paraId="62AE3585"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5" w:name="_kyobuco82k35" w:colFirst="0" w:colLast="0"/>
      <w:bookmarkEnd w:id="5"/>
      <w:r w:rsidRPr="00471419">
        <w:rPr>
          <w:b/>
          <w:color w:val="0D0D0D"/>
          <w:sz w:val="24"/>
          <w:szCs w:val="24"/>
          <w:highlight w:val="white"/>
        </w:rPr>
        <w:t xml:space="preserve"> Recent Cybersecurity Incidents and Lessons Learned</w:t>
      </w:r>
    </w:p>
    <w:p w14:paraId="504809C1"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Recent high-profile cybersecurity incidents have exposed critical vulnerabilities in infrastructure sectors, underscoring the necessity for enhanced cybersecurity governance. According to Polite (2024), these incidents highlight governance deficiencies related to network security, vendor risk management, incident response preparedness, and regulatory enforcement.</w:t>
      </w:r>
    </w:p>
    <w:p w14:paraId="76AB142A"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The 2021 Colonial Pipeline ransomware attack exemplifies weaknesses in essential infrastructure protection. The attack forced a temporary shutdown of fuel distribution along the U.S. East Coast, revealing inadequate network segmentation between operational technology (OT) and information technology (IT) systems </w:t>
      </w:r>
      <w:r w:rsidRPr="00471419">
        <w:rPr>
          <w:sz w:val="24"/>
          <w:szCs w:val="24"/>
        </w:rPr>
        <w:t>(Easterly &amp; Fanning, 2023)</w:t>
      </w:r>
      <w:r w:rsidRPr="00471419">
        <w:rPr>
          <w:color w:val="0D0D0D"/>
          <w:sz w:val="24"/>
          <w:szCs w:val="24"/>
          <w:highlight w:val="white"/>
        </w:rPr>
        <w:t xml:space="preserve">. Additionally, Mittal (2024) posits that deficiencies in incident response </w:t>
      </w:r>
      <w:r w:rsidRPr="00471419">
        <w:rPr>
          <w:color w:val="0D0D0D"/>
          <w:sz w:val="24"/>
          <w:szCs w:val="24"/>
          <w:highlight w:val="white"/>
        </w:rPr>
        <w:lastRenderedPageBreak/>
        <w:t>preparedness exacerbated operational disruptions. In response, the Transportation Security Administration (TSA) mandated pipeline operators to report incidents to the Cybersecurity and Infrastructure Security Agency (CISA) and reassess security protocols, reinforcing sector-wide cybersecurity standards (TSA, 2023).</w:t>
      </w:r>
    </w:p>
    <w:p w14:paraId="1C319468"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Subsequent incidents further exposed systemic cybersecurity gaps. The 2024 Salt Typhoon cyberattacks, attributed to state-sponsored Chinese actors, compromised major U.S. telecommunications firms, including AT&amp;T, Verizon, and T-Mobile, as well as the U.S. Department of the Treasury (Jaikaran, 2025). These breaches exploited well-documented vulnerabilities in network equipment and third-party software, underscoring shortcomings in vulnerability management practices and vendor risk assessment. Additionally, Tan et al. (2025) argues that prolonged undetected intrusions indicate significant deficiencies in monitoring and threat detection capabilities, emphasizing the need for comprehensive supply chain security measures and enhanced vendor risk management within cybersecurity governance.</w:t>
      </w:r>
    </w:p>
    <w:p w14:paraId="35172B14"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The healthcare sector has also faced persistent cybersecurity challenges. The 2024 unauthorized access incident at an Australian hospital demonstrated vulnerabilities in multi-factor authentication (MFA) enforcement, as attackers exploited a compromised personal device to gain network access </w:t>
      </w:r>
      <w:r w:rsidRPr="00471419">
        <w:rPr>
          <w:sz w:val="24"/>
          <w:szCs w:val="24"/>
        </w:rPr>
        <w:t>(Courty &amp; Atkin, 2024)</w:t>
      </w:r>
      <w:r w:rsidRPr="00471419">
        <w:rPr>
          <w:color w:val="0D0D0D"/>
          <w:sz w:val="24"/>
          <w:szCs w:val="24"/>
          <w:highlight w:val="white"/>
        </w:rPr>
        <w:t>. While  contends that patient data remained secure, the incident revealed deficiencies in bring-your-own-device (BYOD) policies and security control enforcement, stressing the necessity for rigorous IT auditing, risk management, and security awareness training to protect patient safety and continuity of care (Jasper, 2024).</w:t>
      </w:r>
    </w:p>
    <w:p w14:paraId="54DC7B2D"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Academic literature analyzing these incidents consistently identifies recurring cybersecurity governance failures, including insufficient senior management accountability, inadequate cybersecurity investment, and ineffective implementation of security controls (Jasper, 2024; </w:t>
      </w:r>
      <w:r w:rsidRPr="00471419">
        <w:rPr>
          <w:sz w:val="24"/>
          <w:szCs w:val="24"/>
        </w:rPr>
        <w:t xml:space="preserve">Courty &amp; Atkin, 2024; </w:t>
      </w:r>
      <w:r w:rsidRPr="00471419">
        <w:rPr>
          <w:color w:val="0D0D0D"/>
          <w:sz w:val="24"/>
          <w:szCs w:val="24"/>
          <w:highlight w:val="white"/>
        </w:rPr>
        <w:t xml:space="preserve">Jaikaran, 2025). According to Shandilya et al. (2024), these findings underscore the imperative for comprehensive regulatory oversight, improved incident response planning, and stronger collaboration between public and private entities. While post-incident corrective measures—such as increased cybersecurity investments, refined incident response strategies, and stricter regulatory compliance—are critical, a proactive governance framework that continuously </w:t>
      </w:r>
      <w:r w:rsidRPr="00471419">
        <w:rPr>
          <w:color w:val="0D0D0D"/>
          <w:sz w:val="24"/>
          <w:szCs w:val="24"/>
          <w:highlight w:val="white"/>
        </w:rPr>
        <w:lastRenderedPageBreak/>
        <w:t>adapts to emerging threats remains essential for safeguarding critical national infrastructure.</w:t>
      </w:r>
    </w:p>
    <w:p w14:paraId="296E502E" w14:textId="77777777" w:rsidR="008507DD" w:rsidRPr="00471419" w:rsidRDefault="00471419">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6" w:name="_3evsdz5imv3f" w:colFirst="0" w:colLast="0"/>
      <w:bookmarkEnd w:id="6"/>
      <w:r>
        <w:rPr>
          <w:b/>
          <w:color w:val="0D0D0D"/>
          <w:sz w:val="24"/>
          <w:szCs w:val="24"/>
          <w:highlight w:val="white"/>
        </w:rPr>
        <w:t>3.</w:t>
      </w:r>
      <w:r>
        <w:rPr>
          <w:b/>
          <w:color w:val="0D0D0D"/>
          <w:sz w:val="24"/>
          <w:szCs w:val="24"/>
          <w:highlight w:val="white"/>
        </w:rPr>
        <w:tab/>
      </w:r>
      <w:r w:rsidR="003A4165" w:rsidRPr="00471419">
        <w:rPr>
          <w:b/>
          <w:color w:val="0D0D0D"/>
          <w:sz w:val="24"/>
          <w:szCs w:val="24"/>
          <w:highlight w:val="white"/>
        </w:rPr>
        <w:t>Methodology</w:t>
      </w:r>
    </w:p>
    <w:p w14:paraId="0806BE98" w14:textId="7AC186F8"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This study employs a quantitative research approach to analyze the impact of cybersecurity governance on national security by strengthening critical infrastructure through IT auditing and risk management. The research utilizes publicly available cybersecurity datasets and applies advanced statistical methodologi</w:t>
      </w:r>
      <w:r w:rsidR="009603C2">
        <w:rPr>
          <w:color w:val="0D0D0D"/>
          <w:sz w:val="24"/>
          <w:szCs w:val="24"/>
          <w:highlight w:val="white"/>
        </w:rPr>
        <w:t>es to derive empirical insights.</w:t>
      </w:r>
    </w:p>
    <w:p w14:paraId="05CA8472"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7" w:name="_35br8zve6i59" w:colFirst="0" w:colLast="0"/>
      <w:bookmarkEnd w:id="7"/>
      <w:r w:rsidRPr="00471419">
        <w:rPr>
          <w:b/>
          <w:color w:val="0D0D0D"/>
          <w:sz w:val="24"/>
          <w:szCs w:val="24"/>
          <w:highlight w:val="white"/>
        </w:rPr>
        <w:t>Data Sources and Analytical Techniques</w:t>
      </w:r>
    </w:p>
    <w:p w14:paraId="4547B7DF" w14:textId="77777777" w:rsidR="008507DD" w:rsidRPr="00471419" w:rsidRDefault="003A4165">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31" w:lineRule="auto"/>
        <w:jc w:val="both"/>
        <w:rPr>
          <w:b/>
          <w:color w:val="0D0D0D"/>
          <w:highlight w:val="white"/>
        </w:rPr>
      </w:pPr>
      <w:bookmarkStart w:id="8" w:name="_7i3ty0ii2n6n" w:colFirst="0" w:colLast="0"/>
      <w:bookmarkEnd w:id="8"/>
      <w:r w:rsidRPr="00471419">
        <w:rPr>
          <w:b/>
          <w:color w:val="0D0D0D"/>
          <w:highlight w:val="white"/>
        </w:rPr>
        <w:t>Cybersecurity Governance Frameworks and Their Effectiveness</w:t>
      </w:r>
    </w:p>
    <w:p w14:paraId="6B65B12A"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To measure the effectiveness of cybersecurity governance frameworks, the CISA Known Exploited Vulnerabilities Catalog is used, containing real-time exploited vulnerabilities across critical infrastructure sectors. A logistic regression model is applied to assess the relationship between governance framework adoption and reported security incidents.</w:t>
      </w:r>
    </w:p>
    <w:p w14:paraId="374A7937"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regression model is defined as:</w:t>
      </w:r>
    </w:p>
    <w:p w14:paraId="3F190E9E" w14:textId="77777777" w:rsidR="00B26ED9" w:rsidRPr="00471419" w:rsidRDefault="00B26ED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m:oMathPara>
        <m:oMath>
          <m:r>
            <m:rPr>
              <m:sty m:val="p"/>
            </m:rPr>
            <w:rPr>
              <w:rStyle w:val="mop"/>
              <w:rFonts w:ascii="Cambria Math" w:hAnsi="Cambria Math"/>
              <w:sz w:val="24"/>
              <w:szCs w:val="24"/>
            </w:rPr>
            <m:t>In</m:t>
          </m:r>
          <m:d>
            <m:dPr>
              <m:ctrlPr>
                <w:rPr>
                  <w:rStyle w:val="delimsizing"/>
                  <w:rFonts w:ascii="Cambria Math" w:hAnsi="Cambria Math"/>
                  <w:sz w:val="24"/>
                  <w:szCs w:val="24"/>
                </w:rPr>
              </m:ctrlPr>
            </m:dPr>
            <m:e>
              <m:f>
                <m:fPr>
                  <m:ctrlPr>
                    <w:rPr>
                      <w:rStyle w:val="mord"/>
                      <w:rFonts w:ascii="Cambria Math" w:hAnsi="Cambria Math"/>
                      <w:sz w:val="24"/>
                      <w:szCs w:val="24"/>
                    </w:rPr>
                  </m:ctrlPr>
                </m:fPr>
                <m:num>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1</m:t>
                      </m:r>
                      <m:ctrlPr>
                        <w:rPr>
                          <w:rStyle w:val="mclose"/>
                          <w:rFonts w:ascii="Cambria Math" w:hAnsi="Cambria Math"/>
                          <w:sz w:val="24"/>
                          <w:szCs w:val="24"/>
                        </w:rPr>
                      </m:ctrlPr>
                    </m:e>
                  </m:d>
                  <m:ctrlPr>
                    <w:rPr>
                      <w:rStyle w:val="mord"/>
                      <w:rFonts w:ascii="Cambria Math" w:hAnsi="Cambria Math"/>
                      <w:i/>
                      <w:sz w:val="24"/>
                      <w:szCs w:val="24"/>
                    </w:rPr>
                  </m:ctrlPr>
                </m:num>
                <m:den>
                  <m:r>
                    <m:rPr>
                      <m:sty m:val="p"/>
                    </m:rPr>
                    <w:rPr>
                      <w:rStyle w:val="mord"/>
                      <w:rFonts w:ascii="Cambria Math" w:hAnsi="Cambria Math"/>
                      <w:sz w:val="24"/>
                      <w:szCs w:val="24"/>
                    </w:rPr>
                    <m:t>1</m:t>
                  </m:r>
                  <m:r>
                    <m:rPr>
                      <m:sty m:val="p"/>
                    </m:rPr>
                    <w:rPr>
                      <w:rStyle w:val="mbin"/>
                      <w:rFonts w:ascii="Cambria Math" w:hAnsi="Cambria Math"/>
                      <w:sz w:val="24"/>
                      <w:szCs w:val="24"/>
                    </w:rPr>
                    <m:t>-</m:t>
                  </m:r>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1</m:t>
                      </m:r>
                      <m:ctrlPr>
                        <w:rPr>
                          <w:rStyle w:val="mclose"/>
                          <w:rFonts w:ascii="Cambria Math" w:hAnsi="Cambria Math"/>
                          <w:sz w:val="24"/>
                          <w:szCs w:val="24"/>
                        </w:rPr>
                      </m:ctrlPr>
                    </m:e>
                  </m:d>
                </m:den>
              </m:f>
              <m:r>
                <m:rPr>
                  <m:sty m:val="p"/>
                </m:rPr>
                <w:rPr>
                  <w:rStyle w:val="vlist-s"/>
                  <w:rFonts w:ascii="Cambria Math" w:hAnsi="Cambria Math"/>
                  <w:sz w:val="24"/>
                  <w:szCs w:val="24"/>
                </w:rPr>
                <m:t>​</m:t>
              </m:r>
            </m:e>
          </m:d>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p w14:paraId="3F52A2DC"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Where:</w:t>
      </w:r>
    </w:p>
    <w:p w14:paraId="603E9522" w14:textId="77777777" w:rsidR="008507DD" w:rsidRPr="00471419" w:rsidRDefault="003A4165">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line="331" w:lineRule="auto"/>
        <w:rPr>
          <w:color w:val="0D0D0D"/>
          <w:sz w:val="24"/>
          <w:szCs w:val="24"/>
          <w:highlight w:val="white"/>
        </w:rPr>
      </w:pPr>
      <w:r w:rsidRPr="00471419">
        <w:rPr>
          <w:color w:val="0D0D0D"/>
          <w:sz w:val="24"/>
          <w:szCs w:val="24"/>
          <w:highlight w:val="white"/>
        </w:rPr>
        <w:t>P(Y=1) is the probability of a sector experiencing a security incident,</w:t>
      </w:r>
    </w:p>
    <w:p w14:paraId="5BEC1091" w14:textId="77777777" w:rsidR="008507DD" w:rsidRPr="00471419" w:rsidRDefault="00B26ED9">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X</w:t>
      </w:r>
      <w:r w:rsidRPr="00471419">
        <w:rPr>
          <w:color w:val="0D0D0D"/>
          <w:sz w:val="24"/>
          <w:szCs w:val="24"/>
          <w:highlight w:val="white"/>
          <w:vertAlign w:val="subscript"/>
        </w:rPr>
        <w:t>1</w:t>
      </w:r>
      <w:r w:rsidR="003A4165" w:rsidRPr="00471419">
        <w:rPr>
          <w:color w:val="0D0D0D"/>
          <w:sz w:val="24"/>
          <w:szCs w:val="24"/>
          <w:highlight w:val="white"/>
        </w:rPr>
        <w:t>​ represents compliance with NIST/ISO 27001 frameworks,</w:t>
      </w:r>
    </w:p>
    <w:p w14:paraId="0A447501" w14:textId="77777777" w:rsidR="008507DD" w:rsidRPr="00471419" w:rsidRDefault="003A4165">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X</w:t>
      </w:r>
      <w:r w:rsidRPr="00471419">
        <w:rPr>
          <w:color w:val="0D0D0D"/>
          <w:sz w:val="24"/>
          <w:szCs w:val="24"/>
          <w:highlight w:val="white"/>
          <w:vertAlign w:val="subscript"/>
        </w:rPr>
        <w:t>2</w:t>
      </w:r>
      <w:r w:rsidR="00B26ED9" w:rsidRPr="00471419">
        <w:rPr>
          <w:color w:val="0D0D0D"/>
          <w:sz w:val="24"/>
          <w:szCs w:val="24"/>
          <w:highlight w:val="white"/>
        </w:rPr>
        <w:t xml:space="preserve"> </w:t>
      </w:r>
      <w:r w:rsidRPr="00471419">
        <w:rPr>
          <w:color w:val="0D0D0D"/>
          <w:sz w:val="24"/>
          <w:szCs w:val="24"/>
          <w:highlight w:val="white"/>
        </w:rPr>
        <w:t>indicates sector-specific cybersecurity funding,</w:t>
      </w:r>
    </w:p>
    <w:p w14:paraId="7F49512B" w14:textId="77777777" w:rsidR="008507DD" w:rsidRPr="00471419" w:rsidRDefault="003A4165">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X</w:t>
      </w:r>
      <w:r w:rsidRPr="00471419">
        <w:rPr>
          <w:color w:val="0D0D0D"/>
          <w:sz w:val="24"/>
          <w:szCs w:val="24"/>
          <w:highlight w:val="white"/>
          <w:vertAlign w:val="subscript"/>
        </w:rPr>
        <w:t>3</w:t>
      </w:r>
      <w:r w:rsidRPr="00471419">
        <w:rPr>
          <w:color w:val="0D0D0D"/>
          <w:sz w:val="24"/>
          <w:szCs w:val="24"/>
          <w:highlight w:val="white"/>
        </w:rPr>
        <w:t xml:space="preserve"> accounts for previous cybersecurity breaches,</w:t>
      </w:r>
    </w:p>
    <w:p w14:paraId="3ABBEC76" w14:textId="77777777" w:rsidR="008507DD" w:rsidRPr="00471419" w:rsidRDefault="003A4165">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160" w:line="331" w:lineRule="auto"/>
        <w:rPr>
          <w:color w:val="0D0D0D"/>
          <w:sz w:val="24"/>
          <w:szCs w:val="24"/>
          <w:highlight w:val="white"/>
        </w:rPr>
      </w:pPr>
      <w:r w:rsidRPr="00471419">
        <w:rPr>
          <w:color w:val="0D0D0D"/>
          <w:sz w:val="24"/>
          <w:szCs w:val="24"/>
          <w:highlight w:val="white"/>
        </w:rPr>
        <w:t>ϵ is the error term.</w:t>
      </w:r>
    </w:p>
    <w:p w14:paraId="566B3EDC"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A negative β</w:t>
      </w:r>
      <w:r w:rsidRPr="00471419">
        <w:rPr>
          <w:color w:val="0D0D0D"/>
          <w:sz w:val="24"/>
          <w:szCs w:val="24"/>
          <w:highlight w:val="white"/>
          <w:vertAlign w:val="subscript"/>
        </w:rPr>
        <w:t>1</w:t>
      </w:r>
      <w:r w:rsidR="004A1EEB" w:rsidRPr="00471419">
        <w:rPr>
          <w:color w:val="0D0D0D"/>
          <w:sz w:val="24"/>
          <w:szCs w:val="24"/>
          <w:highlight w:val="white"/>
        </w:rPr>
        <w:t xml:space="preserve"> c</w:t>
      </w:r>
      <w:r w:rsidRPr="00471419">
        <w:rPr>
          <w:color w:val="0D0D0D"/>
          <w:sz w:val="24"/>
          <w:szCs w:val="24"/>
          <w:highlight w:val="white"/>
        </w:rPr>
        <w:t>oefficient suggests that strong cybersecurity governance frameworks reduce the likelihood of cyber incidents.</w:t>
      </w:r>
    </w:p>
    <w:p w14:paraId="6B576F83" w14:textId="77777777" w:rsidR="008507DD" w:rsidRPr="00471419" w:rsidRDefault="003A4165">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31" w:lineRule="auto"/>
        <w:jc w:val="both"/>
        <w:rPr>
          <w:b/>
          <w:color w:val="0D0D0D"/>
          <w:highlight w:val="white"/>
        </w:rPr>
      </w:pPr>
      <w:bookmarkStart w:id="9" w:name="_mywvhg25c24j" w:colFirst="0" w:colLast="0"/>
      <w:bookmarkEnd w:id="9"/>
      <w:r w:rsidRPr="00471419">
        <w:rPr>
          <w:b/>
          <w:color w:val="0D0D0D"/>
          <w:highlight w:val="white"/>
        </w:rPr>
        <w:t>Impact of IT Auditing on Vulnerability Mitigation</w:t>
      </w:r>
    </w:p>
    <w:p w14:paraId="145DDC85"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lastRenderedPageBreak/>
        <w:t>To evaluate the role of IT auditing, cybersecurity audit reports from the U.S. Government Accountability Office (GAO) are examined. The mean difference in the number of vulnerabilities before and after audits is tested using a paired t-test:</w:t>
      </w:r>
    </w:p>
    <w:p w14:paraId="6FE18B64" w14:textId="77777777" w:rsidR="004A1EEB"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m:oMathPara>
        <m:oMath>
          <m:r>
            <m:rPr>
              <m:sty m:val="p"/>
            </m:rPr>
            <w:rPr>
              <w:rStyle w:val="mord"/>
              <w:rFonts w:ascii="Cambria Math" w:hAnsi="Cambria Math"/>
              <w:sz w:val="24"/>
              <w:szCs w:val="24"/>
            </w:rPr>
            <m:t>t</m:t>
          </m:r>
          <m:r>
            <m:rPr>
              <m:sty m:val="p"/>
            </m:rPr>
            <w:rPr>
              <w:rStyle w:val="mrel"/>
              <w:rFonts w:ascii="Cambria Math" w:hAnsi="Cambria Math"/>
              <w:sz w:val="24"/>
              <w:szCs w:val="24"/>
            </w:rPr>
            <m:t>=</m:t>
          </m:r>
          <m:f>
            <m:fPr>
              <m:ctrlPr>
                <w:rPr>
                  <w:rStyle w:val="vlist-s"/>
                  <w:rFonts w:ascii="Cambria Math" w:hAnsi="Cambria Math"/>
                  <w:sz w:val="24"/>
                  <w:szCs w:val="24"/>
                </w:rPr>
              </m:ctrlPr>
            </m:fPr>
            <m:num>
              <m:f>
                <m:fPr>
                  <m:ctrlPr>
                    <w:rPr>
                      <w:rStyle w:val="vlist-s"/>
                      <w:rFonts w:ascii="Cambria Math" w:hAnsi="Cambria Math"/>
                      <w:sz w:val="24"/>
                      <w:szCs w:val="24"/>
                    </w:rPr>
                  </m:ctrlPr>
                </m:fPr>
                <m:num>
                  <m:r>
                    <m:rPr>
                      <m:sty m:val="p"/>
                    </m:rPr>
                    <w:rPr>
                      <w:rStyle w:val="mord"/>
                      <w:rFonts w:ascii="Cambria Math" w:hAnsi="Cambria Math"/>
                      <w:sz w:val="24"/>
                      <w:szCs w:val="24"/>
                    </w:rPr>
                    <m:t>X</m:t>
                  </m:r>
                  <m:sSub>
                    <m:sSubPr>
                      <m:ctrlPr>
                        <w:rPr>
                          <w:rStyle w:val="mord"/>
                          <w:rFonts w:ascii="Cambria Math" w:hAnsi="Cambria Math"/>
                          <w:sz w:val="24"/>
                          <w:szCs w:val="24"/>
                        </w:rPr>
                      </m:ctrlPr>
                    </m:sSubPr>
                    <m:e>
                      <m:r>
                        <m:rPr>
                          <m:sty m:val="p"/>
                        </m:rPr>
                        <w:rPr>
                          <w:rStyle w:val="mord"/>
                          <w:rFonts w:ascii="Cambria Math" w:hAnsi="Cambria Math"/>
                          <w:sz w:val="24"/>
                          <w:szCs w:val="24"/>
                        </w:rPr>
                        <m:t>ˉ</m:t>
                      </m:r>
                    </m:e>
                    <m:sub>
                      <m:r>
                        <m:rPr>
                          <m:sty m:val="p"/>
                        </m:rPr>
                        <w:rPr>
                          <w:rStyle w:val="mord"/>
                          <w:rFonts w:ascii="Cambria Math" w:hAnsi="Cambria Math"/>
                          <w:sz w:val="24"/>
                          <w:szCs w:val="24"/>
                        </w:rPr>
                        <m:t>d</m:t>
                      </m:r>
                    </m:sub>
                  </m:sSub>
                  <m:ctrlPr>
                    <w:rPr>
                      <w:rStyle w:val="vlist-s"/>
                      <w:rFonts w:ascii="Cambria Math" w:hAnsi="Cambria Math"/>
                      <w:i/>
                      <w:sz w:val="24"/>
                      <w:szCs w:val="24"/>
                    </w:rPr>
                  </m:ctrlPr>
                </m:num>
                <m:den>
                  <m:sSub>
                    <m:sSubPr>
                      <m:ctrlPr>
                        <w:rPr>
                          <w:rStyle w:val="mord"/>
                          <w:rFonts w:ascii="Cambria Math" w:hAnsi="Cambria Math"/>
                          <w:sz w:val="24"/>
                          <w:szCs w:val="24"/>
                        </w:rPr>
                      </m:ctrlPr>
                    </m:sSubPr>
                    <m:e>
                      <m:r>
                        <m:rPr>
                          <m:sty m:val="p"/>
                        </m:rPr>
                        <w:rPr>
                          <w:rStyle w:val="mord"/>
                          <w:rFonts w:ascii="Cambria Math" w:hAnsi="Cambria Math"/>
                          <w:sz w:val="24"/>
                          <w:szCs w:val="24"/>
                        </w:rPr>
                        <m:t>S</m:t>
                      </m:r>
                    </m:e>
                    <m:sub>
                      <m:r>
                        <m:rPr>
                          <m:sty m:val="p"/>
                        </m:rPr>
                        <w:rPr>
                          <w:rStyle w:val="mord"/>
                          <w:rFonts w:ascii="Cambria Math" w:hAnsi="Cambria Math"/>
                          <w:sz w:val="24"/>
                          <w:szCs w:val="24"/>
                        </w:rPr>
                        <m:t>d</m:t>
                      </m:r>
                    </m:sub>
                  </m:sSub>
                </m:den>
              </m:f>
              <m:r>
                <m:rPr>
                  <m:sty m:val="p"/>
                </m:rPr>
                <w:rPr>
                  <w:rStyle w:val="vlist-s"/>
                  <w:rFonts w:ascii="Cambria Math" w:hAnsi="Cambria Math"/>
                  <w:sz w:val="24"/>
                  <w:szCs w:val="24"/>
                </w:rPr>
                <m:t>​​​​​</m:t>
              </m:r>
            </m:num>
            <m:den>
              <m:rad>
                <m:radPr>
                  <m:degHide m:val="1"/>
                  <m:ctrlPr>
                    <w:rPr>
                      <w:rStyle w:val="mord"/>
                      <w:rFonts w:ascii="Cambria Math" w:hAnsi="Cambria Math"/>
                      <w:sz w:val="24"/>
                      <w:szCs w:val="24"/>
                    </w:rPr>
                  </m:ctrlPr>
                </m:radPr>
                <m:deg/>
                <m:e>
                  <m:r>
                    <m:rPr>
                      <m:sty m:val="p"/>
                    </m:rPr>
                    <w:rPr>
                      <w:rStyle w:val="mord"/>
                      <w:rFonts w:ascii="Cambria Math" w:hAnsi="Cambria Math"/>
                      <w:sz w:val="24"/>
                      <w:szCs w:val="24"/>
                    </w:rPr>
                    <m:t>n</m:t>
                  </m:r>
                </m:e>
              </m:rad>
            </m:den>
          </m:f>
        </m:oMath>
      </m:oMathPara>
    </w:p>
    <w:p w14:paraId="3AAD7A8F"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Where:</w:t>
      </w:r>
    </w:p>
    <w:p w14:paraId="2C4383E9" w14:textId="77777777" w:rsidR="008507DD" w:rsidRPr="00471419" w:rsidRDefault="003A4165">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line="331" w:lineRule="auto"/>
        <w:rPr>
          <w:color w:val="0D0D0D"/>
          <w:sz w:val="24"/>
          <w:szCs w:val="24"/>
          <w:highlight w:val="white"/>
        </w:rPr>
      </w:pPr>
      <w:r w:rsidRPr="00471419">
        <w:rPr>
          <w:color w:val="0D0D0D"/>
          <w:sz w:val="24"/>
          <w:szCs w:val="24"/>
          <w:highlight w:val="white"/>
        </w:rPr>
        <w:t>Xˉ</w:t>
      </w:r>
      <w:r w:rsidRPr="00471419">
        <w:rPr>
          <w:color w:val="0D0D0D"/>
          <w:sz w:val="24"/>
          <w:szCs w:val="24"/>
          <w:highlight w:val="white"/>
          <w:vertAlign w:val="subscript"/>
        </w:rPr>
        <w:t>d</w:t>
      </w:r>
      <w:r w:rsidRPr="00471419">
        <w:rPr>
          <w:color w:val="0D0D0D"/>
          <w:sz w:val="24"/>
          <w:szCs w:val="24"/>
          <w:highlight w:val="white"/>
        </w:rPr>
        <w:t>​ is the mean difference in vulnerabilities before and after audits,</w:t>
      </w:r>
    </w:p>
    <w:p w14:paraId="352851D2" w14:textId="77777777" w:rsidR="008507DD" w:rsidRPr="00471419" w:rsidRDefault="003A4165">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S</w:t>
      </w:r>
      <w:r w:rsidRPr="00471419">
        <w:rPr>
          <w:color w:val="0D0D0D"/>
          <w:sz w:val="24"/>
          <w:szCs w:val="24"/>
          <w:highlight w:val="white"/>
          <w:vertAlign w:val="subscript"/>
        </w:rPr>
        <w:t>d</w:t>
      </w:r>
      <w:r w:rsidR="00621F24" w:rsidRPr="00471419">
        <w:rPr>
          <w:color w:val="0D0D0D"/>
          <w:sz w:val="24"/>
          <w:szCs w:val="24"/>
          <w:highlight w:val="white"/>
        </w:rPr>
        <w:t xml:space="preserve"> </w:t>
      </w:r>
      <w:r w:rsidRPr="00471419">
        <w:rPr>
          <w:color w:val="0D0D0D"/>
          <w:sz w:val="24"/>
          <w:szCs w:val="24"/>
          <w:highlight w:val="white"/>
        </w:rPr>
        <w:t>​ is the standard deviation of differences,</w:t>
      </w:r>
    </w:p>
    <w:p w14:paraId="66D7A666" w14:textId="77777777" w:rsidR="008507DD" w:rsidRPr="00471419" w:rsidRDefault="003A4165">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160" w:line="331" w:lineRule="auto"/>
        <w:rPr>
          <w:color w:val="0D0D0D"/>
          <w:sz w:val="24"/>
          <w:szCs w:val="24"/>
          <w:highlight w:val="white"/>
        </w:rPr>
      </w:pPr>
      <w:r w:rsidRPr="00471419">
        <w:rPr>
          <w:color w:val="0D0D0D"/>
          <w:sz w:val="24"/>
          <w:szCs w:val="24"/>
          <w:highlight w:val="white"/>
        </w:rPr>
        <w:t>n is the number of audited organizations.</w:t>
      </w:r>
    </w:p>
    <w:p w14:paraId="7A179156"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If the test statistic t is significant (p&lt;0.05), it indicates that IT audits effectively reduce security vulnerabilities.</w:t>
      </w:r>
    </w:p>
    <w:p w14:paraId="752F7ADD" w14:textId="77777777" w:rsidR="008507DD" w:rsidRPr="00471419" w:rsidRDefault="003A4165">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31" w:lineRule="auto"/>
        <w:jc w:val="both"/>
        <w:rPr>
          <w:b/>
          <w:color w:val="0D0D0D"/>
          <w:highlight w:val="white"/>
        </w:rPr>
      </w:pPr>
      <w:bookmarkStart w:id="10" w:name="_dvb34mx44obj" w:colFirst="0" w:colLast="0"/>
      <w:bookmarkEnd w:id="10"/>
      <w:r w:rsidRPr="00471419">
        <w:rPr>
          <w:b/>
          <w:color w:val="0D0D0D"/>
          <w:highlight w:val="white"/>
        </w:rPr>
        <w:t>Effectiveness of Risk Management Strategies</w:t>
      </w:r>
    </w:p>
    <w:p w14:paraId="39895C68"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To assess the effectiveness of risk management strategies, the Verizon Data Breach Investigations Report (DBIR) dataset is used. A Kaplan-Meier survival analysis measures the duration between risk management policy implementation and the occurrence of cybersecurity incidents. The survival function is expressed as:</w:t>
      </w:r>
    </w:p>
    <w:p w14:paraId="65AADFD0" w14:textId="77777777" w:rsidR="00621F24" w:rsidRPr="00471419" w:rsidRDefault="00621F2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m:oMathPara>
        <m:oMath>
          <m:r>
            <m:rPr>
              <m:sty m:val="p"/>
            </m:rPr>
            <w:rPr>
              <w:rStyle w:val="mord"/>
              <w:rFonts w:ascii="Cambria Math" w:hAnsi="Cambria Math"/>
              <w:sz w:val="24"/>
              <w:szCs w:val="24"/>
            </w:rPr>
            <m:t>S</m:t>
          </m:r>
          <m:d>
            <m:dPr>
              <m:ctrlPr>
                <w:rPr>
                  <w:rStyle w:val="mopen"/>
                  <w:rFonts w:ascii="Cambria Math" w:hAnsi="Cambria Math"/>
                  <w:sz w:val="24"/>
                  <w:szCs w:val="24"/>
                </w:rPr>
              </m:ctrlPr>
            </m:dPr>
            <m:e>
              <m:r>
                <m:rPr>
                  <m:sty m:val="p"/>
                </m:rPr>
                <w:rPr>
                  <w:rStyle w:val="mord"/>
                  <w:rFonts w:ascii="Cambria Math" w:hAnsi="Cambria Math"/>
                  <w:sz w:val="24"/>
                  <w:szCs w:val="24"/>
                </w:rPr>
                <m:t>t</m:t>
              </m:r>
              <m:ctrlPr>
                <w:rPr>
                  <w:rStyle w:val="mclose"/>
                  <w:rFonts w:ascii="Cambria Math" w:hAnsi="Cambria Math"/>
                  <w:sz w:val="24"/>
                  <w:szCs w:val="24"/>
                </w:rPr>
              </m:ctrlPr>
            </m:e>
          </m:d>
          <m:r>
            <m:rPr>
              <m:sty m:val="p"/>
            </m:rPr>
            <w:rPr>
              <w:rStyle w:val="mrel"/>
              <w:rFonts w:ascii="Cambria Math" w:hAnsi="Cambria Math"/>
              <w:sz w:val="24"/>
              <w:szCs w:val="24"/>
            </w:rPr>
            <m:t>=</m:t>
          </m:r>
          <m:nary>
            <m:naryPr>
              <m:chr m:val="∏"/>
              <m:limLoc m:val="undOvr"/>
              <m:supHide m:val="1"/>
              <m:ctrlPr>
                <w:rPr>
                  <w:rStyle w:val="mrel"/>
                  <w:rFonts w:ascii="Cambria Math" w:hAnsi="Cambria Math"/>
                  <w:sz w:val="24"/>
                  <w:szCs w:val="24"/>
                </w:rPr>
              </m:ctrlPr>
            </m:naryPr>
            <m:sub>
              <m:sSub>
                <m:sSubPr>
                  <m:ctrlPr>
                    <w:rPr>
                      <w:rStyle w:val="mord"/>
                      <w:rFonts w:ascii="Cambria Math" w:hAnsi="Cambria Math"/>
                      <w:sz w:val="24"/>
                      <w:szCs w:val="24"/>
                    </w:rPr>
                  </m:ctrlPr>
                </m:sSubPr>
                <m:e>
                  <m:r>
                    <m:rPr>
                      <m:sty m:val="p"/>
                    </m:rPr>
                    <w:rPr>
                      <w:rStyle w:val="mord"/>
                      <w:rFonts w:ascii="Cambria Math" w:hAnsi="Cambria Math"/>
                      <w:sz w:val="24"/>
                      <w:szCs w:val="24"/>
                    </w:rPr>
                    <m:t>t</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r>
                <m:rPr>
                  <m:sty m:val="p"/>
                </m:rPr>
                <w:rPr>
                  <w:rStyle w:val="mord"/>
                  <w:rFonts w:ascii="Cambria Math" w:hAnsi="Cambria Math"/>
                  <w:sz w:val="24"/>
                  <w:szCs w:val="24"/>
                </w:rPr>
                <m:t>t</m:t>
              </m:r>
            </m:sub>
            <m:sup/>
            <m:e>
              <m:d>
                <m:dPr>
                  <m:ctrlPr>
                    <w:rPr>
                      <w:rStyle w:val="delimsizing"/>
                      <w:rFonts w:ascii="Cambria Math" w:hAnsi="Cambria Math"/>
                      <w:sz w:val="24"/>
                      <w:szCs w:val="24"/>
                    </w:rPr>
                  </m:ctrlPr>
                </m:dPr>
                <m:e>
                  <m:r>
                    <m:rPr>
                      <m:sty m:val="p"/>
                    </m:rPr>
                    <w:rPr>
                      <w:rStyle w:val="mord"/>
                      <w:rFonts w:ascii="Cambria Math" w:hAnsi="Cambria Math"/>
                      <w:sz w:val="24"/>
                      <w:szCs w:val="24"/>
                    </w:rPr>
                    <m:t>1</m:t>
                  </m:r>
                  <m:r>
                    <m:rPr>
                      <m:sty m:val="p"/>
                    </m:rPr>
                    <w:rPr>
                      <w:rStyle w:val="mbin"/>
                      <w:rFonts w:ascii="Cambria Math" w:hAnsi="Cambria Math"/>
                      <w:sz w:val="24"/>
                      <w:szCs w:val="24"/>
                    </w:rPr>
                    <m:t>-</m:t>
                  </m:r>
                  <m:f>
                    <m:fPr>
                      <m:ctrlPr>
                        <w:rPr>
                          <w:rStyle w:val="vlist-s"/>
                          <w:rFonts w:ascii="Cambria Math" w:hAnsi="Cambria Math"/>
                          <w:sz w:val="24"/>
                          <w:szCs w:val="24"/>
                        </w:rPr>
                      </m:ctrlPr>
                    </m:fPr>
                    <m:num>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d</m:t>
                          </m:r>
                        </m:e>
                        <m:sub>
                          <m:r>
                            <m:rPr>
                              <m:sty m:val="p"/>
                            </m:rPr>
                            <w:rPr>
                              <w:rStyle w:val="mord"/>
                              <w:rFonts w:ascii="Cambria Math" w:hAnsi="Cambria Math"/>
                              <w:sz w:val="24"/>
                              <w:szCs w:val="24"/>
                            </w:rPr>
                            <m:t>i</m:t>
                          </m:r>
                        </m:sub>
                      </m:sSub>
                    </m:num>
                    <m:den>
                      <m:sSub>
                        <m:sSubPr>
                          <m:ctrlPr>
                            <w:rPr>
                              <w:rStyle w:val="mord"/>
                              <w:rFonts w:ascii="Cambria Math" w:hAnsi="Cambria Math"/>
                              <w:sz w:val="24"/>
                              <w:szCs w:val="24"/>
                            </w:rPr>
                          </m:ctrlPr>
                        </m:sSubPr>
                        <m:e>
                          <m:r>
                            <m:rPr>
                              <m:sty m:val="p"/>
                            </m:rPr>
                            <w:rPr>
                              <w:rStyle w:val="mord"/>
                              <w:rFonts w:ascii="Cambria Math" w:hAnsi="Cambria Math"/>
                              <w:sz w:val="24"/>
                              <w:szCs w:val="24"/>
                            </w:rPr>
                            <m:t>n</m:t>
                          </m:r>
                          <m:ctrlPr>
                            <w:rPr>
                              <w:rStyle w:val="mbin"/>
                              <w:rFonts w:ascii="Cambria Math" w:hAnsi="Cambria Math"/>
                              <w:sz w:val="24"/>
                              <w:szCs w:val="24"/>
                            </w:rPr>
                          </m:ctrlPr>
                        </m:e>
                        <m:sub>
                          <m:r>
                            <m:rPr>
                              <m:sty m:val="p"/>
                            </m:rPr>
                            <w:rPr>
                              <w:rStyle w:val="mord"/>
                              <w:rFonts w:ascii="Cambria Math" w:hAnsi="Cambria Math"/>
                              <w:sz w:val="24"/>
                              <w:szCs w:val="24"/>
                            </w:rPr>
                            <m:t>i</m:t>
                          </m:r>
                        </m:sub>
                      </m:sSub>
                    </m:den>
                  </m:f>
                  <m:r>
                    <m:rPr>
                      <m:sty m:val="p"/>
                    </m:rPr>
                    <w:rPr>
                      <w:rStyle w:val="vlist-s"/>
                      <w:rFonts w:ascii="Cambria Math" w:hAnsi="Cambria Math"/>
                      <w:sz w:val="24"/>
                      <w:szCs w:val="24"/>
                    </w:rPr>
                    <m:t>​​</m:t>
                  </m:r>
                </m:e>
              </m:d>
            </m:e>
          </m:nary>
        </m:oMath>
      </m:oMathPara>
    </w:p>
    <w:p w14:paraId="67592D30"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Where:</w:t>
      </w:r>
    </w:p>
    <w:p w14:paraId="63278997" w14:textId="77777777" w:rsidR="008507DD" w:rsidRPr="00471419" w:rsidRDefault="003A416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line="331" w:lineRule="auto"/>
        <w:rPr>
          <w:color w:val="0D0D0D"/>
          <w:sz w:val="24"/>
          <w:szCs w:val="24"/>
          <w:highlight w:val="white"/>
        </w:rPr>
      </w:pPr>
      <w:r w:rsidRPr="00471419">
        <w:rPr>
          <w:color w:val="0D0D0D"/>
          <w:sz w:val="24"/>
          <w:szCs w:val="24"/>
          <w:highlight w:val="white"/>
        </w:rPr>
        <w:t>S(t) represents the probability that an organization remains cyber incident-free up to time t</w:t>
      </w:r>
    </w:p>
    <w:p w14:paraId="7ED6490F" w14:textId="77777777" w:rsidR="008507DD" w:rsidRPr="00471419" w:rsidRDefault="003A416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d</w:t>
      </w:r>
      <w:r w:rsidRPr="00471419">
        <w:rPr>
          <w:color w:val="0D0D0D"/>
          <w:sz w:val="24"/>
          <w:szCs w:val="24"/>
          <w:highlight w:val="white"/>
          <w:vertAlign w:val="subscript"/>
        </w:rPr>
        <w:t>i</w:t>
      </w:r>
      <w:r w:rsidRPr="00471419">
        <w:rPr>
          <w:color w:val="0D0D0D"/>
          <w:sz w:val="24"/>
          <w:szCs w:val="24"/>
          <w:highlight w:val="white"/>
        </w:rPr>
        <w:t>​ is the number of incidents at time t</w:t>
      </w:r>
      <w:r w:rsidRPr="00471419">
        <w:rPr>
          <w:color w:val="0D0D0D"/>
          <w:sz w:val="24"/>
          <w:szCs w:val="24"/>
          <w:highlight w:val="white"/>
          <w:vertAlign w:val="subscript"/>
        </w:rPr>
        <w:t>i</w:t>
      </w:r>
      <w:r w:rsidRPr="00471419">
        <w:rPr>
          <w:color w:val="0D0D0D"/>
          <w:sz w:val="24"/>
          <w:szCs w:val="24"/>
          <w:highlight w:val="white"/>
        </w:rPr>
        <w:t>​,</w:t>
      </w:r>
    </w:p>
    <w:p w14:paraId="7DBDB12B" w14:textId="77777777" w:rsidR="008507DD" w:rsidRPr="00471419" w:rsidRDefault="003A416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160" w:line="331" w:lineRule="auto"/>
        <w:rPr>
          <w:color w:val="0D0D0D"/>
          <w:sz w:val="24"/>
          <w:szCs w:val="24"/>
          <w:highlight w:val="white"/>
        </w:rPr>
      </w:pPr>
      <w:r w:rsidRPr="00471419">
        <w:rPr>
          <w:color w:val="0D0D0D"/>
          <w:sz w:val="24"/>
          <w:szCs w:val="24"/>
          <w:highlight w:val="white"/>
        </w:rPr>
        <w:t>n</w:t>
      </w:r>
      <w:r w:rsidRPr="00471419">
        <w:rPr>
          <w:color w:val="0D0D0D"/>
          <w:sz w:val="24"/>
          <w:szCs w:val="24"/>
          <w:highlight w:val="white"/>
          <w:vertAlign w:val="subscript"/>
        </w:rPr>
        <w:t>i</w:t>
      </w:r>
      <w:r w:rsidR="00E55C6D" w:rsidRPr="00471419">
        <w:rPr>
          <w:color w:val="0D0D0D"/>
          <w:sz w:val="24"/>
          <w:szCs w:val="24"/>
          <w:highlight w:val="white"/>
        </w:rPr>
        <w:t xml:space="preserve"> </w:t>
      </w:r>
      <w:r w:rsidRPr="00471419">
        <w:rPr>
          <w:color w:val="0D0D0D"/>
          <w:sz w:val="24"/>
          <w:szCs w:val="24"/>
          <w:highlight w:val="white"/>
        </w:rPr>
        <w:t>is the number of organizations at risk at time t</w:t>
      </w:r>
      <w:r w:rsidRPr="00471419">
        <w:rPr>
          <w:color w:val="0D0D0D"/>
          <w:sz w:val="24"/>
          <w:szCs w:val="24"/>
          <w:highlight w:val="white"/>
          <w:vertAlign w:val="subscript"/>
        </w:rPr>
        <w:t>i</w:t>
      </w:r>
      <w:r w:rsidRPr="00471419">
        <w:rPr>
          <w:color w:val="0D0D0D"/>
          <w:sz w:val="24"/>
          <w:szCs w:val="24"/>
          <w:highlight w:val="white"/>
        </w:rPr>
        <w:t>​.</w:t>
      </w:r>
    </w:p>
    <w:p w14:paraId="7142AE0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A steeper decline in S(t)</w:t>
      </w:r>
      <w:r w:rsidR="00E55C6D" w:rsidRPr="00471419">
        <w:rPr>
          <w:color w:val="0D0D0D"/>
          <w:sz w:val="24"/>
          <w:szCs w:val="24"/>
          <w:highlight w:val="white"/>
        </w:rPr>
        <w:t xml:space="preserve"> </w:t>
      </w:r>
      <w:r w:rsidRPr="00471419">
        <w:rPr>
          <w:color w:val="0D0D0D"/>
          <w:sz w:val="24"/>
          <w:szCs w:val="24"/>
          <w:highlight w:val="white"/>
        </w:rPr>
        <w:t>for weak risk management groups compared to strong risk management groups indicates the effectiveness of proactive security strategies.</w:t>
      </w:r>
    </w:p>
    <w:p w14:paraId="261B935F" w14:textId="77777777" w:rsidR="008507DD" w:rsidRPr="00471419" w:rsidRDefault="003A4165">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31" w:lineRule="auto"/>
        <w:jc w:val="both"/>
        <w:rPr>
          <w:b/>
          <w:color w:val="0D0D0D"/>
          <w:highlight w:val="white"/>
        </w:rPr>
      </w:pPr>
      <w:bookmarkStart w:id="11" w:name="_1v8v0ggeapia" w:colFirst="0" w:colLast="0"/>
      <w:bookmarkEnd w:id="11"/>
      <w:r w:rsidRPr="00471419">
        <w:rPr>
          <w:b/>
          <w:color w:val="0D0D0D"/>
          <w:highlight w:val="white"/>
        </w:rPr>
        <w:t>Challenges in Cybersecurity Governance Implementation</w:t>
      </w:r>
    </w:p>
    <w:p w14:paraId="0AF15FFB"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lastRenderedPageBreak/>
        <w:t>To identify key barriers in cybersecurity governance, survey data from the World Economic Forum (WEF) Global Cybersecurity Outlook is analyzed using Principal Component Analysis (PCA). The standardized covariance matrix is computed as:</w:t>
      </w:r>
    </w:p>
    <w:p w14:paraId="68FBEA10" w14:textId="77777777" w:rsidR="00E1342D" w:rsidRPr="00471419" w:rsidRDefault="00CB6C6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m:oMathPara>
        <m:oMath>
          <m:r>
            <m:rPr>
              <m:sty m:val="p"/>
            </m:rPr>
            <w:rPr>
              <w:rStyle w:val="mord"/>
              <w:rFonts w:ascii="Cambria Math" w:hAnsi="Cambria Math"/>
              <w:sz w:val="24"/>
              <w:szCs w:val="24"/>
            </w:rPr>
            <m:t>C</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d>
                <m:dPr>
                  <m:ctrlPr>
                    <w:rPr>
                      <w:rStyle w:val="mord"/>
                      <w:rFonts w:ascii="Cambria Math" w:hAnsi="Cambria Math"/>
                      <w:sz w:val="24"/>
                      <w:szCs w:val="24"/>
                    </w:rPr>
                  </m:ctrlPr>
                </m:dPr>
                <m:e>
                  <m:r>
                    <m:rPr>
                      <m:sty m:val="p"/>
                    </m:rPr>
                    <w:rPr>
                      <w:rStyle w:val="mord"/>
                      <w:rFonts w:ascii="Cambria Math" w:hAnsi="Cambria Math"/>
                      <w:sz w:val="24"/>
                      <w:szCs w:val="24"/>
                    </w:rPr>
                    <m:t>n</m:t>
                  </m:r>
                  <m:r>
                    <m:rPr>
                      <m:sty m:val="p"/>
                    </m:rPr>
                    <w:rPr>
                      <w:rStyle w:val="mbin"/>
                      <w:rFonts w:ascii="Cambria Math" w:hAnsi="Cambria Math"/>
                      <w:sz w:val="24"/>
                      <w:szCs w:val="24"/>
                    </w:rPr>
                    <m:t>-</m:t>
                  </m:r>
                  <m:r>
                    <m:rPr>
                      <m:sty m:val="p"/>
                    </m:rPr>
                    <w:rPr>
                      <w:rStyle w:val="mord"/>
                      <w:rFonts w:ascii="Cambria Math" w:hAnsi="Cambria Math"/>
                      <w:sz w:val="24"/>
                      <w:szCs w:val="24"/>
                    </w:rPr>
                    <m:t>1</m:t>
                  </m:r>
                </m:e>
              </m:d>
            </m:den>
          </m:f>
          <m:nary>
            <m:naryPr>
              <m:chr m:val="∑"/>
              <m:limLoc m:val="undOvr"/>
              <m:ctrlPr>
                <w:rPr>
                  <w:rStyle w:val="vlist-s"/>
                  <w:rFonts w:ascii="Cambria Math" w:hAnsi="Cambria Math"/>
                  <w:sz w:val="24"/>
                  <w:szCs w:val="24"/>
                </w:rPr>
              </m:ctrlPr>
            </m:naryPr>
            <m:sub>
              <m:r>
                <w:rPr>
                  <w:rStyle w:val="vlist-s"/>
                  <w:rFonts w:ascii="Cambria Math" w:hAnsi="Cambria Math"/>
                  <w:sz w:val="24"/>
                  <w:szCs w:val="24"/>
                </w:rPr>
                <m:t>i=1</m:t>
              </m:r>
            </m:sub>
            <m:sup>
              <m:r>
                <w:rPr>
                  <w:rStyle w:val="vlist-s"/>
                  <w:rFonts w:ascii="Cambria Math" w:hAnsi="Cambria Math"/>
                  <w:sz w:val="24"/>
                  <w:szCs w:val="24"/>
                </w:rPr>
                <m:t>n</m:t>
              </m:r>
            </m:sup>
            <m:e>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Xˉ</m:t>
                  </m:r>
                  <m:ctrlPr>
                    <w:rPr>
                      <w:rStyle w:val="mclose"/>
                      <w:rFonts w:ascii="Cambria Math" w:hAnsi="Cambria Math"/>
                      <w:sz w:val="24"/>
                      <w:szCs w:val="24"/>
                    </w:rPr>
                  </m:ctrlPr>
                </m:e>
              </m:d>
              <m:sSup>
                <m:sSupPr>
                  <m:ctrlPr>
                    <w:rPr>
                      <w:rStyle w:val="mord"/>
                      <w:rFonts w:ascii="Cambria Math" w:hAnsi="Cambria Math"/>
                      <w:sz w:val="24"/>
                      <w:szCs w:val="24"/>
                    </w:rPr>
                  </m:ctrlPr>
                </m:sSupPr>
                <m:e>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Xˉ</m:t>
                      </m:r>
                      <m:ctrlPr>
                        <w:rPr>
                          <w:rStyle w:val="mclose"/>
                          <w:rFonts w:ascii="Cambria Math" w:hAnsi="Cambria Math"/>
                          <w:sz w:val="24"/>
                          <w:szCs w:val="24"/>
                        </w:rPr>
                      </m:ctrlPr>
                    </m:e>
                  </m:d>
                </m:e>
                <m:sup>
                  <m:r>
                    <m:rPr>
                      <m:sty m:val="p"/>
                    </m:rPr>
                    <w:rPr>
                      <w:rStyle w:val="mord"/>
                      <w:rFonts w:ascii="Cambria Math" w:hAnsi="Cambria Math"/>
                      <w:sz w:val="24"/>
                      <w:szCs w:val="24"/>
                    </w:rPr>
                    <m:t>T</m:t>
                  </m:r>
                </m:sup>
              </m:sSup>
            </m:e>
          </m:nary>
          <m:r>
            <m:rPr>
              <m:sty m:val="p"/>
            </m:rPr>
            <w:rPr>
              <w:rStyle w:val="vlist-s"/>
              <w:rFonts w:ascii="Cambria Math" w:hAnsi="Cambria Math"/>
              <w:sz w:val="24"/>
              <w:szCs w:val="24"/>
            </w:rPr>
            <m:t>​</m:t>
          </m:r>
        </m:oMath>
      </m:oMathPara>
    </w:p>
    <w:p w14:paraId="234F4566"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where C represents the covariance matrix of cybersecurity governance challenges. Eigenvalues and eigenvectors of C are computed to extract principal components, which identify the most significant obstacles in cybersecurity implementation.</w:t>
      </w:r>
    </w:p>
    <w:p w14:paraId="33262EE0" w14:textId="77777777" w:rsidR="008507DD" w:rsidRPr="00471419" w:rsidRDefault="004714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b/>
          <w:color w:val="0D0D0D"/>
          <w:sz w:val="24"/>
          <w:szCs w:val="24"/>
          <w:highlight w:val="white"/>
        </w:rPr>
      </w:pPr>
      <w:r>
        <w:rPr>
          <w:b/>
          <w:color w:val="0D0D0D"/>
          <w:sz w:val="24"/>
          <w:szCs w:val="24"/>
          <w:highlight w:val="white"/>
        </w:rPr>
        <w:t>4.</w:t>
      </w:r>
      <w:r>
        <w:rPr>
          <w:b/>
          <w:color w:val="0D0D0D"/>
          <w:sz w:val="24"/>
          <w:szCs w:val="24"/>
          <w:highlight w:val="white"/>
        </w:rPr>
        <w:tab/>
        <w:t>Results and Discussion</w:t>
      </w:r>
    </w:p>
    <w:p w14:paraId="5AE11287"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12" w:name="_7yjqhlnvvph9" w:colFirst="0" w:colLast="0"/>
      <w:bookmarkEnd w:id="12"/>
      <w:r w:rsidRPr="00471419">
        <w:rPr>
          <w:b/>
          <w:color w:val="0D0D0D"/>
          <w:sz w:val="24"/>
          <w:szCs w:val="24"/>
          <w:highlight w:val="white"/>
        </w:rPr>
        <w:t>Cybersecurity Governance Frameworks and Their Effectiveness in Enhancing National Security</w:t>
      </w:r>
    </w:p>
    <w:p w14:paraId="0790A601"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Cybersecurity governance frameworks play a critical role in mitigating cyber threats that target national infrastructure. Effective governance reduces vulnerabilities and enhances national security through structured policies, compliance measures, and risk management strategies. This study evaluates the relationship between cybersecurity governance frameworks and the frequency of reported security incidents in critical infrastructure sectors. The analysis focuses on how frameworks such as NIST and ISO 27001 influence cybersecurity resilience by reducing actively exploited vulnerabilities.</w:t>
      </w:r>
    </w:p>
    <w:p w14:paraId="533D297D"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results indicate a notable variation in reported exploits based on the level of cybersecurity governance adopted by different organizations. Table 1 provides a summary of the mean number of reported exploits per governance framework. Organizations that fully implemented governance frameworks exhibited significantly lower incident rates compared to those with partial or no compliance.</w:t>
      </w:r>
    </w:p>
    <w:p w14:paraId="6C6D71EE"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b/>
          <w:color w:val="0D0D0D"/>
          <w:sz w:val="24"/>
          <w:szCs w:val="24"/>
          <w:highlight w:val="white"/>
        </w:rPr>
      </w:pPr>
      <w:bookmarkStart w:id="13" w:name="_uox1c84fos7u" w:colFirst="0" w:colLast="0"/>
      <w:bookmarkEnd w:id="13"/>
      <w:r w:rsidRPr="00471419">
        <w:rPr>
          <w:b/>
          <w:color w:val="0D0D0D"/>
          <w:sz w:val="24"/>
          <w:szCs w:val="24"/>
          <w:highlight w:val="white"/>
        </w:rPr>
        <w:t>Table 1: Average Reported Cybersecurity Exploits by Governance Framework</w:t>
      </w:r>
    </w:p>
    <w:tbl>
      <w:tblPr>
        <w:tblStyle w:val="TableGrid"/>
        <w:tblW w:w="9180" w:type="dxa"/>
        <w:tblLayout w:type="fixed"/>
        <w:tblLook w:val="0600" w:firstRow="0" w:lastRow="0" w:firstColumn="0" w:lastColumn="0" w:noHBand="1" w:noVBand="1"/>
      </w:tblPr>
      <w:tblGrid>
        <w:gridCol w:w="4590"/>
        <w:gridCol w:w="4590"/>
      </w:tblGrid>
      <w:tr w:rsidR="008507DD" w:rsidRPr="00471419" w14:paraId="507EB837" w14:textId="77777777" w:rsidTr="00FD08F7">
        <w:trPr>
          <w:trHeight w:val="139"/>
        </w:trPr>
        <w:tc>
          <w:tcPr>
            <w:tcW w:w="4590" w:type="dxa"/>
          </w:tcPr>
          <w:p w14:paraId="3DB8A947"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Governance Framework</w:t>
            </w:r>
          </w:p>
        </w:tc>
        <w:tc>
          <w:tcPr>
            <w:tcW w:w="4590" w:type="dxa"/>
          </w:tcPr>
          <w:p w14:paraId="7042DF55"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Mean Reported Exploits</w:t>
            </w:r>
          </w:p>
        </w:tc>
      </w:tr>
      <w:tr w:rsidR="008507DD" w:rsidRPr="00471419" w14:paraId="3E465280" w14:textId="77777777" w:rsidTr="00FD08F7">
        <w:trPr>
          <w:trHeight w:val="139"/>
        </w:trPr>
        <w:tc>
          <w:tcPr>
            <w:tcW w:w="4590" w:type="dxa"/>
          </w:tcPr>
          <w:p w14:paraId="286DE508"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None</w:t>
            </w:r>
          </w:p>
        </w:tc>
        <w:tc>
          <w:tcPr>
            <w:tcW w:w="4590" w:type="dxa"/>
          </w:tcPr>
          <w:p w14:paraId="1AF82F96"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38.4</w:t>
            </w:r>
          </w:p>
        </w:tc>
      </w:tr>
      <w:tr w:rsidR="008507DD" w:rsidRPr="00471419" w14:paraId="20778FE5" w14:textId="77777777" w:rsidTr="00FD08F7">
        <w:trPr>
          <w:trHeight w:val="139"/>
        </w:trPr>
        <w:tc>
          <w:tcPr>
            <w:tcW w:w="4590" w:type="dxa"/>
          </w:tcPr>
          <w:p w14:paraId="2AD7DD81"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Partial Compliance</w:t>
            </w:r>
          </w:p>
        </w:tc>
        <w:tc>
          <w:tcPr>
            <w:tcW w:w="4590" w:type="dxa"/>
          </w:tcPr>
          <w:p w14:paraId="36597202"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29.7</w:t>
            </w:r>
          </w:p>
        </w:tc>
      </w:tr>
      <w:tr w:rsidR="008507DD" w:rsidRPr="00471419" w14:paraId="3748849C" w14:textId="77777777" w:rsidTr="00FD08F7">
        <w:trPr>
          <w:trHeight w:val="139"/>
        </w:trPr>
        <w:tc>
          <w:tcPr>
            <w:tcW w:w="4590" w:type="dxa"/>
          </w:tcPr>
          <w:p w14:paraId="25D7FD83"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NIST</w:t>
            </w:r>
          </w:p>
        </w:tc>
        <w:tc>
          <w:tcPr>
            <w:tcW w:w="4590" w:type="dxa"/>
          </w:tcPr>
          <w:p w14:paraId="6A2562B4"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18.2</w:t>
            </w:r>
          </w:p>
        </w:tc>
      </w:tr>
      <w:tr w:rsidR="008507DD" w:rsidRPr="00471419" w14:paraId="50903517" w14:textId="77777777" w:rsidTr="00FD08F7">
        <w:trPr>
          <w:trHeight w:val="139"/>
        </w:trPr>
        <w:tc>
          <w:tcPr>
            <w:tcW w:w="4590" w:type="dxa"/>
          </w:tcPr>
          <w:p w14:paraId="741419C1"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ISO 27001</w:t>
            </w:r>
          </w:p>
        </w:tc>
        <w:tc>
          <w:tcPr>
            <w:tcW w:w="4590" w:type="dxa"/>
          </w:tcPr>
          <w:p w14:paraId="422CED16"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14.8</w:t>
            </w:r>
          </w:p>
        </w:tc>
      </w:tr>
      <w:tr w:rsidR="008507DD" w:rsidRPr="00471419" w14:paraId="32E32367" w14:textId="77777777" w:rsidTr="00FD08F7">
        <w:trPr>
          <w:trHeight w:val="139"/>
        </w:trPr>
        <w:tc>
          <w:tcPr>
            <w:tcW w:w="4590" w:type="dxa"/>
          </w:tcPr>
          <w:p w14:paraId="475193DD"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lastRenderedPageBreak/>
              <w:t>Both (NIST &amp; ISO)</w:t>
            </w:r>
          </w:p>
        </w:tc>
        <w:tc>
          <w:tcPr>
            <w:tcW w:w="4590" w:type="dxa"/>
          </w:tcPr>
          <w:p w14:paraId="1FA25D54"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9.3</w:t>
            </w:r>
          </w:p>
        </w:tc>
      </w:tr>
    </w:tbl>
    <w:p w14:paraId="4ED1EF9F"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parallel coordinates plot (Figure 2) illustrates the pattern of reported exploits across different governance frameworks. A declining trend in reported incidents is evident as organizations shift from no governance to adopting both NIST and ISO 27001 compliance measures. This trend supports the premise that structured governance directly correlates with enhanced cybersecurity resilience.</w:t>
      </w:r>
    </w:p>
    <w:p w14:paraId="66E2925B"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drawing>
          <wp:inline distT="114300" distB="114300" distL="114300" distR="114300" wp14:anchorId="1DB9D217" wp14:editId="7CBD748C">
            <wp:extent cx="4619625" cy="2628900"/>
            <wp:effectExtent l="0" t="0" r="9525"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19891" cy="2629051"/>
                    </a:xfrm>
                    <a:prstGeom prst="rect">
                      <a:avLst/>
                    </a:prstGeom>
                    <a:ln/>
                  </pic:spPr>
                </pic:pic>
              </a:graphicData>
            </a:graphic>
          </wp:inline>
        </w:drawing>
      </w:r>
    </w:p>
    <w:p w14:paraId="1D15A6F8"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14" w:name="_g8f7sdb50hqw" w:colFirst="0" w:colLast="0"/>
      <w:bookmarkEnd w:id="14"/>
      <w:r w:rsidRPr="00471419">
        <w:rPr>
          <w:b/>
          <w:color w:val="0D0D0D"/>
          <w:sz w:val="24"/>
          <w:szCs w:val="24"/>
          <w:highlight w:val="white"/>
        </w:rPr>
        <w:t xml:space="preserve">Figure 2: </w:t>
      </w:r>
      <w:r w:rsidRPr="00471419">
        <w:rPr>
          <w:i/>
          <w:color w:val="0D0D0D"/>
          <w:sz w:val="24"/>
          <w:szCs w:val="24"/>
          <w:highlight w:val="white"/>
        </w:rPr>
        <w:t>Parallel Coordinates Plot Showing the Impact of Cybersecurity Governance on Reported Exploits</w:t>
      </w:r>
    </w:p>
    <w:p w14:paraId="62B33FE0"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radial line chart (Figure 3) further visualizes the mean reduction in reported exploits per governance framework. Organizations implementing NIST and ISO 27001 together recorded the lowest cybersecurity incidents, reinforcing the cumulative effect of adopting multiple governance frameworks.</w:t>
      </w:r>
    </w:p>
    <w:p w14:paraId="11A64EAB"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lastRenderedPageBreak/>
        <w:drawing>
          <wp:inline distT="114300" distB="114300" distL="114300" distR="114300" wp14:anchorId="0B2D27E8" wp14:editId="5E60AB4C">
            <wp:extent cx="3038475" cy="2956423"/>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51368" cy="2968968"/>
                    </a:xfrm>
                    <a:prstGeom prst="rect">
                      <a:avLst/>
                    </a:prstGeom>
                    <a:ln/>
                  </pic:spPr>
                </pic:pic>
              </a:graphicData>
            </a:graphic>
          </wp:inline>
        </w:drawing>
      </w:r>
    </w:p>
    <w:p w14:paraId="3424A4E1"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15" w:name="_npufbporbhyc" w:colFirst="0" w:colLast="0"/>
      <w:bookmarkEnd w:id="15"/>
      <w:r w:rsidRPr="00471419">
        <w:rPr>
          <w:b/>
          <w:color w:val="0D0D0D"/>
          <w:sz w:val="24"/>
          <w:szCs w:val="24"/>
          <w:highlight w:val="white"/>
        </w:rPr>
        <w:t xml:space="preserve">Figure 3: </w:t>
      </w:r>
      <w:r w:rsidRPr="00471419">
        <w:rPr>
          <w:i/>
          <w:color w:val="0D0D0D"/>
          <w:sz w:val="24"/>
          <w:szCs w:val="24"/>
          <w:highlight w:val="white"/>
        </w:rPr>
        <w:t>Radial Line Chart Representing Reduction in Reported Exploits Per Governance Framework</w:t>
      </w:r>
    </w:p>
    <w:p w14:paraId="7CD60C66" w14:textId="77777777" w:rsidR="00EE1B8D" w:rsidRPr="00471419" w:rsidRDefault="003A4165" w:rsidP="0080029F">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sz w:val="24"/>
          <w:szCs w:val="24"/>
          <w:highlight w:val="white"/>
        </w:rPr>
      </w:pPr>
      <w:bookmarkStart w:id="16" w:name="_bnrvdtb0yy25" w:colFirst="0" w:colLast="0"/>
      <w:bookmarkEnd w:id="16"/>
      <w:r w:rsidRPr="00471419">
        <w:rPr>
          <w:color w:val="0D0D0D"/>
          <w:sz w:val="24"/>
          <w:szCs w:val="24"/>
          <w:highlight w:val="white"/>
        </w:rPr>
        <w:t>A logistic regression analysis was conducted to statistically assess the effect of governance frameworks on the likelihood of experiencing high numbers of security incidents. The results (Table 2) indicate a negative relationship between governance framework adoption and reported exploits, although statistical significance varies across different frameworks.</w:t>
      </w:r>
    </w:p>
    <w:p w14:paraId="3AA69BE4"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b/>
          <w:color w:val="0D0D0D"/>
          <w:sz w:val="24"/>
          <w:szCs w:val="24"/>
          <w:highlight w:val="white"/>
        </w:rPr>
      </w:pPr>
      <w:bookmarkStart w:id="17" w:name="_gxd2igyvlrcb" w:colFirst="0" w:colLast="0"/>
      <w:bookmarkEnd w:id="17"/>
      <w:r w:rsidRPr="00471419">
        <w:rPr>
          <w:b/>
          <w:color w:val="0D0D0D"/>
          <w:sz w:val="24"/>
          <w:szCs w:val="24"/>
          <w:highlight w:val="white"/>
        </w:rPr>
        <w:t>Table 2: Logistic Regression Results for Governance Framework Impact on Cybersecurity Incidents</w:t>
      </w:r>
    </w:p>
    <w:tbl>
      <w:tblPr>
        <w:tblStyle w:val="TableGrid"/>
        <w:tblW w:w="8545" w:type="dxa"/>
        <w:tblLayout w:type="fixed"/>
        <w:tblLook w:val="0600" w:firstRow="0" w:lastRow="0" w:firstColumn="0" w:lastColumn="0" w:noHBand="1" w:noVBand="1"/>
      </w:tblPr>
      <w:tblGrid>
        <w:gridCol w:w="2425"/>
        <w:gridCol w:w="2520"/>
        <w:gridCol w:w="2340"/>
        <w:gridCol w:w="1260"/>
      </w:tblGrid>
      <w:tr w:rsidR="008507DD" w:rsidRPr="00471419" w14:paraId="532E6E8A" w14:textId="77777777" w:rsidTr="00EE1B8D">
        <w:trPr>
          <w:trHeight w:val="410"/>
        </w:trPr>
        <w:tc>
          <w:tcPr>
            <w:tcW w:w="2425" w:type="dxa"/>
          </w:tcPr>
          <w:p w14:paraId="24B756F7"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Variable</w:t>
            </w:r>
          </w:p>
        </w:tc>
        <w:tc>
          <w:tcPr>
            <w:tcW w:w="2520" w:type="dxa"/>
          </w:tcPr>
          <w:p w14:paraId="2890131B"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Coefficient</w:t>
            </w:r>
          </w:p>
        </w:tc>
        <w:tc>
          <w:tcPr>
            <w:tcW w:w="2340" w:type="dxa"/>
          </w:tcPr>
          <w:p w14:paraId="3A39B053"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Standard Error</w:t>
            </w:r>
          </w:p>
        </w:tc>
        <w:tc>
          <w:tcPr>
            <w:tcW w:w="1260" w:type="dxa"/>
          </w:tcPr>
          <w:p w14:paraId="522E3EDC"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p-Value</w:t>
            </w:r>
          </w:p>
        </w:tc>
      </w:tr>
      <w:tr w:rsidR="008507DD" w:rsidRPr="00471419" w14:paraId="0AAFDC18" w14:textId="77777777" w:rsidTr="00EE1B8D">
        <w:trPr>
          <w:trHeight w:val="410"/>
        </w:trPr>
        <w:tc>
          <w:tcPr>
            <w:tcW w:w="2425" w:type="dxa"/>
          </w:tcPr>
          <w:p w14:paraId="37537E33"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Constant</w:t>
            </w:r>
          </w:p>
        </w:tc>
        <w:tc>
          <w:tcPr>
            <w:tcW w:w="2520" w:type="dxa"/>
          </w:tcPr>
          <w:p w14:paraId="191D2ABE"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1.118</w:t>
            </w:r>
          </w:p>
        </w:tc>
        <w:tc>
          <w:tcPr>
            <w:tcW w:w="2340" w:type="dxa"/>
          </w:tcPr>
          <w:p w14:paraId="0EFD880E"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0.376</w:t>
            </w:r>
          </w:p>
        </w:tc>
        <w:tc>
          <w:tcPr>
            <w:tcW w:w="1260" w:type="dxa"/>
          </w:tcPr>
          <w:p w14:paraId="2F592A13"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0.002</w:t>
            </w:r>
          </w:p>
        </w:tc>
      </w:tr>
      <w:tr w:rsidR="008507DD" w:rsidRPr="00471419" w14:paraId="05B514B0" w14:textId="77777777" w:rsidTr="00EE1B8D">
        <w:trPr>
          <w:trHeight w:val="410"/>
        </w:trPr>
        <w:tc>
          <w:tcPr>
            <w:tcW w:w="2425" w:type="dxa"/>
          </w:tcPr>
          <w:p w14:paraId="179B393F"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Governance Score</w:t>
            </w:r>
          </w:p>
        </w:tc>
        <w:tc>
          <w:tcPr>
            <w:tcW w:w="2520" w:type="dxa"/>
          </w:tcPr>
          <w:p w14:paraId="38EFE607"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-0.090</w:t>
            </w:r>
          </w:p>
        </w:tc>
        <w:tc>
          <w:tcPr>
            <w:tcW w:w="2340" w:type="dxa"/>
          </w:tcPr>
          <w:p w14:paraId="66586099"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0.182</w:t>
            </w:r>
          </w:p>
        </w:tc>
        <w:tc>
          <w:tcPr>
            <w:tcW w:w="1260" w:type="dxa"/>
          </w:tcPr>
          <w:p w14:paraId="677EC76A"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0.620</w:t>
            </w:r>
          </w:p>
        </w:tc>
      </w:tr>
    </w:tbl>
    <w:p w14:paraId="0EE75BFD"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coefficient for Governance Score (-0.090) suggests that increasing governance compliance correlates with a lower probability of experiencing frequent cybersecurity incidents. However, the p-value (0.620) indicates that additional factors, such as implementation effectiveness and sector-specific threats, influence cybersecurity outcomes.</w:t>
      </w:r>
    </w:p>
    <w:p w14:paraId="5CC0A74A"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18" w:name="_urujlsly6jqg" w:colFirst="0" w:colLast="0"/>
      <w:bookmarkEnd w:id="18"/>
      <w:r w:rsidRPr="00471419">
        <w:rPr>
          <w:b/>
          <w:color w:val="0D0D0D"/>
          <w:sz w:val="24"/>
          <w:szCs w:val="24"/>
          <w:highlight w:val="white"/>
        </w:rPr>
        <w:lastRenderedPageBreak/>
        <w:t>Assessing the Role of IT Auditing in Identifying Vulnerabilities and Mitigating Cybersecurity Risks in Critical Infrastructure</w:t>
      </w:r>
    </w:p>
    <w:p w14:paraId="65DEAC6E"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IT auditing plays a critical role in enhancing cybersecurity resilience by systematically identifying vulnerabilities, ensuring regulatory compliance, and mitigating risks in critical infrastructure. This study evaluates the impact of IT audits on cybersecurity vulnerabilities, measuring reductions in security risks across key national sectors. The findings provide empirical evidence on the effectiveness of IT auditing as a cybersecurity governance mechanism.</w:t>
      </w:r>
    </w:p>
    <w:p w14:paraId="2A89DD0A"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results indicate a substantial reduction in vulnerabilities following IT audits across all critical infrastructure sectors. Table 3 presents the mean number of vulnerabilities before and after IT audits, demonstrating a notable decline post-audit.</w:t>
      </w:r>
    </w:p>
    <w:p w14:paraId="05F1A3C0"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b/>
          <w:color w:val="0D0D0D"/>
          <w:sz w:val="24"/>
          <w:szCs w:val="24"/>
          <w:highlight w:val="white"/>
        </w:rPr>
      </w:pPr>
      <w:bookmarkStart w:id="19" w:name="_q3yd84ggboli" w:colFirst="0" w:colLast="0"/>
      <w:bookmarkEnd w:id="19"/>
      <w:r w:rsidRPr="00471419">
        <w:rPr>
          <w:b/>
          <w:color w:val="0D0D0D"/>
          <w:sz w:val="24"/>
          <w:szCs w:val="24"/>
          <w:highlight w:val="white"/>
        </w:rPr>
        <w:t>Table 3: Mean Reported Vulnerabilities Before and After IT Audits</w:t>
      </w:r>
    </w:p>
    <w:tbl>
      <w:tblPr>
        <w:tblStyle w:val="TableGrid"/>
        <w:tblW w:w="10123" w:type="dxa"/>
        <w:tblLayout w:type="fixed"/>
        <w:tblLook w:val="0600" w:firstRow="0" w:lastRow="0" w:firstColumn="0" w:lastColumn="0" w:noHBand="1" w:noVBand="1"/>
      </w:tblPr>
      <w:tblGrid>
        <w:gridCol w:w="2605"/>
        <w:gridCol w:w="2654"/>
        <w:gridCol w:w="3014"/>
        <w:gridCol w:w="1850"/>
      </w:tblGrid>
      <w:tr w:rsidR="008507DD" w:rsidRPr="00471419" w14:paraId="4768AC6F" w14:textId="77777777" w:rsidTr="00516CF9">
        <w:trPr>
          <w:trHeight w:val="346"/>
        </w:trPr>
        <w:tc>
          <w:tcPr>
            <w:tcW w:w="2605" w:type="dxa"/>
          </w:tcPr>
          <w:p w14:paraId="2223AB6F"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Sector</w:t>
            </w:r>
          </w:p>
        </w:tc>
        <w:tc>
          <w:tcPr>
            <w:tcW w:w="2654" w:type="dxa"/>
          </w:tcPr>
          <w:p w14:paraId="4D747B05"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Pre-Audit Vulnerabilities</w:t>
            </w:r>
          </w:p>
        </w:tc>
        <w:tc>
          <w:tcPr>
            <w:tcW w:w="3014" w:type="dxa"/>
          </w:tcPr>
          <w:p w14:paraId="08A0436A"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Post-Audit Vulnerabilities</w:t>
            </w:r>
          </w:p>
        </w:tc>
        <w:tc>
          <w:tcPr>
            <w:tcW w:w="1850" w:type="dxa"/>
          </w:tcPr>
          <w:p w14:paraId="0746EFC2"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Reduction (%)</w:t>
            </w:r>
          </w:p>
        </w:tc>
      </w:tr>
      <w:tr w:rsidR="008507DD" w:rsidRPr="00471419" w14:paraId="3B38BE09" w14:textId="77777777" w:rsidTr="00516CF9">
        <w:trPr>
          <w:trHeight w:val="346"/>
        </w:trPr>
        <w:tc>
          <w:tcPr>
            <w:tcW w:w="2605" w:type="dxa"/>
          </w:tcPr>
          <w:p w14:paraId="15ABF8B1"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Energy</w:t>
            </w:r>
          </w:p>
        </w:tc>
        <w:tc>
          <w:tcPr>
            <w:tcW w:w="2654" w:type="dxa"/>
          </w:tcPr>
          <w:p w14:paraId="01705407"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124</w:t>
            </w:r>
          </w:p>
        </w:tc>
        <w:tc>
          <w:tcPr>
            <w:tcW w:w="3014" w:type="dxa"/>
          </w:tcPr>
          <w:p w14:paraId="4D544D16"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83</w:t>
            </w:r>
          </w:p>
        </w:tc>
        <w:tc>
          <w:tcPr>
            <w:tcW w:w="1850" w:type="dxa"/>
          </w:tcPr>
          <w:p w14:paraId="361E15D8"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33.1</w:t>
            </w:r>
          </w:p>
        </w:tc>
      </w:tr>
      <w:tr w:rsidR="008507DD" w:rsidRPr="00471419" w14:paraId="41DE0532" w14:textId="77777777" w:rsidTr="00516CF9">
        <w:trPr>
          <w:trHeight w:val="346"/>
        </w:trPr>
        <w:tc>
          <w:tcPr>
            <w:tcW w:w="2605" w:type="dxa"/>
          </w:tcPr>
          <w:p w14:paraId="0ADF2C73"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Healthcare</w:t>
            </w:r>
          </w:p>
        </w:tc>
        <w:tc>
          <w:tcPr>
            <w:tcW w:w="2654" w:type="dxa"/>
          </w:tcPr>
          <w:p w14:paraId="2EB8EEB3"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98</w:t>
            </w:r>
          </w:p>
        </w:tc>
        <w:tc>
          <w:tcPr>
            <w:tcW w:w="3014" w:type="dxa"/>
          </w:tcPr>
          <w:p w14:paraId="07AA2857"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54</w:t>
            </w:r>
          </w:p>
        </w:tc>
        <w:tc>
          <w:tcPr>
            <w:tcW w:w="1850" w:type="dxa"/>
          </w:tcPr>
          <w:p w14:paraId="25DA46E2"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44.9</w:t>
            </w:r>
          </w:p>
        </w:tc>
      </w:tr>
      <w:tr w:rsidR="008507DD" w:rsidRPr="00471419" w14:paraId="601FDB00" w14:textId="77777777" w:rsidTr="00516CF9">
        <w:trPr>
          <w:trHeight w:val="346"/>
        </w:trPr>
        <w:tc>
          <w:tcPr>
            <w:tcW w:w="2605" w:type="dxa"/>
          </w:tcPr>
          <w:p w14:paraId="7D7A38BC"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Finance</w:t>
            </w:r>
          </w:p>
        </w:tc>
        <w:tc>
          <w:tcPr>
            <w:tcW w:w="2654" w:type="dxa"/>
          </w:tcPr>
          <w:p w14:paraId="54DF81E0"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135</w:t>
            </w:r>
          </w:p>
        </w:tc>
        <w:tc>
          <w:tcPr>
            <w:tcW w:w="3014" w:type="dxa"/>
          </w:tcPr>
          <w:p w14:paraId="1D8658B3"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79</w:t>
            </w:r>
          </w:p>
        </w:tc>
        <w:tc>
          <w:tcPr>
            <w:tcW w:w="1850" w:type="dxa"/>
          </w:tcPr>
          <w:p w14:paraId="46059B33"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41.5</w:t>
            </w:r>
          </w:p>
        </w:tc>
      </w:tr>
      <w:tr w:rsidR="008507DD" w:rsidRPr="00471419" w14:paraId="2235AE01" w14:textId="77777777" w:rsidTr="00516CF9">
        <w:trPr>
          <w:trHeight w:val="346"/>
        </w:trPr>
        <w:tc>
          <w:tcPr>
            <w:tcW w:w="2605" w:type="dxa"/>
          </w:tcPr>
          <w:p w14:paraId="41218949"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Telecommunications</w:t>
            </w:r>
          </w:p>
        </w:tc>
        <w:tc>
          <w:tcPr>
            <w:tcW w:w="2654" w:type="dxa"/>
          </w:tcPr>
          <w:p w14:paraId="3E9C79C8"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105</w:t>
            </w:r>
          </w:p>
        </w:tc>
        <w:tc>
          <w:tcPr>
            <w:tcW w:w="3014" w:type="dxa"/>
          </w:tcPr>
          <w:p w14:paraId="13F8B358"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68</w:t>
            </w:r>
          </w:p>
        </w:tc>
        <w:tc>
          <w:tcPr>
            <w:tcW w:w="1850" w:type="dxa"/>
          </w:tcPr>
          <w:p w14:paraId="4704E799"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35.2</w:t>
            </w:r>
          </w:p>
        </w:tc>
      </w:tr>
      <w:tr w:rsidR="008507DD" w:rsidRPr="00471419" w14:paraId="7C17EEAD" w14:textId="77777777" w:rsidTr="00516CF9">
        <w:trPr>
          <w:trHeight w:val="346"/>
        </w:trPr>
        <w:tc>
          <w:tcPr>
            <w:tcW w:w="2605" w:type="dxa"/>
          </w:tcPr>
          <w:p w14:paraId="0061128A"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Transportation</w:t>
            </w:r>
          </w:p>
        </w:tc>
        <w:tc>
          <w:tcPr>
            <w:tcW w:w="2654" w:type="dxa"/>
          </w:tcPr>
          <w:p w14:paraId="2710F820"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116</w:t>
            </w:r>
          </w:p>
        </w:tc>
        <w:tc>
          <w:tcPr>
            <w:tcW w:w="3014" w:type="dxa"/>
          </w:tcPr>
          <w:p w14:paraId="510B9BBF"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72</w:t>
            </w:r>
          </w:p>
        </w:tc>
        <w:tc>
          <w:tcPr>
            <w:tcW w:w="1850" w:type="dxa"/>
          </w:tcPr>
          <w:p w14:paraId="4562D87C"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37.9</w:t>
            </w:r>
          </w:p>
        </w:tc>
      </w:tr>
    </w:tbl>
    <w:p w14:paraId="3D2C56B0"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slope graph (Figure 4) visually represents the reduction in vulnerabilities across sectors. A clear downward trend is observed post-audit, reinforcing the role of IT audits in mitigating cybersecurity risks.</w:t>
      </w:r>
    </w:p>
    <w:p w14:paraId="690670E2"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lastRenderedPageBreak/>
        <w:drawing>
          <wp:inline distT="114300" distB="114300" distL="114300" distR="114300" wp14:anchorId="3D986F68" wp14:editId="1BF6B8BB">
            <wp:extent cx="3981450" cy="2409825"/>
            <wp:effectExtent l="0" t="0" r="0" b="9525"/>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981584" cy="2409906"/>
                    </a:xfrm>
                    <a:prstGeom prst="rect">
                      <a:avLst/>
                    </a:prstGeom>
                    <a:ln/>
                  </pic:spPr>
                </pic:pic>
              </a:graphicData>
            </a:graphic>
          </wp:inline>
        </w:drawing>
      </w:r>
    </w:p>
    <w:p w14:paraId="37256ADD"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20" w:name="_g82qzrwyxwam" w:colFirst="0" w:colLast="0"/>
      <w:bookmarkEnd w:id="20"/>
      <w:r w:rsidRPr="00471419">
        <w:rPr>
          <w:b/>
          <w:color w:val="0D0D0D"/>
          <w:sz w:val="24"/>
          <w:szCs w:val="24"/>
          <w:highlight w:val="white"/>
        </w:rPr>
        <w:t xml:space="preserve">Figure 4: </w:t>
      </w:r>
      <w:r w:rsidRPr="00471419">
        <w:rPr>
          <w:i/>
          <w:color w:val="0D0D0D"/>
          <w:sz w:val="24"/>
          <w:szCs w:val="24"/>
          <w:highlight w:val="white"/>
        </w:rPr>
        <w:t>Slope Graph Depicting Reduction in Vulnerabilities Following IT Audits</w:t>
      </w:r>
    </w:p>
    <w:p w14:paraId="3181752E" w14:textId="7EEECA6F"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To further analyze the distribution of vulnerabilities, a violin plot (Figure 5) was used to compare the spread of security vulnerabilities pre- and post-audit.</w:t>
      </w:r>
      <w:r w:rsidR="00975CA0">
        <w:rPr>
          <w:color w:val="0D0D0D"/>
          <w:sz w:val="24"/>
          <w:szCs w:val="24"/>
          <w:highlight w:val="white"/>
        </w:rPr>
        <w:t xml:space="preserve"> </w:t>
      </w:r>
      <w:r w:rsidR="00975CA0" w:rsidRPr="00975CA0">
        <w:rPr>
          <w:sz w:val="24"/>
          <w:szCs w:val="24"/>
        </w:rPr>
        <w:t>Recent case studies provide real-world evidence supporting the statistical findings. For example, the U.S. Government Accountability Office (GAO) conducted audits of federal agencies in 2023, identifying critical vulnerabilities in transportation and energy departments, which led to immediate remedial actions and policy updates. Similarly, the United Kingdom’s National Audit Office (NAO) audit of the National Health Service (NHS) in 2024 revealed gaps in cybersecurity training and outdated network defenses. Post-audit follow-up assessments indicated a marked reduction in vulnerability exposure and improved incident response times. These examples illustrate how IT auditing not only uncovers technical flaws but also strengthens organizational capacity to prevent cyber incidents</w:t>
      </w:r>
      <w:r w:rsidR="00975CA0">
        <w:t>.</w:t>
      </w:r>
      <w:r w:rsidRPr="00471419">
        <w:rPr>
          <w:color w:val="0D0D0D"/>
          <w:sz w:val="24"/>
          <w:szCs w:val="24"/>
          <w:highlight w:val="white"/>
        </w:rPr>
        <w:t xml:space="preserve"> The visualization highlights a significant concentration of lower vulnerability counts after IT audits, confirming the consistent impact of audit interventions across sectors.</w:t>
      </w:r>
    </w:p>
    <w:p w14:paraId="4E7937D5"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lastRenderedPageBreak/>
        <w:drawing>
          <wp:inline distT="114300" distB="114300" distL="114300" distR="114300" wp14:anchorId="6319B081" wp14:editId="6B952525">
            <wp:extent cx="5030446" cy="378093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030446" cy="3780936"/>
                    </a:xfrm>
                    <a:prstGeom prst="rect">
                      <a:avLst/>
                    </a:prstGeom>
                    <a:ln/>
                  </pic:spPr>
                </pic:pic>
              </a:graphicData>
            </a:graphic>
          </wp:inline>
        </w:drawing>
      </w:r>
    </w:p>
    <w:p w14:paraId="1B5FC338"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21" w:name="_b4v7m5ixk7t" w:colFirst="0" w:colLast="0"/>
      <w:bookmarkEnd w:id="21"/>
      <w:r w:rsidRPr="00471419">
        <w:rPr>
          <w:b/>
          <w:color w:val="0D0D0D"/>
          <w:sz w:val="24"/>
          <w:szCs w:val="24"/>
          <w:highlight w:val="white"/>
        </w:rPr>
        <w:t xml:space="preserve">Figure 5: </w:t>
      </w:r>
      <w:r w:rsidRPr="00471419">
        <w:rPr>
          <w:i/>
          <w:color w:val="0D0D0D"/>
          <w:sz w:val="24"/>
          <w:szCs w:val="24"/>
          <w:highlight w:val="white"/>
        </w:rPr>
        <w:t>Violin Plot Showing Distribution of Vulnerabilities Pre- and Post-Audit</w:t>
      </w:r>
    </w:p>
    <w:p w14:paraId="43D0F0D8" w14:textId="77777777" w:rsidR="0054135A"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A </w:t>
      </w:r>
      <w:r w:rsidRPr="00471419">
        <w:rPr>
          <w:b/>
          <w:color w:val="0D0D0D"/>
          <w:sz w:val="24"/>
          <w:szCs w:val="24"/>
          <w:highlight w:val="white"/>
        </w:rPr>
        <w:t>paired t-test</w:t>
      </w:r>
      <w:r w:rsidRPr="00471419">
        <w:rPr>
          <w:color w:val="0D0D0D"/>
          <w:sz w:val="24"/>
          <w:szCs w:val="24"/>
          <w:highlight w:val="white"/>
        </w:rPr>
        <w:t xml:space="preserve"> was conducted to statistically validate the observed reductions in vulnerabilities. The results (Table 4) indicate a </w:t>
      </w:r>
      <w:r w:rsidRPr="00471419">
        <w:rPr>
          <w:b/>
          <w:color w:val="0D0D0D"/>
          <w:sz w:val="24"/>
          <w:szCs w:val="24"/>
          <w:highlight w:val="white"/>
        </w:rPr>
        <w:t>highly significant difference (p &lt; 0.001)</w:t>
      </w:r>
      <w:r w:rsidRPr="00471419">
        <w:rPr>
          <w:color w:val="0D0D0D"/>
          <w:sz w:val="24"/>
          <w:szCs w:val="24"/>
          <w:highlight w:val="white"/>
        </w:rPr>
        <w:t xml:space="preserve"> between pre-audit and post-audit vulnerability counts.</w:t>
      </w:r>
    </w:p>
    <w:p w14:paraId="41B45C78"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b/>
          <w:color w:val="0D0D0D"/>
          <w:sz w:val="24"/>
          <w:szCs w:val="24"/>
          <w:highlight w:val="white"/>
        </w:rPr>
      </w:pPr>
      <w:bookmarkStart w:id="22" w:name="_yhjjgk5zckvv" w:colFirst="0" w:colLast="0"/>
      <w:bookmarkEnd w:id="22"/>
      <w:r w:rsidRPr="00471419">
        <w:rPr>
          <w:b/>
          <w:color w:val="0D0D0D"/>
          <w:sz w:val="24"/>
          <w:szCs w:val="24"/>
          <w:highlight w:val="white"/>
        </w:rPr>
        <w:t>Table 4: Paired t-Test Results for IT Auditing Effectiveness</w:t>
      </w:r>
    </w:p>
    <w:tbl>
      <w:tblPr>
        <w:tblStyle w:val="TableGrid"/>
        <w:tblW w:w="7285" w:type="dxa"/>
        <w:tblLayout w:type="fixed"/>
        <w:tblLook w:val="0600" w:firstRow="0" w:lastRow="0" w:firstColumn="0" w:lastColumn="0" w:noHBand="1" w:noVBand="1"/>
      </w:tblPr>
      <w:tblGrid>
        <w:gridCol w:w="3055"/>
        <w:gridCol w:w="4230"/>
      </w:tblGrid>
      <w:tr w:rsidR="008507DD" w:rsidRPr="00471419" w14:paraId="34347D1B" w14:textId="77777777" w:rsidTr="0054135A">
        <w:trPr>
          <w:trHeight w:val="410"/>
        </w:trPr>
        <w:tc>
          <w:tcPr>
            <w:tcW w:w="3055" w:type="dxa"/>
          </w:tcPr>
          <w:p w14:paraId="3F4C44CE"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Test Statistic</w:t>
            </w:r>
          </w:p>
        </w:tc>
        <w:tc>
          <w:tcPr>
            <w:tcW w:w="4230" w:type="dxa"/>
          </w:tcPr>
          <w:p w14:paraId="6BF86B2D"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p-Value</w:t>
            </w:r>
          </w:p>
        </w:tc>
      </w:tr>
      <w:tr w:rsidR="008507DD" w:rsidRPr="00471419" w14:paraId="35FAA357" w14:textId="77777777" w:rsidTr="0054135A">
        <w:trPr>
          <w:trHeight w:val="410"/>
        </w:trPr>
        <w:tc>
          <w:tcPr>
            <w:tcW w:w="3055" w:type="dxa"/>
          </w:tcPr>
          <w:p w14:paraId="5CB0540B"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17.27</w:t>
            </w:r>
          </w:p>
        </w:tc>
        <w:tc>
          <w:tcPr>
            <w:tcW w:w="4230" w:type="dxa"/>
          </w:tcPr>
          <w:p w14:paraId="7394FEAA"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0.00006</w:t>
            </w:r>
          </w:p>
        </w:tc>
      </w:tr>
    </w:tbl>
    <w:p w14:paraId="6B590384"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negative test statistic confirms that IT audits significantly reduce cybersecurity vulnerabilities, reinforcing the necessity of regular and comprehensive IT auditing practices in national security governance.</w:t>
      </w:r>
    </w:p>
    <w:p w14:paraId="50E8C0A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To further illustrate the magnitude of vulnerability reduction, a dumbbell chart (Figure 6) was employed, showcasing the gap between pre-audit and post-audit vulnerability counts for each sector. The visualization distinctly highlights the effectiveness of IT audits in minimizing risks across all infrastructure domains.</w:t>
      </w:r>
    </w:p>
    <w:p w14:paraId="0C33E7D8"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lastRenderedPageBreak/>
        <w:drawing>
          <wp:inline distT="114300" distB="114300" distL="114300" distR="114300" wp14:anchorId="53BEE5F1" wp14:editId="5D881ECC">
            <wp:extent cx="5052340" cy="323324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052340" cy="3233240"/>
                    </a:xfrm>
                    <a:prstGeom prst="rect">
                      <a:avLst/>
                    </a:prstGeom>
                    <a:ln/>
                  </pic:spPr>
                </pic:pic>
              </a:graphicData>
            </a:graphic>
          </wp:inline>
        </w:drawing>
      </w:r>
    </w:p>
    <w:p w14:paraId="3E51F1C8"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23" w:name="_9fn026l3256c" w:colFirst="0" w:colLast="0"/>
      <w:bookmarkEnd w:id="23"/>
      <w:r w:rsidRPr="00471419">
        <w:rPr>
          <w:b/>
          <w:color w:val="0D0D0D"/>
          <w:sz w:val="24"/>
          <w:szCs w:val="24"/>
          <w:highlight w:val="white"/>
        </w:rPr>
        <w:t xml:space="preserve">Figure 6: </w:t>
      </w:r>
      <w:r w:rsidRPr="00471419">
        <w:rPr>
          <w:i/>
          <w:color w:val="0D0D0D"/>
          <w:sz w:val="24"/>
          <w:szCs w:val="24"/>
          <w:highlight w:val="white"/>
        </w:rPr>
        <w:t>Dumbbell Chart Depicting Pre- and Post-Audit Vulnerability Reduction</w:t>
      </w:r>
    </w:p>
    <w:p w14:paraId="68B554DA"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findings establish IT auditing as a critical mechanism for cybersecurity risk mitigation. Sectors that underwent comprehensive IT audits recorded an average vulnerability reduction of 38-45%, demonstrating the efficiency of structured cybersecurity assessments. The slope graph (Figure 4) and dumbbell chart (Figure 6) illustrate the tangible impact of IT auditing, while the violin plot (Figure 5) confirms a significant shift toward lower vulnerability counts post-audit.</w:t>
      </w:r>
    </w:p>
    <w:p w14:paraId="0F852F2D"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24" w:name="_rvxxb5alae46" w:colFirst="0" w:colLast="0"/>
      <w:bookmarkEnd w:id="24"/>
      <w:r w:rsidRPr="00471419">
        <w:rPr>
          <w:b/>
          <w:color w:val="0D0D0D"/>
          <w:sz w:val="24"/>
          <w:szCs w:val="24"/>
          <w:highlight w:val="white"/>
        </w:rPr>
        <w:t>Evaluating the Effectiveness of Risk Management Strategies in Preventing Cyber Incidents in Critical Infrastructure</w:t>
      </w:r>
    </w:p>
    <w:p w14:paraId="036F8E1E"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Cybersecurity risk management plays a fundamental role in preventing cyber incidents within critical infrastructure. The implementation of structured risk management strategies enhances an organization's ability to mitigate threats and prolongs the time before a cybersecurity breach occurs. This study evaluates the impact of risk management practices on cybersecurity resilience by analyzing survival times before incidents occur in organizations with varying levels of risk management implementation.</w:t>
      </w:r>
    </w:p>
    <w:p w14:paraId="69ABD44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The results indicate a significant disparity in survival times across organizations with strong, moderate, and weak risk management strategies. Table </w:t>
      </w:r>
      <w:r w:rsidR="003E7ED3" w:rsidRPr="00471419">
        <w:rPr>
          <w:color w:val="0D0D0D"/>
          <w:sz w:val="24"/>
          <w:szCs w:val="24"/>
          <w:highlight w:val="white"/>
        </w:rPr>
        <w:t>5</w:t>
      </w:r>
      <w:r w:rsidRPr="00471419">
        <w:rPr>
          <w:color w:val="0D0D0D"/>
          <w:sz w:val="24"/>
          <w:szCs w:val="24"/>
          <w:highlight w:val="white"/>
        </w:rPr>
        <w:t xml:space="preserve"> presents a statistical </w:t>
      </w:r>
      <w:r w:rsidRPr="00471419">
        <w:rPr>
          <w:color w:val="0D0D0D"/>
          <w:sz w:val="24"/>
          <w:szCs w:val="24"/>
          <w:highlight w:val="white"/>
        </w:rPr>
        <w:lastRenderedPageBreak/>
        <w:t>summary of the survival times, showcasing the mean, median, and standard deviation for each risk management category.</w:t>
      </w:r>
    </w:p>
    <w:p w14:paraId="7FFBE7FB" w14:textId="77777777" w:rsidR="008507DD" w:rsidRPr="00471419" w:rsidRDefault="003E7ED3">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b/>
          <w:color w:val="0D0D0D"/>
          <w:sz w:val="24"/>
          <w:szCs w:val="24"/>
          <w:highlight w:val="white"/>
        </w:rPr>
      </w:pPr>
      <w:bookmarkStart w:id="25" w:name="_hw2g9qcm92q4" w:colFirst="0" w:colLast="0"/>
      <w:bookmarkEnd w:id="25"/>
      <w:r w:rsidRPr="00471419">
        <w:rPr>
          <w:b/>
          <w:color w:val="0D0D0D"/>
          <w:sz w:val="24"/>
          <w:szCs w:val="24"/>
          <w:highlight w:val="white"/>
        </w:rPr>
        <w:t>Table 5</w:t>
      </w:r>
      <w:r w:rsidR="003A4165" w:rsidRPr="00471419">
        <w:rPr>
          <w:b/>
          <w:color w:val="0D0D0D"/>
          <w:sz w:val="24"/>
          <w:szCs w:val="24"/>
          <w:highlight w:val="white"/>
        </w:rPr>
        <w:t>: Survival Time (Days) Before Cyber Incidents by Risk Management Strategy</w:t>
      </w:r>
    </w:p>
    <w:tbl>
      <w:tblPr>
        <w:tblStyle w:val="TableGrid"/>
        <w:tblW w:w="8240" w:type="dxa"/>
        <w:tblLayout w:type="fixed"/>
        <w:tblLook w:val="0600" w:firstRow="0" w:lastRow="0" w:firstColumn="0" w:lastColumn="0" w:noHBand="1" w:noVBand="1"/>
      </w:tblPr>
      <w:tblGrid>
        <w:gridCol w:w="2150"/>
        <w:gridCol w:w="2165"/>
        <w:gridCol w:w="2315"/>
        <w:gridCol w:w="1610"/>
      </w:tblGrid>
      <w:tr w:rsidR="008507DD" w:rsidRPr="00471419" w14:paraId="0A715C13" w14:textId="77777777" w:rsidTr="0054135A">
        <w:trPr>
          <w:trHeight w:val="410"/>
        </w:trPr>
        <w:tc>
          <w:tcPr>
            <w:tcW w:w="2150" w:type="dxa"/>
          </w:tcPr>
          <w:p w14:paraId="7DFF84DC"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Risk Management Strategy</w:t>
            </w:r>
          </w:p>
        </w:tc>
        <w:tc>
          <w:tcPr>
            <w:tcW w:w="2165" w:type="dxa"/>
          </w:tcPr>
          <w:p w14:paraId="4E98F5B7"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Mean Survival Time (Days)</w:t>
            </w:r>
          </w:p>
        </w:tc>
        <w:tc>
          <w:tcPr>
            <w:tcW w:w="2315" w:type="dxa"/>
          </w:tcPr>
          <w:p w14:paraId="5D1748D1"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Median Survival Time (Days)</w:t>
            </w:r>
          </w:p>
        </w:tc>
        <w:tc>
          <w:tcPr>
            <w:tcW w:w="1610" w:type="dxa"/>
          </w:tcPr>
          <w:p w14:paraId="615163DF"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Standard Deviation</w:t>
            </w:r>
          </w:p>
        </w:tc>
      </w:tr>
      <w:tr w:rsidR="008507DD" w:rsidRPr="00471419" w14:paraId="5414D798" w14:textId="77777777" w:rsidTr="0054135A">
        <w:trPr>
          <w:trHeight w:val="410"/>
        </w:trPr>
        <w:tc>
          <w:tcPr>
            <w:tcW w:w="2150" w:type="dxa"/>
          </w:tcPr>
          <w:p w14:paraId="39E5F442"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Strong</w:t>
            </w:r>
          </w:p>
        </w:tc>
        <w:tc>
          <w:tcPr>
            <w:tcW w:w="2165" w:type="dxa"/>
          </w:tcPr>
          <w:p w14:paraId="45D85A06"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266.7</w:t>
            </w:r>
          </w:p>
        </w:tc>
        <w:tc>
          <w:tcPr>
            <w:tcW w:w="2315" w:type="dxa"/>
          </w:tcPr>
          <w:p w14:paraId="18026E0D"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171.8</w:t>
            </w:r>
          </w:p>
        </w:tc>
        <w:tc>
          <w:tcPr>
            <w:tcW w:w="1610" w:type="dxa"/>
          </w:tcPr>
          <w:p w14:paraId="3044A258"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281.9</w:t>
            </w:r>
          </w:p>
        </w:tc>
      </w:tr>
      <w:tr w:rsidR="008507DD" w:rsidRPr="00471419" w14:paraId="589445E4" w14:textId="77777777" w:rsidTr="0054135A">
        <w:trPr>
          <w:trHeight w:val="410"/>
        </w:trPr>
        <w:tc>
          <w:tcPr>
            <w:tcW w:w="2150" w:type="dxa"/>
          </w:tcPr>
          <w:p w14:paraId="3E9FC2F4"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Moderate</w:t>
            </w:r>
          </w:p>
        </w:tc>
        <w:tc>
          <w:tcPr>
            <w:tcW w:w="2165" w:type="dxa"/>
          </w:tcPr>
          <w:p w14:paraId="1206D13A"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184.8</w:t>
            </w:r>
          </w:p>
        </w:tc>
        <w:tc>
          <w:tcPr>
            <w:tcW w:w="2315" w:type="dxa"/>
          </w:tcPr>
          <w:p w14:paraId="2A955598"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123.0</w:t>
            </w:r>
          </w:p>
        </w:tc>
        <w:tc>
          <w:tcPr>
            <w:tcW w:w="1610" w:type="dxa"/>
          </w:tcPr>
          <w:p w14:paraId="3E01728C"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193.5</w:t>
            </w:r>
          </w:p>
        </w:tc>
      </w:tr>
      <w:tr w:rsidR="008507DD" w:rsidRPr="00471419" w14:paraId="73A88BBC" w14:textId="77777777" w:rsidTr="0054135A">
        <w:trPr>
          <w:trHeight w:val="410"/>
        </w:trPr>
        <w:tc>
          <w:tcPr>
            <w:tcW w:w="2150" w:type="dxa"/>
          </w:tcPr>
          <w:p w14:paraId="4B4A1E49"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Weak</w:t>
            </w:r>
          </w:p>
        </w:tc>
        <w:tc>
          <w:tcPr>
            <w:tcW w:w="2165" w:type="dxa"/>
          </w:tcPr>
          <w:p w14:paraId="7578A3EB"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71.9</w:t>
            </w:r>
          </w:p>
        </w:tc>
        <w:tc>
          <w:tcPr>
            <w:tcW w:w="2315" w:type="dxa"/>
          </w:tcPr>
          <w:p w14:paraId="30356090"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61.3</w:t>
            </w:r>
          </w:p>
        </w:tc>
        <w:tc>
          <w:tcPr>
            <w:tcW w:w="1610" w:type="dxa"/>
          </w:tcPr>
          <w:p w14:paraId="0AC64743"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55.7</w:t>
            </w:r>
          </w:p>
        </w:tc>
      </w:tr>
    </w:tbl>
    <w:p w14:paraId="2405A68E"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Organizations with strong risk management strategies had significantly higher survival times, with a mean survival time of 266.7 days, compared to 184.8 days for moderate implementations and 71.9 days for weak strategies. The distribution of these survival times is further depicted in the Sankey diagram (Figure </w:t>
      </w:r>
      <w:r w:rsidR="00797B2A" w:rsidRPr="00471419">
        <w:rPr>
          <w:color w:val="0D0D0D"/>
          <w:sz w:val="24"/>
          <w:szCs w:val="24"/>
          <w:highlight w:val="white"/>
        </w:rPr>
        <w:t>7</w:t>
      </w:r>
      <w:r w:rsidRPr="00471419">
        <w:rPr>
          <w:color w:val="0D0D0D"/>
          <w:sz w:val="24"/>
          <w:szCs w:val="24"/>
          <w:highlight w:val="white"/>
        </w:rPr>
        <w:t>), illustrating the proportion of organizations implementing each risk management approach and their eventual cybersecurity incident outcomes.</w:t>
      </w:r>
    </w:p>
    <w:p w14:paraId="07D367C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drawing>
          <wp:inline distT="114300" distB="114300" distL="114300" distR="114300" wp14:anchorId="4A12668E" wp14:editId="3EF52563">
            <wp:extent cx="4867275" cy="3257550"/>
            <wp:effectExtent l="0" t="0" r="9525"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867275" cy="3257550"/>
                    </a:xfrm>
                    <a:prstGeom prst="rect">
                      <a:avLst/>
                    </a:prstGeom>
                    <a:ln/>
                  </pic:spPr>
                </pic:pic>
              </a:graphicData>
            </a:graphic>
          </wp:inline>
        </w:drawing>
      </w:r>
    </w:p>
    <w:p w14:paraId="54414776" w14:textId="77777777" w:rsidR="008507DD" w:rsidRPr="00471419" w:rsidRDefault="00FC4A39">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26" w:name="_nds8a3433v1r" w:colFirst="0" w:colLast="0"/>
      <w:bookmarkEnd w:id="26"/>
      <w:r w:rsidRPr="00471419">
        <w:rPr>
          <w:b/>
          <w:color w:val="0D0D0D"/>
          <w:sz w:val="24"/>
          <w:szCs w:val="24"/>
          <w:highlight w:val="white"/>
        </w:rPr>
        <w:t>Figure 7</w:t>
      </w:r>
      <w:r w:rsidR="003A4165" w:rsidRPr="00471419">
        <w:rPr>
          <w:b/>
          <w:color w:val="0D0D0D"/>
          <w:sz w:val="24"/>
          <w:szCs w:val="24"/>
          <w:highlight w:val="white"/>
        </w:rPr>
        <w:t xml:space="preserve">: </w:t>
      </w:r>
      <w:r w:rsidR="003A4165" w:rsidRPr="00471419">
        <w:rPr>
          <w:i/>
          <w:color w:val="0D0D0D"/>
          <w:sz w:val="24"/>
          <w:szCs w:val="24"/>
          <w:highlight w:val="white"/>
        </w:rPr>
        <w:t>Sankey Diagram Representing Risk Management Strategies and Cybersecurity Incident Occurrence</w:t>
      </w:r>
    </w:p>
    <w:p w14:paraId="675F519B" w14:textId="77777777" w:rsidR="008507DD" w:rsidRPr="00471419" w:rsidRDefault="003A4165" w:rsidP="003F68A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lastRenderedPageBreak/>
        <w:t xml:space="preserve">Further analysis using a lollipop chart (Figure </w:t>
      </w:r>
      <w:r w:rsidR="00FC4A39" w:rsidRPr="00471419">
        <w:rPr>
          <w:color w:val="0D0D0D"/>
          <w:sz w:val="24"/>
          <w:szCs w:val="24"/>
          <w:highlight w:val="white"/>
        </w:rPr>
        <w:t>8</w:t>
      </w:r>
      <w:r w:rsidRPr="00471419">
        <w:rPr>
          <w:color w:val="0D0D0D"/>
          <w:sz w:val="24"/>
          <w:szCs w:val="24"/>
          <w:highlight w:val="white"/>
        </w:rPr>
        <w:t>) highlights the contrast in mean survival times across the three categories of risk management. The chart visually reinforces the progressive increase in cybersecurity resilience with stronger risk management practices.</w:t>
      </w:r>
      <w:r w:rsidRPr="00471419">
        <w:rPr>
          <w:noProof/>
          <w:color w:val="0D0D0D"/>
          <w:sz w:val="24"/>
          <w:szCs w:val="24"/>
          <w:highlight w:val="white"/>
          <w:lang w:val="en-US"/>
        </w:rPr>
        <w:drawing>
          <wp:inline distT="114300" distB="114300" distL="114300" distR="114300" wp14:anchorId="5DA80B99" wp14:editId="12D1D51C">
            <wp:extent cx="4543425" cy="3162300"/>
            <wp:effectExtent l="0" t="0" r="9525"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543921" cy="3162645"/>
                    </a:xfrm>
                    <a:prstGeom prst="rect">
                      <a:avLst/>
                    </a:prstGeom>
                    <a:ln/>
                  </pic:spPr>
                </pic:pic>
              </a:graphicData>
            </a:graphic>
          </wp:inline>
        </w:drawing>
      </w:r>
    </w:p>
    <w:p w14:paraId="4ECA9C0C" w14:textId="77777777" w:rsidR="008507DD" w:rsidRPr="00471419" w:rsidRDefault="00FC4A39">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27" w:name="_td0r277ur8qf" w:colFirst="0" w:colLast="0"/>
      <w:bookmarkEnd w:id="27"/>
      <w:r w:rsidRPr="00471419">
        <w:rPr>
          <w:b/>
          <w:color w:val="0D0D0D"/>
          <w:sz w:val="24"/>
          <w:szCs w:val="24"/>
          <w:highlight w:val="white"/>
        </w:rPr>
        <w:t>Figure 8</w:t>
      </w:r>
      <w:r w:rsidR="003A4165" w:rsidRPr="00471419">
        <w:rPr>
          <w:b/>
          <w:color w:val="0D0D0D"/>
          <w:sz w:val="24"/>
          <w:szCs w:val="24"/>
          <w:highlight w:val="white"/>
        </w:rPr>
        <w:t xml:space="preserve">: </w:t>
      </w:r>
      <w:r w:rsidR="003A4165" w:rsidRPr="00471419">
        <w:rPr>
          <w:i/>
          <w:color w:val="0D0D0D"/>
          <w:sz w:val="24"/>
          <w:szCs w:val="24"/>
          <w:highlight w:val="white"/>
        </w:rPr>
        <w:t>Lollipop Chart Depicting Mean Survival Time (Days) per Risk Management Strategy</w:t>
      </w:r>
    </w:p>
    <w:p w14:paraId="4DD1520C"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These results emphasize the importance of proactive risk management strategies, including continuous threat assessments, real-time monitoring, and adaptive security policies.</w:t>
      </w:r>
    </w:p>
    <w:p w14:paraId="72458075"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28" w:name="_rht4u59zz7a3" w:colFirst="0" w:colLast="0"/>
      <w:bookmarkEnd w:id="28"/>
      <w:r w:rsidRPr="00471419">
        <w:rPr>
          <w:b/>
          <w:color w:val="0D0D0D"/>
          <w:sz w:val="24"/>
          <w:szCs w:val="24"/>
          <w:highlight w:val="white"/>
        </w:rPr>
        <w:t>Identifying Challenges Associated with Implementing Cybersecurity Governance Measures in Critical Infrastructure</w:t>
      </w:r>
    </w:p>
    <w:p w14:paraId="6F5DEA22"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bookmarkStart w:id="29" w:name="_oz8nmr1l3lwi" w:colFirst="0" w:colLast="0"/>
      <w:bookmarkEnd w:id="29"/>
      <w:r w:rsidRPr="00471419">
        <w:rPr>
          <w:color w:val="0D0D0D"/>
          <w:sz w:val="24"/>
          <w:szCs w:val="24"/>
          <w:highlight w:val="white"/>
        </w:rPr>
        <w:t>The successful implementation of cybersecurity governance is often hindered by several structural, financial, and technical barriers. Understanding these challenges is critical for strengthening national security through robust cybersecurity frameworks. This study identifies and ranks the most significant challenges that organizations face when adopting cybersecurity governance measures.</w:t>
      </w:r>
    </w:p>
    <w:p w14:paraId="00EC0E45"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The results reveal that specific cybersecurity governance challenges contribute disproportionately to implementation failures. Table </w:t>
      </w:r>
      <w:r w:rsidR="003E7ED3" w:rsidRPr="00471419">
        <w:rPr>
          <w:color w:val="0D0D0D"/>
          <w:sz w:val="24"/>
          <w:szCs w:val="24"/>
          <w:highlight w:val="white"/>
        </w:rPr>
        <w:t>6</w:t>
      </w:r>
      <w:r w:rsidRPr="00471419">
        <w:rPr>
          <w:color w:val="0D0D0D"/>
          <w:sz w:val="24"/>
          <w:szCs w:val="24"/>
          <w:highlight w:val="white"/>
        </w:rPr>
        <w:t xml:space="preserve"> presents the principal component analysis (PCA) results, ranking key governance barriers based on their factor loadings.</w:t>
      </w:r>
    </w:p>
    <w:p w14:paraId="7AEC208A" w14:textId="77777777" w:rsidR="008507DD" w:rsidRPr="00471419" w:rsidRDefault="003E7ED3">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color w:val="0D0D0D"/>
          <w:sz w:val="24"/>
          <w:szCs w:val="24"/>
          <w:highlight w:val="white"/>
        </w:rPr>
      </w:pPr>
      <w:bookmarkStart w:id="30" w:name="_7m36dc2q2e32" w:colFirst="0" w:colLast="0"/>
      <w:bookmarkEnd w:id="30"/>
      <w:r w:rsidRPr="00471419">
        <w:rPr>
          <w:color w:val="0D0D0D"/>
          <w:sz w:val="24"/>
          <w:szCs w:val="24"/>
          <w:highlight w:val="white"/>
        </w:rPr>
        <w:lastRenderedPageBreak/>
        <w:t>Table 6</w:t>
      </w:r>
      <w:r w:rsidR="003A4165" w:rsidRPr="00471419">
        <w:rPr>
          <w:color w:val="0D0D0D"/>
          <w:sz w:val="24"/>
          <w:szCs w:val="24"/>
          <w:highlight w:val="white"/>
        </w:rPr>
        <w:t>: Principal Component Analysis (PCA) Loadings for Cybersecurity Governance Challenges</w:t>
      </w:r>
    </w:p>
    <w:tbl>
      <w:tblPr>
        <w:tblStyle w:val="TableGrid"/>
        <w:tblW w:w="9175" w:type="dxa"/>
        <w:tblLayout w:type="fixed"/>
        <w:tblLook w:val="0600" w:firstRow="0" w:lastRow="0" w:firstColumn="0" w:lastColumn="0" w:noHBand="1" w:noVBand="1"/>
      </w:tblPr>
      <w:tblGrid>
        <w:gridCol w:w="3685"/>
        <w:gridCol w:w="1890"/>
        <w:gridCol w:w="1800"/>
        <w:gridCol w:w="1800"/>
      </w:tblGrid>
      <w:tr w:rsidR="008507DD" w:rsidRPr="00471419" w14:paraId="773E68E9" w14:textId="77777777" w:rsidTr="002A10E9">
        <w:trPr>
          <w:trHeight w:val="410"/>
        </w:trPr>
        <w:tc>
          <w:tcPr>
            <w:tcW w:w="3685" w:type="dxa"/>
          </w:tcPr>
          <w:p w14:paraId="4FA9462B"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color w:val="0D0D0D"/>
                <w:sz w:val="24"/>
                <w:szCs w:val="24"/>
                <w:highlight w:val="white"/>
              </w:rPr>
              <w:t>Governance Challenge</w:t>
            </w:r>
          </w:p>
        </w:tc>
        <w:tc>
          <w:tcPr>
            <w:tcW w:w="1890" w:type="dxa"/>
          </w:tcPr>
          <w:p w14:paraId="2BF5C48D"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color w:val="0D0D0D"/>
                <w:sz w:val="24"/>
                <w:szCs w:val="24"/>
                <w:highlight w:val="white"/>
              </w:rPr>
              <w:t>Principal Component 1</w:t>
            </w:r>
          </w:p>
        </w:tc>
        <w:tc>
          <w:tcPr>
            <w:tcW w:w="1800" w:type="dxa"/>
          </w:tcPr>
          <w:p w14:paraId="0E82226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color w:val="0D0D0D"/>
                <w:sz w:val="24"/>
                <w:szCs w:val="24"/>
                <w:highlight w:val="white"/>
              </w:rPr>
              <w:t>Principal Component 2</w:t>
            </w:r>
          </w:p>
        </w:tc>
        <w:tc>
          <w:tcPr>
            <w:tcW w:w="1800" w:type="dxa"/>
          </w:tcPr>
          <w:p w14:paraId="316E805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color w:val="0D0D0D"/>
                <w:sz w:val="24"/>
                <w:szCs w:val="24"/>
                <w:highlight w:val="white"/>
              </w:rPr>
              <w:t>Principal Component 3</w:t>
            </w:r>
          </w:p>
        </w:tc>
      </w:tr>
      <w:tr w:rsidR="008507DD" w:rsidRPr="00471419" w14:paraId="451721EB" w14:textId="77777777" w:rsidTr="002A10E9">
        <w:trPr>
          <w:trHeight w:val="410"/>
        </w:trPr>
        <w:tc>
          <w:tcPr>
            <w:tcW w:w="3685" w:type="dxa"/>
          </w:tcPr>
          <w:p w14:paraId="304BB4A5"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Lack of Skilled Workforce</w:t>
            </w:r>
          </w:p>
        </w:tc>
        <w:tc>
          <w:tcPr>
            <w:tcW w:w="1890" w:type="dxa"/>
          </w:tcPr>
          <w:p w14:paraId="635DFD79"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0.438</w:t>
            </w:r>
          </w:p>
        </w:tc>
        <w:tc>
          <w:tcPr>
            <w:tcW w:w="1800" w:type="dxa"/>
          </w:tcPr>
          <w:p w14:paraId="27D1FB80"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-0.058</w:t>
            </w:r>
          </w:p>
        </w:tc>
        <w:tc>
          <w:tcPr>
            <w:tcW w:w="1800" w:type="dxa"/>
          </w:tcPr>
          <w:p w14:paraId="3DAA3099"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0.350</w:t>
            </w:r>
          </w:p>
        </w:tc>
      </w:tr>
      <w:tr w:rsidR="008507DD" w:rsidRPr="00471419" w14:paraId="4D5091D7" w14:textId="77777777" w:rsidTr="002A10E9">
        <w:trPr>
          <w:trHeight w:val="410"/>
        </w:trPr>
        <w:tc>
          <w:tcPr>
            <w:tcW w:w="3685" w:type="dxa"/>
          </w:tcPr>
          <w:p w14:paraId="237D0106"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Budget Constraints</w:t>
            </w:r>
          </w:p>
        </w:tc>
        <w:tc>
          <w:tcPr>
            <w:tcW w:w="1890" w:type="dxa"/>
          </w:tcPr>
          <w:p w14:paraId="0D9D160E"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0.145</w:t>
            </w:r>
          </w:p>
        </w:tc>
        <w:tc>
          <w:tcPr>
            <w:tcW w:w="1800" w:type="dxa"/>
          </w:tcPr>
          <w:p w14:paraId="5E63C684"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-0.056</w:t>
            </w:r>
          </w:p>
        </w:tc>
        <w:tc>
          <w:tcPr>
            <w:tcW w:w="1800" w:type="dxa"/>
          </w:tcPr>
          <w:p w14:paraId="34C38EF8"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-0.833</w:t>
            </w:r>
          </w:p>
        </w:tc>
      </w:tr>
      <w:tr w:rsidR="008507DD" w:rsidRPr="00471419" w14:paraId="6653C15F" w14:textId="77777777" w:rsidTr="002A10E9">
        <w:trPr>
          <w:trHeight w:val="410"/>
        </w:trPr>
        <w:tc>
          <w:tcPr>
            <w:tcW w:w="3685" w:type="dxa"/>
          </w:tcPr>
          <w:p w14:paraId="26F7C57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Regulatory Inconsistency</w:t>
            </w:r>
          </w:p>
        </w:tc>
        <w:tc>
          <w:tcPr>
            <w:tcW w:w="1890" w:type="dxa"/>
          </w:tcPr>
          <w:p w14:paraId="0A5F305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0.542</w:t>
            </w:r>
          </w:p>
        </w:tc>
        <w:tc>
          <w:tcPr>
            <w:tcW w:w="1800" w:type="dxa"/>
          </w:tcPr>
          <w:p w14:paraId="00CE1F60"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0.157</w:t>
            </w:r>
          </w:p>
        </w:tc>
        <w:tc>
          <w:tcPr>
            <w:tcW w:w="1800" w:type="dxa"/>
          </w:tcPr>
          <w:p w14:paraId="7E9647F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0.178</w:t>
            </w:r>
          </w:p>
        </w:tc>
      </w:tr>
      <w:tr w:rsidR="008507DD" w:rsidRPr="00471419" w14:paraId="46D04D07" w14:textId="77777777" w:rsidTr="002A10E9">
        <w:trPr>
          <w:trHeight w:val="410"/>
        </w:trPr>
        <w:tc>
          <w:tcPr>
            <w:tcW w:w="3685" w:type="dxa"/>
          </w:tcPr>
          <w:p w14:paraId="362E3B72"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Technological Obsolescence</w:t>
            </w:r>
          </w:p>
        </w:tc>
        <w:tc>
          <w:tcPr>
            <w:tcW w:w="1890" w:type="dxa"/>
          </w:tcPr>
          <w:p w14:paraId="26AB476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0.361</w:t>
            </w:r>
          </w:p>
        </w:tc>
        <w:tc>
          <w:tcPr>
            <w:tcW w:w="1800" w:type="dxa"/>
          </w:tcPr>
          <w:p w14:paraId="13DEFCBC"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0.428</w:t>
            </w:r>
          </w:p>
        </w:tc>
        <w:tc>
          <w:tcPr>
            <w:tcW w:w="1800" w:type="dxa"/>
          </w:tcPr>
          <w:p w14:paraId="6C926241"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-0.285</w:t>
            </w:r>
          </w:p>
        </w:tc>
      </w:tr>
      <w:tr w:rsidR="008507DD" w:rsidRPr="00471419" w14:paraId="7AE3F255" w14:textId="77777777" w:rsidTr="002A10E9">
        <w:trPr>
          <w:trHeight w:val="410"/>
        </w:trPr>
        <w:tc>
          <w:tcPr>
            <w:tcW w:w="3685" w:type="dxa"/>
          </w:tcPr>
          <w:p w14:paraId="4027D14C"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Weak Incident Response</w:t>
            </w:r>
          </w:p>
        </w:tc>
        <w:tc>
          <w:tcPr>
            <w:tcW w:w="1890" w:type="dxa"/>
          </w:tcPr>
          <w:p w14:paraId="52951C96"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0.426</w:t>
            </w:r>
          </w:p>
        </w:tc>
        <w:tc>
          <w:tcPr>
            <w:tcW w:w="1800" w:type="dxa"/>
          </w:tcPr>
          <w:p w14:paraId="3D768760"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-0.501</w:t>
            </w:r>
          </w:p>
        </w:tc>
        <w:tc>
          <w:tcPr>
            <w:tcW w:w="1800" w:type="dxa"/>
          </w:tcPr>
          <w:p w14:paraId="07344266"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0.109</w:t>
            </w:r>
          </w:p>
        </w:tc>
      </w:tr>
    </w:tbl>
    <w:p w14:paraId="15D49853"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first principal component (PC1) explains the most variance in cybersecurity governance challenges, with Regulatory Inconsistency (0.542) and Lack of Skilled Workforce (0.438) emerging as the dominant barriers. These findings suggest that inconsistencies in regulatory frameworks and workforce shortages are the most significant hindrances to cybersecurity governance implementation.</w:t>
      </w:r>
    </w:p>
    <w:p w14:paraId="17E45BEE" w14:textId="77777777" w:rsidR="008507DD" w:rsidRPr="00471419" w:rsidRDefault="00FC4A3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Biplot (Figure 9</w:t>
      </w:r>
      <w:r w:rsidR="003A4165" w:rsidRPr="00471419">
        <w:rPr>
          <w:color w:val="0D0D0D"/>
          <w:sz w:val="24"/>
          <w:szCs w:val="24"/>
          <w:highlight w:val="white"/>
        </w:rPr>
        <w:t>) visually represents how these challenges load onto the first two principal components, illustrating their directional influence on cybersecurity governance outcomes.</w:t>
      </w:r>
    </w:p>
    <w:p w14:paraId="2EA780A5"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drawing>
          <wp:inline distT="114300" distB="114300" distL="114300" distR="114300" wp14:anchorId="16E95590" wp14:editId="1084263E">
            <wp:extent cx="5242853" cy="3302636"/>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242853" cy="3302636"/>
                    </a:xfrm>
                    <a:prstGeom prst="rect">
                      <a:avLst/>
                    </a:prstGeom>
                    <a:ln/>
                  </pic:spPr>
                </pic:pic>
              </a:graphicData>
            </a:graphic>
          </wp:inline>
        </w:drawing>
      </w:r>
    </w:p>
    <w:p w14:paraId="6AFF02D8" w14:textId="77777777" w:rsidR="008507DD" w:rsidRPr="00471419" w:rsidRDefault="00FC4A39">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31" w:name="_id9kqgswzvc9" w:colFirst="0" w:colLast="0"/>
      <w:bookmarkEnd w:id="31"/>
      <w:r w:rsidRPr="00471419">
        <w:rPr>
          <w:color w:val="0D0D0D"/>
          <w:sz w:val="24"/>
          <w:szCs w:val="24"/>
          <w:highlight w:val="white"/>
        </w:rPr>
        <w:lastRenderedPageBreak/>
        <w:t>Figure 9</w:t>
      </w:r>
      <w:r w:rsidR="003A4165" w:rsidRPr="00471419">
        <w:rPr>
          <w:color w:val="0D0D0D"/>
          <w:sz w:val="24"/>
          <w:szCs w:val="24"/>
          <w:highlight w:val="white"/>
        </w:rPr>
        <w:t xml:space="preserve">: </w:t>
      </w:r>
      <w:r w:rsidR="003A4165" w:rsidRPr="00471419">
        <w:rPr>
          <w:i/>
          <w:color w:val="0D0D0D"/>
          <w:sz w:val="24"/>
          <w:szCs w:val="24"/>
          <w:highlight w:val="white"/>
        </w:rPr>
        <w:t>Biplot Depicting Factor Loadings of Cybersecurity Governance Challenges</w:t>
      </w:r>
    </w:p>
    <w:p w14:paraId="541D0E8E"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Further analys</w:t>
      </w:r>
      <w:r w:rsidR="00797B2A" w:rsidRPr="00471419">
        <w:rPr>
          <w:color w:val="0D0D0D"/>
          <w:sz w:val="24"/>
          <w:szCs w:val="24"/>
          <w:highlight w:val="white"/>
        </w:rPr>
        <w:t>is using a radar chart (Figure 10</w:t>
      </w:r>
      <w:r w:rsidRPr="00471419">
        <w:rPr>
          <w:color w:val="0D0D0D"/>
          <w:sz w:val="24"/>
          <w:szCs w:val="24"/>
          <w:highlight w:val="white"/>
        </w:rPr>
        <w:t>) provides an intuitive comparison of each governance challenge's contribution to PC1, which represents the primary obstacles to successful cybersecurity governance adoption. The visualization highlights that organizations struggle most with regulatory inconsistency and workforce shortages, while budget constraints contribute minimally to PC1 but have a stronger influence in PC3, suggesting sector-specific financial constraints.</w:t>
      </w:r>
    </w:p>
    <w:p w14:paraId="79C4419D" w14:textId="77777777" w:rsidR="008507DD" w:rsidRPr="00471419" w:rsidRDefault="003A4165" w:rsidP="00E7545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drawing>
          <wp:inline distT="114300" distB="114300" distL="114300" distR="114300" wp14:anchorId="38BBE374" wp14:editId="1B11A532">
            <wp:extent cx="5116195" cy="3862515"/>
            <wp:effectExtent l="0" t="0" r="8255" b="508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137279" cy="3878433"/>
                    </a:xfrm>
                    <a:prstGeom prst="rect">
                      <a:avLst/>
                    </a:prstGeom>
                    <a:ln/>
                  </pic:spPr>
                </pic:pic>
              </a:graphicData>
            </a:graphic>
          </wp:inline>
        </w:drawing>
      </w:r>
    </w:p>
    <w:p w14:paraId="791610AE" w14:textId="77777777" w:rsidR="008507DD" w:rsidRPr="00471419" w:rsidRDefault="003A4165" w:rsidP="00E75459">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32" w:name="_r0q9sfo6xpjs" w:colFirst="0" w:colLast="0"/>
      <w:bookmarkEnd w:id="32"/>
      <w:r w:rsidRPr="00471419">
        <w:rPr>
          <w:color w:val="0D0D0D"/>
          <w:sz w:val="24"/>
          <w:szCs w:val="24"/>
          <w:highlight w:val="white"/>
        </w:rPr>
        <w:t xml:space="preserve">Figure </w:t>
      </w:r>
      <w:r w:rsidR="00FC4A39" w:rsidRPr="00471419">
        <w:rPr>
          <w:color w:val="0D0D0D"/>
          <w:sz w:val="24"/>
          <w:szCs w:val="24"/>
          <w:highlight w:val="white"/>
        </w:rPr>
        <w:t>10</w:t>
      </w:r>
      <w:r w:rsidRPr="00471419">
        <w:rPr>
          <w:color w:val="0D0D0D"/>
          <w:sz w:val="24"/>
          <w:szCs w:val="24"/>
          <w:highlight w:val="white"/>
        </w:rPr>
        <w:t xml:space="preserve">: </w:t>
      </w:r>
      <w:r w:rsidRPr="00471419">
        <w:rPr>
          <w:i/>
          <w:color w:val="0D0D0D"/>
          <w:sz w:val="24"/>
          <w:szCs w:val="24"/>
          <w:highlight w:val="white"/>
        </w:rPr>
        <w:t>Radar Chart Depicting Contribution of Challenges to Principal Component 1</w:t>
      </w:r>
    </w:p>
    <w:p w14:paraId="5E8ACBBC"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findings confirm that regulatory inconsistency and lack of skilled cybersecurity professionals are the two most critical barriers to effective governance implementation</w:t>
      </w:r>
    </w:p>
    <w:p w14:paraId="0DB6D420"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b/>
          <w:color w:val="0D0D0D"/>
          <w:sz w:val="24"/>
          <w:szCs w:val="24"/>
          <w:highlight w:val="white"/>
        </w:rPr>
      </w:pPr>
      <w:r w:rsidRPr="00471419">
        <w:rPr>
          <w:b/>
          <w:color w:val="0D0D0D"/>
          <w:sz w:val="24"/>
          <w:szCs w:val="24"/>
          <w:highlight w:val="white"/>
        </w:rPr>
        <w:t xml:space="preserve">Discussion </w:t>
      </w:r>
    </w:p>
    <w:p w14:paraId="39F48786"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Cybersecurity governance plays a fundamental role in safeguarding national infrastructure, yet its implementation is marked by varying degrees of effectiveness across industries. The findings of this study provide compelling evidence that organizations adopting structured governance frameworks, particularly the NIST </w:t>
      </w:r>
      <w:r w:rsidRPr="00471419">
        <w:rPr>
          <w:color w:val="0D0D0D"/>
          <w:sz w:val="24"/>
          <w:szCs w:val="24"/>
          <w:highlight w:val="white"/>
        </w:rPr>
        <w:lastRenderedPageBreak/>
        <w:t>Cybersecurity Framework and ISO 27001, exhibit significantly lower cybersecurity incident rates. This aligns with previous literature, which underscores the role of standardized cybersecurity frameworks in enhancing resilience and reducing vulnerabilities (Alshar’e, 2023; Ajayi et al., 2025). The parallel coordinates plot and radial line chart reinforce this trend, demonstrating a downward trajectory in reported exploits as compliance with governance measures improves. However, the logistic regression results suggest that while governance compliance is correlated with reduced incidents, statistical significance remains elusive, indicating that additional variables—such as the effectiveness of implementation, organizational cybersecurity culture, and sector-specific threat landscapes—may influence security outcomes (Kolade et al., 2025). These findings highlight the necessity for continuous adaptation and sector-specific cybersecurity strategies rather than a one-size-fits-all governance approach (Mariam, 2024; Obioha-Val, 2025).</w:t>
      </w:r>
    </w:p>
    <w:p w14:paraId="74FFE67C"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IT auditing emerges as a critical intervention for identifying cybersecurity vulnerabilities and strengthening risk mitigation strategies within critical infrastructure. The mean reduction in vulnerabilities post-audit across all sectors, averaging 38-45%, substantiates the assertion that IT audits play a pivotal role in maintaining cybersecurity resilience (Ilori et al., 2024; Olutimehin, 2025). The slope graph and dumbbell chart provide a visual affirmation of this impact, demonstrating a sharp decline in reported vulnerabilities following IT audits. These findings align with previous research, which argues that systematic IT auditing reduces organizational exposure to cyber threats and enhances compliance with regulatory frameworks (Edwards, 2024; Obioha-Val et al., 2025). Furthermore, the paired t-test results, showing a highly significant difference in pre-audit and post-audit vulnerability counts (p &lt; 0.001), reinforce the necessity for regulatory bodies to mandate comprehensive IT audits across all critical infrastructure sectors. However, while the results affirm the efficacy of IT auditing, the persistence of residual vulnerabilities post-audit suggests that auditing alone is insufficient. This reinforces arguments made by Slapničar et al. (2022) and Alao et al. (2024), who emphasize that IT auditing must be supplemented with real-time threat intelligence, active security monitoring, and continuous vulnerability assessments to maintain long-term cybersecurity resilience.</w:t>
      </w:r>
    </w:p>
    <w:p w14:paraId="183A15D7"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Risk management remains central to cybersecurity governance, as organizations with strong risk management frameworks exhibit significantly higher survival times before </w:t>
      </w:r>
      <w:r w:rsidRPr="00471419">
        <w:rPr>
          <w:color w:val="0D0D0D"/>
          <w:sz w:val="24"/>
          <w:szCs w:val="24"/>
          <w:highlight w:val="white"/>
        </w:rPr>
        <w:lastRenderedPageBreak/>
        <w:t>experiencing security breaches. The mean survival time of 266.7 days for organizations with robust risk management strategies, compared to 71.9 days for those with weak controls, substantiates previous assertions that proactive risk mitigation is essential in reducing cyber exposure (Tahmasebi, 2024; Joseph, 2024). The Sankey diagram and lollipop chart reinforce this pattern, highlighting the progressive increase in cybersecurity resilience as risk management strategies strengthen. These findings support the National Institute of Standards and Technology (NIST) Cybersecurity Framework, which emphasizes risk-informed decision-making as a core cybersecurity principle (Paz, 2023; Mayeke et al., 2024). Moreover, the observed disparities in survival times across risk management categories align with Delima (2024), who found that organizations adhering to cybersecurity compliance standards—many of which incorporate structured risk management—experience significantly fewer cyber incidents. However, despite the strong correlation between risk management and prolonged cybersecurity resilience, challenges persist. The standard deviation in survival times remains high (281.9 days for organizations with strong risk management), indicating that even well-managed entities remain vulnerable to unpredictable cyber threats. This reinforces Safitra et al. (2023), who argue that static risk management approaches are no longer sufficient in an era of rapidly evolving cyber threats. Adaptive and intelligence-driven risk management models are needed to address emerging attack vectors and prevent large-scale disruptions to critical infrastructure.</w:t>
      </w:r>
    </w:p>
    <w:p w14:paraId="07649713"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rFonts w:eastAsia="Arial Unicode MS"/>
          <w:color w:val="0D0D0D"/>
          <w:sz w:val="24"/>
          <w:szCs w:val="24"/>
          <w:highlight w:val="white"/>
        </w:rPr>
        <w:t xml:space="preserve">Despite the evident benefits of cybersecurity governance, IT auditing, and risk management, their implementation faces significant systemic, financial, and technical challenges. The principal component analysis (PCA) results reveal that regulatory inconsistency (0.542) and lack of skilled workforce (0.438) emerge as the dominant barriers, confirming existing research highlighting these issues as critical governance challenges (National Audit Office, 2025; Ibrahim et al., 2024). The biplot and radar chart further reinforce these findings by illustrating the disproportionate impact of regulatory inconsistency and workforce shortages on cybersecurity implementation failures. These results align with the National Audit Office (2025), which identified fragmented governance structures and outdated regulatory policies as persistent cybersecurity barriers in the UK government sector. Additionally, budget constraints (−0.833 in Principal Component 3) suggest that while financial limitations are not the primary determinant of cybersecurity failures, they contribute significantly to governance inefficiencies in specific </w:t>
      </w:r>
      <w:r w:rsidRPr="00471419">
        <w:rPr>
          <w:rFonts w:eastAsia="Arial Unicode MS"/>
          <w:color w:val="0D0D0D"/>
          <w:sz w:val="24"/>
          <w:szCs w:val="24"/>
          <w:highlight w:val="white"/>
        </w:rPr>
        <w:lastRenderedPageBreak/>
        <w:t>sectors. This finding supports previous research asserting that cybersecurity investments remain disproportionately allocated, with financial constraints hindering effective policy execution, particularly in resource-limited regions (Kariuki et al., 2023; Salako et al., 2024). The high factor loadings of technological obsolescence (0.361) and weak incident response frameworks (0.426) further validate existing literature, which argues that reliance on outdated security infrastructure amplifies the risk of cyberattacks while ineffective incident response mechanisms exacerbate breach severity (Balogun et al., 2025; Kerner, 2024).</w:t>
      </w:r>
    </w:p>
    <w:p w14:paraId="39046FB2"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findings of this study collectively emphasize the critical role of structured cybersecurity governance, IT auditing, and risk management in national security resilience. However, while cybersecurity frameworks are essential in mitigating risks, their efficacy is contingent upon sector-specific adaptation, regulatory harmonization, and dynamic security strategies. The statistical evidence reinforces that IT audits significantly reduce vulnerabilities, but their effectiveness hinges on continuous security monitoring and proactive remediation strategies. Risk management practices demonstrate measurable improvements in cyber resilience, yet the study also highlights the growing need for intelligence-driven, adaptive risk management models to counter evolving threats. The systemic barriers to governance implementation, particularly regulatory fragmentation and workforce shortages, underscore the necessity for policy reform, workforce development, and enhanced cross-sector collaboration to achieve sustainable cybersecurity resilience. These findings contribute to the growing body of cybersecurity literature advocating for multi-layered, adaptive security governance models that integrate regulatory coherence, workforce expertise, and advanced risk management practices to safeguard national infrastructure against emerging cyber threats.</w:t>
      </w:r>
    </w:p>
    <w:p w14:paraId="7A3DD78D" w14:textId="77777777" w:rsidR="008507DD" w:rsidRPr="00471419" w:rsidRDefault="004714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b/>
          <w:color w:val="0D0D0D"/>
          <w:sz w:val="24"/>
          <w:szCs w:val="24"/>
          <w:highlight w:val="white"/>
        </w:rPr>
      </w:pPr>
      <w:r>
        <w:rPr>
          <w:b/>
          <w:color w:val="0D0D0D"/>
          <w:sz w:val="24"/>
          <w:szCs w:val="24"/>
          <w:highlight w:val="white"/>
        </w:rPr>
        <w:t>5.</w:t>
      </w:r>
      <w:r>
        <w:rPr>
          <w:b/>
          <w:color w:val="0D0D0D"/>
          <w:sz w:val="24"/>
          <w:szCs w:val="24"/>
          <w:highlight w:val="white"/>
        </w:rPr>
        <w:tab/>
      </w:r>
      <w:r w:rsidR="003A4165" w:rsidRPr="00471419">
        <w:rPr>
          <w:b/>
          <w:color w:val="0D0D0D"/>
          <w:sz w:val="24"/>
          <w:szCs w:val="24"/>
          <w:highlight w:val="white"/>
        </w:rPr>
        <w:t>Conclusion and Recommendation</w:t>
      </w:r>
      <w:r>
        <w:rPr>
          <w:b/>
          <w:color w:val="0D0D0D"/>
          <w:sz w:val="24"/>
          <w:szCs w:val="24"/>
          <w:highlight w:val="white"/>
        </w:rPr>
        <w:t>s</w:t>
      </w:r>
    </w:p>
    <w:p w14:paraId="31833EE6"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The findings of this study affirm that structured cybersecurity governance, IT auditing, and risk management significantly enhance national security by mitigating vulnerabilities in critical infrastructure. Organizations that adopt comprehensive governance frameworks, conduct rigorous IT audits, and implement robust risk management strategies experience lower incident rates and prolonged resilience against cyber threats. However, systemic barriers, including regulatory inconsistencies, workforce shortages, and financial constraints, continue to hinder cybersecurity governance effectiveness. Addressing these </w:t>
      </w:r>
      <w:r w:rsidRPr="00471419">
        <w:rPr>
          <w:color w:val="0D0D0D"/>
          <w:sz w:val="24"/>
          <w:szCs w:val="24"/>
          <w:highlight w:val="white"/>
        </w:rPr>
        <w:lastRenderedPageBreak/>
        <w:t>challenges requires targeted interventions to ensure sustained protection against emerging cyber risks.</w:t>
      </w:r>
      <w:r w:rsidR="00D80F99" w:rsidRPr="00471419">
        <w:rPr>
          <w:color w:val="0D0D0D"/>
          <w:sz w:val="24"/>
          <w:szCs w:val="24"/>
          <w:highlight w:val="white"/>
        </w:rPr>
        <w:t xml:space="preserve"> It is therefore recommended that:</w:t>
      </w:r>
    </w:p>
    <w:p w14:paraId="1310CF01" w14:textId="77777777" w:rsidR="008507DD" w:rsidRPr="00471419" w:rsidRDefault="003A4165">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line="331" w:lineRule="auto"/>
        <w:rPr>
          <w:color w:val="0D0D0D"/>
          <w:sz w:val="24"/>
          <w:szCs w:val="24"/>
          <w:highlight w:val="white"/>
        </w:rPr>
      </w:pPr>
      <w:r w:rsidRPr="00471419">
        <w:rPr>
          <w:color w:val="0D0D0D"/>
          <w:sz w:val="24"/>
          <w:szCs w:val="24"/>
          <w:highlight w:val="white"/>
        </w:rPr>
        <w:t>Governments should harmonize regulatory frameworks across sectors to eliminate inconsistencies and strengthen compliance enforcement.</w:t>
      </w:r>
    </w:p>
    <w:p w14:paraId="06E21DDA" w14:textId="77777777" w:rsidR="008507DD" w:rsidRPr="00471419" w:rsidRDefault="003A4165">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Organizations must prioritize workforce development through specialized training programs to bridge cybersecurity expertise gaps.</w:t>
      </w:r>
    </w:p>
    <w:p w14:paraId="2B9FE86C" w14:textId="77777777" w:rsidR="008507DD" w:rsidRPr="00471419" w:rsidRDefault="003A4165">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Investment in real-time threat intelligence and proactive risk assessment tools should be expanded to enhance incident detection and response capabilities.</w:t>
      </w:r>
    </w:p>
    <w:p w14:paraId="30A441DD" w14:textId="77777777" w:rsidR="008507DD" w:rsidRDefault="003A4165">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160" w:line="331" w:lineRule="auto"/>
        <w:rPr>
          <w:color w:val="0D0D0D"/>
          <w:sz w:val="24"/>
          <w:szCs w:val="24"/>
          <w:highlight w:val="white"/>
        </w:rPr>
      </w:pPr>
      <w:r w:rsidRPr="00471419">
        <w:rPr>
          <w:color w:val="0D0D0D"/>
          <w:sz w:val="24"/>
          <w:szCs w:val="24"/>
          <w:highlight w:val="white"/>
        </w:rPr>
        <w:t>Cybersecurity audits should be made mandatory for all critical infrastructure entities, integrating continuous monitoring and automated risk mitigation protocols to ensure long-term resilience.</w:t>
      </w:r>
    </w:p>
    <w:p w14:paraId="41423E3E" w14:textId="5247F8D2" w:rsidR="00A16377" w:rsidRDefault="00A16377" w:rsidP="00A16377">
      <w:pPr>
        <w:ind w:left="360"/>
      </w:pPr>
      <w:bookmarkStart w:id="33" w:name="_GoBack"/>
      <w:bookmarkEnd w:id="33"/>
    </w:p>
    <w:p w14:paraId="2E2172E5" w14:textId="54419687" w:rsidR="00783DD0" w:rsidRDefault="00783DD0" w:rsidP="00A16377">
      <w:pPr>
        <w:ind w:left="360"/>
      </w:pPr>
    </w:p>
    <w:p w14:paraId="7338A2FD" w14:textId="271907D1" w:rsidR="00783DD0" w:rsidRDefault="00783DD0" w:rsidP="00A16377">
      <w:pPr>
        <w:ind w:left="360"/>
      </w:pPr>
    </w:p>
    <w:p w14:paraId="291CA2E3" w14:textId="47C64D1C" w:rsidR="00425A9C" w:rsidRPr="00975CA0" w:rsidRDefault="00425A9C" w:rsidP="00425A9C">
      <w:pPr>
        <w:spacing w:after="200"/>
        <w:rPr>
          <w:rFonts w:ascii="Calibri" w:eastAsia="Calibri" w:hAnsi="Calibri" w:cs="Times New Roman"/>
          <w:kern w:val="2"/>
          <w:lang w:val="en-US"/>
          <w14:ligatures w14:val="standardContextual"/>
        </w:rPr>
      </w:pPr>
      <w:bookmarkStart w:id="34" w:name="_Hlk190852809"/>
      <w:r w:rsidRPr="00975CA0">
        <w:rPr>
          <w:rFonts w:ascii="Calibri" w:eastAsia="Calibri" w:hAnsi="Calibri" w:cs="Times New Roman"/>
          <w:kern w:val="2"/>
          <w:lang w:val="en-US"/>
          <w14:ligatures w14:val="standardContextual"/>
        </w:rPr>
        <w:t>Discl</w:t>
      </w:r>
      <w:r w:rsidR="00975CA0" w:rsidRPr="00975CA0">
        <w:rPr>
          <w:rFonts w:ascii="Calibri" w:eastAsia="Calibri" w:hAnsi="Calibri" w:cs="Times New Roman"/>
          <w:kern w:val="2"/>
          <w:lang w:val="en-US"/>
          <w14:ligatures w14:val="standardContextual"/>
        </w:rPr>
        <w:t>aimer (Artificial intelligence)</w:t>
      </w:r>
    </w:p>
    <w:p w14:paraId="27A043E4" w14:textId="1D89157F" w:rsidR="00A16377" w:rsidRDefault="00425A9C" w:rsidP="00975CA0">
      <w:pPr>
        <w:spacing w:after="200"/>
        <w:rPr>
          <w:rFonts w:ascii="Calibri" w:eastAsia="Calibri" w:hAnsi="Calibri" w:cs="Times New Roman"/>
          <w:kern w:val="2"/>
          <w:lang w:val="en-US"/>
          <w14:ligatures w14:val="standardContextual"/>
        </w:rPr>
      </w:pPr>
      <w:r w:rsidRPr="00975CA0">
        <w:rPr>
          <w:rFonts w:ascii="Calibri" w:eastAsia="Calibri" w:hAnsi="Calibri" w:cs="Times New Roman"/>
          <w:kern w:val="2"/>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bookmarkEnd w:id="34"/>
    </w:p>
    <w:p w14:paraId="2F0A7950" w14:textId="77777777" w:rsidR="00975CA0" w:rsidRDefault="00975CA0" w:rsidP="00975CA0">
      <w:pPr>
        <w:spacing w:after="200"/>
        <w:rPr>
          <w:rFonts w:ascii="Calibri" w:eastAsia="Calibri" w:hAnsi="Calibri" w:cs="Times New Roman"/>
          <w:kern w:val="2"/>
          <w:lang w:val="en-US"/>
          <w14:ligatures w14:val="standardContextual"/>
        </w:rPr>
      </w:pPr>
    </w:p>
    <w:p w14:paraId="3FDCB32D" w14:textId="77777777" w:rsidR="00975CA0" w:rsidRDefault="00975CA0" w:rsidP="00975CA0">
      <w:pPr>
        <w:spacing w:after="200"/>
        <w:rPr>
          <w:rFonts w:ascii="Calibri" w:eastAsia="Calibri" w:hAnsi="Calibri" w:cs="Times New Roman"/>
          <w:kern w:val="2"/>
          <w:lang w:val="en-US"/>
          <w14:ligatures w14:val="standardContextual"/>
        </w:rPr>
      </w:pPr>
    </w:p>
    <w:p w14:paraId="10D29945" w14:textId="77777777" w:rsidR="00975CA0" w:rsidRDefault="00975CA0" w:rsidP="00975CA0">
      <w:pPr>
        <w:spacing w:after="200"/>
        <w:rPr>
          <w:rFonts w:ascii="Calibri" w:eastAsia="Calibri" w:hAnsi="Calibri" w:cs="Times New Roman"/>
          <w:kern w:val="2"/>
          <w:lang w:val="en-US"/>
          <w14:ligatures w14:val="standardContextual"/>
        </w:rPr>
      </w:pPr>
    </w:p>
    <w:p w14:paraId="7A4EB053" w14:textId="77777777" w:rsidR="00975CA0" w:rsidRDefault="00975CA0" w:rsidP="00975CA0">
      <w:pPr>
        <w:spacing w:after="200"/>
        <w:rPr>
          <w:rFonts w:ascii="Calibri" w:eastAsia="Calibri" w:hAnsi="Calibri" w:cs="Times New Roman"/>
          <w:kern w:val="2"/>
          <w:lang w:val="en-US"/>
          <w14:ligatures w14:val="standardContextual"/>
        </w:rPr>
      </w:pPr>
    </w:p>
    <w:p w14:paraId="37CF4C33" w14:textId="77777777" w:rsidR="00975CA0" w:rsidRDefault="00975CA0" w:rsidP="00975CA0">
      <w:pPr>
        <w:spacing w:after="200"/>
        <w:rPr>
          <w:rFonts w:ascii="Calibri" w:eastAsia="Calibri" w:hAnsi="Calibri" w:cs="Times New Roman"/>
          <w:kern w:val="2"/>
          <w:lang w:val="en-US"/>
          <w14:ligatures w14:val="standardContextual"/>
        </w:rPr>
      </w:pPr>
    </w:p>
    <w:p w14:paraId="26AB17AC" w14:textId="77777777" w:rsidR="00975CA0" w:rsidRDefault="00975CA0" w:rsidP="00975CA0">
      <w:pPr>
        <w:spacing w:after="200"/>
        <w:rPr>
          <w:rFonts w:ascii="Calibri" w:eastAsia="Calibri" w:hAnsi="Calibri" w:cs="Times New Roman"/>
          <w:kern w:val="2"/>
          <w:lang w:val="en-US"/>
          <w14:ligatures w14:val="standardContextual"/>
        </w:rPr>
      </w:pPr>
    </w:p>
    <w:p w14:paraId="0CB7DE7B" w14:textId="77777777" w:rsidR="00975CA0" w:rsidRDefault="00975CA0" w:rsidP="00975CA0">
      <w:pPr>
        <w:spacing w:after="200"/>
        <w:rPr>
          <w:rFonts w:ascii="Calibri" w:eastAsia="Calibri" w:hAnsi="Calibri" w:cs="Times New Roman"/>
          <w:kern w:val="2"/>
          <w:lang w:val="en-US"/>
          <w14:ligatures w14:val="standardContextual"/>
        </w:rPr>
      </w:pPr>
    </w:p>
    <w:p w14:paraId="04DEC29E" w14:textId="77777777" w:rsidR="00975CA0" w:rsidRPr="00975CA0" w:rsidRDefault="00975CA0" w:rsidP="00975CA0">
      <w:pPr>
        <w:spacing w:after="200"/>
        <w:rPr>
          <w:rFonts w:ascii="Calibri" w:eastAsia="Calibri" w:hAnsi="Calibri" w:cs="Times New Roman"/>
          <w:kern w:val="2"/>
          <w:lang w:val="en-US"/>
          <w14:ligatures w14:val="standardContextual"/>
        </w:rPr>
      </w:pPr>
    </w:p>
    <w:p w14:paraId="256E5C4E" w14:textId="77777777" w:rsidR="008507DD" w:rsidRPr="00471419" w:rsidRDefault="008507D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p>
    <w:p w14:paraId="54BA906A" w14:textId="77777777" w:rsidR="008507DD" w:rsidRPr="00DF5C51" w:rsidRDefault="003A4165">
      <w:pPr>
        <w:pStyle w:val="Heading1"/>
        <w:keepNext w:val="0"/>
        <w:keepLines w:val="0"/>
        <w:spacing w:before="0" w:after="0" w:line="480" w:lineRule="auto"/>
        <w:jc w:val="center"/>
        <w:rPr>
          <w:b/>
          <w:sz w:val="24"/>
          <w:szCs w:val="24"/>
          <w:lang w:val="es-ES"/>
        </w:rPr>
      </w:pPr>
      <w:r w:rsidRPr="00DF5C51">
        <w:rPr>
          <w:b/>
          <w:sz w:val="24"/>
          <w:szCs w:val="24"/>
          <w:lang w:val="es-ES"/>
        </w:rPr>
        <w:t>References</w:t>
      </w:r>
    </w:p>
    <w:p w14:paraId="14430E73"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lastRenderedPageBreak/>
        <w:t xml:space="preserve">Afaneh, S., Rasmi Al-Mousa, M., Shrif Al-hamid, H., Suliman AL-Awasa, B., Alia, M., Almimi, H., &amp; A Alkhatib, A. (2023). </w:t>
      </w:r>
      <w:r w:rsidRPr="00471419">
        <w:rPr>
          <w:i/>
          <w:sz w:val="24"/>
          <w:szCs w:val="24"/>
        </w:rPr>
        <w:t>Security Challenges Review in Agile and DevOps Practices</w:t>
      </w:r>
      <w:r w:rsidRPr="00471419">
        <w:rPr>
          <w:sz w:val="24"/>
          <w:szCs w:val="24"/>
        </w:rPr>
        <w:t xml:space="preserve">. IEEE Xplore. </w:t>
      </w:r>
      <w:hyperlink r:id="rId17">
        <w:r w:rsidRPr="00471419">
          <w:rPr>
            <w:color w:val="1155CC"/>
            <w:sz w:val="24"/>
            <w:szCs w:val="24"/>
            <w:u w:val="single"/>
          </w:rPr>
          <w:t>https://doi.org/10.1109/ICIT58056.2023.10226018</w:t>
        </w:r>
      </w:hyperlink>
      <w:r w:rsidRPr="00471419">
        <w:rPr>
          <w:sz w:val="24"/>
          <w:szCs w:val="24"/>
        </w:rPr>
        <w:t xml:space="preserve"> </w:t>
      </w:r>
    </w:p>
    <w:p w14:paraId="6B8E0061"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Ajayi, A. J., Joseph, S. A., Metibemu, O. C., Olutimehin, A. T., Balogun, A. Y., &amp; Olaniyi, O. O. (2025). The Impact of Artificial Intelligence on Cyber Security in Digital Currency Transactions. </w:t>
      </w:r>
      <w:r w:rsidRPr="00471419">
        <w:rPr>
          <w:i/>
          <w:sz w:val="24"/>
          <w:szCs w:val="24"/>
        </w:rPr>
        <w:t>Archives of Current Research International</w:t>
      </w:r>
      <w:r w:rsidRPr="00471419">
        <w:rPr>
          <w:sz w:val="24"/>
          <w:szCs w:val="24"/>
        </w:rPr>
        <w:t xml:space="preserve">, </w:t>
      </w:r>
      <w:r w:rsidRPr="00471419">
        <w:rPr>
          <w:i/>
          <w:sz w:val="24"/>
          <w:szCs w:val="24"/>
        </w:rPr>
        <w:t>25</w:t>
      </w:r>
      <w:r w:rsidRPr="00471419">
        <w:rPr>
          <w:sz w:val="24"/>
          <w:szCs w:val="24"/>
        </w:rPr>
        <w:t xml:space="preserve">(2), 329–351. </w:t>
      </w:r>
      <w:hyperlink r:id="rId18">
        <w:r w:rsidRPr="00471419">
          <w:rPr>
            <w:color w:val="1155CC"/>
            <w:sz w:val="24"/>
            <w:szCs w:val="24"/>
            <w:u w:val="single"/>
          </w:rPr>
          <w:t>https://doi.org/10.9734/acri/2025/v25i21090</w:t>
        </w:r>
      </w:hyperlink>
      <w:r w:rsidRPr="00471419">
        <w:rPr>
          <w:sz w:val="24"/>
          <w:szCs w:val="24"/>
        </w:rPr>
        <w:t xml:space="preserve"> </w:t>
      </w:r>
    </w:p>
    <w:p w14:paraId="41B188B1"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Akshay. (2025). </w:t>
      </w:r>
      <w:r w:rsidRPr="00471419">
        <w:rPr>
          <w:i/>
          <w:sz w:val="24"/>
          <w:szCs w:val="24"/>
        </w:rPr>
        <w:t>ISO 27001 vs. 27002 explained by top Security Experts in 2025</w:t>
      </w:r>
      <w:r w:rsidRPr="00471419">
        <w:rPr>
          <w:sz w:val="24"/>
          <w:szCs w:val="24"/>
        </w:rPr>
        <w:t xml:space="preserve">. TrustCommunity. </w:t>
      </w:r>
      <w:hyperlink r:id="rId19">
        <w:r w:rsidRPr="00471419">
          <w:rPr>
            <w:color w:val="1155CC"/>
            <w:sz w:val="24"/>
            <w:szCs w:val="24"/>
            <w:u w:val="single"/>
          </w:rPr>
          <w:t>https://community.trustcloud.ai/article/iso-27001-vs-27002-explained-by-top-security-experts-in-2025/</w:t>
        </w:r>
      </w:hyperlink>
      <w:r w:rsidRPr="00471419">
        <w:rPr>
          <w:sz w:val="24"/>
          <w:szCs w:val="24"/>
        </w:rPr>
        <w:t xml:space="preserve"> </w:t>
      </w:r>
    </w:p>
    <w:p w14:paraId="52D5C717"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Al-Karaki, J. N., Gawanmeh, A., &amp; El-Yassami, S. (2020). </w:t>
      </w:r>
      <w:r w:rsidRPr="00471419">
        <w:rPr>
          <w:sz w:val="24"/>
          <w:szCs w:val="24"/>
        </w:rPr>
        <w:t xml:space="preserve">GoSafe: On the practical characterization of the overall security posture of an organization information system using smart auditing and ranking. </w:t>
      </w:r>
      <w:r w:rsidRPr="00471419">
        <w:rPr>
          <w:i/>
          <w:sz w:val="24"/>
          <w:szCs w:val="24"/>
        </w:rPr>
        <w:t>Journal of King Saud University - Computer and Information Sciences</w:t>
      </w:r>
      <w:r w:rsidRPr="00471419">
        <w:rPr>
          <w:sz w:val="24"/>
          <w:szCs w:val="24"/>
        </w:rPr>
        <w:t xml:space="preserve">, </w:t>
      </w:r>
      <w:r w:rsidRPr="00471419">
        <w:rPr>
          <w:i/>
          <w:sz w:val="24"/>
          <w:szCs w:val="24"/>
        </w:rPr>
        <w:t>34</w:t>
      </w:r>
      <w:r w:rsidRPr="00471419">
        <w:rPr>
          <w:sz w:val="24"/>
          <w:szCs w:val="24"/>
        </w:rPr>
        <w:t xml:space="preserve">(6). </w:t>
      </w:r>
      <w:hyperlink r:id="rId20">
        <w:r w:rsidRPr="00471419">
          <w:rPr>
            <w:color w:val="1155CC"/>
            <w:sz w:val="24"/>
            <w:szCs w:val="24"/>
            <w:u w:val="single"/>
          </w:rPr>
          <w:t>https://doi.org/10.1016/j.jksuci.2020.09.011</w:t>
        </w:r>
      </w:hyperlink>
      <w:r w:rsidRPr="00471419">
        <w:rPr>
          <w:sz w:val="24"/>
          <w:szCs w:val="24"/>
        </w:rPr>
        <w:t xml:space="preserve"> </w:t>
      </w:r>
    </w:p>
    <w:p w14:paraId="6E43A08F"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Alao, A. I., Adebiyi, O. O., &amp; Olaniyi, O. O. (2024). </w:t>
      </w:r>
      <w:r w:rsidRPr="00471419">
        <w:rPr>
          <w:sz w:val="24"/>
          <w:szCs w:val="24"/>
        </w:rPr>
        <w:t xml:space="preserve">The Interconnectedness of Earnings Management, Corporate Governance Failures, and Global Economic Stability: A Critical Examination of the Impact of Earnings Manipulation on Financial Crises and Investor Trust in Global Markets. </w:t>
      </w:r>
      <w:r w:rsidRPr="00471419">
        <w:rPr>
          <w:i/>
          <w:sz w:val="24"/>
          <w:szCs w:val="24"/>
        </w:rPr>
        <w:t>Asian Journal of Economics Business and Accounting</w:t>
      </w:r>
      <w:r w:rsidRPr="00471419">
        <w:rPr>
          <w:sz w:val="24"/>
          <w:szCs w:val="24"/>
        </w:rPr>
        <w:t xml:space="preserve">, </w:t>
      </w:r>
      <w:r w:rsidRPr="00471419">
        <w:rPr>
          <w:i/>
          <w:sz w:val="24"/>
          <w:szCs w:val="24"/>
        </w:rPr>
        <w:t>24</w:t>
      </w:r>
      <w:r w:rsidRPr="00471419">
        <w:rPr>
          <w:sz w:val="24"/>
          <w:szCs w:val="24"/>
        </w:rPr>
        <w:t xml:space="preserve">(11), 47–73. </w:t>
      </w:r>
      <w:hyperlink r:id="rId21">
        <w:r w:rsidRPr="00471419">
          <w:rPr>
            <w:color w:val="1155CC"/>
            <w:sz w:val="24"/>
            <w:szCs w:val="24"/>
            <w:u w:val="single"/>
          </w:rPr>
          <w:t>https://doi.org/10.9734/ajeba/2024/v24i111542</w:t>
        </w:r>
      </w:hyperlink>
      <w:r w:rsidRPr="00471419">
        <w:rPr>
          <w:sz w:val="24"/>
          <w:szCs w:val="24"/>
        </w:rPr>
        <w:t xml:space="preserve">  </w:t>
      </w:r>
    </w:p>
    <w:p w14:paraId="33737AA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AlDaajeh, S., &amp; Alrabaee, S. (2024). Strategic cybersecurity. </w:t>
      </w:r>
      <w:r w:rsidRPr="00471419">
        <w:rPr>
          <w:i/>
          <w:sz w:val="24"/>
          <w:szCs w:val="24"/>
        </w:rPr>
        <w:t>Computers &amp; Security</w:t>
      </w:r>
      <w:r w:rsidRPr="00471419">
        <w:rPr>
          <w:sz w:val="24"/>
          <w:szCs w:val="24"/>
        </w:rPr>
        <w:t xml:space="preserve">, </w:t>
      </w:r>
      <w:r w:rsidRPr="00471419">
        <w:rPr>
          <w:i/>
          <w:sz w:val="24"/>
          <w:szCs w:val="24"/>
        </w:rPr>
        <w:t>141</w:t>
      </w:r>
      <w:r w:rsidRPr="00471419">
        <w:rPr>
          <w:sz w:val="24"/>
          <w:szCs w:val="24"/>
        </w:rPr>
        <w:t xml:space="preserve">, 103845. </w:t>
      </w:r>
      <w:hyperlink r:id="rId22">
        <w:r w:rsidRPr="00471419">
          <w:rPr>
            <w:color w:val="1155CC"/>
            <w:sz w:val="24"/>
            <w:szCs w:val="24"/>
            <w:u w:val="single"/>
          </w:rPr>
          <w:t>https://doi.org/10.1016/j.cose.2024.103845</w:t>
        </w:r>
      </w:hyperlink>
      <w:r w:rsidRPr="00471419">
        <w:rPr>
          <w:sz w:val="24"/>
          <w:szCs w:val="24"/>
        </w:rPr>
        <w:t xml:space="preserve">  </w:t>
      </w:r>
    </w:p>
    <w:p w14:paraId="7035E189"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Ali, S. M., Razzaque, A., Yousaf, M., &amp; Shan, R. U. (2024). An Automated Compliance Framework for Critical Infrastructure Security through Artificial Intelligence. </w:t>
      </w:r>
      <w:r w:rsidRPr="00471419">
        <w:rPr>
          <w:i/>
          <w:sz w:val="24"/>
          <w:szCs w:val="24"/>
        </w:rPr>
        <w:t>IEEE Access</w:t>
      </w:r>
      <w:r w:rsidRPr="00471419">
        <w:rPr>
          <w:sz w:val="24"/>
          <w:szCs w:val="24"/>
        </w:rPr>
        <w:t xml:space="preserve">, </w:t>
      </w:r>
      <w:r w:rsidRPr="00471419">
        <w:rPr>
          <w:i/>
          <w:sz w:val="24"/>
          <w:szCs w:val="24"/>
        </w:rPr>
        <w:t>13</w:t>
      </w:r>
      <w:r w:rsidRPr="00471419">
        <w:rPr>
          <w:sz w:val="24"/>
          <w:szCs w:val="24"/>
        </w:rPr>
        <w:t xml:space="preserve">, 1–1. </w:t>
      </w:r>
      <w:hyperlink r:id="rId23">
        <w:r w:rsidRPr="00471419">
          <w:rPr>
            <w:color w:val="1155CC"/>
            <w:sz w:val="24"/>
            <w:szCs w:val="24"/>
            <w:u w:val="single"/>
          </w:rPr>
          <w:t>https://doi.org/10.1109/access.2024.3524496</w:t>
        </w:r>
      </w:hyperlink>
      <w:r w:rsidRPr="00471419">
        <w:rPr>
          <w:sz w:val="24"/>
          <w:szCs w:val="24"/>
        </w:rPr>
        <w:t xml:space="preserve"> </w:t>
      </w:r>
    </w:p>
    <w:p w14:paraId="5E1A48CB"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Alshar’e, M. (2023). CYBER SECURITY FRAMEWORK SELECTION: COMPARISION OF NIST AND ISO27001. </w:t>
      </w:r>
      <w:r w:rsidRPr="00471419">
        <w:rPr>
          <w:i/>
          <w:sz w:val="24"/>
          <w:szCs w:val="24"/>
        </w:rPr>
        <w:t>Applied Computing Journal</w:t>
      </w:r>
      <w:r w:rsidRPr="00471419">
        <w:rPr>
          <w:sz w:val="24"/>
          <w:szCs w:val="24"/>
        </w:rPr>
        <w:t xml:space="preserve">, </w:t>
      </w:r>
      <w:r w:rsidRPr="00471419">
        <w:rPr>
          <w:i/>
          <w:sz w:val="24"/>
          <w:szCs w:val="24"/>
        </w:rPr>
        <w:t>3</w:t>
      </w:r>
      <w:r w:rsidRPr="00471419">
        <w:rPr>
          <w:sz w:val="24"/>
          <w:szCs w:val="24"/>
        </w:rPr>
        <w:t xml:space="preserve">(1), 245–255. </w:t>
      </w:r>
      <w:hyperlink r:id="rId24">
        <w:r w:rsidRPr="00471419">
          <w:rPr>
            <w:color w:val="1155CC"/>
            <w:sz w:val="24"/>
            <w:szCs w:val="24"/>
            <w:u w:val="single"/>
          </w:rPr>
          <w:t>https://doi.org/10.52098/acj.202364</w:t>
        </w:r>
      </w:hyperlink>
      <w:r w:rsidRPr="00471419">
        <w:rPr>
          <w:sz w:val="24"/>
          <w:szCs w:val="24"/>
        </w:rPr>
        <w:t xml:space="preserve"> </w:t>
      </w:r>
    </w:p>
    <w:p w14:paraId="31676FAF"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Armenia, S., Angelini, M., Nonino, F., Palombi, G., &amp; Schlitzer, M. F. (2021). A dynamic simulation approach to support the evaluation of cyber risks and security investments in SMEs. </w:t>
      </w:r>
      <w:r w:rsidRPr="00471419">
        <w:rPr>
          <w:i/>
          <w:sz w:val="24"/>
          <w:szCs w:val="24"/>
        </w:rPr>
        <w:t>Decision Support Systems</w:t>
      </w:r>
      <w:r w:rsidRPr="00471419">
        <w:rPr>
          <w:sz w:val="24"/>
          <w:szCs w:val="24"/>
        </w:rPr>
        <w:t xml:space="preserve">, </w:t>
      </w:r>
      <w:r w:rsidRPr="00471419">
        <w:rPr>
          <w:i/>
          <w:sz w:val="24"/>
          <w:szCs w:val="24"/>
        </w:rPr>
        <w:t>147</w:t>
      </w:r>
      <w:r w:rsidRPr="00471419">
        <w:rPr>
          <w:sz w:val="24"/>
          <w:szCs w:val="24"/>
        </w:rPr>
        <w:t xml:space="preserve">, 113580. </w:t>
      </w:r>
      <w:hyperlink r:id="rId25">
        <w:r w:rsidRPr="00471419">
          <w:rPr>
            <w:color w:val="1155CC"/>
            <w:sz w:val="24"/>
            <w:szCs w:val="24"/>
            <w:u w:val="single"/>
          </w:rPr>
          <w:t>https://doi.org/10.1016/j.dss.2021.113580</w:t>
        </w:r>
      </w:hyperlink>
      <w:r w:rsidRPr="00471419">
        <w:rPr>
          <w:sz w:val="24"/>
          <w:szCs w:val="24"/>
        </w:rPr>
        <w:t xml:space="preserve"> </w:t>
      </w:r>
    </w:p>
    <w:p w14:paraId="6834618A"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ARSOC. (2021). </w:t>
      </w:r>
      <w:r w:rsidRPr="00471419">
        <w:rPr>
          <w:i/>
          <w:sz w:val="24"/>
          <w:szCs w:val="24"/>
        </w:rPr>
        <w:t>SAN ANTONIO’S NEW CYBER OPS HUB SETS NATIONAL STANDARD FOR COMMUNITY-BASED RESILIENCY</w:t>
      </w:r>
      <w:r w:rsidRPr="00471419">
        <w:rPr>
          <w:sz w:val="24"/>
          <w:szCs w:val="24"/>
        </w:rPr>
        <w:t xml:space="preserve">. Portsanantonio.us. </w:t>
      </w:r>
      <w:hyperlink r:id="rId26">
        <w:r w:rsidRPr="00471419">
          <w:rPr>
            <w:color w:val="1155CC"/>
            <w:sz w:val="24"/>
            <w:szCs w:val="24"/>
            <w:u w:val="single"/>
          </w:rPr>
          <w:t>https://www.portsanantonio.us/ARSOC</w:t>
        </w:r>
      </w:hyperlink>
      <w:r w:rsidRPr="00471419">
        <w:rPr>
          <w:sz w:val="24"/>
          <w:szCs w:val="24"/>
        </w:rPr>
        <w:t xml:space="preserve"> </w:t>
      </w:r>
    </w:p>
    <w:p w14:paraId="3C8EEA96"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Australian Signals Directorate. (2024). </w:t>
      </w:r>
      <w:r w:rsidRPr="00471419">
        <w:rPr>
          <w:i/>
          <w:sz w:val="24"/>
          <w:szCs w:val="24"/>
        </w:rPr>
        <w:t>Australian Signals Directorate releases the annual Cyber Threat Report for 2023–24 | Australian Signals Directorate</w:t>
      </w:r>
      <w:r w:rsidRPr="00471419">
        <w:rPr>
          <w:sz w:val="24"/>
          <w:szCs w:val="24"/>
        </w:rPr>
        <w:t xml:space="preserve">. Asd.gov.au. </w:t>
      </w:r>
      <w:hyperlink r:id="rId27">
        <w:r w:rsidRPr="00471419">
          <w:rPr>
            <w:color w:val="1155CC"/>
            <w:sz w:val="24"/>
            <w:szCs w:val="24"/>
            <w:u w:val="single"/>
          </w:rPr>
          <w:t>https://www.asd.gov.au/news-events-speeches/news/2024-11-20-australian-signals-directorate-releases-annual-cyber-threat-report-2023-24</w:t>
        </w:r>
      </w:hyperlink>
      <w:r w:rsidRPr="00471419">
        <w:rPr>
          <w:sz w:val="24"/>
          <w:szCs w:val="24"/>
        </w:rPr>
        <w:t xml:space="preserve"> </w:t>
      </w:r>
    </w:p>
    <w:p w14:paraId="51CA5535"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Aven, T., &amp; Zio, E. (2021). Globalization and global risk: How risk analysis needs to be enhanced to be effective in confronting current threats. </w:t>
      </w:r>
      <w:r w:rsidRPr="00471419">
        <w:rPr>
          <w:i/>
          <w:sz w:val="24"/>
          <w:szCs w:val="24"/>
        </w:rPr>
        <w:t>Reliability Engineering &amp; System Safety</w:t>
      </w:r>
      <w:r w:rsidRPr="00471419">
        <w:rPr>
          <w:sz w:val="24"/>
          <w:szCs w:val="24"/>
        </w:rPr>
        <w:t xml:space="preserve">, </w:t>
      </w:r>
      <w:r w:rsidRPr="00471419">
        <w:rPr>
          <w:i/>
          <w:sz w:val="24"/>
          <w:szCs w:val="24"/>
        </w:rPr>
        <w:t>205</w:t>
      </w:r>
      <w:r w:rsidRPr="00471419">
        <w:rPr>
          <w:sz w:val="24"/>
          <w:szCs w:val="24"/>
        </w:rPr>
        <w:t xml:space="preserve">, 107270. </w:t>
      </w:r>
      <w:hyperlink r:id="rId28">
        <w:r w:rsidRPr="00471419">
          <w:rPr>
            <w:color w:val="1155CC"/>
            <w:sz w:val="24"/>
            <w:szCs w:val="24"/>
            <w:u w:val="single"/>
          </w:rPr>
          <w:t>https://doi.org/10.1016/j.ress.2020.107270</w:t>
        </w:r>
      </w:hyperlink>
      <w:r w:rsidRPr="00471419">
        <w:rPr>
          <w:sz w:val="24"/>
          <w:szCs w:val="24"/>
        </w:rPr>
        <w:t xml:space="preserve"> </w:t>
      </w:r>
    </w:p>
    <w:p w14:paraId="5A33AE7D"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Balogun, A. Y. (2025). Strengthening Compliance with Data Privacy Regulations in U.S. Healthcare Cybersecurity.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(1), 154–173. </w:t>
      </w:r>
      <w:hyperlink r:id="rId29">
        <w:r w:rsidRPr="00471419">
          <w:rPr>
            <w:color w:val="1155CC"/>
            <w:sz w:val="24"/>
            <w:szCs w:val="24"/>
            <w:u w:val="single"/>
          </w:rPr>
          <w:t>https://doi.org/10.9734/ajrcos/2025/v18i1555</w:t>
        </w:r>
      </w:hyperlink>
      <w:r w:rsidRPr="00471419">
        <w:rPr>
          <w:sz w:val="24"/>
          <w:szCs w:val="24"/>
        </w:rPr>
        <w:t xml:space="preserve"> </w:t>
      </w:r>
    </w:p>
    <w:p w14:paraId="0BB9E241"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Balogun, A. Y., Metibemu, O. C., Olutimehin, A. T., Ajayi, A. J., Babarinde, D. C., &amp; Olaniyi, O. O. (2025). The Ethical and Legal Implications of Shadow AI in Sensitive Industries: A Focus on Healthcare, Finance and Education. </w:t>
      </w:r>
      <w:r w:rsidRPr="00471419">
        <w:rPr>
          <w:i/>
          <w:sz w:val="24"/>
          <w:szCs w:val="24"/>
        </w:rPr>
        <w:t>Journal of Engineering Research and Reports</w:t>
      </w:r>
      <w:r w:rsidRPr="00471419">
        <w:rPr>
          <w:sz w:val="24"/>
          <w:szCs w:val="24"/>
        </w:rPr>
        <w:t xml:space="preserve">, </w:t>
      </w:r>
      <w:r w:rsidRPr="00471419">
        <w:rPr>
          <w:i/>
          <w:sz w:val="24"/>
          <w:szCs w:val="24"/>
        </w:rPr>
        <w:t>27</w:t>
      </w:r>
      <w:r w:rsidRPr="00471419">
        <w:rPr>
          <w:sz w:val="24"/>
          <w:szCs w:val="24"/>
        </w:rPr>
        <w:t xml:space="preserve">(3), 1–22. </w:t>
      </w:r>
      <w:hyperlink r:id="rId30">
        <w:r w:rsidRPr="00471419">
          <w:rPr>
            <w:color w:val="1155CC"/>
            <w:sz w:val="24"/>
            <w:szCs w:val="24"/>
            <w:u w:val="single"/>
          </w:rPr>
          <w:t>https://doi.org/10.9734/jerr/2025/v27i31414</w:t>
        </w:r>
      </w:hyperlink>
      <w:r w:rsidRPr="00471419">
        <w:rPr>
          <w:sz w:val="24"/>
          <w:szCs w:val="24"/>
        </w:rPr>
        <w:t xml:space="preserve"> </w:t>
      </w:r>
    </w:p>
    <w:p w14:paraId="7529A037"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Balogun, A. Y., Olaniyi, O. O., Olisa, A. O., Gbadebo, M. O., &amp; Chinye, N. C. (2025). </w:t>
      </w:r>
      <w:r w:rsidRPr="00471419">
        <w:rPr>
          <w:sz w:val="24"/>
          <w:szCs w:val="24"/>
        </w:rPr>
        <w:t xml:space="preserve">Enhancing Incident Response Strategies in U.S. Healthcare Cybersecurity. </w:t>
      </w:r>
      <w:r w:rsidRPr="00471419">
        <w:rPr>
          <w:i/>
          <w:sz w:val="24"/>
          <w:szCs w:val="24"/>
        </w:rPr>
        <w:lastRenderedPageBreak/>
        <w:t>Journal of Engineering Research and Reports</w:t>
      </w:r>
      <w:r w:rsidRPr="00471419">
        <w:rPr>
          <w:sz w:val="24"/>
          <w:szCs w:val="24"/>
        </w:rPr>
        <w:t xml:space="preserve">, </w:t>
      </w:r>
      <w:r w:rsidRPr="00471419">
        <w:rPr>
          <w:i/>
          <w:sz w:val="24"/>
          <w:szCs w:val="24"/>
        </w:rPr>
        <w:t>27</w:t>
      </w:r>
      <w:r w:rsidRPr="00471419">
        <w:rPr>
          <w:sz w:val="24"/>
          <w:szCs w:val="24"/>
        </w:rPr>
        <w:t xml:space="preserve">(2), 114–135. </w:t>
      </w:r>
      <w:hyperlink r:id="rId31">
        <w:r w:rsidRPr="00471419">
          <w:rPr>
            <w:color w:val="1155CC"/>
            <w:sz w:val="24"/>
            <w:szCs w:val="24"/>
            <w:u w:val="single"/>
          </w:rPr>
          <w:t>https://doi.org/10.9734/jerr/2025/v27i21399</w:t>
        </w:r>
      </w:hyperlink>
      <w:r w:rsidRPr="00471419">
        <w:rPr>
          <w:sz w:val="24"/>
          <w:szCs w:val="24"/>
        </w:rPr>
        <w:t xml:space="preserve"> </w:t>
      </w:r>
    </w:p>
    <w:p w14:paraId="58F45E8E"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British Library. (2024). </w:t>
      </w:r>
      <w:r w:rsidRPr="00471419">
        <w:rPr>
          <w:i/>
          <w:sz w:val="24"/>
          <w:szCs w:val="24"/>
        </w:rPr>
        <w:t>LEARNING LESSONS FROM THE CYBER-ATTACK British Library cyber incident review 8 MARCH 2024 CONTENTS</w:t>
      </w:r>
      <w:r w:rsidRPr="00471419">
        <w:rPr>
          <w:sz w:val="24"/>
          <w:szCs w:val="24"/>
        </w:rPr>
        <w:t xml:space="preserve">. </w:t>
      </w:r>
      <w:hyperlink r:id="rId32">
        <w:r w:rsidRPr="00471419">
          <w:rPr>
            <w:color w:val="1155CC"/>
            <w:sz w:val="24"/>
            <w:szCs w:val="24"/>
            <w:u w:val="single"/>
          </w:rPr>
          <w:t>https://www.bl.uk/home/british-library-cyber-incident-review-8-march-2024.pdf/</w:t>
        </w:r>
      </w:hyperlink>
      <w:r w:rsidRPr="00471419">
        <w:rPr>
          <w:sz w:val="24"/>
          <w:szCs w:val="24"/>
        </w:rPr>
        <w:t xml:space="preserve"> </w:t>
      </w:r>
    </w:p>
    <w:p w14:paraId="31DC621A"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Courty, A., &amp; Atkin, M. (2024). Cyber security chief says MediSecure data breach is “isolated” but warns health data key target for cybercrime. </w:t>
      </w:r>
      <w:r w:rsidRPr="00471419">
        <w:rPr>
          <w:i/>
          <w:sz w:val="24"/>
          <w:szCs w:val="24"/>
        </w:rPr>
        <w:t>ABC News</w:t>
      </w:r>
      <w:r w:rsidRPr="00471419">
        <w:rPr>
          <w:sz w:val="24"/>
          <w:szCs w:val="24"/>
        </w:rPr>
        <w:t xml:space="preserve">. </w:t>
      </w:r>
      <w:hyperlink r:id="rId33">
        <w:r w:rsidRPr="00471419">
          <w:rPr>
            <w:color w:val="1155CC"/>
            <w:sz w:val="24"/>
            <w:szCs w:val="24"/>
            <w:u w:val="single"/>
          </w:rPr>
          <w:t>https://www.abc.net.au/news/2024-05-17/cyber-security-chief-says-medisecure-data-breach-isolated-attack/103860120</w:t>
        </w:r>
      </w:hyperlink>
      <w:r w:rsidRPr="00471419">
        <w:rPr>
          <w:sz w:val="24"/>
          <w:szCs w:val="24"/>
        </w:rPr>
        <w:t xml:space="preserve"> </w:t>
      </w:r>
    </w:p>
    <w:p w14:paraId="6EAC443A"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Delima, M. (2024). </w:t>
      </w:r>
      <w:r w:rsidRPr="00471419">
        <w:rPr>
          <w:i/>
          <w:sz w:val="24"/>
          <w:szCs w:val="24"/>
        </w:rPr>
        <w:t>2024 Thales Global Data Threat Report: Trends in Financial Services</w:t>
      </w:r>
      <w:r w:rsidRPr="00471419">
        <w:rPr>
          <w:sz w:val="24"/>
          <w:szCs w:val="24"/>
        </w:rPr>
        <w:t xml:space="preserve">. Thalesgroup.com; Thales Group. </w:t>
      </w:r>
      <w:hyperlink r:id="rId34">
        <w:r w:rsidRPr="00471419">
          <w:rPr>
            <w:color w:val="1155CC"/>
            <w:sz w:val="24"/>
            <w:szCs w:val="24"/>
            <w:u w:val="single"/>
          </w:rPr>
          <w:t>https://cpl.thalesgroup.com/blog/data-security/2024-data-threat-report-financial-services</w:t>
        </w:r>
      </w:hyperlink>
      <w:r w:rsidRPr="00471419">
        <w:rPr>
          <w:sz w:val="24"/>
          <w:szCs w:val="24"/>
        </w:rPr>
        <w:t xml:space="preserve"> </w:t>
      </w:r>
    </w:p>
    <w:p w14:paraId="61C25B88"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Easterly, J., &amp; Fanning, T. (2023). </w:t>
      </w:r>
      <w:r w:rsidRPr="00471419">
        <w:rPr>
          <w:i/>
          <w:sz w:val="24"/>
          <w:szCs w:val="24"/>
        </w:rPr>
        <w:t>The attack on colonial pipeline: What we’ve learned &amp; what we’ve done over the past two years</w:t>
      </w:r>
      <w:r w:rsidRPr="00471419">
        <w:rPr>
          <w:sz w:val="24"/>
          <w:szCs w:val="24"/>
        </w:rPr>
        <w:t xml:space="preserve">. Cybersecurity and Infrastructure Security Agency. </w:t>
      </w:r>
      <w:hyperlink r:id="rId35">
        <w:r w:rsidRPr="00471419">
          <w:rPr>
            <w:color w:val="1155CC"/>
            <w:sz w:val="24"/>
            <w:szCs w:val="24"/>
            <w:u w:val="single"/>
          </w:rPr>
          <w:t>https://www.cisa.gov/news-events/news/attack-colonial-pipeline-what-weve-learned-what-weve-done-over-past-two-years</w:t>
        </w:r>
      </w:hyperlink>
      <w:r w:rsidRPr="00471419">
        <w:rPr>
          <w:sz w:val="24"/>
          <w:szCs w:val="24"/>
        </w:rPr>
        <w:t xml:space="preserve"> </w:t>
      </w:r>
    </w:p>
    <w:p w14:paraId="783E50F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Edwards, D. J. (2024). Vulnerability Assessment and Penetration Testing. </w:t>
      </w:r>
      <w:r w:rsidRPr="00471419">
        <w:rPr>
          <w:i/>
          <w:sz w:val="24"/>
          <w:szCs w:val="24"/>
        </w:rPr>
        <w:t>Apress EBooks</w:t>
      </w:r>
      <w:r w:rsidRPr="00471419">
        <w:rPr>
          <w:sz w:val="24"/>
          <w:szCs w:val="24"/>
        </w:rPr>
        <w:t xml:space="preserve">, 371–412. </w:t>
      </w:r>
      <w:hyperlink r:id="rId36">
        <w:r w:rsidRPr="00471419">
          <w:rPr>
            <w:color w:val="1155CC"/>
            <w:sz w:val="24"/>
            <w:szCs w:val="24"/>
            <w:u w:val="single"/>
          </w:rPr>
          <w:t>https://doi.org/10.1007/979-8-8688-0297-3_11</w:t>
        </w:r>
      </w:hyperlink>
      <w:r w:rsidRPr="00471419">
        <w:rPr>
          <w:sz w:val="24"/>
          <w:szCs w:val="24"/>
        </w:rPr>
        <w:t xml:space="preserve"> </w:t>
      </w:r>
    </w:p>
    <w:p w14:paraId="09B5D8EC" w14:textId="77777777" w:rsidR="008507DD" w:rsidRPr="00DF5C51" w:rsidRDefault="003A4165" w:rsidP="00471419">
      <w:pPr>
        <w:spacing w:after="240" w:line="360" w:lineRule="auto"/>
        <w:ind w:left="720" w:hanging="720"/>
        <w:jc w:val="both"/>
        <w:rPr>
          <w:sz w:val="24"/>
          <w:szCs w:val="24"/>
          <w:lang w:val="fr-FR"/>
        </w:rPr>
      </w:pPr>
      <w:r w:rsidRPr="00471419">
        <w:rPr>
          <w:sz w:val="24"/>
          <w:szCs w:val="24"/>
        </w:rPr>
        <w:t xml:space="preserve">ENISA . (2024). </w:t>
      </w:r>
      <w:r w:rsidRPr="00471419">
        <w:rPr>
          <w:i/>
          <w:sz w:val="24"/>
          <w:szCs w:val="24"/>
        </w:rPr>
        <w:t>EU’s first ever report on the state of cybersecurity in the Union | ENISA</w:t>
      </w:r>
      <w:r w:rsidRPr="00471419">
        <w:rPr>
          <w:sz w:val="24"/>
          <w:szCs w:val="24"/>
        </w:rPr>
        <w:t xml:space="preserve">. </w:t>
      </w:r>
      <w:r w:rsidRPr="00DF5C51">
        <w:rPr>
          <w:sz w:val="24"/>
          <w:szCs w:val="24"/>
          <w:lang w:val="fr-FR"/>
        </w:rPr>
        <w:t xml:space="preserve">Europa.eu. </w:t>
      </w:r>
      <w:hyperlink r:id="rId37">
        <w:r w:rsidRPr="00DF5C51">
          <w:rPr>
            <w:color w:val="1155CC"/>
            <w:sz w:val="24"/>
            <w:szCs w:val="24"/>
            <w:u w:val="single"/>
            <w:lang w:val="fr-FR"/>
          </w:rPr>
          <w:t>https://www.enisa.europa.eu/news/eus-first-ever-report-on-the-state-of-cybersecurity-in-the-union</w:t>
        </w:r>
      </w:hyperlink>
      <w:r w:rsidRPr="00DF5C51">
        <w:rPr>
          <w:sz w:val="24"/>
          <w:szCs w:val="24"/>
          <w:lang w:val="fr-FR"/>
        </w:rPr>
        <w:t xml:space="preserve"> </w:t>
      </w:r>
    </w:p>
    <w:p w14:paraId="204F9580" w14:textId="77777777" w:rsidR="008507DD" w:rsidRPr="00DF5C51" w:rsidRDefault="003A4165" w:rsidP="00471419">
      <w:pPr>
        <w:spacing w:after="240" w:line="360" w:lineRule="auto"/>
        <w:ind w:left="720" w:hanging="720"/>
        <w:jc w:val="both"/>
        <w:rPr>
          <w:sz w:val="24"/>
          <w:szCs w:val="24"/>
          <w:lang w:val="es-ES"/>
        </w:rPr>
      </w:pPr>
      <w:r w:rsidRPr="00DF5C51">
        <w:rPr>
          <w:sz w:val="24"/>
          <w:szCs w:val="24"/>
          <w:lang w:val="fr-FR"/>
        </w:rPr>
        <w:t xml:space="preserve">European Commission. </w:t>
      </w:r>
      <w:r w:rsidRPr="00471419">
        <w:rPr>
          <w:sz w:val="24"/>
          <w:szCs w:val="24"/>
        </w:rPr>
        <w:t xml:space="preserve">(2024). </w:t>
      </w:r>
      <w:r w:rsidRPr="00471419">
        <w:rPr>
          <w:i/>
          <w:sz w:val="24"/>
          <w:szCs w:val="24"/>
        </w:rPr>
        <w:t>New network code on cybersecurity for EU electricity sector - European Commission</w:t>
      </w:r>
      <w:r w:rsidRPr="00471419">
        <w:rPr>
          <w:sz w:val="24"/>
          <w:szCs w:val="24"/>
        </w:rPr>
        <w:t xml:space="preserve">. </w:t>
      </w:r>
      <w:r w:rsidRPr="00DF5C51">
        <w:rPr>
          <w:sz w:val="24"/>
          <w:szCs w:val="24"/>
          <w:lang w:val="es-ES"/>
        </w:rPr>
        <w:t xml:space="preserve">Energy.ec.europa.eu. </w:t>
      </w:r>
      <w:hyperlink r:id="rId38">
        <w:r w:rsidRPr="00DF5C51">
          <w:rPr>
            <w:color w:val="1155CC"/>
            <w:sz w:val="24"/>
            <w:szCs w:val="24"/>
            <w:u w:val="single"/>
            <w:lang w:val="es-ES"/>
          </w:rPr>
          <w:t>https://energy.ec.europa.eu/news/new-network-code-cybersecurity-eu-electricity-sector-2024-03-11_en</w:t>
        </w:r>
      </w:hyperlink>
      <w:r w:rsidRPr="00DF5C51">
        <w:rPr>
          <w:sz w:val="24"/>
          <w:szCs w:val="24"/>
          <w:lang w:val="es-ES"/>
        </w:rPr>
        <w:t xml:space="preserve"> </w:t>
      </w:r>
    </w:p>
    <w:p w14:paraId="28271915"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Eyers, J. (2024). </w:t>
      </w:r>
      <w:r w:rsidRPr="00471419">
        <w:rPr>
          <w:i/>
          <w:sz w:val="24"/>
          <w:szCs w:val="24"/>
        </w:rPr>
        <w:t>RBA issues scathing assessment of ASX’s derivates platform upgrade</w:t>
      </w:r>
      <w:r w:rsidRPr="00471419">
        <w:rPr>
          <w:sz w:val="24"/>
          <w:szCs w:val="24"/>
        </w:rPr>
        <w:t xml:space="preserve">. Australian Financial Review. </w:t>
      </w:r>
      <w:hyperlink r:id="rId39">
        <w:r w:rsidRPr="00471419">
          <w:rPr>
            <w:color w:val="1155CC"/>
            <w:sz w:val="24"/>
            <w:szCs w:val="24"/>
            <w:u w:val="single"/>
          </w:rPr>
          <w:t>https://www.afr.com/companies/financial-</w:t>
        </w:r>
        <w:r w:rsidRPr="00471419">
          <w:rPr>
            <w:color w:val="1155CC"/>
            <w:sz w:val="24"/>
            <w:szCs w:val="24"/>
            <w:u w:val="single"/>
          </w:rPr>
          <w:lastRenderedPageBreak/>
          <w:t>services/rba-issues-scathing-assessment-of-asx-s-derivatives-platform-upgrade-20240925-p5kddv</w:t>
        </w:r>
      </w:hyperlink>
      <w:r w:rsidRPr="00471419">
        <w:rPr>
          <w:sz w:val="24"/>
          <w:szCs w:val="24"/>
        </w:rPr>
        <w:t xml:space="preserve"> </w:t>
      </w:r>
    </w:p>
    <w:p w14:paraId="7EF9FC56"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Gbadebo, M. O., Salako, A. O., Selesi-Aina, O., Ogungbemi, O. S., Olateju, O. O., &amp; Olaniyi, O. O. (2024). </w:t>
      </w:r>
      <w:r w:rsidRPr="00471419">
        <w:rPr>
          <w:sz w:val="24"/>
          <w:szCs w:val="24"/>
        </w:rPr>
        <w:t xml:space="preserve">Augmenting Data Privacy Protocols and Enacting Regulatory Frameworks for Cryptocurrencies via Advanced Blockchain Methodologies and Artificial Intelligence. </w:t>
      </w:r>
      <w:r w:rsidRPr="00471419">
        <w:rPr>
          <w:i/>
          <w:sz w:val="24"/>
          <w:szCs w:val="24"/>
        </w:rPr>
        <w:t>Journal of Engineering Research and Reports</w:t>
      </w:r>
      <w:r w:rsidRPr="00471419">
        <w:rPr>
          <w:sz w:val="24"/>
          <w:szCs w:val="24"/>
        </w:rPr>
        <w:t xml:space="preserve">, </w:t>
      </w:r>
      <w:r w:rsidRPr="00471419">
        <w:rPr>
          <w:i/>
          <w:sz w:val="24"/>
          <w:szCs w:val="24"/>
        </w:rPr>
        <w:t>26</w:t>
      </w:r>
      <w:r w:rsidRPr="00471419">
        <w:rPr>
          <w:sz w:val="24"/>
          <w:szCs w:val="24"/>
        </w:rPr>
        <w:t xml:space="preserve">(11), 7–27. </w:t>
      </w:r>
      <w:hyperlink r:id="rId40">
        <w:r w:rsidRPr="00471419">
          <w:rPr>
            <w:color w:val="1155CC"/>
            <w:sz w:val="24"/>
            <w:szCs w:val="24"/>
            <w:u w:val="single"/>
          </w:rPr>
          <w:t>https://doi.org/10.9734/jerr/2024/v26i111311</w:t>
        </w:r>
      </w:hyperlink>
      <w:r w:rsidRPr="00471419">
        <w:rPr>
          <w:sz w:val="24"/>
          <w:szCs w:val="24"/>
        </w:rPr>
        <w:t xml:space="preserve"> </w:t>
      </w:r>
    </w:p>
    <w:p w14:paraId="57527AE8"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Hansen, S. T., &amp; Antonsen, S. (2024). Taking connectedness seriously. A research agenda for holistic safety and security risk governance. </w:t>
      </w:r>
      <w:r w:rsidRPr="00471419">
        <w:rPr>
          <w:i/>
          <w:sz w:val="24"/>
          <w:szCs w:val="24"/>
        </w:rPr>
        <w:t>Safety Science</w:t>
      </w:r>
      <w:r w:rsidRPr="00471419">
        <w:rPr>
          <w:sz w:val="24"/>
          <w:szCs w:val="24"/>
        </w:rPr>
        <w:t xml:space="preserve">, </w:t>
      </w:r>
      <w:r w:rsidRPr="00471419">
        <w:rPr>
          <w:i/>
          <w:sz w:val="24"/>
          <w:szCs w:val="24"/>
        </w:rPr>
        <w:t>173</w:t>
      </w:r>
      <w:r w:rsidRPr="00471419">
        <w:rPr>
          <w:sz w:val="24"/>
          <w:szCs w:val="24"/>
        </w:rPr>
        <w:t xml:space="preserve">, 106436–106436. </w:t>
      </w:r>
      <w:hyperlink r:id="rId41">
        <w:r w:rsidRPr="00471419">
          <w:rPr>
            <w:color w:val="1155CC"/>
            <w:sz w:val="24"/>
            <w:szCs w:val="24"/>
            <w:u w:val="single"/>
          </w:rPr>
          <w:t>https://doi.org/10.1016/j.ssci.2024.106436</w:t>
        </w:r>
      </w:hyperlink>
      <w:r w:rsidRPr="00471419">
        <w:rPr>
          <w:sz w:val="24"/>
          <w:szCs w:val="24"/>
        </w:rPr>
        <w:t xml:space="preserve"> </w:t>
      </w:r>
    </w:p>
    <w:p w14:paraId="1242064D" w14:textId="77777777" w:rsidR="008507DD" w:rsidRPr="00DF5C51" w:rsidRDefault="003A4165" w:rsidP="00471419">
      <w:pPr>
        <w:spacing w:after="240" w:line="360" w:lineRule="auto"/>
        <w:ind w:left="720" w:hanging="720"/>
        <w:jc w:val="both"/>
        <w:rPr>
          <w:sz w:val="24"/>
          <w:szCs w:val="24"/>
          <w:lang w:val="fr-FR"/>
        </w:rPr>
      </w:pPr>
      <w:r w:rsidRPr="00471419">
        <w:rPr>
          <w:sz w:val="24"/>
          <w:szCs w:val="24"/>
        </w:rPr>
        <w:t xml:space="preserve">Ibrahim, Y. A., Ishaya, A. O., Yusuf, M., Nancy, I., Bijik, H. A., &amp; Aiyedogbon, S. F. (2024). Cybersecurity and Cybercrimes in Nigeria: An Overview of Challenges and Prospects. </w:t>
      </w:r>
      <w:r w:rsidRPr="00471419">
        <w:rPr>
          <w:i/>
          <w:sz w:val="24"/>
          <w:szCs w:val="24"/>
        </w:rPr>
        <w:t>2024 International Conference on Science, Engineering and Business for Driving Sustainable Development Goals (SEB4SDG), Omu-Aran, Nigeria,</w:t>
      </w:r>
      <w:r w:rsidRPr="00471419">
        <w:rPr>
          <w:sz w:val="24"/>
          <w:szCs w:val="24"/>
        </w:rPr>
        <w:t xml:space="preserve"> 1–7. </w:t>
      </w:r>
      <w:hyperlink r:id="rId42">
        <w:r w:rsidRPr="00DF5C51">
          <w:rPr>
            <w:color w:val="1155CC"/>
            <w:sz w:val="24"/>
            <w:szCs w:val="24"/>
            <w:u w:val="single"/>
            <w:lang w:val="fr-FR"/>
          </w:rPr>
          <w:t>https://doi.org/10.1109/seb4sdg60871.2024.10630301</w:t>
        </w:r>
      </w:hyperlink>
      <w:r w:rsidRPr="00DF5C51">
        <w:rPr>
          <w:sz w:val="24"/>
          <w:szCs w:val="24"/>
          <w:lang w:val="fr-FR"/>
        </w:rPr>
        <w:t xml:space="preserve"> </w:t>
      </w:r>
    </w:p>
    <w:p w14:paraId="09F880A8" w14:textId="77777777" w:rsidR="008507DD" w:rsidRPr="00471419" w:rsidRDefault="003A4165" w:rsidP="00471419">
      <w:pPr>
        <w:spacing w:after="240" w:line="360" w:lineRule="auto"/>
        <w:ind w:left="720" w:hanging="720"/>
        <w:jc w:val="both"/>
        <w:rPr>
          <w:sz w:val="24"/>
          <w:szCs w:val="24"/>
        </w:rPr>
      </w:pPr>
      <w:r w:rsidRPr="00DF5C51">
        <w:rPr>
          <w:sz w:val="24"/>
          <w:szCs w:val="24"/>
          <w:lang w:val="fr-FR"/>
        </w:rPr>
        <w:t xml:space="preserve">Ilori, O., Nwosu, N. T., &amp; Naiho, H. N. N. (2024). </w:t>
      </w:r>
      <w:r w:rsidRPr="00471419">
        <w:rPr>
          <w:sz w:val="24"/>
          <w:szCs w:val="24"/>
        </w:rPr>
        <w:t xml:space="preserve">Third-party vendor risks in IT security: A comprehensive audit review and mitigation strategies. </w:t>
      </w:r>
      <w:r w:rsidRPr="00471419">
        <w:rPr>
          <w:i/>
          <w:sz w:val="24"/>
          <w:szCs w:val="24"/>
        </w:rPr>
        <w:t>World Journal of Advanced Research and Reviews</w:t>
      </w:r>
      <w:r w:rsidRPr="00471419">
        <w:rPr>
          <w:sz w:val="24"/>
          <w:szCs w:val="24"/>
        </w:rPr>
        <w:t xml:space="preserve">, </w:t>
      </w:r>
      <w:r w:rsidRPr="00471419">
        <w:rPr>
          <w:i/>
          <w:sz w:val="24"/>
          <w:szCs w:val="24"/>
        </w:rPr>
        <w:t>22</w:t>
      </w:r>
      <w:r w:rsidRPr="00471419">
        <w:rPr>
          <w:sz w:val="24"/>
          <w:szCs w:val="24"/>
        </w:rPr>
        <w:t xml:space="preserve">(3), 213–224. </w:t>
      </w:r>
      <w:hyperlink r:id="rId43">
        <w:r w:rsidRPr="00471419">
          <w:rPr>
            <w:color w:val="1155CC"/>
            <w:sz w:val="24"/>
            <w:szCs w:val="24"/>
            <w:u w:val="single"/>
          </w:rPr>
          <w:t>https://doi.org/10.30574/wjarr.2024.22.3.1727</w:t>
        </w:r>
      </w:hyperlink>
      <w:r w:rsidRPr="00471419">
        <w:rPr>
          <w:sz w:val="24"/>
          <w:szCs w:val="24"/>
        </w:rPr>
        <w:t xml:space="preserve"> </w:t>
      </w:r>
    </w:p>
    <w:p w14:paraId="1D6C67DA" w14:textId="77777777" w:rsidR="008507DD" w:rsidRPr="00DF5C51" w:rsidRDefault="003A4165" w:rsidP="00471419">
      <w:pPr>
        <w:spacing w:after="240" w:line="360" w:lineRule="auto"/>
        <w:ind w:left="720" w:hanging="720"/>
        <w:jc w:val="both"/>
        <w:rPr>
          <w:sz w:val="24"/>
          <w:szCs w:val="24"/>
          <w:lang w:val="es-ES"/>
        </w:rPr>
      </w:pPr>
      <w:r w:rsidRPr="00471419">
        <w:rPr>
          <w:sz w:val="24"/>
          <w:szCs w:val="24"/>
        </w:rPr>
        <w:t xml:space="preserve">ISACA. (2020). </w:t>
      </w:r>
      <w:r w:rsidRPr="00471419">
        <w:rPr>
          <w:i/>
          <w:sz w:val="24"/>
          <w:szCs w:val="24"/>
        </w:rPr>
        <w:t>ISACA Updates IT Audit Framework (ITAF)</w:t>
      </w:r>
      <w:r w:rsidRPr="00471419">
        <w:rPr>
          <w:sz w:val="24"/>
          <w:szCs w:val="24"/>
        </w:rPr>
        <w:t xml:space="preserve">. </w:t>
      </w:r>
      <w:r w:rsidRPr="00DF5C51">
        <w:rPr>
          <w:sz w:val="24"/>
          <w:szCs w:val="24"/>
          <w:lang w:val="es-ES"/>
        </w:rPr>
        <w:t xml:space="preserve">ISACA. </w:t>
      </w:r>
      <w:hyperlink r:id="rId44">
        <w:r w:rsidRPr="00DF5C51">
          <w:rPr>
            <w:color w:val="1155CC"/>
            <w:sz w:val="24"/>
            <w:szCs w:val="24"/>
            <w:u w:val="single"/>
            <w:lang w:val="es-ES"/>
          </w:rPr>
          <w:t>https://www.isaca.org/about-us/newsroom/press-releases/2020/isaca-updates-it-audit-framework-itaf</w:t>
        </w:r>
      </w:hyperlink>
      <w:r w:rsidRPr="00DF5C51">
        <w:rPr>
          <w:sz w:val="24"/>
          <w:szCs w:val="24"/>
          <w:lang w:val="es-ES"/>
        </w:rPr>
        <w:t xml:space="preserve"> </w:t>
      </w:r>
    </w:p>
    <w:p w14:paraId="62D8E039"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Itani, D., Itani, R., Eltweri, A. A., Faccia, A., &amp; Wanganoo, L. (2024). </w:t>
      </w:r>
      <w:r w:rsidRPr="00471419">
        <w:rPr>
          <w:sz w:val="24"/>
          <w:szCs w:val="24"/>
        </w:rPr>
        <w:t xml:space="preserve">Enhancing Cybersecurity Through Compliance and Auditing: A Strategic Approach to Resilience. </w:t>
      </w:r>
      <w:r w:rsidRPr="00471419">
        <w:rPr>
          <w:i/>
          <w:sz w:val="24"/>
          <w:szCs w:val="24"/>
        </w:rPr>
        <w:t>2024 2nd International Conference on Cyber Resilience (ICCR), Dubai, United Arab Emirates, 2024, Pp. 1-10,.</w:t>
      </w:r>
      <w:r w:rsidRPr="00471419">
        <w:rPr>
          <w:sz w:val="24"/>
          <w:szCs w:val="24"/>
        </w:rPr>
        <w:t xml:space="preserve"> </w:t>
      </w:r>
      <w:hyperlink r:id="rId45">
        <w:r w:rsidRPr="00471419">
          <w:rPr>
            <w:color w:val="1155CC"/>
            <w:sz w:val="24"/>
            <w:szCs w:val="24"/>
            <w:u w:val="single"/>
          </w:rPr>
          <w:t>https://doi.org/10.1109/iccr61006.2024.10532959</w:t>
        </w:r>
      </w:hyperlink>
      <w:r w:rsidRPr="00471419">
        <w:rPr>
          <w:sz w:val="24"/>
          <w:szCs w:val="24"/>
        </w:rPr>
        <w:t xml:space="preserve"> </w:t>
      </w:r>
    </w:p>
    <w:p w14:paraId="351ED63B"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ITGovernance. (2016). </w:t>
      </w:r>
      <w:r w:rsidRPr="00471419">
        <w:rPr>
          <w:i/>
          <w:sz w:val="24"/>
          <w:szCs w:val="24"/>
        </w:rPr>
        <w:t>Cybersecurity Standards and Frameworks | IT Governance USA</w:t>
      </w:r>
      <w:r w:rsidRPr="00471419">
        <w:rPr>
          <w:sz w:val="24"/>
          <w:szCs w:val="24"/>
        </w:rPr>
        <w:t xml:space="preserve">. Itgovernanceusa.com. </w:t>
      </w:r>
      <w:hyperlink r:id="rId46">
        <w:r w:rsidRPr="00471419">
          <w:rPr>
            <w:color w:val="1155CC"/>
            <w:sz w:val="24"/>
            <w:szCs w:val="24"/>
            <w:u w:val="single"/>
          </w:rPr>
          <w:t>https://www.itgovernanceusa.com/cybersecurity-standards</w:t>
        </w:r>
      </w:hyperlink>
      <w:r w:rsidRPr="00471419">
        <w:rPr>
          <w:sz w:val="24"/>
          <w:szCs w:val="24"/>
        </w:rPr>
        <w:t xml:space="preserve"> </w:t>
      </w:r>
    </w:p>
    <w:p w14:paraId="7B0D6202"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Jaikaran, C. (2025). </w:t>
      </w:r>
      <w:r w:rsidRPr="00471419">
        <w:rPr>
          <w:i/>
          <w:sz w:val="24"/>
          <w:szCs w:val="24"/>
        </w:rPr>
        <w:t>Salt Typhoon Hacks of Telecommunications Companies and Federal Response Implications</w:t>
      </w:r>
      <w:r w:rsidRPr="00471419">
        <w:rPr>
          <w:sz w:val="24"/>
          <w:szCs w:val="24"/>
        </w:rPr>
        <w:t xml:space="preserve">. Congress.gov. </w:t>
      </w:r>
      <w:hyperlink r:id="rId47">
        <w:r w:rsidRPr="00471419">
          <w:rPr>
            <w:color w:val="1155CC"/>
            <w:sz w:val="24"/>
            <w:szCs w:val="24"/>
            <w:u w:val="single"/>
          </w:rPr>
          <w:t>https://www.congress.gov/crs-product/IF12798</w:t>
        </w:r>
      </w:hyperlink>
      <w:r w:rsidRPr="00471419">
        <w:rPr>
          <w:sz w:val="24"/>
          <w:szCs w:val="24"/>
        </w:rPr>
        <w:t xml:space="preserve"> </w:t>
      </w:r>
    </w:p>
    <w:p w14:paraId="4B75D8FE"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Jasper, C. (2024). The absence of a basic cybersecurity measure led to the Medibank hack, regulator alleges. </w:t>
      </w:r>
      <w:r w:rsidRPr="00471419">
        <w:rPr>
          <w:i/>
          <w:sz w:val="24"/>
          <w:szCs w:val="24"/>
        </w:rPr>
        <w:t>ABC News</w:t>
      </w:r>
      <w:r w:rsidRPr="00471419">
        <w:rPr>
          <w:sz w:val="24"/>
          <w:szCs w:val="24"/>
        </w:rPr>
        <w:t xml:space="preserve">. </w:t>
      </w:r>
      <w:hyperlink r:id="rId48">
        <w:r w:rsidRPr="00471419">
          <w:rPr>
            <w:color w:val="1155CC"/>
            <w:sz w:val="24"/>
            <w:szCs w:val="24"/>
            <w:u w:val="single"/>
          </w:rPr>
          <w:t>https://www.abc.net.au/news/2024-06-17/biz-medibank-court-absence-of-multi-factor-authentication/103987732</w:t>
        </w:r>
      </w:hyperlink>
      <w:r w:rsidRPr="00471419">
        <w:rPr>
          <w:sz w:val="24"/>
          <w:szCs w:val="24"/>
        </w:rPr>
        <w:t xml:space="preserve"> </w:t>
      </w:r>
    </w:p>
    <w:p w14:paraId="03126244"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Joseph, S. A. (2024). Balancing Data Privacy and Compliance in Blockchain-Based Financial Systems. </w:t>
      </w:r>
      <w:r w:rsidRPr="00471419">
        <w:rPr>
          <w:i/>
          <w:sz w:val="24"/>
          <w:szCs w:val="24"/>
        </w:rPr>
        <w:t>Journal of Engineering Research and Reports</w:t>
      </w:r>
      <w:r w:rsidRPr="00471419">
        <w:rPr>
          <w:sz w:val="24"/>
          <w:szCs w:val="24"/>
        </w:rPr>
        <w:t xml:space="preserve">, </w:t>
      </w:r>
      <w:r w:rsidRPr="00471419">
        <w:rPr>
          <w:i/>
          <w:sz w:val="24"/>
          <w:szCs w:val="24"/>
        </w:rPr>
        <w:t>26</w:t>
      </w:r>
      <w:r w:rsidRPr="00471419">
        <w:rPr>
          <w:sz w:val="24"/>
          <w:szCs w:val="24"/>
        </w:rPr>
        <w:t xml:space="preserve">(9), 169–189. </w:t>
      </w:r>
      <w:hyperlink r:id="rId49">
        <w:r w:rsidRPr="00471419">
          <w:rPr>
            <w:color w:val="1155CC"/>
            <w:sz w:val="24"/>
            <w:szCs w:val="24"/>
            <w:u w:val="single"/>
          </w:rPr>
          <w:t>https://doi.org/10.9734/jerr/2024/v26i91271</w:t>
        </w:r>
      </w:hyperlink>
      <w:r w:rsidRPr="00471419">
        <w:rPr>
          <w:sz w:val="24"/>
          <w:szCs w:val="24"/>
        </w:rPr>
        <w:t xml:space="preserve"> </w:t>
      </w:r>
    </w:p>
    <w:p w14:paraId="735083F2"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Kapko, M. (2023). </w:t>
      </w:r>
      <w:r w:rsidRPr="00471419">
        <w:rPr>
          <w:i/>
          <w:sz w:val="24"/>
          <w:szCs w:val="24"/>
        </w:rPr>
        <w:t>Ransomware hit critical infrastructure hard in 2022, FBI says</w:t>
      </w:r>
      <w:r w:rsidRPr="00471419">
        <w:rPr>
          <w:sz w:val="24"/>
          <w:szCs w:val="24"/>
        </w:rPr>
        <w:t xml:space="preserve">. Cybersecurity Dive. </w:t>
      </w:r>
      <w:hyperlink r:id="rId50">
        <w:r w:rsidRPr="00471419">
          <w:rPr>
            <w:color w:val="1155CC"/>
            <w:sz w:val="24"/>
            <w:szCs w:val="24"/>
            <w:u w:val="single"/>
          </w:rPr>
          <w:t>https://www.cybersecuritydive.com/news/ransomware-critical-infrastructure-2022/645068/</w:t>
        </w:r>
      </w:hyperlink>
      <w:r w:rsidRPr="00471419">
        <w:rPr>
          <w:sz w:val="24"/>
          <w:szCs w:val="24"/>
        </w:rPr>
        <w:t xml:space="preserve"> </w:t>
      </w:r>
    </w:p>
    <w:p w14:paraId="72E2D26D"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Karim, N. (2024). Comprehensive Analysis of Ransomware Evolution and Countermeasures in the Era of Digital Transformation. </w:t>
      </w:r>
      <w:r w:rsidRPr="00471419">
        <w:rPr>
          <w:i/>
          <w:sz w:val="24"/>
          <w:szCs w:val="24"/>
        </w:rPr>
        <w:t>International Journal of Advanced Cybersecurity Systems, Technologies, and Applications</w:t>
      </w:r>
      <w:r w:rsidRPr="00471419">
        <w:rPr>
          <w:sz w:val="24"/>
          <w:szCs w:val="24"/>
        </w:rPr>
        <w:t xml:space="preserve">, </w:t>
      </w:r>
      <w:r w:rsidRPr="00471419">
        <w:rPr>
          <w:i/>
          <w:sz w:val="24"/>
          <w:szCs w:val="24"/>
        </w:rPr>
        <w:t>8</w:t>
      </w:r>
      <w:r w:rsidRPr="00471419">
        <w:rPr>
          <w:sz w:val="24"/>
          <w:szCs w:val="24"/>
        </w:rPr>
        <w:t xml:space="preserve">(12), 20–30. </w:t>
      </w:r>
      <w:hyperlink r:id="rId51">
        <w:r w:rsidRPr="00471419">
          <w:rPr>
            <w:color w:val="1155CC"/>
            <w:sz w:val="24"/>
            <w:szCs w:val="24"/>
            <w:u w:val="single"/>
          </w:rPr>
          <w:t>http://theaffine.com/index.php/IJACSTA/article/view/3</w:t>
        </w:r>
      </w:hyperlink>
      <w:r w:rsidRPr="00471419">
        <w:rPr>
          <w:sz w:val="24"/>
          <w:szCs w:val="24"/>
        </w:rPr>
        <w:t xml:space="preserve"> </w:t>
      </w:r>
    </w:p>
    <w:p w14:paraId="02AF8594"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Kariuki, P., Ofusori, L. O., &amp; Subramaniam, P. R. (2023). </w:t>
      </w:r>
      <w:r w:rsidRPr="00471419">
        <w:rPr>
          <w:sz w:val="24"/>
          <w:szCs w:val="24"/>
        </w:rPr>
        <w:t xml:space="preserve">Cybersecurity threats and vulnerabilities experienced by small-scale African migrant traders in Southern Africa. </w:t>
      </w:r>
      <w:r w:rsidRPr="00471419">
        <w:rPr>
          <w:i/>
          <w:sz w:val="24"/>
          <w:szCs w:val="24"/>
        </w:rPr>
        <w:t>Security Journal</w:t>
      </w:r>
      <w:r w:rsidRPr="00471419">
        <w:rPr>
          <w:sz w:val="24"/>
          <w:szCs w:val="24"/>
        </w:rPr>
        <w:t xml:space="preserve">. </w:t>
      </w:r>
      <w:hyperlink r:id="rId52">
        <w:r w:rsidRPr="00471419">
          <w:rPr>
            <w:color w:val="1155CC"/>
            <w:sz w:val="24"/>
            <w:szCs w:val="24"/>
            <w:u w:val="single"/>
          </w:rPr>
          <w:t>https://doi.org/10.1057/s41284-023-00378-1</w:t>
        </w:r>
      </w:hyperlink>
      <w:r w:rsidRPr="00471419">
        <w:rPr>
          <w:sz w:val="24"/>
          <w:szCs w:val="24"/>
        </w:rPr>
        <w:t xml:space="preserve"> </w:t>
      </w:r>
    </w:p>
    <w:p w14:paraId="22A43A7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Katrakazas, P., &amp; Papastergiou, S. (2024). A Stakeholder Needs Analysis in Cybersecurity: A Systemic Approach to Enhancing Digital Infrastructure Resilience. </w:t>
      </w:r>
      <w:r w:rsidRPr="00471419">
        <w:rPr>
          <w:i/>
          <w:sz w:val="24"/>
          <w:szCs w:val="24"/>
        </w:rPr>
        <w:t>Businesses</w:t>
      </w:r>
      <w:r w:rsidRPr="00471419">
        <w:rPr>
          <w:sz w:val="24"/>
          <w:szCs w:val="24"/>
        </w:rPr>
        <w:t xml:space="preserve">, </w:t>
      </w:r>
      <w:r w:rsidRPr="00471419">
        <w:rPr>
          <w:i/>
          <w:sz w:val="24"/>
          <w:szCs w:val="24"/>
        </w:rPr>
        <w:t>4</w:t>
      </w:r>
      <w:r w:rsidRPr="00471419">
        <w:rPr>
          <w:sz w:val="24"/>
          <w:szCs w:val="24"/>
        </w:rPr>
        <w:t xml:space="preserve">(2), 225–240. </w:t>
      </w:r>
      <w:hyperlink r:id="rId53">
        <w:r w:rsidRPr="00471419">
          <w:rPr>
            <w:color w:val="1155CC"/>
            <w:sz w:val="24"/>
            <w:szCs w:val="24"/>
            <w:u w:val="single"/>
          </w:rPr>
          <w:t>https://doi.org/10.3390/businesses4020015</w:t>
        </w:r>
      </w:hyperlink>
      <w:r w:rsidRPr="00471419">
        <w:rPr>
          <w:sz w:val="24"/>
          <w:szCs w:val="24"/>
        </w:rPr>
        <w:t xml:space="preserve"> </w:t>
      </w:r>
    </w:p>
    <w:p w14:paraId="116477FA"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Kerner, S. M. (2024). </w:t>
      </w:r>
      <w:r w:rsidRPr="00471419">
        <w:rPr>
          <w:i/>
          <w:sz w:val="24"/>
          <w:szCs w:val="24"/>
        </w:rPr>
        <w:t>The American Water cyberattack: Explaining how it happened</w:t>
      </w:r>
      <w:r w:rsidRPr="00471419">
        <w:rPr>
          <w:sz w:val="24"/>
          <w:szCs w:val="24"/>
        </w:rPr>
        <w:t xml:space="preserve">. WhatIs; TechTarget. </w:t>
      </w:r>
      <w:hyperlink r:id="rId54">
        <w:r w:rsidRPr="00471419">
          <w:rPr>
            <w:color w:val="1155CC"/>
            <w:sz w:val="24"/>
            <w:szCs w:val="24"/>
            <w:u w:val="single"/>
          </w:rPr>
          <w:t>https://www.techtarget.com/whatis/feature/The-American-Water-cyberattack-Explaining-how-it-happened</w:t>
        </w:r>
      </w:hyperlink>
      <w:r w:rsidRPr="00471419">
        <w:rPr>
          <w:sz w:val="24"/>
          <w:szCs w:val="24"/>
        </w:rPr>
        <w:t xml:space="preserve"> </w:t>
      </w:r>
    </w:p>
    <w:p w14:paraId="565B5C87"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Kolade, T. M., Aideyan, N. T., Oyekunle, S. M., Ogungbemi, O. S., &amp; Olaniyi, O. O. (2024). Artificial Intelligence and Information Governance: Strengthening Global Security, through Compliance Frameworks, and Data Security. </w:t>
      </w:r>
      <w:r w:rsidRPr="00471419">
        <w:rPr>
          <w:i/>
          <w:sz w:val="24"/>
          <w:szCs w:val="24"/>
        </w:rPr>
        <w:t>Asian Journal of Research in Computer Science</w:t>
      </w:r>
      <w:r w:rsidRPr="00471419">
        <w:rPr>
          <w:sz w:val="24"/>
          <w:szCs w:val="24"/>
        </w:rPr>
        <w:t xml:space="preserve">, </w:t>
      </w:r>
      <w:r w:rsidRPr="00471419">
        <w:rPr>
          <w:i/>
          <w:sz w:val="24"/>
          <w:szCs w:val="24"/>
        </w:rPr>
        <w:t>17</w:t>
      </w:r>
      <w:r w:rsidRPr="00471419">
        <w:rPr>
          <w:sz w:val="24"/>
          <w:szCs w:val="24"/>
        </w:rPr>
        <w:t xml:space="preserve">(12), 36–57. </w:t>
      </w:r>
      <w:hyperlink r:id="rId55">
        <w:r w:rsidRPr="00471419">
          <w:rPr>
            <w:color w:val="1155CC"/>
            <w:sz w:val="24"/>
            <w:szCs w:val="24"/>
            <w:u w:val="single"/>
          </w:rPr>
          <w:t>https://doi.org/10.9734/ajrcos/2024/v17i12528</w:t>
        </w:r>
      </w:hyperlink>
      <w:r w:rsidRPr="00471419">
        <w:rPr>
          <w:sz w:val="24"/>
          <w:szCs w:val="24"/>
        </w:rPr>
        <w:t xml:space="preserve"> </w:t>
      </w:r>
    </w:p>
    <w:p w14:paraId="09F9956A"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Kolade, T. M., Obioha-Val, O. A., Balogun, A. Y., Gbadebo, M. O., &amp; Olaniyi, O. O. (2025). </w:t>
      </w:r>
      <w:r w:rsidRPr="00471419">
        <w:rPr>
          <w:sz w:val="24"/>
          <w:szCs w:val="24"/>
        </w:rPr>
        <w:t xml:space="preserve">AI-Driven Open Source Intelligence in Cyber Defense: A Double-edged Sword for National Security.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(1), 133–153. </w:t>
      </w:r>
      <w:hyperlink r:id="rId56">
        <w:r w:rsidRPr="00471419">
          <w:rPr>
            <w:color w:val="1155CC"/>
            <w:sz w:val="24"/>
            <w:szCs w:val="24"/>
            <w:u w:val="single"/>
          </w:rPr>
          <w:t>https://doi.org/10.9734/ajrcos/2025/v18i1554</w:t>
        </w:r>
      </w:hyperlink>
      <w:r w:rsidRPr="00471419">
        <w:rPr>
          <w:sz w:val="24"/>
          <w:szCs w:val="24"/>
        </w:rPr>
        <w:t xml:space="preserve"> </w:t>
      </w:r>
    </w:p>
    <w:p w14:paraId="46E5CC57"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Malatji, M., Marnewick, A. L., &amp; Von Solms, S. (2021). Cybersecurity capabilities for critical infrastructure resilience. </w:t>
      </w:r>
      <w:r w:rsidRPr="00471419">
        <w:rPr>
          <w:i/>
          <w:sz w:val="24"/>
          <w:szCs w:val="24"/>
        </w:rPr>
        <w:t>Information &amp; Computer Security</w:t>
      </w:r>
      <w:r w:rsidRPr="00471419">
        <w:rPr>
          <w:sz w:val="24"/>
          <w:szCs w:val="24"/>
        </w:rPr>
        <w:t xml:space="preserve">, </w:t>
      </w:r>
      <w:r w:rsidRPr="00471419">
        <w:rPr>
          <w:i/>
          <w:sz w:val="24"/>
          <w:szCs w:val="24"/>
        </w:rPr>
        <w:t>30</w:t>
      </w:r>
      <w:r w:rsidRPr="00471419">
        <w:rPr>
          <w:sz w:val="24"/>
          <w:szCs w:val="24"/>
        </w:rPr>
        <w:t xml:space="preserve">(2), 255–279. </w:t>
      </w:r>
      <w:hyperlink r:id="rId57">
        <w:r w:rsidRPr="00471419">
          <w:rPr>
            <w:color w:val="1155CC"/>
            <w:sz w:val="24"/>
            <w:szCs w:val="24"/>
            <w:u w:val="single"/>
          </w:rPr>
          <w:t>https://doi.org/10.1108/ics-06-2021-0091v</w:t>
        </w:r>
      </w:hyperlink>
      <w:r w:rsidRPr="00471419">
        <w:rPr>
          <w:sz w:val="24"/>
          <w:szCs w:val="24"/>
        </w:rPr>
        <w:t xml:space="preserve"> </w:t>
      </w:r>
    </w:p>
    <w:p w14:paraId="78DCEE5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Mariam, S. (2024). Legal and Ethical Challenges in International Cybersecurity: Addressing Cross-Border Data Breaches. </w:t>
      </w:r>
      <w:r w:rsidRPr="00471419">
        <w:rPr>
          <w:i/>
          <w:sz w:val="24"/>
          <w:szCs w:val="24"/>
        </w:rPr>
        <w:t>Journal of Advances in Cybersecurity Science, Threat Intelligence, and Countermeasures</w:t>
      </w:r>
      <w:r w:rsidRPr="00471419">
        <w:rPr>
          <w:sz w:val="24"/>
          <w:szCs w:val="24"/>
        </w:rPr>
        <w:t xml:space="preserve">, </w:t>
      </w:r>
      <w:r w:rsidRPr="00471419">
        <w:rPr>
          <w:i/>
          <w:sz w:val="24"/>
          <w:szCs w:val="24"/>
        </w:rPr>
        <w:t>8</w:t>
      </w:r>
      <w:r w:rsidRPr="00471419">
        <w:rPr>
          <w:sz w:val="24"/>
          <w:szCs w:val="24"/>
        </w:rPr>
        <w:t xml:space="preserve">(12), 22–32. </w:t>
      </w:r>
      <w:hyperlink r:id="rId58">
        <w:r w:rsidRPr="00471419">
          <w:rPr>
            <w:color w:val="1155CC"/>
            <w:sz w:val="24"/>
            <w:szCs w:val="24"/>
            <w:u w:val="single"/>
          </w:rPr>
          <w:t>http://polarpublications.com/index.php/JACSTIC/article/view/3</w:t>
        </w:r>
      </w:hyperlink>
      <w:r w:rsidRPr="00471419">
        <w:rPr>
          <w:sz w:val="24"/>
          <w:szCs w:val="24"/>
        </w:rPr>
        <w:t xml:space="preserve"> </w:t>
      </w:r>
    </w:p>
    <w:p w14:paraId="4EB12792"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Mayeke, N. R., Arigbabu, A. T., Olaniyi, O. O., Okunleye, O. J., &amp; Adigwe, C. S. (2024). Evolving Access Control Paradigms: A Comprehensive Multi-Dimensional Analysis of Security Risks and System Assurance in Cyber Engineering. </w:t>
      </w:r>
      <w:r w:rsidRPr="00471419">
        <w:rPr>
          <w:i/>
          <w:sz w:val="24"/>
          <w:szCs w:val="24"/>
        </w:rPr>
        <w:t>Asian Journal of Research in Computer Science</w:t>
      </w:r>
      <w:r w:rsidRPr="00471419">
        <w:rPr>
          <w:sz w:val="24"/>
          <w:szCs w:val="24"/>
        </w:rPr>
        <w:t xml:space="preserve">, </w:t>
      </w:r>
      <w:r w:rsidRPr="00471419">
        <w:rPr>
          <w:i/>
          <w:sz w:val="24"/>
          <w:szCs w:val="24"/>
        </w:rPr>
        <w:t>17</w:t>
      </w:r>
      <w:r w:rsidRPr="00471419">
        <w:rPr>
          <w:sz w:val="24"/>
          <w:szCs w:val="24"/>
        </w:rPr>
        <w:t xml:space="preserve">(5), 108–124. </w:t>
      </w:r>
      <w:hyperlink r:id="rId59">
        <w:r w:rsidRPr="00471419">
          <w:rPr>
            <w:color w:val="1155CC"/>
            <w:sz w:val="24"/>
            <w:szCs w:val="24"/>
            <w:u w:val="single"/>
          </w:rPr>
          <w:t>https://doi.org/10.9734/ajrcos/2024/v17i5442</w:t>
        </w:r>
      </w:hyperlink>
      <w:r w:rsidRPr="00471419">
        <w:rPr>
          <w:sz w:val="24"/>
          <w:szCs w:val="24"/>
        </w:rPr>
        <w:t xml:space="preserve"> </w:t>
      </w:r>
    </w:p>
    <w:p w14:paraId="7D47F875"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Mittal, M. (2024). Colonial Pipeline Cyberattack Drives Urgent Reforms in Cybersecurity and Critical Infrastructure Resilience. </w:t>
      </w:r>
      <w:r w:rsidRPr="00471419">
        <w:rPr>
          <w:i/>
          <w:sz w:val="24"/>
          <w:szCs w:val="24"/>
        </w:rPr>
        <w:t>International Journal of Oil, Gas and Coal Engineering</w:t>
      </w:r>
      <w:r w:rsidRPr="00471419">
        <w:rPr>
          <w:sz w:val="24"/>
          <w:szCs w:val="24"/>
        </w:rPr>
        <w:t xml:space="preserve">, </w:t>
      </w:r>
      <w:r w:rsidRPr="00471419">
        <w:rPr>
          <w:i/>
          <w:sz w:val="24"/>
          <w:szCs w:val="24"/>
        </w:rPr>
        <w:t>12</w:t>
      </w:r>
      <w:r w:rsidRPr="00471419">
        <w:rPr>
          <w:sz w:val="24"/>
          <w:szCs w:val="24"/>
        </w:rPr>
        <w:t xml:space="preserve">(5), 106–119. </w:t>
      </w:r>
      <w:hyperlink r:id="rId60">
        <w:r w:rsidRPr="00471419">
          <w:rPr>
            <w:color w:val="1155CC"/>
            <w:sz w:val="24"/>
            <w:szCs w:val="24"/>
            <w:u w:val="single"/>
          </w:rPr>
          <w:t>https://doi.org/10.11648/j.ogce.20241205.11</w:t>
        </w:r>
      </w:hyperlink>
      <w:r w:rsidRPr="00471419">
        <w:rPr>
          <w:sz w:val="24"/>
          <w:szCs w:val="24"/>
        </w:rPr>
        <w:t xml:space="preserve"> </w:t>
      </w:r>
    </w:p>
    <w:p w14:paraId="4D139A56"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National Audit Office. (2025). </w:t>
      </w:r>
      <w:r w:rsidRPr="00471419">
        <w:rPr>
          <w:i/>
          <w:sz w:val="24"/>
          <w:szCs w:val="24"/>
        </w:rPr>
        <w:t>Cyber threat to UK government is severe and advancing quickly, spending watchdog finds - NAO press release</w:t>
      </w:r>
      <w:r w:rsidRPr="00471419">
        <w:rPr>
          <w:sz w:val="24"/>
          <w:szCs w:val="24"/>
        </w:rPr>
        <w:t xml:space="preserve">. National Audit Office (NAO). </w:t>
      </w:r>
      <w:hyperlink r:id="rId61">
        <w:r w:rsidRPr="00471419">
          <w:rPr>
            <w:color w:val="1155CC"/>
            <w:sz w:val="24"/>
            <w:szCs w:val="24"/>
            <w:u w:val="single"/>
          </w:rPr>
          <w:t>https://www.nao.org.uk/press-releases/cyber-threat-to-uk-government-is-severe-and-advancing-quickly-spending-watchdog-finds/</w:t>
        </w:r>
      </w:hyperlink>
      <w:r w:rsidRPr="00471419">
        <w:rPr>
          <w:sz w:val="24"/>
          <w:szCs w:val="24"/>
        </w:rPr>
        <w:t xml:space="preserve"> </w:t>
      </w:r>
    </w:p>
    <w:p w14:paraId="0414BC93"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Nugraha, A. A., &amp; Nasyuha, A. H. (2024). </w:t>
      </w:r>
      <w:r w:rsidRPr="00471419">
        <w:rPr>
          <w:sz w:val="24"/>
          <w:szCs w:val="24"/>
        </w:rPr>
        <w:t xml:space="preserve">Integrating ISO 27001 and Indonesia’s Personal Data Protection Law for Data Protection Requirement Model. </w:t>
      </w:r>
      <w:r w:rsidRPr="00471419">
        <w:rPr>
          <w:i/>
          <w:sz w:val="24"/>
          <w:szCs w:val="24"/>
        </w:rPr>
        <w:t>Journal of Information Systems and Informatics</w:t>
      </w:r>
      <w:r w:rsidRPr="00471419">
        <w:rPr>
          <w:sz w:val="24"/>
          <w:szCs w:val="24"/>
        </w:rPr>
        <w:t xml:space="preserve">, </w:t>
      </w:r>
      <w:r w:rsidRPr="00471419">
        <w:rPr>
          <w:i/>
          <w:sz w:val="24"/>
          <w:szCs w:val="24"/>
        </w:rPr>
        <w:t>6</w:t>
      </w:r>
      <w:r w:rsidRPr="00471419">
        <w:rPr>
          <w:sz w:val="24"/>
          <w:szCs w:val="24"/>
        </w:rPr>
        <w:t xml:space="preserve">(2), 1052–1069. </w:t>
      </w:r>
      <w:hyperlink r:id="rId62">
        <w:r w:rsidRPr="00471419">
          <w:rPr>
            <w:color w:val="1155CC"/>
            <w:sz w:val="24"/>
            <w:szCs w:val="24"/>
            <w:u w:val="single"/>
          </w:rPr>
          <w:t>https://doi.org/10.51519/journalisi.v6i2.754</w:t>
        </w:r>
      </w:hyperlink>
      <w:r w:rsidRPr="00471419">
        <w:rPr>
          <w:sz w:val="24"/>
          <w:szCs w:val="24"/>
        </w:rPr>
        <w:t xml:space="preserve"> </w:t>
      </w:r>
    </w:p>
    <w:p w14:paraId="2A92F306"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Obioha-Val, O. A. (2025). Bridging Gaps in Cybersecurity Governance: Leveraging Collaborative Digital Solutions.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(2), 82–100. </w:t>
      </w:r>
      <w:hyperlink r:id="rId63">
        <w:r w:rsidRPr="00471419">
          <w:rPr>
            <w:color w:val="1155CC"/>
            <w:sz w:val="24"/>
            <w:szCs w:val="24"/>
            <w:u w:val="single"/>
          </w:rPr>
          <w:t>https://doi.org/10.9734/ajrcos/2025/v18i2564</w:t>
        </w:r>
      </w:hyperlink>
      <w:r w:rsidRPr="00471419">
        <w:rPr>
          <w:sz w:val="24"/>
          <w:szCs w:val="24"/>
        </w:rPr>
        <w:t xml:space="preserve"> </w:t>
      </w:r>
    </w:p>
    <w:p w14:paraId="6281F9AE"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Obioha-Val, O. A., Gbadebo, M. O., Olaniyi, O. O., Chinye, N. C., &amp; Balogun, A. Y. (2025). </w:t>
      </w:r>
      <w:r w:rsidRPr="00471419">
        <w:rPr>
          <w:sz w:val="24"/>
          <w:szCs w:val="24"/>
        </w:rPr>
        <w:t xml:space="preserve">Innovative Regulation of Open Source Intelligence and Deepfakes AI in Managing Public Trust. </w:t>
      </w:r>
      <w:r w:rsidRPr="00471419">
        <w:rPr>
          <w:i/>
          <w:sz w:val="24"/>
          <w:szCs w:val="24"/>
        </w:rPr>
        <w:t>Journal of Engineering Research and Reports</w:t>
      </w:r>
      <w:r w:rsidRPr="00471419">
        <w:rPr>
          <w:sz w:val="24"/>
          <w:szCs w:val="24"/>
        </w:rPr>
        <w:t xml:space="preserve">, </w:t>
      </w:r>
      <w:r w:rsidRPr="00471419">
        <w:rPr>
          <w:i/>
          <w:sz w:val="24"/>
          <w:szCs w:val="24"/>
        </w:rPr>
        <w:t>27</w:t>
      </w:r>
      <w:r w:rsidRPr="00471419">
        <w:rPr>
          <w:sz w:val="24"/>
          <w:szCs w:val="24"/>
        </w:rPr>
        <w:t xml:space="preserve">(2), 136–156. </w:t>
      </w:r>
      <w:hyperlink r:id="rId64">
        <w:r w:rsidRPr="00471419">
          <w:rPr>
            <w:color w:val="1155CC"/>
            <w:sz w:val="24"/>
            <w:szCs w:val="24"/>
            <w:u w:val="single"/>
          </w:rPr>
          <w:t>https://doi.org/10.9734/jerr/2025/v27i21400</w:t>
        </w:r>
      </w:hyperlink>
      <w:r w:rsidRPr="00471419">
        <w:rPr>
          <w:sz w:val="24"/>
          <w:szCs w:val="24"/>
        </w:rPr>
        <w:t xml:space="preserve"> </w:t>
      </w:r>
    </w:p>
    <w:p w14:paraId="2F547382"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Obioha-Val, O. A., Lawal, T. I., Olaniyi, O. O., Gbadebo, M. O., &amp; Olisa, A. O. (2025). </w:t>
      </w:r>
      <w:r w:rsidRPr="00471419">
        <w:rPr>
          <w:sz w:val="24"/>
          <w:szCs w:val="24"/>
        </w:rPr>
        <w:t xml:space="preserve">Investigating the Feasibility and Risks of Leveraging Artificial Intelligence and Open Source Intelligence to Manage Predictive Cyber Threat Models. </w:t>
      </w:r>
      <w:r w:rsidRPr="00471419">
        <w:rPr>
          <w:i/>
          <w:sz w:val="24"/>
          <w:szCs w:val="24"/>
        </w:rPr>
        <w:t>Journal of Engineering Research and Reports</w:t>
      </w:r>
      <w:r w:rsidRPr="00471419">
        <w:rPr>
          <w:sz w:val="24"/>
          <w:szCs w:val="24"/>
        </w:rPr>
        <w:t xml:space="preserve">, </w:t>
      </w:r>
      <w:r w:rsidRPr="00471419">
        <w:rPr>
          <w:i/>
          <w:sz w:val="24"/>
          <w:szCs w:val="24"/>
        </w:rPr>
        <w:t>27</w:t>
      </w:r>
      <w:r w:rsidRPr="00471419">
        <w:rPr>
          <w:sz w:val="24"/>
          <w:szCs w:val="24"/>
        </w:rPr>
        <w:t xml:space="preserve">(2), 10–28. </w:t>
      </w:r>
      <w:hyperlink r:id="rId65">
        <w:r w:rsidRPr="00471419">
          <w:rPr>
            <w:color w:val="1155CC"/>
            <w:sz w:val="24"/>
            <w:szCs w:val="24"/>
            <w:u w:val="single"/>
          </w:rPr>
          <w:t>https://doi.org/10.9734/jerr/2025/v27i21390</w:t>
        </w:r>
      </w:hyperlink>
      <w:r w:rsidRPr="00471419">
        <w:rPr>
          <w:sz w:val="24"/>
          <w:szCs w:val="24"/>
        </w:rPr>
        <w:t xml:space="preserve"> </w:t>
      </w:r>
    </w:p>
    <w:p w14:paraId="55E02043"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Obioha-Val, O. A., Olaniyi, O. O., Gbadebo, M. O., Balogun, A. Y., &amp; Olisa, A. O. (2025). </w:t>
      </w:r>
      <w:r w:rsidRPr="00471419">
        <w:rPr>
          <w:sz w:val="24"/>
          <w:szCs w:val="24"/>
        </w:rPr>
        <w:t xml:space="preserve">Cyber Espionage in the Age of Artificial Intelligence: A Comparative Study of State-Sponsored Campaign.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(1), 184–204. </w:t>
      </w:r>
      <w:hyperlink r:id="rId66">
        <w:r w:rsidRPr="00471419">
          <w:rPr>
            <w:color w:val="1155CC"/>
            <w:sz w:val="24"/>
            <w:szCs w:val="24"/>
            <w:u w:val="single"/>
          </w:rPr>
          <w:t>https://doi.org/10.9734/ajrcos/2025/v18i1557</w:t>
        </w:r>
      </w:hyperlink>
      <w:r w:rsidRPr="00471419">
        <w:rPr>
          <w:sz w:val="24"/>
          <w:szCs w:val="24"/>
        </w:rPr>
        <w:t xml:space="preserve"> </w:t>
      </w:r>
    </w:p>
    <w:p w14:paraId="1242829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Olutimehin, A. T. (2025a). Advancing Cloud Security in Digital Finance: AI-Driven Threat Detection, Cryptographic Solutions, and Privacy Challenges. </w:t>
      </w:r>
      <w:r w:rsidRPr="00471419">
        <w:rPr>
          <w:i/>
          <w:sz w:val="24"/>
          <w:szCs w:val="24"/>
        </w:rPr>
        <w:t>Journal of Engineering Research and Reports</w:t>
      </w:r>
      <w:r w:rsidRPr="00471419">
        <w:rPr>
          <w:sz w:val="24"/>
          <w:szCs w:val="24"/>
        </w:rPr>
        <w:t xml:space="preserve">, </w:t>
      </w:r>
      <w:r w:rsidRPr="00471419">
        <w:rPr>
          <w:i/>
          <w:sz w:val="24"/>
          <w:szCs w:val="24"/>
        </w:rPr>
        <w:t>27</w:t>
      </w:r>
      <w:r w:rsidRPr="00471419">
        <w:rPr>
          <w:sz w:val="24"/>
          <w:szCs w:val="24"/>
        </w:rPr>
        <w:t xml:space="preserve">(3), 35–55. </w:t>
      </w:r>
      <w:hyperlink r:id="rId67">
        <w:r w:rsidRPr="00471419">
          <w:rPr>
            <w:color w:val="1155CC"/>
            <w:sz w:val="24"/>
            <w:szCs w:val="24"/>
            <w:u w:val="single"/>
          </w:rPr>
          <w:t>https://doi.org/10.9734/jerr/2025/v27i31416</w:t>
        </w:r>
      </w:hyperlink>
      <w:r w:rsidRPr="00471419">
        <w:rPr>
          <w:sz w:val="24"/>
          <w:szCs w:val="24"/>
        </w:rPr>
        <w:t xml:space="preserve"> </w:t>
      </w:r>
    </w:p>
    <w:p w14:paraId="1C994D1A"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Olutimehin, A. T. (2025b). Assessing the Effectiveness of Cybersecurity Frameworks in Mitigating Cyberattacks in the Banking Sector and its Applicability to Decentralized Finance (DeFi).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(3), 130–151. </w:t>
      </w:r>
      <w:hyperlink r:id="rId68">
        <w:r w:rsidRPr="00471419">
          <w:rPr>
            <w:color w:val="1155CC"/>
            <w:sz w:val="24"/>
            <w:szCs w:val="24"/>
            <w:u w:val="single"/>
          </w:rPr>
          <w:t>https://doi.org/10.9734/ajrcos/2025/v18i3583</w:t>
        </w:r>
      </w:hyperlink>
      <w:r w:rsidRPr="00471419">
        <w:rPr>
          <w:sz w:val="24"/>
          <w:szCs w:val="24"/>
        </w:rPr>
        <w:t xml:space="preserve"> </w:t>
      </w:r>
    </w:p>
    <w:p w14:paraId="402F9B4A"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Olutimehin, A. T. (2025c). The Synergistic Role of Machine Learning, Deep Learning, and Reinforcement Learning in Strengthening Cyber Security Measures for Crypto Currency Platforms.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(3), 190–212. </w:t>
      </w:r>
      <w:hyperlink r:id="rId69">
        <w:r w:rsidRPr="00471419">
          <w:rPr>
            <w:color w:val="1155CC"/>
            <w:sz w:val="24"/>
            <w:szCs w:val="24"/>
            <w:u w:val="single"/>
          </w:rPr>
          <w:t>https://doi.org/10.9734/ajrcos/2025/v18i3586</w:t>
        </w:r>
      </w:hyperlink>
      <w:r w:rsidRPr="00471419">
        <w:rPr>
          <w:sz w:val="24"/>
          <w:szCs w:val="24"/>
        </w:rPr>
        <w:t xml:space="preserve"> </w:t>
      </w:r>
    </w:p>
    <w:p w14:paraId="7D652C3D"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Olutimehin, A. T., Ajayi, A. J., Metibemu, O. C., Balogun, A. Y., Oladoyinbo, T. O., &amp; Olaniyi, O. O. (2025). Adversarial Threats to AI-Driven Systems: Exploring the Attack Surface of Machine Learning Models and Countermeasures. </w:t>
      </w:r>
      <w:r w:rsidRPr="00471419">
        <w:rPr>
          <w:i/>
          <w:sz w:val="24"/>
          <w:szCs w:val="24"/>
        </w:rPr>
        <w:t>Journal of Engineering Research and Reports</w:t>
      </w:r>
      <w:r w:rsidRPr="00471419">
        <w:rPr>
          <w:sz w:val="24"/>
          <w:szCs w:val="24"/>
        </w:rPr>
        <w:t xml:space="preserve">, </w:t>
      </w:r>
      <w:r w:rsidRPr="00471419">
        <w:rPr>
          <w:i/>
          <w:sz w:val="24"/>
          <w:szCs w:val="24"/>
        </w:rPr>
        <w:t>27</w:t>
      </w:r>
      <w:r w:rsidRPr="00471419">
        <w:rPr>
          <w:sz w:val="24"/>
          <w:szCs w:val="24"/>
        </w:rPr>
        <w:t xml:space="preserve">(2), 341–362. </w:t>
      </w:r>
      <w:hyperlink r:id="rId70">
        <w:r w:rsidRPr="00471419">
          <w:rPr>
            <w:color w:val="1155CC"/>
            <w:sz w:val="24"/>
            <w:szCs w:val="24"/>
            <w:u w:val="single"/>
          </w:rPr>
          <w:t>https://doi.org/10.9734/jerr/2025/v27i21413</w:t>
        </w:r>
      </w:hyperlink>
      <w:r w:rsidRPr="00471419">
        <w:rPr>
          <w:sz w:val="24"/>
          <w:szCs w:val="24"/>
        </w:rPr>
        <w:t xml:space="preserve"> </w:t>
      </w:r>
    </w:p>
    <w:p w14:paraId="2D5F0F81"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Papachristofis, K., Vardoulias, G., &amp; Vavousis, K. (2025). Comparative Evaluation of Cybersecurity Maturity Models and Frameworks. </w:t>
      </w:r>
      <w:r w:rsidRPr="00471419">
        <w:rPr>
          <w:i/>
          <w:sz w:val="24"/>
          <w:szCs w:val="24"/>
        </w:rPr>
        <w:t>Lecture Notes in Business Information Processing</w:t>
      </w:r>
      <w:r w:rsidRPr="00471419">
        <w:rPr>
          <w:sz w:val="24"/>
          <w:szCs w:val="24"/>
        </w:rPr>
        <w:t xml:space="preserve">, 166–178. </w:t>
      </w:r>
      <w:hyperlink r:id="rId71">
        <w:r w:rsidRPr="00471419">
          <w:rPr>
            <w:color w:val="1155CC"/>
            <w:sz w:val="24"/>
            <w:szCs w:val="24"/>
            <w:u w:val="single"/>
          </w:rPr>
          <w:t>https://doi.org/10.1007/978-3-031-81325-2_12</w:t>
        </w:r>
      </w:hyperlink>
      <w:r w:rsidRPr="00471419">
        <w:rPr>
          <w:sz w:val="24"/>
          <w:szCs w:val="24"/>
        </w:rPr>
        <w:t xml:space="preserve"> </w:t>
      </w:r>
    </w:p>
    <w:p w14:paraId="32E29EB5"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Paz, S. (2023). Cybersecurity Standards and Frameworks. </w:t>
      </w:r>
      <w:r w:rsidRPr="00471419">
        <w:rPr>
          <w:i/>
          <w:sz w:val="24"/>
          <w:szCs w:val="24"/>
        </w:rPr>
        <w:t>IEEE Technology and Engineering Management Society Body of Knowledge (TEMSBOK)</w:t>
      </w:r>
      <w:r w:rsidRPr="00471419">
        <w:rPr>
          <w:sz w:val="24"/>
          <w:szCs w:val="24"/>
        </w:rPr>
        <w:t xml:space="preserve">, 397–416. </w:t>
      </w:r>
      <w:hyperlink r:id="rId72">
        <w:r w:rsidRPr="00471419">
          <w:rPr>
            <w:color w:val="1155CC"/>
            <w:sz w:val="24"/>
            <w:szCs w:val="24"/>
            <w:u w:val="single"/>
          </w:rPr>
          <w:t>https://doi.org/10.1002/9781119987635.ch23</w:t>
        </w:r>
      </w:hyperlink>
      <w:r w:rsidRPr="00471419">
        <w:rPr>
          <w:sz w:val="24"/>
          <w:szCs w:val="24"/>
        </w:rPr>
        <w:t xml:space="preserve"> </w:t>
      </w:r>
    </w:p>
    <w:p w14:paraId="3AEF4D3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Polite, T. (2024). </w:t>
      </w:r>
      <w:r w:rsidRPr="00471419">
        <w:rPr>
          <w:i/>
          <w:sz w:val="24"/>
          <w:szCs w:val="24"/>
        </w:rPr>
        <w:t>Cybersecurity Lessons from 2024: Key Takeaways</w:t>
      </w:r>
      <w:r w:rsidRPr="00471419">
        <w:rPr>
          <w:sz w:val="24"/>
          <w:szCs w:val="24"/>
        </w:rPr>
        <w:t xml:space="preserve">. Gibraltarsolutions.com. </w:t>
      </w:r>
      <w:hyperlink r:id="rId73">
        <w:r w:rsidRPr="00471419">
          <w:rPr>
            <w:color w:val="1155CC"/>
            <w:sz w:val="24"/>
            <w:szCs w:val="24"/>
            <w:u w:val="single"/>
          </w:rPr>
          <w:t>https://gibraltarsolutions.com/blog/cybersecurity-lessons-2024/</w:t>
        </w:r>
      </w:hyperlink>
      <w:r w:rsidRPr="00471419">
        <w:rPr>
          <w:sz w:val="24"/>
          <w:szCs w:val="24"/>
        </w:rPr>
        <w:t xml:space="preserve"> </w:t>
      </w:r>
    </w:p>
    <w:p w14:paraId="0972DB94"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Rébé, N. (2022). Regulating Cyber Technologies. </w:t>
      </w:r>
      <w:r w:rsidRPr="00471419">
        <w:rPr>
          <w:i/>
          <w:sz w:val="24"/>
          <w:szCs w:val="24"/>
        </w:rPr>
        <w:t>In Regulating Cyber Technologies: Privacy vs Security, Pp. 61-80. 2023.</w:t>
      </w:r>
      <w:r w:rsidRPr="00471419">
        <w:rPr>
          <w:sz w:val="24"/>
          <w:szCs w:val="24"/>
        </w:rPr>
        <w:t xml:space="preserve"> </w:t>
      </w:r>
      <w:hyperlink r:id="rId74">
        <w:r w:rsidRPr="00471419">
          <w:rPr>
            <w:color w:val="1155CC"/>
            <w:sz w:val="24"/>
            <w:szCs w:val="24"/>
            <w:u w:val="single"/>
          </w:rPr>
          <w:t>https://doi.org/10.1142/q0379</w:t>
        </w:r>
      </w:hyperlink>
      <w:r w:rsidRPr="00471419">
        <w:rPr>
          <w:sz w:val="24"/>
          <w:szCs w:val="24"/>
        </w:rPr>
        <w:t xml:space="preserve"> </w:t>
      </w:r>
    </w:p>
    <w:p w14:paraId="165E7C02"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Reserve Bank of Australia. (2024). </w:t>
      </w:r>
      <w:r w:rsidRPr="00471419">
        <w:rPr>
          <w:i/>
          <w:sz w:val="24"/>
          <w:szCs w:val="24"/>
        </w:rPr>
        <w:t>Assessment of ASX Clearing and Settlement Facilities – September 2024 | Media Releases</w:t>
      </w:r>
      <w:r w:rsidRPr="00471419">
        <w:rPr>
          <w:sz w:val="24"/>
          <w:szCs w:val="24"/>
        </w:rPr>
        <w:t xml:space="preserve">. Reserve Bank of Australia. </w:t>
      </w:r>
      <w:hyperlink r:id="rId75">
        <w:r w:rsidRPr="00471419">
          <w:rPr>
            <w:color w:val="1155CC"/>
            <w:sz w:val="24"/>
            <w:szCs w:val="24"/>
            <w:u w:val="single"/>
          </w:rPr>
          <w:t>https://www.rba.gov.au/media-releases/2024/mr-24-19.html</w:t>
        </w:r>
      </w:hyperlink>
      <w:r w:rsidRPr="00471419">
        <w:rPr>
          <w:sz w:val="24"/>
          <w:szCs w:val="24"/>
        </w:rPr>
        <w:t xml:space="preserve"> </w:t>
      </w:r>
    </w:p>
    <w:p w14:paraId="41C817E4"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Rofi’ah, D. M. (2025). NIST Cybersecurity Framework in the Lens of Indonesian Internal Auditors. </w:t>
      </w:r>
      <w:r w:rsidRPr="00471419">
        <w:rPr>
          <w:i/>
          <w:sz w:val="24"/>
          <w:szCs w:val="24"/>
        </w:rPr>
        <w:t>Indonesian Interdisciplinary Journal of Sharia Economics (IIJSE)</w:t>
      </w:r>
      <w:r w:rsidRPr="00471419">
        <w:rPr>
          <w:sz w:val="24"/>
          <w:szCs w:val="24"/>
        </w:rPr>
        <w:t xml:space="preserve">, </w:t>
      </w:r>
      <w:r w:rsidRPr="00471419">
        <w:rPr>
          <w:i/>
          <w:sz w:val="24"/>
          <w:szCs w:val="24"/>
        </w:rPr>
        <w:t>8</w:t>
      </w:r>
      <w:r w:rsidRPr="00471419">
        <w:rPr>
          <w:sz w:val="24"/>
          <w:szCs w:val="24"/>
        </w:rPr>
        <w:t xml:space="preserve">(2), 3349–3367. </w:t>
      </w:r>
      <w:hyperlink r:id="rId76">
        <w:r w:rsidRPr="00471419">
          <w:rPr>
            <w:color w:val="1155CC"/>
            <w:sz w:val="24"/>
            <w:szCs w:val="24"/>
            <w:u w:val="single"/>
          </w:rPr>
          <w:t>https://e-journal.uac.ac.id/index.php/iijse/article/view/6027</w:t>
        </w:r>
      </w:hyperlink>
      <w:r w:rsidRPr="00471419">
        <w:rPr>
          <w:sz w:val="24"/>
          <w:szCs w:val="24"/>
        </w:rPr>
        <w:t xml:space="preserve"> </w:t>
      </w:r>
    </w:p>
    <w:p w14:paraId="34496463"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Roshanaei, M. (2021). Resilience at the Core: Critical Infrastructure Protection Challenges, Priorities and Cybersecurity Assessment Strategies. </w:t>
      </w:r>
      <w:r w:rsidRPr="00471419">
        <w:rPr>
          <w:i/>
          <w:sz w:val="24"/>
          <w:szCs w:val="24"/>
        </w:rPr>
        <w:t>Journal of Computer and Communications</w:t>
      </w:r>
      <w:r w:rsidRPr="00471419">
        <w:rPr>
          <w:sz w:val="24"/>
          <w:szCs w:val="24"/>
        </w:rPr>
        <w:t xml:space="preserve">, </w:t>
      </w:r>
      <w:r w:rsidRPr="00471419">
        <w:rPr>
          <w:i/>
          <w:sz w:val="24"/>
          <w:szCs w:val="24"/>
        </w:rPr>
        <w:t>09</w:t>
      </w:r>
      <w:r w:rsidRPr="00471419">
        <w:rPr>
          <w:sz w:val="24"/>
          <w:szCs w:val="24"/>
        </w:rPr>
        <w:t xml:space="preserve">(08), 80–102. </w:t>
      </w:r>
      <w:hyperlink r:id="rId77">
        <w:r w:rsidRPr="00471419">
          <w:rPr>
            <w:color w:val="1155CC"/>
            <w:sz w:val="24"/>
            <w:szCs w:val="24"/>
            <w:u w:val="single"/>
          </w:rPr>
          <w:t>https://doi.org/10.4236/jcc.2021.98006</w:t>
        </w:r>
      </w:hyperlink>
      <w:r w:rsidRPr="00471419">
        <w:rPr>
          <w:sz w:val="24"/>
          <w:szCs w:val="24"/>
        </w:rPr>
        <w:t xml:space="preserve"> </w:t>
      </w:r>
    </w:p>
    <w:p w14:paraId="7E9D0CA4"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Saeed, S., Suayyid, S. A., Al-Ghamdi, M. S., Al-Muhaisen, H., &amp; Almuhaideb, A. M. (2023). A Systematic Literature Review on Cyber Threat Intelligence for Organizational Cybersecurity Resilience. </w:t>
      </w:r>
      <w:r w:rsidRPr="00471419">
        <w:rPr>
          <w:i/>
          <w:sz w:val="24"/>
          <w:szCs w:val="24"/>
        </w:rPr>
        <w:t>Sensors</w:t>
      </w:r>
      <w:r w:rsidRPr="00471419">
        <w:rPr>
          <w:sz w:val="24"/>
          <w:szCs w:val="24"/>
        </w:rPr>
        <w:t xml:space="preserve">, </w:t>
      </w:r>
      <w:r w:rsidRPr="00471419">
        <w:rPr>
          <w:i/>
          <w:sz w:val="24"/>
          <w:szCs w:val="24"/>
        </w:rPr>
        <w:t>23</w:t>
      </w:r>
      <w:r w:rsidRPr="00471419">
        <w:rPr>
          <w:sz w:val="24"/>
          <w:szCs w:val="24"/>
        </w:rPr>
        <w:t xml:space="preserve">(16), 7273. </w:t>
      </w:r>
      <w:hyperlink r:id="rId78">
        <w:r w:rsidRPr="00471419">
          <w:rPr>
            <w:color w:val="1155CC"/>
            <w:sz w:val="24"/>
            <w:szCs w:val="24"/>
            <w:u w:val="single"/>
          </w:rPr>
          <w:t>https://doi.org/10.3390/s23167273</w:t>
        </w:r>
      </w:hyperlink>
      <w:r w:rsidRPr="00471419">
        <w:rPr>
          <w:sz w:val="24"/>
          <w:szCs w:val="24"/>
        </w:rPr>
        <w:t xml:space="preserve"> </w:t>
      </w:r>
    </w:p>
    <w:p w14:paraId="69FAF83F"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Safitra, M. F., Lubis, M., &amp; Fakhrurroja, H. (2023). Counterattacking Cyber Threats: A Framework for the Future of Cybersecurity. </w:t>
      </w:r>
      <w:r w:rsidRPr="00471419">
        <w:rPr>
          <w:i/>
          <w:sz w:val="24"/>
          <w:szCs w:val="24"/>
        </w:rPr>
        <w:t>Sustainability</w:t>
      </w:r>
      <w:r w:rsidRPr="00471419">
        <w:rPr>
          <w:sz w:val="24"/>
          <w:szCs w:val="24"/>
        </w:rPr>
        <w:t xml:space="preserve">, </w:t>
      </w:r>
      <w:r w:rsidRPr="00471419">
        <w:rPr>
          <w:i/>
          <w:sz w:val="24"/>
          <w:szCs w:val="24"/>
        </w:rPr>
        <w:t>15</w:t>
      </w:r>
      <w:r w:rsidRPr="00471419">
        <w:rPr>
          <w:sz w:val="24"/>
          <w:szCs w:val="24"/>
        </w:rPr>
        <w:t xml:space="preserve">(18), 13369. </w:t>
      </w:r>
      <w:hyperlink r:id="rId79">
        <w:r w:rsidRPr="00471419">
          <w:rPr>
            <w:color w:val="1155CC"/>
            <w:sz w:val="24"/>
            <w:szCs w:val="24"/>
            <w:u w:val="single"/>
          </w:rPr>
          <w:t>https://doi.org/10.3390/su151813369</w:t>
        </w:r>
      </w:hyperlink>
      <w:r w:rsidRPr="00471419">
        <w:rPr>
          <w:sz w:val="24"/>
          <w:szCs w:val="24"/>
        </w:rPr>
        <w:t xml:space="preserve"> </w:t>
      </w:r>
    </w:p>
    <w:p w14:paraId="5C126EB6"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Salako, A. O., Fabuyi, J. A., Aideyan, N. T., Selesi-Aina, O., Dapo-Oyewole, D. L., &amp; Olaniyi, O. O. (2024). Advancing Information Governance in AI-Driven Cloud Ecosystem: Strategies for Enhancing Data Security and Meeting Regulatory Compliance. </w:t>
      </w:r>
      <w:r w:rsidRPr="00471419">
        <w:rPr>
          <w:i/>
          <w:sz w:val="24"/>
          <w:szCs w:val="24"/>
        </w:rPr>
        <w:t>Asian Journal of Research in Computer Science</w:t>
      </w:r>
      <w:r w:rsidRPr="00471419">
        <w:rPr>
          <w:sz w:val="24"/>
          <w:szCs w:val="24"/>
        </w:rPr>
        <w:t xml:space="preserve">, </w:t>
      </w:r>
      <w:r w:rsidRPr="00471419">
        <w:rPr>
          <w:i/>
          <w:sz w:val="24"/>
          <w:szCs w:val="24"/>
        </w:rPr>
        <w:t>17</w:t>
      </w:r>
      <w:r w:rsidRPr="00471419">
        <w:rPr>
          <w:sz w:val="24"/>
          <w:szCs w:val="24"/>
        </w:rPr>
        <w:t xml:space="preserve">(12), 66–88. </w:t>
      </w:r>
      <w:hyperlink r:id="rId80">
        <w:r w:rsidRPr="00471419">
          <w:rPr>
            <w:color w:val="1155CC"/>
            <w:sz w:val="24"/>
            <w:szCs w:val="24"/>
            <w:u w:val="single"/>
          </w:rPr>
          <w:t>https://doi.org/10.9734/ajrcos/2024/v17i12530</w:t>
        </w:r>
      </w:hyperlink>
      <w:r w:rsidRPr="00471419">
        <w:rPr>
          <w:sz w:val="24"/>
          <w:szCs w:val="24"/>
        </w:rPr>
        <w:t xml:space="preserve"> </w:t>
      </w:r>
    </w:p>
    <w:p w14:paraId="4A2E368D"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Samuel-Okon, A. D., Akinola, O. I., Olaniyi, O. O., Olateju, O. O., &amp; Ajayi, S. A. (2024). Assessing the Effectiveness of Network Security Tools in Mitigating the Impact of Deepfakes AI on Public Trust in Media. </w:t>
      </w:r>
      <w:r w:rsidRPr="00471419">
        <w:rPr>
          <w:i/>
          <w:sz w:val="24"/>
          <w:szCs w:val="24"/>
        </w:rPr>
        <w:t>Archives of Current Research International</w:t>
      </w:r>
      <w:r w:rsidRPr="00471419">
        <w:rPr>
          <w:sz w:val="24"/>
          <w:szCs w:val="24"/>
        </w:rPr>
        <w:t xml:space="preserve">, </w:t>
      </w:r>
      <w:r w:rsidRPr="00471419">
        <w:rPr>
          <w:i/>
          <w:sz w:val="24"/>
          <w:szCs w:val="24"/>
        </w:rPr>
        <w:t>24</w:t>
      </w:r>
      <w:r w:rsidRPr="00471419">
        <w:rPr>
          <w:sz w:val="24"/>
          <w:szCs w:val="24"/>
        </w:rPr>
        <w:t xml:space="preserve">(6), 355–375. </w:t>
      </w:r>
      <w:hyperlink r:id="rId81">
        <w:r w:rsidRPr="00471419">
          <w:rPr>
            <w:color w:val="1155CC"/>
            <w:sz w:val="24"/>
            <w:szCs w:val="24"/>
            <w:u w:val="single"/>
          </w:rPr>
          <w:t>https://doi.org/10.9734/acri/2024/v24i6794</w:t>
        </w:r>
      </w:hyperlink>
      <w:r w:rsidRPr="00471419">
        <w:rPr>
          <w:sz w:val="24"/>
          <w:szCs w:val="24"/>
        </w:rPr>
        <w:t xml:space="preserve"> </w:t>
      </w:r>
    </w:p>
    <w:p w14:paraId="69EF916B"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Shandilya, S. K., Datta, A., Kartik, Y., &amp; Nagar, A. (2024). Navigating the Regulatory Landscape. </w:t>
      </w:r>
      <w:r w:rsidRPr="00471419">
        <w:rPr>
          <w:i/>
          <w:sz w:val="24"/>
          <w:szCs w:val="24"/>
        </w:rPr>
        <w:t>EAI/Springer Innovations in Communication and Computing</w:t>
      </w:r>
      <w:r w:rsidRPr="00471419">
        <w:rPr>
          <w:sz w:val="24"/>
          <w:szCs w:val="24"/>
        </w:rPr>
        <w:t xml:space="preserve">, 127–240. </w:t>
      </w:r>
      <w:hyperlink r:id="rId82">
        <w:r w:rsidRPr="00471419">
          <w:rPr>
            <w:color w:val="1155CC"/>
            <w:sz w:val="24"/>
            <w:szCs w:val="24"/>
            <w:u w:val="single"/>
          </w:rPr>
          <w:t>https://doi.org/10.1007/978-3-031-53290-0_3</w:t>
        </w:r>
      </w:hyperlink>
      <w:r w:rsidRPr="00471419">
        <w:rPr>
          <w:sz w:val="24"/>
          <w:szCs w:val="24"/>
        </w:rPr>
        <w:t xml:space="preserve"> </w:t>
      </w:r>
    </w:p>
    <w:p w14:paraId="26AA99AD"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Slapničar, S., Vuko, T., Čular, M., &amp; Drašček, M. (2022). Effectiveness of Cybersecurity Audit. </w:t>
      </w:r>
      <w:r w:rsidRPr="00471419">
        <w:rPr>
          <w:i/>
          <w:sz w:val="24"/>
          <w:szCs w:val="24"/>
        </w:rPr>
        <w:t>International Journal of Accounting Information Systems</w:t>
      </w:r>
      <w:r w:rsidRPr="00471419">
        <w:rPr>
          <w:sz w:val="24"/>
          <w:szCs w:val="24"/>
        </w:rPr>
        <w:t xml:space="preserve">, </w:t>
      </w:r>
      <w:r w:rsidRPr="00471419">
        <w:rPr>
          <w:i/>
          <w:sz w:val="24"/>
          <w:szCs w:val="24"/>
        </w:rPr>
        <w:t>44</w:t>
      </w:r>
      <w:r w:rsidRPr="00471419">
        <w:rPr>
          <w:sz w:val="24"/>
          <w:szCs w:val="24"/>
        </w:rPr>
        <w:t xml:space="preserve">(1), 100548. Sciencedirect. </w:t>
      </w:r>
      <w:hyperlink r:id="rId83">
        <w:r w:rsidRPr="00471419">
          <w:rPr>
            <w:color w:val="1155CC"/>
            <w:sz w:val="24"/>
            <w:szCs w:val="24"/>
            <w:u w:val="single"/>
          </w:rPr>
          <w:t>https://doi.org/10.1016/j.accinf.2021.100548</w:t>
        </w:r>
      </w:hyperlink>
      <w:r w:rsidRPr="00471419">
        <w:rPr>
          <w:sz w:val="24"/>
          <w:szCs w:val="24"/>
        </w:rPr>
        <w:t xml:space="preserve"> </w:t>
      </w:r>
    </w:p>
    <w:p w14:paraId="79D65996"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Tahmasebi, M. (2024). Beyond Defense: Proactive Approaches to Disaster Recovery and Threat Intelligence in Modern Enterprises. </w:t>
      </w:r>
      <w:r w:rsidRPr="00471419">
        <w:rPr>
          <w:i/>
          <w:sz w:val="24"/>
          <w:szCs w:val="24"/>
        </w:rPr>
        <w:t>Journal of Information Security</w:t>
      </w:r>
      <w:r w:rsidRPr="00471419">
        <w:rPr>
          <w:sz w:val="24"/>
          <w:szCs w:val="24"/>
        </w:rPr>
        <w:t xml:space="preserve">, </w:t>
      </w:r>
      <w:r w:rsidRPr="00471419">
        <w:rPr>
          <w:i/>
          <w:sz w:val="24"/>
          <w:szCs w:val="24"/>
        </w:rPr>
        <w:t>15</w:t>
      </w:r>
      <w:r w:rsidRPr="00471419">
        <w:rPr>
          <w:sz w:val="24"/>
          <w:szCs w:val="24"/>
        </w:rPr>
        <w:t xml:space="preserve">(2), 106–133. </w:t>
      </w:r>
      <w:hyperlink r:id="rId84">
        <w:r w:rsidRPr="00471419">
          <w:rPr>
            <w:color w:val="1155CC"/>
            <w:sz w:val="24"/>
            <w:szCs w:val="24"/>
            <w:u w:val="single"/>
          </w:rPr>
          <w:t>https://doi.org/10.4236/jis.2024.152008</w:t>
        </w:r>
      </w:hyperlink>
      <w:r w:rsidRPr="00471419">
        <w:rPr>
          <w:sz w:val="24"/>
          <w:szCs w:val="24"/>
        </w:rPr>
        <w:t xml:space="preserve"> </w:t>
      </w:r>
    </w:p>
    <w:p w14:paraId="2F37C43B"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Tan, Z., Parambath, S. P., Anagnostopoulos, C., Singer, J., &amp; Marnerides, A. K. (2025). Advanced Persistent Threats Based on Supply Chain Vulnerabilities: Challenges, Solutions &amp; Future Directions. </w:t>
      </w:r>
      <w:r w:rsidRPr="00471419">
        <w:rPr>
          <w:i/>
          <w:sz w:val="24"/>
          <w:szCs w:val="24"/>
        </w:rPr>
        <w:t>IEEE Internet of Things Journal</w:t>
      </w:r>
      <w:r w:rsidRPr="00471419">
        <w:rPr>
          <w:sz w:val="24"/>
          <w:szCs w:val="24"/>
        </w:rPr>
        <w:t>, 1–1. https://doi.org/10.1109/jiot.2025.3528744</w:t>
      </w:r>
    </w:p>
    <w:p w14:paraId="096FE547"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ThoughtLab. (2024). </w:t>
      </w:r>
      <w:r w:rsidRPr="00471419">
        <w:rPr>
          <w:i/>
          <w:sz w:val="24"/>
          <w:szCs w:val="24"/>
        </w:rPr>
        <w:t>ThoughtLab Group | Trendsetters in Thought Leadership</w:t>
      </w:r>
      <w:r w:rsidRPr="00471419">
        <w:rPr>
          <w:sz w:val="24"/>
          <w:szCs w:val="24"/>
        </w:rPr>
        <w:t xml:space="preserve">. ThoughtLab. </w:t>
      </w:r>
      <w:hyperlink r:id="rId85">
        <w:r w:rsidRPr="00471419">
          <w:rPr>
            <w:color w:val="1155CC"/>
            <w:sz w:val="24"/>
            <w:szCs w:val="24"/>
            <w:u w:val="single"/>
          </w:rPr>
          <w:t>https://thoughtlabgroup.com/</w:t>
        </w:r>
      </w:hyperlink>
      <w:r w:rsidRPr="00471419">
        <w:rPr>
          <w:sz w:val="24"/>
          <w:szCs w:val="24"/>
        </w:rPr>
        <w:t xml:space="preserve"> </w:t>
      </w:r>
    </w:p>
    <w:p w14:paraId="24BB801B"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TSA. (2023). </w:t>
      </w:r>
      <w:r w:rsidRPr="00471419">
        <w:rPr>
          <w:i/>
          <w:sz w:val="24"/>
          <w:szCs w:val="24"/>
        </w:rPr>
        <w:t>TSA updates, renews cybersecurity requirements for pipeline owners, operators | Transportation Security Administration</w:t>
      </w:r>
      <w:r w:rsidRPr="00471419">
        <w:rPr>
          <w:sz w:val="24"/>
          <w:szCs w:val="24"/>
        </w:rPr>
        <w:t xml:space="preserve">. Www.tsa.gov. </w:t>
      </w:r>
      <w:hyperlink r:id="rId86">
        <w:r w:rsidRPr="00471419">
          <w:rPr>
            <w:color w:val="1155CC"/>
            <w:sz w:val="24"/>
            <w:szCs w:val="24"/>
            <w:u w:val="single"/>
          </w:rPr>
          <w:t>https://www.tsa.gov/news/press/releases/2023/07/26/tsa-updates-renews-cybersecurity-requirements-pipeline-owners</w:t>
        </w:r>
      </w:hyperlink>
      <w:r w:rsidRPr="00471419">
        <w:rPr>
          <w:sz w:val="24"/>
          <w:szCs w:val="24"/>
        </w:rPr>
        <w:t xml:space="preserve"> </w:t>
      </w:r>
    </w:p>
    <w:p w14:paraId="482E3ED6"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U.S. Government Accountability Office. (2025). </w:t>
      </w:r>
      <w:r w:rsidRPr="00471419">
        <w:rPr>
          <w:i/>
          <w:sz w:val="24"/>
          <w:szCs w:val="24"/>
        </w:rPr>
        <w:t>Mission-Critical Information Technology: Agencies Are Monitoring Selected Acquisitions for Cybersecurity and Privacy Risks</w:t>
      </w:r>
      <w:r w:rsidRPr="00471419">
        <w:rPr>
          <w:sz w:val="24"/>
          <w:szCs w:val="24"/>
        </w:rPr>
        <w:t xml:space="preserve">. Gao.gov. </w:t>
      </w:r>
      <w:hyperlink r:id="rId87">
        <w:r w:rsidRPr="00471419">
          <w:rPr>
            <w:color w:val="1155CC"/>
            <w:sz w:val="24"/>
            <w:szCs w:val="24"/>
            <w:u w:val="single"/>
          </w:rPr>
          <w:t>https://www.gao.gov/products/gao-25-106908</w:t>
        </w:r>
      </w:hyperlink>
      <w:r w:rsidRPr="00471419">
        <w:rPr>
          <w:sz w:val="24"/>
          <w:szCs w:val="24"/>
        </w:rPr>
        <w:t xml:space="preserve"> </w:t>
      </w:r>
    </w:p>
    <w:p w14:paraId="312D65F8" w14:textId="77777777" w:rsidR="008507DD" w:rsidRPr="00DF5C51" w:rsidRDefault="003A4165" w:rsidP="00471419">
      <w:pPr>
        <w:spacing w:after="240" w:line="360" w:lineRule="auto"/>
        <w:ind w:left="720" w:hanging="720"/>
        <w:jc w:val="both"/>
        <w:rPr>
          <w:sz w:val="24"/>
          <w:szCs w:val="24"/>
          <w:lang w:val="es-ES"/>
        </w:rPr>
      </w:pPr>
      <w:r w:rsidRPr="00471419">
        <w:rPr>
          <w:sz w:val="24"/>
          <w:szCs w:val="24"/>
        </w:rPr>
        <w:t xml:space="preserve">United States Government Accountability Office. (2024). </w:t>
      </w:r>
      <w:r w:rsidRPr="00471419">
        <w:rPr>
          <w:i/>
          <w:sz w:val="24"/>
          <w:szCs w:val="24"/>
        </w:rPr>
        <w:t>CRITICAL INFRASTRUCTURE PROTECTION Agencies Need to Enhance Oversight of Ransomware Practices and Assess Federal Support Report to Congressional Addressees United States Government Accountability Office</w:t>
      </w:r>
      <w:r w:rsidRPr="00471419">
        <w:rPr>
          <w:sz w:val="24"/>
          <w:szCs w:val="24"/>
        </w:rPr>
        <w:t xml:space="preserve">. </w:t>
      </w:r>
      <w:hyperlink r:id="rId88">
        <w:r w:rsidRPr="00DF5C51">
          <w:rPr>
            <w:color w:val="1155CC"/>
            <w:sz w:val="24"/>
            <w:szCs w:val="24"/>
            <w:u w:val="single"/>
            <w:lang w:val="es-ES"/>
          </w:rPr>
          <w:t>https://www.gao.gov/assets/d24106221.pdf</w:t>
        </w:r>
      </w:hyperlink>
      <w:r w:rsidRPr="00DF5C51">
        <w:rPr>
          <w:sz w:val="24"/>
          <w:szCs w:val="24"/>
          <w:lang w:val="es-ES"/>
        </w:rPr>
        <w:t xml:space="preserve"> </w:t>
      </w:r>
    </w:p>
    <w:p w14:paraId="35ADA6D9"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Val, O. O., Kolade, T. M., Gbadebo, M. O., Selesi-Aina, O., Olateju, O. O., &amp; Olaniyi, O. O. (2024). </w:t>
      </w:r>
      <w:r w:rsidRPr="00471419">
        <w:rPr>
          <w:sz w:val="24"/>
          <w:szCs w:val="24"/>
        </w:rPr>
        <w:t xml:space="preserve">Strengthening Cybersecurity Measures for the Defense of Critical Infrastructure in the United States. </w:t>
      </w:r>
      <w:r w:rsidRPr="00471419">
        <w:rPr>
          <w:i/>
          <w:sz w:val="24"/>
          <w:szCs w:val="24"/>
        </w:rPr>
        <w:t>Asian Journal of Research in Computer Science</w:t>
      </w:r>
      <w:r w:rsidRPr="00471419">
        <w:rPr>
          <w:sz w:val="24"/>
          <w:szCs w:val="24"/>
        </w:rPr>
        <w:t xml:space="preserve">, </w:t>
      </w:r>
      <w:r w:rsidRPr="00471419">
        <w:rPr>
          <w:i/>
          <w:sz w:val="24"/>
          <w:szCs w:val="24"/>
        </w:rPr>
        <w:t>17</w:t>
      </w:r>
      <w:r w:rsidRPr="00471419">
        <w:rPr>
          <w:sz w:val="24"/>
          <w:szCs w:val="24"/>
        </w:rPr>
        <w:t xml:space="preserve">(11), 25–45. </w:t>
      </w:r>
      <w:hyperlink r:id="rId89">
        <w:r w:rsidRPr="00471419">
          <w:rPr>
            <w:color w:val="1155CC"/>
            <w:sz w:val="24"/>
            <w:szCs w:val="24"/>
            <w:u w:val="single"/>
          </w:rPr>
          <w:t>https://doi.org/10.9734/ajrcos/2024/v17i11517</w:t>
        </w:r>
      </w:hyperlink>
      <w:r w:rsidRPr="00471419">
        <w:rPr>
          <w:sz w:val="24"/>
          <w:szCs w:val="24"/>
        </w:rPr>
        <w:t xml:space="preserve"> </w:t>
      </w:r>
    </w:p>
    <w:p w14:paraId="61E69ECF"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Wood, C. (2024). </w:t>
      </w:r>
      <w:r w:rsidRPr="00471419">
        <w:rPr>
          <w:i/>
          <w:sz w:val="24"/>
          <w:szCs w:val="24"/>
        </w:rPr>
        <w:t>“Critical” cyber vulnerabilities found in many water utilities, warns EPA inspector general</w:t>
      </w:r>
      <w:r w:rsidRPr="00471419">
        <w:rPr>
          <w:sz w:val="24"/>
          <w:szCs w:val="24"/>
        </w:rPr>
        <w:t xml:space="preserve">. StateScoop. </w:t>
      </w:r>
      <w:hyperlink r:id="rId90">
        <w:r w:rsidRPr="00471419">
          <w:rPr>
            <w:color w:val="1155CC"/>
            <w:sz w:val="24"/>
            <w:szCs w:val="24"/>
            <w:u w:val="single"/>
          </w:rPr>
          <w:t>https://statescoop.com/epa-critical-cybersecurity-vulnerabilities-water-utilities-2024/</w:t>
        </w:r>
      </w:hyperlink>
      <w:r w:rsidRPr="00471419">
        <w:rPr>
          <w:sz w:val="24"/>
          <w:szCs w:val="24"/>
        </w:rPr>
        <w:t xml:space="preserve"> </w:t>
      </w:r>
    </w:p>
    <w:p w14:paraId="67674C14"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Xi, W. (2024). Regulatory Changes and Compliance Challenges. </w:t>
      </w:r>
      <w:r w:rsidRPr="00471419">
        <w:rPr>
          <w:i/>
          <w:sz w:val="24"/>
          <w:szCs w:val="24"/>
        </w:rPr>
        <w:t>Emerald Publishing Limited EBooks</w:t>
      </w:r>
      <w:r w:rsidRPr="00471419">
        <w:rPr>
          <w:sz w:val="24"/>
          <w:szCs w:val="24"/>
        </w:rPr>
        <w:t xml:space="preserve">, 119–134. </w:t>
      </w:r>
      <w:hyperlink r:id="rId91">
        <w:r w:rsidRPr="00471419">
          <w:rPr>
            <w:color w:val="1155CC"/>
            <w:sz w:val="24"/>
            <w:szCs w:val="24"/>
            <w:u w:val="single"/>
          </w:rPr>
          <w:t>https://doi.org/10.1108/978-1-83608-106-720241008</w:t>
        </w:r>
      </w:hyperlink>
      <w:r w:rsidRPr="00471419">
        <w:rPr>
          <w:sz w:val="24"/>
          <w:szCs w:val="24"/>
        </w:rPr>
        <w:t xml:space="preserve"> </w:t>
      </w:r>
    </w:p>
    <w:p w14:paraId="00DE9627" w14:textId="77777777" w:rsidR="008507DD" w:rsidRPr="00471419" w:rsidRDefault="008507DD">
      <w:pPr>
        <w:spacing w:before="240" w:after="240"/>
        <w:jc w:val="both"/>
        <w:rPr>
          <w:sz w:val="24"/>
          <w:szCs w:val="24"/>
        </w:rPr>
      </w:pPr>
    </w:p>
    <w:sectPr w:rsidR="008507DD" w:rsidRPr="00471419">
      <w:headerReference w:type="even" r:id="rId92"/>
      <w:headerReference w:type="default" r:id="rId93"/>
      <w:footerReference w:type="even" r:id="rId94"/>
      <w:footerReference w:type="default" r:id="rId95"/>
      <w:headerReference w:type="first" r:id="rId96"/>
      <w:footerReference w:type="first" r:id="rId9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C947C" w14:textId="77777777" w:rsidR="00BA7FCF" w:rsidRDefault="00BA7FCF" w:rsidP="003E7ED3">
      <w:pPr>
        <w:spacing w:line="240" w:lineRule="auto"/>
      </w:pPr>
      <w:r>
        <w:separator/>
      </w:r>
    </w:p>
  </w:endnote>
  <w:endnote w:type="continuationSeparator" w:id="0">
    <w:p w14:paraId="0C4ECB73" w14:textId="77777777" w:rsidR="00BA7FCF" w:rsidRDefault="00BA7FCF" w:rsidP="003E7E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595C7" w14:textId="77777777" w:rsidR="00CC1D2C" w:rsidRDefault="00CC1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802547"/>
      <w:docPartObj>
        <w:docPartGallery w:val="Page Numbers (Bottom of Page)"/>
        <w:docPartUnique/>
      </w:docPartObj>
    </w:sdtPr>
    <w:sdtEndPr>
      <w:rPr>
        <w:noProof/>
      </w:rPr>
    </w:sdtEndPr>
    <w:sdtContent>
      <w:p w14:paraId="562BAA65" w14:textId="1E72F5CA" w:rsidR="00CC1D2C" w:rsidRDefault="00CC1D2C">
        <w:pPr>
          <w:pStyle w:val="Footer"/>
          <w:jc w:val="center"/>
        </w:pPr>
        <w:r>
          <w:fldChar w:fldCharType="begin"/>
        </w:r>
        <w:r>
          <w:instrText xml:space="preserve"> PAGE   \* MERGEFORMAT </w:instrText>
        </w:r>
        <w:r>
          <w:fldChar w:fldCharType="separate"/>
        </w:r>
        <w:r w:rsidR="009603C2">
          <w:rPr>
            <w:noProof/>
          </w:rPr>
          <w:t>27</w:t>
        </w:r>
        <w:r>
          <w:rPr>
            <w:noProof/>
          </w:rPr>
          <w:fldChar w:fldCharType="end"/>
        </w:r>
      </w:p>
    </w:sdtContent>
  </w:sdt>
  <w:p w14:paraId="6434B623" w14:textId="77777777" w:rsidR="00CC1D2C" w:rsidRDefault="00CC1D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48D5C" w14:textId="77777777" w:rsidR="00CC1D2C" w:rsidRDefault="00CC1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931FA" w14:textId="77777777" w:rsidR="00BA7FCF" w:rsidRDefault="00BA7FCF" w:rsidP="003E7ED3">
      <w:pPr>
        <w:spacing w:line="240" w:lineRule="auto"/>
      </w:pPr>
      <w:r>
        <w:separator/>
      </w:r>
    </w:p>
  </w:footnote>
  <w:footnote w:type="continuationSeparator" w:id="0">
    <w:p w14:paraId="73904DCF" w14:textId="77777777" w:rsidR="00BA7FCF" w:rsidRDefault="00BA7FCF" w:rsidP="003E7E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B0CD" w14:textId="4EF2B076" w:rsidR="00CC1D2C" w:rsidRDefault="00BA7FCF">
    <w:pPr>
      <w:pStyle w:val="Header"/>
    </w:pPr>
    <w:r>
      <w:rPr>
        <w:noProof/>
      </w:rPr>
      <w:pict w14:anchorId="290C1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1111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A1536" w14:textId="48F18AEB" w:rsidR="00CC1D2C" w:rsidRDefault="00BA7FCF">
    <w:pPr>
      <w:pStyle w:val="Header"/>
    </w:pPr>
    <w:r>
      <w:rPr>
        <w:noProof/>
      </w:rPr>
      <w:pict w14:anchorId="433E5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1111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CCFF0" w14:textId="00F0F776" w:rsidR="00CC1D2C" w:rsidRDefault="00BA7FCF">
    <w:pPr>
      <w:pStyle w:val="Header"/>
    </w:pPr>
    <w:r>
      <w:rPr>
        <w:noProof/>
      </w:rPr>
      <w:pict w14:anchorId="2E800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1110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720F0"/>
    <w:multiLevelType w:val="multilevel"/>
    <w:tmpl w:val="8556B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C672BBF"/>
    <w:multiLevelType w:val="multilevel"/>
    <w:tmpl w:val="DA8A5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4733E8"/>
    <w:multiLevelType w:val="multilevel"/>
    <w:tmpl w:val="033A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7D3C66"/>
    <w:multiLevelType w:val="multilevel"/>
    <w:tmpl w:val="A74A3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51655A"/>
    <w:multiLevelType w:val="multilevel"/>
    <w:tmpl w:val="0FB4E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cwMjW0NLQ0sDAxNTBS0lEKTi0uzszPAykwrAUA88/5ASwAAAA="/>
  </w:docVars>
  <w:rsids>
    <w:rsidRoot w:val="008507DD"/>
    <w:rsid w:val="0001451A"/>
    <w:rsid w:val="00114941"/>
    <w:rsid w:val="00117A17"/>
    <w:rsid w:val="001333D2"/>
    <w:rsid w:val="00165E9C"/>
    <w:rsid w:val="00225648"/>
    <w:rsid w:val="00246308"/>
    <w:rsid w:val="002A10E9"/>
    <w:rsid w:val="002D40D4"/>
    <w:rsid w:val="00357A97"/>
    <w:rsid w:val="00373270"/>
    <w:rsid w:val="003A4165"/>
    <w:rsid w:val="003A5586"/>
    <w:rsid w:val="003E6DD4"/>
    <w:rsid w:val="003E7ED3"/>
    <w:rsid w:val="003F68A0"/>
    <w:rsid w:val="00425A9C"/>
    <w:rsid w:val="00471419"/>
    <w:rsid w:val="004A1EEB"/>
    <w:rsid w:val="00516CF9"/>
    <w:rsid w:val="0054135A"/>
    <w:rsid w:val="00621F24"/>
    <w:rsid w:val="007436A8"/>
    <w:rsid w:val="00767AE1"/>
    <w:rsid w:val="00783DD0"/>
    <w:rsid w:val="00797B2A"/>
    <w:rsid w:val="007E54F6"/>
    <w:rsid w:val="0080029F"/>
    <w:rsid w:val="008507DD"/>
    <w:rsid w:val="008D087D"/>
    <w:rsid w:val="009516F7"/>
    <w:rsid w:val="009603C2"/>
    <w:rsid w:val="00975CA0"/>
    <w:rsid w:val="00980C2D"/>
    <w:rsid w:val="009F105A"/>
    <w:rsid w:val="00A16377"/>
    <w:rsid w:val="00A54F97"/>
    <w:rsid w:val="00A654A5"/>
    <w:rsid w:val="00A7446A"/>
    <w:rsid w:val="00AE5D70"/>
    <w:rsid w:val="00B26ED9"/>
    <w:rsid w:val="00B62363"/>
    <w:rsid w:val="00BA7FCF"/>
    <w:rsid w:val="00CB6C61"/>
    <w:rsid w:val="00CC1D2C"/>
    <w:rsid w:val="00CE22E2"/>
    <w:rsid w:val="00CE724E"/>
    <w:rsid w:val="00D25A95"/>
    <w:rsid w:val="00D80F99"/>
    <w:rsid w:val="00DF5C51"/>
    <w:rsid w:val="00E1342D"/>
    <w:rsid w:val="00E55C6D"/>
    <w:rsid w:val="00E75459"/>
    <w:rsid w:val="00EE1B8D"/>
    <w:rsid w:val="00EE3542"/>
    <w:rsid w:val="00EF1154"/>
    <w:rsid w:val="00F24EC9"/>
    <w:rsid w:val="00F30732"/>
    <w:rsid w:val="00FC4A39"/>
    <w:rsid w:val="00FD0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AE5A68"/>
  <w15:docId w15:val="{3A87CB4E-115E-4142-9D81-211717E0F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D08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6ED9"/>
    <w:rPr>
      <w:color w:val="808080"/>
    </w:rPr>
  </w:style>
  <w:style w:type="character" w:customStyle="1" w:styleId="mop">
    <w:name w:val="mop"/>
    <w:basedOn w:val="DefaultParagraphFont"/>
    <w:rsid w:val="00B26ED9"/>
  </w:style>
  <w:style w:type="character" w:customStyle="1" w:styleId="mopen">
    <w:name w:val="mopen"/>
    <w:basedOn w:val="DefaultParagraphFont"/>
    <w:rsid w:val="00B26ED9"/>
  </w:style>
  <w:style w:type="character" w:customStyle="1" w:styleId="delimsizing">
    <w:name w:val="delimsizing"/>
    <w:basedOn w:val="DefaultParagraphFont"/>
    <w:rsid w:val="00B26ED9"/>
  </w:style>
  <w:style w:type="character" w:customStyle="1" w:styleId="mord">
    <w:name w:val="mord"/>
    <w:basedOn w:val="DefaultParagraphFont"/>
    <w:rsid w:val="00B26ED9"/>
  </w:style>
  <w:style w:type="character" w:customStyle="1" w:styleId="mbin">
    <w:name w:val="mbin"/>
    <w:basedOn w:val="DefaultParagraphFont"/>
    <w:rsid w:val="00B26ED9"/>
  </w:style>
  <w:style w:type="character" w:customStyle="1" w:styleId="mrel">
    <w:name w:val="mrel"/>
    <w:basedOn w:val="DefaultParagraphFont"/>
    <w:rsid w:val="00B26ED9"/>
  </w:style>
  <w:style w:type="character" w:customStyle="1" w:styleId="mclose">
    <w:name w:val="mclose"/>
    <w:basedOn w:val="DefaultParagraphFont"/>
    <w:rsid w:val="00B26ED9"/>
  </w:style>
  <w:style w:type="character" w:customStyle="1" w:styleId="vlist-s">
    <w:name w:val="vlist-s"/>
    <w:basedOn w:val="DefaultParagraphFont"/>
    <w:rsid w:val="00B26ED9"/>
  </w:style>
  <w:style w:type="paragraph" w:styleId="Header">
    <w:name w:val="header"/>
    <w:basedOn w:val="Normal"/>
    <w:link w:val="HeaderChar"/>
    <w:uiPriority w:val="99"/>
    <w:unhideWhenUsed/>
    <w:rsid w:val="003E7ED3"/>
    <w:pPr>
      <w:tabs>
        <w:tab w:val="center" w:pos="4680"/>
        <w:tab w:val="right" w:pos="9360"/>
      </w:tabs>
      <w:spacing w:line="240" w:lineRule="auto"/>
    </w:pPr>
  </w:style>
  <w:style w:type="character" w:customStyle="1" w:styleId="HeaderChar">
    <w:name w:val="Header Char"/>
    <w:basedOn w:val="DefaultParagraphFont"/>
    <w:link w:val="Header"/>
    <w:uiPriority w:val="99"/>
    <w:rsid w:val="003E7ED3"/>
  </w:style>
  <w:style w:type="paragraph" w:styleId="Footer">
    <w:name w:val="footer"/>
    <w:basedOn w:val="Normal"/>
    <w:link w:val="FooterChar"/>
    <w:uiPriority w:val="99"/>
    <w:unhideWhenUsed/>
    <w:rsid w:val="003E7ED3"/>
    <w:pPr>
      <w:tabs>
        <w:tab w:val="center" w:pos="4680"/>
        <w:tab w:val="right" w:pos="9360"/>
      </w:tabs>
      <w:spacing w:line="240" w:lineRule="auto"/>
    </w:pPr>
  </w:style>
  <w:style w:type="character" w:customStyle="1" w:styleId="FooterChar">
    <w:name w:val="Footer Char"/>
    <w:basedOn w:val="DefaultParagraphFont"/>
    <w:link w:val="Footer"/>
    <w:uiPriority w:val="99"/>
    <w:rsid w:val="003E7ED3"/>
  </w:style>
  <w:style w:type="paragraph" w:styleId="ListParagraph">
    <w:name w:val="List Paragraph"/>
    <w:basedOn w:val="Normal"/>
    <w:uiPriority w:val="34"/>
    <w:qFormat/>
    <w:rsid w:val="00471419"/>
    <w:pPr>
      <w:ind w:left="720"/>
      <w:contextualSpacing/>
    </w:pPr>
  </w:style>
  <w:style w:type="paragraph" w:styleId="NoSpacing">
    <w:name w:val="No Spacing"/>
    <w:uiPriority w:val="1"/>
    <w:qFormat/>
    <w:rsid w:val="00DF5C51"/>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3A5586"/>
    <w:rPr>
      <w:color w:val="0000FF" w:themeColor="hyperlink"/>
      <w:u w:val="single"/>
    </w:rPr>
  </w:style>
  <w:style w:type="character" w:customStyle="1" w:styleId="UnresolvedMention1">
    <w:name w:val="Unresolved Mention1"/>
    <w:basedOn w:val="DefaultParagraphFont"/>
    <w:uiPriority w:val="99"/>
    <w:semiHidden/>
    <w:unhideWhenUsed/>
    <w:rsid w:val="003A5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64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portsanantonio.us/ARSOC" TargetMode="External"/><Relationship Id="rId21" Type="http://schemas.openxmlformats.org/officeDocument/2006/relationships/hyperlink" Target="https://doi.org/10.9734/ajeba/2024/v24i111542" TargetMode="External"/><Relationship Id="rId42" Type="http://schemas.openxmlformats.org/officeDocument/2006/relationships/hyperlink" Target="https://doi.org/10.1109/seb4sdg60871.2024.10630301" TargetMode="External"/><Relationship Id="rId47" Type="http://schemas.openxmlformats.org/officeDocument/2006/relationships/hyperlink" Target="https://www.congress.gov/crs-product/IF12798" TargetMode="External"/><Relationship Id="rId63" Type="http://schemas.openxmlformats.org/officeDocument/2006/relationships/hyperlink" Target="https://doi.org/10.9734/ajrcos/2025/v18i2564" TargetMode="External"/><Relationship Id="rId68" Type="http://schemas.openxmlformats.org/officeDocument/2006/relationships/hyperlink" Target="https://doi.org/10.9734/ajrcos/2025/v18i3583" TargetMode="External"/><Relationship Id="rId84" Type="http://schemas.openxmlformats.org/officeDocument/2006/relationships/hyperlink" Target="https://doi.org/10.4236/jis.2024.152008" TargetMode="External"/><Relationship Id="rId89" Type="http://schemas.openxmlformats.org/officeDocument/2006/relationships/hyperlink" Target="https://doi.org/10.9734/ajrcos/2024/v17i11517"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s://www.bl.uk/home/british-library-cyber-incident-review-8-march-2024.pdf/" TargetMode="External"/><Relationship Id="rId37" Type="http://schemas.openxmlformats.org/officeDocument/2006/relationships/hyperlink" Target="https://www.enisa.europa.eu/news/eus-first-ever-report-on-the-state-of-cybersecurity-in-the-union" TargetMode="External"/><Relationship Id="rId53" Type="http://schemas.openxmlformats.org/officeDocument/2006/relationships/hyperlink" Target="https://doi.org/10.3390/businesses4020015" TargetMode="External"/><Relationship Id="rId58" Type="http://schemas.openxmlformats.org/officeDocument/2006/relationships/hyperlink" Target="http://polarpublications.com/index.php/JACSTIC/article/view/3" TargetMode="External"/><Relationship Id="rId74" Type="http://schemas.openxmlformats.org/officeDocument/2006/relationships/hyperlink" Target="https://doi.org/10.1142/q0379" TargetMode="External"/><Relationship Id="rId79" Type="http://schemas.openxmlformats.org/officeDocument/2006/relationships/hyperlink" Target="https://doi.org/10.3390/su151813369" TargetMode="External"/><Relationship Id="rId5" Type="http://schemas.openxmlformats.org/officeDocument/2006/relationships/footnotes" Target="footnotes.xml"/><Relationship Id="rId90" Type="http://schemas.openxmlformats.org/officeDocument/2006/relationships/hyperlink" Target="https://statescoop.com/epa-critical-cybersecurity-vulnerabilities-water-utilities-2024/" TargetMode="External"/><Relationship Id="rId95" Type="http://schemas.openxmlformats.org/officeDocument/2006/relationships/footer" Target="footer2.xml"/><Relationship Id="rId22" Type="http://schemas.openxmlformats.org/officeDocument/2006/relationships/hyperlink" Target="https://doi.org/10.1016/j.cose.2024.103845" TargetMode="External"/><Relationship Id="rId27" Type="http://schemas.openxmlformats.org/officeDocument/2006/relationships/hyperlink" Target="https://www.asd.gov.au/news-events-speeches/news/2024-11-20-australian-signals-directorate-releases-annual-cyber-threat-report-2023-24" TargetMode="External"/><Relationship Id="rId43" Type="http://schemas.openxmlformats.org/officeDocument/2006/relationships/hyperlink" Target="https://doi.org/10.30574/wjarr.2024.22.3.1727" TargetMode="External"/><Relationship Id="rId48" Type="http://schemas.openxmlformats.org/officeDocument/2006/relationships/hyperlink" Target="https://www.abc.net.au/news/2024-06-17/biz-medibank-court-absence-of-multi-factor-authentication/103987732" TargetMode="External"/><Relationship Id="rId64" Type="http://schemas.openxmlformats.org/officeDocument/2006/relationships/hyperlink" Target="https://doi.org/10.9734/jerr/2025/v27i21400" TargetMode="External"/><Relationship Id="rId69" Type="http://schemas.openxmlformats.org/officeDocument/2006/relationships/hyperlink" Target="https://doi.org/10.9734/ajrcos/2025/v18i3586" TargetMode="External"/><Relationship Id="rId80" Type="http://schemas.openxmlformats.org/officeDocument/2006/relationships/hyperlink" Target="https://doi.org/10.9734/ajrcos/2024/v17i12530" TargetMode="External"/><Relationship Id="rId85" Type="http://schemas.openxmlformats.org/officeDocument/2006/relationships/hyperlink" Target="https://thoughtlabgroup.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109/ICIT58056.2023.10226018" TargetMode="External"/><Relationship Id="rId25" Type="http://schemas.openxmlformats.org/officeDocument/2006/relationships/hyperlink" Target="https://doi.org/10.1016/j.dss.2021.113580" TargetMode="External"/><Relationship Id="rId33" Type="http://schemas.openxmlformats.org/officeDocument/2006/relationships/hyperlink" Target="https://www.abc.net.au/news/2024-05-17/cyber-security-chief-says-medisecure-data-breach-isolated-attack/103860120" TargetMode="External"/><Relationship Id="rId38" Type="http://schemas.openxmlformats.org/officeDocument/2006/relationships/hyperlink" Target="https://energy.ec.europa.eu/news/new-network-code-cybersecurity-eu-electricity-sector-2024-03-11_en" TargetMode="External"/><Relationship Id="rId46" Type="http://schemas.openxmlformats.org/officeDocument/2006/relationships/hyperlink" Target="https://www.itgovernanceusa.com/cybersecurity-standards" TargetMode="External"/><Relationship Id="rId59" Type="http://schemas.openxmlformats.org/officeDocument/2006/relationships/hyperlink" Target="https://doi.org/10.9734/ajrcos/2024/v17i5442" TargetMode="External"/><Relationship Id="rId67" Type="http://schemas.openxmlformats.org/officeDocument/2006/relationships/hyperlink" Target="https://doi.org/10.9734/jerr/2025/v27i31416" TargetMode="External"/><Relationship Id="rId20" Type="http://schemas.openxmlformats.org/officeDocument/2006/relationships/hyperlink" Target="https://doi.org/10.1016/j.jksuci.2020.09.011" TargetMode="External"/><Relationship Id="rId41" Type="http://schemas.openxmlformats.org/officeDocument/2006/relationships/hyperlink" Target="https://doi.org/10.1016/j.ssci.2024.106436" TargetMode="External"/><Relationship Id="rId54" Type="http://schemas.openxmlformats.org/officeDocument/2006/relationships/hyperlink" Target="https://www.techtarget.com/whatis/feature/The-American-Water-cyberattack-Explaining-how-it-happened" TargetMode="External"/><Relationship Id="rId62" Type="http://schemas.openxmlformats.org/officeDocument/2006/relationships/hyperlink" Target="https://doi.org/10.51519/journalisi.v6i2.754" TargetMode="External"/><Relationship Id="rId70" Type="http://schemas.openxmlformats.org/officeDocument/2006/relationships/hyperlink" Target="https://doi.org/10.9734/jerr/2025/v27i21413" TargetMode="External"/><Relationship Id="rId75" Type="http://schemas.openxmlformats.org/officeDocument/2006/relationships/hyperlink" Target="https://www.rba.gov.au/media-releases/2024/mr-24-19.html" TargetMode="External"/><Relationship Id="rId83" Type="http://schemas.openxmlformats.org/officeDocument/2006/relationships/hyperlink" Target="https://doi.org/10.1016/j.accinf.2021.100548" TargetMode="External"/><Relationship Id="rId88" Type="http://schemas.openxmlformats.org/officeDocument/2006/relationships/hyperlink" Target="https://www.gao.gov/assets/d24106221.pdf" TargetMode="External"/><Relationship Id="rId91" Type="http://schemas.openxmlformats.org/officeDocument/2006/relationships/hyperlink" Target="https://doi.org/10.1108/978-1-83608-106-720241008"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109/access.2024.3524496" TargetMode="External"/><Relationship Id="rId28" Type="http://schemas.openxmlformats.org/officeDocument/2006/relationships/hyperlink" Target="https://doi.org/10.1016/j.ress.2020.107270" TargetMode="External"/><Relationship Id="rId36" Type="http://schemas.openxmlformats.org/officeDocument/2006/relationships/hyperlink" Target="https://doi.org/10.1007/979-8-8688-0297-3_11" TargetMode="External"/><Relationship Id="rId49" Type="http://schemas.openxmlformats.org/officeDocument/2006/relationships/hyperlink" Target="https://doi.org/10.9734/jerr/2024/v26i91271" TargetMode="External"/><Relationship Id="rId57" Type="http://schemas.openxmlformats.org/officeDocument/2006/relationships/hyperlink" Target="https://doi.org/10.1108/ics-06-2021-0091v" TargetMode="External"/><Relationship Id="rId10" Type="http://schemas.openxmlformats.org/officeDocument/2006/relationships/image" Target="media/image4.png"/><Relationship Id="rId31" Type="http://schemas.openxmlformats.org/officeDocument/2006/relationships/hyperlink" Target="https://doi.org/10.9734/jerr/2025/v27i21399" TargetMode="External"/><Relationship Id="rId44" Type="http://schemas.openxmlformats.org/officeDocument/2006/relationships/hyperlink" Target="https://www.isaca.org/about-us/newsroom/press-releases/2020/isaca-updates-it-audit-framework-itaf" TargetMode="External"/><Relationship Id="rId52" Type="http://schemas.openxmlformats.org/officeDocument/2006/relationships/hyperlink" Target="https://doi.org/10.1057/s41284-023-00378-1" TargetMode="External"/><Relationship Id="rId60" Type="http://schemas.openxmlformats.org/officeDocument/2006/relationships/hyperlink" Target="https://doi.org/10.11648/j.ogce.20241205.11" TargetMode="External"/><Relationship Id="rId65" Type="http://schemas.openxmlformats.org/officeDocument/2006/relationships/hyperlink" Target="https://doi.org/10.9734/jerr/2025/v27i21390" TargetMode="External"/><Relationship Id="rId73" Type="http://schemas.openxmlformats.org/officeDocument/2006/relationships/hyperlink" Target="https://gibraltarsolutions.com/blog/cybersecurity-lessons-2024/" TargetMode="External"/><Relationship Id="rId78" Type="http://schemas.openxmlformats.org/officeDocument/2006/relationships/hyperlink" Target="https://doi.org/10.3390/s23167273" TargetMode="External"/><Relationship Id="rId81" Type="http://schemas.openxmlformats.org/officeDocument/2006/relationships/hyperlink" Target="https://doi.org/10.9734/acri/2024/v24i6794" TargetMode="External"/><Relationship Id="rId86" Type="http://schemas.openxmlformats.org/officeDocument/2006/relationships/hyperlink" Target="https://www.tsa.gov/news/press/releases/2023/07/26/tsa-updates-renews-cybersecurity-requirements-pipeline-owners"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9734/acri/2025/v25i21090" TargetMode="External"/><Relationship Id="rId39" Type="http://schemas.openxmlformats.org/officeDocument/2006/relationships/hyperlink" Target="https://www.afr.com/companies/financial-services/rba-issues-scathing-assessment-of-asx-s-derivatives-platform-upgrade-20240925-p5kddv" TargetMode="External"/><Relationship Id="rId34" Type="http://schemas.openxmlformats.org/officeDocument/2006/relationships/hyperlink" Target="https://cpl.thalesgroup.com/blog/data-security/2024-data-threat-report-financial-services" TargetMode="External"/><Relationship Id="rId50" Type="http://schemas.openxmlformats.org/officeDocument/2006/relationships/hyperlink" Target="https://www.cybersecuritydive.com/news/ransomware-critical-infrastructure-2022/645068/" TargetMode="External"/><Relationship Id="rId55" Type="http://schemas.openxmlformats.org/officeDocument/2006/relationships/hyperlink" Target="https://doi.org/10.9734/ajrcos/2024/v17i12528" TargetMode="External"/><Relationship Id="rId76" Type="http://schemas.openxmlformats.org/officeDocument/2006/relationships/hyperlink" Target="https://e-journal.uac.ac.id/index.php/iijse/article/view/6027" TargetMode="External"/><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doi.org/10.1007/978-3-031-81325-2_12"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doi.org/10.9734/ajrcos/2025/v18i1555" TargetMode="External"/><Relationship Id="rId24" Type="http://schemas.openxmlformats.org/officeDocument/2006/relationships/hyperlink" Target="https://doi.org/10.52098/acj.202364" TargetMode="External"/><Relationship Id="rId40" Type="http://schemas.openxmlformats.org/officeDocument/2006/relationships/hyperlink" Target="https://doi.org/10.9734/jerr/2024/v26i111311" TargetMode="External"/><Relationship Id="rId45" Type="http://schemas.openxmlformats.org/officeDocument/2006/relationships/hyperlink" Target="https://doi.org/10.1109/iccr61006.2024.10532959" TargetMode="External"/><Relationship Id="rId66" Type="http://schemas.openxmlformats.org/officeDocument/2006/relationships/hyperlink" Target="https://doi.org/10.9734/ajrcos/2025/v18i1557" TargetMode="External"/><Relationship Id="rId87" Type="http://schemas.openxmlformats.org/officeDocument/2006/relationships/hyperlink" Target="https://www.gao.gov/products/gao-25-106908" TargetMode="External"/><Relationship Id="rId61" Type="http://schemas.openxmlformats.org/officeDocument/2006/relationships/hyperlink" Target="https://www.nao.org.uk/press-releases/cyber-threat-to-uk-government-is-severe-and-advancing-quickly-spending-watchdog-finds/" TargetMode="External"/><Relationship Id="rId82" Type="http://schemas.openxmlformats.org/officeDocument/2006/relationships/hyperlink" Target="https://doi.org/10.1007/978-3-031-53290-0_3" TargetMode="External"/><Relationship Id="rId19" Type="http://schemas.openxmlformats.org/officeDocument/2006/relationships/hyperlink" Target="https://community.trustcloud.ai/article/iso-27001-vs-27002-explained-by-top-security-experts-in-2025/" TargetMode="External"/><Relationship Id="rId14" Type="http://schemas.openxmlformats.org/officeDocument/2006/relationships/image" Target="media/image8.png"/><Relationship Id="rId30" Type="http://schemas.openxmlformats.org/officeDocument/2006/relationships/hyperlink" Target="https://doi.org/10.9734/jerr/2025/v27i31414" TargetMode="External"/><Relationship Id="rId35" Type="http://schemas.openxmlformats.org/officeDocument/2006/relationships/hyperlink" Target="https://www.cisa.gov/news-events/news/attack-colonial-pipeline-what-weve-learned-what-weve-done-over-past-two-years" TargetMode="External"/><Relationship Id="rId56" Type="http://schemas.openxmlformats.org/officeDocument/2006/relationships/hyperlink" Target="https://doi.org/10.9734/ajrcos/2025/v18i1554" TargetMode="External"/><Relationship Id="rId77" Type="http://schemas.openxmlformats.org/officeDocument/2006/relationships/hyperlink" Target="https://doi.org/10.4236/jcc.2021.98006" TargetMode="External"/><Relationship Id="rId8" Type="http://schemas.openxmlformats.org/officeDocument/2006/relationships/image" Target="media/image2.png"/><Relationship Id="rId51" Type="http://schemas.openxmlformats.org/officeDocument/2006/relationships/hyperlink" Target="http://theaffine.com/index.php/IJACSTA/article/view/3" TargetMode="External"/><Relationship Id="rId72" Type="http://schemas.openxmlformats.org/officeDocument/2006/relationships/hyperlink" Target="https://doi.org/10.1002/9781119987635.ch23" TargetMode="External"/><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11522</Words>
  <Characters>65680</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CPU 1117</cp:lastModifiedBy>
  <cp:revision>3</cp:revision>
  <dcterms:created xsi:type="dcterms:W3CDTF">2025-03-23T20:55:00Z</dcterms:created>
  <dcterms:modified xsi:type="dcterms:W3CDTF">2025-03-28T04:48:00Z</dcterms:modified>
</cp:coreProperties>
</file>