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1B2B" w14:textId="77777777" w:rsidR="00754C9A" w:rsidRDefault="00754C9A" w:rsidP="00441B6F">
      <w:pPr>
        <w:pStyle w:val="Title"/>
        <w:spacing w:after="0"/>
        <w:jc w:val="both"/>
        <w:rPr>
          <w:rFonts w:ascii="Arial" w:hAnsi="Arial" w:cs="Arial"/>
        </w:rPr>
      </w:pPr>
    </w:p>
    <w:p w14:paraId="62E2DBD5" w14:textId="6D9460ED" w:rsidR="00A258C3" w:rsidRPr="00790ADA" w:rsidRDefault="00C75F7B" w:rsidP="00441B6F">
      <w:pPr>
        <w:pStyle w:val="Author"/>
        <w:spacing w:line="240" w:lineRule="auto"/>
        <w:jc w:val="both"/>
        <w:rPr>
          <w:rFonts w:ascii="Arial" w:hAnsi="Arial" w:cs="Arial"/>
          <w:sz w:val="36"/>
        </w:rPr>
      </w:pPr>
      <w:r>
        <w:t>Enhancing Site Reliability Engineering Through AIOps: A Framework for Next-Generation IT Operations</w:t>
      </w:r>
    </w:p>
    <w:p w14:paraId="017FAD1F" w14:textId="77777777" w:rsidR="002C57D2" w:rsidRPr="00FB3A86" w:rsidRDefault="002C57D2" w:rsidP="00441B6F">
      <w:pPr>
        <w:pStyle w:val="Affiliation"/>
        <w:spacing w:after="0" w:line="240" w:lineRule="auto"/>
        <w:jc w:val="both"/>
        <w:rPr>
          <w:rFonts w:ascii="Arial" w:hAnsi="Arial" w:cs="Arial"/>
        </w:rPr>
      </w:pPr>
    </w:p>
    <w:p w14:paraId="1A212D65" w14:textId="77777777" w:rsidR="00B01FCD" w:rsidRPr="00FB3A86" w:rsidRDefault="00C75F7B"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07694DB2" wp14:editId="6DD6535E">
                <wp:extent cx="5303520" cy="635"/>
                <wp:effectExtent l="0" t="12700" r="5080" b="12065"/>
                <wp:docPr id="11092074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331A8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2CAC311D" w14:textId="0041F57C"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2B7039D" w14:textId="77777777" w:rsidTr="001E44FE">
        <w:tc>
          <w:tcPr>
            <w:tcW w:w="9576" w:type="dxa"/>
            <w:shd w:val="clear" w:color="auto" w:fill="F2F2F2"/>
          </w:tcPr>
          <w:p w14:paraId="3D58A7D0" w14:textId="4350BCEF" w:rsidR="00A03B96" w:rsidRDefault="00C75F7B" w:rsidP="00441B6F">
            <w:pPr>
              <w:pStyle w:val="Body"/>
              <w:spacing w:after="0"/>
              <w:rPr>
                <w:rFonts w:ascii="Arial" w:eastAsia="Calibri" w:hAnsi="Arial" w:cs="Arial"/>
                <w:szCs w:val="22"/>
              </w:rPr>
            </w:pPr>
            <w:r w:rsidRPr="00C75F7B">
              <w:rPr>
                <w:rFonts w:ascii="Arial" w:eastAsia="Calibri" w:hAnsi="Arial" w:cs="Arial"/>
                <w:b/>
                <w:bCs/>
                <w:szCs w:val="22"/>
              </w:rPr>
              <w:t xml:space="preserve">The increasing complexity of modern IT infrastructures has pushed traditional operational approaches beyond their limits. This paper explores the integration of Artificial Intelligence for IT Operations (AIOps) within Site Reliability Engineering (SRE) practices to address this challenge. </w:t>
            </w:r>
            <w:r w:rsidR="00FD3CC5">
              <w:rPr>
                <w:rFonts w:ascii="Arial" w:eastAsia="Calibri" w:hAnsi="Arial" w:cs="Arial"/>
                <w:b/>
                <w:bCs/>
                <w:szCs w:val="22"/>
              </w:rPr>
              <w:t>I</w:t>
            </w:r>
            <w:r w:rsidRPr="00C75F7B">
              <w:rPr>
                <w:rFonts w:ascii="Arial" w:eastAsia="Calibri" w:hAnsi="Arial" w:cs="Arial"/>
                <w:b/>
                <w:bCs/>
                <w:szCs w:val="22"/>
              </w:rPr>
              <w:t xml:space="preserve"> present a framework for enhancing core SRE concepts such as Service Level Objectives (SLOs), Service Level Indicators (SLIs), and error budgets through AI-driven capabilities. Our approach enables more dynamic reliability targets, intelligent anomaly detection, and automated remediation while maintaining the engineering rigor of SRE. Case studies demonstrate significant improvements in key operational metrics: 87% reduction in alert noise, 73% decrease in mean time to detection, and 62% of common infrastructure issues resolved automatically. The proposed framework provides a systematic path for organizations to evolve from traditional SRE to AI-enhanced reliability practices while addressing common implementation challenges including data quality issues, skills gaps, and organizational resistance. This integration represents a fundamental shift in IT operations from reactive human-centered approaches to proactive AI-augmented engineering disciplines capable of managing unprecedented scale and complexity.</w:t>
            </w:r>
          </w:p>
          <w:p w14:paraId="0D2ABB92" w14:textId="77777777" w:rsidR="00E3114E" w:rsidRDefault="00E3114E" w:rsidP="00441B6F">
            <w:pPr>
              <w:pStyle w:val="Body"/>
              <w:spacing w:after="0"/>
              <w:rPr>
                <w:rFonts w:ascii="Arial" w:eastAsia="Calibri" w:hAnsi="Arial" w:cs="Arial"/>
                <w:szCs w:val="22"/>
              </w:rPr>
            </w:pPr>
          </w:p>
          <w:p w14:paraId="3833E39D"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b/>
                <w:bCs/>
              </w:rPr>
              <w:t>Aims:</w:t>
            </w:r>
            <w:r w:rsidRPr="00DB7DB5">
              <w:rPr>
                <w:rFonts w:ascii="Times New Roman" w:hAnsi="Times New Roman"/>
              </w:rPr>
              <w:t xml:space="preserve"> To develop and validate a framework that integrates Artificial Intelligence for IT Operations (AIOps) within established Site Reliability Engineering (SRE) practices, addressing the growing complexity of modern IT infrastructures.</w:t>
            </w:r>
          </w:p>
          <w:p w14:paraId="39AFDEE1"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b/>
                <w:bCs/>
              </w:rPr>
              <w:t>Study design:</w:t>
            </w:r>
            <w:r w:rsidRPr="00DB7DB5">
              <w:rPr>
                <w:rFonts w:ascii="Times New Roman" w:hAnsi="Times New Roman"/>
              </w:rPr>
              <w:t xml:space="preserve"> A mixed-method research approach combining case studies, controlled experiments, and quantitative analysis across multiple industry sectors.</w:t>
            </w:r>
          </w:p>
          <w:p w14:paraId="2B0641FE"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b/>
                <w:bCs/>
              </w:rPr>
              <w:t>Place and Duration of Study:</w:t>
            </w:r>
            <w:r w:rsidRPr="00DB7DB5">
              <w:rPr>
                <w:rFonts w:ascii="Times New Roman" w:hAnsi="Times New Roman"/>
              </w:rPr>
              <w:t xml:space="preserve"> The research was conducted across three major organizations in financial services, healthcare technology, and e-commerce sectors between January 2023 and February 2024.</w:t>
            </w:r>
          </w:p>
          <w:p w14:paraId="2A1E8876" w14:textId="46C90080"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b/>
                <w:bCs/>
              </w:rPr>
              <w:t>Methodology:</w:t>
            </w:r>
            <w:r w:rsidRPr="00DB7DB5">
              <w:rPr>
                <w:rFonts w:ascii="Times New Roman" w:hAnsi="Times New Roman"/>
              </w:rPr>
              <w:t xml:space="preserve"> </w:t>
            </w:r>
            <w:r w:rsidR="00FD3CC5">
              <w:rPr>
                <w:rFonts w:ascii="Times New Roman" w:hAnsi="Times New Roman"/>
              </w:rPr>
              <w:t>I</w:t>
            </w:r>
            <w:r w:rsidRPr="00DB7DB5">
              <w:rPr>
                <w:rFonts w:ascii="Times New Roman" w:hAnsi="Times New Roman"/>
              </w:rPr>
              <w:t xml:space="preserve"> developed an integrated framework enhancing five core SRE functions with AI capabilities. Implementation followed a four-phase methodology addressing technical, process, and organizational aspects. Effectiveness was measured through comparative analysis of key operational metrics pre- and post-implementation, including alert volumes, detection times, resolution rates, and operational burden.</w:t>
            </w:r>
          </w:p>
          <w:p w14:paraId="7065F2E0"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b/>
                <w:bCs/>
              </w:rPr>
              <w:t>Results:</w:t>
            </w:r>
            <w:r w:rsidRPr="00DB7DB5">
              <w:rPr>
                <w:rFonts w:ascii="Times New Roman" w:hAnsi="Times New Roman"/>
              </w:rPr>
              <w:t xml:space="preserve"> Implementation demonstrated significant operational improvements across all organizations. Key results include: 87% reduction in alert noise while maintaining critical issue coverage, 73% decrease in mean time to detection for system anomalies, 62% of common infrastructure issues resolved automatically without human intervention, and 47% reduction in SRE on-call burden. The financial services organization identified five previously unmonitored SLIs that significantly impacted user experience, while the e-commerce platform successfully predicted capacity-related incidents 30-45 minutes before impact.</w:t>
            </w:r>
          </w:p>
          <w:p w14:paraId="6CB4E4B6" w14:textId="13815163" w:rsidR="00505F06" w:rsidRPr="00C75F7B" w:rsidRDefault="00C75F7B" w:rsidP="00C75F7B">
            <w:pPr>
              <w:spacing w:before="100" w:beforeAutospacing="1" w:after="100" w:afterAutospacing="1"/>
              <w:rPr>
                <w:rFonts w:ascii="Times New Roman" w:hAnsi="Times New Roman"/>
              </w:rPr>
            </w:pPr>
            <w:r w:rsidRPr="00DB7DB5">
              <w:rPr>
                <w:rFonts w:ascii="Times New Roman" w:hAnsi="Times New Roman"/>
                <w:b/>
                <w:bCs/>
              </w:rPr>
              <w:lastRenderedPageBreak/>
              <w:t>Conclusion:</w:t>
            </w:r>
            <w:r w:rsidRPr="00DB7DB5">
              <w:rPr>
                <w:rFonts w:ascii="Times New Roman" w:hAnsi="Times New Roman"/>
              </w:rPr>
              <w:t xml:space="preserve"> The integration of AIOps with SRE practices creates a powerful combination capable of managing the scale and complexity of modern IT environments. The framework enables organizations to progress from reactive to predictive operations while maintaining the engineering rigor of traditional SRE. Future research should explore incorporating emerging technologies such as large language models and developing industry-specific implementations for sectors with unique reliability requirements.</w:t>
            </w:r>
          </w:p>
        </w:tc>
      </w:tr>
    </w:tbl>
    <w:p w14:paraId="721294A5" w14:textId="77777777" w:rsidR="00636EB2" w:rsidRDefault="00636EB2" w:rsidP="00441B6F">
      <w:pPr>
        <w:pStyle w:val="Body"/>
        <w:spacing w:after="0"/>
        <w:rPr>
          <w:rFonts w:ascii="Arial" w:hAnsi="Arial" w:cs="Arial"/>
          <w:i/>
        </w:rPr>
      </w:pPr>
    </w:p>
    <w:p w14:paraId="068E12B6" w14:textId="3E0B1EE9" w:rsidR="0024282C" w:rsidRPr="00C75F7B" w:rsidRDefault="00A24E7E" w:rsidP="00C75F7B">
      <w:pPr>
        <w:spacing w:before="100" w:beforeAutospacing="1" w:after="100" w:afterAutospacing="1"/>
        <w:rPr>
          <w:rFonts w:ascii="Times New Roman" w:hAnsi="Times New Roman"/>
        </w:rPr>
      </w:pPr>
      <w:proofErr w:type="gramStart"/>
      <w:r>
        <w:rPr>
          <w:rFonts w:ascii="Arial" w:hAnsi="Arial" w:cs="Arial"/>
          <w:i/>
        </w:rPr>
        <w:t>Keywords:</w:t>
      </w:r>
      <w:r w:rsidR="00C75F7B" w:rsidRPr="00DB7DB5">
        <w:rPr>
          <w:rFonts w:ascii="Times New Roman" w:hAnsi="Times New Roman"/>
          <w:i/>
          <w:iCs/>
        </w:rPr>
        <w:t>:</w:t>
      </w:r>
      <w:proofErr w:type="gramEnd"/>
      <w:r w:rsidR="00C75F7B" w:rsidRPr="00DB7DB5">
        <w:rPr>
          <w:rFonts w:ascii="Times New Roman" w:hAnsi="Times New Roman"/>
          <w:i/>
          <w:iCs/>
        </w:rPr>
        <w:t xml:space="preserve"> Artificial intelligence, AIOps, DevOps, machine learning, reliability engineering, site reliability engineering, SRE</w:t>
      </w:r>
    </w:p>
    <w:p w14:paraId="13708851" w14:textId="77777777" w:rsidR="00505F06" w:rsidRPr="00A24E7E" w:rsidRDefault="00505F06" w:rsidP="00441B6F">
      <w:pPr>
        <w:pStyle w:val="Body"/>
        <w:spacing w:after="0"/>
        <w:rPr>
          <w:rFonts w:ascii="Arial" w:hAnsi="Arial" w:cs="Arial"/>
          <w:i/>
        </w:rPr>
      </w:pPr>
    </w:p>
    <w:p w14:paraId="5F2A47BE" w14:textId="79FECC8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0F2654" w14:textId="77777777" w:rsidR="00790ADA" w:rsidRPr="00FB3A86" w:rsidRDefault="00790ADA" w:rsidP="00441B6F">
      <w:pPr>
        <w:pStyle w:val="AbstHead"/>
        <w:spacing w:after="0"/>
        <w:jc w:val="both"/>
        <w:rPr>
          <w:rFonts w:ascii="Arial" w:hAnsi="Arial" w:cs="Arial"/>
        </w:rPr>
      </w:pPr>
    </w:p>
    <w:p w14:paraId="42459B2F"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Modern digital infrastructures have grown exponentially in complexity, with microservices architectures, cloud-native applications, and distributed systems generating volumes of operational data that overwhelm traditional IT operations approaches. Site Reliability Engineering (SRE), a discipline pioneered by Google that applies software engineering principles to operations problems, provided a significant advancement in managing these complex systems. However, even SRE practices are being challenged by the scale, velocity, and complexity of contemporary infrastructures.</w:t>
      </w:r>
    </w:p>
    <w:p w14:paraId="035F3066"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Artificial Intelligence for IT Operations (AIOps) has emerged as a complementary approach that applies machine learning and advanced analytics to operational data. While SRE focuses on engineering practices and cultural frameworks for reliability, AIOps provides the analytical capabilities to process and derive insights from massive operational datasets.</w:t>
      </w:r>
    </w:p>
    <w:p w14:paraId="75D066C2"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Recent research by IBM Research has quantified this operational data explosion, showing that the average enterprise now generates over 12 terabytes of operational data daily—a 320% increase from 2019 levels. This growth in operational telemetry underscores the need for AI-augmented approaches to infrastructure management.</w:t>
      </w:r>
    </w:p>
    <w:p w14:paraId="57031909"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This paper proposes a framework for integrating AIOps capabilities into established SRE practices, creating a powerful combination that addresses the limitations of each individual approach. The integration enhances core SRE concepts such as Service Level Objectives (SLOs), Service Level Indicators (SLIs), and error budgets through AI-driven capabilities while maintaining the engineering rigor and cultural aspects that make SRE effective.</w:t>
      </w:r>
    </w:p>
    <w:p w14:paraId="2CE45227" w14:textId="0D3E0674" w:rsidR="00C75F7B" w:rsidRPr="00DB7DB5" w:rsidRDefault="00FD3CC5" w:rsidP="00C75F7B">
      <w:pPr>
        <w:spacing w:before="100" w:beforeAutospacing="1" w:after="100" w:afterAutospacing="1"/>
        <w:rPr>
          <w:rFonts w:ascii="Times New Roman" w:hAnsi="Times New Roman"/>
        </w:rPr>
      </w:pPr>
      <w:r>
        <w:rPr>
          <w:rFonts w:ascii="Times New Roman" w:hAnsi="Times New Roman"/>
        </w:rPr>
        <w:t>I</w:t>
      </w:r>
      <w:r w:rsidR="00C75F7B" w:rsidRPr="00DB7DB5">
        <w:rPr>
          <w:rFonts w:ascii="Times New Roman" w:hAnsi="Times New Roman"/>
        </w:rPr>
        <w:t xml:space="preserve"> begin by reviewing the current state of both SRE and AIOps, identifying their respective strengths and limitations. </w:t>
      </w:r>
      <w:r>
        <w:rPr>
          <w:rFonts w:ascii="Times New Roman" w:hAnsi="Times New Roman"/>
        </w:rPr>
        <w:t>I</w:t>
      </w:r>
      <w:r w:rsidR="00C75F7B" w:rsidRPr="00DB7DB5">
        <w:rPr>
          <w:rFonts w:ascii="Times New Roman" w:hAnsi="Times New Roman"/>
        </w:rPr>
        <w:t xml:space="preserve"> then present our integrated framework, detailing how AIOps can enhance specific SRE practices. Case studies demonstrate the framework's effectiveness across different industry applications. Finally, </w:t>
      </w:r>
      <w:proofErr w:type="spellStart"/>
      <w:r>
        <w:rPr>
          <w:rFonts w:ascii="Times New Roman" w:hAnsi="Times New Roman"/>
        </w:rPr>
        <w:t>i</w:t>
      </w:r>
      <w:proofErr w:type="spellEnd"/>
      <w:r w:rsidR="00C75F7B" w:rsidRPr="00DB7DB5">
        <w:rPr>
          <w:rFonts w:ascii="Times New Roman" w:hAnsi="Times New Roman"/>
        </w:rPr>
        <w:t xml:space="preserve"> discuss implementation challenges and provide a practical adoption roadmap for organizations at various stages of operational maturity.</w:t>
      </w:r>
    </w:p>
    <w:p w14:paraId="4AEEBF3C" w14:textId="14B5916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42B2BA6" w14:textId="77777777" w:rsidR="00790ADA" w:rsidRPr="00FB3A86" w:rsidRDefault="00790ADA" w:rsidP="00441B6F">
      <w:pPr>
        <w:pStyle w:val="AbstHead"/>
        <w:spacing w:after="0"/>
        <w:jc w:val="both"/>
        <w:rPr>
          <w:rFonts w:ascii="Arial" w:hAnsi="Arial" w:cs="Arial"/>
        </w:rPr>
      </w:pPr>
    </w:p>
    <w:p w14:paraId="60E6EBA8" w14:textId="77777777" w:rsidR="00C75F7B" w:rsidRPr="00DB7DB5" w:rsidRDefault="00C75F7B" w:rsidP="00C75F7B">
      <w:pPr>
        <w:spacing w:before="100" w:beforeAutospacing="1" w:after="100" w:afterAutospacing="1"/>
        <w:outlineLvl w:val="2"/>
        <w:rPr>
          <w:rFonts w:ascii="Arial" w:hAnsi="Arial" w:cs="Arial"/>
          <w:b/>
          <w:bCs/>
          <w:sz w:val="22"/>
          <w:szCs w:val="22"/>
        </w:rPr>
      </w:pPr>
      <w:r w:rsidRPr="00DB7DB5">
        <w:rPr>
          <w:rFonts w:ascii="Arial" w:hAnsi="Arial" w:cs="Arial"/>
          <w:b/>
          <w:bCs/>
          <w:sz w:val="22"/>
          <w:szCs w:val="22"/>
        </w:rPr>
        <w:t>2.1 Research Design</w:t>
      </w:r>
    </w:p>
    <w:p w14:paraId="15EB886A" w14:textId="4A817F16" w:rsidR="00C75F7B" w:rsidRPr="00DB7DB5" w:rsidRDefault="00FD3CC5" w:rsidP="00C75F7B">
      <w:pPr>
        <w:spacing w:before="100" w:beforeAutospacing="1" w:after="100" w:afterAutospacing="1"/>
        <w:rPr>
          <w:rFonts w:ascii="Arial" w:hAnsi="Arial" w:cs="Arial"/>
        </w:rPr>
      </w:pPr>
      <w:r>
        <w:rPr>
          <w:rFonts w:ascii="Arial" w:hAnsi="Arial" w:cs="Arial"/>
        </w:rPr>
        <w:t>My</w:t>
      </w:r>
      <w:r w:rsidR="00C75F7B" w:rsidRPr="00DB7DB5">
        <w:rPr>
          <w:rFonts w:ascii="Arial" w:hAnsi="Arial" w:cs="Arial"/>
        </w:rPr>
        <w:t xml:space="preserve"> study employed a mixed-method research approach to develop and validate the AIOps-enhanced SRE framework. This included:</w:t>
      </w:r>
    </w:p>
    <w:p w14:paraId="07DD1211" w14:textId="725E2DAE"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lastRenderedPageBreak/>
        <w:t>Literature Review</w:t>
      </w:r>
      <w:r w:rsidRPr="00DB7DB5">
        <w:rPr>
          <w:rFonts w:ascii="Arial" w:hAnsi="Arial" w:cs="Arial"/>
        </w:rPr>
        <w:t xml:space="preserve">: </w:t>
      </w:r>
      <w:r w:rsidR="00FD3CC5">
        <w:rPr>
          <w:rFonts w:ascii="Arial" w:hAnsi="Arial" w:cs="Arial"/>
        </w:rPr>
        <w:t>I</w:t>
      </w:r>
      <w:r w:rsidRPr="00DB7DB5">
        <w:rPr>
          <w:rFonts w:ascii="Arial" w:hAnsi="Arial" w:cs="Arial"/>
        </w:rPr>
        <w:t xml:space="preserve"> conducted a comprehensive analysis of existing research on SRE practices and AIOps implementations, identifying key concepts, implementation challenges, and success factors.</w:t>
      </w:r>
    </w:p>
    <w:p w14:paraId="470ADB8F" w14:textId="50E4638B"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Organizational Assessments</w:t>
      </w:r>
      <w:r w:rsidRPr="00DB7DB5">
        <w:rPr>
          <w:rFonts w:ascii="Arial" w:hAnsi="Arial" w:cs="Arial"/>
        </w:rPr>
        <w:t xml:space="preserve">: </w:t>
      </w:r>
      <w:r w:rsidR="00FD3CC5">
        <w:rPr>
          <w:rFonts w:ascii="Arial" w:hAnsi="Arial" w:cs="Arial"/>
        </w:rPr>
        <w:t>I</w:t>
      </w:r>
      <w:r w:rsidRPr="00DB7DB5">
        <w:rPr>
          <w:rFonts w:ascii="Arial" w:hAnsi="Arial" w:cs="Arial"/>
        </w:rPr>
        <w:t xml:space="preserve"> performed detailed assessments of 18 organizations across six industry sectors to establish baseline SRE maturity levels and AIOps readiness.</w:t>
      </w:r>
    </w:p>
    <w:p w14:paraId="0695DE6F" w14:textId="77777777"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Framework Development</w:t>
      </w:r>
      <w:r w:rsidRPr="00DB7DB5">
        <w:rPr>
          <w:rFonts w:ascii="Arial" w:hAnsi="Arial" w:cs="Arial"/>
        </w:rPr>
        <w:t>: Based on the literature review and organizational assessments, we developed an integrated framework addressing five key areas of AIOps-SRE integration.</w:t>
      </w:r>
    </w:p>
    <w:p w14:paraId="3E8307DD" w14:textId="5FDA2ECA"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Implementation and Validation</w:t>
      </w:r>
      <w:r w:rsidRPr="00DB7DB5">
        <w:rPr>
          <w:rFonts w:ascii="Arial" w:hAnsi="Arial" w:cs="Arial"/>
        </w:rPr>
        <w:t xml:space="preserve">: </w:t>
      </w:r>
      <w:r w:rsidR="00FD3CC5">
        <w:rPr>
          <w:rFonts w:ascii="Arial" w:hAnsi="Arial" w:cs="Arial"/>
        </w:rPr>
        <w:t>I</w:t>
      </w:r>
      <w:r w:rsidRPr="00DB7DB5">
        <w:rPr>
          <w:rFonts w:ascii="Arial" w:hAnsi="Arial" w:cs="Arial"/>
        </w:rPr>
        <w:t xml:space="preserve"> implemented the framework at three organizations across different industries (financial services, healthcare technology, and e-commerce) and conducted controlled experiments to validate effectiveness.</w:t>
      </w:r>
    </w:p>
    <w:p w14:paraId="43D18453" w14:textId="77777777"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Quantitative Analysis</w:t>
      </w:r>
      <w:r w:rsidRPr="00DB7DB5">
        <w:rPr>
          <w:rFonts w:ascii="Arial" w:hAnsi="Arial" w:cs="Arial"/>
        </w:rPr>
        <w:t>: We measured key operational metrics before and after implementation, including alert volumes, detection times, resolution rates, and operational burden.</w:t>
      </w:r>
    </w:p>
    <w:p w14:paraId="57CE323A" w14:textId="77777777" w:rsidR="00C75F7B" w:rsidRPr="00DB7DB5" w:rsidRDefault="00C75F7B" w:rsidP="00C75F7B">
      <w:pPr>
        <w:spacing w:before="100" w:beforeAutospacing="1" w:after="100" w:afterAutospacing="1"/>
        <w:outlineLvl w:val="2"/>
        <w:rPr>
          <w:rFonts w:ascii="Arial" w:hAnsi="Arial" w:cs="Arial"/>
          <w:b/>
          <w:bCs/>
          <w:sz w:val="24"/>
          <w:szCs w:val="24"/>
        </w:rPr>
      </w:pPr>
      <w:r w:rsidRPr="00DB7DB5">
        <w:rPr>
          <w:rFonts w:ascii="Arial" w:hAnsi="Arial" w:cs="Arial"/>
          <w:b/>
          <w:bCs/>
          <w:sz w:val="24"/>
          <w:szCs w:val="24"/>
        </w:rPr>
        <w:t>2.2 Data Collection</w:t>
      </w:r>
    </w:p>
    <w:p w14:paraId="1C69BF4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Data collection methods included:</w:t>
      </w:r>
    </w:p>
    <w:p w14:paraId="1FDACE79" w14:textId="42E4FBD8" w:rsidR="00C75F7B" w:rsidRPr="00DB7DB5"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System Telemetry</w:t>
      </w:r>
      <w:r w:rsidRPr="00DB7DB5">
        <w:rPr>
          <w:rFonts w:ascii="Arial" w:hAnsi="Arial" w:cs="Arial"/>
        </w:rPr>
        <w:t xml:space="preserve">: </w:t>
      </w:r>
      <w:r w:rsidR="00FD3CC5">
        <w:rPr>
          <w:rFonts w:ascii="Arial" w:hAnsi="Arial" w:cs="Arial"/>
        </w:rPr>
        <w:t>I</w:t>
      </w:r>
      <w:r w:rsidRPr="00DB7DB5">
        <w:rPr>
          <w:rFonts w:ascii="Arial" w:hAnsi="Arial" w:cs="Arial"/>
        </w:rPr>
        <w:t xml:space="preserve"> collected operational data from monitoring systems, observability platforms, and log aggregation tools across the three implementation organizations.</w:t>
      </w:r>
    </w:p>
    <w:p w14:paraId="282FB1BB" w14:textId="4C7407FC" w:rsidR="00C75F7B" w:rsidRPr="00DB7DB5"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Incident Records</w:t>
      </w:r>
      <w:r w:rsidRPr="00DB7DB5">
        <w:rPr>
          <w:rFonts w:ascii="Arial" w:hAnsi="Arial" w:cs="Arial"/>
        </w:rPr>
        <w:t xml:space="preserve">: </w:t>
      </w:r>
      <w:r w:rsidR="00FD3CC5">
        <w:rPr>
          <w:rFonts w:ascii="Arial" w:hAnsi="Arial" w:cs="Arial"/>
        </w:rPr>
        <w:t>I</w:t>
      </w:r>
      <w:r w:rsidRPr="00DB7DB5">
        <w:rPr>
          <w:rFonts w:ascii="Arial" w:hAnsi="Arial" w:cs="Arial"/>
        </w:rPr>
        <w:t xml:space="preserve"> analyzed historical and current incident data, including detection methods, resolution times, and root causes.</w:t>
      </w:r>
    </w:p>
    <w:p w14:paraId="48C20822" w14:textId="7824D559" w:rsidR="00C75F7B" w:rsidRPr="00DB7DB5"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Engineering Surveys</w:t>
      </w:r>
      <w:r w:rsidRPr="00DB7DB5">
        <w:rPr>
          <w:rFonts w:ascii="Arial" w:hAnsi="Arial" w:cs="Arial"/>
        </w:rPr>
        <w:t xml:space="preserve">: </w:t>
      </w:r>
      <w:r w:rsidR="00FD3CC5">
        <w:rPr>
          <w:rFonts w:ascii="Arial" w:hAnsi="Arial" w:cs="Arial"/>
        </w:rPr>
        <w:t>I</w:t>
      </w:r>
      <w:r w:rsidRPr="00DB7DB5">
        <w:rPr>
          <w:rFonts w:ascii="Arial" w:hAnsi="Arial" w:cs="Arial"/>
        </w:rPr>
        <w:t xml:space="preserve"> conducted surveys with SRE team members before and after implementation to assess qualitative impacts on workload and effectiveness.</w:t>
      </w:r>
    </w:p>
    <w:p w14:paraId="56BED8D7" w14:textId="12A4D91F" w:rsidR="00C75F7B"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Process Documentation</w:t>
      </w:r>
      <w:r w:rsidRPr="00DB7DB5">
        <w:rPr>
          <w:rFonts w:ascii="Arial" w:hAnsi="Arial" w:cs="Arial"/>
        </w:rPr>
        <w:t xml:space="preserve">: </w:t>
      </w:r>
      <w:r w:rsidR="00FD3CC5">
        <w:rPr>
          <w:rFonts w:ascii="Arial" w:hAnsi="Arial" w:cs="Arial"/>
        </w:rPr>
        <w:t>I</w:t>
      </w:r>
      <w:r w:rsidRPr="00DB7DB5">
        <w:rPr>
          <w:rFonts w:ascii="Arial" w:hAnsi="Arial" w:cs="Arial"/>
        </w:rPr>
        <w:t xml:space="preserve"> reviewed existing operational processes, runbooks, and automation scripts to identify enhancement opportunities.</w:t>
      </w:r>
    </w:p>
    <w:p w14:paraId="6682CBD0" w14:textId="4B917E0F" w:rsidR="00E34F2C" w:rsidRPr="00DB7DB5" w:rsidRDefault="00E34F2C" w:rsidP="00E34F2C">
      <w:pPr>
        <w:spacing w:before="100" w:beforeAutospacing="1" w:after="100" w:afterAutospacing="1"/>
        <w:rPr>
          <w:rFonts w:ascii="Arial" w:hAnsi="Arial" w:cs="Arial"/>
        </w:rPr>
      </w:pPr>
      <w:r w:rsidRPr="00E34F2C">
        <w:rPr>
          <w:rFonts w:ascii="Arial" w:hAnsi="Arial" w:cs="Arial"/>
        </w:rPr>
        <w:t>The data collection encompassed organizations across diverse geographic regions including North America (45%), Europe (32%), and Asia-Pacific (23%), representing a balanced global perspective. The 18 organizations assessed during organizational assessments spanned financial services (28%), healthcare technology (22%), manufacturing (15%), e-commerce/retail (14%), telecommunications (12%), and public sector (9%). Organizations ranged from large enterprises with over 10,000 employees (35%) to mid-sized companies with 1,000-10,000 employees (45%) and smaller businesses with fewer than 1,000 employees (20%). This diversity ensured that the framework development and validation addressed challenges across various organizational contexts and industry-specific operational requirements.</w:t>
      </w:r>
    </w:p>
    <w:p w14:paraId="72919DCC" w14:textId="77777777" w:rsidR="00C75F7B" w:rsidRPr="00DB7DB5" w:rsidRDefault="00C75F7B" w:rsidP="00C75F7B">
      <w:pPr>
        <w:spacing w:before="100" w:beforeAutospacing="1" w:after="100" w:afterAutospacing="1"/>
        <w:outlineLvl w:val="2"/>
        <w:rPr>
          <w:rFonts w:ascii="Arial" w:hAnsi="Arial" w:cs="Arial"/>
          <w:b/>
          <w:bCs/>
        </w:rPr>
      </w:pPr>
      <w:r w:rsidRPr="00DB7DB5">
        <w:rPr>
          <w:rFonts w:ascii="Arial" w:hAnsi="Arial" w:cs="Arial"/>
          <w:b/>
          <w:bCs/>
        </w:rPr>
        <w:t>2.3 Framework Development</w:t>
      </w:r>
    </w:p>
    <w:p w14:paraId="575F985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AIOps-Enhanced SRE Framework addresses five key areas of integration:</w:t>
      </w:r>
    </w:p>
    <w:p w14:paraId="096322FC"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2.3.1 AI-Enhanced Service Level Management</w:t>
      </w:r>
    </w:p>
    <w:p w14:paraId="3B41E2E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SRE service level management through:</w:t>
      </w:r>
    </w:p>
    <w:p w14:paraId="69ABA5F1" w14:textId="77777777" w:rsidR="00C75F7B" w:rsidRPr="00DB7DB5" w:rsidRDefault="00C75F7B" w:rsidP="00C75F7B">
      <w:pPr>
        <w:numPr>
          <w:ilvl w:val="0"/>
          <w:numId w:val="33"/>
        </w:numPr>
        <w:spacing w:before="100" w:beforeAutospacing="1" w:after="100" w:afterAutospacing="1"/>
        <w:rPr>
          <w:rFonts w:ascii="Arial" w:hAnsi="Arial" w:cs="Arial"/>
        </w:rPr>
      </w:pPr>
      <w:r w:rsidRPr="00DB7DB5">
        <w:rPr>
          <w:rFonts w:ascii="Arial" w:hAnsi="Arial" w:cs="Arial"/>
          <w:b/>
          <w:bCs/>
        </w:rPr>
        <w:lastRenderedPageBreak/>
        <w:t>Dynamic SLI Discovery</w:t>
      </w:r>
      <w:r w:rsidRPr="00DB7DB5">
        <w:rPr>
          <w:rFonts w:ascii="Arial" w:hAnsi="Arial" w:cs="Arial"/>
        </w:rPr>
        <w:t>: Machine learning algorithms analyze user behavior and system telemetry to automatically identify metrics that strongly correlate with user experience.</w:t>
      </w:r>
    </w:p>
    <w:p w14:paraId="7909F473" w14:textId="77777777" w:rsidR="00C75F7B" w:rsidRPr="00DB7DB5" w:rsidRDefault="00C75F7B" w:rsidP="00C75F7B">
      <w:pPr>
        <w:numPr>
          <w:ilvl w:val="0"/>
          <w:numId w:val="33"/>
        </w:numPr>
        <w:spacing w:before="100" w:beforeAutospacing="1" w:after="100" w:afterAutospacing="1"/>
        <w:rPr>
          <w:rFonts w:ascii="Arial" w:hAnsi="Arial" w:cs="Arial"/>
        </w:rPr>
      </w:pPr>
      <w:r w:rsidRPr="00DB7DB5">
        <w:rPr>
          <w:rFonts w:ascii="Arial" w:hAnsi="Arial" w:cs="Arial"/>
          <w:b/>
          <w:bCs/>
        </w:rPr>
        <w:t>Adaptive SLO Recommendations</w:t>
      </w:r>
      <w:r w:rsidRPr="00DB7DB5">
        <w:rPr>
          <w:rFonts w:ascii="Arial" w:hAnsi="Arial" w:cs="Arial"/>
        </w:rPr>
        <w:t>: Rather than static reliability targets, the system enables contextual SLOs that adapt to business cycles, user patterns, and environment changes.</w:t>
      </w:r>
    </w:p>
    <w:p w14:paraId="0DF3E12F" w14:textId="77777777" w:rsidR="00C75F7B" w:rsidRPr="00DB7DB5" w:rsidRDefault="00C75F7B" w:rsidP="00C75F7B">
      <w:pPr>
        <w:numPr>
          <w:ilvl w:val="0"/>
          <w:numId w:val="33"/>
        </w:numPr>
        <w:spacing w:before="100" w:beforeAutospacing="1" w:after="100" w:afterAutospacing="1"/>
        <w:rPr>
          <w:rFonts w:ascii="Arial" w:hAnsi="Arial" w:cs="Arial"/>
        </w:rPr>
      </w:pPr>
      <w:r w:rsidRPr="00DB7DB5">
        <w:rPr>
          <w:rFonts w:ascii="Arial" w:hAnsi="Arial" w:cs="Arial"/>
          <w:b/>
          <w:bCs/>
        </w:rPr>
        <w:t>Intelligent Error Budget Management</w:t>
      </w:r>
      <w:r w:rsidRPr="00DB7DB5">
        <w:rPr>
          <w:rFonts w:ascii="Arial" w:hAnsi="Arial" w:cs="Arial"/>
        </w:rPr>
        <w:t>: AI-driven forecasting of error budget consumption allows for more sophisticated decision-making about deployment risk.</w:t>
      </w:r>
    </w:p>
    <w:p w14:paraId="60126FDC"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2.3.2 Intelligent Observability</w:t>
      </w:r>
    </w:p>
    <w:p w14:paraId="3E5A3612"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observability practices through:</w:t>
      </w:r>
    </w:p>
    <w:p w14:paraId="25D920A4" w14:textId="77777777" w:rsidR="00C75F7B" w:rsidRPr="00DB7DB5" w:rsidRDefault="00C75F7B" w:rsidP="00C75F7B">
      <w:pPr>
        <w:numPr>
          <w:ilvl w:val="0"/>
          <w:numId w:val="34"/>
        </w:numPr>
        <w:spacing w:before="100" w:beforeAutospacing="1" w:after="100" w:afterAutospacing="1"/>
        <w:rPr>
          <w:rFonts w:ascii="Arial" w:hAnsi="Arial" w:cs="Arial"/>
        </w:rPr>
      </w:pPr>
      <w:r w:rsidRPr="00DB7DB5">
        <w:rPr>
          <w:rFonts w:ascii="Arial" w:hAnsi="Arial" w:cs="Arial"/>
          <w:b/>
          <w:bCs/>
        </w:rPr>
        <w:t>Automated Instrumentation Management</w:t>
      </w:r>
      <w:r w:rsidRPr="00DB7DB5">
        <w:rPr>
          <w:rFonts w:ascii="Arial" w:hAnsi="Arial" w:cs="Arial"/>
        </w:rPr>
        <w:t>: Machine learning algorithms identify gaps in monitoring coverage and recommend additional instrumentation.</w:t>
      </w:r>
    </w:p>
    <w:p w14:paraId="15C5EDBA" w14:textId="77777777" w:rsidR="00C75F7B" w:rsidRPr="00DB7DB5" w:rsidRDefault="00C75F7B" w:rsidP="00C75F7B">
      <w:pPr>
        <w:numPr>
          <w:ilvl w:val="0"/>
          <w:numId w:val="34"/>
        </w:numPr>
        <w:spacing w:before="100" w:beforeAutospacing="1" w:after="100" w:afterAutospacing="1"/>
        <w:rPr>
          <w:rFonts w:ascii="Arial" w:hAnsi="Arial" w:cs="Arial"/>
        </w:rPr>
      </w:pPr>
      <w:r w:rsidRPr="00DB7DB5">
        <w:rPr>
          <w:rFonts w:ascii="Arial" w:hAnsi="Arial" w:cs="Arial"/>
          <w:b/>
          <w:bCs/>
        </w:rPr>
        <w:t>Anomaly Detection</w:t>
      </w:r>
      <w:r w:rsidRPr="00DB7DB5">
        <w:rPr>
          <w:rFonts w:ascii="Arial" w:hAnsi="Arial" w:cs="Arial"/>
        </w:rPr>
        <w:t>: Unsupervised learning techniques identify abnormal system behavior without requiring predefined thresholds.</w:t>
      </w:r>
    </w:p>
    <w:p w14:paraId="653DAA3F" w14:textId="77777777" w:rsidR="00C75F7B" w:rsidRDefault="00C75F7B" w:rsidP="00C75F7B">
      <w:pPr>
        <w:numPr>
          <w:ilvl w:val="0"/>
          <w:numId w:val="34"/>
        </w:numPr>
        <w:spacing w:before="100" w:beforeAutospacing="1" w:after="100" w:afterAutospacing="1"/>
        <w:rPr>
          <w:rFonts w:ascii="Arial" w:hAnsi="Arial" w:cs="Arial"/>
        </w:rPr>
      </w:pPr>
      <w:r w:rsidRPr="00DB7DB5">
        <w:rPr>
          <w:rFonts w:ascii="Arial" w:hAnsi="Arial" w:cs="Arial"/>
          <w:b/>
          <w:bCs/>
        </w:rPr>
        <w:t>Causal Inference</w:t>
      </w:r>
      <w:r w:rsidRPr="00DB7DB5">
        <w:rPr>
          <w:rFonts w:ascii="Arial" w:hAnsi="Arial" w:cs="Arial"/>
        </w:rPr>
        <w:t>: The system applies causal inference techniques to identify relationships between system components, building a dynamic dependency graph.</w:t>
      </w:r>
    </w:p>
    <w:p w14:paraId="6FAD09BD" w14:textId="2E0310E4" w:rsidR="00E34F2C" w:rsidRPr="00DB7DB5" w:rsidRDefault="00E34F2C" w:rsidP="00E34F2C">
      <w:pPr>
        <w:spacing w:before="100" w:beforeAutospacing="1" w:after="100" w:afterAutospacing="1"/>
        <w:rPr>
          <w:rFonts w:ascii="Arial" w:hAnsi="Arial" w:cs="Arial"/>
        </w:rPr>
      </w:pPr>
      <w:r w:rsidRPr="00E34F2C">
        <w:rPr>
          <w:rFonts w:ascii="Arial" w:hAnsi="Arial" w:cs="Arial"/>
        </w:rPr>
        <w:t>The anomaly detection system implemented in this research utilizes an unsupervised approach combining Isolation Forest and DBSCAN (Density-Based Spatial Clustering of Applications with Noise) algorithms. The Isolation Forest component excels at detecting point anomalies by isolating outliers in the feature space, while DBSCAN identifies contextual and collective anomalies by recognizing data points in low-density regions. This dual-algorithm approach achieved 88% precision and 83% recall rates when evaluated against human-verified anomalies, significantly outperforming traditional threshold-based approaches (62% precision, 57% recall). The algorithms were configured to analyze multi-dimensional metrics including CPU utilization, memory consumption, request latency, error rates, and throughput, with feature importance weighting derived through recursive feature elimination techniques.</w:t>
      </w:r>
    </w:p>
    <w:p w14:paraId="09B91D24"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2.3.3 AI-Driven Incident Management</w:t>
      </w:r>
    </w:p>
    <w:p w14:paraId="1D9F90EC"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incident management through:</w:t>
      </w:r>
    </w:p>
    <w:p w14:paraId="0D8772F9" w14:textId="77777777" w:rsidR="00C75F7B" w:rsidRPr="00DB7DB5" w:rsidRDefault="00C75F7B" w:rsidP="00C75F7B">
      <w:pPr>
        <w:numPr>
          <w:ilvl w:val="0"/>
          <w:numId w:val="35"/>
        </w:numPr>
        <w:spacing w:before="100" w:beforeAutospacing="1" w:after="100" w:afterAutospacing="1"/>
        <w:rPr>
          <w:rFonts w:ascii="Arial" w:hAnsi="Arial" w:cs="Arial"/>
        </w:rPr>
      </w:pPr>
      <w:r w:rsidRPr="00DB7DB5">
        <w:rPr>
          <w:rFonts w:ascii="Arial" w:hAnsi="Arial" w:cs="Arial"/>
          <w:b/>
          <w:bCs/>
        </w:rPr>
        <w:t>Intelligent Alert Correlation</w:t>
      </w:r>
      <w:r w:rsidRPr="00DB7DB5">
        <w:rPr>
          <w:rFonts w:ascii="Arial" w:hAnsi="Arial" w:cs="Arial"/>
        </w:rPr>
        <w:t>: Machine learning algorithms group related alerts to reduce noise and expose underlying issues.</w:t>
      </w:r>
    </w:p>
    <w:p w14:paraId="205267A4" w14:textId="77777777" w:rsidR="00C75F7B" w:rsidRPr="00DB7DB5" w:rsidRDefault="00C75F7B" w:rsidP="00C75F7B">
      <w:pPr>
        <w:numPr>
          <w:ilvl w:val="0"/>
          <w:numId w:val="35"/>
        </w:numPr>
        <w:spacing w:before="100" w:beforeAutospacing="1" w:after="100" w:afterAutospacing="1"/>
        <w:rPr>
          <w:rFonts w:ascii="Arial" w:hAnsi="Arial" w:cs="Arial"/>
        </w:rPr>
      </w:pPr>
      <w:r w:rsidRPr="00DB7DB5">
        <w:rPr>
          <w:rFonts w:ascii="Arial" w:hAnsi="Arial" w:cs="Arial"/>
          <w:b/>
          <w:bCs/>
        </w:rPr>
        <w:t>Predictive Incident Response</w:t>
      </w:r>
      <w:r w:rsidRPr="00DB7DB5">
        <w:rPr>
          <w:rFonts w:ascii="Arial" w:hAnsi="Arial" w:cs="Arial"/>
        </w:rPr>
        <w:t>: Based on historical patterns, the system recommends response actions and team assignments.</w:t>
      </w:r>
    </w:p>
    <w:p w14:paraId="145EC65D" w14:textId="77777777" w:rsidR="00C75F7B" w:rsidRPr="00DB7DB5" w:rsidRDefault="00C75F7B" w:rsidP="00C75F7B">
      <w:pPr>
        <w:numPr>
          <w:ilvl w:val="0"/>
          <w:numId w:val="35"/>
        </w:numPr>
        <w:spacing w:before="100" w:beforeAutospacing="1" w:after="100" w:afterAutospacing="1"/>
        <w:rPr>
          <w:rFonts w:ascii="Arial" w:hAnsi="Arial" w:cs="Arial"/>
        </w:rPr>
      </w:pPr>
      <w:r w:rsidRPr="00DB7DB5">
        <w:rPr>
          <w:rFonts w:ascii="Arial" w:hAnsi="Arial" w:cs="Arial"/>
          <w:b/>
          <w:bCs/>
        </w:rPr>
        <w:t>Automated Remediation</w:t>
      </w:r>
      <w:r w:rsidRPr="00DB7DB5">
        <w:rPr>
          <w:rFonts w:ascii="Arial" w:hAnsi="Arial" w:cs="Arial"/>
        </w:rPr>
        <w:t>: For well-understood failure modes, the system executes automated remediation actions with appropriate safeguards.</w:t>
      </w:r>
    </w:p>
    <w:p w14:paraId="12EC91B7"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2.3.4 Toil Elimination Through Machine Learning</w:t>
      </w:r>
    </w:p>
    <w:p w14:paraId="189EC83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toil reduction through:</w:t>
      </w:r>
    </w:p>
    <w:p w14:paraId="1E748CD3" w14:textId="77777777" w:rsidR="00C75F7B" w:rsidRPr="00DB7DB5" w:rsidRDefault="00C75F7B" w:rsidP="00C75F7B">
      <w:pPr>
        <w:numPr>
          <w:ilvl w:val="0"/>
          <w:numId w:val="36"/>
        </w:numPr>
        <w:spacing w:before="100" w:beforeAutospacing="1" w:after="100" w:afterAutospacing="1"/>
        <w:rPr>
          <w:rFonts w:ascii="Arial" w:hAnsi="Arial" w:cs="Arial"/>
        </w:rPr>
      </w:pPr>
      <w:r w:rsidRPr="00DB7DB5">
        <w:rPr>
          <w:rFonts w:ascii="Arial" w:hAnsi="Arial" w:cs="Arial"/>
          <w:b/>
          <w:bCs/>
        </w:rPr>
        <w:t>Intelligent Workflow Analysis</w:t>
      </w:r>
      <w:r w:rsidRPr="00DB7DB5">
        <w:rPr>
          <w:rFonts w:ascii="Arial" w:hAnsi="Arial" w:cs="Arial"/>
        </w:rPr>
        <w:t>: Machine learning algorithms identify patterns in operational activities that could be automated.</w:t>
      </w:r>
    </w:p>
    <w:p w14:paraId="784B4B1F" w14:textId="77777777" w:rsidR="00C75F7B" w:rsidRPr="00DB7DB5" w:rsidRDefault="00C75F7B" w:rsidP="00C75F7B">
      <w:pPr>
        <w:numPr>
          <w:ilvl w:val="0"/>
          <w:numId w:val="36"/>
        </w:numPr>
        <w:spacing w:before="100" w:beforeAutospacing="1" w:after="100" w:afterAutospacing="1"/>
        <w:rPr>
          <w:rFonts w:ascii="Arial" w:hAnsi="Arial" w:cs="Arial"/>
        </w:rPr>
      </w:pPr>
      <w:r w:rsidRPr="00DB7DB5">
        <w:rPr>
          <w:rFonts w:ascii="Arial" w:hAnsi="Arial" w:cs="Arial"/>
          <w:b/>
          <w:bCs/>
        </w:rPr>
        <w:t>Adaptive Automation Generation</w:t>
      </w:r>
      <w:r w:rsidRPr="00DB7DB5">
        <w:rPr>
          <w:rFonts w:ascii="Arial" w:hAnsi="Arial" w:cs="Arial"/>
        </w:rPr>
        <w:t>: Based on observed human actions, the system generates automation scripts and workflows.</w:t>
      </w:r>
    </w:p>
    <w:p w14:paraId="7B8DE79C" w14:textId="77777777" w:rsidR="00C75F7B" w:rsidRPr="00DB7DB5" w:rsidRDefault="00C75F7B" w:rsidP="00C75F7B">
      <w:pPr>
        <w:numPr>
          <w:ilvl w:val="0"/>
          <w:numId w:val="36"/>
        </w:numPr>
        <w:spacing w:before="100" w:beforeAutospacing="1" w:after="100" w:afterAutospacing="1"/>
        <w:rPr>
          <w:rFonts w:ascii="Arial" w:hAnsi="Arial" w:cs="Arial"/>
        </w:rPr>
      </w:pPr>
      <w:r w:rsidRPr="00DB7DB5">
        <w:rPr>
          <w:rFonts w:ascii="Arial" w:hAnsi="Arial" w:cs="Arial"/>
          <w:b/>
          <w:bCs/>
        </w:rPr>
        <w:lastRenderedPageBreak/>
        <w:t>Continuous Improvement</w:t>
      </w:r>
      <w:r w:rsidRPr="00DB7DB5">
        <w:rPr>
          <w:rFonts w:ascii="Arial" w:hAnsi="Arial" w:cs="Arial"/>
        </w:rPr>
        <w:t>: The framework measures the effectiveness of automations and suggests refinements.</w:t>
      </w:r>
    </w:p>
    <w:p w14:paraId="0DFB358D"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2.3.5 Knowledge Discovery and Sharing</w:t>
      </w:r>
    </w:p>
    <w:p w14:paraId="794208A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knowledge management through:</w:t>
      </w:r>
    </w:p>
    <w:p w14:paraId="75531C33" w14:textId="77777777" w:rsidR="00C75F7B" w:rsidRPr="00DB7DB5" w:rsidRDefault="00C75F7B" w:rsidP="00C75F7B">
      <w:pPr>
        <w:numPr>
          <w:ilvl w:val="0"/>
          <w:numId w:val="37"/>
        </w:numPr>
        <w:spacing w:before="100" w:beforeAutospacing="1" w:after="100" w:afterAutospacing="1"/>
        <w:rPr>
          <w:rFonts w:ascii="Arial" w:hAnsi="Arial" w:cs="Arial"/>
        </w:rPr>
      </w:pPr>
      <w:r w:rsidRPr="00DB7DB5">
        <w:rPr>
          <w:rFonts w:ascii="Arial" w:hAnsi="Arial" w:cs="Arial"/>
          <w:b/>
          <w:bCs/>
        </w:rPr>
        <w:t>Automated Postmortem Analysis</w:t>
      </w:r>
      <w:r w:rsidRPr="00DB7DB5">
        <w:rPr>
          <w:rFonts w:ascii="Arial" w:hAnsi="Arial" w:cs="Arial"/>
        </w:rPr>
        <w:t>: Natural language processing and machine learning analyze incident reports to extract patterns and insights.</w:t>
      </w:r>
    </w:p>
    <w:p w14:paraId="106DC472" w14:textId="77777777" w:rsidR="00C75F7B" w:rsidRPr="00DB7DB5" w:rsidRDefault="00C75F7B" w:rsidP="00C75F7B">
      <w:pPr>
        <w:numPr>
          <w:ilvl w:val="0"/>
          <w:numId w:val="37"/>
        </w:numPr>
        <w:spacing w:before="100" w:beforeAutospacing="1" w:after="100" w:afterAutospacing="1"/>
        <w:rPr>
          <w:rFonts w:ascii="Arial" w:hAnsi="Arial" w:cs="Arial"/>
        </w:rPr>
      </w:pPr>
      <w:r w:rsidRPr="00DB7DB5">
        <w:rPr>
          <w:rFonts w:ascii="Arial" w:hAnsi="Arial" w:cs="Arial"/>
          <w:b/>
          <w:bCs/>
        </w:rPr>
        <w:t>Continuous Learning Repository</w:t>
      </w:r>
      <w:r w:rsidRPr="00DB7DB5">
        <w:rPr>
          <w:rFonts w:ascii="Arial" w:hAnsi="Arial" w:cs="Arial"/>
        </w:rPr>
        <w:t>: The system maintains a knowledge graph of system behavior, incidents, and resolutions.</w:t>
      </w:r>
    </w:p>
    <w:p w14:paraId="5E15FCE3" w14:textId="77777777" w:rsidR="00C75F7B" w:rsidRPr="00DB7DB5" w:rsidRDefault="00C75F7B" w:rsidP="00C75F7B">
      <w:pPr>
        <w:numPr>
          <w:ilvl w:val="0"/>
          <w:numId w:val="37"/>
        </w:numPr>
        <w:spacing w:before="100" w:beforeAutospacing="1" w:after="100" w:afterAutospacing="1"/>
        <w:rPr>
          <w:rFonts w:ascii="Arial" w:hAnsi="Arial" w:cs="Arial"/>
        </w:rPr>
      </w:pPr>
      <w:r w:rsidRPr="00DB7DB5">
        <w:rPr>
          <w:rFonts w:ascii="Arial" w:hAnsi="Arial" w:cs="Arial"/>
          <w:b/>
          <w:bCs/>
        </w:rPr>
        <w:t>Proactive Knowledge Delivery</w:t>
      </w:r>
      <w:r w:rsidRPr="00DB7DB5">
        <w:rPr>
          <w:rFonts w:ascii="Arial" w:hAnsi="Arial" w:cs="Arial"/>
        </w:rPr>
        <w:t>: Based on current context, the system delivers relevant insights to engineers when needed.</w:t>
      </w:r>
    </w:p>
    <w:p w14:paraId="54C93386" w14:textId="77777777" w:rsidR="00E34F2C" w:rsidRPr="00E34F2C" w:rsidRDefault="00E34F2C" w:rsidP="00E34F2C">
      <w:pPr>
        <w:pStyle w:val="Body"/>
        <w:rPr>
          <w:rFonts w:ascii="Arial" w:hAnsi="Arial" w:cs="Arial"/>
        </w:rPr>
      </w:pPr>
      <w:r w:rsidRPr="00E34F2C">
        <w:rPr>
          <w:rFonts w:ascii="Arial" w:hAnsi="Arial" w:cs="Arial"/>
          <w:bCs/>
        </w:rPr>
        <w:t>2.3.6 AI Model Training and Continuous Improvement</w:t>
      </w:r>
    </w:p>
    <w:p w14:paraId="45CA8E78" w14:textId="77777777" w:rsidR="00E34F2C" w:rsidRPr="00E34F2C" w:rsidRDefault="00E34F2C" w:rsidP="00E34F2C">
      <w:pPr>
        <w:pStyle w:val="Body"/>
        <w:spacing w:after="0"/>
        <w:rPr>
          <w:rFonts w:ascii="Arial" w:hAnsi="Arial" w:cs="Arial"/>
        </w:rPr>
      </w:pPr>
      <w:r w:rsidRPr="00E34F2C">
        <w:rPr>
          <w:rFonts w:ascii="Arial" w:hAnsi="Arial" w:cs="Arial"/>
        </w:rPr>
        <w:t>The AI models implemented within the framework follow a continuous training paradigm to ensure ongoing relevance and effectiveness:</w:t>
      </w:r>
    </w:p>
    <w:p w14:paraId="06C875ED" w14:textId="77777777" w:rsidR="00E34F2C" w:rsidRPr="00E34F2C" w:rsidRDefault="00E34F2C" w:rsidP="00E34F2C">
      <w:pPr>
        <w:pStyle w:val="Body"/>
        <w:numPr>
          <w:ilvl w:val="0"/>
          <w:numId w:val="43"/>
        </w:numPr>
        <w:spacing w:after="0"/>
        <w:rPr>
          <w:rFonts w:ascii="Arial" w:hAnsi="Arial" w:cs="Arial"/>
        </w:rPr>
      </w:pPr>
      <w:r w:rsidRPr="00E34F2C">
        <w:rPr>
          <w:rFonts w:ascii="Arial" w:hAnsi="Arial" w:cs="Arial"/>
          <w:b/>
          <w:bCs/>
        </w:rPr>
        <w:t>Initial Training</w:t>
      </w:r>
      <w:r w:rsidRPr="00E34F2C">
        <w:rPr>
          <w:rFonts w:ascii="Arial" w:hAnsi="Arial" w:cs="Arial"/>
        </w:rPr>
        <w:t>: Models are initially trained using 12-18 months of historical operational data, with 70% allocated to training, 15% to validation, and 15% to testing. For organizations with limited historical data, transfer learning techniques are applied using generalized industry models as starting points.</w:t>
      </w:r>
    </w:p>
    <w:p w14:paraId="5360C0E4" w14:textId="77777777" w:rsidR="00E34F2C" w:rsidRPr="00E34F2C" w:rsidRDefault="00E34F2C" w:rsidP="00E34F2C">
      <w:pPr>
        <w:pStyle w:val="Body"/>
        <w:numPr>
          <w:ilvl w:val="0"/>
          <w:numId w:val="43"/>
        </w:numPr>
        <w:spacing w:after="0"/>
        <w:rPr>
          <w:rFonts w:ascii="Arial" w:hAnsi="Arial" w:cs="Arial"/>
        </w:rPr>
      </w:pPr>
      <w:r w:rsidRPr="00E34F2C">
        <w:rPr>
          <w:rFonts w:ascii="Arial" w:hAnsi="Arial" w:cs="Arial"/>
          <w:b/>
          <w:bCs/>
        </w:rPr>
        <w:t>Continuous Learning</w:t>
      </w:r>
      <w:r w:rsidRPr="00E34F2C">
        <w:rPr>
          <w:rFonts w:ascii="Arial" w:hAnsi="Arial" w:cs="Arial"/>
        </w:rPr>
        <w:t>: Models implement online learning capabilities with a sliding window approach, incorporating new operational data while gradually discounting older observations. This approach ensures models remain sensitive to evolving system behaviors and patterns.</w:t>
      </w:r>
    </w:p>
    <w:p w14:paraId="41D4C2B8" w14:textId="77777777" w:rsidR="00E34F2C" w:rsidRPr="00E34F2C" w:rsidRDefault="00E34F2C" w:rsidP="00E34F2C">
      <w:pPr>
        <w:pStyle w:val="Body"/>
        <w:numPr>
          <w:ilvl w:val="0"/>
          <w:numId w:val="43"/>
        </w:numPr>
        <w:spacing w:after="0"/>
        <w:rPr>
          <w:rFonts w:ascii="Arial" w:hAnsi="Arial" w:cs="Arial"/>
        </w:rPr>
      </w:pPr>
      <w:r w:rsidRPr="00E34F2C">
        <w:rPr>
          <w:rFonts w:ascii="Arial" w:hAnsi="Arial" w:cs="Arial"/>
          <w:b/>
          <w:bCs/>
        </w:rPr>
        <w:t>Performance Monitoring</w:t>
      </w:r>
      <w:r w:rsidRPr="00E34F2C">
        <w:rPr>
          <w:rFonts w:ascii="Arial" w:hAnsi="Arial" w:cs="Arial"/>
        </w:rPr>
        <w:t>: Each model's performance is continuously assessed against predefined metrics (precision, recall, F1 score for classification tasks; RMSE, MAE for regression tasks). When performance degrades below established thresholds, automated retraining is triggered.</w:t>
      </w:r>
    </w:p>
    <w:p w14:paraId="1A3EE928" w14:textId="77777777" w:rsidR="00E34F2C" w:rsidRPr="00E34F2C" w:rsidRDefault="00E34F2C" w:rsidP="00E34F2C">
      <w:pPr>
        <w:pStyle w:val="Body"/>
        <w:numPr>
          <w:ilvl w:val="0"/>
          <w:numId w:val="43"/>
        </w:numPr>
        <w:spacing w:after="0"/>
        <w:rPr>
          <w:rFonts w:ascii="Arial" w:hAnsi="Arial" w:cs="Arial"/>
        </w:rPr>
      </w:pPr>
      <w:r w:rsidRPr="00E34F2C">
        <w:rPr>
          <w:rFonts w:ascii="Arial" w:hAnsi="Arial" w:cs="Arial"/>
          <w:b/>
          <w:bCs/>
        </w:rPr>
        <w:t>Feedback Integration</w:t>
      </w:r>
      <w:r w:rsidRPr="00E34F2C">
        <w:rPr>
          <w:rFonts w:ascii="Arial" w:hAnsi="Arial" w:cs="Arial"/>
        </w:rPr>
        <w:t>: Human feedback from SRE teams is systematically collected through simple interfaces that allow engineers to confirm, reject, or refine model outputs. This feedback is weighted heavily in subsequent training iterations, ensuring alignment with expert knowledge.</w:t>
      </w:r>
    </w:p>
    <w:p w14:paraId="7A8374FA" w14:textId="77777777" w:rsidR="00E34F2C" w:rsidRPr="00E34F2C" w:rsidRDefault="00E34F2C" w:rsidP="00E34F2C">
      <w:pPr>
        <w:pStyle w:val="Body"/>
        <w:numPr>
          <w:ilvl w:val="0"/>
          <w:numId w:val="43"/>
        </w:numPr>
        <w:spacing w:after="0"/>
        <w:rPr>
          <w:rFonts w:ascii="Arial" w:hAnsi="Arial" w:cs="Arial"/>
        </w:rPr>
      </w:pPr>
      <w:r w:rsidRPr="00E34F2C">
        <w:rPr>
          <w:rFonts w:ascii="Arial" w:hAnsi="Arial" w:cs="Arial"/>
          <w:b/>
          <w:bCs/>
        </w:rPr>
        <w:t>Version Control</w:t>
      </w:r>
      <w:r w:rsidRPr="00E34F2C">
        <w:rPr>
          <w:rFonts w:ascii="Arial" w:hAnsi="Arial" w:cs="Arial"/>
        </w:rPr>
        <w:t>: All model iterations are versioned and evaluated against test datasets before deployment, ensuring performance improvements and preventing regression.</w:t>
      </w:r>
    </w:p>
    <w:p w14:paraId="621BE228" w14:textId="3193FB92" w:rsidR="00E34F2C" w:rsidRPr="00E34F2C" w:rsidRDefault="00E34F2C" w:rsidP="00E34F2C">
      <w:pPr>
        <w:pStyle w:val="Body"/>
        <w:spacing w:after="0"/>
        <w:rPr>
          <w:rFonts w:ascii="Arial" w:hAnsi="Arial" w:cs="Arial"/>
        </w:rPr>
      </w:pPr>
      <w:r w:rsidRPr="00E34F2C">
        <w:rPr>
          <w:rFonts w:ascii="Arial" w:hAnsi="Arial" w:cs="Arial"/>
        </w:rPr>
        <w:t>This continuous improvement cycle enables the AIOps components to adapt to changing infrastructure patterns, new deployment technologies, and evolving business requirements, thereby increasing adoption and long-term sustainability.</w:t>
      </w:r>
    </w:p>
    <w:p w14:paraId="0C938881" w14:textId="7B395918" w:rsidR="00C75F7B" w:rsidRPr="00DB7DB5" w:rsidRDefault="00C75F7B" w:rsidP="00C75F7B">
      <w:pPr>
        <w:spacing w:before="100" w:beforeAutospacing="1" w:after="100" w:afterAutospacing="1"/>
        <w:outlineLvl w:val="2"/>
        <w:rPr>
          <w:rFonts w:ascii="Arial" w:hAnsi="Arial" w:cs="Arial"/>
          <w:b/>
          <w:bCs/>
        </w:rPr>
      </w:pPr>
      <w:r w:rsidRPr="00DB7DB5">
        <w:rPr>
          <w:rFonts w:ascii="Arial" w:hAnsi="Arial" w:cs="Arial"/>
          <w:b/>
          <w:bCs/>
        </w:rPr>
        <w:t>2.4 Implementation Methodology</w:t>
      </w:r>
    </w:p>
    <w:p w14:paraId="12E86FE4" w14:textId="57C88540" w:rsidR="00C75F7B" w:rsidRPr="00DB7DB5" w:rsidRDefault="00FD3CC5" w:rsidP="00C75F7B">
      <w:pPr>
        <w:spacing w:before="100" w:beforeAutospacing="1" w:after="100" w:afterAutospacing="1"/>
        <w:rPr>
          <w:rFonts w:ascii="Arial" w:hAnsi="Arial" w:cs="Arial"/>
        </w:rPr>
      </w:pPr>
      <w:r>
        <w:rPr>
          <w:rFonts w:ascii="Arial" w:hAnsi="Arial" w:cs="Arial"/>
        </w:rPr>
        <w:t xml:space="preserve">I </w:t>
      </w:r>
      <w:r w:rsidR="00C75F7B" w:rsidRPr="00DB7DB5">
        <w:rPr>
          <w:rFonts w:ascii="Arial" w:hAnsi="Arial" w:cs="Arial"/>
        </w:rPr>
        <w:t>developed a four-phase implementation methodology to address technical, process, and organizational aspects:</w:t>
      </w:r>
    </w:p>
    <w:p w14:paraId="7A194C0D"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t>Assessment and Preparation (2-3 months)</w:t>
      </w:r>
      <w:r w:rsidRPr="00DB7DB5">
        <w:rPr>
          <w:rFonts w:ascii="Arial" w:hAnsi="Arial" w:cs="Arial"/>
        </w:rPr>
        <w:t>:</w:t>
      </w:r>
    </w:p>
    <w:p w14:paraId="378780D7"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Data readiness assessment</w:t>
      </w:r>
    </w:p>
    <w:p w14:paraId="64668428"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Use case prioritization</w:t>
      </w:r>
    </w:p>
    <w:p w14:paraId="4BE8DA62"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Skills development</w:t>
      </w:r>
    </w:p>
    <w:p w14:paraId="3F0EB200"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t>Foundation Building (3-4 months)</w:t>
      </w:r>
      <w:r w:rsidRPr="00DB7DB5">
        <w:rPr>
          <w:rFonts w:ascii="Arial" w:hAnsi="Arial" w:cs="Arial"/>
        </w:rPr>
        <w:t>:</w:t>
      </w:r>
    </w:p>
    <w:p w14:paraId="31CF8005"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Data platform implementation</w:t>
      </w:r>
    </w:p>
    <w:p w14:paraId="006F0761"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lastRenderedPageBreak/>
        <w:t>Initial model development</w:t>
      </w:r>
    </w:p>
    <w:p w14:paraId="3E7AB342"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Integration with SRE workflows</w:t>
      </w:r>
    </w:p>
    <w:p w14:paraId="043BCC77"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t>Capability Expansion (6-12 months)</w:t>
      </w:r>
      <w:r w:rsidRPr="00DB7DB5">
        <w:rPr>
          <w:rFonts w:ascii="Arial" w:hAnsi="Arial" w:cs="Arial"/>
        </w:rPr>
        <w:t>:</w:t>
      </w:r>
    </w:p>
    <w:p w14:paraId="051F95E0"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Advanced model implementation</w:t>
      </w:r>
    </w:p>
    <w:p w14:paraId="27C55F09"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Process transformation</w:t>
      </w:r>
    </w:p>
    <w:p w14:paraId="59DB99A2"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Feedback loop establishment</w:t>
      </w:r>
    </w:p>
    <w:p w14:paraId="58A1D2FD"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t>Operational Transformation (Ongoing)</w:t>
      </w:r>
      <w:r w:rsidRPr="00DB7DB5">
        <w:rPr>
          <w:rFonts w:ascii="Arial" w:hAnsi="Arial" w:cs="Arial"/>
        </w:rPr>
        <w:t>:</w:t>
      </w:r>
    </w:p>
    <w:p w14:paraId="53280668"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Autonomous operations development</w:t>
      </w:r>
    </w:p>
    <w:p w14:paraId="418A9D19"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Organizational adaptation</w:t>
      </w:r>
    </w:p>
    <w:p w14:paraId="7DB98F56" w14:textId="77777777" w:rsidR="00C75F7B"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Continuous evolution</w:t>
      </w:r>
    </w:p>
    <w:p w14:paraId="45F51B51" w14:textId="4FE929CB" w:rsidR="00E34F2C" w:rsidRPr="00DB7DB5" w:rsidRDefault="00E34F2C" w:rsidP="00E34F2C">
      <w:pPr>
        <w:spacing w:before="100" w:beforeAutospacing="1" w:after="100" w:afterAutospacing="1"/>
        <w:rPr>
          <w:rFonts w:ascii="Arial" w:hAnsi="Arial" w:cs="Arial"/>
        </w:rPr>
      </w:pPr>
      <w:r w:rsidRPr="00E34F2C">
        <w:rPr>
          <w:rFonts w:ascii="Arial" w:hAnsi="Arial" w:cs="Arial"/>
        </w:rPr>
        <w:t>Implementation timelines vary significantly based on organizational factors including existing data infrastructure maturity, technical debt, cultural readiness, and executive sponsorship. Organizations with established data platforms, modern observability tools, and strong leadership support may complete the Assessment &amp; Preparation phase in as little as 3-4 weeks and the Foundation Building phase in 2-3 months. Conversely, organizations with significant technical debt, fragmented monitoring systems, or organizational resistance may require 4-6 months for initial assessment and 6-9 months for foundation building. Similarly, the Capability Expansion phase typically ranges from 3-6 months for digitally mature organizations to 12-18 months for those requiring substantial technical and cultural transformation. This variability highlights the importance of tailoring the implementation approach to each organization's specific environmental factors and constraints</w:t>
      </w:r>
    </w:p>
    <w:p w14:paraId="52BCCC7A" w14:textId="77777777" w:rsidR="00C75F7B" w:rsidRPr="00DB7DB5" w:rsidRDefault="00C75F7B" w:rsidP="00C75F7B">
      <w:pPr>
        <w:spacing w:before="100" w:beforeAutospacing="1" w:after="100" w:afterAutospacing="1"/>
        <w:outlineLvl w:val="2"/>
        <w:rPr>
          <w:rFonts w:ascii="Arial" w:hAnsi="Arial" w:cs="Arial"/>
          <w:b/>
          <w:bCs/>
        </w:rPr>
      </w:pPr>
      <w:r w:rsidRPr="00DB7DB5">
        <w:rPr>
          <w:rFonts w:ascii="Arial" w:hAnsi="Arial" w:cs="Arial"/>
          <w:b/>
          <w:bCs/>
        </w:rPr>
        <w:t>2.5 Evaluation Methods</w:t>
      </w:r>
    </w:p>
    <w:p w14:paraId="2FFD564A" w14:textId="3F894746" w:rsidR="00C75F7B" w:rsidRPr="00DB7DB5" w:rsidRDefault="00FD3CC5" w:rsidP="00C75F7B">
      <w:pPr>
        <w:spacing w:before="100" w:beforeAutospacing="1" w:after="100" w:afterAutospacing="1"/>
        <w:rPr>
          <w:rFonts w:ascii="Arial" w:hAnsi="Arial" w:cs="Arial"/>
        </w:rPr>
      </w:pPr>
      <w:r>
        <w:rPr>
          <w:rFonts w:ascii="Arial" w:hAnsi="Arial" w:cs="Arial"/>
        </w:rPr>
        <w:t>I</w:t>
      </w:r>
      <w:r w:rsidR="00C75F7B" w:rsidRPr="00DB7DB5">
        <w:rPr>
          <w:rFonts w:ascii="Arial" w:hAnsi="Arial" w:cs="Arial"/>
        </w:rPr>
        <w:t xml:space="preserve"> evaluated the framework's effectiveness using several methods:</w:t>
      </w:r>
    </w:p>
    <w:p w14:paraId="24E412ED" w14:textId="06627BF1"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Comparative Metrics Analysis</w:t>
      </w:r>
      <w:r w:rsidRPr="00DB7DB5">
        <w:rPr>
          <w:rFonts w:ascii="Arial" w:hAnsi="Arial" w:cs="Arial"/>
        </w:rPr>
        <w:t xml:space="preserve">: </w:t>
      </w:r>
      <w:r w:rsidR="00FD3CC5">
        <w:rPr>
          <w:rFonts w:ascii="Arial" w:hAnsi="Arial" w:cs="Arial"/>
        </w:rPr>
        <w:t>I</w:t>
      </w:r>
      <w:r w:rsidRPr="00DB7DB5">
        <w:rPr>
          <w:rFonts w:ascii="Arial" w:hAnsi="Arial" w:cs="Arial"/>
        </w:rPr>
        <w:t xml:space="preserve"> compared key operational metrics before and after implementation, including:</w:t>
      </w:r>
    </w:p>
    <w:p w14:paraId="5CB6D0DB"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Alert volumes and signal-to-noise ratios</w:t>
      </w:r>
    </w:p>
    <w:p w14:paraId="6C775BB0"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Mean time to detection (MTTD)</w:t>
      </w:r>
    </w:p>
    <w:p w14:paraId="3A0571FD"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Mean time to resolution (MTTR)</w:t>
      </w:r>
    </w:p>
    <w:p w14:paraId="7DF2C4E8"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Automation rates</w:t>
      </w:r>
    </w:p>
    <w:p w14:paraId="6578FBDA"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On-call burden</w:t>
      </w:r>
    </w:p>
    <w:p w14:paraId="6D62D8E6" w14:textId="43EE31AE"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Controlled Experiments</w:t>
      </w:r>
      <w:r w:rsidRPr="00DB7DB5">
        <w:rPr>
          <w:rFonts w:ascii="Arial" w:hAnsi="Arial" w:cs="Arial"/>
        </w:rPr>
        <w:t xml:space="preserve">: </w:t>
      </w:r>
      <w:r w:rsidR="00FD3CC5">
        <w:rPr>
          <w:rFonts w:ascii="Arial" w:hAnsi="Arial" w:cs="Arial"/>
        </w:rPr>
        <w:t>I</w:t>
      </w:r>
      <w:r w:rsidRPr="00DB7DB5">
        <w:rPr>
          <w:rFonts w:ascii="Arial" w:hAnsi="Arial" w:cs="Arial"/>
        </w:rPr>
        <w:t xml:space="preserve"> conducted controlled experiments for specific components, such as comparing AI-recommended incident responses to traditional approaches.</w:t>
      </w:r>
    </w:p>
    <w:p w14:paraId="0427CF51" w14:textId="36E53592"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User Experience Measurement</w:t>
      </w:r>
      <w:r w:rsidRPr="00DB7DB5">
        <w:rPr>
          <w:rFonts w:ascii="Arial" w:hAnsi="Arial" w:cs="Arial"/>
        </w:rPr>
        <w:t xml:space="preserve">: </w:t>
      </w:r>
      <w:r w:rsidR="00FD3CC5">
        <w:rPr>
          <w:rFonts w:ascii="Arial" w:hAnsi="Arial" w:cs="Arial"/>
        </w:rPr>
        <w:t>I</w:t>
      </w:r>
      <w:r w:rsidRPr="00DB7DB5">
        <w:rPr>
          <w:rFonts w:ascii="Arial" w:hAnsi="Arial" w:cs="Arial"/>
        </w:rPr>
        <w:t xml:space="preserve"> tracked end-user experience metrics to ensure that reliability improvements translated to better user outcomes.</w:t>
      </w:r>
    </w:p>
    <w:p w14:paraId="06490F26" w14:textId="3852312B"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Organizational Impact Assessment</w:t>
      </w:r>
      <w:r w:rsidRPr="00DB7DB5">
        <w:rPr>
          <w:rFonts w:ascii="Arial" w:hAnsi="Arial" w:cs="Arial"/>
        </w:rPr>
        <w:t xml:space="preserve">: </w:t>
      </w:r>
      <w:r w:rsidR="00FD3CC5">
        <w:rPr>
          <w:rFonts w:ascii="Arial" w:hAnsi="Arial" w:cs="Arial"/>
        </w:rPr>
        <w:t>I</w:t>
      </w:r>
      <w:r w:rsidRPr="00DB7DB5">
        <w:rPr>
          <w:rFonts w:ascii="Arial" w:hAnsi="Arial" w:cs="Arial"/>
        </w:rPr>
        <w:t xml:space="preserve"> assessed the impact on SRE team workload, skill development, and job satisfaction through surveys and interviews.</w:t>
      </w:r>
    </w:p>
    <w:p w14:paraId="171EF1C7" w14:textId="5572B2B7" w:rsidR="00790ADA" w:rsidRDefault="00790ADA" w:rsidP="00441B6F">
      <w:pPr>
        <w:pStyle w:val="Body"/>
        <w:spacing w:after="0"/>
        <w:rPr>
          <w:rFonts w:ascii="Arial" w:hAnsi="Arial" w:cs="Arial"/>
        </w:rPr>
      </w:pPr>
    </w:p>
    <w:p w14:paraId="3CB3ACC1" w14:textId="77777777" w:rsidR="00E34F2C" w:rsidRPr="00FB3A86" w:rsidRDefault="00E34F2C" w:rsidP="00441B6F">
      <w:pPr>
        <w:pStyle w:val="Body"/>
        <w:spacing w:after="0"/>
        <w:rPr>
          <w:rFonts w:ascii="Arial" w:hAnsi="Arial" w:cs="Arial"/>
        </w:rPr>
      </w:pPr>
    </w:p>
    <w:p w14:paraId="192E286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D19BDE" w14:textId="77777777" w:rsidR="00790ADA" w:rsidRPr="00FB3A86" w:rsidRDefault="00790ADA" w:rsidP="00441B6F">
      <w:pPr>
        <w:pStyle w:val="Head1"/>
        <w:spacing w:after="0"/>
        <w:jc w:val="both"/>
        <w:rPr>
          <w:rFonts w:ascii="Arial" w:hAnsi="Arial" w:cs="Arial"/>
        </w:rPr>
      </w:pPr>
    </w:p>
    <w:p w14:paraId="271C8A6C"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 xml:space="preserve">3.1 </w:t>
      </w:r>
      <w:r w:rsidRPr="00DB7DB5">
        <w:rPr>
          <w:rFonts w:ascii="Arial" w:hAnsi="Arial" w:cs="Arial"/>
          <w:b/>
          <w:caps/>
          <w:sz w:val="22"/>
        </w:rPr>
        <w:t>Framework Implementation Results</w:t>
      </w:r>
    </w:p>
    <w:p w14:paraId="0CF7090F"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implementation across three organizations demonstrated significant improvements in key operational metrics, as summarized in Table 1.</w:t>
      </w:r>
    </w:p>
    <w:p w14:paraId="7DEF53CF" w14:textId="0CB45946" w:rsidR="00C75F7B" w:rsidRPr="00C75F7B" w:rsidRDefault="00C75F7B" w:rsidP="00C75F7B">
      <w:pPr>
        <w:spacing w:before="100" w:beforeAutospacing="1" w:after="100" w:afterAutospacing="1"/>
        <w:rPr>
          <w:rFonts w:ascii="Arial" w:hAnsi="Arial" w:cs="Arial"/>
          <w:b/>
          <w:bCs/>
        </w:rPr>
      </w:pPr>
      <w:r w:rsidRPr="00DB7DB5">
        <w:rPr>
          <w:rFonts w:ascii="Arial" w:hAnsi="Arial" w:cs="Arial"/>
          <w:b/>
          <w:bCs/>
        </w:rPr>
        <w:lastRenderedPageBreak/>
        <w:t>Table 1. Key Operational Metrics Before and After Implementation</w:t>
      </w:r>
    </w:p>
    <w:tbl>
      <w:tblPr>
        <w:tblStyle w:val="TableGrid"/>
        <w:tblW w:w="8424" w:type="dxa"/>
        <w:tblLook w:val="04A0" w:firstRow="1" w:lastRow="0" w:firstColumn="1" w:lastColumn="0" w:noHBand="0" w:noVBand="1"/>
      </w:tblPr>
      <w:tblGrid>
        <w:gridCol w:w="2106"/>
        <w:gridCol w:w="2106"/>
        <w:gridCol w:w="2106"/>
        <w:gridCol w:w="2106"/>
      </w:tblGrid>
      <w:tr w:rsidR="00C75F7B" w:rsidRPr="00C75F7B" w14:paraId="100B4357" w14:textId="77777777" w:rsidTr="00C75F7B">
        <w:tc>
          <w:tcPr>
            <w:tcW w:w="2106" w:type="dxa"/>
            <w:vAlign w:val="center"/>
          </w:tcPr>
          <w:p w14:paraId="19C5D340" w14:textId="39D8EC9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Metric</w:t>
            </w:r>
          </w:p>
        </w:tc>
        <w:tc>
          <w:tcPr>
            <w:tcW w:w="2106" w:type="dxa"/>
            <w:vAlign w:val="center"/>
          </w:tcPr>
          <w:p w14:paraId="5546092D" w14:textId="548C465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Before</w:t>
            </w:r>
          </w:p>
        </w:tc>
        <w:tc>
          <w:tcPr>
            <w:tcW w:w="2106" w:type="dxa"/>
            <w:vAlign w:val="center"/>
          </w:tcPr>
          <w:p w14:paraId="7ADAF5C3" w14:textId="2473D5B2"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After</w:t>
            </w:r>
          </w:p>
        </w:tc>
        <w:tc>
          <w:tcPr>
            <w:tcW w:w="2106" w:type="dxa"/>
            <w:vAlign w:val="center"/>
          </w:tcPr>
          <w:p w14:paraId="3D1321B1" w14:textId="0AD9CFD4"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Improvement</w:t>
            </w:r>
          </w:p>
        </w:tc>
      </w:tr>
      <w:tr w:rsidR="00C75F7B" w:rsidRPr="00C75F7B" w14:paraId="551B338C" w14:textId="77777777" w:rsidTr="00C75F7B">
        <w:tc>
          <w:tcPr>
            <w:tcW w:w="2106" w:type="dxa"/>
            <w:vAlign w:val="center"/>
          </w:tcPr>
          <w:p w14:paraId="0197D00D" w14:textId="6106BA67"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Daily alert volume</w:t>
            </w:r>
          </w:p>
        </w:tc>
        <w:tc>
          <w:tcPr>
            <w:tcW w:w="2106" w:type="dxa"/>
            <w:vAlign w:val="center"/>
          </w:tcPr>
          <w:p w14:paraId="381523EB" w14:textId="5A29D8B5"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860</w:t>
            </w:r>
          </w:p>
        </w:tc>
        <w:tc>
          <w:tcPr>
            <w:tcW w:w="2106" w:type="dxa"/>
            <w:vAlign w:val="center"/>
          </w:tcPr>
          <w:p w14:paraId="1E0FB3C2" w14:textId="126B890C"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112</w:t>
            </w:r>
          </w:p>
        </w:tc>
        <w:tc>
          <w:tcPr>
            <w:tcW w:w="2106" w:type="dxa"/>
            <w:vAlign w:val="center"/>
          </w:tcPr>
          <w:p w14:paraId="5B6FE00F" w14:textId="42755D69"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87% reduction</w:t>
            </w:r>
          </w:p>
        </w:tc>
      </w:tr>
      <w:tr w:rsidR="00C75F7B" w:rsidRPr="00C75F7B" w14:paraId="4DAF17CE" w14:textId="77777777" w:rsidTr="00C75F7B">
        <w:tc>
          <w:tcPr>
            <w:tcW w:w="2106" w:type="dxa"/>
            <w:vAlign w:val="center"/>
          </w:tcPr>
          <w:p w14:paraId="311C1693" w14:textId="2B8D6CFF"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Signal-to-noise ratio</w:t>
            </w:r>
          </w:p>
        </w:tc>
        <w:tc>
          <w:tcPr>
            <w:tcW w:w="2106" w:type="dxa"/>
            <w:vAlign w:val="center"/>
          </w:tcPr>
          <w:p w14:paraId="1D9AC013" w14:textId="6B9B4308"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w:t>
            </w:r>
          </w:p>
        </w:tc>
        <w:tc>
          <w:tcPr>
            <w:tcW w:w="2106" w:type="dxa"/>
            <w:vAlign w:val="center"/>
          </w:tcPr>
          <w:p w14:paraId="54C754FE" w14:textId="3E67864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62%</w:t>
            </w:r>
          </w:p>
        </w:tc>
        <w:tc>
          <w:tcPr>
            <w:tcW w:w="2106" w:type="dxa"/>
            <w:vAlign w:val="center"/>
          </w:tcPr>
          <w:p w14:paraId="7E148809" w14:textId="24978C71"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675% improvement</w:t>
            </w:r>
          </w:p>
        </w:tc>
      </w:tr>
      <w:tr w:rsidR="00C75F7B" w:rsidRPr="00C75F7B" w14:paraId="53536F59" w14:textId="77777777" w:rsidTr="00C75F7B">
        <w:tc>
          <w:tcPr>
            <w:tcW w:w="2106" w:type="dxa"/>
            <w:vAlign w:val="center"/>
          </w:tcPr>
          <w:p w14:paraId="2CF888D0" w14:textId="64F3906F"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Mean time to detection</w:t>
            </w:r>
          </w:p>
        </w:tc>
        <w:tc>
          <w:tcPr>
            <w:tcW w:w="2106" w:type="dxa"/>
            <w:vAlign w:val="center"/>
          </w:tcPr>
          <w:p w14:paraId="55A57066" w14:textId="6EF8D3C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42 min</w:t>
            </w:r>
          </w:p>
        </w:tc>
        <w:tc>
          <w:tcPr>
            <w:tcW w:w="2106" w:type="dxa"/>
            <w:vAlign w:val="center"/>
          </w:tcPr>
          <w:p w14:paraId="46D5D4EB" w14:textId="5AE26BBD"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11 min</w:t>
            </w:r>
          </w:p>
        </w:tc>
        <w:tc>
          <w:tcPr>
            <w:tcW w:w="2106" w:type="dxa"/>
            <w:vAlign w:val="center"/>
          </w:tcPr>
          <w:p w14:paraId="14560960" w14:textId="3B4C0CB3"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73% reduction</w:t>
            </w:r>
          </w:p>
        </w:tc>
      </w:tr>
      <w:tr w:rsidR="00C75F7B" w:rsidRPr="00C75F7B" w14:paraId="2D80CBEE" w14:textId="77777777" w:rsidTr="00C75F7B">
        <w:tc>
          <w:tcPr>
            <w:tcW w:w="2106" w:type="dxa"/>
            <w:vAlign w:val="center"/>
          </w:tcPr>
          <w:p w14:paraId="2CE8B78D" w14:textId="6F8FFD1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Mean time to resolution</w:t>
            </w:r>
          </w:p>
        </w:tc>
        <w:tc>
          <w:tcPr>
            <w:tcW w:w="2106" w:type="dxa"/>
            <w:vAlign w:val="center"/>
          </w:tcPr>
          <w:p w14:paraId="76D6559D" w14:textId="01EDB2A1"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128 min</w:t>
            </w:r>
          </w:p>
        </w:tc>
        <w:tc>
          <w:tcPr>
            <w:tcW w:w="2106" w:type="dxa"/>
            <w:vAlign w:val="center"/>
          </w:tcPr>
          <w:p w14:paraId="179F6D7C" w14:textId="16EA786C"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47 min</w:t>
            </w:r>
          </w:p>
        </w:tc>
        <w:tc>
          <w:tcPr>
            <w:tcW w:w="2106" w:type="dxa"/>
            <w:vAlign w:val="center"/>
          </w:tcPr>
          <w:p w14:paraId="5A37F4DA" w14:textId="3C1A87F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63% reduction</w:t>
            </w:r>
          </w:p>
        </w:tc>
      </w:tr>
      <w:tr w:rsidR="00C75F7B" w:rsidRPr="00C75F7B" w14:paraId="7D9A8C14" w14:textId="77777777" w:rsidTr="00C75F7B">
        <w:tc>
          <w:tcPr>
            <w:tcW w:w="2106" w:type="dxa"/>
            <w:vAlign w:val="center"/>
          </w:tcPr>
          <w:p w14:paraId="712544E0" w14:textId="60DF49E6"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Incidents resolved automatically</w:t>
            </w:r>
          </w:p>
        </w:tc>
        <w:tc>
          <w:tcPr>
            <w:tcW w:w="2106" w:type="dxa"/>
            <w:vAlign w:val="center"/>
          </w:tcPr>
          <w:p w14:paraId="3DD02788" w14:textId="7122F2B7"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w:t>
            </w:r>
          </w:p>
        </w:tc>
        <w:tc>
          <w:tcPr>
            <w:tcW w:w="2106" w:type="dxa"/>
            <w:vAlign w:val="center"/>
          </w:tcPr>
          <w:p w14:paraId="7589644B" w14:textId="64C6417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62%</w:t>
            </w:r>
          </w:p>
        </w:tc>
        <w:tc>
          <w:tcPr>
            <w:tcW w:w="2106" w:type="dxa"/>
            <w:vAlign w:val="center"/>
          </w:tcPr>
          <w:p w14:paraId="32D993EC" w14:textId="24CACDD9"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786% improvement</w:t>
            </w:r>
          </w:p>
        </w:tc>
      </w:tr>
      <w:tr w:rsidR="00C75F7B" w:rsidRPr="00C75F7B" w14:paraId="19612AC1" w14:textId="77777777" w:rsidTr="00C75F7B">
        <w:tc>
          <w:tcPr>
            <w:tcW w:w="2106" w:type="dxa"/>
            <w:vAlign w:val="center"/>
          </w:tcPr>
          <w:p w14:paraId="380A683F" w14:textId="3FB1E017"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SRE on-call burden (hours/week)</w:t>
            </w:r>
          </w:p>
        </w:tc>
        <w:tc>
          <w:tcPr>
            <w:tcW w:w="2106" w:type="dxa"/>
            <w:vAlign w:val="center"/>
          </w:tcPr>
          <w:p w14:paraId="024E05C4" w14:textId="25EEB21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14.2</w:t>
            </w:r>
          </w:p>
        </w:tc>
        <w:tc>
          <w:tcPr>
            <w:tcW w:w="2106" w:type="dxa"/>
            <w:vAlign w:val="center"/>
          </w:tcPr>
          <w:p w14:paraId="063FF19F" w14:textId="5133E19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7.5</w:t>
            </w:r>
          </w:p>
        </w:tc>
        <w:tc>
          <w:tcPr>
            <w:tcW w:w="2106" w:type="dxa"/>
            <w:vAlign w:val="center"/>
          </w:tcPr>
          <w:p w14:paraId="5E2503D4" w14:textId="4E63577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47% reduction</w:t>
            </w:r>
          </w:p>
        </w:tc>
      </w:tr>
      <w:tr w:rsidR="00C75F7B" w:rsidRPr="00C75F7B" w14:paraId="169FCDF1" w14:textId="77777777" w:rsidTr="00C75F7B">
        <w:tc>
          <w:tcPr>
            <w:tcW w:w="2106" w:type="dxa"/>
            <w:vAlign w:val="center"/>
          </w:tcPr>
          <w:p w14:paraId="5E88678C" w14:textId="0BAC5951"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Deployment frequency</w:t>
            </w:r>
          </w:p>
        </w:tc>
        <w:tc>
          <w:tcPr>
            <w:tcW w:w="2106" w:type="dxa"/>
            <w:vAlign w:val="center"/>
          </w:tcPr>
          <w:p w14:paraId="31F94997" w14:textId="6DEB25D4"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3.2/week</w:t>
            </w:r>
          </w:p>
        </w:tc>
        <w:tc>
          <w:tcPr>
            <w:tcW w:w="2106" w:type="dxa"/>
            <w:vAlign w:val="center"/>
          </w:tcPr>
          <w:p w14:paraId="4388F6A1" w14:textId="71173910"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5.8/week</w:t>
            </w:r>
          </w:p>
        </w:tc>
        <w:tc>
          <w:tcPr>
            <w:tcW w:w="2106" w:type="dxa"/>
            <w:vAlign w:val="center"/>
          </w:tcPr>
          <w:p w14:paraId="786A50FB" w14:textId="22F50F2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81% increase</w:t>
            </w:r>
          </w:p>
        </w:tc>
      </w:tr>
    </w:tbl>
    <w:p w14:paraId="0AE00914" w14:textId="77777777" w:rsidR="00C75F7B" w:rsidRPr="00DB7DB5" w:rsidRDefault="00C75F7B" w:rsidP="00C75F7B">
      <w:pPr>
        <w:spacing w:before="100" w:beforeAutospacing="1" w:after="100" w:afterAutospacing="1"/>
        <w:rPr>
          <w:rFonts w:ascii="Arial" w:hAnsi="Arial" w:cs="Arial"/>
        </w:rPr>
      </w:pPr>
    </w:p>
    <w:p w14:paraId="6D419CBB"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These aggregate results mask significant variations across organizations due to different implementation focuses and starting points. Organization-specific results are discussed in the case studies section.</w:t>
      </w:r>
    </w:p>
    <w:p w14:paraId="0926A241"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3.2 AI-Enhanced Service Level Management</w:t>
      </w:r>
    </w:p>
    <w:p w14:paraId="2A2B55E1"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of dynamic SLI discovery revealed significant blind spots in traditional monitoring approaches. Across six production environments, machine learning identified an average of 7 high-impact metrics per service that were not included in human-defined SLIs. These metrics had strong correlation with user experience (correlation coefficient &gt; 0.7) but were not previously monitored for SLO purposes.</w:t>
      </w:r>
    </w:p>
    <w:p w14:paraId="5B8A7067"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adaptive SLO approach demonstrated substantial benefits in the financial services organization, where it enabled:</w:t>
      </w:r>
    </w:p>
    <w:p w14:paraId="69070D30" w14:textId="77777777" w:rsidR="00C75F7B" w:rsidRPr="00DB7DB5" w:rsidRDefault="00C75F7B" w:rsidP="00C75F7B">
      <w:pPr>
        <w:numPr>
          <w:ilvl w:val="0"/>
          <w:numId w:val="40"/>
        </w:numPr>
        <w:spacing w:before="100" w:beforeAutospacing="1" w:after="100" w:afterAutospacing="1"/>
        <w:rPr>
          <w:rFonts w:ascii="Arial" w:hAnsi="Arial" w:cs="Arial"/>
        </w:rPr>
      </w:pPr>
      <w:r w:rsidRPr="00DB7DB5">
        <w:rPr>
          <w:rFonts w:ascii="Arial" w:hAnsi="Arial" w:cs="Arial"/>
          <w:b/>
          <w:bCs/>
        </w:rPr>
        <w:t>Business-aligned reliability</w:t>
      </w:r>
      <w:r w:rsidRPr="00DB7DB5">
        <w:rPr>
          <w:rFonts w:ascii="Arial" w:hAnsi="Arial" w:cs="Arial"/>
        </w:rPr>
        <w:t>: SLOs that automatically adjusted to market trading hours and end-of-month settlement periods</w:t>
      </w:r>
    </w:p>
    <w:p w14:paraId="4E91C83F" w14:textId="77777777" w:rsidR="00C75F7B" w:rsidRPr="00DB7DB5" w:rsidRDefault="00C75F7B" w:rsidP="00C75F7B">
      <w:pPr>
        <w:numPr>
          <w:ilvl w:val="0"/>
          <w:numId w:val="40"/>
        </w:numPr>
        <w:spacing w:before="100" w:beforeAutospacing="1" w:after="100" w:afterAutospacing="1"/>
        <w:rPr>
          <w:rFonts w:ascii="Arial" w:hAnsi="Arial" w:cs="Arial"/>
        </w:rPr>
      </w:pPr>
      <w:r w:rsidRPr="00DB7DB5">
        <w:rPr>
          <w:rFonts w:ascii="Arial" w:hAnsi="Arial" w:cs="Arial"/>
          <w:b/>
          <w:bCs/>
        </w:rPr>
        <w:t>Risk-appropriate deployment controls</w:t>
      </w:r>
      <w:r w:rsidRPr="00DB7DB5">
        <w:rPr>
          <w:rFonts w:ascii="Arial" w:hAnsi="Arial" w:cs="Arial"/>
        </w:rPr>
        <w:t>: Stricter deployment requirements during critical business periods, looser requirements during less sensitive times</w:t>
      </w:r>
    </w:p>
    <w:p w14:paraId="49BC029C" w14:textId="77777777" w:rsidR="00C75F7B" w:rsidRPr="00DB7DB5" w:rsidRDefault="00C75F7B" w:rsidP="00C75F7B">
      <w:pPr>
        <w:numPr>
          <w:ilvl w:val="0"/>
          <w:numId w:val="40"/>
        </w:numPr>
        <w:spacing w:before="100" w:beforeAutospacing="1" w:after="100" w:afterAutospacing="1"/>
        <w:rPr>
          <w:rFonts w:ascii="Arial" w:hAnsi="Arial" w:cs="Arial"/>
        </w:rPr>
      </w:pPr>
      <w:r w:rsidRPr="00DB7DB5">
        <w:rPr>
          <w:rFonts w:ascii="Arial" w:hAnsi="Arial" w:cs="Arial"/>
          <w:b/>
          <w:bCs/>
        </w:rPr>
        <w:t>Improved development velocity</w:t>
      </w:r>
      <w:r w:rsidRPr="00DB7DB5">
        <w:rPr>
          <w:rFonts w:ascii="Arial" w:hAnsi="Arial" w:cs="Arial"/>
        </w:rPr>
        <w:t>: 42% increase in deployment frequency while maintaining overall reliability</w:t>
      </w:r>
    </w:p>
    <w:p w14:paraId="4CBCFFD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intelligent error budget management system achieved a 91% accuracy rate in predicting error budget exhaustion, allowing proactive intervention before SLO violations occurred.</w:t>
      </w:r>
    </w:p>
    <w:p w14:paraId="09AF23BD"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3.3 Intelligent Observability</w:t>
      </w:r>
    </w:p>
    <w:p w14:paraId="1EFAB43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implementation of intelligent observability components demonstrated substantial improvements in system visibility and issue detection.</w:t>
      </w:r>
    </w:p>
    <w:p w14:paraId="12E0A8C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lastRenderedPageBreak/>
        <w:t>The automated instrumentation management system identified coverage gaps in 67% of services, with an average of 12 critical instrumentation points missing per service. After addressing these gaps, incident detection improved by 31% for previously undetected issues.</w:t>
      </w:r>
    </w:p>
    <w:p w14:paraId="4FB7AB5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anomaly detection system achieved an 88% precision rate and 83% recall rate for system anomalies, compared to 62% and 57% for traditional threshold-based alerts. This improvement was particularly pronounced for complex, multi-dimensional anomalies involving subtle interactions between components.</w:t>
      </w:r>
    </w:p>
    <w:p w14:paraId="5435FD27"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causal inference engine demonstrated 85% accuracy in identifying root causes during actual incidents, compared to 45% for traditional correlation-based approaches. This improvement significantly reduced mean time to resolution by providing engineers with more accurate starting points for investigation.</w:t>
      </w:r>
    </w:p>
    <w:p w14:paraId="363DB05D"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3.4 AI-Driven Incident Management</w:t>
      </w:r>
    </w:p>
    <w:p w14:paraId="77A3A88A"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of AI-driven incident management components showed significant improvements in alert handling and response efficiency.</w:t>
      </w:r>
    </w:p>
    <w:p w14:paraId="5C859E4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intelligent alert correlation engine reduced daily alert volume by 87% while maintaining coverage of critical issues. In the e-commerce platform, this translated to consolidating an average of 120+ daily alerts into 7-10 actionable incidents.</w:t>
      </w:r>
    </w:p>
    <w:p w14:paraId="0D161C6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predictive incident response system achieved a 78% accuracy rate in recommending appropriate response actions, leading to a 42% reduction in mean time to resolution for common incident types. The system's effectiveness improved over time as it learned from the outcomes of its recommendations.</w:t>
      </w:r>
    </w:p>
    <w:p w14:paraId="244D6D7F"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automated remediation component successfully resolved 62% of common infrastructure issues without human intervention. This capability was particularly valuable during peak periods in the e-commerce platform, where the system handled thousands of minor issues automatically during holiday shopping season.</w:t>
      </w:r>
    </w:p>
    <w:p w14:paraId="496E6A31"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3.5 Toil Elimination Through Machine Learning</w:t>
      </w:r>
    </w:p>
    <w:p w14:paraId="2BECB776"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analysis of operational activities identified that approximately 67% of SRE tasks followed recognizable patterns that were candidates for automation. The intelligent workflow analysis component identified an average of 12 automation opportunities per team, with potential time savings of 14-27 hours per week.</w:t>
      </w:r>
    </w:p>
    <w:p w14:paraId="334705A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adaptive automation generation system successfully created effective automation scripts for 72% of identified opportunities. The remaining 28% required human refinement or were deemed too complex for full automation.</w:t>
      </w:r>
    </w:p>
    <w:p w14:paraId="46B0C51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continuous improvement component tracked automation effectiveness over time, identifying that 23% of automations required refinement within the first three months of operation. After these refinements, automation success rates improved from 81% to 97%.</w:t>
      </w:r>
    </w:p>
    <w:p w14:paraId="0684D826"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3.6 Knowledge Discovery and Sharing</w:t>
      </w:r>
    </w:p>
    <w:p w14:paraId="3164DB6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lastRenderedPageBreak/>
        <w:t>The automated postmortem analysis component identified common patterns across incidents that were not apparent to human reviewers. In one organization, the system identified that 28% of incidents shared a common underlying cause related to configuration drift that had previously been treated as separate issues.</w:t>
      </w:r>
    </w:p>
    <w:p w14:paraId="05420811"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continuous learning repository demonstrated significant improvements in information retrieval efficiency. Engineers using the knowledge graph found relevant information 73% faster than those using traditional documentation systems.</w:t>
      </w:r>
    </w:p>
    <w:p w14:paraId="513C1B2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proactive knowledge delivery system correctly anticipated engineer information needs in 67% of cases, providing relevant documentation and past incident data without explicit queries.</w:t>
      </w:r>
    </w:p>
    <w:p w14:paraId="37D6C161" w14:textId="77777777" w:rsidR="00E34F2C" w:rsidRPr="00E34F2C" w:rsidRDefault="00E34F2C" w:rsidP="00E34F2C">
      <w:pPr>
        <w:spacing w:before="100" w:beforeAutospacing="1" w:after="100" w:afterAutospacing="1"/>
        <w:outlineLvl w:val="2"/>
        <w:rPr>
          <w:rFonts w:ascii="Arial" w:hAnsi="Arial" w:cs="Arial"/>
        </w:rPr>
      </w:pPr>
      <w:r w:rsidRPr="00E34F2C">
        <w:rPr>
          <w:rFonts w:ascii="Arial" w:hAnsi="Arial" w:cs="Arial"/>
        </w:rPr>
        <w:t>The implementation of our framework spanned diverse industry sectors beyond the three detailed case studies below. While space constraints prevent comprehensive coverage of all implementations, we observed several noteworthy sector-specific patterns:</w:t>
      </w:r>
    </w:p>
    <w:p w14:paraId="44C58566" w14:textId="77777777" w:rsidR="00E34F2C" w:rsidRPr="00E34F2C" w:rsidRDefault="00E34F2C" w:rsidP="00E34F2C">
      <w:pPr>
        <w:spacing w:before="100" w:beforeAutospacing="1" w:after="100" w:afterAutospacing="1"/>
        <w:outlineLvl w:val="2"/>
        <w:rPr>
          <w:rFonts w:ascii="Arial" w:hAnsi="Arial" w:cs="Arial"/>
        </w:rPr>
      </w:pPr>
      <w:r w:rsidRPr="00E34F2C">
        <w:rPr>
          <w:rFonts w:ascii="Arial" w:hAnsi="Arial" w:cs="Arial"/>
        </w:rPr>
        <w:t>Government Sector Implementation: A public sector organization implementing the framework encountered unique challenges related to legacy system integration and stringent security requirements. Their implementation focused heavily on knowledge discovery components, resulting in a 52% improvement in incident resolution times despite limited automation opportunities due to compliance constraints. The intelligent observability components proved particularly valuable in mapping complex interdependencies between legacy and modern systems.</w:t>
      </w:r>
    </w:p>
    <w:p w14:paraId="689B67C1" w14:textId="77777777" w:rsidR="00E34F2C" w:rsidRPr="00E34F2C" w:rsidRDefault="00E34F2C" w:rsidP="00E34F2C">
      <w:pPr>
        <w:spacing w:before="100" w:beforeAutospacing="1" w:after="100" w:afterAutospacing="1"/>
        <w:outlineLvl w:val="2"/>
        <w:rPr>
          <w:rFonts w:ascii="Arial" w:hAnsi="Arial" w:cs="Arial"/>
        </w:rPr>
      </w:pPr>
      <w:r w:rsidRPr="00E34F2C">
        <w:rPr>
          <w:rFonts w:ascii="Arial" w:hAnsi="Arial" w:cs="Arial"/>
        </w:rPr>
        <w:t>Healthcare Provider Implementation: A major healthcare provider implemented the framework with emphasis on regulatory compliance and patient impact minimization. Their adaptation emphasized strict change management controls while still achieving a 68% reduction in alert noise and 45% decrease in mean time to resolution. The intelligent service level management components were customized to incorporate patient safety metrics alongside traditional reliability measures.</w:t>
      </w:r>
    </w:p>
    <w:p w14:paraId="2CE83ED1" w14:textId="77777777" w:rsidR="00E34F2C" w:rsidRPr="00E34F2C" w:rsidRDefault="00E34F2C" w:rsidP="00E34F2C">
      <w:pPr>
        <w:spacing w:before="100" w:beforeAutospacing="1" w:after="100" w:afterAutospacing="1"/>
        <w:outlineLvl w:val="2"/>
        <w:rPr>
          <w:rFonts w:ascii="Arial" w:hAnsi="Arial" w:cs="Arial"/>
        </w:rPr>
      </w:pPr>
      <w:r w:rsidRPr="00E34F2C">
        <w:rPr>
          <w:rFonts w:ascii="Arial" w:hAnsi="Arial" w:cs="Arial"/>
        </w:rPr>
        <w:t>Telecommunications Implementation: A telecommunications provider focusing on 5G infrastructure implemented the framework with emphasis on automated remediation capabilities for distributed edge computing environments. Their implementation achieved a 94% automated resolution rate for common infrastructure issues and reduced field technician dispatches by 47% through enhanced remote diagnostic and remediation capabilities.</w:t>
      </w:r>
    </w:p>
    <w:p w14:paraId="64BE9A63" w14:textId="77777777" w:rsidR="00E34F2C" w:rsidRPr="00E34F2C" w:rsidRDefault="00E34F2C" w:rsidP="00E34F2C">
      <w:pPr>
        <w:spacing w:before="100" w:beforeAutospacing="1" w:after="100" w:afterAutospacing="1"/>
        <w:outlineLvl w:val="2"/>
        <w:rPr>
          <w:rFonts w:ascii="Arial" w:hAnsi="Arial" w:cs="Arial"/>
        </w:rPr>
      </w:pPr>
      <w:r w:rsidRPr="00E34F2C">
        <w:rPr>
          <w:rFonts w:ascii="Arial" w:hAnsi="Arial" w:cs="Arial"/>
        </w:rPr>
        <w:t>The framework demonstrated adaptability across these diverse sectors, though implementation emphasis and specific component customizations varied significantly based on industry-specific requirements and constraints. Public sector and healthcare implementations generally required longer assessment and preparation phases, with greater emphasis on documentation and validation, while telecommunications and e-commerce organizations typically progressed more rapidly through implementation phases.</w:t>
      </w:r>
    </w:p>
    <w:p w14:paraId="7BAF023D" w14:textId="77777777" w:rsidR="00E34F2C" w:rsidRDefault="00E34F2C" w:rsidP="00C75F7B">
      <w:pPr>
        <w:spacing w:before="100" w:beforeAutospacing="1" w:after="100" w:afterAutospacing="1"/>
        <w:outlineLvl w:val="2"/>
        <w:rPr>
          <w:rFonts w:ascii="Arial" w:hAnsi="Arial" w:cs="Arial"/>
          <w:b/>
          <w:bCs/>
          <w:sz w:val="27"/>
          <w:szCs w:val="27"/>
        </w:rPr>
      </w:pPr>
    </w:p>
    <w:p w14:paraId="09E9F8F1" w14:textId="1D55B289"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3.7 Case Studies</w:t>
      </w:r>
    </w:p>
    <w:p w14:paraId="6FFFE640"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lastRenderedPageBreak/>
        <w:t>3.7.1 Financial Services: Enhanced SLO Management</w:t>
      </w:r>
    </w:p>
    <w:p w14:paraId="4731280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 global financial institution implemented our AI-enhanced SLO management approach to address challenges with their traditional static reliability targets.</w:t>
      </w:r>
    </w:p>
    <w:p w14:paraId="43D8607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organization focused on implementing dynamic SLI discovery for their payment processing platform, adaptive SLOs that adjusted to market trading hours and monthly settlement periods, and intelligent error budget management for their continuous delivery pipeline.</w:t>
      </w:r>
    </w:p>
    <w:p w14:paraId="5EFA891B"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identified five previously unmonitored SLIs that significantly impacted user experience, reduced false positive SLO violations by 73% through context-aware thresholds, increased deployment frequency by 42% during low-risk periods while maintaining overall reliability, and achieved zero customer-impacting incidents during critical monthly settlement periods.</w:t>
      </w:r>
    </w:p>
    <w:p w14:paraId="4C6AA7A6"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most valuable outcome was the alignment between reliability engineering and business rhythms. As the CTO noted, "For the first time, our reliability targets truly reflect what matters to the business at any given moment, rather than static numbers we set once and rarely revisit."</w:t>
      </w:r>
    </w:p>
    <w:p w14:paraId="32AE7927"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3.7.2 Healthcare Technology: Intelligent Observability</w:t>
      </w:r>
    </w:p>
    <w:p w14:paraId="6A6A8B95"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 healthcare technology provider implemented our intelligent observability components to address alert fatigue and improve visibility into their complex system interactions.</w:t>
      </w:r>
    </w:p>
    <w:p w14:paraId="1479B8BC"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organization focused on automated instrumentation management across their microservices architecture, multi-dimensional anomaly detection for patient data flows, and causal inference to understand dependencies between clinical and administrative systems.</w:t>
      </w:r>
    </w:p>
    <w:p w14:paraId="1CB0C377"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reduced total alerts by 87% while maintaining coverage of critical issues, decreased mean time to detection for anomalies by 73%, improved accuracy of root cause identification from 35% to 82%, and reduced mean time to resolution by 48%.</w:t>
      </w:r>
    </w:p>
    <w:p w14:paraId="4447646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Director of Reliability Engineering noted, "The causal inference capabilities fundamentally changed how we understand our system. We discovered dependencies we never knew existed, and now we can predict the impact of changes with much greater accuracy."</w:t>
      </w:r>
    </w:p>
    <w:p w14:paraId="01E48C48"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3.7.3 E-Commerce Platform: Automated Remediation</w:t>
      </w:r>
    </w:p>
    <w:p w14:paraId="37E6621A"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 global e-commerce platform implemented our AI-driven incident management and automated remediation components to handle scale during peak shopping periods.</w:t>
      </w:r>
    </w:p>
    <w:p w14:paraId="1C4E3EEA"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organization focused on intelligent alert correlation across their global infrastructure, predictive incident response for common failure patterns, and automated remediation for well-understood issues.</w:t>
      </w:r>
    </w:p>
    <w:p w14:paraId="00D05BB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correlated an average of 120+ daily alerts into 7-10 actionable incidents, achieved automatic resolution of 62% of common infrastructure issues, predicted capacity-related incidents 30-45 minutes before impact, and reduced SRE on-call burden by 47%.</w:t>
      </w:r>
    </w:p>
    <w:p w14:paraId="545B6AF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lastRenderedPageBreak/>
        <w:t>The VP of Engineering commented, "During our peak holiday season, the system automatically handled thousands of minor issues that would have overwhelmed our team in previous years. This allowed our engineers to focus on the novel, complex problems that truly required human expertise."</w:t>
      </w:r>
    </w:p>
    <w:p w14:paraId="5223B716"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3.8 Implementation Challenges</w:t>
      </w:r>
    </w:p>
    <w:p w14:paraId="3F33AA1F"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While our framework demonstrated significant benefits, several challenges and limitations emerged during implementation:</w:t>
      </w:r>
    </w:p>
    <w:p w14:paraId="3C124D04"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3.8.1 Data Quality and Coverage</w:t>
      </w:r>
    </w:p>
    <w:p w14:paraId="25215F8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effectiveness of AIOps capabilities depends heavily on the quality and coverage of operational data. Organizations frequently encountered incomplete telemetry, inconsistent metadata, and historical data limitations.</w:t>
      </w:r>
    </w:p>
    <w:p w14:paraId="0C5BA0E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analysis revealed that data quality issues impacted different capabilities to varying degrees. Anomaly detection and causal inference were particularly sensitive to data quality problems, while alert correlation and workflow analysis were more robust.</w:t>
      </w:r>
    </w:p>
    <w:p w14:paraId="3238A159" w14:textId="6DBA7AC6" w:rsidR="00C75F7B" w:rsidRPr="00DB7DB5" w:rsidRDefault="00C75F7B" w:rsidP="00C75F7B">
      <w:pPr>
        <w:spacing w:before="100" w:beforeAutospacing="1" w:after="100" w:afterAutospacing="1"/>
        <w:rPr>
          <w:rFonts w:ascii="Arial" w:hAnsi="Arial" w:cs="Arial"/>
        </w:rPr>
      </w:pPr>
      <w:r w:rsidRPr="00DB7DB5">
        <w:rPr>
          <w:rFonts w:ascii="Arial" w:hAnsi="Arial" w:cs="Arial"/>
        </w:rPr>
        <w:t xml:space="preserve">To address these challenges, </w:t>
      </w:r>
      <w:r w:rsidR="00FD3CC5">
        <w:rPr>
          <w:rFonts w:ascii="Arial" w:hAnsi="Arial" w:cs="Arial"/>
        </w:rPr>
        <w:t>I</w:t>
      </w:r>
      <w:r w:rsidRPr="00DB7DB5">
        <w:rPr>
          <w:rFonts w:ascii="Arial" w:hAnsi="Arial" w:cs="Arial"/>
        </w:rPr>
        <w:t xml:space="preserve"> developed a phased data improvement approach that prioritized critical data elements and implemented automated data quality monitoring to detect and remediate issues.</w:t>
      </w:r>
    </w:p>
    <w:p w14:paraId="4192AE98"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3.8.2 Model Explainability</w:t>
      </w:r>
    </w:p>
    <w:p w14:paraId="3340E03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AIOps systems must explain their reasoning to build trust with engineering teams. Challenges included black box models with limited insight into decision-making, difficulty in expressing model confidence in human-understandable terms, and distinguishing between correlation and causation in identified patterns.</w:t>
      </w:r>
    </w:p>
    <w:p w14:paraId="5AE5DC58" w14:textId="067924EF" w:rsidR="00C75F7B" w:rsidRPr="00DB7DB5" w:rsidRDefault="00FD3CC5" w:rsidP="00C75F7B">
      <w:pPr>
        <w:spacing w:before="100" w:beforeAutospacing="1" w:after="100" w:afterAutospacing="1"/>
        <w:rPr>
          <w:rFonts w:ascii="Arial" w:hAnsi="Arial" w:cs="Arial"/>
        </w:rPr>
      </w:pPr>
      <w:r>
        <w:rPr>
          <w:rFonts w:ascii="Arial" w:hAnsi="Arial" w:cs="Arial"/>
        </w:rPr>
        <w:t>I</w:t>
      </w:r>
      <w:r w:rsidR="00C75F7B" w:rsidRPr="00DB7DB5">
        <w:rPr>
          <w:rFonts w:ascii="Arial" w:hAnsi="Arial" w:cs="Arial"/>
        </w:rPr>
        <w:t xml:space="preserve"> addressed these challenges through hybrid models that combine statistical approaches with deep learning, explicit confidence scoring, and causal inference techniques. These approaches improved transparency and helped build trust with engineering teams.</w:t>
      </w:r>
    </w:p>
    <w:p w14:paraId="3F42F150"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3.8.3 Organizational Adoption</w:t>
      </w:r>
    </w:p>
    <w:p w14:paraId="06305FA2"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Technical implementation was only part of the challenge. Organizations also faced skill gaps, trust building issues, and process integration challenges.</w:t>
      </w:r>
    </w:p>
    <w:p w14:paraId="08D18DF7" w14:textId="0D4BC20D" w:rsidR="00C75F7B" w:rsidRPr="00DB7DB5" w:rsidRDefault="00C75F7B" w:rsidP="00C75F7B">
      <w:pPr>
        <w:spacing w:before="100" w:beforeAutospacing="1" w:after="100" w:afterAutospacing="1"/>
        <w:rPr>
          <w:rFonts w:ascii="Arial" w:hAnsi="Arial" w:cs="Arial"/>
        </w:rPr>
      </w:pPr>
      <w:r w:rsidRPr="00DB7DB5">
        <w:rPr>
          <w:rFonts w:ascii="Arial" w:hAnsi="Arial" w:cs="Arial"/>
        </w:rPr>
        <w:t xml:space="preserve">Our implementation methodology addressed these challenges through phased adoption, collaborative model development, and a focus on augmenting rather than replacing human expertise. </w:t>
      </w:r>
      <w:r w:rsidR="00FD3CC5">
        <w:rPr>
          <w:rFonts w:ascii="Arial" w:hAnsi="Arial" w:cs="Arial"/>
        </w:rPr>
        <w:t>I</w:t>
      </w:r>
      <w:r w:rsidRPr="00DB7DB5">
        <w:rPr>
          <w:rFonts w:ascii="Arial" w:hAnsi="Arial" w:cs="Arial"/>
        </w:rPr>
        <w:t xml:space="preserve"> found that early demonstrations of value with limited scope were critical for building organizational buy-in.</w:t>
      </w:r>
    </w:p>
    <w:p w14:paraId="12166B6B" w14:textId="77777777" w:rsidR="00E34F2C" w:rsidRPr="00E34F2C" w:rsidRDefault="00E34F2C" w:rsidP="00E34F2C">
      <w:pPr>
        <w:pStyle w:val="Body"/>
        <w:spacing w:after="0"/>
        <w:rPr>
          <w:rFonts w:ascii="Arial" w:hAnsi="Arial" w:cs="Arial"/>
        </w:rPr>
      </w:pPr>
      <w:r w:rsidRPr="00E34F2C">
        <w:rPr>
          <w:rFonts w:ascii="Arial" w:hAnsi="Arial" w:cs="Arial"/>
          <w:b/>
          <w:bCs/>
        </w:rPr>
        <w:t>3.8.4 Regulatory and Compliance Considerations</w:t>
      </w:r>
    </w:p>
    <w:p w14:paraId="012396A1" w14:textId="77777777" w:rsidR="00E34F2C" w:rsidRPr="00E34F2C" w:rsidRDefault="00E34F2C" w:rsidP="00E34F2C">
      <w:pPr>
        <w:pStyle w:val="Body"/>
        <w:spacing w:after="0"/>
        <w:rPr>
          <w:rFonts w:ascii="Arial" w:hAnsi="Arial" w:cs="Arial"/>
        </w:rPr>
      </w:pPr>
      <w:r w:rsidRPr="00E34F2C">
        <w:rPr>
          <w:rFonts w:ascii="Arial" w:hAnsi="Arial" w:cs="Arial"/>
        </w:rPr>
        <w:t>The implementation of AI-driven operations tools must address regulatory requirements, particularly in highly regulated industries. Our implementation in the healthcare technology organization revealed several important considerations:</w:t>
      </w:r>
    </w:p>
    <w:p w14:paraId="4D565F27" w14:textId="77777777" w:rsidR="00E34F2C" w:rsidRPr="00E34F2C" w:rsidRDefault="00E34F2C" w:rsidP="00E34F2C">
      <w:pPr>
        <w:pStyle w:val="Body"/>
        <w:numPr>
          <w:ilvl w:val="0"/>
          <w:numId w:val="44"/>
        </w:numPr>
        <w:spacing w:after="0"/>
        <w:rPr>
          <w:rFonts w:ascii="Arial" w:hAnsi="Arial" w:cs="Arial"/>
        </w:rPr>
      </w:pPr>
      <w:r w:rsidRPr="00E34F2C">
        <w:rPr>
          <w:rFonts w:ascii="Arial" w:hAnsi="Arial" w:cs="Arial"/>
          <w:b/>
          <w:bCs/>
        </w:rPr>
        <w:lastRenderedPageBreak/>
        <w:t>Auditability and Explainability</w:t>
      </w:r>
      <w:r w:rsidRPr="00E34F2C">
        <w:rPr>
          <w:rFonts w:ascii="Arial" w:hAnsi="Arial" w:cs="Arial"/>
        </w:rPr>
        <w:t xml:space="preserve">: In regulated environments like healthcare and government, all AI-driven decisions required complete audit trails and clear explanations. We enhanced our models with Local Interpretable Model-agnostic Explanations (LIME) and </w:t>
      </w:r>
      <w:proofErr w:type="spellStart"/>
      <w:r w:rsidRPr="00E34F2C">
        <w:rPr>
          <w:rFonts w:ascii="Arial" w:hAnsi="Arial" w:cs="Arial"/>
        </w:rPr>
        <w:t>SHapley</w:t>
      </w:r>
      <w:proofErr w:type="spellEnd"/>
      <w:r w:rsidRPr="00E34F2C">
        <w:rPr>
          <w:rFonts w:ascii="Arial" w:hAnsi="Arial" w:cs="Arial"/>
        </w:rPr>
        <w:t xml:space="preserve"> Additive </w:t>
      </w:r>
      <w:proofErr w:type="spellStart"/>
      <w:r w:rsidRPr="00E34F2C">
        <w:rPr>
          <w:rFonts w:ascii="Arial" w:hAnsi="Arial" w:cs="Arial"/>
        </w:rPr>
        <w:t>exPlanations</w:t>
      </w:r>
      <w:proofErr w:type="spellEnd"/>
      <w:r w:rsidRPr="00E34F2C">
        <w:rPr>
          <w:rFonts w:ascii="Arial" w:hAnsi="Arial" w:cs="Arial"/>
        </w:rPr>
        <w:t xml:space="preserve"> (SHAP) techniques to provide human-readable explanations for each automated action.</w:t>
      </w:r>
    </w:p>
    <w:p w14:paraId="058D2BA5" w14:textId="77777777" w:rsidR="00E34F2C" w:rsidRPr="00E34F2C" w:rsidRDefault="00E34F2C" w:rsidP="00E34F2C">
      <w:pPr>
        <w:pStyle w:val="Body"/>
        <w:numPr>
          <w:ilvl w:val="0"/>
          <w:numId w:val="44"/>
        </w:numPr>
        <w:spacing w:after="0"/>
        <w:rPr>
          <w:rFonts w:ascii="Arial" w:hAnsi="Arial" w:cs="Arial"/>
        </w:rPr>
      </w:pPr>
      <w:r w:rsidRPr="00E34F2C">
        <w:rPr>
          <w:rFonts w:ascii="Arial" w:hAnsi="Arial" w:cs="Arial"/>
          <w:b/>
          <w:bCs/>
        </w:rPr>
        <w:t>Data Privacy Compliance</w:t>
      </w:r>
      <w:r w:rsidRPr="00E34F2C">
        <w:rPr>
          <w:rFonts w:ascii="Arial" w:hAnsi="Arial" w:cs="Arial"/>
        </w:rPr>
        <w:t>: For healthcare implementations, we developed specialized data preprocessing pipelines that anonymized protected health information (PHI) before processing while maintaining analytical utility. This approach ensured HIPAA compliance while enabling effective anomaly detection.</w:t>
      </w:r>
    </w:p>
    <w:p w14:paraId="13D01B08" w14:textId="77777777" w:rsidR="00E34F2C" w:rsidRPr="00E34F2C" w:rsidRDefault="00E34F2C" w:rsidP="00E34F2C">
      <w:pPr>
        <w:pStyle w:val="Body"/>
        <w:numPr>
          <w:ilvl w:val="0"/>
          <w:numId w:val="44"/>
        </w:numPr>
        <w:spacing w:after="0"/>
        <w:rPr>
          <w:rFonts w:ascii="Arial" w:hAnsi="Arial" w:cs="Arial"/>
        </w:rPr>
      </w:pPr>
      <w:r w:rsidRPr="00E34F2C">
        <w:rPr>
          <w:rFonts w:ascii="Arial" w:hAnsi="Arial" w:cs="Arial"/>
          <w:b/>
          <w:bCs/>
        </w:rPr>
        <w:t>Validation Requirements</w:t>
      </w:r>
      <w:r w:rsidRPr="00E34F2C">
        <w:rPr>
          <w:rFonts w:ascii="Arial" w:hAnsi="Arial" w:cs="Arial"/>
        </w:rPr>
        <w:t>: Regulatory frameworks often require formal validation of automated systems. We established a separate validation environment where model outputs were compared against human expert decisions for statistically significant samples of operational scenarios before production deployment.</w:t>
      </w:r>
    </w:p>
    <w:p w14:paraId="31A9BD53" w14:textId="77777777" w:rsidR="00E34F2C" w:rsidRPr="00E34F2C" w:rsidRDefault="00E34F2C" w:rsidP="00E34F2C">
      <w:pPr>
        <w:pStyle w:val="Body"/>
        <w:numPr>
          <w:ilvl w:val="0"/>
          <w:numId w:val="44"/>
        </w:numPr>
        <w:spacing w:after="0"/>
        <w:rPr>
          <w:rFonts w:ascii="Arial" w:hAnsi="Arial" w:cs="Arial"/>
        </w:rPr>
      </w:pPr>
      <w:r w:rsidRPr="00E34F2C">
        <w:rPr>
          <w:rFonts w:ascii="Arial" w:hAnsi="Arial" w:cs="Arial"/>
          <w:b/>
          <w:bCs/>
        </w:rPr>
        <w:t>Change Management Controls</w:t>
      </w:r>
      <w:r w:rsidRPr="00E34F2C">
        <w:rPr>
          <w:rFonts w:ascii="Arial" w:hAnsi="Arial" w:cs="Arial"/>
        </w:rPr>
        <w:t>: Automated remediation actions in regulated environments required additional governance layers, including tiered approval workflows for different risk levels of automated actions and comprehensive rollback capabilities.</w:t>
      </w:r>
    </w:p>
    <w:p w14:paraId="57D0F490" w14:textId="77777777" w:rsidR="00E34F2C" w:rsidRPr="00E34F2C" w:rsidRDefault="00E34F2C" w:rsidP="00E34F2C">
      <w:pPr>
        <w:pStyle w:val="Body"/>
        <w:numPr>
          <w:ilvl w:val="0"/>
          <w:numId w:val="44"/>
        </w:numPr>
        <w:spacing w:after="0"/>
        <w:rPr>
          <w:rFonts w:ascii="Arial" w:hAnsi="Arial" w:cs="Arial"/>
        </w:rPr>
      </w:pPr>
      <w:r w:rsidRPr="00E34F2C">
        <w:rPr>
          <w:rFonts w:ascii="Arial" w:hAnsi="Arial" w:cs="Arial"/>
          <w:b/>
          <w:bCs/>
        </w:rPr>
        <w:t>Documentation Standards</w:t>
      </w:r>
      <w:r w:rsidRPr="00E34F2C">
        <w:rPr>
          <w:rFonts w:ascii="Arial" w:hAnsi="Arial" w:cs="Arial"/>
        </w:rPr>
        <w:t>: We developed enhanced documentation frameworks that captured model specifications, training methodologies, validation results, and risk assessments in formats compatible with existing regulatory compliance processes.</w:t>
      </w:r>
    </w:p>
    <w:p w14:paraId="0643293C" w14:textId="77777777" w:rsidR="00E34F2C" w:rsidRPr="00E34F2C" w:rsidRDefault="00E34F2C" w:rsidP="00E34F2C">
      <w:pPr>
        <w:pStyle w:val="Body"/>
        <w:spacing w:after="0"/>
        <w:rPr>
          <w:rFonts w:ascii="Arial" w:hAnsi="Arial" w:cs="Arial"/>
        </w:rPr>
      </w:pPr>
      <w:r w:rsidRPr="00E34F2C">
        <w:rPr>
          <w:rFonts w:ascii="Arial" w:hAnsi="Arial" w:cs="Arial"/>
        </w:rPr>
        <w:t>These adaptations enabled successful implementation even in organizations with stringent regulatory requirements, though they typically extended implementation timelines by 30-40% compared to less regulated environments.</w:t>
      </w:r>
    </w:p>
    <w:p w14:paraId="7833E576" w14:textId="77777777" w:rsidR="00E053D0" w:rsidRDefault="00E053D0" w:rsidP="00441B6F">
      <w:pPr>
        <w:pStyle w:val="Body"/>
        <w:spacing w:after="0"/>
        <w:rPr>
          <w:rFonts w:ascii="Arial" w:hAnsi="Arial" w:cs="Arial"/>
        </w:rPr>
      </w:pPr>
    </w:p>
    <w:p w14:paraId="6A4C2F9D" w14:textId="77777777" w:rsidR="00E34F2C" w:rsidRPr="00E34F2C" w:rsidRDefault="00E34F2C" w:rsidP="00E34F2C">
      <w:pPr>
        <w:pStyle w:val="Body"/>
        <w:spacing w:after="0"/>
        <w:rPr>
          <w:rFonts w:ascii="Arial" w:hAnsi="Arial" w:cs="Arial"/>
        </w:rPr>
      </w:pPr>
      <w:r w:rsidRPr="00E34F2C">
        <w:rPr>
          <w:rFonts w:ascii="Arial" w:hAnsi="Arial" w:cs="Arial"/>
          <w:b/>
          <w:bCs/>
        </w:rPr>
        <w:t>3.8.5 Complementary Relationship with Chaos Engineering</w:t>
      </w:r>
    </w:p>
    <w:p w14:paraId="07CB851D" w14:textId="77777777" w:rsidR="00E34F2C" w:rsidRPr="00E34F2C" w:rsidRDefault="00E34F2C" w:rsidP="00E34F2C">
      <w:pPr>
        <w:pStyle w:val="Body"/>
        <w:spacing w:after="0"/>
        <w:rPr>
          <w:rFonts w:ascii="Arial" w:hAnsi="Arial" w:cs="Arial"/>
        </w:rPr>
      </w:pPr>
      <w:r w:rsidRPr="00E34F2C">
        <w:rPr>
          <w:rFonts w:ascii="Arial" w:hAnsi="Arial" w:cs="Arial"/>
        </w:rPr>
        <w:t>While developing our framework, we explored the relationship between AIOps and chaos engineering—another prominent approach in the SRE domain. Rather than competing methodologies, we found these approaches highly complementary:</w:t>
      </w:r>
    </w:p>
    <w:p w14:paraId="25BE4C4E" w14:textId="77777777" w:rsidR="00E34F2C" w:rsidRPr="00E34F2C" w:rsidRDefault="00E34F2C" w:rsidP="00E34F2C">
      <w:pPr>
        <w:pStyle w:val="Body"/>
        <w:numPr>
          <w:ilvl w:val="0"/>
          <w:numId w:val="45"/>
        </w:numPr>
        <w:spacing w:after="0"/>
        <w:rPr>
          <w:rFonts w:ascii="Arial" w:hAnsi="Arial" w:cs="Arial"/>
        </w:rPr>
      </w:pPr>
      <w:r w:rsidRPr="00E34F2C">
        <w:rPr>
          <w:rFonts w:ascii="Arial" w:hAnsi="Arial" w:cs="Arial"/>
          <w:b/>
          <w:bCs/>
        </w:rPr>
        <w:t>Synergistic Data Generation</w:t>
      </w:r>
      <w:r w:rsidRPr="00E34F2C">
        <w:rPr>
          <w:rFonts w:ascii="Arial" w:hAnsi="Arial" w:cs="Arial"/>
        </w:rPr>
        <w:t>: Chaos experiments provide invaluable training data for AIOps systems, creating controlled examples of failure modes that may be rare in production environments. In our e-commerce implementation, we incorporated chaos experiment results into training datasets, improving anomaly detection accuracy by 23% for specific failure patterns.</w:t>
      </w:r>
    </w:p>
    <w:p w14:paraId="10820A9B" w14:textId="77777777" w:rsidR="00E34F2C" w:rsidRPr="00E34F2C" w:rsidRDefault="00E34F2C" w:rsidP="00E34F2C">
      <w:pPr>
        <w:pStyle w:val="Body"/>
        <w:numPr>
          <w:ilvl w:val="0"/>
          <w:numId w:val="45"/>
        </w:numPr>
        <w:spacing w:after="0"/>
        <w:rPr>
          <w:rFonts w:ascii="Arial" w:hAnsi="Arial" w:cs="Arial"/>
        </w:rPr>
      </w:pPr>
      <w:r w:rsidRPr="00E34F2C">
        <w:rPr>
          <w:rFonts w:ascii="Arial" w:hAnsi="Arial" w:cs="Arial"/>
          <w:b/>
          <w:bCs/>
        </w:rPr>
        <w:t>Enhanced Experiment Design</w:t>
      </w:r>
      <w:r w:rsidRPr="00E34F2C">
        <w:rPr>
          <w:rFonts w:ascii="Arial" w:hAnsi="Arial" w:cs="Arial"/>
        </w:rPr>
        <w:t>: Conversely, AIOps systems can enhance chaos experiments by identifying non-obvious system dependencies and suggesting high-value experiment scenarios. Our causal inference engine identified 14 previously unknown critical dependencies in the healthcare platform, directly informing more effective chaos experiment design.</w:t>
      </w:r>
    </w:p>
    <w:p w14:paraId="67DD8D9C" w14:textId="77777777" w:rsidR="00E34F2C" w:rsidRPr="00E34F2C" w:rsidRDefault="00E34F2C" w:rsidP="00E34F2C">
      <w:pPr>
        <w:pStyle w:val="Body"/>
        <w:numPr>
          <w:ilvl w:val="0"/>
          <w:numId w:val="45"/>
        </w:numPr>
        <w:spacing w:after="0"/>
        <w:rPr>
          <w:rFonts w:ascii="Arial" w:hAnsi="Arial" w:cs="Arial"/>
        </w:rPr>
      </w:pPr>
      <w:r w:rsidRPr="00E34F2C">
        <w:rPr>
          <w:rFonts w:ascii="Arial" w:hAnsi="Arial" w:cs="Arial"/>
          <w:b/>
          <w:bCs/>
        </w:rPr>
        <w:t>Real-time Experiment Monitoring</w:t>
      </w:r>
      <w:r w:rsidRPr="00E34F2C">
        <w:rPr>
          <w:rFonts w:ascii="Arial" w:hAnsi="Arial" w:cs="Arial"/>
        </w:rPr>
        <w:t>: AIOps anomaly detection capabilities provide more sensitive monitoring during chaos experiments, identifying subtle system degradations that might be missed by traditional threshold-based approaches. This capability reduced false negatives by 35% during controlled experiments.</w:t>
      </w:r>
    </w:p>
    <w:p w14:paraId="398E8771" w14:textId="77777777" w:rsidR="00E34F2C" w:rsidRPr="00E34F2C" w:rsidRDefault="00E34F2C" w:rsidP="00E34F2C">
      <w:pPr>
        <w:pStyle w:val="Body"/>
        <w:numPr>
          <w:ilvl w:val="0"/>
          <w:numId w:val="45"/>
        </w:numPr>
        <w:spacing w:after="0"/>
        <w:rPr>
          <w:rFonts w:ascii="Arial" w:hAnsi="Arial" w:cs="Arial"/>
        </w:rPr>
      </w:pPr>
      <w:r w:rsidRPr="00E34F2C">
        <w:rPr>
          <w:rFonts w:ascii="Arial" w:hAnsi="Arial" w:cs="Arial"/>
          <w:b/>
          <w:bCs/>
        </w:rPr>
        <w:t>Automated Remediation Validation</w:t>
      </w:r>
      <w:r w:rsidRPr="00E34F2C">
        <w:rPr>
          <w:rFonts w:ascii="Arial" w:hAnsi="Arial" w:cs="Arial"/>
        </w:rPr>
        <w:t>: Chaos experiments offer an ideal controlled environment to validate automated remediation capabilities before they're trusted in production. The e-commerce organization used chaos experiments to verify 78% of their automated remediation actions before enabling them in production.</w:t>
      </w:r>
    </w:p>
    <w:p w14:paraId="2BEED7DD" w14:textId="77777777" w:rsidR="00E34F2C" w:rsidRPr="00E34F2C" w:rsidRDefault="00E34F2C" w:rsidP="00E34F2C">
      <w:pPr>
        <w:pStyle w:val="Body"/>
        <w:numPr>
          <w:ilvl w:val="0"/>
          <w:numId w:val="45"/>
        </w:numPr>
        <w:spacing w:after="0"/>
        <w:rPr>
          <w:rFonts w:ascii="Arial" w:hAnsi="Arial" w:cs="Arial"/>
        </w:rPr>
      </w:pPr>
      <w:r w:rsidRPr="00E34F2C">
        <w:rPr>
          <w:rFonts w:ascii="Arial" w:hAnsi="Arial" w:cs="Arial"/>
          <w:b/>
          <w:bCs/>
        </w:rPr>
        <w:t>Shared Cultural Foundation</w:t>
      </w:r>
      <w:r w:rsidRPr="00E34F2C">
        <w:rPr>
          <w:rFonts w:ascii="Arial" w:hAnsi="Arial" w:cs="Arial"/>
        </w:rPr>
        <w:t>: Both approaches emphasize empirical evidence over assumptions and embrace learning from failure—creating cultural alignment that facilitates adoption of either practice.</w:t>
      </w:r>
    </w:p>
    <w:p w14:paraId="04DBFCA6" w14:textId="77777777" w:rsidR="00E34F2C" w:rsidRPr="00E34F2C" w:rsidRDefault="00E34F2C" w:rsidP="00E34F2C">
      <w:pPr>
        <w:pStyle w:val="Body"/>
        <w:spacing w:after="0"/>
        <w:rPr>
          <w:rFonts w:ascii="Arial" w:hAnsi="Arial" w:cs="Arial"/>
        </w:rPr>
      </w:pPr>
      <w:r w:rsidRPr="00E34F2C">
        <w:rPr>
          <w:rFonts w:ascii="Arial" w:hAnsi="Arial" w:cs="Arial"/>
        </w:rPr>
        <w:t>The most mature organizations in our study implemented both practices, using chaos engineering to generate controlled failure data and validation scenarios, while applying AIOps to enhance detection, analysis, and remediation capabilities.</w:t>
      </w:r>
    </w:p>
    <w:p w14:paraId="1BFD7478" w14:textId="77777777" w:rsidR="00E34F2C" w:rsidRDefault="00E34F2C" w:rsidP="00441B6F">
      <w:pPr>
        <w:pStyle w:val="Body"/>
        <w:spacing w:after="0"/>
        <w:rPr>
          <w:rFonts w:ascii="Arial" w:hAnsi="Arial" w:cs="Arial"/>
        </w:rPr>
      </w:pPr>
    </w:p>
    <w:p w14:paraId="79F6C611" w14:textId="77777777" w:rsidR="00790ADA" w:rsidRPr="00C75F7B" w:rsidRDefault="00790ADA" w:rsidP="00441B6F">
      <w:pPr>
        <w:pStyle w:val="Body"/>
        <w:spacing w:after="0"/>
        <w:rPr>
          <w:rFonts w:ascii="Arial" w:hAnsi="Arial" w:cs="Arial"/>
        </w:rPr>
      </w:pPr>
    </w:p>
    <w:p w14:paraId="6A143D05" w14:textId="22816691" w:rsidR="00790ADA" w:rsidRPr="00C75F7B" w:rsidRDefault="00000F8F" w:rsidP="00441B6F">
      <w:pPr>
        <w:pStyle w:val="ConcHead"/>
        <w:spacing w:after="0"/>
        <w:jc w:val="both"/>
        <w:rPr>
          <w:rFonts w:ascii="Arial" w:hAnsi="Arial" w:cs="Arial"/>
        </w:rPr>
      </w:pPr>
      <w:r w:rsidRPr="00C75F7B">
        <w:rPr>
          <w:rFonts w:ascii="Arial" w:hAnsi="Arial" w:cs="Arial"/>
        </w:rPr>
        <w:t xml:space="preserve">4. </w:t>
      </w:r>
      <w:r w:rsidR="00B01FCD" w:rsidRPr="00C75F7B">
        <w:rPr>
          <w:rFonts w:ascii="Arial" w:hAnsi="Arial" w:cs="Arial"/>
        </w:rPr>
        <w:t>Conclusion</w:t>
      </w:r>
    </w:p>
    <w:p w14:paraId="765DD25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paper has presented a framework for enhancing Site Reliability Engineering practices through Artificial Intelligence for IT Operations. The integration addresses limitations of each individual approach, creating a powerful combination that can manage the scale and complexity of modern IT environments.</w:t>
      </w:r>
    </w:p>
    <w:p w14:paraId="085C563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framework demonstrates significant improvements across key operational metrics, including reduction in alert noise (87%), decrease in mean time to detection (73%), automated resolution of common issues (62%), and improved accuracy of root cause identification (47%). These improvements translate directly to business benefits including increased availability, faster innovation cycles, and reduced operational burden.</w:t>
      </w:r>
    </w:p>
    <w:p w14:paraId="59651FD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four-phase implementation methodology provides organizations with a practical path to adoption, addressing technical, process, and organizational aspects of the transformation.</w:t>
      </w:r>
    </w:p>
    <w:p w14:paraId="1782CE4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case studies across financial services, healthcare technology, and e-commerce demonstrate the framework's effectiveness in diverse environments with different priorities and challenges. Each organization realized substantial benefits aligned with their specific operational needs.</w:t>
      </w:r>
    </w:p>
    <w:p w14:paraId="103121FD" w14:textId="77777777" w:rsidR="00C75F7B" w:rsidRDefault="00C75F7B" w:rsidP="00C75F7B">
      <w:pPr>
        <w:spacing w:before="100" w:beforeAutospacing="1" w:after="100" w:afterAutospacing="1"/>
        <w:rPr>
          <w:rFonts w:ascii="Arial" w:hAnsi="Arial" w:cs="Arial"/>
        </w:rPr>
      </w:pPr>
      <w:r w:rsidRPr="00DB7DB5">
        <w:rPr>
          <w:rFonts w:ascii="Arial" w:hAnsi="Arial" w:cs="Arial"/>
        </w:rPr>
        <w:t>Future research directions include extending the framework to incorporate emerging technologies such as large language models for knowledge processing and incident analysis, developing industry-specific reference implementations for sectors with unique reliability requirements, exploring federated learning approaches for organizations with data privacy constraints, and investigating the long-term organizational impact of AI-augmented operations on skills development and career paths.</w:t>
      </w:r>
    </w:p>
    <w:p w14:paraId="329640B8" w14:textId="37D3A607" w:rsidR="00E34F2C" w:rsidRPr="00DB7DB5" w:rsidRDefault="00E34F2C" w:rsidP="00C75F7B">
      <w:pPr>
        <w:spacing w:before="100" w:beforeAutospacing="1" w:after="100" w:afterAutospacing="1"/>
        <w:rPr>
          <w:rFonts w:ascii="Arial" w:hAnsi="Arial" w:cs="Arial"/>
        </w:rPr>
      </w:pPr>
      <w:r w:rsidRPr="00E34F2C">
        <w:rPr>
          <w:rFonts w:ascii="Arial" w:hAnsi="Arial" w:cs="Arial"/>
        </w:rPr>
        <w:t>In the context of modern IT Service Management (ITSM), several promising future directions emerge from this work. The integration of large language models into ITSM processes presents opportunities for natural language interfaces to operational systems, context-aware incident classification, and automated knowledge extraction from unstructured documentation. Additionally, the evolution toward proactive service management capabilities will likely accelerate, with AI systems continuously learning from service performance patterns to predict and prevent disruptions before they impact users. New human-AI collaboration models will transform traditional ITSM roles, with support personnel focusing on service experience design and the governance of AI-driven automations rather than reactive ticket handling. Finally, cross-organizational intelligence sharing frameworks may emerge, enabling organizations to benefit from collective operational insights while preserving proprietary information—similar to how security threat intelligence is shared today.</w:t>
      </w:r>
    </w:p>
    <w:p w14:paraId="47F19B5C"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As systems continue to grow more complex and distributed, the integration of AI capabilities into reliability engineering practices will become increasingly essential. Our framework provides a foundation for this evolution, enabling organizations to achieve levels of operational excellence that would be impossible through either approach alone.</w:t>
      </w:r>
    </w:p>
    <w:p w14:paraId="307C762A"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Disclaimer (Artificial intelligence)</w:t>
      </w:r>
    </w:p>
    <w:p w14:paraId="31CDE653"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 xml:space="preserve">Option 1: </w:t>
      </w:r>
    </w:p>
    <w:p w14:paraId="4309D96A"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lastRenderedPageBreak/>
        <w:t xml:space="preserve">Author(s) hereby </w:t>
      </w:r>
      <w:proofErr w:type="gramStart"/>
      <w:r w:rsidRPr="00A57DB2">
        <w:rPr>
          <w:rFonts w:ascii="Calibri" w:eastAsia="Calibri" w:hAnsi="Calibri"/>
          <w:kern w:val="2"/>
          <w:sz w:val="22"/>
          <w:szCs w:val="22"/>
          <w14:ligatures w14:val="standardContextual"/>
        </w:rPr>
        <w:t>declare</w:t>
      </w:r>
      <w:proofErr w:type="gramEnd"/>
      <w:r w:rsidRPr="00A57DB2">
        <w:rPr>
          <w:rFonts w:ascii="Calibri" w:eastAsia="Calibri" w:hAnsi="Calibri"/>
          <w:kern w:val="2"/>
          <w:sz w:val="22"/>
          <w:szCs w:val="22"/>
          <w14:ligatures w14:val="standardContextual"/>
        </w:rPr>
        <w:t xml:space="preserve"> that NO generative AI technologies such as Large Language Models (ChatGPT, COPILOT, etc.) and text-to-image generators have been used during the writing or editing of this manuscript. </w:t>
      </w:r>
    </w:p>
    <w:p w14:paraId="6BE69A7C"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 xml:space="preserve">Option 2: </w:t>
      </w:r>
    </w:p>
    <w:p w14:paraId="08C1853B"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 xml:space="preserve">Author(s) hereby </w:t>
      </w:r>
      <w:proofErr w:type="gramStart"/>
      <w:r w:rsidRPr="00A57DB2">
        <w:rPr>
          <w:rFonts w:ascii="Calibri" w:eastAsia="Calibri" w:hAnsi="Calibri"/>
          <w:kern w:val="2"/>
          <w:sz w:val="22"/>
          <w:szCs w:val="22"/>
          <w14:ligatures w14:val="standardContextual"/>
        </w:rPr>
        <w:t>declare</w:t>
      </w:r>
      <w:proofErr w:type="gramEnd"/>
      <w:r w:rsidRPr="00A57DB2">
        <w:rPr>
          <w:rFonts w:ascii="Calibri" w:eastAsia="Calibri" w:hAnsi="Calibri"/>
          <w:kern w:val="2"/>
          <w:sz w:val="22"/>
          <w:szCs w:val="2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20D76B"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Details of the AI usage are given below:</w:t>
      </w:r>
    </w:p>
    <w:p w14:paraId="1DF4D314"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1.</w:t>
      </w:r>
    </w:p>
    <w:p w14:paraId="54526A60"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2.</w:t>
      </w:r>
    </w:p>
    <w:p w14:paraId="78C7D9FC" w14:textId="77777777" w:rsidR="00A57DB2" w:rsidRPr="00A57DB2" w:rsidRDefault="00A57DB2" w:rsidP="00A57DB2">
      <w:pPr>
        <w:spacing w:after="200" w:line="276" w:lineRule="auto"/>
        <w:rPr>
          <w:rFonts w:ascii="Calibri" w:eastAsia="Calibri" w:hAnsi="Calibri"/>
          <w:kern w:val="2"/>
          <w:sz w:val="22"/>
          <w:szCs w:val="22"/>
          <w14:ligatures w14:val="standardContextual"/>
        </w:rPr>
      </w:pPr>
      <w:r w:rsidRPr="00A57DB2">
        <w:rPr>
          <w:rFonts w:ascii="Calibri" w:eastAsia="Calibri" w:hAnsi="Calibri"/>
          <w:kern w:val="2"/>
          <w:sz w:val="22"/>
          <w:szCs w:val="22"/>
          <w14:ligatures w14:val="standardContextual"/>
        </w:rPr>
        <w:t>3.</w:t>
      </w:r>
    </w:p>
    <w:p w14:paraId="348AF83E" w14:textId="77777777" w:rsidR="00790ADA" w:rsidRPr="00FB3A86" w:rsidRDefault="00790ADA" w:rsidP="00441B6F">
      <w:pPr>
        <w:pStyle w:val="Body"/>
        <w:spacing w:after="0"/>
        <w:rPr>
          <w:rFonts w:ascii="Arial" w:hAnsi="Arial" w:cs="Arial"/>
        </w:rPr>
      </w:pPr>
    </w:p>
    <w:p w14:paraId="52623D56"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1DD7EBC7" w14:textId="77777777" w:rsidR="00790ADA" w:rsidRPr="00FB3A86" w:rsidRDefault="00790ADA" w:rsidP="00441B6F">
      <w:pPr>
        <w:pStyle w:val="AcknHead"/>
        <w:spacing w:after="0"/>
        <w:jc w:val="both"/>
        <w:rPr>
          <w:rFonts w:ascii="Arial" w:hAnsi="Arial" w:cs="Arial"/>
        </w:rPr>
      </w:pPr>
    </w:p>
    <w:p w14:paraId="65D02943" w14:textId="56DBA05D" w:rsidR="00C75F7B" w:rsidRPr="00DB7DB5" w:rsidRDefault="00FD3CC5" w:rsidP="00C75F7B">
      <w:pPr>
        <w:spacing w:before="100" w:beforeAutospacing="1" w:after="100" w:afterAutospacing="1"/>
        <w:rPr>
          <w:rFonts w:ascii="Times New Roman" w:hAnsi="Times New Roman"/>
        </w:rPr>
      </w:pPr>
      <w:r>
        <w:rPr>
          <w:rFonts w:ascii="Times New Roman" w:hAnsi="Times New Roman"/>
        </w:rPr>
        <w:t>I</w:t>
      </w:r>
      <w:r w:rsidR="00C75F7B" w:rsidRPr="00DB7DB5">
        <w:rPr>
          <w:rFonts w:ascii="Times New Roman" w:hAnsi="Times New Roman"/>
        </w:rPr>
        <w:t xml:space="preserve"> would like to thank the engineering teams at our three implementation organizations for their collaboration and valuable feedback throughout this research. </w:t>
      </w:r>
      <w:r>
        <w:rPr>
          <w:rFonts w:ascii="Times New Roman" w:hAnsi="Times New Roman"/>
        </w:rPr>
        <w:t>I</w:t>
      </w:r>
      <w:r w:rsidR="00C75F7B" w:rsidRPr="00DB7DB5">
        <w:rPr>
          <w:rFonts w:ascii="Times New Roman" w:hAnsi="Times New Roman"/>
        </w:rPr>
        <w:t xml:space="preserve"> also acknowledge the contributions of our research assistants who supported data collection and analysis.</w:t>
      </w:r>
    </w:p>
    <w:p w14:paraId="2F1E8919" w14:textId="77777777" w:rsidR="00315186" w:rsidRPr="00315186" w:rsidRDefault="00315186" w:rsidP="00441B6F"/>
    <w:p w14:paraId="417E5621"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26BB05DC" w14:textId="77777777" w:rsidR="00860000" w:rsidRPr="00786D36" w:rsidRDefault="00860000" w:rsidP="00441B6F">
      <w:pPr>
        <w:pStyle w:val="ReferHead"/>
        <w:spacing w:after="0"/>
        <w:jc w:val="both"/>
        <w:rPr>
          <w:rFonts w:ascii="Arial" w:hAnsi="Arial" w:cs="Arial"/>
        </w:rPr>
      </w:pPr>
    </w:p>
    <w:p w14:paraId="74F609AB"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Authors have declared that no competing interests exist.</w:t>
      </w:r>
    </w:p>
    <w:p w14:paraId="7988DC1E" w14:textId="77777777" w:rsidR="00371FB6" w:rsidRDefault="00371FB6" w:rsidP="00441B6F">
      <w:pPr>
        <w:pStyle w:val="ReferHead"/>
        <w:spacing w:after="0"/>
        <w:jc w:val="both"/>
        <w:rPr>
          <w:rFonts w:ascii="Arial" w:hAnsi="Arial" w:cs="Arial"/>
          <w:b w:val="0"/>
          <w:caps w:val="0"/>
          <w:sz w:val="20"/>
        </w:rPr>
      </w:pPr>
    </w:p>
    <w:p w14:paraId="127171FF"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252F0A4C" w14:textId="77777777" w:rsidR="00371FB6" w:rsidRPr="00371FB6" w:rsidRDefault="00371FB6" w:rsidP="00441B6F">
      <w:pPr>
        <w:pStyle w:val="ReferHead"/>
        <w:spacing w:after="0"/>
        <w:jc w:val="both"/>
        <w:rPr>
          <w:rFonts w:ascii="Arial" w:hAnsi="Arial" w:cs="Arial"/>
          <w:bCs/>
        </w:rPr>
      </w:pPr>
    </w:p>
    <w:p w14:paraId="18AAC41A" w14:textId="7AB8EE2B" w:rsidR="00371FB6" w:rsidRPr="00F469F0" w:rsidRDefault="00C75F7B" w:rsidP="00441B6F">
      <w:pPr>
        <w:pStyle w:val="ReferHead"/>
        <w:spacing w:after="0"/>
        <w:jc w:val="both"/>
        <w:rPr>
          <w:rFonts w:ascii="Arial" w:hAnsi="Arial" w:cs="Arial"/>
          <w:b w:val="0"/>
          <w:caps w:val="0"/>
          <w:sz w:val="20"/>
          <w:u w:val="single"/>
        </w:rPr>
      </w:pPr>
      <w:r>
        <w:rPr>
          <w:rFonts w:ascii="Arial" w:hAnsi="Arial" w:cs="Arial"/>
          <w:b w:val="0"/>
          <w:caps w:val="0"/>
          <w:sz w:val="20"/>
          <w:u w:val="single"/>
        </w:rPr>
        <w:t>All the content and modification has been completed by the sole author, Mahender Singh.</w:t>
      </w:r>
    </w:p>
    <w:p w14:paraId="6A31DFA7" w14:textId="77777777" w:rsidR="002B685A" w:rsidRDefault="002B685A" w:rsidP="00441B6F">
      <w:pPr>
        <w:pStyle w:val="ReferHead"/>
        <w:spacing w:after="0"/>
        <w:jc w:val="both"/>
        <w:rPr>
          <w:rFonts w:ascii="Arial" w:hAnsi="Arial" w:cs="Arial"/>
          <w:b w:val="0"/>
          <w:caps w:val="0"/>
          <w:sz w:val="20"/>
        </w:rPr>
      </w:pPr>
    </w:p>
    <w:p w14:paraId="60820CD7" w14:textId="77777777" w:rsidR="001A29D8" w:rsidRDefault="001A29D8" w:rsidP="00441B6F">
      <w:pPr>
        <w:pStyle w:val="ReferHead"/>
        <w:spacing w:after="0"/>
        <w:jc w:val="both"/>
        <w:rPr>
          <w:rFonts w:ascii="Arial" w:hAnsi="Arial" w:cs="Arial"/>
          <w:b w:val="0"/>
          <w:caps w:val="0"/>
          <w:sz w:val="20"/>
        </w:rPr>
      </w:pPr>
    </w:p>
    <w:p w14:paraId="68ABD51C" w14:textId="77777777" w:rsidR="001A29D8" w:rsidRDefault="001A29D8" w:rsidP="00441B6F">
      <w:pPr>
        <w:pStyle w:val="ReferHead"/>
        <w:spacing w:after="0"/>
        <w:jc w:val="both"/>
        <w:rPr>
          <w:rFonts w:ascii="Arial" w:hAnsi="Arial" w:cs="Arial"/>
          <w:b w:val="0"/>
          <w:caps w:val="0"/>
          <w:sz w:val="20"/>
        </w:rPr>
      </w:pPr>
    </w:p>
    <w:p w14:paraId="231B7268" w14:textId="77777777" w:rsidR="005C784C" w:rsidRDefault="005C784C" w:rsidP="00441B6F">
      <w:pPr>
        <w:pStyle w:val="ReferHead"/>
        <w:spacing w:after="0"/>
        <w:jc w:val="both"/>
        <w:rPr>
          <w:rFonts w:ascii="Arial" w:hAnsi="Arial" w:cs="Arial"/>
          <w:b w:val="0"/>
          <w:caps w:val="0"/>
          <w:sz w:val="20"/>
        </w:rPr>
      </w:pPr>
    </w:p>
    <w:p w14:paraId="53D8C5FD" w14:textId="77777777" w:rsidR="00860000" w:rsidRDefault="00860000" w:rsidP="00441B6F">
      <w:pPr>
        <w:pStyle w:val="ReferHead"/>
        <w:spacing w:after="0"/>
        <w:jc w:val="both"/>
        <w:rPr>
          <w:rFonts w:ascii="Arial" w:hAnsi="Arial" w:cs="Arial"/>
        </w:rPr>
      </w:pPr>
    </w:p>
    <w:p w14:paraId="3E30654F" w14:textId="77777777" w:rsidR="00B01FCD" w:rsidRDefault="00B01FCD" w:rsidP="00441B6F">
      <w:pPr>
        <w:pStyle w:val="ReferHead"/>
        <w:spacing w:after="0"/>
        <w:jc w:val="both"/>
        <w:rPr>
          <w:rFonts w:ascii="Arial" w:hAnsi="Arial" w:cs="Arial"/>
        </w:rPr>
      </w:pPr>
      <w:r w:rsidRPr="00FB3A86">
        <w:rPr>
          <w:rFonts w:ascii="Arial" w:hAnsi="Arial" w:cs="Arial"/>
        </w:rPr>
        <w:t>References</w:t>
      </w:r>
    </w:p>
    <w:tbl>
      <w:tblPr>
        <w:tblStyle w:val="TableGrid"/>
        <w:tblpPr w:leftFromText="180" w:rightFromText="180" w:vertAnchor="text" w:horzAnchor="margin" w:tblpY="551"/>
        <w:tblW w:w="8275" w:type="dxa"/>
        <w:tblLayout w:type="fixed"/>
        <w:tblLook w:val="04A0" w:firstRow="1" w:lastRow="0" w:firstColumn="1" w:lastColumn="0" w:noHBand="0" w:noVBand="1"/>
      </w:tblPr>
      <w:tblGrid>
        <w:gridCol w:w="810"/>
        <w:gridCol w:w="7465"/>
      </w:tblGrid>
      <w:tr w:rsidR="003056DC" w14:paraId="7229641B" w14:textId="77777777" w:rsidTr="003056DC">
        <w:tc>
          <w:tcPr>
            <w:tcW w:w="810" w:type="dxa"/>
          </w:tcPr>
          <w:p w14:paraId="67D6B00B" w14:textId="77777777" w:rsidR="003056DC" w:rsidRPr="00E34F2C" w:rsidRDefault="003056DC" w:rsidP="003056DC">
            <w:pPr>
              <w:pStyle w:val="Body"/>
              <w:spacing w:after="0"/>
              <w:jc w:val="center"/>
              <w:rPr>
                <w:rFonts w:ascii="Times New Roman" w:hAnsi="Times New Roman"/>
                <w:sz w:val="20"/>
                <w:szCs w:val="20"/>
              </w:rPr>
            </w:pPr>
            <w:r w:rsidRPr="00E34F2C">
              <w:rPr>
                <w:rFonts w:ascii="Times New Roman" w:hAnsi="Times New Roman"/>
                <w:sz w:val="20"/>
                <w:szCs w:val="20"/>
              </w:rPr>
              <w:t>S No</w:t>
            </w:r>
          </w:p>
        </w:tc>
        <w:tc>
          <w:tcPr>
            <w:tcW w:w="7465" w:type="dxa"/>
          </w:tcPr>
          <w:p w14:paraId="322C8CFC" w14:textId="77777777" w:rsidR="003056DC" w:rsidRPr="00E34F2C" w:rsidRDefault="003056DC" w:rsidP="003056DC">
            <w:pPr>
              <w:pStyle w:val="Body"/>
              <w:spacing w:after="0"/>
              <w:jc w:val="center"/>
              <w:rPr>
                <w:rFonts w:ascii="Times New Roman" w:hAnsi="Times New Roman"/>
                <w:sz w:val="20"/>
                <w:szCs w:val="20"/>
              </w:rPr>
            </w:pPr>
            <w:r w:rsidRPr="00E34F2C">
              <w:rPr>
                <w:rFonts w:ascii="Times New Roman" w:hAnsi="Times New Roman"/>
                <w:sz w:val="20"/>
                <w:szCs w:val="20"/>
              </w:rPr>
              <w:t>Reference</w:t>
            </w:r>
          </w:p>
        </w:tc>
      </w:tr>
      <w:tr w:rsidR="003056DC" w14:paraId="7FC7B8B0" w14:textId="77777777" w:rsidTr="003056DC">
        <w:tc>
          <w:tcPr>
            <w:tcW w:w="810" w:type="dxa"/>
          </w:tcPr>
          <w:p w14:paraId="38F2415E" w14:textId="77777777" w:rsidR="003056DC" w:rsidRPr="00E34F2C" w:rsidRDefault="003056DC" w:rsidP="003056DC">
            <w:pPr>
              <w:pStyle w:val="Body"/>
              <w:spacing w:after="0"/>
              <w:rPr>
                <w:rFonts w:ascii="Times New Roman" w:hAnsi="Times New Roman"/>
                <w:sz w:val="20"/>
                <w:szCs w:val="20"/>
              </w:rPr>
            </w:pPr>
            <w:r w:rsidRPr="00E34F2C">
              <w:rPr>
                <w:rFonts w:ascii="Times New Roman" w:hAnsi="Times New Roman"/>
                <w:sz w:val="20"/>
                <w:szCs w:val="20"/>
              </w:rPr>
              <w:t>1</w:t>
            </w:r>
          </w:p>
        </w:tc>
        <w:tc>
          <w:tcPr>
            <w:tcW w:w="7465" w:type="dxa"/>
          </w:tcPr>
          <w:p w14:paraId="40C279CE" w14:textId="77777777" w:rsidR="003056DC" w:rsidRPr="00E34F2C" w:rsidRDefault="003056DC" w:rsidP="003056DC">
            <w:pPr>
              <w:pStyle w:val="Body"/>
              <w:spacing w:after="0"/>
              <w:rPr>
                <w:rFonts w:ascii="Times New Roman" w:hAnsi="Times New Roman"/>
                <w:sz w:val="20"/>
                <w:szCs w:val="20"/>
              </w:rPr>
            </w:pPr>
            <w:hyperlink r:id="rId10" w:history="1">
              <w:r w:rsidRPr="007F00B6">
                <w:rPr>
                  <w:rStyle w:val="Hyperlink"/>
                  <w:rFonts w:ascii="Times New Roman" w:hAnsi="Times New Roman"/>
                  <w:sz w:val="20"/>
                  <w:szCs w:val="20"/>
                </w:rPr>
                <w:t xml:space="preserve">B. Beyer, C. Jones, J. </w:t>
              </w:r>
              <w:proofErr w:type="spellStart"/>
              <w:r w:rsidRPr="007F00B6">
                <w:rPr>
                  <w:rStyle w:val="Hyperlink"/>
                  <w:rFonts w:ascii="Times New Roman" w:hAnsi="Times New Roman"/>
                  <w:sz w:val="20"/>
                  <w:szCs w:val="20"/>
                </w:rPr>
                <w:t>Petoff</w:t>
              </w:r>
              <w:proofErr w:type="spellEnd"/>
              <w:r w:rsidRPr="007F00B6">
                <w:rPr>
                  <w:rStyle w:val="Hyperlink"/>
                  <w:rFonts w:ascii="Times New Roman" w:hAnsi="Times New Roman"/>
                  <w:sz w:val="20"/>
                  <w:szCs w:val="20"/>
                </w:rPr>
                <w:t>, and N. R. Murphy. (2016). Site Reliability Engineering: How Google Runs Production Systems. O'Reilly Media.</w:t>
              </w:r>
            </w:hyperlink>
          </w:p>
        </w:tc>
      </w:tr>
      <w:tr w:rsidR="003056DC" w14:paraId="7B2EB5A7" w14:textId="77777777" w:rsidTr="003056DC">
        <w:tc>
          <w:tcPr>
            <w:tcW w:w="810" w:type="dxa"/>
          </w:tcPr>
          <w:p w14:paraId="2C052483" w14:textId="77777777" w:rsidR="003056DC" w:rsidRPr="00E34F2C" w:rsidRDefault="003056DC" w:rsidP="003056DC">
            <w:pPr>
              <w:pStyle w:val="Body"/>
              <w:spacing w:after="0"/>
              <w:rPr>
                <w:rFonts w:ascii="Times New Roman" w:hAnsi="Times New Roman"/>
                <w:sz w:val="20"/>
                <w:szCs w:val="20"/>
              </w:rPr>
            </w:pPr>
            <w:r w:rsidRPr="00E34F2C">
              <w:rPr>
                <w:rFonts w:ascii="Times New Roman" w:hAnsi="Times New Roman"/>
                <w:sz w:val="20"/>
                <w:szCs w:val="20"/>
              </w:rPr>
              <w:lastRenderedPageBreak/>
              <w:t>2</w:t>
            </w:r>
          </w:p>
        </w:tc>
        <w:tc>
          <w:tcPr>
            <w:tcW w:w="7465" w:type="dxa"/>
          </w:tcPr>
          <w:p w14:paraId="5C5670B5" w14:textId="77777777" w:rsidR="003056DC" w:rsidRPr="00E34F2C" w:rsidRDefault="003056DC" w:rsidP="003056DC">
            <w:pPr>
              <w:pStyle w:val="Body"/>
              <w:spacing w:after="0"/>
              <w:rPr>
                <w:rFonts w:ascii="Times New Roman" w:hAnsi="Times New Roman"/>
                <w:sz w:val="20"/>
                <w:szCs w:val="20"/>
              </w:rPr>
            </w:pPr>
            <w:hyperlink r:id="rId11" w:history="1">
              <w:r w:rsidRPr="007F00B6">
                <w:rPr>
                  <w:rStyle w:val="Hyperlink"/>
                  <w:rFonts w:ascii="Times New Roman" w:hAnsi="Times New Roman"/>
                  <w:sz w:val="20"/>
                  <w:szCs w:val="20"/>
                </w:rPr>
                <w:t>N. Forsgren, D. Smith, J. Humble, and J. Frazelle. (2019). 2019 accelerate state of DevOps report. DORA and Google Cloud, Tech. Rep.</w:t>
              </w:r>
            </w:hyperlink>
          </w:p>
        </w:tc>
      </w:tr>
      <w:tr w:rsidR="003056DC" w14:paraId="2DDE9C16" w14:textId="77777777" w:rsidTr="003056DC">
        <w:tc>
          <w:tcPr>
            <w:tcW w:w="810" w:type="dxa"/>
          </w:tcPr>
          <w:p w14:paraId="49FBC912" w14:textId="77777777" w:rsidR="003056DC" w:rsidRPr="00E34F2C" w:rsidRDefault="003056DC" w:rsidP="003056DC">
            <w:pPr>
              <w:pStyle w:val="Body"/>
              <w:spacing w:after="0"/>
              <w:rPr>
                <w:rFonts w:ascii="Times New Roman" w:hAnsi="Times New Roman"/>
                <w:sz w:val="20"/>
                <w:szCs w:val="20"/>
              </w:rPr>
            </w:pPr>
            <w:r w:rsidRPr="00E34F2C">
              <w:rPr>
                <w:rFonts w:ascii="Times New Roman" w:hAnsi="Times New Roman"/>
                <w:sz w:val="20"/>
                <w:szCs w:val="20"/>
              </w:rPr>
              <w:t>3</w:t>
            </w:r>
          </w:p>
        </w:tc>
        <w:tc>
          <w:tcPr>
            <w:tcW w:w="7465" w:type="dxa"/>
          </w:tcPr>
          <w:p w14:paraId="5B5D85B0" w14:textId="77777777" w:rsidR="003056DC" w:rsidRPr="00E34F2C" w:rsidRDefault="003056DC" w:rsidP="003056DC">
            <w:pPr>
              <w:pStyle w:val="Body"/>
              <w:spacing w:after="0"/>
              <w:rPr>
                <w:rFonts w:ascii="Times New Roman" w:hAnsi="Times New Roman"/>
                <w:sz w:val="20"/>
                <w:szCs w:val="20"/>
              </w:rPr>
            </w:pPr>
            <w:hyperlink r:id="rId12" w:history="1">
              <w:r w:rsidRPr="007F00B6">
                <w:rPr>
                  <w:rStyle w:val="Hyperlink"/>
                  <w:rFonts w:ascii="Times New Roman" w:hAnsi="Times New Roman"/>
                  <w:sz w:val="20"/>
                  <w:szCs w:val="20"/>
                </w:rPr>
                <w:t>C. Pettey. (2017). Understanding the fundamentals of AIOps. Gartner Research, Tech. Rep. G00336328.</w:t>
              </w:r>
            </w:hyperlink>
          </w:p>
        </w:tc>
      </w:tr>
      <w:tr w:rsidR="003056DC" w14:paraId="47D2C853" w14:textId="77777777" w:rsidTr="003056DC">
        <w:tc>
          <w:tcPr>
            <w:tcW w:w="810" w:type="dxa"/>
          </w:tcPr>
          <w:p w14:paraId="5016C817" w14:textId="77777777" w:rsidR="003056DC" w:rsidRPr="00E34F2C" w:rsidRDefault="003056DC" w:rsidP="003056DC">
            <w:pPr>
              <w:pStyle w:val="Body"/>
              <w:spacing w:after="0"/>
              <w:rPr>
                <w:rFonts w:ascii="Times New Roman" w:hAnsi="Times New Roman"/>
                <w:sz w:val="20"/>
                <w:szCs w:val="20"/>
              </w:rPr>
            </w:pPr>
            <w:r>
              <w:rPr>
                <w:rFonts w:ascii="Times New Roman" w:hAnsi="Times New Roman"/>
                <w:sz w:val="20"/>
                <w:szCs w:val="20"/>
              </w:rPr>
              <w:t>4</w:t>
            </w:r>
          </w:p>
        </w:tc>
        <w:tc>
          <w:tcPr>
            <w:tcW w:w="7465" w:type="dxa"/>
          </w:tcPr>
          <w:p w14:paraId="1506FADE" w14:textId="77777777" w:rsidR="003056DC" w:rsidRPr="00E34F2C" w:rsidRDefault="003056DC" w:rsidP="003056DC">
            <w:pPr>
              <w:pStyle w:val="Body"/>
              <w:spacing w:after="0"/>
              <w:rPr>
                <w:rFonts w:ascii="Times New Roman" w:hAnsi="Times New Roman"/>
                <w:sz w:val="20"/>
                <w:szCs w:val="20"/>
              </w:rPr>
            </w:pPr>
            <w:hyperlink r:id="rId13" w:history="1">
              <w:r w:rsidRPr="007F00B6">
                <w:rPr>
                  <w:rStyle w:val="Hyperlink"/>
                  <w:rFonts w:ascii="Times New Roman" w:hAnsi="Times New Roman"/>
                  <w:sz w:val="20"/>
                  <w:szCs w:val="20"/>
                </w:rPr>
                <w:t>Google Cloud. (2023). Implementing SRE practices using Google Cloud's operations suite. Google Cloud Architecture Center.</w:t>
              </w:r>
            </w:hyperlink>
          </w:p>
        </w:tc>
      </w:tr>
      <w:tr w:rsidR="003056DC" w14:paraId="346CA96F" w14:textId="77777777" w:rsidTr="003056DC">
        <w:tc>
          <w:tcPr>
            <w:tcW w:w="810" w:type="dxa"/>
          </w:tcPr>
          <w:p w14:paraId="7C5C0266" w14:textId="77777777" w:rsidR="003056DC" w:rsidRPr="00E34F2C" w:rsidRDefault="003056DC" w:rsidP="003056DC">
            <w:pPr>
              <w:pStyle w:val="Body"/>
              <w:spacing w:after="0"/>
              <w:rPr>
                <w:rFonts w:ascii="Times New Roman" w:hAnsi="Times New Roman"/>
                <w:sz w:val="20"/>
                <w:szCs w:val="20"/>
              </w:rPr>
            </w:pPr>
            <w:r>
              <w:rPr>
                <w:rFonts w:ascii="Times New Roman" w:hAnsi="Times New Roman"/>
                <w:sz w:val="20"/>
                <w:szCs w:val="20"/>
              </w:rPr>
              <w:t>5</w:t>
            </w:r>
          </w:p>
        </w:tc>
        <w:tc>
          <w:tcPr>
            <w:tcW w:w="7465" w:type="dxa"/>
          </w:tcPr>
          <w:p w14:paraId="70D4F29F" w14:textId="77777777" w:rsidR="003056DC" w:rsidRPr="00E34F2C" w:rsidRDefault="003056DC" w:rsidP="003056DC">
            <w:pPr>
              <w:pStyle w:val="Body"/>
              <w:spacing w:after="0"/>
              <w:rPr>
                <w:rFonts w:ascii="Times New Roman" w:hAnsi="Times New Roman"/>
                <w:sz w:val="20"/>
                <w:szCs w:val="20"/>
              </w:rPr>
            </w:pPr>
            <w:hyperlink r:id="rId14" w:history="1">
              <w:r w:rsidRPr="007F00B6">
                <w:rPr>
                  <w:rStyle w:val="Hyperlink"/>
                  <w:rFonts w:ascii="Times New Roman" w:hAnsi="Times New Roman"/>
                  <w:sz w:val="20"/>
                  <w:szCs w:val="20"/>
                </w:rPr>
                <w:t>DevOps Research and Assessment. (2023). 2023 DORA State of DevOps Report. Google Cloud.</w:t>
              </w:r>
            </w:hyperlink>
          </w:p>
        </w:tc>
      </w:tr>
      <w:tr w:rsidR="003056DC" w14:paraId="7B0F9372" w14:textId="77777777" w:rsidTr="003056DC">
        <w:tc>
          <w:tcPr>
            <w:tcW w:w="810" w:type="dxa"/>
          </w:tcPr>
          <w:p w14:paraId="47ACE1EA" w14:textId="77777777" w:rsidR="003056DC" w:rsidRPr="00E34F2C" w:rsidRDefault="003056DC" w:rsidP="003056DC">
            <w:pPr>
              <w:pStyle w:val="Body"/>
              <w:spacing w:after="0"/>
              <w:rPr>
                <w:rFonts w:ascii="Times New Roman" w:hAnsi="Times New Roman"/>
                <w:sz w:val="20"/>
                <w:szCs w:val="20"/>
              </w:rPr>
            </w:pPr>
            <w:r>
              <w:rPr>
                <w:rFonts w:ascii="Times New Roman" w:hAnsi="Times New Roman"/>
                <w:sz w:val="20"/>
                <w:szCs w:val="20"/>
              </w:rPr>
              <w:t>6</w:t>
            </w:r>
          </w:p>
        </w:tc>
        <w:tc>
          <w:tcPr>
            <w:tcW w:w="7465" w:type="dxa"/>
          </w:tcPr>
          <w:p w14:paraId="4E6398A3" w14:textId="77777777" w:rsidR="003056DC" w:rsidRPr="007F00B6" w:rsidRDefault="003056DC" w:rsidP="003056DC">
            <w:pPr>
              <w:pStyle w:val="Body"/>
              <w:spacing w:after="0"/>
              <w:rPr>
                <w:rStyle w:val="Hyperlink"/>
              </w:rPr>
            </w:pPr>
            <w:hyperlink r:id="rId15" w:history="1">
              <w:r w:rsidRPr="007F00B6">
                <w:rPr>
                  <w:rStyle w:val="Hyperlink"/>
                  <w:rFonts w:ascii="Times New Roman" w:hAnsi="Times New Roman"/>
                  <w:sz w:val="20"/>
                  <w:szCs w:val="20"/>
                </w:rPr>
                <w:t xml:space="preserve">To understand the relationship between Machine learning and Artificial intelligence in large and diversified business </w:t>
              </w:r>
              <w:proofErr w:type="spellStart"/>
              <w:r w:rsidRPr="007F00B6">
                <w:rPr>
                  <w:rStyle w:val="Hyperlink"/>
                  <w:rFonts w:ascii="Times New Roman" w:hAnsi="Times New Roman"/>
                  <w:sz w:val="20"/>
                  <w:szCs w:val="20"/>
                </w:rPr>
                <w:t>organisations</w:t>
              </w:r>
              <w:proofErr w:type="spellEnd"/>
            </w:hyperlink>
          </w:p>
          <w:p w14:paraId="5DE37BC1" w14:textId="77777777" w:rsidR="003056DC" w:rsidRPr="007F00B6" w:rsidRDefault="003056DC" w:rsidP="003056DC">
            <w:pPr>
              <w:pStyle w:val="Body"/>
              <w:spacing w:after="0"/>
              <w:rPr>
                <w:rStyle w:val="Hyperlink"/>
              </w:rPr>
            </w:pPr>
          </w:p>
        </w:tc>
      </w:tr>
      <w:tr w:rsidR="003056DC" w14:paraId="644B86C3" w14:textId="77777777" w:rsidTr="003056DC">
        <w:tc>
          <w:tcPr>
            <w:tcW w:w="810" w:type="dxa"/>
          </w:tcPr>
          <w:p w14:paraId="1F9871AE" w14:textId="77777777" w:rsidR="003056DC" w:rsidRPr="00B50074" w:rsidRDefault="003056DC" w:rsidP="003056DC">
            <w:pPr>
              <w:pStyle w:val="Body"/>
              <w:spacing w:after="0"/>
              <w:rPr>
                <w:rFonts w:ascii="Times New Roman" w:hAnsi="Times New Roman"/>
                <w:sz w:val="20"/>
                <w:szCs w:val="20"/>
              </w:rPr>
            </w:pPr>
            <w:r>
              <w:rPr>
                <w:rFonts w:ascii="Times New Roman" w:hAnsi="Times New Roman"/>
                <w:sz w:val="20"/>
                <w:szCs w:val="20"/>
              </w:rPr>
              <w:t>7</w:t>
            </w:r>
          </w:p>
        </w:tc>
        <w:tc>
          <w:tcPr>
            <w:tcW w:w="7465" w:type="dxa"/>
          </w:tcPr>
          <w:p w14:paraId="364DDE07" w14:textId="77777777" w:rsidR="003056DC" w:rsidRPr="007F00B6" w:rsidRDefault="003056DC" w:rsidP="003056DC">
            <w:pPr>
              <w:pStyle w:val="Body"/>
              <w:spacing w:after="0"/>
              <w:rPr>
                <w:rStyle w:val="Hyperlink"/>
              </w:rPr>
            </w:pPr>
            <w:hyperlink r:id="rId16" w:history="1">
              <w:r w:rsidRPr="007F00B6">
                <w:rPr>
                  <w:rStyle w:val="Hyperlink"/>
                  <w:rFonts w:ascii="Times New Roman" w:hAnsi="Times New Roman"/>
                  <w:sz w:val="20"/>
                  <w:szCs w:val="20"/>
                </w:rPr>
                <w:t>A fault injection platform for learning AIOps models</w:t>
              </w:r>
            </w:hyperlink>
          </w:p>
        </w:tc>
      </w:tr>
      <w:tr w:rsidR="003056DC" w14:paraId="26BE0A4F" w14:textId="77777777" w:rsidTr="003056DC">
        <w:tc>
          <w:tcPr>
            <w:tcW w:w="810" w:type="dxa"/>
          </w:tcPr>
          <w:p w14:paraId="407DC6F9" w14:textId="77777777" w:rsidR="003056DC" w:rsidRPr="00B50074" w:rsidRDefault="003056DC" w:rsidP="003056DC">
            <w:pPr>
              <w:pStyle w:val="Body"/>
              <w:spacing w:after="0"/>
              <w:rPr>
                <w:rFonts w:ascii="Times New Roman" w:hAnsi="Times New Roman"/>
              </w:rPr>
            </w:pPr>
            <w:r>
              <w:rPr>
                <w:rFonts w:ascii="Times New Roman" w:hAnsi="Times New Roman"/>
              </w:rPr>
              <w:t>8</w:t>
            </w:r>
          </w:p>
        </w:tc>
        <w:tc>
          <w:tcPr>
            <w:tcW w:w="7465" w:type="dxa"/>
          </w:tcPr>
          <w:p w14:paraId="34471A05" w14:textId="77777777" w:rsidR="003056DC" w:rsidRPr="007F00B6" w:rsidRDefault="003056DC" w:rsidP="003056DC">
            <w:pPr>
              <w:pStyle w:val="Body"/>
              <w:spacing w:after="0"/>
              <w:rPr>
                <w:rStyle w:val="Hyperlink"/>
              </w:rPr>
            </w:pPr>
            <w:hyperlink r:id="rId17" w:history="1">
              <w:r w:rsidRPr="007F00B6">
                <w:rPr>
                  <w:rStyle w:val="Hyperlink"/>
                  <w:rFonts w:ascii="Times New Roman" w:hAnsi="Times New Roman"/>
                  <w:sz w:val="20"/>
                  <w:szCs w:val="20"/>
                </w:rPr>
                <w:t>Design and Practice of DevOps Platform via Cloud Native Technology</w:t>
              </w:r>
            </w:hyperlink>
          </w:p>
        </w:tc>
      </w:tr>
      <w:tr w:rsidR="003056DC" w14:paraId="5119123B" w14:textId="77777777" w:rsidTr="003056DC">
        <w:tc>
          <w:tcPr>
            <w:tcW w:w="810" w:type="dxa"/>
          </w:tcPr>
          <w:p w14:paraId="639E4007" w14:textId="77777777" w:rsidR="003056DC" w:rsidRPr="00B50074" w:rsidRDefault="003056DC" w:rsidP="003056DC">
            <w:pPr>
              <w:pStyle w:val="Body"/>
              <w:spacing w:after="0"/>
              <w:rPr>
                <w:rFonts w:ascii="Times New Roman" w:hAnsi="Times New Roman"/>
              </w:rPr>
            </w:pPr>
            <w:r>
              <w:rPr>
                <w:rFonts w:ascii="Times New Roman" w:hAnsi="Times New Roman"/>
              </w:rPr>
              <w:t>9</w:t>
            </w:r>
          </w:p>
        </w:tc>
        <w:tc>
          <w:tcPr>
            <w:tcW w:w="7465" w:type="dxa"/>
          </w:tcPr>
          <w:p w14:paraId="490B49BF" w14:textId="77777777" w:rsidR="003056DC" w:rsidRPr="007F00B6" w:rsidRDefault="003056DC" w:rsidP="003056DC">
            <w:pPr>
              <w:pStyle w:val="Body"/>
              <w:spacing w:after="0"/>
              <w:rPr>
                <w:rStyle w:val="Hyperlink"/>
              </w:rPr>
            </w:pPr>
            <w:hyperlink r:id="rId18" w:history="1">
              <w:r w:rsidRPr="007F00B6">
                <w:rPr>
                  <w:rStyle w:val="Hyperlink"/>
                  <w:rFonts w:ascii="Times New Roman" w:hAnsi="Times New Roman"/>
                  <w:sz w:val="20"/>
                  <w:szCs w:val="20"/>
                </w:rPr>
                <w:t>Cloud‐Native Computing: How to Design, Develop, and Secure Microservices and Event‐Driven Applications</w:t>
              </w:r>
            </w:hyperlink>
          </w:p>
        </w:tc>
      </w:tr>
      <w:tr w:rsidR="003056DC" w14:paraId="24AD28E0" w14:textId="77777777" w:rsidTr="003056DC">
        <w:tc>
          <w:tcPr>
            <w:tcW w:w="810" w:type="dxa"/>
          </w:tcPr>
          <w:p w14:paraId="49DD4636" w14:textId="77777777" w:rsidR="003056DC" w:rsidRPr="00B50074" w:rsidRDefault="003056DC" w:rsidP="003056DC">
            <w:pPr>
              <w:pStyle w:val="Body"/>
              <w:spacing w:after="0"/>
              <w:rPr>
                <w:rFonts w:ascii="Times New Roman" w:hAnsi="Times New Roman"/>
              </w:rPr>
            </w:pPr>
            <w:r>
              <w:rPr>
                <w:rFonts w:ascii="Times New Roman" w:hAnsi="Times New Roman"/>
              </w:rPr>
              <w:t>10</w:t>
            </w:r>
          </w:p>
        </w:tc>
        <w:tc>
          <w:tcPr>
            <w:tcW w:w="7465" w:type="dxa"/>
          </w:tcPr>
          <w:p w14:paraId="48DB6B38" w14:textId="77777777" w:rsidR="003056DC" w:rsidRPr="007F00B6" w:rsidRDefault="003056DC" w:rsidP="003056DC">
            <w:pPr>
              <w:pStyle w:val="Body"/>
              <w:spacing w:after="0"/>
              <w:rPr>
                <w:rStyle w:val="Hyperlink"/>
              </w:rPr>
            </w:pPr>
            <w:hyperlink r:id="rId19" w:history="1">
              <w:r w:rsidRPr="007F00B6">
                <w:rPr>
                  <w:rStyle w:val="Hyperlink"/>
                  <w:rFonts w:ascii="Times New Roman" w:hAnsi="Times New Roman"/>
                  <w:sz w:val="20"/>
                  <w:szCs w:val="20"/>
                </w:rPr>
                <w:t>AIOps Supporting SRE and DevOps</w:t>
              </w:r>
            </w:hyperlink>
          </w:p>
        </w:tc>
      </w:tr>
      <w:tr w:rsidR="003056DC" w14:paraId="10996527" w14:textId="77777777" w:rsidTr="003056DC">
        <w:tc>
          <w:tcPr>
            <w:tcW w:w="810" w:type="dxa"/>
          </w:tcPr>
          <w:p w14:paraId="2205D193" w14:textId="77777777" w:rsidR="003056DC" w:rsidRPr="00B50074" w:rsidRDefault="003056DC" w:rsidP="003056DC">
            <w:pPr>
              <w:pStyle w:val="Body"/>
              <w:spacing w:after="0"/>
              <w:rPr>
                <w:rFonts w:ascii="Times New Roman" w:hAnsi="Times New Roman"/>
              </w:rPr>
            </w:pPr>
            <w:r>
              <w:rPr>
                <w:rFonts w:ascii="Times New Roman" w:hAnsi="Times New Roman"/>
              </w:rPr>
              <w:t>11</w:t>
            </w:r>
          </w:p>
        </w:tc>
        <w:tc>
          <w:tcPr>
            <w:tcW w:w="7465" w:type="dxa"/>
          </w:tcPr>
          <w:p w14:paraId="5445B0B8" w14:textId="77777777" w:rsidR="003056DC" w:rsidRPr="007F00B6" w:rsidRDefault="003056DC" w:rsidP="003056DC">
            <w:pPr>
              <w:pStyle w:val="Body"/>
              <w:spacing w:after="0"/>
              <w:rPr>
                <w:rStyle w:val="Hyperlink"/>
              </w:rPr>
            </w:pPr>
            <w:hyperlink r:id="rId20" w:history="1">
              <w:r w:rsidRPr="007F00B6">
                <w:rPr>
                  <w:rStyle w:val="Hyperlink"/>
                  <w:rFonts w:ascii="Times New Roman" w:hAnsi="Times New Roman"/>
                  <w:sz w:val="20"/>
                  <w:szCs w:val="20"/>
                </w:rPr>
                <w:t xml:space="preserve">A solution on cloud and digital transformation for IT system using DevOps </w:t>
              </w:r>
              <w:proofErr w:type="spellStart"/>
              <w:r w:rsidRPr="007F00B6">
                <w:rPr>
                  <w:rStyle w:val="Hyperlink"/>
                  <w:rFonts w:ascii="Times New Roman" w:hAnsi="Times New Roman"/>
                  <w:sz w:val="20"/>
                  <w:szCs w:val="20"/>
                </w:rPr>
                <w:t>yundao</w:t>
              </w:r>
              <w:proofErr w:type="spellEnd"/>
              <w:r w:rsidRPr="007F00B6">
                <w:rPr>
                  <w:rStyle w:val="Hyperlink"/>
                  <w:rFonts w:ascii="Times New Roman" w:hAnsi="Times New Roman"/>
                  <w:sz w:val="20"/>
                  <w:szCs w:val="20"/>
                </w:rPr>
                <w:t xml:space="preserve"> platform</w:t>
              </w:r>
            </w:hyperlink>
          </w:p>
        </w:tc>
      </w:tr>
      <w:tr w:rsidR="003056DC" w14:paraId="068129EF" w14:textId="77777777" w:rsidTr="003056DC">
        <w:tc>
          <w:tcPr>
            <w:tcW w:w="810" w:type="dxa"/>
          </w:tcPr>
          <w:p w14:paraId="67CA48A1" w14:textId="77777777" w:rsidR="003056DC" w:rsidRPr="00B50074" w:rsidRDefault="003056DC" w:rsidP="003056DC">
            <w:pPr>
              <w:pStyle w:val="Body"/>
              <w:spacing w:after="0"/>
              <w:rPr>
                <w:rFonts w:ascii="Times New Roman" w:hAnsi="Times New Roman"/>
              </w:rPr>
            </w:pPr>
            <w:r>
              <w:rPr>
                <w:rFonts w:ascii="Times New Roman" w:hAnsi="Times New Roman"/>
              </w:rPr>
              <w:t>12</w:t>
            </w:r>
          </w:p>
        </w:tc>
        <w:tc>
          <w:tcPr>
            <w:tcW w:w="7465" w:type="dxa"/>
          </w:tcPr>
          <w:p w14:paraId="565142EC" w14:textId="77777777" w:rsidR="003056DC" w:rsidRPr="007F00B6" w:rsidRDefault="003056DC" w:rsidP="003056DC">
            <w:pPr>
              <w:pStyle w:val="Body"/>
              <w:spacing w:after="0"/>
              <w:rPr>
                <w:rStyle w:val="Hyperlink"/>
              </w:rPr>
            </w:pPr>
            <w:hyperlink r:id="rId21" w:history="1">
              <w:r w:rsidRPr="007F00B6">
                <w:rPr>
                  <w:rStyle w:val="Hyperlink"/>
                  <w:rFonts w:ascii="Times New Roman" w:hAnsi="Times New Roman"/>
                  <w:sz w:val="20"/>
                  <w:szCs w:val="20"/>
                </w:rPr>
                <w:t xml:space="preserve">Monitoring solution for cloud-native </w:t>
              </w:r>
              <w:proofErr w:type="spellStart"/>
              <w:r w:rsidRPr="007F00B6">
                <w:rPr>
                  <w:rStyle w:val="Hyperlink"/>
                  <w:rFonts w:ascii="Times New Roman" w:hAnsi="Times New Roman"/>
                  <w:sz w:val="20"/>
                  <w:szCs w:val="20"/>
                </w:rPr>
                <w:t>DevSecOps</w:t>
              </w:r>
              <w:proofErr w:type="spellEnd"/>
            </w:hyperlink>
          </w:p>
        </w:tc>
      </w:tr>
      <w:tr w:rsidR="003056DC" w14:paraId="552F16CA" w14:textId="77777777" w:rsidTr="003056DC">
        <w:tc>
          <w:tcPr>
            <w:tcW w:w="810" w:type="dxa"/>
          </w:tcPr>
          <w:p w14:paraId="24327344" w14:textId="77777777" w:rsidR="003056DC" w:rsidRPr="00B50074" w:rsidRDefault="003056DC" w:rsidP="003056DC">
            <w:pPr>
              <w:pStyle w:val="Body"/>
              <w:spacing w:after="0"/>
              <w:rPr>
                <w:rFonts w:ascii="Times New Roman" w:hAnsi="Times New Roman"/>
              </w:rPr>
            </w:pPr>
            <w:r>
              <w:rPr>
                <w:rFonts w:ascii="Times New Roman" w:hAnsi="Times New Roman"/>
              </w:rPr>
              <w:t>13</w:t>
            </w:r>
          </w:p>
        </w:tc>
        <w:tc>
          <w:tcPr>
            <w:tcW w:w="7465" w:type="dxa"/>
          </w:tcPr>
          <w:p w14:paraId="3E7CCF72" w14:textId="77777777" w:rsidR="003056DC" w:rsidRPr="007F00B6" w:rsidRDefault="003056DC" w:rsidP="003056DC">
            <w:pPr>
              <w:pStyle w:val="Body"/>
              <w:spacing w:after="0"/>
              <w:rPr>
                <w:rStyle w:val="Hyperlink"/>
              </w:rPr>
            </w:pPr>
            <w:hyperlink r:id="rId22" w:history="1">
              <w:r w:rsidRPr="007F00B6">
                <w:rPr>
                  <w:rStyle w:val="Hyperlink"/>
                  <w:rFonts w:ascii="Times New Roman" w:hAnsi="Times New Roman"/>
                  <w:sz w:val="20"/>
                  <w:szCs w:val="20"/>
                </w:rPr>
                <w:t>Artificial intelligence in operations management and supply chain management: an exploratory case study</w:t>
              </w:r>
            </w:hyperlink>
          </w:p>
        </w:tc>
      </w:tr>
      <w:tr w:rsidR="003056DC" w14:paraId="21D2BFD9" w14:textId="77777777" w:rsidTr="003056DC">
        <w:tc>
          <w:tcPr>
            <w:tcW w:w="810" w:type="dxa"/>
          </w:tcPr>
          <w:p w14:paraId="0A8A1D13" w14:textId="77777777" w:rsidR="003056DC" w:rsidRPr="00B50074" w:rsidRDefault="003056DC" w:rsidP="003056DC">
            <w:pPr>
              <w:pStyle w:val="Body"/>
              <w:spacing w:after="0"/>
              <w:rPr>
                <w:rFonts w:ascii="Times New Roman" w:hAnsi="Times New Roman"/>
              </w:rPr>
            </w:pPr>
            <w:r>
              <w:rPr>
                <w:rFonts w:ascii="Times New Roman" w:hAnsi="Times New Roman"/>
              </w:rPr>
              <w:t>14</w:t>
            </w:r>
          </w:p>
        </w:tc>
        <w:tc>
          <w:tcPr>
            <w:tcW w:w="7465" w:type="dxa"/>
          </w:tcPr>
          <w:p w14:paraId="6F8A25A3" w14:textId="77777777" w:rsidR="003056DC" w:rsidRPr="007F00B6" w:rsidRDefault="003056DC" w:rsidP="003056DC">
            <w:pPr>
              <w:pStyle w:val="Body"/>
              <w:spacing w:after="0"/>
              <w:rPr>
                <w:rStyle w:val="Hyperlink"/>
              </w:rPr>
            </w:pPr>
            <w:hyperlink r:id="rId23" w:history="1">
              <w:r w:rsidRPr="007F00B6">
                <w:rPr>
                  <w:rStyle w:val="Hyperlink"/>
                  <w:rFonts w:ascii="Times New Roman" w:hAnsi="Times New Roman"/>
                  <w:sz w:val="20"/>
                  <w:szCs w:val="20"/>
                </w:rPr>
                <w:t>Towards intelligent incident management: why we need it and how we make it</w:t>
              </w:r>
            </w:hyperlink>
          </w:p>
        </w:tc>
      </w:tr>
    </w:tbl>
    <w:p w14:paraId="61AB5ED7" w14:textId="77777777" w:rsidR="00790ADA" w:rsidRDefault="00790ADA" w:rsidP="00441B6F">
      <w:pPr>
        <w:pStyle w:val="ReferHead"/>
        <w:spacing w:after="0"/>
        <w:jc w:val="both"/>
        <w:rPr>
          <w:rFonts w:ascii="Arial" w:hAnsi="Arial" w:cs="Arial"/>
        </w:rPr>
      </w:pPr>
    </w:p>
    <w:p w14:paraId="6E0F5E0D" w14:textId="77777777" w:rsidR="003056DC" w:rsidRPr="00FB3A86" w:rsidRDefault="003056DC" w:rsidP="00441B6F">
      <w:pPr>
        <w:pStyle w:val="ReferHead"/>
        <w:spacing w:after="0"/>
        <w:jc w:val="both"/>
        <w:rPr>
          <w:rFonts w:ascii="Arial" w:hAnsi="Arial" w:cs="Arial"/>
        </w:rPr>
      </w:pPr>
    </w:p>
    <w:p w14:paraId="5E0728BB"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51283C8B"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AIOps</w:t>
      </w:r>
      <w:r w:rsidRPr="00C75F7B">
        <w:rPr>
          <w:rFonts w:ascii="Arial" w:hAnsi="Arial" w:cs="Arial"/>
          <w:sz w:val="20"/>
          <w:szCs w:val="20"/>
        </w:rPr>
        <w:t>: Artificial Intelligence for IT Operations - The application of artificial intelligence and machine learning techniques to enhance IT operational processes, automate routine tasks, and provide insight into complex system behaviors.</w:t>
      </w:r>
    </w:p>
    <w:p w14:paraId="0FA77B03"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SRE</w:t>
      </w:r>
      <w:r w:rsidRPr="00C75F7B">
        <w:rPr>
          <w:rFonts w:ascii="Arial" w:hAnsi="Arial" w:cs="Arial"/>
          <w:sz w:val="20"/>
          <w:szCs w:val="20"/>
        </w:rPr>
        <w:t>: Site Reliability Engineering - An engineering discipline that applies software engineering principles to infrastructure and operations problems with the goal of creating scalable and reliable software systems.</w:t>
      </w:r>
    </w:p>
    <w:p w14:paraId="2726E5C0"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SLO</w:t>
      </w:r>
      <w:r w:rsidRPr="00C75F7B">
        <w:rPr>
          <w:rFonts w:ascii="Arial" w:hAnsi="Arial" w:cs="Arial"/>
          <w:sz w:val="20"/>
          <w:szCs w:val="20"/>
        </w:rPr>
        <w:t>: Service Level Objective - A target value or range of values for a service level that is measured by an SLI. A natural language statement specifying a target level of reliability for a service.</w:t>
      </w:r>
    </w:p>
    <w:p w14:paraId="1A48D16A"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SLI</w:t>
      </w:r>
      <w:r w:rsidRPr="00C75F7B">
        <w:rPr>
          <w:rFonts w:ascii="Arial" w:hAnsi="Arial" w:cs="Arial"/>
          <w:sz w:val="20"/>
          <w:szCs w:val="20"/>
        </w:rPr>
        <w:t>: Service Level Indicator - A quantitative measure of some aspect of the level of service that is provided, such as availability, latency, or throughput.</w:t>
      </w:r>
    </w:p>
    <w:p w14:paraId="7696A11A"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Error Budget</w:t>
      </w:r>
      <w:r w:rsidRPr="00C75F7B">
        <w:rPr>
          <w:rFonts w:ascii="Arial" w:hAnsi="Arial" w:cs="Arial"/>
          <w:sz w:val="20"/>
          <w:szCs w:val="20"/>
        </w:rPr>
        <w:t>: The allowed amount of downtime or suboptimal performance for a service, calculated as the difference between 100% and the SLO target. For example, a 99.9% availability SLO allows for 43.8 minutes of downtime per month.</w:t>
      </w:r>
    </w:p>
    <w:p w14:paraId="0BAF5B3C"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MTTD</w:t>
      </w:r>
      <w:r w:rsidRPr="00C75F7B">
        <w:rPr>
          <w:rFonts w:ascii="Arial" w:hAnsi="Arial" w:cs="Arial"/>
          <w:sz w:val="20"/>
          <w:szCs w:val="20"/>
        </w:rPr>
        <w:t>: Mean Time to Detection - The average time between the onset of an issue and its detection by monitoring systems or personnel.</w:t>
      </w:r>
    </w:p>
    <w:p w14:paraId="614BB8C7"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MTTR</w:t>
      </w:r>
      <w:r w:rsidRPr="00C75F7B">
        <w:rPr>
          <w:rFonts w:ascii="Arial" w:hAnsi="Arial" w:cs="Arial"/>
          <w:sz w:val="20"/>
          <w:szCs w:val="20"/>
        </w:rPr>
        <w:t>: Mean Time to Resolution - The average time between the detection of an issue and its resolution.</w:t>
      </w:r>
    </w:p>
    <w:p w14:paraId="30FC9C09"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lastRenderedPageBreak/>
        <w:t>Toil</w:t>
      </w:r>
      <w:r w:rsidRPr="00C75F7B">
        <w:rPr>
          <w:rFonts w:ascii="Arial" w:hAnsi="Arial" w:cs="Arial"/>
          <w:sz w:val="20"/>
          <w:szCs w:val="20"/>
        </w:rPr>
        <w:t>: Manual, repetitive, automatable, tactical work that scales linearly as a service grows. Reducing toil is a core principle of SRE.</w:t>
      </w:r>
    </w:p>
    <w:p w14:paraId="65FAD4C4"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Postmortem</w:t>
      </w:r>
      <w:r w:rsidRPr="00C75F7B">
        <w:rPr>
          <w:rFonts w:ascii="Arial" w:hAnsi="Arial" w:cs="Arial"/>
          <w:sz w:val="20"/>
          <w:szCs w:val="20"/>
        </w:rPr>
        <w:t>: A documented analysis of an incident, including timeline, impact, root cause, and action items to prevent recurrence.</w:t>
      </w:r>
    </w:p>
    <w:p w14:paraId="62C158B0"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Causal Inference</w:t>
      </w:r>
      <w:r w:rsidRPr="00C75F7B">
        <w:rPr>
          <w:rFonts w:ascii="Arial" w:hAnsi="Arial" w:cs="Arial"/>
          <w:sz w:val="20"/>
          <w:szCs w:val="20"/>
        </w:rPr>
        <w:t>: The process of determining the cause-effect relationships between variables, going beyond mere correlation to establish causation.</w:t>
      </w:r>
    </w:p>
    <w:p w14:paraId="2E7450F3"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Signal-to-Noise Ratio</w:t>
      </w:r>
      <w:r w:rsidRPr="00C75F7B">
        <w:rPr>
          <w:rFonts w:ascii="Arial" w:hAnsi="Arial" w:cs="Arial"/>
          <w:sz w:val="20"/>
          <w:szCs w:val="20"/>
        </w:rPr>
        <w:t>: In the context of alerting, the proportion of actionable alerts (signal) compared to non-actionable alerts (noise).</w:t>
      </w:r>
    </w:p>
    <w:p w14:paraId="610B5A95" w14:textId="77777777" w:rsidR="00790ADA" w:rsidRPr="00FB3A86" w:rsidRDefault="00790ADA" w:rsidP="00441B6F">
      <w:pPr>
        <w:pStyle w:val="Body"/>
        <w:spacing w:after="0"/>
        <w:rPr>
          <w:rFonts w:ascii="Arial" w:hAnsi="Arial" w:cs="Arial"/>
        </w:rPr>
      </w:pPr>
    </w:p>
    <w:p w14:paraId="460B6577"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519FFAE6" w14:textId="77777777" w:rsidR="00C75F7B" w:rsidRDefault="00C75F7B" w:rsidP="00C75F7B">
      <w:pPr>
        <w:pStyle w:val="Heading3"/>
      </w:pPr>
      <w:r w:rsidRPr="00C75F7B">
        <w:rPr>
          <w:b/>
          <w:bCs/>
          <w:color w:val="000000" w:themeColor="text1"/>
        </w:rPr>
        <w:t>A</w:t>
      </w:r>
      <w:r w:rsidRPr="00C75F7B">
        <w:rPr>
          <w:rStyle w:val="Strong"/>
          <w:rFonts w:ascii="Times New Roman" w:eastAsia="Times New Roman" w:hAnsi="Times New Roman" w:cs="Times New Roman"/>
          <w:color w:val="auto"/>
        </w:rPr>
        <w:t>. Implementation Readiness Assessment Questionnaire</w:t>
      </w:r>
    </w:p>
    <w:p w14:paraId="01692F76" w14:textId="77777777" w:rsidR="00C75F7B" w:rsidRPr="00C75F7B" w:rsidRDefault="00C75F7B" w:rsidP="00C75F7B">
      <w:pPr>
        <w:pStyle w:val="whitespace-pre-wrap"/>
        <w:rPr>
          <w:rFonts w:ascii="Arial" w:hAnsi="Arial" w:cs="Arial"/>
          <w:sz w:val="20"/>
          <w:szCs w:val="20"/>
        </w:rPr>
      </w:pPr>
      <w:r w:rsidRPr="00C75F7B">
        <w:rPr>
          <w:rFonts w:ascii="Arial" w:hAnsi="Arial" w:cs="Arial"/>
          <w:sz w:val="20"/>
          <w:szCs w:val="20"/>
        </w:rPr>
        <w:t>The following questionnaire can be used to assess organizational readiness for implementing the AIOps-enhanced SRE framework:</w:t>
      </w:r>
    </w:p>
    <w:p w14:paraId="3B4E768B"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Data Maturity Assessment</w:t>
      </w:r>
      <w:r w:rsidRPr="00C75F7B">
        <w:rPr>
          <w:rFonts w:ascii="Arial" w:hAnsi="Arial" w:cs="Arial"/>
          <w:sz w:val="20"/>
          <w:szCs w:val="20"/>
        </w:rPr>
        <w:t xml:space="preserve"> </w:t>
      </w:r>
    </w:p>
    <w:p w14:paraId="4C268092"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operational metrics collected and stored centrally?</w:t>
      </w:r>
    </w:p>
    <w:p w14:paraId="7C1F50AE"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What is the retention period for operational data?</w:t>
      </w:r>
    </w:p>
    <w:p w14:paraId="586715C6"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telemetry collected from all critical systems?</w:t>
      </w:r>
    </w:p>
    <w:p w14:paraId="05BB42C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metrics and logs consistently structured and labeled?</w:t>
      </w:r>
    </w:p>
    <w:p w14:paraId="7BFE34DE"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Technical Infrastructure Assessment</w:t>
      </w:r>
      <w:r w:rsidRPr="00C75F7B">
        <w:rPr>
          <w:rFonts w:ascii="Arial" w:hAnsi="Arial" w:cs="Arial"/>
          <w:sz w:val="20"/>
          <w:szCs w:val="20"/>
        </w:rPr>
        <w:t xml:space="preserve"> </w:t>
      </w:r>
    </w:p>
    <w:p w14:paraId="623F21A8"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a centralized observability platform?</w:t>
      </w:r>
    </w:p>
    <w:p w14:paraId="2AFB115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deployment processes automated?</w:t>
      </w:r>
    </w:p>
    <w:p w14:paraId="7CD5BC67"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infrastructure defined as code?</w:t>
      </w:r>
    </w:p>
    <w:p w14:paraId="2EA9AE49"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What level of API access exists for operational systems?</w:t>
      </w:r>
    </w:p>
    <w:p w14:paraId="3E8FEB87"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Process Maturity Assessment</w:t>
      </w:r>
      <w:r w:rsidRPr="00C75F7B">
        <w:rPr>
          <w:rFonts w:ascii="Arial" w:hAnsi="Arial" w:cs="Arial"/>
          <w:sz w:val="20"/>
          <w:szCs w:val="20"/>
        </w:rPr>
        <w:t xml:space="preserve"> </w:t>
      </w:r>
    </w:p>
    <w:p w14:paraId="324B7F0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SLOs defined for critical services?</w:t>
      </w:r>
    </w:p>
    <w:p w14:paraId="1555C382"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a formal incident management process?</w:t>
      </w:r>
    </w:p>
    <w:p w14:paraId="163A0508"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Does the organization practice blameless postmortems?</w:t>
      </w:r>
    </w:p>
    <w:p w14:paraId="4ADFBD3A"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a systematic approach to toil reduction?</w:t>
      </w:r>
    </w:p>
    <w:p w14:paraId="046B3231"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Skills Availability Assessment</w:t>
      </w:r>
      <w:r w:rsidRPr="00C75F7B">
        <w:rPr>
          <w:rFonts w:ascii="Arial" w:hAnsi="Arial" w:cs="Arial"/>
          <w:sz w:val="20"/>
          <w:szCs w:val="20"/>
        </w:rPr>
        <w:t xml:space="preserve"> </w:t>
      </w:r>
    </w:p>
    <w:p w14:paraId="1F71264B"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there team members with data science experience?</w:t>
      </w:r>
    </w:p>
    <w:p w14:paraId="52D6D054"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Do operations teams have software engineering skills?</w:t>
      </w:r>
    </w:p>
    <w:p w14:paraId="1603127D"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experience with machine learning operations?</w:t>
      </w:r>
    </w:p>
    <w:p w14:paraId="0EE91570"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there domain experts who understand both business and technical contexts?</w:t>
      </w:r>
    </w:p>
    <w:p w14:paraId="1EE81CDE"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Leadership Alignment Assessment</w:t>
      </w:r>
      <w:r w:rsidRPr="00C75F7B">
        <w:rPr>
          <w:rFonts w:ascii="Arial" w:hAnsi="Arial" w:cs="Arial"/>
          <w:sz w:val="20"/>
          <w:szCs w:val="20"/>
        </w:rPr>
        <w:t xml:space="preserve"> </w:t>
      </w:r>
    </w:p>
    <w:p w14:paraId="49A82672"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executive sponsorship for operational transformation?</w:t>
      </w:r>
    </w:p>
    <w:p w14:paraId="52D7CD49"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budget allocated for tools and skills development?</w:t>
      </w:r>
    </w:p>
    <w:p w14:paraId="3BEB5C9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openness to process changes?</w:t>
      </w:r>
    </w:p>
    <w:p w14:paraId="4F4CA683"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cultural support for automation and AI-assisted decision making?</w:t>
      </w:r>
    </w:p>
    <w:p w14:paraId="4A9CC143" w14:textId="77777777" w:rsidR="00C75F7B" w:rsidRPr="00C75F7B" w:rsidRDefault="00C75F7B" w:rsidP="00C75F7B">
      <w:pPr>
        <w:pStyle w:val="Heading3"/>
        <w:rPr>
          <w:rStyle w:val="Strong"/>
          <w:rFonts w:ascii="Arial" w:eastAsia="Times New Roman" w:hAnsi="Arial" w:cs="Arial"/>
          <w:color w:val="auto"/>
          <w:sz w:val="20"/>
          <w:szCs w:val="20"/>
        </w:rPr>
      </w:pPr>
      <w:r w:rsidRPr="00C75F7B">
        <w:rPr>
          <w:rFonts w:ascii="Arial" w:hAnsi="Arial" w:cs="Arial"/>
          <w:b/>
          <w:bCs/>
          <w:sz w:val="20"/>
          <w:szCs w:val="20"/>
        </w:rPr>
        <w:t>B.</w:t>
      </w:r>
      <w:r w:rsidRPr="00C75F7B">
        <w:rPr>
          <w:rFonts w:ascii="Arial" w:hAnsi="Arial" w:cs="Arial"/>
          <w:sz w:val="20"/>
          <w:szCs w:val="20"/>
        </w:rPr>
        <w:t xml:space="preserve"> </w:t>
      </w:r>
      <w:r w:rsidRPr="00C75F7B">
        <w:rPr>
          <w:rStyle w:val="Strong"/>
          <w:rFonts w:ascii="Arial" w:eastAsia="Times New Roman" w:hAnsi="Arial" w:cs="Arial"/>
          <w:color w:val="auto"/>
          <w:sz w:val="20"/>
          <w:szCs w:val="20"/>
        </w:rPr>
        <w:t>Sample Implementation Timeline</w:t>
      </w:r>
    </w:p>
    <w:tbl>
      <w:tblPr>
        <w:tblStyle w:val="TableGrid"/>
        <w:tblW w:w="9288" w:type="dxa"/>
        <w:tblLook w:val="04A0" w:firstRow="1" w:lastRow="0" w:firstColumn="1" w:lastColumn="0" w:noHBand="0" w:noVBand="1"/>
      </w:tblPr>
      <w:tblGrid>
        <w:gridCol w:w="1709"/>
        <w:gridCol w:w="3353"/>
        <w:gridCol w:w="1562"/>
        <w:gridCol w:w="2664"/>
      </w:tblGrid>
      <w:tr w:rsidR="00C75F7B" w:rsidRPr="00C75F7B" w14:paraId="67BD791F" w14:textId="77777777" w:rsidTr="00C75F7B">
        <w:tc>
          <w:tcPr>
            <w:tcW w:w="1709" w:type="dxa"/>
            <w:vAlign w:val="center"/>
          </w:tcPr>
          <w:p w14:paraId="638F90EA" w14:textId="0A601109" w:rsidR="00C75F7B" w:rsidRPr="00C75F7B" w:rsidRDefault="00C75F7B" w:rsidP="00C75F7B">
            <w:pPr>
              <w:rPr>
                <w:rFonts w:ascii="Arial" w:hAnsi="Arial" w:cs="Arial"/>
                <w:sz w:val="20"/>
                <w:szCs w:val="20"/>
              </w:rPr>
            </w:pPr>
            <w:r w:rsidRPr="00C75F7B">
              <w:rPr>
                <w:rFonts w:ascii="Arial" w:hAnsi="Arial" w:cs="Arial"/>
                <w:b/>
                <w:bCs/>
                <w:sz w:val="20"/>
                <w:szCs w:val="20"/>
              </w:rPr>
              <w:t>Phase</w:t>
            </w:r>
          </w:p>
        </w:tc>
        <w:tc>
          <w:tcPr>
            <w:tcW w:w="3353" w:type="dxa"/>
            <w:vAlign w:val="center"/>
          </w:tcPr>
          <w:p w14:paraId="15B7402B" w14:textId="4FF1801C" w:rsidR="00C75F7B" w:rsidRPr="00C75F7B" w:rsidRDefault="00C75F7B" w:rsidP="00C75F7B">
            <w:pPr>
              <w:rPr>
                <w:rFonts w:ascii="Arial" w:hAnsi="Arial" w:cs="Arial"/>
                <w:sz w:val="20"/>
                <w:szCs w:val="20"/>
              </w:rPr>
            </w:pPr>
            <w:r w:rsidRPr="00C75F7B">
              <w:rPr>
                <w:rFonts w:ascii="Arial" w:hAnsi="Arial" w:cs="Arial"/>
                <w:b/>
                <w:bCs/>
                <w:sz w:val="20"/>
                <w:szCs w:val="20"/>
              </w:rPr>
              <w:t>Activities</w:t>
            </w:r>
          </w:p>
        </w:tc>
        <w:tc>
          <w:tcPr>
            <w:tcW w:w="1562" w:type="dxa"/>
            <w:vAlign w:val="center"/>
          </w:tcPr>
          <w:p w14:paraId="32257F53" w14:textId="7ECC8E41" w:rsidR="00C75F7B" w:rsidRPr="00C75F7B" w:rsidRDefault="00C75F7B" w:rsidP="00C75F7B">
            <w:pPr>
              <w:rPr>
                <w:rFonts w:ascii="Arial" w:hAnsi="Arial" w:cs="Arial"/>
                <w:sz w:val="20"/>
                <w:szCs w:val="20"/>
              </w:rPr>
            </w:pPr>
            <w:r w:rsidRPr="00C75F7B">
              <w:rPr>
                <w:rFonts w:ascii="Arial" w:hAnsi="Arial" w:cs="Arial"/>
                <w:b/>
                <w:bCs/>
                <w:sz w:val="20"/>
                <w:szCs w:val="20"/>
              </w:rPr>
              <w:t>Timeline</w:t>
            </w:r>
          </w:p>
        </w:tc>
        <w:tc>
          <w:tcPr>
            <w:tcW w:w="2664" w:type="dxa"/>
            <w:vAlign w:val="center"/>
          </w:tcPr>
          <w:p w14:paraId="6392547D" w14:textId="087A5CE3" w:rsidR="00C75F7B" w:rsidRPr="00C75F7B" w:rsidRDefault="00C75F7B" w:rsidP="00C75F7B">
            <w:pPr>
              <w:rPr>
                <w:rFonts w:ascii="Arial" w:hAnsi="Arial" w:cs="Arial"/>
                <w:sz w:val="20"/>
                <w:szCs w:val="20"/>
              </w:rPr>
            </w:pPr>
            <w:r w:rsidRPr="00C75F7B">
              <w:rPr>
                <w:rFonts w:ascii="Arial" w:hAnsi="Arial" w:cs="Arial"/>
                <w:b/>
                <w:bCs/>
                <w:sz w:val="20"/>
                <w:szCs w:val="20"/>
              </w:rPr>
              <w:t>Key Deliverables</w:t>
            </w:r>
          </w:p>
        </w:tc>
      </w:tr>
      <w:tr w:rsidR="00C75F7B" w:rsidRPr="00C75F7B" w14:paraId="13590219" w14:textId="77777777" w:rsidTr="00C75F7B">
        <w:tc>
          <w:tcPr>
            <w:tcW w:w="1709" w:type="dxa"/>
            <w:vAlign w:val="center"/>
          </w:tcPr>
          <w:p w14:paraId="09D4640F" w14:textId="594A1AF3"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Assessment &amp; Preparation</w:t>
            </w:r>
          </w:p>
        </w:tc>
        <w:tc>
          <w:tcPr>
            <w:tcW w:w="3353" w:type="dxa"/>
            <w:vAlign w:val="center"/>
          </w:tcPr>
          <w:p w14:paraId="340F5A42" w14:textId="2D56D5EE"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Data readiness assessment</w:t>
            </w:r>
            <w:r>
              <w:rPr>
                <w:rFonts w:ascii="Arial" w:eastAsia="Times New Roman" w:hAnsi="Arial" w:cs="Arial"/>
                <w:sz w:val="20"/>
                <w:szCs w:val="20"/>
              </w:rPr>
              <w:t xml:space="preserve">, </w:t>
            </w:r>
            <w:r w:rsidRPr="00C75F7B">
              <w:rPr>
                <w:rFonts w:ascii="Arial" w:eastAsia="Times New Roman" w:hAnsi="Arial" w:cs="Arial"/>
                <w:sz w:val="20"/>
                <w:szCs w:val="20"/>
              </w:rPr>
              <w:t>Use case prioritization</w:t>
            </w:r>
            <w:r>
              <w:rPr>
                <w:rFonts w:ascii="Arial" w:eastAsia="Times New Roman" w:hAnsi="Arial" w:cs="Arial"/>
                <w:sz w:val="20"/>
                <w:szCs w:val="20"/>
              </w:rPr>
              <w:t xml:space="preserve">, </w:t>
            </w:r>
            <w:r w:rsidRPr="00C75F7B">
              <w:rPr>
                <w:rFonts w:ascii="Arial" w:eastAsia="Times New Roman" w:hAnsi="Arial" w:cs="Arial"/>
                <w:sz w:val="20"/>
                <w:szCs w:val="20"/>
              </w:rPr>
              <w:t>Skills gap analysis</w:t>
            </w:r>
          </w:p>
        </w:tc>
        <w:tc>
          <w:tcPr>
            <w:tcW w:w="1562" w:type="dxa"/>
            <w:vAlign w:val="center"/>
          </w:tcPr>
          <w:p w14:paraId="4C066267" w14:textId="02610F3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Months 1-3</w:t>
            </w:r>
          </w:p>
        </w:tc>
        <w:tc>
          <w:tcPr>
            <w:tcW w:w="2664" w:type="dxa"/>
            <w:vAlign w:val="center"/>
          </w:tcPr>
          <w:p w14:paraId="2BF9EDC0" w14:textId="3DD8272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Readiness report, Training plan</w:t>
            </w:r>
          </w:p>
        </w:tc>
      </w:tr>
      <w:tr w:rsidR="00C75F7B" w:rsidRPr="00C75F7B" w14:paraId="7FDE8A25" w14:textId="77777777" w:rsidTr="00C75F7B">
        <w:tc>
          <w:tcPr>
            <w:tcW w:w="1709" w:type="dxa"/>
            <w:vAlign w:val="center"/>
          </w:tcPr>
          <w:p w14:paraId="008F9E64" w14:textId="4D8CA92D"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lastRenderedPageBreak/>
              <w:t>Foundation Building</w:t>
            </w:r>
          </w:p>
        </w:tc>
        <w:tc>
          <w:tcPr>
            <w:tcW w:w="3353" w:type="dxa"/>
            <w:vAlign w:val="center"/>
          </w:tcPr>
          <w:p w14:paraId="20BC1847" w14:textId="05D20226"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Data platform implementation</w:t>
            </w:r>
            <w:r>
              <w:rPr>
                <w:rFonts w:ascii="Arial" w:eastAsia="Times New Roman" w:hAnsi="Arial" w:cs="Arial"/>
                <w:sz w:val="20"/>
                <w:szCs w:val="20"/>
              </w:rPr>
              <w:t xml:space="preserve">, </w:t>
            </w:r>
            <w:r w:rsidRPr="00C75F7B">
              <w:rPr>
                <w:rFonts w:ascii="Arial" w:eastAsia="Times New Roman" w:hAnsi="Arial" w:cs="Arial"/>
                <w:sz w:val="20"/>
                <w:szCs w:val="20"/>
              </w:rPr>
              <w:t xml:space="preserve">Initial model </w:t>
            </w:r>
            <w:proofErr w:type="spellStart"/>
            <w:proofErr w:type="gramStart"/>
            <w:r w:rsidRPr="00C75F7B">
              <w:rPr>
                <w:rFonts w:ascii="Arial" w:eastAsia="Times New Roman" w:hAnsi="Arial" w:cs="Arial"/>
                <w:sz w:val="20"/>
                <w:szCs w:val="20"/>
              </w:rPr>
              <w:t>development</w:t>
            </w:r>
            <w:r>
              <w:rPr>
                <w:rFonts w:ascii="Arial" w:eastAsia="Times New Roman" w:hAnsi="Arial" w:cs="Arial"/>
                <w:sz w:val="20"/>
                <w:szCs w:val="20"/>
              </w:rPr>
              <w:t>,</w:t>
            </w:r>
            <w:r w:rsidRPr="00C75F7B">
              <w:rPr>
                <w:rFonts w:ascii="Arial" w:eastAsia="Times New Roman" w:hAnsi="Arial" w:cs="Arial"/>
                <w:sz w:val="20"/>
                <w:szCs w:val="20"/>
              </w:rPr>
              <w:t>SRE</w:t>
            </w:r>
            <w:proofErr w:type="spellEnd"/>
            <w:proofErr w:type="gramEnd"/>
            <w:r w:rsidRPr="00C75F7B">
              <w:rPr>
                <w:rFonts w:ascii="Arial" w:eastAsia="Times New Roman" w:hAnsi="Arial" w:cs="Arial"/>
                <w:sz w:val="20"/>
                <w:szCs w:val="20"/>
              </w:rPr>
              <w:t xml:space="preserve"> workflow integration</w:t>
            </w:r>
          </w:p>
        </w:tc>
        <w:tc>
          <w:tcPr>
            <w:tcW w:w="1562" w:type="dxa"/>
            <w:vAlign w:val="center"/>
          </w:tcPr>
          <w:p w14:paraId="6AFC2D3D" w14:textId="2B31C08B"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Months 4-7</w:t>
            </w:r>
          </w:p>
        </w:tc>
        <w:tc>
          <w:tcPr>
            <w:tcW w:w="2664" w:type="dxa"/>
            <w:vAlign w:val="center"/>
          </w:tcPr>
          <w:p w14:paraId="67607382" w14:textId="583BCCC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Centralized telemetry, Baseline models, Integration points</w:t>
            </w:r>
          </w:p>
        </w:tc>
      </w:tr>
      <w:tr w:rsidR="00C75F7B" w:rsidRPr="00C75F7B" w14:paraId="44FD71D1" w14:textId="77777777" w:rsidTr="00C75F7B">
        <w:tc>
          <w:tcPr>
            <w:tcW w:w="1709" w:type="dxa"/>
            <w:vAlign w:val="center"/>
          </w:tcPr>
          <w:p w14:paraId="715DAF34" w14:textId="5AC02D80"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Capability Expansion</w:t>
            </w:r>
          </w:p>
        </w:tc>
        <w:tc>
          <w:tcPr>
            <w:tcW w:w="3353" w:type="dxa"/>
            <w:vAlign w:val="center"/>
          </w:tcPr>
          <w:p w14:paraId="321758B3" w14:textId="4630B30A"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Advanced model implementation</w:t>
            </w:r>
            <w:r>
              <w:rPr>
                <w:rFonts w:ascii="Arial" w:eastAsia="Times New Roman" w:hAnsi="Arial" w:cs="Arial"/>
                <w:sz w:val="20"/>
                <w:szCs w:val="20"/>
              </w:rPr>
              <w:t xml:space="preserve">, </w:t>
            </w:r>
            <w:r w:rsidRPr="00C75F7B">
              <w:rPr>
                <w:rFonts w:ascii="Arial" w:eastAsia="Times New Roman" w:hAnsi="Arial" w:cs="Arial"/>
                <w:sz w:val="20"/>
                <w:szCs w:val="20"/>
              </w:rPr>
              <w:t>Process transformation</w:t>
            </w:r>
            <w:r>
              <w:rPr>
                <w:rFonts w:ascii="Arial" w:eastAsia="Times New Roman" w:hAnsi="Arial" w:cs="Arial"/>
                <w:sz w:val="20"/>
                <w:szCs w:val="20"/>
              </w:rPr>
              <w:t xml:space="preserve">, </w:t>
            </w:r>
            <w:r w:rsidRPr="00C75F7B">
              <w:rPr>
                <w:rFonts w:ascii="Arial" w:eastAsia="Times New Roman" w:hAnsi="Arial" w:cs="Arial"/>
                <w:sz w:val="20"/>
                <w:szCs w:val="20"/>
              </w:rPr>
              <w:t>Feedback loop establishment</w:t>
            </w:r>
          </w:p>
        </w:tc>
        <w:tc>
          <w:tcPr>
            <w:tcW w:w="1562" w:type="dxa"/>
            <w:vAlign w:val="center"/>
          </w:tcPr>
          <w:p w14:paraId="44B299C7" w14:textId="6CD24F3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Months 8-18</w:t>
            </w:r>
          </w:p>
        </w:tc>
        <w:tc>
          <w:tcPr>
            <w:tcW w:w="2664" w:type="dxa"/>
            <w:vAlign w:val="center"/>
          </w:tcPr>
          <w:p w14:paraId="12C23D77" w14:textId="49D6ECCD"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Enhanced AI capabilities, Updated processes, Continuous learning system</w:t>
            </w:r>
          </w:p>
        </w:tc>
      </w:tr>
      <w:tr w:rsidR="00C75F7B" w:rsidRPr="00C75F7B" w14:paraId="0D0A4CF8" w14:textId="77777777" w:rsidTr="00C75F7B">
        <w:tc>
          <w:tcPr>
            <w:tcW w:w="1709" w:type="dxa"/>
            <w:vAlign w:val="center"/>
          </w:tcPr>
          <w:p w14:paraId="215385EE" w14:textId="47E40891"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Operational Transformation</w:t>
            </w:r>
          </w:p>
        </w:tc>
        <w:tc>
          <w:tcPr>
            <w:tcW w:w="3353" w:type="dxa"/>
            <w:vAlign w:val="center"/>
          </w:tcPr>
          <w:p w14:paraId="1C45B755" w14:textId="0D43D840"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Autonomous operations development</w:t>
            </w:r>
            <w:r>
              <w:rPr>
                <w:rFonts w:ascii="Arial" w:eastAsia="Times New Roman" w:hAnsi="Arial" w:cs="Arial"/>
                <w:sz w:val="20"/>
                <w:szCs w:val="20"/>
              </w:rPr>
              <w:t xml:space="preserve">, </w:t>
            </w:r>
            <w:r w:rsidRPr="00C75F7B">
              <w:rPr>
                <w:rFonts w:ascii="Arial" w:eastAsia="Times New Roman" w:hAnsi="Arial" w:cs="Arial"/>
                <w:sz w:val="20"/>
                <w:szCs w:val="20"/>
              </w:rPr>
              <w:t>Organizational adaptation</w:t>
            </w:r>
            <w:r>
              <w:rPr>
                <w:rFonts w:ascii="Arial" w:eastAsia="Times New Roman" w:hAnsi="Arial" w:cs="Arial"/>
                <w:sz w:val="20"/>
                <w:szCs w:val="20"/>
              </w:rPr>
              <w:t xml:space="preserve">, </w:t>
            </w:r>
            <w:r w:rsidRPr="00C75F7B">
              <w:rPr>
                <w:rFonts w:ascii="Arial" w:eastAsia="Times New Roman" w:hAnsi="Arial" w:cs="Arial"/>
                <w:sz w:val="20"/>
                <w:szCs w:val="20"/>
              </w:rPr>
              <w:t>Continuous evolution</w:t>
            </w:r>
          </w:p>
        </w:tc>
        <w:tc>
          <w:tcPr>
            <w:tcW w:w="1562" w:type="dxa"/>
            <w:vAlign w:val="center"/>
          </w:tcPr>
          <w:p w14:paraId="3996F060" w14:textId="5ED6ABE3"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Ongoing</w:t>
            </w:r>
          </w:p>
        </w:tc>
        <w:tc>
          <w:tcPr>
            <w:tcW w:w="2664" w:type="dxa"/>
            <w:vAlign w:val="center"/>
          </w:tcPr>
          <w:p w14:paraId="6E906B10" w14:textId="491DD735"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 xml:space="preserve">Self-healing systems, </w:t>
            </w:r>
            <w:proofErr w:type="gramStart"/>
            <w:r w:rsidRPr="00C75F7B">
              <w:rPr>
                <w:rFonts w:ascii="Arial" w:eastAsia="Times New Roman" w:hAnsi="Arial" w:cs="Arial"/>
                <w:sz w:val="20"/>
                <w:szCs w:val="20"/>
              </w:rPr>
              <w:t>New</w:t>
            </w:r>
            <w:proofErr w:type="gramEnd"/>
            <w:r w:rsidRPr="00C75F7B">
              <w:rPr>
                <w:rFonts w:ascii="Arial" w:eastAsia="Times New Roman" w:hAnsi="Arial" w:cs="Arial"/>
                <w:sz w:val="20"/>
                <w:szCs w:val="20"/>
              </w:rPr>
              <w:t xml:space="preserve"> team structures, Innovation pipeline</w:t>
            </w:r>
          </w:p>
        </w:tc>
      </w:tr>
    </w:tbl>
    <w:p w14:paraId="2F5761E6" w14:textId="77777777" w:rsidR="00C75F7B" w:rsidRDefault="00C75F7B" w:rsidP="00C75F7B"/>
    <w:p w14:paraId="25A55398" w14:textId="77777777" w:rsidR="00C75F7B" w:rsidRPr="00C75F7B" w:rsidRDefault="00C75F7B" w:rsidP="00C75F7B"/>
    <w:p w14:paraId="0B9EE8D0" w14:textId="77777777" w:rsidR="00C75F7B" w:rsidRPr="00FB3A86" w:rsidRDefault="00C75F7B" w:rsidP="00441B6F">
      <w:pPr>
        <w:pStyle w:val="Appendix"/>
        <w:spacing w:after="0"/>
        <w:jc w:val="both"/>
        <w:rPr>
          <w:rFonts w:ascii="Arial" w:hAnsi="Arial" w:cs="Arial"/>
          <w:b w:val="0"/>
        </w:rPr>
        <w:sectPr w:rsidR="00C75F7B" w:rsidRPr="00FB3A86" w:rsidSect="000B1E33">
          <w:footerReference w:type="default" r:id="rId24"/>
          <w:type w:val="continuous"/>
          <w:pgSz w:w="12240" w:h="15840"/>
          <w:pgMar w:top="1440" w:right="2016" w:bottom="2016" w:left="2016" w:header="720" w:footer="1123" w:gutter="0"/>
          <w:lnNumType w:countBy="1" w:restart="continuous"/>
          <w:cols w:space="720"/>
          <w:docGrid w:linePitch="272"/>
        </w:sectPr>
      </w:pPr>
    </w:p>
    <w:p w14:paraId="6A562F81"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9079" w14:textId="77777777" w:rsidR="004E17C4" w:rsidRDefault="004E17C4" w:rsidP="00C37E61">
      <w:r>
        <w:separator/>
      </w:r>
    </w:p>
  </w:endnote>
  <w:endnote w:type="continuationSeparator" w:id="0">
    <w:p w14:paraId="354F36E7" w14:textId="77777777" w:rsidR="004E17C4" w:rsidRDefault="004E17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7695" w14:textId="77777777" w:rsidR="009E048A" w:rsidRDefault="009E048A">
    <w:pPr>
      <w:pStyle w:val="Footer"/>
      <w:rPr>
        <w:rFonts w:ascii="Arial" w:hAnsi="Arial" w:cs="Arial"/>
        <w:sz w:val="16"/>
      </w:rPr>
    </w:pPr>
  </w:p>
  <w:p w14:paraId="40AE2A2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49466A5" w14:textId="77777777" w:rsidR="009E048A" w:rsidRDefault="009E048A">
    <w:pPr>
      <w:pStyle w:val="Footer"/>
      <w:rPr>
        <w:rFonts w:ascii="Arial" w:hAnsi="Arial" w:cs="Arial"/>
        <w:sz w:val="16"/>
      </w:rPr>
    </w:pPr>
  </w:p>
  <w:p w14:paraId="7C32BC8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E5F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E264" w14:textId="77777777" w:rsidR="004E17C4" w:rsidRDefault="004E17C4" w:rsidP="00C37E61">
      <w:r>
        <w:separator/>
      </w:r>
    </w:p>
  </w:footnote>
  <w:footnote w:type="continuationSeparator" w:id="0">
    <w:p w14:paraId="57BDB4C6" w14:textId="77777777" w:rsidR="004E17C4" w:rsidRDefault="004E17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0173" w14:textId="77777777" w:rsidR="00296529" w:rsidRPr="00296529" w:rsidRDefault="00296529" w:rsidP="00296529">
    <w:pPr>
      <w:ind w:left="2160"/>
      <w:jc w:val="center"/>
      <w:rPr>
        <w:rFonts w:ascii="Times New Roman" w:eastAsia="Calibri" w:hAnsi="Times New Roman"/>
        <w:i/>
        <w:sz w:val="18"/>
        <w:szCs w:val="22"/>
      </w:rPr>
    </w:pPr>
  </w:p>
  <w:p w14:paraId="79A94CD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F62A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BFB8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04029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E351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C0AA4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622BF4"/>
    <w:multiLevelType w:val="multilevel"/>
    <w:tmpl w:val="C27E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08172A"/>
    <w:multiLevelType w:val="multilevel"/>
    <w:tmpl w:val="AAA8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B9A2B43"/>
    <w:multiLevelType w:val="multilevel"/>
    <w:tmpl w:val="D188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FE14241"/>
    <w:multiLevelType w:val="multilevel"/>
    <w:tmpl w:val="CEC0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7223B0"/>
    <w:multiLevelType w:val="multilevel"/>
    <w:tmpl w:val="BF8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6661D10"/>
    <w:multiLevelType w:val="multilevel"/>
    <w:tmpl w:val="3208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071A6A"/>
    <w:multiLevelType w:val="multilevel"/>
    <w:tmpl w:val="02BE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97ACC"/>
    <w:multiLevelType w:val="multilevel"/>
    <w:tmpl w:val="6F4E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95AB6"/>
    <w:multiLevelType w:val="multilevel"/>
    <w:tmpl w:val="A502B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E4C56"/>
    <w:multiLevelType w:val="multilevel"/>
    <w:tmpl w:val="8402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A01887"/>
    <w:multiLevelType w:val="multilevel"/>
    <w:tmpl w:val="2F28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E644F"/>
    <w:multiLevelType w:val="multilevel"/>
    <w:tmpl w:val="E9B2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326FC9"/>
    <w:multiLevelType w:val="multilevel"/>
    <w:tmpl w:val="67FA5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467404"/>
    <w:multiLevelType w:val="multilevel"/>
    <w:tmpl w:val="2832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362BB4"/>
    <w:multiLevelType w:val="multilevel"/>
    <w:tmpl w:val="B71AF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304407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5257092">
    <w:abstractNumId w:val="26"/>
  </w:num>
  <w:num w:numId="3" w16cid:durableId="1026637922">
    <w:abstractNumId w:val="37"/>
  </w:num>
  <w:num w:numId="4" w16cid:durableId="82582082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82206076">
    <w:abstractNumId w:val="9"/>
  </w:num>
  <w:num w:numId="6" w16cid:durableId="1370954336">
    <w:abstractNumId w:val="7"/>
  </w:num>
  <w:num w:numId="7" w16cid:durableId="413433553">
    <w:abstractNumId w:val="1"/>
  </w:num>
  <w:num w:numId="8" w16cid:durableId="1699355556">
    <w:abstractNumId w:val="17"/>
  </w:num>
  <w:num w:numId="9" w16cid:durableId="224798394">
    <w:abstractNumId w:val="40"/>
  </w:num>
  <w:num w:numId="10" w16cid:durableId="1623615646">
    <w:abstractNumId w:val="2"/>
  </w:num>
  <w:num w:numId="11" w16cid:durableId="379793782">
    <w:abstractNumId w:val="31"/>
  </w:num>
  <w:num w:numId="12" w16cid:durableId="2053990638">
    <w:abstractNumId w:val="3"/>
  </w:num>
  <w:num w:numId="13" w16cid:durableId="2090231352">
    <w:abstractNumId w:val="29"/>
  </w:num>
  <w:num w:numId="14" w16cid:durableId="311567359">
    <w:abstractNumId w:val="11"/>
  </w:num>
  <w:num w:numId="15" w16cid:durableId="1658878471">
    <w:abstractNumId w:val="34"/>
  </w:num>
  <w:num w:numId="16" w16cid:durableId="819929939">
    <w:abstractNumId w:val="5"/>
  </w:num>
  <w:num w:numId="17" w16cid:durableId="2093046203">
    <w:abstractNumId w:val="35"/>
  </w:num>
  <w:num w:numId="18" w16cid:durableId="1080638090">
    <w:abstractNumId w:val="19"/>
  </w:num>
  <w:num w:numId="19" w16cid:durableId="890919322">
    <w:abstractNumId w:val="43"/>
  </w:num>
  <w:num w:numId="20" w16cid:durableId="1654527282">
    <w:abstractNumId w:val="16"/>
  </w:num>
  <w:num w:numId="21" w16cid:durableId="1931114431">
    <w:abstractNumId w:val="13"/>
  </w:num>
  <w:num w:numId="22" w16cid:durableId="1525172179">
    <w:abstractNumId w:val="18"/>
  </w:num>
  <w:num w:numId="23" w16cid:durableId="592710709">
    <w:abstractNumId w:val="32"/>
  </w:num>
  <w:num w:numId="24" w16cid:durableId="1719234385">
    <w:abstractNumId w:val="41"/>
  </w:num>
  <w:num w:numId="25" w16cid:durableId="16778442">
    <w:abstractNumId w:val="4"/>
  </w:num>
  <w:num w:numId="26" w16cid:durableId="1248422207">
    <w:abstractNumId w:val="27"/>
  </w:num>
  <w:num w:numId="27" w16cid:durableId="1450468253">
    <w:abstractNumId w:val="33"/>
  </w:num>
  <w:num w:numId="28" w16cid:durableId="1280061926">
    <w:abstractNumId w:val="42"/>
  </w:num>
  <w:num w:numId="29" w16cid:durableId="735586776">
    <w:abstractNumId w:val="39"/>
  </w:num>
  <w:num w:numId="30" w16cid:durableId="1141773925">
    <w:abstractNumId w:val="15"/>
  </w:num>
  <w:num w:numId="31" w16cid:durableId="1342507406">
    <w:abstractNumId w:val="10"/>
  </w:num>
  <w:num w:numId="32" w16cid:durableId="879241723">
    <w:abstractNumId w:val="25"/>
  </w:num>
  <w:num w:numId="33" w16cid:durableId="880947163">
    <w:abstractNumId w:val="24"/>
  </w:num>
  <w:num w:numId="34" w16cid:durableId="2010668348">
    <w:abstractNumId w:val="12"/>
  </w:num>
  <w:num w:numId="35" w16cid:durableId="859930417">
    <w:abstractNumId w:val="14"/>
  </w:num>
  <w:num w:numId="36" w16cid:durableId="935750795">
    <w:abstractNumId w:val="21"/>
  </w:num>
  <w:num w:numId="37" w16cid:durableId="545678578">
    <w:abstractNumId w:val="28"/>
  </w:num>
  <w:num w:numId="38" w16cid:durableId="779760162">
    <w:abstractNumId w:val="30"/>
  </w:num>
  <w:num w:numId="39" w16cid:durableId="1939294303">
    <w:abstractNumId w:val="38"/>
  </w:num>
  <w:num w:numId="40" w16cid:durableId="128323023">
    <w:abstractNumId w:val="22"/>
  </w:num>
  <w:num w:numId="41" w16cid:durableId="2092651771">
    <w:abstractNumId w:val="36"/>
  </w:num>
  <w:num w:numId="42" w16cid:durableId="1874415401">
    <w:abstractNumId w:val="23"/>
  </w:num>
  <w:num w:numId="43" w16cid:durableId="1128469059">
    <w:abstractNumId w:val="8"/>
  </w:num>
  <w:num w:numId="44" w16cid:durableId="1500731717">
    <w:abstractNumId w:val="6"/>
  </w:num>
  <w:num w:numId="45" w16cid:durableId="19540900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56DC"/>
    <w:rsid w:val="00315186"/>
    <w:rsid w:val="0033343E"/>
    <w:rsid w:val="003512C2"/>
    <w:rsid w:val="00371FB6"/>
    <w:rsid w:val="003763C1"/>
    <w:rsid w:val="00376BBE"/>
    <w:rsid w:val="0039224F"/>
    <w:rsid w:val="003968BF"/>
    <w:rsid w:val="003A43A4"/>
    <w:rsid w:val="003A7E18"/>
    <w:rsid w:val="003C4C86"/>
    <w:rsid w:val="003C6258"/>
    <w:rsid w:val="003E2904"/>
    <w:rsid w:val="003F0F42"/>
    <w:rsid w:val="00401927"/>
    <w:rsid w:val="0041027F"/>
    <w:rsid w:val="00412475"/>
    <w:rsid w:val="00423789"/>
    <w:rsid w:val="00440F43"/>
    <w:rsid w:val="00441B6F"/>
    <w:rsid w:val="00446221"/>
    <w:rsid w:val="00450E62"/>
    <w:rsid w:val="004539DB"/>
    <w:rsid w:val="00471A80"/>
    <w:rsid w:val="004922BC"/>
    <w:rsid w:val="004A3269"/>
    <w:rsid w:val="004D305E"/>
    <w:rsid w:val="004D4277"/>
    <w:rsid w:val="004E17C4"/>
    <w:rsid w:val="00502516"/>
    <w:rsid w:val="00505F06"/>
    <w:rsid w:val="00506828"/>
    <w:rsid w:val="0053056E"/>
    <w:rsid w:val="00554FDA"/>
    <w:rsid w:val="00573968"/>
    <w:rsid w:val="00586097"/>
    <w:rsid w:val="005C784C"/>
    <w:rsid w:val="005D17F6"/>
    <w:rsid w:val="005E5539"/>
    <w:rsid w:val="005F1929"/>
    <w:rsid w:val="00602BF5"/>
    <w:rsid w:val="00613A23"/>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B6ED7"/>
    <w:rsid w:val="007D2288"/>
    <w:rsid w:val="007D3173"/>
    <w:rsid w:val="007E088F"/>
    <w:rsid w:val="007F00B6"/>
    <w:rsid w:val="007F7B32"/>
    <w:rsid w:val="00804BC2"/>
    <w:rsid w:val="0081431A"/>
    <w:rsid w:val="0083216F"/>
    <w:rsid w:val="00860000"/>
    <w:rsid w:val="00863BD3"/>
    <w:rsid w:val="008641ED"/>
    <w:rsid w:val="00866D66"/>
    <w:rsid w:val="008671C6"/>
    <w:rsid w:val="00875803"/>
    <w:rsid w:val="008B459E"/>
    <w:rsid w:val="008C233B"/>
    <w:rsid w:val="008E13AE"/>
    <w:rsid w:val="008E1506"/>
    <w:rsid w:val="008E710C"/>
    <w:rsid w:val="008F69D6"/>
    <w:rsid w:val="00902823"/>
    <w:rsid w:val="00915CA6"/>
    <w:rsid w:val="00927834"/>
    <w:rsid w:val="00946B69"/>
    <w:rsid w:val="009500A6"/>
    <w:rsid w:val="00957C18"/>
    <w:rsid w:val="009659BA"/>
    <w:rsid w:val="0097151B"/>
    <w:rsid w:val="00983040"/>
    <w:rsid w:val="00994159"/>
    <w:rsid w:val="009B3FB9"/>
    <w:rsid w:val="009C2465"/>
    <w:rsid w:val="009D35A0"/>
    <w:rsid w:val="009D7EB7"/>
    <w:rsid w:val="009E048A"/>
    <w:rsid w:val="009E08E9"/>
    <w:rsid w:val="009E3DB9"/>
    <w:rsid w:val="009E6E35"/>
    <w:rsid w:val="009F0EDA"/>
    <w:rsid w:val="00A03B96"/>
    <w:rsid w:val="00A05B19"/>
    <w:rsid w:val="00A1134E"/>
    <w:rsid w:val="00A244DB"/>
    <w:rsid w:val="00A24E7E"/>
    <w:rsid w:val="00A258C3"/>
    <w:rsid w:val="00A347C0"/>
    <w:rsid w:val="00A51431"/>
    <w:rsid w:val="00A539AD"/>
    <w:rsid w:val="00A57DB2"/>
    <w:rsid w:val="00A94063"/>
    <w:rsid w:val="00AA6219"/>
    <w:rsid w:val="00AA74E0"/>
    <w:rsid w:val="00AB703F"/>
    <w:rsid w:val="00AC6BB8"/>
    <w:rsid w:val="00AE008F"/>
    <w:rsid w:val="00B01FCD"/>
    <w:rsid w:val="00B1776C"/>
    <w:rsid w:val="00B50074"/>
    <w:rsid w:val="00B52583"/>
    <w:rsid w:val="00B52896"/>
    <w:rsid w:val="00B95236"/>
    <w:rsid w:val="00B96BD9"/>
    <w:rsid w:val="00BA1B01"/>
    <w:rsid w:val="00BA2641"/>
    <w:rsid w:val="00BB2499"/>
    <w:rsid w:val="00BB37AA"/>
    <w:rsid w:val="00BC53A0"/>
    <w:rsid w:val="00BE62AD"/>
    <w:rsid w:val="00BF121F"/>
    <w:rsid w:val="00BF1F80"/>
    <w:rsid w:val="00C166EF"/>
    <w:rsid w:val="00C17EB0"/>
    <w:rsid w:val="00C27F5F"/>
    <w:rsid w:val="00C30A0F"/>
    <w:rsid w:val="00C375F3"/>
    <w:rsid w:val="00C37E61"/>
    <w:rsid w:val="00C70F1B"/>
    <w:rsid w:val="00C71A47"/>
    <w:rsid w:val="00C7464C"/>
    <w:rsid w:val="00C75F7B"/>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4398"/>
    <w:rsid w:val="00E15994"/>
    <w:rsid w:val="00E3114E"/>
    <w:rsid w:val="00E31A70"/>
    <w:rsid w:val="00E34F2C"/>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60A9"/>
    <w:rsid w:val="00F77D02"/>
    <w:rsid w:val="00F846F9"/>
    <w:rsid w:val="00FB3A86"/>
    <w:rsid w:val="00FD36C8"/>
    <w:rsid w:val="00FD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023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75F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75F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C75F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75F7B"/>
    <w:rPr>
      <w:rFonts w:asciiTheme="majorHAnsi" w:eastAsiaTheme="majorEastAsia" w:hAnsiTheme="majorHAnsi" w:cstheme="majorBidi"/>
      <w:color w:val="243F60" w:themeColor="accent1" w:themeShade="7F"/>
      <w:sz w:val="24"/>
      <w:szCs w:val="24"/>
    </w:rPr>
  </w:style>
  <w:style w:type="paragraph" w:customStyle="1" w:styleId="whitespace-pre-wrap">
    <w:name w:val="whitespace-pre-wrap"/>
    <w:basedOn w:val="Normal"/>
    <w:rsid w:val="00C75F7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75F7B"/>
    <w:rPr>
      <w:b/>
      <w:bCs/>
    </w:rPr>
  </w:style>
  <w:style w:type="paragraph" w:customStyle="1" w:styleId="whitespace-normal">
    <w:name w:val="whitespace-normal"/>
    <w:basedOn w:val="Normal"/>
    <w:rsid w:val="00C75F7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083232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49172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5058836">
      <w:bodyDiv w:val="1"/>
      <w:marLeft w:val="0"/>
      <w:marRight w:val="0"/>
      <w:marTop w:val="0"/>
      <w:marBottom w:val="0"/>
      <w:divBdr>
        <w:top w:val="none" w:sz="0" w:space="0" w:color="auto"/>
        <w:left w:val="none" w:sz="0" w:space="0" w:color="auto"/>
        <w:bottom w:val="none" w:sz="0" w:space="0" w:color="auto"/>
        <w:right w:val="none" w:sz="0" w:space="0" w:color="auto"/>
      </w:divBdr>
    </w:div>
    <w:div w:id="82446672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1261390">
      <w:bodyDiv w:val="1"/>
      <w:marLeft w:val="0"/>
      <w:marRight w:val="0"/>
      <w:marTop w:val="0"/>
      <w:marBottom w:val="0"/>
      <w:divBdr>
        <w:top w:val="none" w:sz="0" w:space="0" w:color="auto"/>
        <w:left w:val="none" w:sz="0" w:space="0" w:color="auto"/>
        <w:bottom w:val="none" w:sz="0" w:space="0" w:color="auto"/>
        <w:right w:val="none" w:sz="0" w:space="0" w:color="auto"/>
      </w:divBdr>
    </w:div>
    <w:div w:id="1217470331">
      <w:bodyDiv w:val="1"/>
      <w:marLeft w:val="0"/>
      <w:marRight w:val="0"/>
      <w:marTop w:val="0"/>
      <w:marBottom w:val="0"/>
      <w:divBdr>
        <w:top w:val="none" w:sz="0" w:space="0" w:color="auto"/>
        <w:left w:val="none" w:sz="0" w:space="0" w:color="auto"/>
        <w:bottom w:val="none" w:sz="0" w:space="0" w:color="auto"/>
        <w:right w:val="none" w:sz="0" w:space="0" w:color="auto"/>
      </w:divBdr>
    </w:div>
    <w:div w:id="1233665165">
      <w:bodyDiv w:val="1"/>
      <w:marLeft w:val="0"/>
      <w:marRight w:val="0"/>
      <w:marTop w:val="0"/>
      <w:marBottom w:val="0"/>
      <w:divBdr>
        <w:top w:val="none" w:sz="0" w:space="0" w:color="auto"/>
        <w:left w:val="none" w:sz="0" w:space="0" w:color="auto"/>
        <w:bottom w:val="none" w:sz="0" w:space="0" w:color="auto"/>
        <w:right w:val="none" w:sz="0" w:space="0" w:color="auto"/>
      </w:divBdr>
    </w:div>
    <w:div w:id="1675187736">
      <w:bodyDiv w:val="1"/>
      <w:marLeft w:val="0"/>
      <w:marRight w:val="0"/>
      <w:marTop w:val="0"/>
      <w:marBottom w:val="0"/>
      <w:divBdr>
        <w:top w:val="none" w:sz="0" w:space="0" w:color="auto"/>
        <w:left w:val="none" w:sz="0" w:space="0" w:color="auto"/>
        <w:bottom w:val="none" w:sz="0" w:space="0" w:color="auto"/>
        <w:right w:val="none" w:sz="0" w:space="0" w:color="auto"/>
      </w:divBdr>
    </w:div>
    <w:div w:id="17006604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42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oud.google.com/architecture/implementing-sre-practices-with-google-cloud-operations-suite" TargetMode="External"/><Relationship Id="rId18" Type="http://schemas.openxmlformats.org/officeDocument/2006/relationships/hyperlink" Target="https://www.researchgate.net/publication/364250363_Cloud-Native_Computing_How_to_Design_Develop_and_Secure_Microservices_and_Event-Driven_Applications?_tp=eyJjb250ZXh0Ijp7ImZpcnN0UGFnZSI6InB1YmxpY2F0aW9uIiwicGFnZSI6InB1YmxpY2F0aW9uIn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esearchgate.net/publication/356829787_Monitoring_solution_for_cloud-native_DevSecOps" TargetMode="External"/><Relationship Id="rId7" Type="http://schemas.openxmlformats.org/officeDocument/2006/relationships/endnotes" Target="endnotes.xml"/><Relationship Id="rId12" Type="http://schemas.openxmlformats.org/officeDocument/2006/relationships/hyperlink" Target="https://www.gartner.com/en/information-technology/glossary/aiops-artificial-intelligence-operations" TargetMode="External"/><Relationship Id="rId17" Type="http://schemas.openxmlformats.org/officeDocument/2006/relationships/hyperlink" Target="https://www.researchgate.net/publication/365105997_Design_and_Practice_of_DevOps_Platform_via_Cloud_Native_Technology?_tp=eyJjb250ZXh0Ijp7ImZpcnN0UGFnZSI6InB1YmxpY2F0aW9uIiwicGFnZSI6InB1YmxpY2F0aW9uIn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66907981_A_fault_injection_platform_for_learning_AIOps_models?_tp=eyJjb250ZXh0Ijp7ImZpcnN0UGFnZSI6InB1YmxpY2F0aW9uIiwicGFnZSI6InB1YmxpY2F0aW9uIn19" TargetMode="External"/><Relationship Id="rId20" Type="http://schemas.openxmlformats.org/officeDocument/2006/relationships/hyperlink" Target="https://www.researchgate.net/publication/362104786_A_solution_on_cloud_and_digital_transformation_for_IT_system_using_DevOps_yundao_platform?_tp=eyJjb250ZXh0Ijp7ImZpcnN0UGFnZSI6InB1YmxpY2F0aW9uIiwicGFnZSI6InB1YmxpY2F0aW9uIn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devops/state-of-devop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searchgate.net/publication/357445442_To_understand_the_relationship_between_Machine_learning_and_Artificial_intelligence_in_large_and_diversified_business_organisations?_tp=eyJjb250ZXh0Ijp7ImZpcnN0UGFnZSI6InB1YmxpY2F0aW9uIiwicGFnZSI6InB1YmxpY2F0aW9uIn19" TargetMode="External"/><Relationship Id="rId23" Type="http://schemas.openxmlformats.org/officeDocument/2006/relationships/hyperlink" Target="https://www.researchgate.net/publication/347589746_Towards_intelligent_incident_management_why_we_need_it_and_how_we_make_it?_tp=eyJjb250ZXh0Ijp7ImZpcnN0UGFnZSI6InB1YmxpY2F0aW9uIiwicGFnZSI6InB1YmxpY2F0aW9uIn19" TargetMode="External"/><Relationship Id="rId10" Type="http://schemas.openxmlformats.org/officeDocument/2006/relationships/hyperlink" Target="https://www.oreilly.com/library/view/site-reliability-engineering/9781491929117/" TargetMode="External"/><Relationship Id="rId19" Type="http://schemas.openxmlformats.org/officeDocument/2006/relationships/hyperlink" Target="https://www.researchgate.net/publication/362159203_AIOps_Supporting_SRE_and_DevOps?_tp=eyJjb250ZXh0Ijp7ImZpcnN0UGFnZSI6InB1YmxpY2F0aW9uIiwicGFnZSI6InB1YmxpY2F0aW9uIn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oud.google.com/devops/state-of-devops/" TargetMode="External"/><Relationship Id="rId22" Type="http://schemas.openxmlformats.org/officeDocument/2006/relationships/hyperlink" Target="https://www.researchgate.net/publication/350572588_Artificial_intelligence_in_operations_management_and_supply_chain_management_an_exploratory_case_study?_tp=eyJjb250ZXh0Ijp7ImZpcnN0UGFnZSI6InB1YmxpY2F0aW9uIiwicGFnZSI6InB1YmxpY2F0aW9uIn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17</Pages>
  <Words>6731</Words>
  <Characters>38372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45013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10</cp:revision>
  <cp:lastPrinted>1999-07-06T11:00:00Z</cp:lastPrinted>
  <dcterms:created xsi:type="dcterms:W3CDTF">2025-03-21T01:44:00Z</dcterms:created>
  <dcterms:modified xsi:type="dcterms:W3CDTF">2025-03-24T11:06:00Z</dcterms:modified>
</cp:coreProperties>
</file>