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A76EC" w14:textId="74513FF5" w:rsidR="00091450" w:rsidRDefault="007A20DF" w:rsidP="00C06920">
      <w:pPr>
        <w:spacing w:before="320" w:line="240" w:lineRule="auto"/>
        <w:jc w:val="center"/>
        <w:rPr>
          <w:rFonts w:ascii="Times New Roman" w:hAnsi="Times New Roman" w:cs="Times New Roman"/>
          <w:b/>
          <w:sz w:val="36"/>
          <w:szCs w:val="36"/>
        </w:rPr>
      </w:pPr>
      <w:r w:rsidRPr="00B332B1">
        <w:rPr>
          <w:rFonts w:ascii="Times New Roman" w:hAnsi="Times New Roman" w:cs="Times New Roman"/>
          <w:b/>
          <w:sz w:val="36"/>
          <w:szCs w:val="36"/>
          <w:highlight w:val="yellow"/>
        </w:rPr>
        <w:t>EXPLAINABLE A</w:t>
      </w:r>
      <w:r w:rsidR="00B332B1" w:rsidRPr="00B332B1">
        <w:rPr>
          <w:rFonts w:ascii="Times New Roman" w:hAnsi="Times New Roman" w:cs="Times New Roman"/>
          <w:b/>
          <w:sz w:val="36"/>
          <w:szCs w:val="36"/>
          <w:highlight w:val="yellow"/>
        </w:rPr>
        <w:t>I IN</w:t>
      </w:r>
      <w:r w:rsidRPr="00B332B1">
        <w:rPr>
          <w:rFonts w:ascii="Times New Roman" w:hAnsi="Times New Roman" w:cs="Times New Roman"/>
          <w:b/>
          <w:sz w:val="36"/>
          <w:szCs w:val="36"/>
          <w:highlight w:val="yellow"/>
        </w:rPr>
        <w:t xml:space="preserve"> REGULATORY COMPLIANCE</w:t>
      </w:r>
      <w:r w:rsidR="00B332B1" w:rsidRPr="00B332B1">
        <w:rPr>
          <w:rFonts w:ascii="Times New Roman" w:hAnsi="Times New Roman" w:cs="Times New Roman"/>
          <w:b/>
          <w:sz w:val="36"/>
          <w:szCs w:val="36"/>
          <w:highlight w:val="yellow"/>
        </w:rPr>
        <w:t>:</w:t>
      </w:r>
      <w:r w:rsidRPr="00B332B1">
        <w:rPr>
          <w:rFonts w:ascii="Times New Roman" w:hAnsi="Times New Roman" w:cs="Times New Roman"/>
          <w:b/>
          <w:sz w:val="36"/>
          <w:szCs w:val="36"/>
          <w:highlight w:val="yellow"/>
        </w:rPr>
        <w:t xml:space="preserve"> </w:t>
      </w:r>
      <w:r w:rsidR="00B332B1" w:rsidRPr="00B332B1">
        <w:rPr>
          <w:rFonts w:ascii="Times New Roman" w:hAnsi="Times New Roman" w:cs="Times New Roman"/>
          <w:b/>
          <w:sz w:val="36"/>
          <w:szCs w:val="36"/>
          <w:highlight w:val="yellow"/>
        </w:rPr>
        <w:t xml:space="preserve">BALANCING </w:t>
      </w:r>
      <w:r w:rsidRPr="00B332B1">
        <w:rPr>
          <w:rFonts w:ascii="Times New Roman" w:hAnsi="Times New Roman" w:cs="Times New Roman"/>
          <w:b/>
          <w:sz w:val="36"/>
          <w:szCs w:val="36"/>
          <w:highlight w:val="yellow"/>
        </w:rPr>
        <w:t>TRANSPARENCY AND PERFORMANCE</w:t>
      </w:r>
      <w:r w:rsidR="00B332B1" w:rsidRPr="00B332B1">
        <w:rPr>
          <w:rFonts w:ascii="Times New Roman" w:hAnsi="Times New Roman" w:cs="Times New Roman"/>
          <w:b/>
          <w:sz w:val="36"/>
          <w:szCs w:val="36"/>
          <w:highlight w:val="yellow"/>
        </w:rPr>
        <w:t xml:space="preserve"> IN AI DRIVEN TREASURY MANAGEMENT</w:t>
      </w:r>
    </w:p>
    <w:p w14:paraId="4F035139" w14:textId="77777777" w:rsidR="00B26725" w:rsidRPr="00B26725" w:rsidRDefault="00B26725" w:rsidP="00B26725">
      <w:pPr>
        <w:spacing w:after="0" w:line="240" w:lineRule="auto"/>
        <w:jc w:val="center"/>
        <w:rPr>
          <w:rFonts w:ascii="Helvetica" w:eastAsia="Times New Roman" w:hAnsi="Helvetica" w:cs="Times New Roman"/>
          <w:b/>
          <w:bCs/>
          <w:color w:val="000000"/>
          <w:sz w:val="14"/>
          <w:szCs w:val="14"/>
        </w:rPr>
      </w:pPr>
    </w:p>
    <w:p w14:paraId="0A813C77" w14:textId="77777777" w:rsidR="00DF7385" w:rsidRPr="00C06920" w:rsidRDefault="00DF7385" w:rsidP="00F77A51">
      <w:pPr>
        <w:rPr>
          <w:rFonts w:ascii="Times New Roman" w:hAnsi="Times New Roman" w:cs="Times New Roman"/>
          <w:b/>
          <w:sz w:val="28"/>
          <w:szCs w:val="28"/>
        </w:rPr>
      </w:pPr>
    </w:p>
    <w:p w14:paraId="201E9273" w14:textId="77777777" w:rsidR="00F77A51" w:rsidRPr="00C06920" w:rsidRDefault="00F77A51" w:rsidP="0019622A">
      <w:pPr>
        <w:spacing w:after="0" w:line="360" w:lineRule="auto"/>
        <w:jc w:val="both"/>
        <w:rPr>
          <w:rFonts w:ascii="Times New Roman" w:hAnsi="Times New Roman" w:cs="Times New Roman"/>
          <w:b/>
          <w:sz w:val="28"/>
          <w:szCs w:val="28"/>
        </w:rPr>
      </w:pPr>
      <w:r w:rsidRPr="00C06920">
        <w:rPr>
          <w:rFonts w:ascii="Times New Roman" w:hAnsi="Times New Roman" w:cs="Times New Roman"/>
          <w:b/>
          <w:sz w:val="28"/>
          <w:szCs w:val="28"/>
        </w:rPr>
        <w:t>Abstract</w:t>
      </w:r>
    </w:p>
    <w:p w14:paraId="4FE4FF3F" w14:textId="77777777" w:rsidR="00F77A51" w:rsidRPr="00C06920" w:rsidRDefault="00F77A51" w:rsidP="0019622A">
      <w:pPr>
        <w:spacing w:after="0" w:line="360" w:lineRule="auto"/>
        <w:jc w:val="both"/>
        <w:rPr>
          <w:rFonts w:ascii="Times New Roman" w:hAnsi="Times New Roman" w:cs="Times New Roman"/>
        </w:rPr>
      </w:pPr>
      <w:r w:rsidRPr="00C06920">
        <w:rPr>
          <w:rFonts w:ascii="Times New Roman" w:hAnsi="Times New Roman" w:cs="Times New Roman"/>
        </w:rPr>
        <w:t>The integration of Artificial Intelligence (AI) in financial operations has transformed treasury management by enhancing efficiency, risk assessment, and compliance processes. However, the increasing use of AI in regulatory compliance introduces a critical challenge: balancing transparency and performance. Explainable AI (XAI) has emerged as a solution to enhance interpretability, accountability, and trust in AI-driven decision-making. This article explores the role of XAI in regulatory compliance for treasury operations, addressing key challenges and trade-offs between explainability and performance. It evaluates existing frameworks, regulatory expectations, and industry best practices for implementing XAI in financial institutions. Additionally, this study highlights the impact of explainability on AI model efficiency and proposes strategies to optimize performance without compromising compliance. The findings provide valuable insights for financial professionals, regulators, and AI developers seeking to navigate the evolving landscape of AI-driven treasury management.</w:t>
      </w:r>
    </w:p>
    <w:p w14:paraId="4C5BA2B4" w14:textId="77777777" w:rsidR="00C06920" w:rsidRDefault="00C06920" w:rsidP="0019622A">
      <w:pPr>
        <w:spacing w:after="0" w:line="360" w:lineRule="auto"/>
        <w:jc w:val="both"/>
        <w:rPr>
          <w:rFonts w:ascii="Times New Roman" w:hAnsi="Times New Roman" w:cs="Times New Roman"/>
          <w:b/>
          <w:sz w:val="28"/>
          <w:szCs w:val="28"/>
        </w:rPr>
      </w:pPr>
    </w:p>
    <w:p w14:paraId="1F20F9F1" w14:textId="240AC606" w:rsidR="00F77A51" w:rsidRPr="00C06920" w:rsidRDefault="005044A9" w:rsidP="0019622A">
      <w:pPr>
        <w:spacing w:after="0" w:line="360" w:lineRule="auto"/>
        <w:jc w:val="both"/>
        <w:rPr>
          <w:rFonts w:ascii="Times New Roman" w:hAnsi="Times New Roman" w:cs="Times New Roman"/>
        </w:rPr>
      </w:pPr>
      <w:r w:rsidRPr="00C06920">
        <w:rPr>
          <w:rFonts w:ascii="Times New Roman" w:hAnsi="Times New Roman" w:cs="Times New Roman"/>
          <w:b/>
          <w:sz w:val="28"/>
          <w:szCs w:val="28"/>
        </w:rPr>
        <w:t>Keywords:</w:t>
      </w:r>
      <w:r w:rsidRPr="00C06920">
        <w:rPr>
          <w:rFonts w:ascii="Times New Roman" w:hAnsi="Times New Roman" w:cs="Times New Roman"/>
        </w:rPr>
        <w:t xml:space="preserve"> Explainable AI, regulatory compliance, treasury operations, transparency, financial risk, AI performance, accountability, financial regulations, algorithmic decision-making.</w:t>
      </w:r>
    </w:p>
    <w:p w14:paraId="5C7C6A4F" w14:textId="77777777" w:rsidR="00C06920" w:rsidRDefault="00C06920" w:rsidP="0019622A">
      <w:pPr>
        <w:spacing w:after="0" w:line="360" w:lineRule="auto"/>
        <w:jc w:val="both"/>
        <w:rPr>
          <w:rFonts w:ascii="Times New Roman" w:hAnsi="Times New Roman" w:cs="Times New Roman"/>
          <w:b/>
          <w:sz w:val="28"/>
          <w:szCs w:val="28"/>
        </w:rPr>
      </w:pPr>
    </w:p>
    <w:p w14:paraId="4F215529" w14:textId="3A1C44C3" w:rsidR="00462E59" w:rsidRPr="00C06920" w:rsidRDefault="00462E59" w:rsidP="00C06920">
      <w:pPr>
        <w:pStyle w:val="ListParagraph"/>
        <w:numPr>
          <w:ilvl w:val="0"/>
          <w:numId w:val="6"/>
        </w:numPr>
        <w:spacing w:after="0" w:line="360" w:lineRule="auto"/>
        <w:ind w:left="360"/>
        <w:jc w:val="both"/>
        <w:rPr>
          <w:rFonts w:ascii="Times New Roman" w:hAnsi="Times New Roman" w:cs="Times New Roman"/>
          <w:b/>
          <w:sz w:val="28"/>
          <w:szCs w:val="28"/>
        </w:rPr>
      </w:pPr>
      <w:r w:rsidRPr="00C06920">
        <w:rPr>
          <w:rFonts w:ascii="Times New Roman" w:hAnsi="Times New Roman" w:cs="Times New Roman"/>
          <w:b/>
          <w:sz w:val="28"/>
          <w:szCs w:val="28"/>
        </w:rPr>
        <w:t>Introduction</w:t>
      </w:r>
    </w:p>
    <w:p w14:paraId="4CCCF217" w14:textId="77777777" w:rsidR="00462E59" w:rsidRPr="00C06920" w:rsidRDefault="00462E59" w:rsidP="0019622A">
      <w:pPr>
        <w:spacing w:after="0" w:line="360" w:lineRule="auto"/>
        <w:jc w:val="both"/>
        <w:rPr>
          <w:rFonts w:ascii="Times New Roman" w:hAnsi="Times New Roman" w:cs="Times New Roman"/>
        </w:rPr>
      </w:pPr>
      <w:r w:rsidRPr="00C06920">
        <w:rPr>
          <w:rFonts w:ascii="Times New Roman" w:hAnsi="Times New Roman" w:cs="Times New Roman"/>
        </w:rPr>
        <w:t>The integration of Artificial Intelligence (AI) into treasury operations has significantly transformed financial decision-making, risk management, and regulatory compliance. AI-driven models are increasingly used to optimize cash flow, detect fraudulent transactions, and ensure adherence to financial regulations. However, the adoption of AI in treasury functions raises concerns regarding transparency, accountability, and regulatory oversight, particularly when complex machine learning models operate as "black boxes" with limited interpretability.</w:t>
      </w:r>
    </w:p>
    <w:p w14:paraId="6D704148" w14:textId="77777777" w:rsidR="00462E59" w:rsidRPr="00C06920" w:rsidRDefault="00462E59" w:rsidP="0019622A">
      <w:pPr>
        <w:spacing w:after="0" w:line="360" w:lineRule="auto"/>
        <w:jc w:val="both"/>
        <w:rPr>
          <w:rFonts w:ascii="Times New Roman" w:hAnsi="Times New Roman" w:cs="Times New Roman"/>
        </w:rPr>
      </w:pPr>
      <w:r w:rsidRPr="00C06920">
        <w:rPr>
          <w:rFonts w:ascii="Times New Roman" w:hAnsi="Times New Roman" w:cs="Times New Roman"/>
        </w:rPr>
        <w:t>Regulatory compliance in treasury operations is governed by stringent frameworks such as Basel III, International Financial Reporting Standards (IFRS), and the General Data Protection Regulation (GDPR). These frameworks require financial institutions to ensure that AI-driven decisions are explainable, auditable, and aligned with legal mandates. Explainable AI (XAI) addresses these concerns by providing transparency into AI decision-making processes, thereby enhancing trust and regulatory adherence. However, implementing XAI introduces a trade-off between model explainability and performance. Highly interpretable models may compromise predictive accuracy, whereas complex, high-performing models often lack the transparency required for compliance.</w:t>
      </w:r>
    </w:p>
    <w:p w14:paraId="06855AB3" w14:textId="77777777" w:rsidR="00C3028B" w:rsidRPr="00C06920" w:rsidRDefault="00462E59" w:rsidP="0019622A">
      <w:pPr>
        <w:spacing w:after="0" w:line="360" w:lineRule="auto"/>
        <w:jc w:val="both"/>
        <w:rPr>
          <w:rFonts w:ascii="Times New Roman" w:hAnsi="Times New Roman" w:cs="Times New Roman"/>
        </w:rPr>
      </w:pPr>
      <w:r w:rsidRPr="00C06920">
        <w:rPr>
          <w:rFonts w:ascii="Times New Roman" w:hAnsi="Times New Roman" w:cs="Times New Roman"/>
        </w:rPr>
        <w:t xml:space="preserve">This article explores the role of XAI in regulatory compliance for treasury operations, highlighting the challenges and trade-offs between transparency and AI performance. It evaluates existing regulatory expectations, industry best practices, and strategies for optimizing AI models to maintain both efficiency and compliance. By providing insights </w:t>
      </w:r>
      <w:r w:rsidRPr="00C06920">
        <w:rPr>
          <w:rFonts w:ascii="Times New Roman" w:hAnsi="Times New Roman" w:cs="Times New Roman"/>
        </w:rPr>
        <w:lastRenderedPageBreak/>
        <w:t>into balancing these factors, this study aims to guide financial institutions, regulators, and AI developers in enhancing the responsible adoption of AI in treasury management.</w:t>
      </w:r>
    </w:p>
    <w:p w14:paraId="44F53BF3" w14:textId="77777777" w:rsidR="00F272D0" w:rsidRPr="00C06920" w:rsidRDefault="00F272D0" w:rsidP="0019622A">
      <w:pPr>
        <w:spacing w:after="0" w:line="360" w:lineRule="auto"/>
        <w:jc w:val="both"/>
        <w:rPr>
          <w:rFonts w:ascii="Times New Roman" w:hAnsi="Times New Roman" w:cs="Times New Roman"/>
          <w:b/>
          <w:sz w:val="28"/>
          <w:szCs w:val="28"/>
        </w:rPr>
      </w:pPr>
      <w:r w:rsidRPr="00C06920">
        <w:rPr>
          <w:rFonts w:ascii="Times New Roman" w:hAnsi="Times New Roman" w:cs="Times New Roman"/>
          <w:b/>
          <w:sz w:val="28"/>
          <w:szCs w:val="28"/>
        </w:rPr>
        <w:t>2. Literature Review</w:t>
      </w:r>
    </w:p>
    <w:p w14:paraId="0F09B897" w14:textId="77777777" w:rsidR="00F272D0" w:rsidRPr="00C06920" w:rsidRDefault="00F272D0"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2.1. AI in Treasury Operations</w:t>
      </w:r>
    </w:p>
    <w:p w14:paraId="02FB2E22" w14:textId="77777777" w:rsidR="00F272D0" w:rsidRPr="00C06920" w:rsidRDefault="00F272D0" w:rsidP="0019622A">
      <w:pPr>
        <w:spacing w:after="0" w:line="360" w:lineRule="auto"/>
        <w:jc w:val="both"/>
        <w:rPr>
          <w:rFonts w:ascii="Times New Roman" w:hAnsi="Times New Roman" w:cs="Times New Roman"/>
        </w:rPr>
      </w:pPr>
      <w:r w:rsidRPr="00C06920">
        <w:rPr>
          <w:rFonts w:ascii="Times New Roman" w:hAnsi="Times New Roman" w:cs="Times New Roman"/>
        </w:rPr>
        <w:t>Artificial Intelligence (AI) has reshaped treasury operations by enhancing decision-making, risk assessment, and regulatory compliance. Financial institutions use AI-driven models to optimize cash flow forecasting, detect fraudulent transactions, and ensure compliance with complex financial regulations. Machine learning (ML) algorithms, particularly deep learning and predictive analytics, process vast financial datasets to improve liquidity management, automate reporting, and enhance risk mitigation.</w:t>
      </w:r>
    </w:p>
    <w:p w14:paraId="79258772" w14:textId="77777777" w:rsidR="00D256BD" w:rsidRDefault="00F272D0" w:rsidP="0019622A">
      <w:pPr>
        <w:spacing w:after="0" w:line="360" w:lineRule="auto"/>
        <w:jc w:val="both"/>
        <w:rPr>
          <w:rFonts w:ascii="Times New Roman" w:hAnsi="Times New Roman" w:cs="Times New Roman"/>
        </w:rPr>
      </w:pPr>
      <w:r w:rsidRPr="00C06920">
        <w:rPr>
          <w:rFonts w:ascii="Times New Roman" w:hAnsi="Times New Roman" w:cs="Times New Roman"/>
        </w:rPr>
        <w:t>Despite these advantages, AI adoption in treasury operations raises concerns about interpretability. Black-box AI models, particularly deep neural networks, lack transparency, making it difficult for regulators and financial professionals to validate AI-generated decisions. This opacity complicates compliance efforts, as financial institutions must demonstrate how AI models align with regulatory frameworks.</w:t>
      </w:r>
    </w:p>
    <w:p w14:paraId="41E120DD" w14:textId="77777777" w:rsidR="00C06920" w:rsidRPr="00C06920" w:rsidRDefault="00C06920" w:rsidP="0019622A">
      <w:pPr>
        <w:spacing w:after="0" w:line="360" w:lineRule="auto"/>
        <w:jc w:val="both"/>
        <w:rPr>
          <w:rFonts w:ascii="Times New Roman" w:hAnsi="Times New Roman" w:cs="Times New Roman"/>
        </w:rPr>
      </w:pPr>
    </w:p>
    <w:p w14:paraId="2FCA09FE" w14:textId="77777777" w:rsidR="00287CA5" w:rsidRPr="00C06920" w:rsidRDefault="00287CA5"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2.2. Regulatory Compliance in Treasury Operations</w:t>
      </w:r>
    </w:p>
    <w:p w14:paraId="74EE1D20" w14:textId="77777777" w:rsidR="00CD1AB3" w:rsidRPr="00C06920" w:rsidRDefault="00CD1AB3" w:rsidP="0019622A">
      <w:pPr>
        <w:pStyle w:val="NormalWeb"/>
        <w:spacing w:before="0" w:beforeAutospacing="0" w:after="0" w:afterAutospacing="0" w:line="360" w:lineRule="auto"/>
        <w:jc w:val="both"/>
        <w:rPr>
          <w:sz w:val="22"/>
          <w:szCs w:val="22"/>
        </w:rPr>
      </w:pPr>
      <w:r w:rsidRPr="00C06920">
        <w:rPr>
          <w:sz w:val="22"/>
          <w:szCs w:val="22"/>
        </w:rPr>
        <w:t>Financial regulations mandate transparency and accountability in AI-driven decision-making, particularly in treasury operations where regulatory scrutiny is high. Key regulatory frameworks such as Basel III, IFRS, and GDPR require financial institutions to justify AI-driven financial decisions, particularly in risk-sensitive areas such as credit assessments, fraud detection, and liquidity management.</w:t>
      </w:r>
    </w:p>
    <w:p w14:paraId="6DE05C3E" w14:textId="77777777" w:rsidR="0023077E" w:rsidRPr="00C06920" w:rsidRDefault="0023077E" w:rsidP="009F59A7">
      <w:pPr>
        <w:pStyle w:val="NormalWeb"/>
        <w:spacing w:before="0" w:beforeAutospacing="0" w:after="0" w:afterAutospacing="0" w:line="360" w:lineRule="auto"/>
        <w:jc w:val="center"/>
        <w:rPr>
          <w:sz w:val="22"/>
          <w:szCs w:val="22"/>
        </w:rPr>
      </w:pPr>
      <w:r w:rsidRPr="00C06920">
        <w:rPr>
          <w:noProof/>
          <w:sz w:val="22"/>
          <w:szCs w:val="22"/>
        </w:rPr>
        <w:drawing>
          <wp:inline distT="0" distB="0" distL="0" distR="0" wp14:anchorId="02C05703" wp14:editId="27D6B62E">
            <wp:extent cx="4886325" cy="285698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L (1).png"/>
                    <pic:cNvPicPr/>
                  </pic:nvPicPr>
                  <pic:blipFill>
                    <a:blip r:embed="rId5">
                      <a:extLst>
                        <a:ext uri="{28A0092B-C50C-407E-A947-70E740481C1C}">
                          <a14:useLocalDpi xmlns:a14="http://schemas.microsoft.com/office/drawing/2010/main" val="0"/>
                        </a:ext>
                      </a:extLst>
                    </a:blip>
                    <a:stretch>
                      <a:fillRect/>
                    </a:stretch>
                  </pic:blipFill>
                  <pic:spPr>
                    <a:xfrm>
                      <a:off x="0" y="0"/>
                      <a:ext cx="4891752" cy="2860160"/>
                    </a:xfrm>
                    <a:prstGeom prst="rect">
                      <a:avLst/>
                    </a:prstGeom>
                  </pic:spPr>
                </pic:pic>
              </a:graphicData>
            </a:graphic>
          </wp:inline>
        </w:drawing>
      </w:r>
    </w:p>
    <w:p w14:paraId="533FADE2" w14:textId="77777777" w:rsidR="0023077E" w:rsidRPr="00C06920" w:rsidRDefault="0023077E" w:rsidP="009F59A7">
      <w:pPr>
        <w:pStyle w:val="NormalWeb"/>
        <w:spacing w:before="0" w:beforeAutospacing="0" w:after="0" w:afterAutospacing="0" w:line="360" w:lineRule="auto"/>
        <w:jc w:val="center"/>
        <w:rPr>
          <w:sz w:val="22"/>
          <w:szCs w:val="22"/>
        </w:rPr>
      </w:pPr>
      <w:r w:rsidRPr="00C06920">
        <w:rPr>
          <w:sz w:val="22"/>
          <w:szCs w:val="22"/>
        </w:rPr>
        <w:t>Fig 1. Regulatory Compliance in Finance</w:t>
      </w:r>
    </w:p>
    <w:p w14:paraId="4CFE9E94" w14:textId="77777777" w:rsidR="00CD1AB3" w:rsidRDefault="00CD1AB3" w:rsidP="0019622A">
      <w:pPr>
        <w:pStyle w:val="NormalWeb"/>
        <w:spacing w:before="0" w:beforeAutospacing="0" w:after="0" w:afterAutospacing="0" w:line="360" w:lineRule="auto"/>
        <w:jc w:val="both"/>
        <w:rPr>
          <w:sz w:val="22"/>
          <w:szCs w:val="22"/>
        </w:rPr>
      </w:pPr>
      <w:r w:rsidRPr="00C06920">
        <w:rPr>
          <w:sz w:val="22"/>
          <w:szCs w:val="22"/>
        </w:rPr>
        <w:t>Regulatory bodies, including the Financial Stability Board (FSB) and the European Banking Authority (EBA), emphasize the need for AI models to be interpretable and auditable. Failure to meet compliance standards can result in financial penalties, reputational damage, and increased regulatory oversight. The challenge lies in balancing regulatory expectations with the efficiency gains offered by AI-driven automation.</w:t>
      </w:r>
    </w:p>
    <w:p w14:paraId="1CABED27" w14:textId="77777777" w:rsidR="00C06920" w:rsidRDefault="00C06920" w:rsidP="0019622A">
      <w:pPr>
        <w:pStyle w:val="NormalWeb"/>
        <w:spacing w:before="0" w:beforeAutospacing="0" w:after="0" w:afterAutospacing="0" w:line="360" w:lineRule="auto"/>
        <w:jc w:val="both"/>
        <w:rPr>
          <w:sz w:val="22"/>
          <w:szCs w:val="22"/>
        </w:rPr>
      </w:pPr>
    </w:p>
    <w:p w14:paraId="76C1D0DE" w14:textId="77777777" w:rsidR="00C06920" w:rsidRPr="00C06920" w:rsidRDefault="00C06920" w:rsidP="0019622A">
      <w:pPr>
        <w:pStyle w:val="NormalWeb"/>
        <w:spacing w:before="0" w:beforeAutospacing="0" w:after="0" w:afterAutospacing="0" w:line="360" w:lineRule="auto"/>
        <w:jc w:val="both"/>
        <w:rPr>
          <w:sz w:val="22"/>
          <w:szCs w:val="22"/>
        </w:rPr>
      </w:pPr>
    </w:p>
    <w:p w14:paraId="5F1667AF" w14:textId="77777777" w:rsidR="00287CA5" w:rsidRPr="00C06920" w:rsidRDefault="00CD1AB3" w:rsidP="0019622A">
      <w:pPr>
        <w:spacing w:after="0" w:line="360" w:lineRule="auto"/>
        <w:jc w:val="both"/>
        <w:rPr>
          <w:rFonts w:ascii="Times New Roman" w:eastAsia="Times New Roman" w:hAnsi="Times New Roman" w:cs="Times New Roman"/>
          <w:b/>
        </w:rPr>
      </w:pPr>
      <w:r w:rsidRPr="00C06920">
        <w:rPr>
          <w:rFonts w:ascii="Times New Roman" w:eastAsia="Times New Roman" w:hAnsi="Times New Roman" w:cs="Times New Roman"/>
          <w:b/>
        </w:rPr>
        <w:lastRenderedPageBreak/>
        <w:t xml:space="preserve">Table 1. </w:t>
      </w:r>
      <w:r w:rsidR="00287CA5" w:rsidRPr="00C06920">
        <w:rPr>
          <w:rFonts w:ascii="Times New Roman" w:eastAsia="Times New Roman" w:hAnsi="Times New Roman" w:cs="Times New Roman"/>
          <w:b/>
        </w:rPr>
        <w:t>Regulatory compliance in treasury operations is governed by stringent global frameworks</w:t>
      </w:r>
    </w:p>
    <w:tbl>
      <w:tblPr>
        <w:tblStyle w:val="TableGridLight"/>
        <w:tblW w:w="0" w:type="auto"/>
        <w:tblLook w:val="04A0" w:firstRow="1" w:lastRow="0" w:firstColumn="1" w:lastColumn="0" w:noHBand="0" w:noVBand="1"/>
      </w:tblPr>
      <w:tblGrid>
        <w:gridCol w:w="1243"/>
        <w:gridCol w:w="2843"/>
        <w:gridCol w:w="6343"/>
      </w:tblGrid>
      <w:tr w:rsidR="00287CA5" w:rsidRPr="00C06920" w14:paraId="44FAB117" w14:textId="77777777" w:rsidTr="00287CA5">
        <w:tc>
          <w:tcPr>
            <w:tcW w:w="0" w:type="auto"/>
            <w:hideMark/>
          </w:tcPr>
          <w:p w14:paraId="79948F32" w14:textId="77777777" w:rsidR="00287CA5" w:rsidRPr="00C06920" w:rsidRDefault="00287CA5" w:rsidP="0019622A">
            <w:pPr>
              <w:spacing w:line="360" w:lineRule="auto"/>
              <w:jc w:val="both"/>
              <w:rPr>
                <w:rFonts w:ascii="Times New Roman" w:eastAsia="Times New Roman" w:hAnsi="Times New Roman" w:cs="Times New Roman"/>
                <w:b/>
                <w:bCs/>
              </w:rPr>
            </w:pPr>
            <w:r w:rsidRPr="00C06920">
              <w:rPr>
                <w:rFonts w:ascii="Times New Roman" w:eastAsia="Times New Roman" w:hAnsi="Times New Roman" w:cs="Times New Roman"/>
                <w:b/>
                <w:bCs/>
              </w:rPr>
              <w:t>Regulation</w:t>
            </w:r>
          </w:p>
        </w:tc>
        <w:tc>
          <w:tcPr>
            <w:tcW w:w="0" w:type="auto"/>
            <w:hideMark/>
          </w:tcPr>
          <w:p w14:paraId="53465D36" w14:textId="77777777" w:rsidR="00287CA5" w:rsidRPr="00C06920" w:rsidRDefault="00287CA5" w:rsidP="0019622A">
            <w:pPr>
              <w:spacing w:line="360" w:lineRule="auto"/>
              <w:jc w:val="both"/>
              <w:rPr>
                <w:rFonts w:ascii="Times New Roman" w:eastAsia="Times New Roman" w:hAnsi="Times New Roman" w:cs="Times New Roman"/>
                <w:b/>
                <w:bCs/>
              </w:rPr>
            </w:pPr>
            <w:r w:rsidRPr="00C06920">
              <w:rPr>
                <w:rFonts w:ascii="Times New Roman" w:eastAsia="Times New Roman" w:hAnsi="Times New Roman" w:cs="Times New Roman"/>
                <w:b/>
                <w:bCs/>
              </w:rPr>
              <w:t>Scope</w:t>
            </w:r>
          </w:p>
        </w:tc>
        <w:tc>
          <w:tcPr>
            <w:tcW w:w="0" w:type="auto"/>
            <w:hideMark/>
          </w:tcPr>
          <w:p w14:paraId="4D72B79C" w14:textId="77777777" w:rsidR="00287CA5" w:rsidRPr="00C06920" w:rsidRDefault="00287CA5" w:rsidP="0019622A">
            <w:pPr>
              <w:spacing w:line="360" w:lineRule="auto"/>
              <w:jc w:val="both"/>
              <w:rPr>
                <w:rFonts w:ascii="Times New Roman" w:eastAsia="Times New Roman" w:hAnsi="Times New Roman" w:cs="Times New Roman"/>
                <w:b/>
                <w:bCs/>
              </w:rPr>
            </w:pPr>
            <w:r w:rsidRPr="00C06920">
              <w:rPr>
                <w:rFonts w:ascii="Times New Roman" w:eastAsia="Times New Roman" w:hAnsi="Times New Roman" w:cs="Times New Roman"/>
                <w:b/>
                <w:bCs/>
              </w:rPr>
              <w:t>Compliance Requirement for AI</w:t>
            </w:r>
          </w:p>
        </w:tc>
      </w:tr>
      <w:tr w:rsidR="00287CA5" w:rsidRPr="00C06920" w14:paraId="02D890E1" w14:textId="77777777" w:rsidTr="00287CA5">
        <w:tc>
          <w:tcPr>
            <w:tcW w:w="0" w:type="auto"/>
            <w:hideMark/>
          </w:tcPr>
          <w:p w14:paraId="60689BE4"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b/>
                <w:bCs/>
              </w:rPr>
              <w:t>Basel III</w:t>
            </w:r>
          </w:p>
        </w:tc>
        <w:tc>
          <w:tcPr>
            <w:tcW w:w="0" w:type="auto"/>
            <w:hideMark/>
          </w:tcPr>
          <w:p w14:paraId="2831602F"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Risk management and capital adequacy</w:t>
            </w:r>
          </w:p>
        </w:tc>
        <w:tc>
          <w:tcPr>
            <w:tcW w:w="0" w:type="auto"/>
            <w:hideMark/>
          </w:tcPr>
          <w:p w14:paraId="0943A333"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Ensuring AI models used in risk assessment are interpretable and auditable</w:t>
            </w:r>
          </w:p>
        </w:tc>
      </w:tr>
      <w:tr w:rsidR="00287CA5" w:rsidRPr="00C06920" w14:paraId="3671F609" w14:textId="77777777" w:rsidTr="00287CA5">
        <w:tc>
          <w:tcPr>
            <w:tcW w:w="0" w:type="auto"/>
            <w:hideMark/>
          </w:tcPr>
          <w:p w14:paraId="493AC7CD"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b/>
                <w:bCs/>
              </w:rPr>
              <w:t>IFRS 9</w:t>
            </w:r>
          </w:p>
        </w:tc>
        <w:tc>
          <w:tcPr>
            <w:tcW w:w="0" w:type="auto"/>
            <w:hideMark/>
          </w:tcPr>
          <w:p w14:paraId="6F0FE8ED"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Financial reporting</w:t>
            </w:r>
          </w:p>
        </w:tc>
        <w:tc>
          <w:tcPr>
            <w:tcW w:w="0" w:type="auto"/>
            <w:hideMark/>
          </w:tcPr>
          <w:p w14:paraId="5067BAB1"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AI-driven credit risk models must provide explainable justifications for expected credit losses</w:t>
            </w:r>
          </w:p>
        </w:tc>
      </w:tr>
      <w:tr w:rsidR="00287CA5" w:rsidRPr="00C06920" w14:paraId="7AF33946" w14:textId="77777777" w:rsidTr="00287CA5">
        <w:tc>
          <w:tcPr>
            <w:tcW w:w="0" w:type="auto"/>
            <w:hideMark/>
          </w:tcPr>
          <w:p w14:paraId="4CF89A06"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b/>
                <w:bCs/>
              </w:rPr>
              <w:t>GDPR</w:t>
            </w:r>
          </w:p>
        </w:tc>
        <w:tc>
          <w:tcPr>
            <w:tcW w:w="0" w:type="auto"/>
            <w:hideMark/>
          </w:tcPr>
          <w:p w14:paraId="7839C173"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Data privacy and protection</w:t>
            </w:r>
          </w:p>
        </w:tc>
        <w:tc>
          <w:tcPr>
            <w:tcW w:w="0" w:type="auto"/>
            <w:hideMark/>
          </w:tcPr>
          <w:p w14:paraId="5ABF60D9"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AI-based decisions affecting individuals require transparency and the right to explanation</w:t>
            </w:r>
          </w:p>
        </w:tc>
      </w:tr>
      <w:tr w:rsidR="00287CA5" w:rsidRPr="00C06920" w14:paraId="4D651A8D" w14:textId="77777777" w:rsidTr="00287CA5">
        <w:tc>
          <w:tcPr>
            <w:tcW w:w="0" w:type="auto"/>
            <w:hideMark/>
          </w:tcPr>
          <w:p w14:paraId="5FE92777"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b/>
                <w:bCs/>
              </w:rPr>
              <w:t>EU AI Act</w:t>
            </w:r>
          </w:p>
        </w:tc>
        <w:tc>
          <w:tcPr>
            <w:tcW w:w="0" w:type="auto"/>
            <w:hideMark/>
          </w:tcPr>
          <w:p w14:paraId="0E9BF5CC"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AI risk management</w:t>
            </w:r>
          </w:p>
        </w:tc>
        <w:tc>
          <w:tcPr>
            <w:tcW w:w="0" w:type="auto"/>
            <w:hideMark/>
          </w:tcPr>
          <w:p w14:paraId="1031465D"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AI models used in financial services must be interpretable and comply with risk-based categorization</w:t>
            </w:r>
          </w:p>
        </w:tc>
      </w:tr>
    </w:tbl>
    <w:p w14:paraId="3AB878FA" w14:textId="77777777" w:rsidR="009F59A7" w:rsidRDefault="00287CA5" w:rsidP="0019622A">
      <w:pPr>
        <w:spacing w:after="0" w:line="360" w:lineRule="auto"/>
        <w:jc w:val="both"/>
        <w:rPr>
          <w:rFonts w:ascii="Times New Roman" w:eastAsia="Times New Roman" w:hAnsi="Times New Roman" w:cs="Times New Roman"/>
        </w:rPr>
      </w:pPr>
      <w:r w:rsidRPr="00C06920">
        <w:rPr>
          <w:rFonts w:ascii="Times New Roman" w:eastAsia="Times New Roman" w:hAnsi="Times New Roman" w:cs="Times New Roman"/>
        </w:rPr>
        <w:t>Regulators emphasize that AI-driven decisions in financial operations must be explainable, auditable, and aligned with legal requirements. Non-compliance can result in penalties, reputational damage, and increased scrutiny from financial watchdogs.</w:t>
      </w:r>
    </w:p>
    <w:p w14:paraId="5C551203" w14:textId="77777777" w:rsidR="00C06920" w:rsidRPr="00C06920" w:rsidRDefault="00C06920" w:rsidP="0019622A">
      <w:pPr>
        <w:spacing w:after="0" w:line="360" w:lineRule="auto"/>
        <w:jc w:val="both"/>
        <w:rPr>
          <w:rFonts w:ascii="Times New Roman" w:eastAsia="Times New Roman" w:hAnsi="Times New Roman" w:cs="Times New Roman"/>
        </w:rPr>
      </w:pPr>
    </w:p>
    <w:p w14:paraId="5205DBEC" w14:textId="77777777" w:rsidR="00A712E6" w:rsidRPr="00C06920" w:rsidRDefault="00A712E6"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2.3. Explainable AI (XAI) in Finance</w:t>
      </w:r>
    </w:p>
    <w:p w14:paraId="45D2C30D" w14:textId="77777777" w:rsidR="00A712E6" w:rsidRPr="00C06920" w:rsidRDefault="00A712E6" w:rsidP="0019622A">
      <w:pPr>
        <w:spacing w:after="0" w:line="360" w:lineRule="auto"/>
        <w:jc w:val="both"/>
        <w:rPr>
          <w:rFonts w:ascii="Times New Roman" w:hAnsi="Times New Roman" w:cs="Times New Roman"/>
        </w:rPr>
      </w:pPr>
      <w:r w:rsidRPr="00C06920">
        <w:rPr>
          <w:rFonts w:ascii="Times New Roman" w:hAnsi="Times New Roman" w:cs="Times New Roman"/>
        </w:rPr>
        <w:t>Explainable AI (XAI) has emerged as a critical component in ensuring regulatory compliance and fostering trust in AI-driven financial decision-making. XAI techniques, such as SHAP (Shapley Additive Explanations), LIME (Local Interpretable Model-agnostic Explanations), and rule-based models, provide insights into how AI models generate predictions.</w:t>
      </w:r>
    </w:p>
    <w:p w14:paraId="4191AD27" w14:textId="77777777" w:rsidR="00A712E6" w:rsidRPr="00C06920" w:rsidRDefault="00A712E6" w:rsidP="0019622A">
      <w:pPr>
        <w:spacing w:after="0" w:line="360" w:lineRule="auto"/>
        <w:jc w:val="both"/>
        <w:rPr>
          <w:rFonts w:ascii="Times New Roman" w:hAnsi="Times New Roman" w:cs="Times New Roman"/>
        </w:rPr>
      </w:pPr>
      <w:r w:rsidRPr="00C06920">
        <w:rPr>
          <w:rFonts w:ascii="Times New Roman" w:hAnsi="Times New Roman" w:cs="Times New Roman"/>
        </w:rPr>
        <w:t>In the financial sector, XAI facilitates auditability, enabling regulators and treasury professionals to understand AI-driven decisions in areas such as credit scoring, liquidity forecasting, and risk modeling. The integration of explainability features enhances accountability, allowing stakeholders to assess whether AI models align with ethical and regulatory requirements.</w:t>
      </w:r>
    </w:p>
    <w:p w14:paraId="0CAC8C6F" w14:textId="77777777" w:rsidR="00287CA5" w:rsidRPr="00C06920" w:rsidRDefault="00287CA5" w:rsidP="0019622A">
      <w:pPr>
        <w:spacing w:after="0" w:line="360" w:lineRule="auto"/>
        <w:jc w:val="both"/>
        <w:rPr>
          <w:rFonts w:ascii="Times New Roman" w:hAnsi="Times New Roman" w:cs="Times New Roman"/>
        </w:rPr>
      </w:pPr>
      <w:r w:rsidRPr="00C06920">
        <w:rPr>
          <w:rFonts w:ascii="Times New Roman" w:hAnsi="Times New Roman" w:cs="Times New Roman"/>
        </w:rPr>
        <w:t>Explainable AI (XAI) enhances transparency in AI decision-making by enabling financial institutions to interpret, audit, and validate AI models. XAI techniques such as:</w:t>
      </w:r>
    </w:p>
    <w:p w14:paraId="52943AF1" w14:textId="77777777" w:rsidR="00287CA5" w:rsidRPr="00C06920" w:rsidRDefault="00287CA5" w:rsidP="0019622A">
      <w:pPr>
        <w:pStyle w:val="ListParagraph"/>
        <w:numPr>
          <w:ilvl w:val="0"/>
          <w:numId w:val="1"/>
        </w:numPr>
        <w:spacing w:after="0" w:line="360" w:lineRule="auto"/>
        <w:jc w:val="both"/>
        <w:rPr>
          <w:rFonts w:ascii="Times New Roman" w:hAnsi="Times New Roman" w:cs="Times New Roman"/>
        </w:rPr>
      </w:pPr>
      <w:r w:rsidRPr="00C06920">
        <w:rPr>
          <w:rFonts w:ascii="Times New Roman" w:hAnsi="Times New Roman" w:cs="Times New Roman"/>
          <w:b/>
        </w:rPr>
        <w:t xml:space="preserve">Shapley Additive Explanations (SHAP) </w:t>
      </w:r>
      <w:r w:rsidRPr="00C06920">
        <w:rPr>
          <w:rFonts w:ascii="Times New Roman" w:hAnsi="Times New Roman" w:cs="Times New Roman"/>
        </w:rPr>
        <w:t>– Quantifies feature importance in AI decisions.</w:t>
      </w:r>
    </w:p>
    <w:p w14:paraId="1BA6075F" w14:textId="77777777" w:rsidR="00287CA5" w:rsidRPr="00C06920" w:rsidRDefault="00287CA5" w:rsidP="0019622A">
      <w:pPr>
        <w:pStyle w:val="ListParagraph"/>
        <w:numPr>
          <w:ilvl w:val="0"/>
          <w:numId w:val="1"/>
        </w:numPr>
        <w:spacing w:after="0" w:line="360" w:lineRule="auto"/>
        <w:jc w:val="both"/>
        <w:rPr>
          <w:rFonts w:ascii="Times New Roman" w:hAnsi="Times New Roman" w:cs="Times New Roman"/>
        </w:rPr>
      </w:pPr>
      <w:r w:rsidRPr="00C06920">
        <w:rPr>
          <w:rFonts w:ascii="Times New Roman" w:hAnsi="Times New Roman" w:cs="Times New Roman"/>
          <w:b/>
        </w:rPr>
        <w:t>Local Interpretable Model-Agnostic Explanations (LIME)</w:t>
      </w:r>
      <w:r w:rsidRPr="00C06920">
        <w:rPr>
          <w:rFonts w:ascii="Times New Roman" w:hAnsi="Times New Roman" w:cs="Times New Roman"/>
        </w:rPr>
        <w:t xml:space="preserve"> – Generates interpretable approximations of complex AI models.</w:t>
      </w:r>
    </w:p>
    <w:p w14:paraId="4B75767E" w14:textId="77777777" w:rsidR="00287CA5" w:rsidRPr="00C06920" w:rsidRDefault="00287CA5" w:rsidP="0019622A">
      <w:pPr>
        <w:pStyle w:val="ListParagraph"/>
        <w:numPr>
          <w:ilvl w:val="0"/>
          <w:numId w:val="1"/>
        </w:numPr>
        <w:spacing w:after="0" w:line="360" w:lineRule="auto"/>
        <w:jc w:val="both"/>
        <w:rPr>
          <w:rFonts w:ascii="Times New Roman" w:hAnsi="Times New Roman" w:cs="Times New Roman"/>
        </w:rPr>
      </w:pPr>
      <w:r w:rsidRPr="00C06920">
        <w:rPr>
          <w:rFonts w:ascii="Times New Roman" w:hAnsi="Times New Roman" w:cs="Times New Roman"/>
          <w:b/>
        </w:rPr>
        <w:t>Rule-based Models</w:t>
      </w:r>
      <w:r w:rsidRPr="00C06920">
        <w:rPr>
          <w:rFonts w:ascii="Times New Roman" w:hAnsi="Times New Roman" w:cs="Times New Roman"/>
        </w:rPr>
        <w:t xml:space="preserve"> – Use decision trees and logic-based frameworks for inherently transparent decision-making.</w:t>
      </w:r>
    </w:p>
    <w:p w14:paraId="744F9557" w14:textId="77777777" w:rsidR="00287CA5" w:rsidRDefault="00287CA5" w:rsidP="0019622A">
      <w:pPr>
        <w:spacing w:after="0" w:line="360" w:lineRule="auto"/>
        <w:jc w:val="both"/>
        <w:rPr>
          <w:rFonts w:ascii="Times New Roman" w:hAnsi="Times New Roman" w:cs="Times New Roman"/>
        </w:rPr>
      </w:pPr>
      <w:r w:rsidRPr="00C06920">
        <w:rPr>
          <w:rFonts w:ascii="Times New Roman" w:hAnsi="Times New Roman" w:cs="Times New Roman"/>
        </w:rPr>
        <w:t>XAI plays a critical role in financial risk modeling, fraud detection, and automated regulatory reporting. It ensures AI-driven decisions are explainable to auditors, regulators, and financial professionals.</w:t>
      </w:r>
    </w:p>
    <w:p w14:paraId="2564C2FC" w14:textId="77777777" w:rsidR="00C06920" w:rsidRPr="00C06920" w:rsidRDefault="00C06920" w:rsidP="0019622A">
      <w:pPr>
        <w:spacing w:after="0" w:line="360" w:lineRule="auto"/>
        <w:jc w:val="both"/>
        <w:rPr>
          <w:rFonts w:ascii="Times New Roman" w:hAnsi="Times New Roman" w:cs="Times New Roman"/>
        </w:rPr>
      </w:pPr>
    </w:p>
    <w:p w14:paraId="2C211515" w14:textId="77777777" w:rsidR="00A712E6" w:rsidRPr="00C06920" w:rsidRDefault="005B26BB"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2.4. Trade-off b</w:t>
      </w:r>
      <w:r w:rsidR="00A712E6" w:rsidRPr="00C06920">
        <w:rPr>
          <w:rFonts w:ascii="Times New Roman" w:hAnsi="Times New Roman" w:cs="Times New Roman"/>
          <w:b/>
          <w:sz w:val="24"/>
          <w:szCs w:val="24"/>
        </w:rPr>
        <w:t>etween Transparency and Performance</w:t>
      </w:r>
    </w:p>
    <w:p w14:paraId="0C327E74" w14:textId="77777777" w:rsidR="00A712E6" w:rsidRPr="00C06920" w:rsidRDefault="00A712E6" w:rsidP="0019622A">
      <w:pPr>
        <w:spacing w:after="0" w:line="360" w:lineRule="auto"/>
        <w:jc w:val="both"/>
        <w:rPr>
          <w:rFonts w:ascii="Times New Roman" w:hAnsi="Times New Roman" w:cs="Times New Roman"/>
        </w:rPr>
      </w:pPr>
      <w:r w:rsidRPr="00C06920">
        <w:rPr>
          <w:rFonts w:ascii="Times New Roman" w:hAnsi="Times New Roman" w:cs="Times New Roman"/>
        </w:rPr>
        <w:t>One of the most significant challenges in AI adoption for treasury operations is balancing transparency and model performance. Highly interpretable models, such as decision trees and linear regression, offer transparency but may lack the predictive power of complex deep learning models. Conversely, sophisticated machine learning algorithms, such as neural networks, provide superior accuracy but often operate as "black boxes" with limited explainability.</w:t>
      </w:r>
    </w:p>
    <w:p w14:paraId="0829E7FC" w14:textId="77777777" w:rsidR="00462E59" w:rsidRDefault="00A712E6" w:rsidP="0019622A">
      <w:pPr>
        <w:spacing w:after="0" w:line="360" w:lineRule="auto"/>
        <w:jc w:val="both"/>
        <w:rPr>
          <w:rFonts w:ascii="Times New Roman" w:hAnsi="Times New Roman" w:cs="Times New Roman"/>
        </w:rPr>
      </w:pPr>
      <w:r w:rsidRPr="00C06920">
        <w:rPr>
          <w:rFonts w:ascii="Times New Roman" w:hAnsi="Times New Roman" w:cs="Times New Roman"/>
        </w:rPr>
        <w:lastRenderedPageBreak/>
        <w:t>The trade-off between transparency and performance necessitates the development of hybrid approaches, where post-hoc explainability techniques are integrated into high-performing models. Financial institutions must navigate this balance by implementing regulatory-compliant AI frameworks while maintaining competitive advantages in treasury management.</w:t>
      </w:r>
    </w:p>
    <w:p w14:paraId="7BC1728A" w14:textId="77777777" w:rsidR="00C06920" w:rsidRPr="00C06920" w:rsidRDefault="00C06920" w:rsidP="0019622A">
      <w:pPr>
        <w:spacing w:after="0" w:line="360" w:lineRule="auto"/>
        <w:jc w:val="both"/>
        <w:rPr>
          <w:rFonts w:ascii="Times New Roman" w:hAnsi="Times New Roman" w:cs="Times New Roman"/>
        </w:rPr>
      </w:pPr>
    </w:p>
    <w:p w14:paraId="4AB558BB" w14:textId="77777777" w:rsidR="00980031" w:rsidRPr="00C06920" w:rsidRDefault="00980031" w:rsidP="0019622A">
      <w:pPr>
        <w:spacing w:after="0" w:line="360" w:lineRule="auto"/>
        <w:jc w:val="both"/>
        <w:rPr>
          <w:rFonts w:ascii="Times New Roman" w:hAnsi="Times New Roman" w:cs="Times New Roman"/>
          <w:b/>
          <w:sz w:val="28"/>
          <w:szCs w:val="28"/>
        </w:rPr>
      </w:pPr>
      <w:r w:rsidRPr="00C06920">
        <w:rPr>
          <w:rFonts w:ascii="Times New Roman" w:hAnsi="Times New Roman" w:cs="Times New Roman"/>
          <w:b/>
          <w:sz w:val="28"/>
          <w:szCs w:val="28"/>
        </w:rPr>
        <w:t>3. Methodology</w:t>
      </w:r>
    </w:p>
    <w:p w14:paraId="2A19E1E4" w14:textId="77777777" w:rsidR="00980031" w:rsidRPr="00C06920" w:rsidRDefault="00980031"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3.1. Research Approach</w:t>
      </w:r>
    </w:p>
    <w:p w14:paraId="3DFBA725" w14:textId="77777777" w:rsidR="00980031" w:rsidRPr="00C06920" w:rsidRDefault="00980031" w:rsidP="0019622A">
      <w:pPr>
        <w:spacing w:after="0" w:line="360" w:lineRule="auto"/>
        <w:jc w:val="both"/>
        <w:rPr>
          <w:rFonts w:ascii="Times New Roman" w:hAnsi="Times New Roman" w:cs="Times New Roman"/>
        </w:rPr>
      </w:pPr>
      <w:r w:rsidRPr="00C06920">
        <w:rPr>
          <w:rFonts w:ascii="Times New Roman" w:hAnsi="Times New Roman" w:cs="Times New Roman"/>
        </w:rPr>
        <w:t>The research adopts a qualitative approach to analyze how regulatory frameworks influence the adoption of XAI in treasury functions. This approach is essential given the complexity of financial regulations and the interpretability challenges posed by AI-driven decision-making systems. The study focuses on reviewing global compliance standards, including Basel III, IFRS 9, GDPR, and the EU AI Act, to assess their impact on AI adoption in treasury operations. Furthermore, a case study analysis is conducted to evaluate real-world applications of AI-driven treasury management and the methods financial institutions employ to enhance explainability in their AI models.</w:t>
      </w:r>
    </w:p>
    <w:p w14:paraId="7A47FC92" w14:textId="77777777" w:rsidR="00980031" w:rsidRDefault="00980031" w:rsidP="0019622A">
      <w:pPr>
        <w:spacing w:after="0" w:line="360" w:lineRule="auto"/>
        <w:jc w:val="both"/>
        <w:rPr>
          <w:rFonts w:ascii="Times New Roman" w:hAnsi="Times New Roman" w:cs="Times New Roman"/>
        </w:rPr>
      </w:pPr>
      <w:r w:rsidRPr="00C06920">
        <w:rPr>
          <w:rFonts w:ascii="Times New Roman" w:hAnsi="Times New Roman" w:cs="Times New Roman"/>
        </w:rPr>
        <w:t>A comparative analysis of AI models used in treasury functions is also undertaken. The study evaluates the transparency, predictive accuracy, and regulatory compliance of various AI models, including decision trees, neural networks, and ensemble methods. This comparative analysis provides insights into the trade-offs financial institutions face when integrating XAI into their operations.</w:t>
      </w:r>
    </w:p>
    <w:p w14:paraId="015E7F99" w14:textId="77777777" w:rsidR="00C06920" w:rsidRPr="00C06920" w:rsidRDefault="00C06920" w:rsidP="0019622A">
      <w:pPr>
        <w:spacing w:after="0" w:line="360" w:lineRule="auto"/>
        <w:jc w:val="both"/>
        <w:rPr>
          <w:rFonts w:ascii="Times New Roman" w:hAnsi="Times New Roman" w:cs="Times New Roman"/>
        </w:rPr>
      </w:pPr>
    </w:p>
    <w:p w14:paraId="36B16DD7" w14:textId="77777777" w:rsidR="00980031" w:rsidRPr="00C06920" w:rsidRDefault="00980031"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3.2. Data Sources</w:t>
      </w:r>
    </w:p>
    <w:p w14:paraId="4FCFB43C" w14:textId="77777777" w:rsidR="00980031" w:rsidRPr="00C06920" w:rsidRDefault="00980031" w:rsidP="0019622A">
      <w:pPr>
        <w:spacing w:after="0" w:line="360" w:lineRule="auto"/>
        <w:jc w:val="both"/>
        <w:rPr>
          <w:rFonts w:ascii="Times New Roman" w:hAnsi="Times New Roman" w:cs="Times New Roman"/>
        </w:rPr>
      </w:pPr>
      <w:r w:rsidRPr="00C06920">
        <w:rPr>
          <w:rFonts w:ascii="Times New Roman" w:hAnsi="Times New Roman" w:cs="Times New Roman"/>
        </w:rPr>
        <w:t>The study relies on secondary data sources, including regulatory documents, industry reports, academic literature, and case studies. Regulatory frameworks such as Basel III, IFRS 9, GDPR, and the EU AI Act serve as primary sources for understanding compliance requirements. Reports published by organizations such as the Financial Stability Board and the European Banking Authority provide insights into AI adoption trends in treasury operations. Additionally, academic research on XAI techniques informs the study’s assessment of explainability methods.</w:t>
      </w:r>
    </w:p>
    <w:p w14:paraId="6E42478C" w14:textId="77777777" w:rsidR="00980031" w:rsidRPr="00C06920" w:rsidRDefault="00980031" w:rsidP="0019622A">
      <w:pPr>
        <w:spacing w:after="0" w:line="360" w:lineRule="auto"/>
        <w:jc w:val="both"/>
        <w:rPr>
          <w:rFonts w:ascii="Times New Roman" w:hAnsi="Times New Roman" w:cs="Times New Roman"/>
        </w:rPr>
      </w:pPr>
      <w:r w:rsidRPr="00C06920">
        <w:rPr>
          <w:rFonts w:ascii="Times New Roman" w:hAnsi="Times New Roman" w:cs="Times New Roman"/>
        </w:rPr>
        <w:t>Case studies from financial institutions further contribute to the analysis by showcasing best practices in implementing XAI for regulatory compliance. These case studies highlight challenges encountered in treasury operations and the strategies adopted to address them. The combination of regulatory analysis, industry insights, and case studies ensures a comprehensive evaluation of XAI’s role in financial compliance.</w:t>
      </w:r>
    </w:p>
    <w:p w14:paraId="2617EA3F" w14:textId="77777777" w:rsidR="003326F2" w:rsidRPr="003326F2" w:rsidRDefault="00CC30B4" w:rsidP="003326F2">
      <w:pPr>
        <w:spacing w:after="0" w:line="360" w:lineRule="auto"/>
        <w:jc w:val="both"/>
        <w:rPr>
          <w:rFonts w:ascii="Times New Roman" w:eastAsia="Times New Roman" w:hAnsi="Times New Roman" w:cs="Times New Roman"/>
          <w:b/>
        </w:rPr>
      </w:pPr>
      <w:r w:rsidRPr="00C06920">
        <w:rPr>
          <w:rFonts w:ascii="Times New Roman" w:eastAsia="Times New Roman" w:hAnsi="Times New Roman" w:cs="Times New Roman"/>
          <w:b/>
        </w:rPr>
        <w:t xml:space="preserve">Table 2. </w:t>
      </w:r>
      <w:r w:rsidR="003326F2" w:rsidRPr="003326F2">
        <w:rPr>
          <w:rFonts w:ascii="Times New Roman" w:eastAsia="Times New Roman" w:hAnsi="Times New Roman" w:cs="Times New Roman"/>
          <w:b/>
        </w:rPr>
        <w:t>Secondary data sources, including regulatory documents, industry reports, academic literature, and</w:t>
      </w:r>
    </w:p>
    <w:p w14:paraId="7FBFB952" w14:textId="7E82301A" w:rsidR="00980031" w:rsidRPr="00C06920" w:rsidRDefault="003326F2" w:rsidP="003326F2">
      <w:pPr>
        <w:spacing w:after="0" w:line="360" w:lineRule="auto"/>
        <w:jc w:val="both"/>
        <w:rPr>
          <w:rFonts w:ascii="Times New Roman" w:eastAsia="Times New Roman" w:hAnsi="Times New Roman" w:cs="Times New Roman"/>
          <w:b/>
        </w:rPr>
      </w:pPr>
      <w:r w:rsidRPr="003326F2">
        <w:rPr>
          <w:rFonts w:ascii="Times New Roman" w:eastAsia="Times New Roman" w:hAnsi="Times New Roman" w:cs="Times New Roman"/>
          <w:b/>
        </w:rPr>
        <w:t>case studies</w:t>
      </w:r>
    </w:p>
    <w:tbl>
      <w:tblPr>
        <w:tblStyle w:val="TableGridLight"/>
        <w:tblW w:w="0" w:type="auto"/>
        <w:tblLook w:val="04A0" w:firstRow="1" w:lastRow="0" w:firstColumn="1" w:lastColumn="0" w:noHBand="0" w:noVBand="1"/>
      </w:tblPr>
      <w:tblGrid>
        <w:gridCol w:w="5364"/>
        <w:gridCol w:w="5065"/>
      </w:tblGrid>
      <w:tr w:rsidR="00980031" w:rsidRPr="00C06920" w14:paraId="6474A147" w14:textId="77777777" w:rsidTr="00980031">
        <w:tc>
          <w:tcPr>
            <w:tcW w:w="0" w:type="auto"/>
            <w:hideMark/>
          </w:tcPr>
          <w:p w14:paraId="79357B8B" w14:textId="77777777" w:rsidR="00980031" w:rsidRPr="00C06920" w:rsidRDefault="00980031" w:rsidP="0019622A">
            <w:pPr>
              <w:spacing w:line="360" w:lineRule="auto"/>
              <w:jc w:val="both"/>
              <w:rPr>
                <w:rFonts w:ascii="Times New Roman" w:eastAsia="Times New Roman" w:hAnsi="Times New Roman" w:cs="Times New Roman"/>
                <w:b/>
                <w:bCs/>
                <w:highlight w:val="yellow"/>
              </w:rPr>
            </w:pPr>
            <w:r w:rsidRPr="00C06920">
              <w:rPr>
                <w:rFonts w:ascii="Times New Roman" w:eastAsia="Times New Roman" w:hAnsi="Times New Roman" w:cs="Times New Roman"/>
                <w:b/>
                <w:bCs/>
                <w:highlight w:val="yellow"/>
              </w:rPr>
              <w:t>Data Source</w:t>
            </w:r>
          </w:p>
        </w:tc>
        <w:tc>
          <w:tcPr>
            <w:tcW w:w="0" w:type="auto"/>
            <w:hideMark/>
          </w:tcPr>
          <w:p w14:paraId="13D16DF9" w14:textId="77777777" w:rsidR="00980031" w:rsidRPr="00C06920" w:rsidRDefault="00980031" w:rsidP="0019622A">
            <w:pPr>
              <w:spacing w:line="360" w:lineRule="auto"/>
              <w:jc w:val="both"/>
              <w:rPr>
                <w:rFonts w:ascii="Times New Roman" w:eastAsia="Times New Roman" w:hAnsi="Times New Roman" w:cs="Times New Roman"/>
                <w:b/>
                <w:bCs/>
                <w:highlight w:val="yellow"/>
              </w:rPr>
            </w:pPr>
            <w:r w:rsidRPr="00C06920">
              <w:rPr>
                <w:rFonts w:ascii="Times New Roman" w:eastAsia="Times New Roman" w:hAnsi="Times New Roman" w:cs="Times New Roman"/>
                <w:b/>
                <w:bCs/>
                <w:highlight w:val="yellow"/>
              </w:rPr>
              <w:t>Purpose</w:t>
            </w:r>
          </w:p>
        </w:tc>
      </w:tr>
      <w:tr w:rsidR="00980031" w:rsidRPr="00C06920" w14:paraId="33563008" w14:textId="77777777" w:rsidTr="00980031">
        <w:tc>
          <w:tcPr>
            <w:tcW w:w="0" w:type="auto"/>
            <w:hideMark/>
          </w:tcPr>
          <w:p w14:paraId="695C06FE" w14:textId="77777777" w:rsidR="00980031" w:rsidRPr="00C06920" w:rsidRDefault="00980031"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b/>
                <w:bCs/>
              </w:rPr>
              <w:t>Regulatory Documents</w:t>
            </w:r>
            <w:r w:rsidRPr="00C06920">
              <w:rPr>
                <w:rFonts w:ascii="Times New Roman" w:eastAsia="Times New Roman" w:hAnsi="Times New Roman" w:cs="Times New Roman"/>
              </w:rPr>
              <w:t xml:space="preserve"> (Basel III, IFRS 9, GDPR, EU AI Act)</w:t>
            </w:r>
          </w:p>
        </w:tc>
        <w:tc>
          <w:tcPr>
            <w:tcW w:w="0" w:type="auto"/>
            <w:hideMark/>
          </w:tcPr>
          <w:p w14:paraId="0A853530" w14:textId="77777777" w:rsidR="00980031" w:rsidRPr="00C06920" w:rsidRDefault="00980031"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Understanding legal requirements for AI transparency and compliance</w:t>
            </w:r>
          </w:p>
        </w:tc>
      </w:tr>
      <w:tr w:rsidR="00980031" w:rsidRPr="00C06920" w14:paraId="1997148C" w14:textId="77777777" w:rsidTr="00980031">
        <w:tc>
          <w:tcPr>
            <w:tcW w:w="0" w:type="auto"/>
            <w:hideMark/>
          </w:tcPr>
          <w:p w14:paraId="0C7D6239" w14:textId="77777777" w:rsidR="00980031" w:rsidRPr="00C06920" w:rsidRDefault="00980031"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b/>
                <w:bCs/>
              </w:rPr>
              <w:t>Industry Reports</w:t>
            </w:r>
            <w:r w:rsidRPr="00C06920">
              <w:rPr>
                <w:rFonts w:ascii="Times New Roman" w:eastAsia="Times New Roman" w:hAnsi="Times New Roman" w:cs="Times New Roman"/>
              </w:rPr>
              <w:t xml:space="preserve"> (Financial Stability Board, European Banking Authority)</w:t>
            </w:r>
          </w:p>
        </w:tc>
        <w:tc>
          <w:tcPr>
            <w:tcW w:w="0" w:type="auto"/>
            <w:hideMark/>
          </w:tcPr>
          <w:p w14:paraId="412DEAD7" w14:textId="77777777" w:rsidR="00980031" w:rsidRPr="00C06920" w:rsidRDefault="00980031"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Analyzing AI adoption trends in treasury operations</w:t>
            </w:r>
          </w:p>
        </w:tc>
      </w:tr>
      <w:tr w:rsidR="00980031" w:rsidRPr="00C06920" w14:paraId="408E30F3" w14:textId="77777777" w:rsidTr="00980031">
        <w:tc>
          <w:tcPr>
            <w:tcW w:w="0" w:type="auto"/>
            <w:hideMark/>
          </w:tcPr>
          <w:p w14:paraId="53FBFB8D" w14:textId="77777777" w:rsidR="00980031" w:rsidRPr="00C06920" w:rsidRDefault="00980031"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b/>
                <w:bCs/>
              </w:rPr>
              <w:t>Academic Papers &amp; AI Research</w:t>
            </w:r>
          </w:p>
        </w:tc>
        <w:tc>
          <w:tcPr>
            <w:tcW w:w="0" w:type="auto"/>
            <w:hideMark/>
          </w:tcPr>
          <w:p w14:paraId="04EE2F03" w14:textId="77777777" w:rsidR="00980031" w:rsidRPr="00C06920" w:rsidRDefault="00980031"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Evaluating existing studies on XAI methods in financial services</w:t>
            </w:r>
          </w:p>
        </w:tc>
      </w:tr>
      <w:tr w:rsidR="00980031" w:rsidRPr="00C06920" w14:paraId="79289C1C" w14:textId="77777777" w:rsidTr="00980031">
        <w:tc>
          <w:tcPr>
            <w:tcW w:w="0" w:type="auto"/>
            <w:hideMark/>
          </w:tcPr>
          <w:p w14:paraId="29F8B039" w14:textId="77777777" w:rsidR="00980031" w:rsidRPr="00C06920" w:rsidRDefault="00980031"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b/>
                <w:bCs/>
              </w:rPr>
              <w:lastRenderedPageBreak/>
              <w:t>Case Studies from Financial Institutions</w:t>
            </w:r>
          </w:p>
        </w:tc>
        <w:tc>
          <w:tcPr>
            <w:tcW w:w="0" w:type="auto"/>
            <w:hideMark/>
          </w:tcPr>
          <w:p w14:paraId="448D3B4C" w14:textId="77777777" w:rsidR="00980031" w:rsidRPr="00C06920" w:rsidRDefault="00980031"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Identifying best practices in implementing XAI for compliance</w:t>
            </w:r>
          </w:p>
        </w:tc>
      </w:tr>
    </w:tbl>
    <w:p w14:paraId="25F9E5A5" w14:textId="77777777" w:rsidR="00980031" w:rsidRPr="00C06920" w:rsidRDefault="00980031" w:rsidP="0019622A">
      <w:pPr>
        <w:spacing w:after="0" w:line="360" w:lineRule="auto"/>
        <w:jc w:val="both"/>
        <w:rPr>
          <w:rFonts w:ascii="Times New Roman" w:hAnsi="Times New Roman" w:cs="Times New Roman"/>
        </w:rPr>
      </w:pPr>
    </w:p>
    <w:p w14:paraId="7EEBAE00" w14:textId="77777777" w:rsidR="00980031" w:rsidRPr="00C06920" w:rsidRDefault="00980031"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3.3. Evaluation Framework</w:t>
      </w:r>
    </w:p>
    <w:p w14:paraId="327F25A5" w14:textId="77777777" w:rsidR="00980031" w:rsidRPr="00C06920" w:rsidRDefault="00980031" w:rsidP="0019622A">
      <w:pPr>
        <w:spacing w:after="0" w:line="360" w:lineRule="auto"/>
        <w:jc w:val="both"/>
        <w:rPr>
          <w:rFonts w:ascii="Times New Roman" w:hAnsi="Times New Roman" w:cs="Times New Roman"/>
        </w:rPr>
      </w:pPr>
      <w:r w:rsidRPr="00C06920">
        <w:rPr>
          <w:rFonts w:ascii="Times New Roman" w:hAnsi="Times New Roman" w:cs="Times New Roman"/>
        </w:rPr>
        <w:t>The study adopts a multi-criteria evaluation framework to assess how AI-driven treasury operations balance transparency and performance while meeting compliance obligations. Four key factors are considered in this evaluation: regulatory compliance, transparency, predictive performance, and operational feasibility.</w:t>
      </w:r>
    </w:p>
    <w:p w14:paraId="52D3F725" w14:textId="77777777" w:rsidR="00980031" w:rsidRPr="00C06920" w:rsidRDefault="00980031" w:rsidP="0019622A">
      <w:pPr>
        <w:spacing w:after="0" w:line="360" w:lineRule="auto"/>
        <w:jc w:val="both"/>
        <w:rPr>
          <w:rFonts w:ascii="Times New Roman" w:hAnsi="Times New Roman" w:cs="Times New Roman"/>
        </w:rPr>
      </w:pPr>
      <w:r w:rsidRPr="00C06920">
        <w:rPr>
          <w:rFonts w:ascii="Times New Roman" w:hAnsi="Times New Roman" w:cs="Times New Roman"/>
        </w:rPr>
        <w:t>Regulatory compliance examines whether AI models align with legal explainability requirements, ensuring that AI-driven decisions in treasury operations meet auditability standards. Transparency assesses the interpretability of AI models and the extent to which financial professionals and regulators can understand AI-generated outcomes. Predictive performance evaluates the accuracy and efficiency of AI models in treasury functions, considering how well these models enhance risk assessment, liquidity management, and fraud detection. Finally, operational feasibility examines the practicality of integrating XAI solutions into existing financial systems without disrupting business workflows.</w:t>
      </w:r>
    </w:p>
    <w:p w14:paraId="28BD15DE" w14:textId="77777777" w:rsidR="005B26BB" w:rsidRDefault="00980031" w:rsidP="0019622A">
      <w:pPr>
        <w:spacing w:after="0" w:line="360" w:lineRule="auto"/>
        <w:jc w:val="both"/>
        <w:rPr>
          <w:rFonts w:ascii="Times New Roman" w:hAnsi="Times New Roman" w:cs="Times New Roman"/>
        </w:rPr>
      </w:pPr>
      <w:r w:rsidRPr="00C06920">
        <w:rPr>
          <w:rFonts w:ascii="Times New Roman" w:hAnsi="Times New Roman" w:cs="Times New Roman"/>
        </w:rPr>
        <w:t>By applying this evaluation framework, the study provides a structured analysis of how financial institutions can leverage XAI to enhance compliance and operational efficiency in treasury management. The findings contribute to a deeper understanding of the trade-offs between AI transparency and performance, offering insights into the future of AI adoption in financial services.</w:t>
      </w:r>
    </w:p>
    <w:p w14:paraId="408A660A" w14:textId="77777777" w:rsidR="00C06920" w:rsidRPr="00C06920" w:rsidRDefault="00C06920" w:rsidP="0019622A">
      <w:pPr>
        <w:spacing w:after="0" w:line="360" w:lineRule="auto"/>
        <w:jc w:val="both"/>
        <w:rPr>
          <w:rFonts w:ascii="Times New Roman" w:hAnsi="Times New Roman" w:cs="Times New Roman"/>
        </w:rPr>
      </w:pPr>
    </w:p>
    <w:p w14:paraId="78FCADCD" w14:textId="1086E317" w:rsidR="00D61692" w:rsidRPr="00C06920" w:rsidRDefault="001D0C32" w:rsidP="0019622A">
      <w:pPr>
        <w:spacing w:after="0" w:line="360" w:lineRule="auto"/>
        <w:jc w:val="both"/>
        <w:rPr>
          <w:rFonts w:ascii="Times New Roman" w:hAnsi="Times New Roman" w:cs="Times New Roman"/>
          <w:b/>
          <w:sz w:val="28"/>
          <w:szCs w:val="28"/>
        </w:rPr>
      </w:pPr>
      <w:r w:rsidRPr="00C06920">
        <w:rPr>
          <w:rFonts w:ascii="Times New Roman" w:hAnsi="Times New Roman" w:cs="Times New Roman"/>
          <w:b/>
          <w:sz w:val="28"/>
          <w:szCs w:val="28"/>
        </w:rPr>
        <w:t xml:space="preserve">4. </w:t>
      </w:r>
      <w:r w:rsidR="003326F2">
        <w:rPr>
          <w:rFonts w:ascii="Times New Roman" w:hAnsi="Times New Roman" w:cs="Times New Roman"/>
          <w:b/>
          <w:sz w:val="28"/>
          <w:szCs w:val="28"/>
        </w:rPr>
        <w:t xml:space="preserve">Result </w:t>
      </w:r>
      <w:r w:rsidRPr="00C06920">
        <w:rPr>
          <w:rFonts w:ascii="Times New Roman" w:hAnsi="Times New Roman" w:cs="Times New Roman"/>
          <w:b/>
          <w:sz w:val="28"/>
          <w:szCs w:val="28"/>
        </w:rPr>
        <w:t xml:space="preserve"> and Discussion</w:t>
      </w:r>
    </w:p>
    <w:p w14:paraId="10A48E9B" w14:textId="77777777" w:rsidR="00D61692" w:rsidRPr="00C06920" w:rsidRDefault="00D61692"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4.1. The Necessity of Explainability in Treasury Operations</w:t>
      </w:r>
    </w:p>
    <w:p w14:paraId="13FF90D3" w14:textId="77777777" w:rsidR="00D61692" w:rsidRPr="00C06920" w:rsidRDefault="00D61692" w:rsidP="0019622A">
      <w:pPr>
        <w:spacing w:after="0" w:line="360" w:lineRule="auto"/>
        <w:jc w:val="both"/>
        <w:rPr>
          <w:rFonts w:ascii="Times New Roman" w:hAnsi="Times New Roman" w:cs="Times New Roman"/>
        </w:rPr>
      </w:pPr>
      <w:r w:rsidRPr="00C06920">
        <w:rPr>
          <w:rFonts w:ascii="Times New Roman" w:hAnsi="Times New Roman" w:cs="Times New Roman"/>
        </w:rPr>
        <w:t xml:space="preserve">Treasury operations involve complex financial decision-making processes, including risk assessment, liquidity management, and regulatory reporting. AI models have increasingly been deployed in these areas to enhance predictive capabilities and improve operational efficiency. However, regulatory bodies, including the Financial Stability Board and the European Banking Authority, emphasize the need for transparency in AI models to mitigate risks associated </w:t>
      </w:r>
      <w:r w:rsidR="001D0C32" w:rsidRPr="00C06920">
        <w:rPr>
          <w:rFonts w:ascii="Times New Roman" w:hAnsi="Times New Roman" w:cs="Times New Roman"/>
        </w:rPr>
        <w:t>with black-box decision-making.</w:t>
      </w:r>
    </w:p>
    <w:p w14:paraId="4E63B130" w14:textId="77777777" w:rsidR="00D61692" w:rsidRDefault="00D61692" w:rsidP="0019622A">
      <w:pPr>
        <w:spacing w:after="0" w:line="360" w:lineRule="auto"/>
        <w:jc w:val="both"/>
        <w:rPr>
          <w:rFonts w:ascii="Times New Roman" w:hAnsi="Times New Roman" w:cs="Times New Roman"/>
        </w:rPr>
      </w:pPr>
      <w:r w:rsidRPr="00C06920">
        <w:rPr>
          <w:rFonts w:ascii="Times New Roman" w:hAnsi="Times New Roman" w:cs="Times New Roman"/>
        </w:rPr>
        <w:t>Explainability is crucial in ensuring that AI-driven treasury operations remain compliant with evolving regulations such as Basel III, IFRS 9, and GDPR. These regulations mandate that financial decisions be interpretable, particularly in areas such as credit risk assessment, capital adequacy calculations, and fraud detection. The lack of explainability in AI models can lead to regulatory scrutiny, legal consequences, and reputational damage. Therefore, financial institutions must strike a balance between leveraging AI for efficiency and maintaining a level of transparency that sat</w:t>
      </w:r>
      <w:r w:rsidR="001D0C32" w:rsidRPr="00C06920">
        <w:rPr>
          <w:rFonts w:ascii="Times New Roman" w:hAnsi="Times New Roman" w:cs="Times New Roman"/>
        </w:rPr>
        <w:t>isfies compliance requirements.</w:t>
      </w:r>
    </w:p>
    <w:p w14:paraId="02C8B28D" w14:textId="77777777" w:rsidR="00C06920" w:rsidRPr="00C06920" w:rsidRDefault="00C06920" w:rsidP="0019622A">
      <w:pPr>
        <w:spacing w:after="0" w:line="360" w:lineRule="auto"/>
        <w:jc w:val="both"/>
        <w:rPr>
          <w:rFonts w:ascii="Times New Roman" w:hAnsi="Times New Roman" w:cs="Times New Roman"/>
        </w:rPr>
      </w:pPr>
    </w:p>
    <w:p w14:paraId="619163AA" w14:textId="77777777" w:rsidR="002105BC" w:rsidRPr="00C06920" w:rsidRDefault="002105BC"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4.2. Trade-offs between Transparency and Performance</w:t>
      </w:r>
    </w:p>
    <w:p w14:paraId="21A959CF" w14:textId="77777777" w:rsidR="002105BC" w:rsidRPr="00C06920" w:rsidRDefault="002105BC" w:rsidP="0019622A">
      <w:pPr>
        <w:spacing w:after="0" w:line="360" w:lineRule="auto"/>
        <w:jc w:val="both"/>
        <w:rPr>
          <w:rFonts w:ascii="Times New Roman" w:hAnsi="Times New Roman" w:cs="Times New Roman"/>
        </w:rPr>
      </w:pPr>
      <w:r w:rsidRPr="00C06920">
        <w:rPr>
          <w:rFonts w:ascii="Times New Roman" w:hAnsi="Times New Roman" w:cs="Times New Roman"/>
        </w:rPr>
        <w:t xml:space="preserve">One of the primary challenges in implementing Explainable AI (XAI) for regulatory compliance in treasury operations is managing the trade-offs between model interpretability and predictive performance. Traditional AI models, such as linear regression and decision trees, are inherently more interpretable but often lack the predictive power required for complex financial forecasting. These models allow for greater transparency, as their decision-making processes can be easily understood and traced back to specific input variables. However, their limitations in handling large datasets with </w:t>
      </w:r>
      <w:r w:rsidRPr="00C06920">
        <w:rPr>
          <w:rFonts w:ascii="Times New Roman" w:hAnsi="Times New Roman" w:cs="Times New Roman"/>
        </w:rPr>
        <w:lastRenderedPageBreak/>
        <w:t>high-dimensional features make them less effective in predicting financial risks, detecting fraudulent transactions, and optimizing liquidity management strategies.</w:t>
      </w:r>
    </w:p>
    <w:p w14:paraId="78E726FF" w14:textId="77777777" w:rsidR="002105BC" w:rsidRPr="00C06920" w:rsidRDefault="002105BC" w:rsidP="0019622A">
      <w:pPr>
        <w:spacing w:after="0" w:line="360" w:lineRule="auto"/>
        <w:jc w:val="both"/>
        <w:rPr>
          <w:rFonts w:ascii="Times New Roman" w:hAnsi="Times New Roman" w:cs="Times New Roman"/>
        </w:rPr>
      </w:pPr>
      <w:r w:rsidRPr="00C06920">
        <w:rPr>
          <w:rFonts w:ascii="Times New Roman" w:hAnsi="Times New Roman" w:cs="Times New Roman"/>
        </w:rPr>
        <w:t>On the other hand, advanced machine learning models, such as deep neural networks and ensemble learning techniques, offer superior predictive accuracy and can process vast amounts of financial data to identify patterns that are not immediately apparent through conventional statistical methods. These models are particularly useful in credit risk assessment, liquidity optimization, and fraud detection, where high precision is required to minimize financial losses. However, the complexity of these models presents a significant challenge, as their decision-making processes function as black boxes. The lack of transparency in such models raises concerns among regulators, auditors, and financial institutions, as it becomes difficult to justify AI-driven decisions, ensure compliance with financial regulations, and detect potential biases in algorithmic outputs.</w:t>
      </w:r>
    </w:p>
    <w:p w14:paraId="56D00BCE" w14:textId="77777777" w:rsidR="002105BC" w:rsidRPr="00C06920" w:rsidRDefault="002105BC" w:rsidP="0019622A">
      <w:pPr>
        <w:spacing w:after="0" w:line="360" w:lineRule="auto"/>
        <w:jc w:val="both"/>
        <w:rPr>
          <w:rFonts w:ascii="Times New Roman" w:hAnsi="Times New Roman" w:cs="Times New Roman"/>
        </w:rPr>
      </w:pPr>
      <w:r w:rsidRPr="00C06920">
        <w:rPr>
          <w:rFonts w:ascii="Times New Roman" w:hAnsi="Times New Roman" w:cs="Times New Roman"/>
        </w:rPr>
        <w:t>Balancing transparency and performance requires financial institutions to adopt hybrid approaches that integrate interpretable AI techniques with high-performing black-box models. For instance, model distillation techniques can be used to create simplified versions of complex models that retain key decision-making insights while improving interpretability. Another approach is to use post-hoc explainability methods, such as SHAP (Shapley Additive Explanations) and LIME (Local Interpretable Model-Agnostic Explanations), which provide insights into how AI models generate predictions without altering their underlying architecture. By leveraging these techniques, financial institutions can achieve a balance where AI-driven decisions remain explainable and regulatory-compliant without s</w:t>
      </w:r>
      <w:r w:rsidR="0063418C" w:rsidRPr="00C06920">
        <w:rPr>
          <w:rFonts w:ascii="Times New Roman" w:hAnsi="Times New Roman" w:cs="Times New Roman"/>
        </w:rPr>
        <w:t>acrificing predictive accuracy.</w:t>
      </w:r>
    </w:p>
    <w:p w14:paraId="0661D1C1" w14:textId="77777777" w:rsidR="005B26BB" w:rsidRPr="00C06920" w:rsidRDefault="00CC30B4" w:rsidP="0019622A">
      <w:pPr>
        <w:spacing w:after="0" w:line="360" w:lineRule="auto"/>
        <w:jc w:val="both"/>
        <w:rPr>
          <w:rFonts w:ascii="Times New Roman" w:hAnsi="Times New Roman" w:cs="Times New Roman"/>
        </w:rPr>
      </w:pPr>
      <w:r w:rsidRPr="00C06920">
        <w:rPr>
          <w:rFonts w:ascii="Times New Roman" w:hAnsi="Times New Roman" w:cs="Times New Roman"/>
        </w:rPr>
        <w:t>Table presents</w:t>
      </w:r>
      <w:r w:rsidR="00D61692" w:rsidRPr="00C06920">
        <w:rPr>
          <w:rFonts w:ascii="Times New Roman" w:hAnsi="Times New Roman" w:cs="Times New Roman"/>
        </w:rPr>
        <w:t xml:space="preserve"> a comparison of commonly used AI models in treasury operations, highlighting their strengths and limitations in terms of explainability and performance.</w:t>
      </w:r>
    </w:p>
    <w:p w14:paraId="71B88C83" w14:textId="77777777" w:rsidR="00471CD9" w:rsidRPr="00C06920" w:rsidRDefault="00471CD9" w:rsidP="0019622A">
      <w:pPr>
        <w:spacing w:after="0" w:line="360" w:lineRule="auto"/>
        <w:jc w:val="both"/>
        <w:rPr>
          <w:rFonts w:ascii="Times New Roman" w:hAnsi="Times New Roman" w:cs="Times New Roman"/>
        </w:rPr>
      </w:pPr>
    </w:p>
    <w:p w14:paraId="4FF36EA8" w14:textId="77777777" w:rsidR="001D0C32" w:rsidRPr="00C06920" w:rsidRDefault="00CC30B4" w:rsidP="0019622A">
      <w:pPr>
        <w:spacing w:after="0" w:line="360" w:lineRule="auto"/>
        <w:jc w:val="both"/>
        <w:rPr>
          <w:rFonts w:ascii="Times New Roman" w:eastAsia="Times New Roman" w:hAnsi="Times New Roman" w:cs="Times New Roman"/>
        </w:rPr>
      </w:pPr>
      <w:r w:rsidRPr="00C06920">
        <w:rPr>
          <w:rFonts w:ascii="Times New Roman" w:eastAsia="Times New Roman" w:hAnsi="Times New Roman" w:cs="Times New Roman"/>
          <w:b/>
          <w:bCs/>
        </w:rPr>
        <w:t>Table 3</w:t>
      </w:r>
      <w:r w:rsidR="001D0C32" w:rsidRPr="00C06920">
        <w:rPr>
          <w:rFonts w:ascii="Times New Roman" w:eastAsia="Times New Roman" w:hAnsi="Times New Roman" w:cs="Times New Roman"/>
          <w:b/>
          <w:bCs/>
        </w:rPr>
        <w:t>: Comparison of AI Models in Treasury Operations</w:t>
      </w:r>
    </w:p>
    <w:tbl>
      <w:tblPr>
        <w:tblStyle w:val="TableGridLight"/>
        <w:tblW w:w="0" w:type="auto"/>
        <w:tblLook w:val="04A0" w:firstRow="1" w:lastRow="0" w:firstColumn="1" w:lastColumn="0" w:noHBand="0" w:noVBand="1"/>
      </w:tblPr>
      <w:tblGrid>
        <w:gridCol w:w="1874"/>
        <w:gridCol w:w="1536"/>
        <w:gridCol w:w="1781"/>
        <w:gridCol w:w="2056"/>
        <w:gridCol w:w="3182"/>
      </w:tblGrid>
      <w:tr w:rsidR="001D0C32" w:rsidRPr="00C06920" w14:paraId="194CE4C7" w14:textId="77777777" w:rsidTr="001D0C32">
        <w:tc>
          <w:tcPr>
            <w:tcW w:w="0" w:type="auto"/>
            <w:hideMark/>
          </w:tcPr>
          <w:p w14:paraId="48E9009E" w14:textId="77777777" w:rsidR="001D0C32" w:rsidRPr="00C06920" w:rsidRDefault="001D0C32" w:rsidP="0019622A">
            <w:pPr>
              <w:spacing w:line="360" w:lineRule="auto"/>
              <w:jc w:val="both"/>
              <w:rPr>
                <w:rFonts w:ascii="Times New Roman" w:eastAsia="Times New Roman" w:hAnsi="Times New Roman" w:cs="Times New Roman"/>
                <w:b/>
                <w:bCs/>
              </w:rPr>
            </w:pPr>
            <w:r w:rsidRPr="00C06920">
              <w:rPr>
                <w:rFonts w:ascii="Times New Roman" w:eastAsia="Times New Roman" w:hAnsi="Times New Roman" w:cs="Times New Roman"/>
                <w:b/>
                <w:bCs/>
              </w:rPr>
              <w:t>AI Model</w:t>
            </w:r>
          </w:p>
        </w:tc>
        <w:tc>
          <w:tcPr>
            <w:tcW w:w="0" w:type="auto"/>
            <w:hideMark/>
          </w:tcPr>
          <w:p w14:paraId="2DC98238" w14:textId="77777777" w:rsidR="001D0C32" w:rsidRPr="00C06920" w:rsidRDefault="001D0C32" w:rsidP="0019622A">
            <w:pPr>
              <w:spacing w:line="360" w:lineRule="auto"/>
              <w:jc w:val="both"/>
              <w:rPr>
                <w:rFonts w:ascii="Times New Roman" w:eastAsia="Times New Roman" w:hAnsi="Times New Roman" w:cs="Times New Roman"/>
                <w:b/>
                <w:bCs/>
              </w:rPr>
            </w:pPr>
            <w:r w:rsidRPr="00C06920">
              <w:rPr>
                <w:rFonts w:ascii="Times New Roman" w:eastAsia="Times New Roman" w:hAnsi="Times New Roman" w:cs="Times New Roman"/>
                <w:b/>
                <w:bCs/>
              </w:rPr>
              <w:t>Transparency</w:t>
            </w:r>
          </w:p>
        </w:tc>
        <w:tc>
          <w:tcPr>
            <w:tcW w:w="0" w:type="auto"/>
            <w:hideMark/>
          </w:tcPr>
          <w:p w14:paraId="26956980" w14:textId="77777777" w:rsidR="001D0C32" w:rsidRPr="00C06920" w:rsidRDefault="001D0C32" w:rsidP="0019622A">
            <w:pPr>
              <w:spacing w:line="360" w:lineRule="auto"/>
              <w:jc w:val="both"/>
              <w:rPr>
                <w:rFonts w:ascii="Times New Roman" w:eastAsia="Times New Roman" w:hAnsi="Times New Roman" w:cs="Times New Roman"/>
                <w:b/>
                <w:bCs/>
              </w:rPr>
            </w:pPr>
            <w:r w:rsidRPr="00C06920">
              <w:rPr>
                <w:rFonts w:ascii="Times New Roman" w:eastAsia="Times New Roman" w:hAnsi="Times New Roman" w:cs="Times New Roman"/>
                <w:b/>
                <w:bCs/>
              </w:rPr>
              <w:t>Predictive Accuracy</w:t>
            </w:r>
          </w:p>
        </w:tc>
        <w:tc>
          <w:tcPr>
            <w:tcW w:w="0" w:type="auto"/>
            <w:hideMark/>
          </w:tcPr>
          <w:p w14:paraId="4CFD0E18" w14:textId="77777777" w:rsidR="001D0C32" w:rsidRPr="00C06920" w:rsidRDefault="001D0C32" w:rsidP="0019622A">
            <w:pPr>
              <w:spacing w:line="360" w:lineRule="auto"/>
              <w:jc w:val="both"/>
              <w:rPr>
                <w:rFonts w:ascii="Times New Roman" w:eastAsia="Times New Roman" w:hAnsi="Times New Roman" w:cs="Times New Roman"/>
                <w:b/>
                <w:bCs/>
              </w:rPr>
            </w:pPr>
            <w:r w:rsidRPr="00C06920">
              <w:rPr>
                <w:rFonts w:ascii="Times New Roman" w:eastAsia="Times New Roman" w:hAnsi="Times New Roman" w:cs="Times New Roman"/>
                <w:b/>
                <w:bCs/>
              </w:rPr>
              <w:t>Regulatory Compliance</w:t>
            </w:r>
          </w:p>
        </w:tc>
        <w:tc>
          <w:tcPr>
            <w:tcW w:w="0" w:type="auto"/>
            <w:hideMark/>
          </w:tcPr>
          <w:p w14:paraId="23128A35" w14:textId="77777777" w:rsidR="001D0C32" w:rsidRPr="00C06920" w:rsidRDefault="001D0C32" w:rsidP="0019622A">
            <w:pPr>
              <w:spacing w:line="360" w:lineRule="auto"/>
              <w:jc w:val="both"/>
              <w:rPr>
                <w:rFonts w:ascii="Times New Roman" w:eastAsia="Times New Roman" w:hAnsi="Times New Roman" w:cs="Times New Roman"/>
                <w:b/>
                <w:bCs/>
              </w:rPr>
            </w:pPr>
            <w:r w:rsidRPr="00C06920">
              <w:rPr>
                <w:rFonts w:ascii="Times New Roman" w:eastAsia="Times New Roman" w:hAnsi="Times New Roman" w:cs="Times New Roman"/>
                <w:b/>
                <w:bCs/>
              </w:rPr>
              <w:t>Application in Treasury</w:t>
            </w:r>
          </w:p>
        </w:tc>
      </w:tr>
      <w:tr w:rsidR="001D0C32" w:rsidRPr="00C06920" w14:paraId="14725E73" w14:textId="77777777" w:rsidTr="001D0C32">
        <w:tc>
          <w:tcPr>
            <w:tcW w:w="0" w:type="auto"/>
            <w:hideMark/>
          </w:tcPr>
          <w:p w14:paraId="35F171BF"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Decision Trees</w:t>
            </w:r>
          </w:p>
        </w:tc>
        <w:tc>
          <w:tcPr>
            <w:tcW w:w="0" w:type="auto"/>
            <w:hideMark/>
          </w:tcPr>
          <w:p w14:paraId="0AA582DC"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High</w:t>
            </w:r>
          </w:p>
        </w:tc>
        <w:tc>
          <w:tcPr>
            <w:tcW w:w="0" w:type="auto"/>
            <w:hideMark/>
          </w:tcPr>
          <w:p w14:paraId="0A99D691"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Moderate</w:t>
            </w:r>
          </w:p>
        </w:tc>
        <w:tc>
          <w:tcPr>
            <w:tcW w:w="0" w:type="auto"/>
            <w:hideMark/>
          </w:tcPr>
          <w:p w14:paraId="4AC92555"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Strong</w:t>
            </w:r>
          </w:p>
        </w:tc>
        <w:tc>
          <w:tcPr>
            <w:tcW w:w="0" w:type="auto"/>
            <w:hideMark/>
          </w:tcPr>
          <w:p w14:paraId="21AA119C"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Risk assessment, fraud detection</w:t>
            </w:r>
          </w:p>
        </w:tc>
      </w:tr>
      <w:tr w:rsidR="001D0C32" w:rsidRPr="00C06920" w14:paraId="54E66E2C" w14:textId="77777777" w:rsidTr="001D0C32">
        <w:tc>
          <w:tcPr>
            <w:tcW w:w="0" w:type="auto"/>
            <w:hideMark/>
          </w:tcPr>
          <w:p w14:paraId="029E0DEA"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Random Forest</w:t>
            </w:r>
          </w:p>
        </w:tc>
        <w:tc>
          <w:tcPr>
            <w:tcW w:w="0" w:type="auto"/>
            <w:hideMark/>
          </w:tcPr>
          <w:p w14:paraId="04887CF7"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Moderate</w:t>
            </w:r>
          </w:p>
        </w:tc>
        <w:tc>
          <w:tcPr>
            <w:tcW w:w="0" w:type="auto"/>
            <w:hideMark/>
          </w:tcPr>
          <w:p w14:paraId="032EB0A1"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High</w:t>
            </w:r>
          </w:p>
        </w:tc>
        <w:tc>
          <w:tcPr>
            <w:tcW w:w="0" w:type="auto"/>
            <w:hideMark/>
          </w:tcPr>
          <w:p w14:paraId="313AD100"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Moderate</w:t>
            </w:r>
          </w:p>
        </w:tc>
        <w:tc>
          <w:tcPr>
            <w:tcW w:w="0" w:type="auto"/>
            <w:hideMark/>
          </w:tcPr>
          <w:p w14:paraId="3870A7E9"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Credit scoring, portfolio optimization</w:t>
            </w:r>
          </w:p>
        </w:tc>
      </w:tr>
      <w:tr w:rsidR="001D0C32" w:rsidRPr="00C06920" w14:paraId="269CAA1B" w14:textId="77777777" w:rsidTr="001D0C32">
        <w:tc>
          <w:tcPr>
            <w:tcW w:w="0" w:type="auto"/>
            <w:hideMark/>
          </w:tcPr>
          <w:p w14:paraId="271D6C05"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Deep Neural Networks</w:t>
            </w:r>
          </w:p>
        </w:tc>
        <w:tc>
          <w:tcPr>
            <w:tcW w:w="0" w:type="auto"/>
            <w:hideMark/>
          </w:tcPr>
          <w:p w14:paraId="2EC5D415"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Low</w:t>
            </w:r>
          </w:p>
        </w:tc>
        <w:tc>
          <w:tcPr>
            <w:tcW w:w="0" w:type="auto"/>
            <w:hideMark/>
          </w:tcPr>
          <w:p w14:paraId="7666026A"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Very High</w:t>
            </w:r>
          </w:p>
        </w:tc>
        <w:tc>
          <w:tcPr>
            <w:tcW w:w="0" w:type="auto"/>
            <w:hideMark/>
          </w:tcPr>
          <w:p w14:paraId="4277A614"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Weak</w:t>
            </w:r>
          </w:p>
        </w:tc>
        <w:tc>
          <w:tcPr>
            <w:tcW w:w="0" w:type="auto"/>
            <w:hideMark/>
          </w:tcPr>
          <w:p w14:paraId="032B13A1"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Liquidity forecasting, trade automation</w:t>
            </w:r>
          </w:p>
        </w:tc>
      </w:tr>
      <w:tr w:rsidR="001D0C32" w:rsidRPr="00C06920" w14:paraId="05025DE6" w14:textId="77777777" w:rsidTr="001D0C32">
        <w:tc>
          <w:tcPr>
            <w:tcW w:w="0" w:type="auto"/>
            <w:hideMark/>
          </w:tcPr>
          <w:p w14:paraId="6336A480" w14:textId="77777777" w:rsidR="001D0C32" w:rsidRPr="00C06920" w:rsidRDefault="001D0C32" w:rsidP="0019622A">
            <w:pPr>
              <w:spacing w:line="360" w:lineRule="auto"/>
              <w:jc w:val="both"/>
              <w:rPr>
                <w:rFonts w:ascii="Times New Roman" w:eastAsia="Times New Roman" w:hAnsi="Times New Roman" w:cs="Times New Roman"/>
              </w:rPr>
            </w:pPr>
            <w:proofErr w:type="spellStart"/>
            <w:r w:rsidRPr="00C06920">
              <w:rPr>
                <w:rFonts w:ascii="Times New Roman" w:eastAsia="Times New Roman" w:hAnsi="Times New Roman" w:cs="Times New Roman"/>
              </w:rPr>
              <w:t>XGBoost</w:t>
            </w:r>
            <w:proofErr w:type="spellEnd"/>
          </w:p>
        </w:tc>
        <w:tc>
          <w:tcPr>
            <w:tcW w:w="0" w:type="auto"/>
            <w:hideMark/>
          </w:tcPr>
          <w:p w14:paraId="4251B969"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Moderate</w:t>
            </w:r>
          </w:p>
        </w:tc>
        <w:tc>
          <w:tcPr>
            <w:tcW w:w="0" w:type="auto"/>
            <w:hideMark/>
          </w:tcPr>
          <w:p w14:paraId="5442D519"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Very High</w:t>
            </w:r>
          </w:p>
        </w:tc>
        <w:tc>
          <w:tcPr>
            <w:tcW w:w="0" w:type="auto"/>
            <w:hideMark/>
          </w:tcPr>
          <w:p w14:paraId="22F605C3"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Moderate</w:t>
            </w:r>
          </w:p>
        </w:tc>
        <w:tc>
          <w:tcPr>
            <w:tcW w:w="0" w:type="auto"/>
            <w:hideMark/>
          </w:tcPr>
          <w:p w14:paraId="5347CFF9"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Stress testing, financial modeling</w:t>
            </w:r>
          </w:p>
        </w:tc>
      </w:tr>
      <w:tr w:rsidR="001D0C32" w:rsidRPr="00C06920" w14:paraId="75FDE5E6" w14:textId="77777777" w:rsidTr="001D0C32">
        <w:tc>
          <w:tcPr>
            <w:tcW w:w="0" w:type="auto"/>
            <w:hideMark/>
          </w:tcPr>
          <w:p w14:paraId="46D8FD3F"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Logistic Regression</w:t>
            </w:r>
          </w:p>
        </w:tc>
        <w:tc>
          <w:tcPr>
            <w:tcW w:w="0" w:type="auto"/>
            <w:hideMark/>
          </w:tcPr>
          <w:p w14:paraId="0D7838AD"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High</w:t>
            </w:r>
          </w:p>
        </w:tc>
        <w:tc>
          <w:tcPr>
            <w:tcW w:w="0" w:type="auto"/>
            <w:hideMark/>
          </w:tcPr>
          <w:p w14:paraId="5822EFB5"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Moderate</w:t>
            </w:r>
          </w:p>
        </w:tc>
        <w:tc>
          <w:tcPr>
            <w:tcW w:w="0" w:type="auto"/>
            <w:hideMark/>
          </w:tcPr>
          <w:p w14:paraId="4F52C8B2"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Strong</w:t>
            </w:r>
          </w:p>
        </w:tc>
        <w:tc>
          <w:tcPr>
            <w:tcW w:w="0" w:type="auto"/>
            <w:hideMark/>
          </w:tcPr>
          <w:p w14:paraId="35EA3B9E"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Default risk estimation, compliance analytics</w:t>
            </w:r>
          </w:p>
        </w:tc>
      </w:tr>
    </w:tbl>
    <w:p w14:paraId="2869B007" w14:textId="77777777" w:rsidR="001D0C32" w:rsidRPr="00C06920" w:rsidRDefault="001D0C32" w:rsidP="0019622A">
      <w:pPr>
        <w:spacing w:after="0" w:line="360" w:lineRule="auto"/>
        <w:jc w:val="both"/>
        <w:rPr>
          <w:rFonts w:ascii="Times New Roman" w:hAnsi="Times New Roman" w:cs="Times New Roman"/>
        </w:rPr>
      </w:pPr>
    </w:p>
    <w:p w14:paraId="7992BF9A" w14:textId="77777777" w:rsidR="00F12B53" w:rsidRDefault="00F12B53" w:rsidP="0019622A">
      <w:pPr>
        <w:spacing w:after="0" w:line="360" w:lineRule="auto"/>
        <w:jc w:val="both"/>
        <w:rPr>
          <w:rFonts w:ascii="Times New Roman" w:hAnsi="Times New Roman" w:cs="Times New Roman"/>
        </w:rPr>
      </w:pPr>
      <w:r w:rsidRPr="00C06920">
        <w:rPr>
          <w:rFonts w:ascii="Times New Roman" w:hAnsi="Times New Roman" w:cs="Times New Roman"/>
        </w:rPr>
        <w:t>From the comparison, it is evident that AI models with high predictive accuracy often score lower on explainability. Financial institutions must assess the trade-offs based on regulatory requirements, business objectives, and operational constraints. In highly regulated environments, institutions may need to prioritize explainable models or adopt hybrid approaches where interpretable techniques are u</w:t>
      </w:r>
      <w:r w:rsidR="009A74FE" w:rsidRPr="00C06920">
        <w:rPr>
          <w:rFonts w:ascii="Times New Roman" w:hAnsi="Times New Roman" w:cs="Times New Roman"/>
        </w:rPr>
        <w:t>sed alongside black-box models.</w:t>
      </w:r>
    </w:p>
    <w:p w14:paraId="223589BE" w14:textId="77777777" w:rsidR="00C06920" w:rsidRDefault="00C06920" w:rsidP="0019622A">
      <w:pPr>
        <w:spacing w:after="0" w:line="360" w:lineRule="auto"/>
        <w:jc w:val="both"/>
        <w:rPr>
          <w:rFonts w:ascii="Times New Roman" w:hAnsi="Times New Roman" w:cs="Times New Roman"/>
        </w:rPr>
      </w:pPr>
    </w:p>
    <w:p w14:paraId="30E9D4BB" w14:textId="77777777" w:rsidR="00C06920" w:rsidRDefault="00C06920" w:rsidP="0019622A">
      <w:pPr>
        <w:spacing w:after="0" w:line="360" w:lineRule="auto"/>
        <w:jc w:val="both"/>
        <w:rPr>
          <w:rFonts w:ascii="Times New Roman" w:hAnsi="Times New Roman" w:cs="Times New Roman"/>
        </w:rPr>
      </w:pPr>
    </w:p>
    <w:p w14:paraId="3D6D094B" w14:textId="77777777" w:rsidR="00C06920" w:rsidRPr="00C06920" w:rsidRDefault="00C06920" w:rsidP="0019622A">
      <w:pPr>
        <w:spacing w:after="0" w:line="360" w:lineRule="auto"/>
        <w:jc w:val="both"/>
        <w:rPr>
          <w:rFonts w:ascii="Times New Roman" w:hAnsi="Times New Roman" w:cs="Times New Roman"/>
        </w:rPr>
      </w:pPr>
    </w:p>
    <w:p w14:paraId="0DCD6698" w14:textId="77777777" w:rsidR="00F12B53" w:rsidRPr="00C06920" w:rsidRDefault="00F12B53"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4.3. The Role of XAI Techniques in Enhancing Compliance</w:t>
      </w:r>
    </w:p>
    <w:p w14:paraId="1BE57B0F" w14:textId="77777777" w:rsidR="00F12B53" w:rsidRPr="00C06920" w:rsidRDefault="00F12B53" w:rsidP="0019622A">
      <w:pPr>
        <w:spacing w:after="0" w:line="360" w:lineRule="auto"/>
        <w:jc w:val="both"/>
        <w:rPr>
          <w:rFonts w:ascii="Times New Roman" w:hAnsi="Times New Roman" w:cs="Times New Roman"/>
        </w:rPr>
      </w:pPr>
      <w:r w:rsidRPr="00C06920">
        <w:rPr>
          <w:rFonts w:ascii="Times New Roman" w:hAnsi="Times New Roman" w:cs="Times New Roman"/>
        </w:rPr>
        <w:t>To address the limitations of black-box AI models, financial institutions are increasingly adopting XAI techniques. These techniques aim to provide interpretability without significantly compromising predictive performance. Several approaches have been developed to enhance explainability, including feature importance analysis, surrogate models, SHAP (Shapley Additive Explanations), and LIME (Local Interpretable Model-Agnostic Explanations).</w:t>
      </w:r>
    </w:p>
    <w:p w14:paraId="4DAEBDDF" w14:textId="77777777" w:rsidR="00003C7F" w:rsidRPr="00C06920" w:rsidRDefault="00003C7F" w:rsidP="0019622A">
      <w:pPr>
        <w:spacing w:after="0" w:line="360" w:lineRule="auto"/>
        <w:jc w:val="both"/>
        <w:rPr>
          <w:rFonts w:ascii="Times New Roman" w:hAnsi="Times New Roman" w:cs="Times New Roman"/>
        </w:rPr>
      </w:pPr>
    </w:p>
    <w:p w14:paraId="43B70288" w14:textId="77777777" w:rsidR="00471CD9" w:rsidRPr="00C06920" w:rsidRDefault="007A20DF" w:rsidP="00471CD9">
      <w:pPr>
        <w:spacing w:after="0" w:line="360" w:lineRule="auto"/>
        <w:jc w:val="center"/>
        <w:rPr>
          <w:rFonts w:ascii="Times New Roman" w:hAnsi="Times New Roman" w:cs="Times New Roman"/>
        </w:rPr>
      </w:pPr>
      <w:r w:rsidRPr="00C06920">
        <w:rPr>
          <w:rFonts w:ascii="Times New Roman" w:hAnsi="Times New Roman" w:cs="Times New Roman"/>
          <w:noProof/>
        </w:rPr>
        <w:drawing>
          <wp:inline distT="0" distB="0" distL="0" distR="0" wp14:anchorId="7317BD01" wp14:editId="70BACC57">
            <wp:extent cx="4495800" cy="24842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xai.png"/>
                    <pic:cNvPicPr/>
                  </pic:nvPicPr>
                  <pic:blipFill>
                    <a:blip r:embed="rId6">
                      <a:extLst>
                        <a:ext uri="{28A0092B-C50C-407E-A947-70E740481C1C}">
                          <a14:useLocalDpi xmlns:a14="http://schemas.microsoft.com/office/drawing/2010/main" val="0"/>
                        </a:ext>
                      </a:extLst>
                    </a:blip>
                    <a:stretch>
                      <a:fillRect/>
                    </a:stretch>
                  </pic:blipFill>
                  <pic:spPr>
                    <a:xfrm>
                      <a:off x="0" y="0"/>
                      <a:ext cx="4534612" cy="2505665"/>
                    </a:xfrm>
                    <a:prstGeom prst="rect">
                      <a:avLst/>
                    </a:prstGeom>
                  </pic:spPr>
                </pic:pic>
              </a:graphicData>
            </a:graphic>
          </wp:inline>
        </w:drawing>
      </w:r>
    </w:p>
    <w:p w14:paraId="5EE8F22C" w14:textId="457CF61C" w:rsidR="007A20DF" w:rsidRPr="00C06920" w:rsidRDefault="007A20DF" w:rsidP="00471CD9">
      <w:pPr>
        <w:spacing w:after="0" w:line="360" w:lineRule="auto"/>
        <w:jc w:val="center"/>
        <w:rPr>
          <w:rFonts w:ascii="Times New Roman" w:hAnsi="Times New Roman" w:cs="Times New Roman"/>
        </w:rPr>
      </w:pPr>
      <w:r w:rsidRPr="00C06920">
        <w:rPr>
          <w:rFonts w:ascii="Times New Roman" w:hAnsi="Times New Roman" w:cs="Times New Roman"/>
        </w:rPr>
        <w:t>Fig 2.</w:t>
      </w:r>
      <w:r w:rsidR="003326F2" w:rsidRPr="003326F2">
        <w:t xml:space="preserve"> </w:t>
      </w:r>
      <w:r w:rsidR="003326F2" w:rsidRPr="003326F2">
        <w:rPr>
          <w:rFonts w:ascii="Times New Roman" w:hAnsi="Times New Roman" w:cs="Times New Roman"/>
        </w:rPr>
        <w:t>Role of XAI Techniques in Enhancing Compliance</w:t>
      </w:r>
    </w:p>
    <w:p w14:paraId="299F68DD" w14:textId="77777777" w:rsidR="00F12B53" w:rsidRPr="00C06920" w:rsidRDefault="00F12B53" w:rsidP="0019622A">
      <w:pPr>
        <w:spacing w:after="0" w:line="360" w:lineRule="auto"/>
        <w:jc w:val="both"/>
        <w:rPr>
          <w:rFonts w:ascii="Times New Roman" w:hAnsi="Times New Roman" w:cs="Times New Roman"/>
        </w:rPr>
      </w:pPr>
      <w:r w:rsidRPr="00C06920">
        <w:rPr>
          <w:rFonts w:ascii="Times New Roman" w:hAnsi="Times New Roman" w:cs="Times New Roman"/>
        </w:rPr>
        <w:t>Feature importance analysis ranks the most influential variables in a model’s decision-making process, enabling treasury professionals to understand which factors contribute to financial risk assessments. Surrogate models, such as decision trees, are used to approximate complex models and provide an interpretable representation of AI-driven decisions. SHAP and LIME explain individual predictions by attributing weights to input variables, offering granular insights into AI outputs.</w:t>
      </w:r>
    </w:p>
    <w:p w14:paraId="6386A8D2" w14:textId="77777777" w:rsidR="00F12B53" w:rsidRDefault="00F12B53" w:rsidP="0019622A">
      <w:pPr>
        <w:spacing w:after="0" w:line="360" w:lineRule="auto"/>
        <w:jc w:val="both"/>
        <w:rPr>
          <w:rFonts w:ascii="Times New Roman" w:hAnsi="Times New Roman" w:cs="Times New Roman"/>
        </w:rPr>
      </w:pPr>
      <w:r w:rsidRPr="00C06920">
        <w:rPr>
          <w:rFonts w:ascii="Times New Roman" w:hAnsi="Times New Roman" w:cs="Times New Roman"/>
        </w:rPr>
        <w:t>The adoption of XAI techniques allows financial institutions to comply with regulatory requirements while maintaining the operational benefits of AI-driven treasury management. By integrating these methods, organizations can improve auditability, enhance stakeholder confidence, and mitigate the risks associated with AI opacity.</w:t>
      </w:r>
    </w:p>
    <w:p w14:paraId="787E3E06" w14:textId="77777777" w:rsidR="00C06920" w:rsidRPr="00C06920" w:rsidRDefault="00C06920" w:rsidP="0019622A">
      <w:pPr>
        <w:spacing w:after="0" w:line="360" w:lineRule="auto"/>
        <w:jc w:val="both"/>
        <w:rPr>
          <w:rFonts w:ascii="Times New Roman" w:hAnsi="Times New Roman" w:cs="Times New Roman"/>
        </w:rPr>
      </w:pPr>
    </w:p>
    <w:p w14:paraId="40076584" w14:textId="77777777" w:rsidR="00F12B53" w:rsidRPr="00C06920" w:rsidRDefault="00F12B53"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4.4. Challenges in Implementing XAI for Treasury Compliance</w:t>
      </w:r>
    </w:p>
    <w:p w14:paraId="76CE6200" w14:textId="77777777" w:rsidR="00F12B53" w:rsidRPr="00C06920" w:rsidRDefault="00F12B53" w:rsidP="0019622A">
      <w:pPr>
        <w:spacing w:after="0" w:line="360" w:lineRule="auto"/>
        <w:jc w:val="both"/>
        <w:rPr>
          <w:rFonts w:ascii="Times New Roman" w:hAnsi="Times New Roman" w:cs="Times New Roman"/>
        </w:rPr>
      </w:pPr>
      <w:r w:rsidRPr="00C06920">
        <w:rPr>
          <w:rFonts w:ascii="Times New Roman" w:hAnsi="Times New Roman" w:cs="Times New Roman"/>
        </w:rPr>
        <w:t>Despite the potential benefits, implementing XAI in treasury operations presents several challenges. One of the key difficulties is the computational cost associated with explainability techniques, as generating interpretable outputs for complex models requires additional processing power and time. Moreover, there is a lack of standardization in XAI frameworks, making it challenging for financial institutions to establish universally accepted explainability benchmarks.</w:t>
      </w:r>
    </w:p>
    <w:p w14:paraId="66928D2A" w14:textId="77777777" w:rsidR="00F12B53" w:rsidRPr="00C06920" w:rsidRDefault="00F12B53" w:rsidP="0019622A">
      <w:pPr>
        <w:spacing w:after="0" w:line="360" w:lineRule="auto"/>
        <w:jc w:val="both"/>
        <w:rPr>
          <w:rFonts w:ascii="Times New Roman" w:hAnsi="Times New Roman" w:cs="Times New Roman"/>
        </w:rPr>
      </w:pPr>
      <w:r w:rsidRPr="00C06920">
        <w:rPr>
          <w:rFonts w:ascii="Times New Roman" w:hAnsi="Times New Roman" w:cs="Times New Roman"/>
        </w:rPr>
        <w:t>Another significant challenge is the potential reduction in model accuracy when prioritizing explainability. While simpler models provide clearer interpretations, they may not capture intricate financial patterns as effectively as deep learning models. Treasury departments must carefully evaluate these trade-offs to ensure that compliance requirements are met without compromising financial performance.</w:t>
      </w:r>
    </w:p>
    <w:p w14:paraId="1F3E6524" w14:textId="77777777" w:rsidR="00F12B53" w:rsidRDefault="00F12B53" w:rsidP="0019622A">
      <w:pPr>
        <w:spacing w:after="0" w:line="360" w:lineRule="auto"/>
        <w:jc w:val="both"/>
        <w:rPr>
          <w:rFonts w:ascii="Times New Roman" w:hAnsi="Times New Roman" w:cs="Times New Roman"/>
        </w:rPr>
      </w:pPr>
      <w:r w:rsidRPr="00C06920">
        <w:rPr>
          <w:rFonts w:ascii="Times New Roman" w:hAnsi="Times New Roman" w:cs="Times New Roman"/>
        </w:rPr>
        <w:lastRenderedPageBreak/>
        <w:t>Furthermore, regulatory interpretations of AI transparency remain evolving, creating uncertainty for financial institutions. Compliance teams must stay updated with changes in AI governance policies and align their AI strategies with regulatory expectations. The development of standardized XAI guidelines across financial jurisdictions could help address these uncertainties and facilitate more consistent implementation of explainability measures.</w:t>
      </w:r>
    </w:p>
    <w:p w14:paraId="0C486A5B" w14:textId="77777777" w:rsidR="00C06920" w:rsidRPr="00C06920" w:rsidRDefault="00C06920" w:rsidP="0019622A">
      <w:pPr>
        <w:spacing w:after="0" w:line="360" w:lineRule="auto"/>
        <w:jc w:val="both"/>
        <w:rPr>
          <w:rFonts w:ascii="Times New Roman" w:hAnsi="Times New Roman" w:cs="Times New Roman"/>
        </w:rPr>
      </w:pPr>
    </w:p>
    <w:p w14:paraId="37BAEA99" w14:textId="77777777" w:rsidR="00F12B53" w:rsidRPr="00C06920" w:rsidRDefault="00F12B53"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4.5. Future Implications and Strategic Considerations</w:t>
      </w:r>
    </w:p>
    <w:p w14:paraId="18C6C53A" w14:textId="77777777" w:rsidR="00F12B53" w:rsidRPr="00C06920" w:rsidRDefault="00F12B53" w:rsidP="0019622A">
      <w:pPr>
        <w:spacing w:after="0" w:line="360" w:lineRule="auto"/>
        <w:jc w:val="both"/>
        <w:rPr>
          <w:rFonts w:ascii="Times New Roman" w:hAnsi="Times New Roman" w:cs="Times New Roman"/>
        </w:rPr>
      </w:pPr>
      <w:r w:rsidRPr="00C06920">
        <w:rPr>
          <w:rFonts w:ascii="Times New Roman" w:hAnsi="Times New Roman" w:cs="Times New Roman"/>
        </w:rPr>
        <w:t>The future of XAI in treasury compliance will likely be shaped by advancements in AI governance, regulatory expectations, and technological innovations. Financial institutions should invest in research and development to enhance explainability techniques while maintaining model performance. Collaboration with regulators, academic institutions, and AI researchers will be crucial in developing standardized frameworks for explainability in financial AI applications.</w:t>
      </w:r>
    </w:p>
    <w:p w14:paraId="1C890D27" w14:textId="77777777" w:rsidR="00F12B53" w:rsidRDefault="00F12B53" w:rsidP="0019622A">
      <w:pPr>
        <w:spacing w:after="0" w:line="360" w:lineRule="auto"/>
        <w:jc w:val="both"/>
        <w:rPr>
          <w:rFonts w:ascii="Times New Roman" w:hAnsi="Times New Roman" w:cs="Times New Roman"/>
        </w:rPr>
      </w:pPr>
      <w:r w:rsidRPr="00C06920">
        <w:rPr>
          <w:rFonts w:ascii="Times New Roman" w:hAnsi="Times New Roman" w:cs="Times New Roman"/>
        </w:rPr>
        <w:t>Additionally, the integration of AI ethics principles in treasury operations will become increasingly important. Financial institutions must ensure that AI-driven decisions are not only compliant with regulations but also fair, unbiased, and aligned with ethical standards. As AI governance frameworks evolve, organizations will need to adopt proactive strategies to stay ahead of regulatory changes and leverage XAI as a competitive advantage in financial risk management.</w:t>
      </w:r>
    </w:p>
    <w:p w14:paraId="10C14CD8" w14:textId="77777777" w:rsidR="00C06920" w:rsidRPr="00C06920" w:rsidRDefault="00C06920" w:rsidP="0019622A">
      <w:pPr>
        <w:spacing w:after="0" w:line="360" w:lineRule="auto"/>
        <w:jc w:val="both"/>
        <w:rPr>
          <w:rFonts w:ascii="Times New Roman" w:hAnsi="Times New Roman" w:cs="Times New Roman"/>
        </w:rPr>
      </w:pPr>
    </w:p>
    <w:p w14:paraId="50CA44CB" w14:textId="77777777" w:rsidR="00660D82" w:rsidRPr="00C06920" w:rsidRDefault="00660D82" w:rsidP="0019622A">
      <w:pPr>
        <w:spacing w:after="0" w:line="360" w:lineRule="auto"/>
        <w:jc w:val="both"/>
        <w:rPr>
          <w:rFonts w:ascii="Times New Roman" w:hAnsi="Times New Roman" w:cs="Times New Roman"/>
          <w:b/>
          <w:sz w:val="28"/>
          <w:szCs w:val="28"/>
        </w:rPr>
      </w:pPr>
      <w:r w:rsidRPr="00C06920">
        <w:rPr>
          <w:rFonts w:ascii="Times New Roman" w:hAnsi="Times New Roman" w:cs="Times New Roman"/>
          <w:b/>
          <w:sz w:val="28"/>
          <w:szCs w:val="28"/>
        </w:rPr>
        <w:t>7. Challenges and Future Directions</w:t>
      </w:r>
    </w:p>
    <w:p w14:paraId="7ABDFF5A" w14:textId="77777777" w:rsidR="00C560CA" w:rsidRPr="00C06920" w:rsidRDefault="00C560CA"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7.1. Key Hurdles in Adopting XAI for Compliance</w:t>
      </w:r>
    </w:p>
    <w:p w14:paraId="65FA1734" w14:textId="77777777" w:rsidR="00C560CA" w:rsidRPr="00C06920" w:rsidRDefault="00C560CA" w:rsidP="0019622A">
      <w:pPr>
        <w:spacing w:after="0" w:line="360" w:lineRule="auto"/>
        <w:jc w:val="both"/>
        <w:rPr>
          <w:rFonts w:ascii="Times New Roman" w:hAnsi="Times New Roman" w:cs="Times New Roman"/>
        </w:rPr>
      </w:pPr>
      <w:r w:rsidRPr="00C06920">
        <w:rPr>
          <w:rFonts w:ascii="Times New Roman" w:hAnsi="Times New Roman" w:cs="Times New Roman"/>
        </w:rPr>
        <w:t>The adoption of Explainable AI (XAI) in regulatory compliance for treasury operations faces several challenges that hinder its widespread implementation. One of the primary hurdles is the trade-off between explainability and predictive accuracy. Many high-performance AI models, such as deep learning and ensemble methods, operate as black boxes, making it difficult to interpret their decision-making processes. While simpler models like decision trees and linear regression provide better transparency, they often lack the predictive power required for complex financial forecasting. This trade-off creates a dilemma for financial institutions striving to balance compliance requirements with operational efficiency.</w:t>
      </w:r>
    </w:p>
    <w:p w14:paraId="46591B4E" w14:textId="77777777" w:rsidR="00C560CA" w:rsidRPr="00C06920" w:rsidRDefault="00C560CA" w:rsidP="0019622A">
      <w:pPr>
        <w:spacing w:after="0" w:line="360" w:lineRule="auto"/>
        <w:jc w:val="both"/>
        <w:rPr>
          <w:rFonts w:ascii="Times New Roman" w:hAnsi="Times New Roman" w:cs="Times New Roman"/>
        </w:rPr>
      </w:pPr>
      <w:r w:rsidRPr="00C06920">
        <w:rPr>
          <w:rFonts w:ascii="Times New Roman" w:hAnsi="Times New Roman" w:cs="Times New Roman"/>
        </w:rPr>
        <w:t>Another significant challenge is the high cost and complexity of implementing XAI solutions. Integrating explainable AI into existing treasury systems requires substantial investments in technology, skilled personnel, and infrastructure. Many financial institutions may lack the resources or technical expertise to develop and maintain XAI models, making adoption a slow and costly process. Furthermore, real-time explainability remains a critical issue, as many regulatory requirements demand immediate and transparent justifications for AI-driven decisions. Ensuring that XAI models provide timely insights without slowing down decision-making processes is a major obstacle.</w:t>
      </w:r>
    </w:p>
    <w:p w14:paraId="63794B03" w14:textId="77777777" w:rsidR="00C560CA" w:rsidRDefault="00C560CA" w:rsidP="0019622A">
      <w:pPr>
        <w:spacing w:after="0" w:line="360" w:lineRule="auto"/>
        <w:jc w:val="both"/>
        <w:rPr>
          <w:rFonts w:ascii="Times New Roman" w:hAnsi="Times New Roman" w:cs="Times New Roman"/>
        </w:rPr>
      </w:pPr>
      <w:r w:rsidRPr="00C06920">
        <w:rPr>
          <w:rFonts w:ascii="Times New Roman" w:hAnsi="Times New Roman" w:cs="Times New Roman"/>
        </w:rPr>
        <w:t>Regulatory uncertainty and the absence of standardized guidelines further complicate the adoption of XAI. Different regulatory bodies have varying expectations regarding AI explainability, leading to inconsistencies in compliance strategies across financial institutions. Without clear and universally accepted standards, organizations struggle to align their AI models with evolving regulatory expectations. Additionally, concerns about data privacy and security make it challenging to implement explainable AI without exposing sensitive financial information. Addressing these hurdles requires collaboration between regulators, financial institutions, and technology providers to create clear frameworks that support the responsible adoption of XAI in treasury operations.</w:t>
      </w:r>
    </w:p>
    <w:p w14:paraId="3F5827A9" w14:textId="77777777" w:rsidR="00C06920" w:rsidRDefault="00C06920" w:rsidP="0019622A">
      <w:pPr>
        <w:spacing w:after="0" w:line="360" w:lineRule="auto"/>
        <w:jc w:val="both"/>
        <w:rPr>
          <w:rFonts w:ascii="Times New Roman" w:hAnsi="Times New Roman" w:cs="Times New Roman"/>
        </w:rPr>
      </w:pPr>
    </w:p>
    <w:p w14:paraId="0AA6FE5D" w14:textId="77777777" w:rsidR="00C06920" w:rsidRPr="00C06920" w:rsidRDefault="00C06920" w:rsidP="0019622A">
      <w:pPr>
        <w:spacing w:after="0" w:line="360" w:lineRule="auto"/>
        <w:jc w:val="both"/>
        <w:rPr>
          <w:rFonts w:ascii="Times New Roman" w:hAnsi="Times New Roman" w:cs="Times New Roman"/>
        </w:rPr>
      </w:pPr>
    </w:p>
    <w:p w14:paraId="3F3F9D76" w14:textId="77777777" w:rsidR="00660D82" w:rsidRPr="00C06920" w:rsidRDefault="00F113EA"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7.1.1. Trade-offs b</w:t>
      </w:r>
      <w:r w:rsidR="00660D82" w:rsidRPr="00C06920">
        <w:rPr>
          <w:rFonts w:ascii="Times New Roman" w:hAnsi="Times New Roman" w:cs="Times New Roman"/>
          <w:b/>
          <w:sz w:val="24"/>
          <w:szCs w:val="24"/>
        </w:rPr>
        <w:t>etween Explainability and Model Performance</w:t>
      </w:r>
    </w:p>
    <w:p w14:paraId="06889CE0" w14:textId="77777777" w:rsidR="00660D82"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One of the primary challenges in implementing XAI for compliance is balancing interpretability with predictive accuracy. Traditional AI models, such as decision trees and logistic regression, are inherently transparent but may lack the sophistication required for complex financial forecasting. Conversely, deep learning models and ensemble techniques provide superior accuracy but are often opaque, making regulatory audits difficult. Striking the right balance between performance and compliance remains a significant hurdle for financial institutions.</w:t>
      </w:r>
    </w:p>
    <w:p w14:paraId="109C60E3" w14:textId="77777777" w:rsidR="00C06920" w:rsidRPr="00C06920" w:rsidRDefault="00C06920" w:rsidP="0019622A">
      <w:pPr>
        <w:spacing w:after="0" w:line="360" w:lineRule="auto"/>
        <w:jc w:val="both"/>
        <w:rPr>
          <w:rFonts w:ascii="Times New Roman" w:hAnsi="Times New Roman" w:cs="Times New Roman"/>
        </w:rPr>
      </w:pPr>
    </w:p>
    <w:p w14:paraId="41F6EB28" w14:textId="77777777" w:rsidR="00660D82" w:rsidRPr="00C06920" w:rsidRDefault="00660D82"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7.1.2. High Computational and Implementation Costs</w:t>
      </w:r>
    </w:p>
    <w:p w14:paraId="38A836B2" w14:textId="77777777" w:rsidR="00660D82"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XAI techniques, such as SHAP (Shapley Additive Explanations) and LIME (Local Interpretable Model-Agnostic Explanations), require substantial computational resources, increasing the cost of AI deployment in treasury operations. Many financial institutions, particularly smaller firms, struggle to allocate sufficient infrastructure to support explainability without compromising operational efficiency.</w:t>
      </w:r>
    </w:p>
    <w:p w14:paraId="074B721E" w14:textId="77777777" w:rsidR="00C06920" w:rsidRPr="00C06920" w:rsidRDefault="00C06920" w:rsidP="0019622A">
      <w:pPr>
        <w:spacing w:after="0" w:line="360" w:lineRule="auto"/>
        <w:jc w:val="both"/>
        <w:rPr>
          <w:rFonts w:ascii="Times New Roman" w:hAnsi="Times New Roman" w:cs="Times New Roman"/>
        </w:rPr>
      </w:pPr>
    </w:p>
    <w:p w14:paraId="28472A59" w14:textId="77777777" w:rsidR="00660D82" w:rsidRPr="00C06920" w:rsidRDefault="00660D82"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7.1.3. Lack of Standardized Regulatory Guidelines</w:t>
      </w:r>
    </w:p>
    <w:p w14:paraId="4D307072" w14:textId="77777777" w:rsidR="00660D82"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Regulatory bodies across different jurisdictions provide varying levels of guidance on AI transparency. While frameworks such as the European Union’s AI Act and the Financial Stability Board’s (FSB) AI principles emphasize explainability, there is no universal standard for implementing XAI in financial compliance. This regulatory inconsistency creates uncertainty, making it challenging for institutions to develop globally compliant AI strategies.</w:t>
      </w:r>
    </w:p>
    <w:p w14:paraId="76895EEF" w14:textId="77777777" w:rsidR="00C06920" w:rsidRPr="00C06920" w:rsidRDefault="00C06920" w:rsidP="0019622A">
      <w:pPr>
        <w:spacing w:after="0" w:line="360" w:lineRule="auto"/>
        <w:jc w:val="both"/>
        <w:rPr>
          <w:rFonts w:ascii="Times New Roman" w:hAnsi="Times New Roman" w:cs="Times New Roman"/>
        </w:rPr>
      </w:pPr>
    </w:p>
    <w:p w14:paraId="5656B6A1" w14:textId="77777777" w:rsidR="00660D82" w:rsidRPr="00C06920" w:rsidRDefault="00660D82"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7.1.4. Complexity of AI Interpretability in Real-Time Decision-Making</w:t>
      </w:r>
    </w:p>
    <w:p w14:paraId="05DDDF23" w14:textId="0F0C0005" w:rsidR="00471CD9"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Treasury operations often require real-time decision-making, particularly in liquidity management, fraud detection, and risk assessment. Many XAI techniques introduce latency in AI-driven decisions, as the process of generating explanations can slow down execution times. Ensuring real-time explainability without compromising decision speed is an ongoing challenge in AI-driven financial compliance.</w:t>
      </w:r>
    </w:p>
    <w:p w14:paraId="1DD72F1F" w14:textId="77777777" w:rsidR="00C06920" w:rsidRPr="00C06920" w:rsidRDefault="00C06920" w:rsidP="0019622A">
      <w:pPr>
        <w:spacing w:after="0" w:line="360" w:lineRule="auto"/>
        <w:jc w:val="both"/>
        <w:rPr>
          <w:rFonts w:ascii="Times New Roman" w:hAnsi="Times New Roman" w:cs="Times New Roman"/>
        </w:rPr>
      </w:pPr>
    </w:p>
    <w:p w14:paraId="2BC5F4E4" w14:textId="77777777" w:rsidR="00660D82" w:rsidRPr="00C06920" w:rsidRDefault="00660D82"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7.2. Emerging Trends in AI-Driven Regulatory Solutions</w:t>
      </w:r>
    </w:p>
    <w:p w14:paraId="6450AAFD" w14:textId="77777777" w:rsidR="004D5BDB" w:rsidRPr="00C06920" w:rsidRDefault="004D5BDB" w:rsidP="0019622A">
      <w:pPr>
        <w:spacing w:after="0" w:line="360" w:lineRule="auto"/>
        <w:jc w:val="both"/>
        <w:rPr>
          <w:rFonts w:ascii="Times New Roman" w:hAnsi="Times New Roman" w:cs="Times New Roman"/>
        </w:rPr>
      </w:pPr>
      <w:r w:rsidRPr="00C06920">
        <w:rPr>
          <w:rFonts w:ascii="Times New Roman" w:hAnsi="Times New Roman" w:cs="Times New Roman"/>
        </w:rPr>
        <w:t>Despite the challenges associated with explainable AI (XAI) in regulatory compliance, emerging trends in AI-driven regulatory technology (RegTech) are transforming compliance processes. Financial institutions are increasingly integrating XAI techniques such as SHAP (Shapley Additive Explanations) and LIME (Local Interpretable Model-Agnostic Explanations) to enhance the transparency of AI-driven decisions. These tools allow compliance teams to interpret complex machine learning models, ensuring regulatory adherence while main</w:t>
      </w:r>
      <w:r w:rsidR="00471CD9" w:rsidRPr="00C06920">
        <w:rPr>
          <w:rFonts w:ascii="Times New Roman" w:hAnsi="Times New Roman" w:cs="Times New Roman"/>
        </w:rPr>
        <w:t>taining predictive performance.</w:t>
      </w:r>
    </w:p>
    <w:p w14:paraId="05BC95CA" w14:textId="77777777" w:rsidR="00471CD9" w:rsidRPr="00C06920" w:rsidRDefault="00471CD9" w:rsidP="0019622A">
      <w:pPr>
        <w:spacing w:after="0" w:line="360" w:lineRule="auto"/>
        <w:jc w:val="both"/>
        <w:rPr>
          <w:rFonts w:ascii="Times New Roman" w:hAnsi="Times New Roman" w:cs="Times New Roman"/>
        </w:rPr>
      </w:pPr>
    </w:p>
    <w:p w14:paraId="2ECB0CBF" w14:textId="77777777" w:rsidR="00471CD9" w:rsidRPr="00C06920" w:rsidRDefault="004D5BDB" w:rsidP="0019622A">
      <w:pPr>
        <w:spacing w:after="0" w:line="360" w:lineRule="auto"/>
        <w:jc w:val="both"/>
        <w:rPr>
          <w:rFonts w:ascii="Times New Roman" w:hAnsi="Times New Roman" w:cs="Times New Roman"/>
        </w:rPr>
      </w:pPr>
      <w:r w:rsidRPr="00C06920">
        <w:rPr>
          <w:rFonts w:ascii="Times New Roman" w:hAnsi="Times New Roman" w:cs="Times New Roman"/>
        </w:rPr>
        <w:t xml:space="preserve">Another significant trend is the adoption of AI-powered real-time monitoring and anomaly detection systems. Traditional compliance methods often rely on retrospective audits, which may result in delayed fraud detection and regulatory breaches. AI-driven solutions enable continuous monitoring of transactions, identifying suspicious activities </w:t>
      </w:r>
      <w:r w:rsidRPr="00C06920">
        <w:rPr>
          <w:rFonts w:ascii="Times New Roman" w:hAnsi="Times New Roman" w:cs="Times New Roman"/>
        </w:rPr>
        <w:lastRenderedPageBreak/>
        <w:t>in real time and reducing financial risks. Furthermore, natural language processing (NLP) is being used to automate regulatory reporting, allowing institutions to efficiently analyze and interpret regulatory updates.</w:t>
      </w:r>
    </w:p>
    <w:p w14:paraId="3EB4D53A" w14:textId="77777777" w:rsidR="004D5BDB" w:rsidRDefault="004D5BDB" w:rsidP="0019622A">
      <w:pPr>
        <w:spacing w:after="0" w:line="360" w:lineRule="auto"/>
        <w:jc w:val="both"/>
        <w:rPr>
          <w:rFonts w:ascii="Times New Roman" w:hAnsi="Times New Roman" w:cs="Times New Roman"/>
        </w:rPr>
      </w:pPr>
      <w:r w:rsidRPr="00C06920">
        <w:rPr>
          <w:rFonts w:ascii="Times New Roman" w:hAnsi="Times New Roman" w:cs="Times New Roman"/>
        </w:rPr>
        <w:t>Additionally, blockchain technology is being integrated with AI to improve compliance frameworks by enhancing auditability and transaction transparency. Smart contracts powered by AI are automating compliance verification, ensuring that financial transactions meet regulatory requirements without manual intervention. These advancements, along with regulatory sandboxes that encourage innovation in AI-driven compliance solutions, are paving the way for a more efficient, transparent, and accountable regulatory landscape in treasury operations.</w:t>
      </w:r>
    </w:p>
    <w:p w14:paraId="2A7E407E" w14:textId="77777777" w:rsidR="00C06920" w:rsidRPr="00C06920" w:rsidRDefault="00C06920" w:rsidP="0019622A">
      <w:pPr>
        <w:spacing w:after="0" w:line="360" w:lineRule="auto"/>
        <w:jc w:val="both"/>
        <w:rPr>
          <w:rFonts w:ascii="Times New Roman" w:hAnsi="Times New Roman" w:cs="Times New Roman"/>
        </w:rPr>
      </w:pPr>
    </w:p>
    <w:p w14:paraId="3A64E3BE" w14:textId="77777777" w:rsidR="00660D82" w:rsidRPr="00C06920" w:rsidRDefault="00660D82"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7.2.1. Hybrid AI Models for Enhanced Transparency</w:t>
      </w:r>
    </w:p>
    <w:p w14:paraId="4B81C96A" w14:textId="77777777" w:rsidR="00660D82"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To overcome the trade-offs between explainability and accuracy, financial institutions are exploring hybrid AI models. These models integrate interpretable techniques, such as rule-based AI and symbolic reasoning, with high-performance machine learning models, enabling a balance between tra</w:t>
      </w:r>
      <w:r w:rsidR="004D5BDB" w:rsidRPr="00C06920">
        <w:rPr>
          <w:rFonts w:ascii="Times New Roman" w:hAnsi="Times New Roman" w:cs="Times New Roman"/>
        </w:rPr>
        <w:t>nsparency and predictive power.</w:t>
      </w:r>
    </w:p>
    <w:p w14:paraId="05ECBBBC" w14:textId="77777777" w:rsidR="00C06920" w:rsidRPr="00C06920" w:rsidRDefault="00C06920" w:rsidP="0019622A">
      <w:pPr>
        <w:spacing w:after="0" w:line="360" w:lineRule="auto"/>
        <w:jc w:val="both"/>
        <w:rPr>
          <w:rFonts w:ascii="Times New Roman" w:hAnsi="Times New Roman" w:cs="Times New Roman"/>
        </w:rPr>
      </w:pPr>
    </w:p>
    <w:p w14:paraId="4D18B5BC" w14:textId="77777777" w:rsidR="00660D82" w:rsidRPr="00C06920" w:rsidRDefault="00660D82"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7.2.2. AI Governance Frameworks and Industry Standards</w:t>
      </w:r>
    </w:p>
    <w:p w14:paraId="4800B90D" w14:textId="77777777" w:rsidR="00660D82"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Regulators and financial institutions are actively working to establish industry-wide standards for AI explainability. Initiatives such as the AI Risk Management Framework (NIST) and the Basel Committee’s AI transparency guidelines aim to provide clearer regulatory expectations, reducing compliance uncertainties for financial firms.</w:t>
      </w:r>
    </w:p>
    <w:p w14:paraId="7B227E13" w14:textId="77777777" w:rsidR="00C06920" w:rsidRPr="00C06920" w:rsidRDefault="00C06920" w:rsidP="0019622A">
      <w:pPr>
        <w:spacing w:after="0" w:line="360" w:lineRule="auto"/>
        <w:jc w:val="both"/>
        <w:rPr>
          <w:rFonts w:ascii="Times New Roman" w:hAnsi="Times New Roman" w:cs="Times New Roman"/>
        </w:rPr>
      </w:pPr>
    </w:p>
    <w:p w14:paraId="5EC7F3B3" w14:textId="77777777" w:rsidR="00660D82" w:rsidRPr="00C06920" w:rsidRDefault="00660D82"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7.2.3. Automated Compliance Monitoring with AI</w:t>
      </w:r>
    </w:p>
    <w:p w14:paraId="37DCFAE9" w14:textId="77777777" w:rsidR="00660D82"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Advancements in AI-driven compliance solutions are enabling real-time monitoring of regulatory adherence. Automated compliance engines leverage natural language processing (NLP) to analyze regulatory updates and assess AI models for compliance risks. These systems can flag potential compliance violations before they escalate into regulatory issues.</w:t>
      </w:r>
    </w:p>
    <w:p w14:paraId="6F5A950A" w14:textId="77777777" w:rsidR="00C06920" w:rsidRPr="00C06920" w:rsidRDefault="00C06920" w:rsidP="0019622A">
      <w:pPr>
        <w:spacing w:after="0" w:line="360" w:lineRule="auto"/>
        <w:jc w:val="both"/>
        <w:rPr>
          <w:rFonts w:ascii="Times New Roman" w:hAnsi="Times New Roman" w:cs="Times New Roman"/>
        </w:rPr>
      </w:pPr>
    </w:p>
    <w:p w14:paraId="3392912A" w14:textId="77777777" w:rsidR="00660D82" w:rsidRPr="00C06920" w:rsidRDefault="00660D82"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7.2.4. Integration of Blockchain for AI Auditability</w:t>
      </w:r>
    </w:p>
    <w:p w14:paraId="18D7CDE7" w14:textId="77777777" w:rsidR="00660D82"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Blockchain technology is being explored as a tool to enhance AI transparency in financial compliance. By recording AI model decisions on an immutable ledger, financial institutions can create auditable trails that regulators can review for compliance verification. This approach enhances trust and reduces the risk of AI-related regulatory breaches.</w:t>
      </w:r>
    </w:p>
    <w:p w14:paraId="0FD27ED6" w14:textId="77777777" w:rsidR="00C06920" w:rsidRPr="00C06920" w:rsidRDefault="00C06920" w:rsidP="0019622A">
      <w:pPr>
        <w:spacing w:after="0" w:line="360" w:lineRule="auto"/>
        <w:jc w:val="both"/>
        <w:rPr>
          <w:rFonts w:ascii="Times New Roman" w:hAnsi="Times New Roman" w:cs="Times New Roman"/>
        </w:rPr>
      </w:pPr>
    </w:p>
    <w:p w14:paraId="2A02E1FF" w14:textId="77777777" w:rsidR="00660D82" w:rsidRPr="00C06920" w:rsidRDefault="00660D82"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7.3. Future Research Opportunities</w:t>
      </w:r>
    </w:p>
    <w:p w14:paraId="4BA4CDA0" w14:textId="77777777" w:rsidR="004D5BDB" w:rsidRPr="00C06920" w:rsidRDefault="004D5BDB" w:rsidP="0019622A">
      <w:pPr>
        <w:spacing w:after="0" w:line="360" w:lineRule="auto"/>
        <w:jc w:val="both"/>
        <w:rPr>
          <w:rFonts w:ascii="Times New Roman" w:hAnsi="Times New Roman" w:cs="Times New Roman"/>
        </w:rPr>
      </w:pPr>
      <w:r w:rsidRPr="00C06920">
        <w:rPr>
          <w:rFonts w:ascii="Times New Roman" w:hAnsi="Times New Roman" w:cs="Times New Roman"/>
        </w:rPr>
        <w:t>The evolving landscape of XAI in treasury compliance presents several research opportunities that could enhance AI transparency and performance in financial operations. One key area of exploration is the development of more interpretable machine learning models that balance accuracy and explainability. Current AI models often face a trade-off between transparency and predictive power, making it essential to research new frameworks that maintain high performance while providing clear, human-understandable justifications for their decisions. Future studies could focus on hybrid AI models that combine rule-based logic with deep learning to achieve both interpretability and robus</w:t>
      </w:r>
      <w:r w:rsidR="00003C7F" w:rsidRPr="00C06920">
        <w:rPr>
          <w:rFonts w:ascii="Times New Roman" w:hAnsi="Times New Roman" w:cs="Times New Roman"/>
        </w:rPr>
        <w:t>tness in regulatory compliance.</w:t>
      </w:r>
    </w:p>
    <w:p w14:paraId="0C7152BD" w14:textId="77777777" w:rsidR="004D5BDB" w:rsidRPr="00C06920" w:rsidRDefault="004D5BDB" w:rsidP="0019622A">
      <w:pPr>
        <w:spacing w:after="0" w:line="360" w:lineRule="auto"/>
        <w:jc w:val="both"/>
        <w:rPr>
          <w:rFonts w:ascii="Times New Roman" w:hAnsi="Times New Roman" w:cs="Times New Roman"/>
        </w:rPr>
      </w:pPr>
      <w:r w:rsidRPr="00C06920">
        <w:rPr>
          <w:rFonts w:ascii="Times New Roman" w:hAnsi="Times New Roman" w:cs="Times New Roman"/>
        </w:rPr>
        <w:lastRenderedPageBreak/>
        <w:t>Another promising research direction is the advancement of AI-driven regulatory automation and real-time compliance monitoring. As financial regulations continuously evolve, AI systems must adapt to new rules and guidelines efficiently. Research could explore how reinforcement learning and adaptive algorithms can be used to develop self-updating AI models that automatically adjust to regulatory changes without manual intervention. Additionally, improving the fairness and bias mitigation strategies within XAI models is a crucial area of study. Ensuring that AI-driven compliance tools are free from biases that could lead to discriminatory financial decisions remains an important challenge that future research must address.</w:t>
      </w:r>
    </w:p>
    <w:p w14:paraId="727FC771" w14:textId="77777777" w:rsidR="004D5BDB" w:rsidRDefault="004D5BDB" w:rsidP="0019622A">
      <w:pPr>
        <w:spacing w:after="0" w:line="360" w:lineRule="auto"/>
        <w:jc w:val="both"/>
        <w:rPr>
          <w:rFonts w:ascii="Times New Roman" w:hAnsi="Times New Roman" w:cs="Times New Roman"/>
        </w:rPr>
      </w:pPr>
      <w:r w:rsidRPr="00C06920">
        <w:rPr>
          <w:rFonts w:ascii="Times New Roman" w:hAnsi="Times New Roman" w:cs="Times New Roman"/>
        </w:rPr>
        <w:t>Moreover, there is a need for further research on integrating XAI with blockchain technology to enhance auditability and regulatory reporting. Blockchain’s immutable ledger, combined with explainable AI, could provide transparent and tamper-proof compliance records that streamline auditing processes. Investigating the feasibility of decentralized AI-driven compliance solutions could revolutionize how financial institutions manage regulatory risks. Additionally, studies focusing on the ethical implications of AI decision-making in financial operations could contribute to the development of global standards for responsible AI usage in treasury compliance.</w:t>
      </w:r>
    </w:p>
    <w:p w14:paraId="769F4C78" w14:textId="77777777" w:rsidR="00C06920" w:rsidRPr="00C06920" w:rsidRDefault="00C06920" w:rsidP="0019622A">
      <w:pPr>
        <w:spacing w:after="0" w:line="360" w:lineRule="auto"/>
        <w:jc w:val="both"/>
        <w:rPr>
          <w:rFonts w:ascii="Times New Roman" w:hAnsi="Times New Roman" w:cs="Times New Roman"/>
        </w:rPr>
      </w:pPr>
    </w:p>
    <w:p w14:paraId="2B132F64" w14:textId="77777777" w:rsidR="00660D82" w:rsidRPr="00C06920" w:rsidRDefault="00660D82" w:rsidP="0019622A">
      <w:pPr>
        <w:spacing w:after="0" w:line="360" w:lineRule="auto"/>
        <w:jc w:val="both"/>
        <w:rPr>
          <w:rFonts w:ascii="Times New Roman" w:hAnsi="Times New Roman" w:cs="Times New Roman"/>
          <w:b/>
        </w:rPr>
      </w:pPr>
      <w:r w:rsidRPr="00C06920">
        <w:rPr>
          <w:rFonts w:ascii="Times New Roman" w:hAnsi="Times New Roman" w:cs="Times New Roman"/>
          <w:b/>
        </w:rPr>
        <w:t>7.3.1. Development of Benchmarking Standards for XAI in Finance</w:t>
      </w:r>
    </w:p>
    <w:p w14:paraId="1A0DD40A" w14:textId="77777777" w:rsidR="00660D82"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One pressing research need is the establishment of universal benchmarking standards for XAI in financial applications. Future studies can focus on defining key performance indicators (KPIs) that measure the effectiveness of XAI models in regulatory compliance while maintaining operational efficiency.</w:t>
      </w:r>
    </w:p>
    <w:p w14:paraId="7F40C160" w14:textId="77777777" w:rsidR="00C06920" w:rsidRPr="00C06920" w:rsidRDefault="00C06920" w:rsidP="0019622A">
      <w:pPr>
        <w:spacing w:after="0" w:line="360" w:lineRule="auto"/>
        <w:jc w:val="both"/>
        <w:rPr>
          <w:rFonts w:ascii="Times New Roman" w:hAnsi="Times New Roman" w:cs="Times New Roman"/>
        </w:rPr>
      </w:pPr>
    </w:p>
    <w:p w14:paraId="1F8C4CC4" w14:textId="77777777" w:rsidR="00660D82" w:rsidRPr="00C06920" w:rsidRDefault="00660D82" w:rsidP="0019622A">
      <w:pPr>
        <w:spacing w:after="0" w:line="360" w:lineRule="auto"/>
        <w:jc w:val="both"/>
        <w:rPr>
          <w:rFonts w:ascii="Times New Roman" w:hAnsi="Times New Roman" w:cs="Times New Roman"/>
          <w:b/>
        </w:rPr>
      </w:pPr>
      <w:r w:rsidRPr="00C06920">
        <w:rPr>
          <w:rFonts w:ascii="Times New Roman" w:hAnsi="Times New Roman" w:cs="Times New Roman"/>
          <w:b/>
        </w:rPr>
        <w:t>7.3.2. Improving Real-Time Explainability in AI-Driven Treasury Operations</w:t>
      </w:r>
    </w:p>
    <w:p w14:paraId="6469B977" w14:textId="77777777" w:rsidR="00660D82"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There is a growing need for research into real-time explainability techniques that do not compromise decision speed. Innovative approaches, such as explainability-optimized deep learning architectures, could enable financial institutions to meet regulatory requirements without sacrificing operational agility.</w:t>
      </w:r>
    </w:p>
    <w:p w14:paraId="3920D26F" w14:textId="77777777" w:rsidR="00C06920" w:rsidRPr="00C06920" w:rsidRDefault="00C06920" w:rsidP="0019622A">
      <w:pPr>
        <w:spacing w:after="0" w:line="360" w:lineRule="auto"/>
        <w:jc w:val="both"/>
        <w:rPr>
          <w:rFonts w:ascii="Times New Roman" w:hAnsi="Times New Roman" w:cs="Times New Roman"/>
        </w:rPr>
      </w:pPr>
    </w:p>
    <w:p w14:paraId="46FD0842" w14:textId="77777777" w:rsidR="00660D82" w:rsidRPr="00C06920" w:rsidRDefault="00660D82" w:rsidP="0019622A">
      <w:pPr>
        <w:spacing w:after="0" w:line="360" w:lineRule="auto"/>
        <w:jc w:val="both"/>
        <w:rPr>
          <w:rFonts w:ascii="Times New Roman" w:hAnsi="Times New Roman" w:cs="Times New Roman"/>
          <w:b/>
        </w:rPr>
      </w:pPr>
      <w:r w:rsidRPr="00C06920">
        <w:rPr>
          <w:rFonts w:ascii="Times New Roman" w:hAnsi="Times New Roman" w:cs="Times New Roman"/>
          <w:b/>
        </w:rPr>
        <w:t>7.3.3. AI-Augmented Regulatory Sandboxes</w:t>
      </w:r>
    </w:p>
    <w:p w14:paraId="7432B9BE" w14:textId="77777777" w:rsidR="00660D82"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Regulatory sandboxes—controlled environments for testing AI-driven financial solutions—have gained traction in fintech and banking. Future research can explore how AI-augmented regulatory sandboxes can improve compliance testing and risk assessment for treasury operations, allowing institutions to validat</w:t>
      </w:r>
      <w:r w:rsidR="004D5BDB" w:rsidRPr="00C06920">
        <w:rPr>
          <w:rFonts w:ascii="Times New Roman" w:hAnsi="Times New Roman" w:cs="Times New Roman"/>
        </w:rPr>
        <w:t>e XAI models before deployment.</w:t>
      </w:r>
    </w:p>
    <w:p w14:paraId="17EC1759" w14:textId="77777777" w:rsidR="00C06920" w:rsidRPr="00C06920" w:rsidRDefault="00C06920" w:rsidP="0019622A">
      <w:pPr>
        <w:spacing w:after="0" w:line="360" w:lineRule="auto"/>
        <w:jc w:val="both"/>
        <w:rPr>
          <w:rFonts w:ascii="Times New Roman" w:hAnsi="Times New Roman" w:cs="Times New Roman"/>
        </w:rPr>
      </w:pPr>
    </w:p>
    <w:p w14:paraId="590CB232" w14:textId="77777777" w:rsidR="00660D82" w:rsidRPr="00C06920" w:rsidRDefault="00660D82" w:rsidP="0019622A">
      <w:pPr>
        <w:spacing w:after="0" w:line="360" w:lineRule="auto"/>
        <w:jc w:val="both"/>
        <w:rPr>
          <w:rFonts w:ascii="Times New Roman" w:hAnsi="Times New Roman" w:cs="Times New Roman"/>
          <w:b/>
        </w:rPr>
      </w:pPr>
      <w:r w:rsidRPr="00C06920">
        <w:rPr>
          <w:rFonts w:ascii="Times New Roman" w:hAnsi="Times New Roman" w:cs="Times New Roman"/>
          <w:b/>
        </w:rPr>
        <w:t>7.3.4. Ethical AI and Bias Mitigation in Treasury Compliance</w:t>
      </w:r>
    </w:p>
    <w:p w14:paraId="571D11E3" w14:textId="77777777" w:rsidR="00660D82"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As AI systems play a growing role in financial decision-making, ensuring fairness and bias mitigation remains a critical research focus. Future studies can explore how XAI techniques can be enhanced to detect and reduce algorithmic bias in areas such as credit risk assessment, fraud detection, and investment portfolio management.</w:t>
      </w:r>
    </w:p>
    <w:p w14:paraId="110AD6F5" w14:textId="77777777" w:rsidR="00C06920" w:rsidRPr="00C06920" w:rsidRDefault="00C06920" w:rsidP="0019622A">
      <w:pPr>
        <w:spacing w:after="0" w:line="360" w:lineRule="auto"/>
        <w:jc w:val="both"/>
        <w:rPr>
          <w:rFonts w:ascii="Times New Roman" w:hAnsi="Times New Roman" w:cs="Times New Roman"/>
        </w:rPr>
      </w:pPr>
    </w:p>
    <w:p w14:paraId="1144169F" w14:textId="77777777" w:rsidR="00660D82" w:rsidRPr="00C06920" w:rsidRDefault="00660D82"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7.4. Strategic Considerations for Financial Institutions</w:t>
      </w:r>
    </w:p>
    <w:p w14:paraId="7C248D7A" w14:textId="77777777" w:rsidR="00660D82" w:rsidRPr="00C06920"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To address the challenges and capitalize on emerging trends, financial institutions must adopt a proactive approach to XAI integration. Key strategic considerations include:</w:t>
      </w:r>
    </w:p>
    <w:p w14:paraId="2154789C" w14:textId="77777777" w:rsidR="00660D82" w:rsidRPr="00C06920" w:rsidRDefault="00660D82" w:rsidP="0019622A">
      <w:pPr>
        <w:pStyle w:val="ListParagraph"/>
        <w:numPr>
          <w:ilvl w:val="0"/>
          <w:numId w:val="3"/>
        </w:numPr>
        <w:spacing w:after="0" w:line="360" w:lineRule="auto"/>
        <w:jc w:val="both"/>
        <w:rPr>
          <w:rFonts w:ascii="Times New Roman" w:hAnsi="Times New Roman" w:cs="Times New Roman"/>
        </w:rPr>
      </w:pPr>
      <w:r w:rsidRPr="00C06920">
        <w:rPr>
          <w:rFonts w:ascii="Times New Roman" w:hAnsi="Times New Roman" w:cs="Times New Roman"/>
        </w:rPr>
        <w:t>Investing in AI transparency research and development to stay ahead of regulatory requirements.</w:t>
      </w:r>
    </w:p>
    <w:p w14:paraId="40A3B2BE" w14:textId="77777777" w:rsidR="00660D82" w:rsidRPr="00C06920" w:rsidRDefault="00660D82" w:rsidP="0019622A">
      <w:pPr>
        <w:pStyle w:val="ListParagraph"/>
        <w:numPr>
          <w:ilvl w:val="0"/>
          <w:numId w:val="3"/>
        </w:numPr>
        <w:spacing w:after="0" w:line="360" w:lineRule="auto"/>
        <w:jc w:val="both"/>
        <w:rPr>
          <w:rFonts w:ascii="Times New Roman" w:hAnsi="Times New Roman" w:cs="Times New Roman"/>
        </w:rPr>
      </w:pPr>
      <w:r w:rsidRPr="00C06920">
        <w:rPr>
          <w:rFonts w:ascii="Times New Roman" w:hAnsi="Times New Roman" w:cs="Times New Roman"/>
        </w:rPr>
        <w:lastRenderedPageBreak/>
        <w:t>Collaborating with regulatory bodies to shape industry standards for AI explainability.</w:t>
      </w:r>
    </w:p>
    <w:p w14:paraId="630CF418" w14:textId="77777777" w:rsidR="00660D82" w:rsidRPr="00C06920" w:rsidRDefault="00660D82" w:rsidP="0019622A">
      <w:pPr>
        <w:pStyle w:val="ListParagraph"/>
        <w:numPr>
          <w:ilvl w:val="0"/>
          <w:numId w:val="3"/>
        </w:numPr>
        <w:spacing w:after="0" w:line="360" w:lineRule="auto"/>
        <w:jc w:val="both"/>
        <w:rPr>
          <w:rFonts w:ascii="Times New Roman" w:hAnsi="Times New Roman" w:cs="Times New Roman"/>
        </w:rPr>
      </w:pPr>
      <w:r w:rsidRPr="00C06920">
        <w:rPr>
          <w:rFonts w:ascii="Times New Roman" w:hAnsi="Times New Roman" w:cs="Times New Roman"/>
        </w:rPr>
        <w:t>Leveraging RegTech solutions for real-time compliance monitoring and automated reporting.</w:t>
      </w:r>
    </w:p>
    <w:p w14:paraId="02FD2B18" w14:textId="77777777" w:rsidR="00660D82" w:rsidRPr="00C06920" w:rsidRDefault="00660D82" w:rsidP="0019622A">
      <w:pPr>
        <w:pStyle w:val="ListParagraph"/>
        <w:numPr>
          <w:ilvl w:val="0"/>
          <w:numId w:val="3"/>
        </w:numPr>
        <w:spacing w:after="0" w:line="360" w:lineRule="auto"/>
        <w:jc w:val="both"/>
        <w:rPr>
          <w:rFonts w:ascii="Times New Roman" w:hAnsi="Times New Roman" w:cs="Times New Roman"/>
        </w:rPr>
      </w:pPr>
      <w:r w:rsidRPr="00C06920">
        <w:rPr>
          <w:rFonts w:ascii="Times New Roman" w:hAnsi="Times New Roman" w:cs="Times New Roman"/>
        </w:rPr>
        <w:t>Adopting hybrid AI models that balance performance and transparency.</w:t>
      </w:r>
    </w:p>
    <w:p w14:paraId="456ADA30" w14:textId="77777777" w:rsidR="00660D82" w:rsidRPr="00C06920"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As AI governance frameworks evolve, financial institutions that proactively implement explainable AI solutions will gain a competitive advantage in regulatory compliance, risk management, and operational efficiency.</w:t>
      </w:r>
    </w:p>
    <w:p w14:paraId="25BB0165" w14:textId="5FDE2ADE" w:rsidR="00F64714" w:rsidRPr="00C06920" w:rsidRDefault="00F64714" w:rsidP="0019622A">
      <w:pPr>
        <w:spacing w:after="0" w:line="360" w:lineRule="auto"/>
        <w:jc w:val="both"/>
        <w:rPr>
          <w:rFonts w:ascii="Times New Roman" w:hAnsi="Times New Roman" w:cs="Times New Roman"/>
          <w:b/>
          <w:sz w:val="28"/>
          <w:szCs w:val="28"/>
        </w:rPr>
      </w:pPr>
    </w:p>
    <w:p w14:paraId="123145C1" w14:textId="77777777" w:rsidR="00C560CA" w:rsidRPr="00C06920" w:rsidRDefault="00C560CA" w:rsidP="0019622A">
      <w:pPr>
        <w:spacing w:after="0" w:line="360" w:lineRule="auto"/>
        <w:jc w:val="both"/>
        <w:rPr>
          <w:rFonts w:ascii="Times New Roman" w:hAnsi="Times New Roman" w:cs="Times New Roman"/>
          <w:b/>
          <w:sz w:val="28"/>
          <w:szCs w:val="28"/>
        </w:rPr>
      </w:pPr>
      <w:r w:rsidRPr="00C06920">
        <w:rPr>
          <w:rFonts w:ascii="Times New Roman" w:hAnsi="Times New Roman" w:cs="Times New Roman"/>
          <w:b/>
          <w:sz w:val="28"/>
          <w:szCs w:val="28"/>
        </w:rPr>
        <w:t>Conclusion</w:t>
      </w:r>
    </w:p>
    <w:p w14:paraId="074DAA39" w14:textId="77777777" w:rsidR="00C560CA" w:rsidRPr="00C06920" w:rsidRDefault="00C560CA" w:rsidP="0019622A">
      <w:pPr>
        <w:spacing w:after="0" w:line="360" w:lineRule="auto"/>
        <w:jc w:val="both"/>
        <w:rPr>
          <w:rFonts w:ascii="Times New Roman" w:hAnsi="Times New Roman" w:cs="Times New Roman"/>
        </w:rPr>
      </w:pPr>
      <w:r w:rsidRPr="00C06920">
        <w:rPr>
          <w:rFonts w:ascii="Times New Roman" w:hAnsi="Times New Roman" w:cs="Times New Roman"/>
        </w:rPr>
        <w:t>The adoption of Explainable AI (XAI) in regulatory compliance for treasury operations is a significant advancement in ensuring transparency, accountability, and performance. As AI-driven decision-making becomes more integral to financial processes such as risk management, liquidity optimization, and regulatory reporting, the need for explainability has intensified. While AI enhances efficiency, opaque models pose compliance risks, including regulatory penalties, financial instability, and reputational damage. Therefore, integrating explainable AI frameworks is not just a regulatory requirement but also a strategic necessity for financial institutions aiming to foster trust and resilience.</w:t>
      </w:r>
    </w:p>
    <w:p w14:paraId="49880D85" w14:textId="77777777" w:rsidR="00C560CA" w:rsidRPr="00C06920" w:rsidRDefault="00C560CA" w:rsidP="0019622A">
      <w:pPr>
        <w:spacing w:after="0" w:line="360" w:lineRule="auto"/>
        <w:jc w:val="both"/>
        <w:rPr>
          <w:rFonts w:ascii="Times New Roman" w:hAnsi="Times New Roman" w:cs="Times New Roman"/>
        </w:rPr>
      </w:pPr>
      <w:r w:rsidRPr="00C06920">
        <w:rPr>
          <w:rFonts w:ascii="Times New Roman" w:hAnsi="Times New Roman" w:cs="Times New Roman"/>
        </w:rPr>
        <w:t>This paper has examined the role of XAI in treasury operations, highlighting both its potential benefits and existing challenges. Key hurdles in adopting XAI include the trade-offs between interpretability and predictive accuracy, the high computational costs, the absence of standardized regulatory guidelines, and the difficulty of achieving real-time explainability in decision-making. Addressing these challenges requires collaborative efforts from financial institutions, regulators, and technology developers to create a balance between performance and compliance.</w:t>
      </w:r>
    </w:p>
    <w:p w14:paraId="037B85BB" w14:textId="77777777" w:rsidR="00C560CA" w:rsidRPr="00C06920" w:rsidRDefault="00C560CA" w:rsidP="0019622A">
      <w:pPr>
        <w:spacing w:after="0" w:line="360" w:lineRule="auto"/>
        <w:jc w:val="both"/>
        <w:rPr>
          <w:rFonts w:ascii="Times New Roman" w:hAnsi="Times New Roman" w:cs="Times New Roman"/>
        </w:rPr>
      </w:pPr>
      <w:r w:rsidRPr="00C06920">
        <w:rPr>
          <w:rFonts w:ascii="Times New Roman" w:hAnsi="Times New Roman" w:cs="Times New Roman"/>
        </w:rPr>
        <w:t>Despite these challenges, emerging trends in AI-driven regulatory solutions offer promising pathways for integrating XAI into financial operations. Hybrid AI models that blend interpretability with high-performance machine learning algorithms present a viable solution. Furthermore, advancements in AI governance frameworks, blockchain technology for auditability, and automated compliance monitoring through natural language processing are transforming the regulatory landscape. These innovations are making AI-powered compliance solutions more practical and reliable for financial institutions.</w:t>
      </w:r>
    </w:p>
    <w:p w14:paraId="34C60551" w14:textId="77777777" w:rsidR="00C560CA" w:rsidRPr="00C06920" w:rsidRDefault="00C560CA" w:rsidP="0019622A">
      <w:pPr>
        <w:spacing w:after="0" w:line="360" w:lineRule="auto"/>
        <w:jc w:val="both"/>
        <w:rPr>
          <w:rFonts w:ascii="Times New Roman" w:hAnsi="Times New Roman" w:cs="Times New Roman"/>
        </w:rPr>
      </w:pPr>
      <w:r w:rsidRPr="00C06920">
        <w:rPr>
          <w:rFonts w:ascii="Times New Roman" w:hAnsi="Times New Roman" w:cs="Times New Roman"/>
        </w:rPr>
        <w:t>Looking ahead, future research is essential to enhancing the effectiveness of XAI in treasury compliance. The development of standardized benchmarking tools for evaluating XAI models can ensure consistency and reliability in their implementation. Additionally, improving real-time explainability without compromising decision speed is crucial for AI’s practical application in dynamic financial environments. AI-augmented regulatory sandboxes can provide a controlled space for financial institutions to test and refine their AI compliance strategies before full deployment. Addressing algorithmic biases will also be key to ensuring fairness and ethical decision-making in financial operations.</w:t>
      </w:r>
    </w:p>
    <w:p w14:paraId="2BC6B89D" w14:textId="77777777" w:rsidR="00C560CA" w:rsidRPr="00C06920" w:rsidRDefault="00C560CA" w:rsidP="0019622A">
      <w:pPr>
        <w:spacing w:after="0" w:line="360" w:lineRule="auto"/>
        <w:jc w:val="both"/>
        <w:rPr>
          <w:rFonts w:ascii="Times New Roman" w:hAnsi="Times New Roman" w:cs="Times New Roman"/>
        </w:rPr>
      </w:pPr>
      <w:r w:rsidRPr="00C06920">
        <w:rPr>
          <w:rFonts w:ascii="Times New Roman" w:hAnsi="Times New Roman" w:cs="Times New Roman"/>
        </w:rPr>
        <w:t>To successfully navigate the evolving regulatory landscape, financial institutions must take a proactive approach to XAI adoption. Investing in research and development, collaborating with regulatory bodies to establish standardized compliance frameworks, and leveraging advanced regulatory technologies can enhance compliance monitoring and reduce manual oversight burdens. Moreover, integrating XAI techniques into AI risk management frameworks and training personnel in XAI tools will strengthen regulatory awareness and operational efficiency. As AI governance continues to evolve, institutions that prioritize XAI adoption will not only mitigate compliance risks but also gain a competitive edge in operational efficiency and stakeholder trust, ultimately shaping the future of treasury operations with enhanced resilience and regulatory integrity.</w:t>
      </w:r>
    </w:p>
    <w:p w14:paraId="6DC07B8C" w14:textId="77777777" w:rsidR="003326F2" w:rsidRPr="003326F2" w:rsidRDefault="003326F2" w:rsidP="003326F2">
      <w:pPr>
        <w:spacing w:after="200" w:line="276" w:lineRule="auto"/>
        <w:rPr>
          <w:rFonts w:ascii="Calibri" w:eastAsia="Calibri" w:hAnsi="Calibri" w:cs="Times New Roman"/>
          <w:kern w:val="2"/>
          <w14:ligatures w14:val="standardContextual"/>
        </w:rPr>
      </w:pPr>
      <w:r w:rsidRPr="003326F2">
        <w:rPr>
          <w:rFonts w:ascii="Calibri" w:eastAsia="Calibri" w:hAnsi="Calibri" w:cs="Times New Roman"/>
          <w:kern w:val="2"/>
          <w14:ligatures w14:val="standardContextual"/>
        </w:rPr>
        <w:lastRenderedPageBreak/>
        <w:t>Disclaimer (Artificial intelligence)</w:t>
      </w:r>
    </w:p>
    <w:p w14:paraId="0C50A98A" w14:textId="77777777" w:rsidR="003326F2" w:rsidRPr="003326F2" w:rsidRDefault="003326F2" w:rsidP="003326F2">
      <w:pPr>
        <w:spacing w:after="200" w:line="276" w:lineRule="auto"/>
        <w:rPr>
          <w:rFonts w:ascii="Calibri" w:eastAsia="Calibri" w:hAnsi="Calibri" w:cs="Times New Roman"/>
          <w:kern w:val="2"/>
          <w14:ligatures w14:val="standardContextual"/>
        </w:rPr>
      </w:pPr>
      <w:r w:rsidRPr="003326F2">
        <w:rPr>
          <w:rFonts w:ascii="Calibri" w:eastAsia="Calibri" w:hAnsi="Calibri" w:cs="Times New Roman"/>
          <w:kern w:val="2"/>
          <w14:ligatures w14:val="standardContextual"/>
        </w:rPr>
        <w:t xml:space="preserve">Option 1: </w:t>
      </w:r>
    </w:p>
    <w:p w14:paraId="0D84DA65" w14:textId="77777777" w:rsidR="003326F2" w:rsidRPr="003326F2" w:rsidRDefault="003326F2" w:rsidP="003326F2">
      <w:pPr>
        <w:spacing w:after="200" w:line="276" w:lineRule="auto"/>
        <w:rPr>
          <w:rFonts w:ascii="Calibri" w:eastAsia="Calibri" w:hAnsi="Calibri" w:cs="Times New Roman"/>
          <w:kern w:val="2"/>
          <w14:ligatures w14:val="standardContextual"/>
        </w:rPr>
      </w:pPr>
      <w:r w:rsidRPr="003326F2">
        <w:rPr>
          <w:rFonts w:ascii="Calibri" w:eastAsia="Calibri" w:hAnsi="Calibri" w:cs="Times New Roman"/>
          <w:kern w:val="2"/>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3CBAFE34" w14:textId="77777777" w:rsidR="003326F2" w:rsidRPr="003326F2" w:rsidRDefault="003326F2" w:rsidP="003326F2">
      <w:pPr>
        <w:spacing w:after="200" w:line="276" w:lineRule="auto"/>
        <w:rPr>
          <w:rFonts w:ascii="Calibri" w:eastAsia="Calibri" w:hAnsi="Calibri" w:cs="Times New Roman"/>
          <w:kern w:val="2"/>
          <w14:ligatures w14:val="standardContextual"/>
        </w:rPr>
      </w:pPr>
      <w:r w:rsidRPr="003326F2">
        <w:rPr>
          <w:rFonts w:ascii="Calibri" w:eastAsia="Calibri" w:hAnsi="Calibri" w:cs="Times New Roman"/>
          <w:kern w:val="2"/>
          <w14:ligatures w14:val="standardContextual"/>
        </w:rPr>
        <w:t xml:space="preserve">Option 2: </w:t>
      </w:r>
    </w:p>
    <w:p w14:paraId="6CB6DC7E" w14:textId="77777777" w:rsidR="003326F2" w:rsidRPr="003326F2" w:rsidRDefault="003326F2" w:rsidP="003326F2">
      <w:pPr>
        <w:spacing w:after="200" w:line="276" w:lineRule="auto"/>
        <w:rPr>
          <w:rFonts w:ascii="Calibri" w:eastAsia="Calibri" w:hAnsi="Calibri" w:cs="Times New Roman"/>
          <w:kern w:val="2"/>
          <w14:ligatures w14:val="standardContextual"/>
        </w:rPr>
      </w:pPr>
      <w:r w:rsidRPr="003326F2">
        <w:rPr>
          <w:rFonts w:ascii="Calibri" w:eastAsia="Calibri" w:hAnsi="Calibri" w:cs="Times New Roman"/>
          <w:kern w:val="2"/>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35B22E" w14:textId="77777777" w:rsidR="003326F2" w:rsidRPr="003326F2" w:rsidRDefault="003326F2" w:rsidP="003326F2">
      <w:pPr>
        <w:spacing w:after="200" w:line="276" w:lineRule="auto"/>
        <w:rPr>
          <w:rFonts w:ascii="Calibri" w:eastAsia="Calibri" w:hAnsi="Calibri" w:cs="Times New Roman"/>
          <w:kern w:val="2"/>
          <w14:ligatures w14:val="standardContextual"/>
        </w:rPr>
      </w:pPr>
      <w:r w:rsidRPr="003326F2">
        <w:rPr>
          <w:rFonts w:ascii="Calibri" w:eastAsia="Calibri" w:hAnsi="Calibri" w:cs="Times New Roman"/>
          <w:kern w:val="2"/>
          <w14:ligatures w14:val="standardContextual"/>
        </w:rPr>
        <w:t>Details of the AI usage are given below:</w:t>
      </w:r>
    </w:p>
    <w:p w14:paraId="2D015179" w14:textId="77777777" w:rsidR="003326F2" w:rsidRPr="003326F2" w:rsidRDefault="003326F2" w:rsidP="003326F2">
      <w:pPr>
        <w:spacing w:after="200" w:line="276" w:lineRule="auto"/>
        <w:rPr>
          <w:rFonts w:ascii="Calibri" w:eastAsia="Calibri" w:hAnsi="Calibri" w:cs="Times New Roman"/>
          <w:kern w:val="2"/>
          <w14:ligatures w14:val="standardContextual"/>
        </w:rPr>
      </w:pPr>
      <w:r w:rsidRPr="003326F2">
        <w:rPr>
          <w:rFonts w:ascii="Calibri" w:eastAsia="Calibri" w:hAnsi="Calibri" w:cs="Times New Roman"/>
          <w:kern w:val="2"/>
          <w14:ligatures w14:val="standardContextual"/>
        </w:rPr>
        <w:t>1.</w:t>
      </w:r>
    </w:p>
    <w:p w14:paraId="269F62BB" w14:textId="77777777" w:rsidR="003326F2" w:rsidRPr="003326F2" w:rsidRDefault="003326F2" w:rsidP="003326F2">
      <w:pPr>
        <w:spacing w:after="200" w:line="276" w:lineRule="auto"/>
        <w:rPr>
          <w:rFonts w:ascii="Calibri" w:eastAsia="Calibri" w:hAnsi="Calibri" w:cs="Times New Roman"/>
          <w:kern w:val="2"/>
          <w14:ligatures w14:val="standardContextual"/>
        </w:rPr>
      </w:pPr>
      <w:r w:rsidRPr="003326F2">
        <w:rPr>
          <w:rFonts w:ascii="Calibri" w:eastAsia="Calibri" w:hAnsi="Calibri" w:cs="Times New Roman"/>
          <w:kern w:val="2"/>
          <w14:ligatures w14:val="standardContextual"/>
        </w:rPr>
        <w:t>2.</w:t>
      </w:r>
    </w:p>
    <w:p w14:paraId="4B9B5642" w14:textId="77777777" w:rsidR="003326F2" w:rsidRPr="003326F2" w:rsidRDefault="003326F2" w:rsidP="003326F2">
      <w:pPr>
        <w:spacing w:after="200" w:line="276" w:lineRule="auto"/>
        <w:rPr>
          <w:rFonts w:ascii="Calibri" w:eastAsia="Calibri" w:hAnsi="Calibri" w:cs="Times New Roman"/>
          <w:kern w:val="2"/>
          <w14:ligatures w14:val="standardContextual"/>
        </w:rPr>
      </w:pPr>
      <w:r w:rsidRPr="003326F2">
        <w:rPr>
          <w:rFonts w:ascii="Calibri" w:eastAsia="Calibri" w:hAnsi="Calibri" w:cs="Times New Roman"/>
          <w:kern w:val="2"/>
          <w14:ligatures w14:val="standardContextual"/>
        </w:rPr>
        <w:t>3.</w:t>
      </w:r>
    </w:p>
    <w:p w14:paraId="01A51DC1" w14:textId="77777777" w:rsidR="00C560CA" w:rsidRPr="00C06920" w:rsidRDefault="00C560CA" w:rsidP="0019622A">
      <w:pPr>
        <w:spacing w:after="0" w:line="360" w:lineRule="auto"/>
        <w:jc w:val="both"/>
        <w:rPr>
          <w:rFonts w:ascii="Times New Roman" w:hAnsi="Times New Roman" w:cs="Times New Roman"/>
          <w:b/>
          <w:sz w:val="28"/>
          <w:szCs w:val="28"/>
        </w:rPr>
      </w:pPr>
    </w:p>
    <w:p w14:paraId="48D3A964" w14:textId="77777777" w:rsidR="00C560CA" w:rsidRPr="00C06920" w:rsidRDefault="00C560CA" w:rsidP="0019622A">
      <w:pPr>
        <w:spacing w:after="0" w:line="360" w:lineRule="auto"/>
        <w:jc w:val="both"/>
        <w:rPr>
          <w:rFonts w:ascii="Times New Roman" w:hAnsi="Times New Roman" w:cs="Times New Roman"/>
          <w:b/>
          <w:sz w:val="28"/>
          <w:szCs w:val="28"/>
        </w:rPr>
      </w:pPr>
    </w:p>
    <w:p w14:paraId="7B16371E" w14:textId="77777777" w:rsidR="00BF5E2B" w:rsidRPr="00C06920" w:rsidRDefault="00BF5E2B" w:rsidP="0019622A">
      <w:pPr>
        <w:spacing w:after="0" w:line="360" w:lineRule="auto"/>
        <w:jc w:val="both"/>
        <w:rPr>
          <w:rFonts w:ascii="Times New Roman" w:hAnsi="Times New Roman" w:cs="Times New Roman"/>
          <w:b/>
          <w:sz w:val="28"/>
          <w:szCs w:val="28"/>
        </w:rPr>
      </w:pPr>
      <w:r w:rsidRPr="00C06920">
        <w:rPr>
          <w:rFonts w:ascii="Times New Roman" w:hAnsi="Times New Roman" w:cs="Times New Roman"/>
          <w:b/>
          <w:sz w:val="28"/>
          <w:szCs w:val="28"/>
        </w:rPr>
        <w:t>References</w:t>
      </w:r>
    </w:p>
    <w:p w14:paraId="1E4D7947" w14:textId="77777777" w:rsidR="00BF5E2B" w:rsidRPr="00C06920" w:rsidRDefault="00BF5E2B"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proofErr w:type="spellStart"/>
      <w:r w:rsidRPr="00C06920">
        <w:rPr>
          <w:rFonts w:ascii="Times New Roman" w:hAnsi="Times New Roman" w:cs="Times New Roman"/>
          <w:color w:val="737373"/>
          <w:shd w:val="clear" w:color="auto" w:fill="FFFFFF"/>
        </w:rPr>
        <w:t>Chaddad</w:t>
      </w:r>
      <w:proofErr w:type="spellEnd"/>
      <w:r w:rsidRPr="00C06920">
        <w:rPr>
          <w:rFonts w:ascii="Times New Roman" w:hAnsi="Times New Roman" w:cs="Times New Roman"/>
          <w:color w:val="737373"/>
          <w:shd w:val="clear" w:color="auto" w:fill="FFFFFF"/>
        </w:rPr>
        <w:t xml:space="preserve">, A., Peng, J., Xu, J., &amp; </w:t>
      </w:r>
      <w:proofErr w:type="spellStart"/>
      <w:r w:rsidRPr="00C06920">
        <w:rPr>
          <w:rFonts w:ascii="Times New Roman" w:hAnsi="Times New Roman" w:cs="Times New Roman"/>
          <w:color w:val="737373"/>
          <w:shd w:val="clear" w:color="auto" w:fill="FFFFFF"/>
        </w:rPr>
        <w:t>Bouridane</w:t>
      </w:r>
      <w:proofErr w:type="spellEnd"/>
      <w:r w:rsidRPr="00C06920">
        <w:rPr>
          <w:rFonts w:ascii="Times New Roman" w:hAnsi="Times New Roman" w:cs="Times New Roman"/>
          <w:color w:val="737373"/>
          <w:shd w:val="clear" w:color="auto" w:fill="FFFFFF"/>
        </w:rPr>
        <w:t>, A. (2023, January 1). Survey of Explainable AI Techniques in Healthcare. </w:t>
      </w:r>
      <w:r w:rsidRPr="00C06920">
        <w:rPr>
          <w:rFonts w:ascii="Times New Roman" w:hAnsi="Times New Roman" w:cs="Times New Roman"/>
          <w:i/>
          <w:iCs/>
          <w:color w:val="737373"/>
          <w:shd w:val="clear" w:color="auto" w:fill="FFFFFF"/>
        </w:rPr>
        <w:t>Sensors</w:t>
      </w:r>
      <w:r w:rsidRPr="00C06920">
        <w:rPr>
          <w:rFonts w:ascii="Times New Roman" w:hAnsi="Times New Roman" w:cs="Times New Roman"/>
          <w:color w:val="737373"/>
          <w:shd w:val="clear" w:color="auto" w:fill="FFFFFF"/>
        </w:rPr>
        <w:t xml:space="preserve">. MDPI. </w:t>
      </w:r>
      <w:hyperlink r:id="rId7" w:history="1">
        <w:r w:rsidRPr="00C06920">
          <w:rPr>
            <w:rStyle w:val="Hyperlink"/>
            <w:rFonts w:ascii="Times New Roman" w:hAnsi="Times New Roman" w:cs="Times New Roman"/>
            <w:shd w:val="clear" w:color="auto" w:fill="FFFFFF"/>
          </w:rPr>
          <w:t>https://doi.org/10.3390/s23020634</w:t>
        </w:r>
      </w:hyperlink>
      <w:r w:rsidRPr="00C06920">
        <w:rPr>
          <w:rFonts w:ascii="Times New Roman" w:hAnsi="Times New Roman" w:cs="Times New Roman"/>
          <w:color w:val="737373"/>
          <w:shd w:val="clear" w:color="auto" w:fill="FFFFFF"/>
        </w:rPr>
        <w:t xml:space="preserve"> </w:t>
      </w:r>
    </w:p>
    <w:p w14:paraId="1D326A8B" w14:textId="77777777" w:rsidR="00BF5E2B" w:rsidRPr="00C06920" w:rsidRDefault="00BF5E2B"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Saeed, W., &amp; Omlin, C. (2023). Explainable AI (XAI): A systematic meta-survey of current challenges and future opportunities. </w:t>
      </w:r>
      <w:r w:rsidRPr="00C06920">
        <w:rPr>
          <w:rFonts w:ascii="Times New Roman" w:hAnsi="Times New Roman" w:cs="Times New Roman"/>
          <w:i/>
          <w:iCs/>
          <w:color w:val="737373"/>
          <w:shd w:val="clear" w:color="auto" w:fill="FFFFFF"/>
        </w:rPr>
        <w:t>Knowledge-Based Systems</w:t>
      </w:r>
      <w:r w:rsidRPr="00C06920">
        <w:rPr>
          <w:rFonts w:ascii="Times New Roman" w:hAnsi="Times New Roman" w:cs="Times New Roman"/>
          <w:color w:val="737373"/>
          <w:shd w:val="clear" w:color="auto" w:fill="FFFFFF"/>
        </w:rPr>
        <w:t>, </w:t>
      </w:r>
      <w:r w:rsidRPr="00C06920">
        <w:rPr>
          <w:rFonts w:ascii="Times New Roman" w:hAnsi="Times New Roman" w:cs="Times New Roman"/>
          <w:i/>
          <w:iCs/>
          <w:color w:val="737373"/>
          <w:shd w:val="clear" w:color="auto" w:fill="FFFFFF"/>
        </w:rPr>
        <w:t>263</w:t>
      </w:r>
      <w:r w:rsidRPr="00C06920">
        <w:rPr>
          <w:rFonts w:ascii="Times New Roman" w:hAnsi="Times New Roman" w:cs="Times New Roman"/>
          <w:color w:val="737373"/>
          <w:shd w:val="clear" w:color="auto" w:fill="FFFFFF"/>
        </w:rPr>
        <w:t xml:space="preserve">. </w:t>
      </w:r>
      <w:hyperlink r:id="rId8" w:history="1">
        <w:r w:rsidRPr="00C06920">
          <w:rPr>
            <w:rStyle w:val="Hyperlink"/>
            <w:rFonts w:ascii="Times New Roman" w:hAnsi="Times New Roman" w:cs="Times New Roman"/>
            <w:shd w:val="clear" w:color="auto" w:fill="FFFFFF"/>
          </w:rPr>
          <w:t>https://doi.org/10.1016/j.knosys.2023.110273</w:t>
        </w:r>
      </w:hyperlink>
      <w:r w:rsidRPr="00C06920">
        <w:rPr>
          <w:rFonts w:ascii="Times New Roman" w:hAnsi="Times New Roman" w:cs="Times New Roman"/>
          <w:color w:val="737373"/>
          <w:shd w:val="clear" w:color="auto" w:fill="FFFFFF"/>
        </w:rPr>
        <w:t xml:space="preserve"> </w:t>
      </w:r>
    </w:p>
    <w:p w14:paraId="322E107E" w14:textId="77777777" w:rsidR="00BF5E2B" w:rsidRPr="00C06920" w:rsidRDefault="00BF5E2B"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Saraswat, D., Bhattacharya, P., Verma, A., Prasad, V. K., Tanwar, S., Sharma, G., … Sharma, R. (2022). Explainable AI for Healthcare 5.0: Opportunities and Challenges. </w:t>
      </w:r>
      <w:r w:rsidRPr="00C06920">
        <w:rPr>
          <w:rFonts w:ascii="Times New Roman" w:hAnsi="Times New Roman" w:cs="Times New Roman"/>
          <w:i/>
          <w:iCs/>
          <w:color w:val="737373"/>
          <w:shd w:val="clear" w:color="auto" w:fill="FFFFFF"/>
        </w:rPr>
        <w:t>IEEE Access</w:t>
      </w:r>
      <w:r w:rsidRPr="00C06920">
        <w:rPr>
          <w:rFonts w:ascii="Times New Roman" w:hAnsi="Times New Roman" w:cs="Times New Roman"/>
          <w:color w:val="737373"/>
          <w:shd w:val="clear" w:color="auto" w:fill="FFFFFF"/>
        </w:rPr>
        <w:t xml:space="preserve">. Institute of Electrical and Electronics Engineers Inc. </w:t>
      </w:r>
      <w:hyperlink r:id="rId9" w:history="1">
        <w:r w:rsidRPr="00C06920">
          <w:rPr>
            <w:rStyle w:val="Hyperlink"/>
            <w:rFonts w:ascii="Times New Roman" w:hAnsi="Times New Roman" w:cs="Times New Roman"/>
            <w:shd w:val="clear" w:color="auto" w:fill="FFFFFF"/>
          </w:rPr>
          <w:t>https://doi.org/10.1109/ACCESS.2022.3197671</w:t>
        </w:r>
      </w:hyperlink>
      <w:r w:rsidRPr="00C06920">
        <w:rPr>
          <w:rFonts w:ascii="Times New Roman" w:hAnsi="Times New Roman" w:cs="Times New Roman"/>
          <w:color w:val="737373"/>
          <w:shd w:val="clear" w:color="auto" w:fill="FFFFFF"/>
        </w:rPr>
        <w:t xml:space="preserve"> </w:t>
      </w:r>
    </w:p>
    <w:p w14:paraId="2C3B7BE1" w14:textId="77777777" w:rsidR="00BF5E2B" w:rsidRPr="00C06920" w:rsidRDefault="00431D63"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 xml:space="preserve">Shin, D. (2021). The effects of explainability and </w:t>
      </w:r>
      <w:proofErr w:type="spellStart"/>
      <w:r w:rsidRPr="00C06920">
        <w:rPr>
          <w:rFonts w:ascii="Times New Roman" w:hAnsi="Times New Roman" w:cs="Times New Roman"/>
          <w:color w:val="737373"/>
          <w:shd w:val="clear" w:color="auto" w:fill="FFFFFF"/>
        </w:rPr>
        <w:t>causability</w:t>
      </w:r>
      <w:proofErr w:type="spellEnd"/>
      <w:r w:rsidRPr="00C06920">
        <w:rPr>
          <w:rFonts w:ascii="Times New Roman" w:hAnsi="Times New Roman" w:cs="Times New Roman"/>
          <w:color w:val="737373"/>
          <w:shd w:val="clear" w:color="auto" w:fill="FFFFFF"/>
        </w:rPr>
        <w:t xml:space="preserve"> on perception, trust, and acceptance: Implications for explainable AI. </w:t>
      </w:r>
      <w:r w:rsidRPr="00C06920">
        <w:rPr>
          <w:rFonts w:ascii="Times New Roman" w:hAnsi="Times New Roman" w:cs="Times New Roman"/>
          <w:i/>
          <w:iCs/>
          <w:color w:val="737373"/>
          <w:shd w:val="clear" w:color="auto" w:fill="FFFFFF"/>
        </w:rPr>
        <w:t>International Journal of Human Computer Studies</w:t>
      </w:r>
      <w:r w:rsidRPr="00C06920">
        <w:rPr>
          <w:rFonts w:ascii="Times New Roman" w:hAnsi="Times New Roman" w:cs="Times New Roman"/>
          <w:color w:val="737373"/>
          <w:shd w:val="clear" w:color="auto" w:fill="FFFFFF"/>
        </w:rPr>
        <w:t>, </w:t>
      </w:r>
      <w:r w:rsidRPr="00C06920">
        <w:rPr>
          <w:rFonts w:ascii="Times New Roman" w:hAnsi="Times New Roman" w:cs="Times New Roman"/>
          <w:i/>
          <w:iCs/>
          <w:color w:val="737373"/>
          <w:shd w:val="clear" w:color="auto" w:fill="FFFFFF"/>
        </w:rPr>
        <w:t>146</w:t>
      </w:r>
      <w:r w:rsidRPr="00C06920">
        <w:rPr>
          <w:rFonts w:ascii="Times New Roman" w:hAnsi="Times New Roman" w:cs="Times New Roman"/>
          <w:color w:val="737373"/>
          <w:shd w:val="clear" w:color="auto" w:fill="FFFFFF"/>
        </w:rPr>
        <w:t xml:space="preserve">. </w:t>
      </w:r>
      <w:hyperlink r:id="rId10" w:history="1">
        <w:r w:rsidRPr="00C06920">
          <w:rPr>
            <w:rStyle w:val="Hyperlink"/>
            <w:rFonts w:ascii="Times New Roman" w:hAnsi="Times New Roman" w:cs="Times New Roman"/>
            <w:shd w:val="clear" w:color="auto" w:fill="FFFFFF"/>
          </w:rPr>
          <w:t>https://doi.org/10.1016/j.ijhcs.2020.102551</w:t>
        </w:r>
      </w:hyperlink>
      <w:r w:rsidRPr="00C06920">
        <w:rPr>
          <w:rFonts w:ascii="Times New Roman" w:hAnsi="Times New Roman" w:cs="Times New Roman"/>
          <w:color w:val="737373"/>
          <w:shd w:val="clear" w:color="auto" w:fill="FFFFFF"/>
        </w:rPr>
        <w:t xml:space="preserve"> </w:t>
      </w:r>
    </w:p>
    <w:p w14:paraId="010C32DF" w14:textId="77777777" w:rsidR="00855E59" w:rsidRPr="00C06920" w:rsidRDefault="00855E59"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 xml:space="preserve">Rong, Y., </w:t>
      </w:r>
      <w:proofErr w:type="spellStart"/>
      <w:r w:rsidRPr="00C06920">
        <w:rPr>
          <w:rFonts w:ascii="Times New Roman" w:hAnsi="Times New Roman" w:cs="Times New Roman"/>
          <w:color w:val="737373"/>
          <w:shd w:val="clear" w:color="auto" w:fill="FFFFFF"/>
        </w:rPr>
        <w:t>Leemann</w:t>
      </w:r>
      <w:proofErr w:type="spellEnd"/>
      <w:r w:rsidRPr="00C06920">
        <w:rPr>
          <w:rFonts w:ascii="Times New Roman" w:hAnsi="Times New Roman" w:cs="Times New Roman"/>
          <w:color w:val="737373"/>
          <w:shd w:val="clear" w:color="auto" w:fill="FFFFFF"/>
        </w:rPr>
        <w:t xml:space="preserve">, T., Nguyen, T. T., Fiedler, L., Qian, P., </w:t>
      </w:r>
      <w:proofErr w:type="spellStart"/>
      <w:r w:rsidRPr="00C06920">
        <w:rPr>
          <w:rFonts w:ascii="Times New Roman" w:hAnsi="Times New Roman" w:cs="Times New Roman"/>
          <w:color w:val="737373"/>
          <w:shd w:val="clear" w:color="auto" w:fill="FFFFFF"/>
        </w:rPr>
        <w:t>Unhelkar</w:t>
      </w:r>
      <w:proofErr w:type="spellEnd"/>
      <w:r w:rsidRPr="00C06920">
        <w:rPr>
          <w:rFonts w:ascii="Times New Roman" w:hAnsi="Times New Roman" w:cs="Times New Roman"/>
          <w:color w:val="737373"/>
          <w:shd w:val="clear" w:color="auto" w:fill="FFFFFF"/>
        </w:rPr>
        <w:t xml:space="preserve">, V., … </w:t>
      </w:r>
      <w:proofErr w:type="spellStart"/>
      <w:r w:rsidRPr="00C06920">
        <w:rPr>
          <w:rFonts w:ascii="Times New Roman" w:hAnsi="Times New Roman" w:cs="Times New Roman"/>
          <w:color w:val="737373"/>
          <w:shd w:val="clear" w:color="auto" w:fill="FFFFFF"/>
        </w:rPr>
        <w:t>Kasneci</w:t>
      </w:r>
      <w:proofErr w:type="spellEnd"/>
      <w:r w:rsidRPr="00C06920">
        <w:rPr>
          <w:rFonts w:ascii="Times New Roman" w:hAnsi="Times New Roman" w:cs="Times New Roman"/>
          <w:color w:val="737373"/>
          <w:shd w:val="clear" w:color="auto" w:fill="FFFFFF"/>
        </w:rPr>
        <w:t>, E. (2024). Towards Human-Centered Explainable AI: A Survey of User Studies for Model Explanations. </w:t>
      </w:r>
      <w:r w:rsidRPr="00C06920">
        <w:rPr>
          <w:rFonts w:ascii="Times New Roman" w:hAnsi="Times New Roman" w:cs="Times New Roman"/>
          <w:i/>
          <w:iCs/>
          <w:color w:val="737373"/>
          <w:shd w:val="clear" w:color="auto" w:fill="FFFFFF"/>
        </w:rPr>
        <w:t>IEEE Transactions on Pattern Analysis and Machine Intelligence</w:t>
      </w:r>
      <w:r w:rsidRPr="00C06920">
        <w:rPr>
          <w:rFonts w:ascii="Times New Roman" w:hAnsi="Times New Roman" w:cs="Times New Roman"/>
          <w:color w:val="737373"/>
          <w:shd w:val="clear" w:color="auto" w:fill="FFFFFF"/>
        </w:rPr>
        <w:t>, </w:t>
      </w:r>
      <w:r w:rsidRPr="00C06920">
        <w:rPr>
          <w:rFonts w:ascii="Times New Roman" w:hAnsi="Times New Roman" w:cs="Times New Roman"/>
          <w:i/>
          <w:iCs/>
          <w:color w:val="737373"/>
          <w:shd w:val="clear" w:color="auto" w:fill="FFFFFF"/>
        </w:rPr>
        <w:t>46</w:t>
      </w:r>
      <w:r w:rsidRPr="00C06920">
        <w:rPr>
          <w:rFonts w:ascii="Times New Roman" w:hAnsi="Times New Roman" w:cs="Times New Roman"/>
          <w:color w:val="737373"/>
          <w:shd w:val="clear" w:color="auto" w:fill="FFFFFF"/>
        </w:rPr>
        <w:t xml:space="preserve">(4), 2104–2122. </w:t>
      </w:r>
      <w:hyperlink r:id="rId11" w:history="1">
        <w:r w:rsidRPr="00C06920">
          <w:rPr>
            <w:rStyle w:val="Hyperlink"/>
            <w:rFonts w:ascii="Times New Roman" w:hAnsi="Times New Roman" w:cs="Times New Roman"/>
            <w:shd w:val="clear" w:color="auto" w:fill="FFFFFF"/>
          </w:rPr>
          <w:t>https://doi.org/10.1109/TPAMI.2023.3331846</w:t>
        </w:r>
      </w:hyperlink>
      <w:r w:rsidRPr="00C06920">
        <w:rPr>
          <w:rFonts w:ascii="Times New Roman" w:hAnsi="Times New Roman" w:cs="Times New Roman"/>
          <w:color w:val="737373"/>
          <w:shd w:val="clear" w:color="auto" w:fill="FFFFFF"/>
        </w:rPr>
        <w:t xml:space="preserve"> </w:t>
      </w:r>
    </w:p>
    <w:p w14:paraId="4C08371B" w14:textId="77777777" w:rsidR="00855E59" w:rsidRPr="00C06920" w:rsidRDefault="005700FB"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 xml:space="preserve">Jamil, A. H., Mohd Sanusi, Z., Yaacob, N. M., Mat Isa, Y., &amp; </w:t>
      </w:r>
      <w:proofErr w:type="spellStart"/>
      <w:r w:rsidRPr="00C06920">
        <w:rPr>
          <w:rFonts w:ascii="Times New Roman" w:hAnsi="Times New Roman" w:cs="Times New Roman"/>
          <w:color w:val="737373"/>
          <w:shd w:val="clear" w:color="auto" w:fill="FFFFFF"/>
        </w:rPr>
        <w:t>Tarjo</w:t>
      </w:r>
      <w:proofErr w:type="spellEnd"/>
      <w:r w:rsidRPr="00C06920">
        <w:rPr>
          <w:rFonts w:ascii="Times New Roman" w:hAnsi="Times New Roman" w:cs="Times New Roman"/>
          <w:color w:val="737373"/>
          <w:shd w:val="clear" w:color="auto" w:fill="FFFFFF"/>
        </w:rPr>
        <w:t>, T. (2022). The Covid-19 impact on financial crime and regulatory compliance in Malaysia. </w:t>
      </w:r>
      <w:r w:rsidRPr="00C06920">
        <w:rPr>
          <w:rFonts w:ascii="Times New Roman" w:hAnsi="Times New Roman" w:cs="Times New Roman"/>
          <w:i/>
          <w:iCs/>
          <w:color w:val="737373"/>
          <w:shd w:val="clear" w:color="auto" w:fill="FFFFFF"/>
        </w:rPr>
        <w:t>Journal of Financial Crime</w:t>
      </w:r>
      <w:r w:rsidRPr="00C06920">
        <w:rPr>
          <w:rFonts w:ascii="Times New Roman" w:hAnsi="Times New Roman" w:cs="Times New Roman"/>
          <w:color w:val="737373"/>
          <w:shd w:val="clear" w:color="auto" w:fill="FFFFFF"/>
        </w:rPr>
        <w:t>, </w:t>
      </w:r>
      <w:r w:rsidRPr="00C06920">
        <w:rPr>
          <w:rFonts w:ascii="Times New Roman" w:hAnsi="Times New Roman" w:cs="Times New Roman"/>
          <w:i/>
          <w:iCs/>
          <w:color w:val="737373"/>
          <w:shd w:val="clear" w:color="auto" w:fill="FFFFFF"/>
        </w:rPr>
        <w:t>29</w:t>
      </w:r>
      <w:r w:rsidRPr="00C06920">
        <w:rPr>
          <w:rFonts w:ascii="Times New Roman" w:hAnsi="Times New Roman" w:cs="Times New Roman"/>
          <w:color w:val="737373"/>
          <w:shd w:val="clear" w:color="auto" w:fill="FFFFFF"/>
        </w:rPr>
        <w:t xml:space="preserve">(2), 491–505. </w:t>
      </w:r>
      <w:hyperlink r:id="rId12" w:history="1">
        <w:r w:rsidRPr="00C06920">
          <w:rPr>
            <w:rStyle w:val="Hyperlink"/>
            <w:rFonts w:ascii="Times New Roman" w:hAnsi="Times New Roman" w:cs="Times New Roman"/>
            <w:shd w:val="clear" w:color="auto" w:fill="FFFFFF"/>
          </w:rPr>
          <w:t>https://doi.org/10.1108/JFC-05-2021-0107</w:t>
        </w:r>
      </w:hyperlink>
      <w:r w:rsidRPr="00C06920">
        <w:rPr>
          <w:rFonts w:ascii="Times New Roman" w:hAnsi="Times New Roman" w:cs="Times New Roman"/>
          <w:color w:val="737373"/>
          <w:shd w:val="clear" w:color="auto" w:fill="FFFFFF"/>
        </w:rPr>
        <w:t xml:space="preserve"> </w:t>
      </w:r>
    </w:p>
    <w:p w14:paraId="7236D316" w14:textId="77777777" w:rsidR="005700FB" w:rsidRPr="00C06920" w:rsidRDefault="005700FB"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Sarawa, D. I., &amp; Mas’ud, A. (2020). Strategic public procurement regulatory compliance model with mediating effect of ethical behavior. </w:t>
      </w:r>
      <w:proofErr w:type="spellStart"/>
      <w:r w:rsidRPr="00C06920">
        <w:rPr>
          <w:rFonts w:ascii="Times New Roman" w:hAnsi="Times New Roman" w:cs="Times New Roman"/>
          <w:i/>
          <w:iCs/>
          <w:color w:val="737373"/>
          <w:shd w:val="clear" w:color="auto" w:fill="FFFFFF"/>
        </w:rPr>
        <w:t>Heliyon</w:t>
      </w:r>
      <w:proofErr w:type="spellEnd"/>
      <w:r w:rsidRPr="00C06920">
        <w:rPr>
          <w:rFonts w:ascii="Times New Roman" w:hAnsi="Times New Roman" w:cs="Times New Roman"/>
          <w:color w:val="737373"/>
          <w:shd w:val="clear" w:color="auto" w:fill="FFFFFF"/>
        </w:rPr>
        <w:t>, </w:t>
      </w:r>
      <w:r w:rsidRPr="00C06920">
        <w:rPr>
          <w:rFonts w:ascii="Times New Roman" w:hAnsi="Times New Roman" w:cs="Times New Roman"/>
          <w:i/>
          <w:iCs/>
          <w:color w:val="737373"/>
          <w:shd w:val="clear" w:color="auto" w:fill="FFFFFF"/>
        </w:rPr>
        <w:t>6</w:t>
      </w:r>
      <w:r w:rsidRPr="00C06920">
        <w:rPr>
          <w:rFonts w:ascii="Times New Roman" w:hAnsi="Times New Roman" w:cs="Times New Roman"/>
          <w:color w:val="737373"/>
          <w:shd w:val="clear" w:color="auto" w:fill="FFFFFF"/>
        </w:rPr>
        <w:t xml:space="preserve">(1). </w:t>
      </w:r>
      <w:hyperlink r:id="rId13" w:history="1">
        <w:r w:rsidRPr="00C06920">
          <w:rPr>
            <w:rStyle w:val="Hyperlink"/>
            <w:rFonts w:ascii="Times New Roman" w:hAnsi="Times New Roman" w:cs="Times New Roman"/>
            <w:shd w:val="clear" w:color="auto" w:fill="FFFFFF"/>
          </w:rPr>
          <w:t>https://doi.org/10.1016/j.heliyon.2019.e03132</w:t>
        </w:r>
      </w:hyperlink>
      <w:r w:rsidRPr="00C06920">
        <w:rPr>
          <w:rFonts w:ascii="Times New Roman" w:hAnsi="Times New Roman" w:cs="Times New Roman"/>
          <w:color w:val="737373"/>
          <w:shd w:val="clear" w:color="auto" w:fill="FFFFFF"/>
        </w:rPr>
        <w:t xml:space="preserve"> </w:t>
      </w:r>
    </w:p>
    <w:p w14:paraId="3C4CD4D9" w14:textId="77777777" w:rsidR="00CC76CE" w:rsidRPr="00C06920" w:rsidRDefault="00CC76CE"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lastRenderedPageBreak/>
        <w:t xml:space="preserve">Tan, C. H., Kong, I., Irfan, U., </w:t>
      </w:r>
      <w:proofErr w:type="spellStart"/>
      <w:r w:rsidRPr="00C06920">
        <w:rPr>
          <w:rFonts w:ascii="Times New Roman" w:hAnsi="Times New Roman" w:cs="Times New Roman"/>
          <w:color w:val="737373"/>
          <w:shd w:val="clear" w:color="auto" w:fill="FFFFFF"/>
        </w:rPr>
        <w:t>Solihin</w:t>
      </w:r>
      <w:proofErr w:type="spellEnd"/>
      <w:r w:rsidRPr="00C06920">
        <w:rPr>
          <w:rFonts w:ascii="Times New Roman" w:hAnsi="Times New Roman" w:cs="Times New Roman"/>
          <w:color w:val="737373"/>
          <w:shd w:val="clear" w:color="auto" w:fill="FFFFFF"/>
        </w:rPr>
        <w:t>, M. I., &amp; Pui, L. P. (2021). Edible oils adulteration: A review on regulatory compliance and its detection technologies. </w:t>
      </w:r>
      <w:r w:rsidRPr="00C06920">
        <w:rPr>
          <w:rFonts w:ascii="Times New Roman" w:hAnsi="Times New Roman" w:cs="Times New Roman"/>
          <w:i/>
          <w:iCs/>
          <w:color w:val="737373"/>
          <w:shd w:val="clear" w:color="auto" w:fill="FFFFFF"/>
        </w:rPr>
        <w:t>Journal of Oleo Science</w:t>
      </w:r>
      <w:r w:rsidRPr="00C06920">
        <w:rPr>
          <w:rFonts w:ascii="Times New Roman" w:hAnsi="Times New Roman" w:cs="Times New Roman"/>
          <w:color w:val="737373"/>
          <w:shd w:val="clear" w:color="auto" w:fill="FFFFFF"/>
        </w:rPr>
        <w:t xml:space="preserve">. Japan Oil Chemists Society. </w:t>
      </w:r>
      <w:hyperlink r:id="rId14" w:history="1">
        <w:r w:rsidRPr="00C06920">
          <w:rPr>
            <w:rStyle w:val="Hyperlink"/>
            <w:rFonts w:ascii="Times New Roman" w:hAnsi="Times New Roman" w:cs="Times New Roman"/>
            <w:shd w:val="clear" w:color="auto" w:fill="FFFFFF"/>
          </w:rPr>
          <w:t>https://doi.org/10.5650/jos.ess21109</w:t>
        </w:r>
      </w:hyperlink>
      <w:r w:rsidRPr="00C06920">
        <w:rPr>
          <w:rFonts w:ascii="Times New Roman" w:hAnsi="Times New Roman" w:cs="Times New Roman"/>
          <w:color w:val="737373"/>
          <w:shd w:val="clear" w:color="auto" w:fill="FFFFFF"/>
        </w:rPr>
        <w:t xml:space="preserve"> </w:t>
      </w:r>
    </w:p>
    <w:p w14:paraId="6A8E6B36" w14:textId="77777777" w:rsidR="00CC76CE" w:rsidRPr="00C06920" w:rsidRDefault="00CC76CE"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Stewart, J. (2005). Fiscal incentives, corporate structure and financial aspects of treasury management operations. </w:t>
      </w:r>
      <w:r w:rsidRPr="00C06920">
        <w:rPr>
          <w:rFonts w:ascii="Times New Roman" w:hAnsi="Times New Roman" w:cs="Times New Roman"/>
          <w:i/>
          <w:iCs/>
          <w:color w:val="737373"/>
          <w:shd w:val="clear" w:color="auto" w:fill="FFFFFF"/>
        </w:rPr>
        <w:t>Accounting Forum</w:t>
      </w:r>
      <w:r w:rsidRPr="00C06920">
        <w:rPr>
          <w:rFonts w:ascii="Times New Roman" w:hAnsi="Times New Roman" w:cs="Times New Roman"/>
          <w:color w:val="737373"/>
          <w:shd w:val="clear" w:color="auto" w:fill="FFFFFF"/>
        </w:rPr>
        <w:t>, </w:t>
      </w:r>
      <w:r w:rsidRPr="00C06920">
        <w:rPr>
          <w:rFonts w:ascii="Times New Roman" w:hAnsi="Times New Roman" w:cs="Times New Roman"/>
          <w:i/>
          <w:iCs/>
          <w:color w:val="737373"/>
          <w:shd w:val="clear" w:color="auto" w:fill="FFFFFF"/>
        </w:rPr>
        <w:t>29</w:t>
      </w:r>
      <w:r w:rsidRPr="00C06920">
        <w:rPr>
          <w:rFonts w:ascii="Times New Roman" w:hAnsi="Times New Roman" w:cs="Times New Roman"/>
          <w:color w:val="737373"/>
          <w:shd w:val="clear" w:color="auto" w:fill="FFFFFF"/>
        </w:rPr>
        <w:t xml:space="preserve">(3 SPEC. ISS.), 271–288. </w:t>
      </w:r>
      <w:hyperlink r:id="rId15" w:history="1">
        <w:r w:rsidRPr="00C06920">
          <w:rPr>
            <w:rStyle w:val="Hyperlink"/>
            <w:rFonts w:ascii="Times New Roman" w:hAnsi="Times New Roman" w:cs="Times New Roman"/>
            <w:shd w:val="clear" w:color="auto" w:fill="FFFFFF"/>
          </w:rPr>
          <w:t>https://doi.org/10.1016/j.accfor.2005.03.001</w:t>
        </w:r>
      </w:hyperlink>
      <w:r w:rsidRPr="00C06920">
        <w:rPr>
          <w:rFonts w:ascii="Times New Roman" w:hAnsi="Times New Roman" w:cs="Times New Roman"/>
          <w:color w:val="737373"/>
          <w:shd w:val="clear" w:color="auto" w:fill="FFFFFF"/>
        </w:rPr>
        <w:t xml:space="preserve"> </w:t>
      </w:r>
    </w:p>
    <w:p w14:paraId="74B3E369" w14:textId="77777777" w:rsidR="00CC76CE" w:rsidRPr="00C06920" w:rsidRDefault="00CC76CE"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International Monetary Fund. (2011). Operational Risk Management and Business Continuity Planning for Modern State Treasuries. </w:t>
      </w:r>
      <w:r w:rsidRPr="00C06920">
        <w:rPr>
          <w:rFonts w:ascii="Times New Roman" w:hAnsi="Times New Roman" w:cs="Times New Roman"/>
          <w:i/>
          <w:iCs/>
          <w:color w:val="737373"/>
          <w:shd w:val="clear" w:color="auto" w:fill="FFFFFF"/>
        </w:rPr>
        <w:t>Technical Notes and Manuals</w:t>
      </w:r>
      <w:r w:rsidRPr="00C06920">
        <w:rPr>
          <w:rFonts w:ascii="Times New Roman" w:hAnsi="Times New Roman" w:cs="Times New Roman"/>
          <w:color w:val="737373"/>
          <w:shd w:val="clear" w:color="auto" w:fill="FFFFFF"/>
        </w:rPr>
        <w:t>, </w:t>
      </w:r>
      <w:r w:rsidRPr="00C06920">
        <w:rPr>
          <w:rFonts w:ascii="Times New Roman" w:hAnsi="Times New Roman" w:cs="Times New Roman"/>
          <w:i/>
          <w:iCs/>
          <w:color w:val="737373"/>
          <w:shd w:val="clear" w:color="auto" w:fill="FFFFFF"/>
        </w:rPr>
        <w:t>2011</w:t>
      </w:r>
      <w:r w:rsidRPr="00C06920">
        <w:rPr>
          <w:rFonts w:ascii="Times New Roman" w:hAnsi="Times New Roman" w:cs="Times New Roman"/>
          <w:color w:val="737373"/>
          <w:shd w:val="clear" w:color="auto" w:fill="FFFFFF"/>
        </w:rPr>
        <w:t xml:space="preserve">(05), 1. </w:t>
      </w:r>
      <w:hyperlink r:id="rId16" w:history="1">
        <w:r w:rsidRPr="00C06920">
          <w:rPr>
            <w:rStyle w:val="Hyperlink"/>
            <w:rFonts w:ascii="Times New Roman" w:hAnsi="Times New Roman" w:cs="Times New Roman"/>
            <w:shd w:val="clear" w:color="auto" w:fill="FFFFFF"/>
          </w:rPr>
          <w:t>https://doi.org/10.5089/9781475504705.005</w:t>
        </w:r>
      </w:hyperlink>
      <w:r w:rsidRPr="00C06920">
        <w:rPr>
          <w:rFonts w:ascii="Times New Roman" w:hAnsi="Times New Roman" w:cs="Times New Roman"/>
          <w:color w:val="737373"/>
          <w:shd w:val="clear" w:color="auto" w:fill="FFFFFF"/>
        </w:rPr>
        <w:t xml:space="preserve"> </w:t>
      </w:r>
    </w:p>
    <w:p w14:paraId="34282975" w14:textId="77777777" w:rsidR="00855E59" w:rsidRPr="00C06920" w:rsidRDefault="008A6794"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 xml:space="preserve">Shirokova, M. A., </w:t>
      </w:r>
      <w:proofErr w:type="spellStart"/>
      <w:r w:rsidRPr="00C06920">
        <w:rPr>
          <w:rFonts w:ascii="Times New Roman" w:hAnsi="Times New Roman" w:cs="Times New Roman"/>
          <w:color w:val="737373"/>
          <w:shd w:val="clear" w:color="auto" w:fill="FFFFFF"/>
        </w:rPr>
        <w:t>Malitskaya</w:t>
      </w:r>
      <w:proofErr w:type="spellEnd"/>
      <w:r w:rsidRPr="00C06920">
        <w:rPr>
          <w:rFonts w:ascii="Times New Roman" w:hAnsi="Times New Roman" w:cs="Times New Roman"/>
          <w:color w:val="737373"/>
          <w:shd w:val="clear" w:color="auto" w:fill="FFFFFF"/>
        </w:rPr>
        <w:t xml:space="preserve">, V. B., &amp; </w:t>
      </w:r>
      <w:proofErr w:type="spellStart"/>
      <w:r w:rsidRPr="00C06920">
        <w:rPr>
          <w:rFonts w:ascii="Times New Roman" w:hAnsi="Times New Roman" w:cs="Times New Roman"/>
          <w:color w:val="737373"/>
          <w:shd w:val="clear" w:color="auto" w:fill="FFFFFF"/>
        </w:rPr>
        <w:t>Konovalenko</w:t>
      </w:r>
      <w:proofErr w:type="spellEnd"/>
      <w:r w:rsidRPr="00C06920">
        <w:rPr>
          <w:rFonts w:ascii="Times New Roman" w:hAnsi="Times New Roman" w:cs="Times New Roman"/>
          <w:color w:val="737373"/>
          <w:shd w:val="clear" w:color="auto" w:fill="FFFFFF"/>
        </w:rPr>
        <w:t xml:space="preserve">, I. E. (2023). Development of corporate treasury operations in </w:t>
      </w:r>
      <w:proofErr w:type="spellStart"/>
      <w:r w:rsidRPr="00C06920">
        <w:rPr>
          <w:rFonts w:ascii="Times New Roman" w:hAnsi="Times New Roman" w:cs="Times New Roman"/>
          <w:color w:val="737373"/>
          <w:shd w:val="clear" w:color="auto" w:fill="FFFFFF"/>
        </w:rPr>
        <w:t>russian</w:t>
      </w:r>
      <w:proofErr w:type="spellEnd"/>
      <w:r w:rsidRPr="00C06920">
        <w:rPr>
          <w:rFonts w:ascii="Times New Roman" w:hAnsi="Times New Roman" w:cs="Times New Roman"/>
          <w:color w:val="737373"/>
          <w:shd w:val="clear" w:color="auto" w:fill="FFFFFF"/>
        </w:rPr>
        <w:t xml:space="preserve"> leasing companies. In </w:t>
      </w:r>
      <w:r w:rsidRPr="00C06920">
        <w:rPr>
          <w:rFonts w:ascii="Times New Roman" w:hAnsi="Times New Roman" w:cs="Times New Roman"/>
          <w:i/>
          <w:iCs/>
          <w:color w:val="737373"/>
          <w:shd w:val="clear" w:color="auto" w:fill="FFFFFF"/>
        </w:rPr>
        <w:t>E3S Web of Conferences</w:t>
      </w:r>
      <w:r w:rsidRPr="00C06920">
        <w:rPr>
          <w:rFonts w:ascii="Times New Roman" w:hAnsi="Times New Roman" w:cs="Times New Roman"/>
          <w:color w:val="737373"/>
          <w:shd w:val="clear" w:color="auto" w:fill="FFFFFF"/>
        </w:rPr>
        <w:t xml:space="preserve"> (Vol. 449). EDP Sciences. </w:t>
      </w:r>
      <w:hyperlink r:id="rId17" w:history="1">
        <w:r w:rsidRPr="00C06920">
          <w:rPr>
            <w:rStyle w:val="Hyperlink"/>
            <w:rFonts w:ascii="Times New Roman" w:hAnsi="Times New Roman" w:cs="Times New Roman"/>
            <w:shd w:val="clear" w:color="auto" w:fill="FFFFFF"/>
          </w:rPr>
          <w:t>https://doi.org/10.1051/e3sconf/202344904008</w:t>
        </w:r>
      </w:hyperlink>
      <w:r w:rsidRPr="00C06920">
        <w:rPr>
          <w:rFonts w:ascii="Times New Roman" w:hAnsi="Times New Roman" w:cs="Times New Roman"/>
          <w:color w:val="737373"/>
          <w:shd w:val="clear" w:color="auto" w:fill="FFFFFF"/>
        </w:rPr>
        <w:t xml:space="preserve"> </w:t>
      </w:r>
    </w:p>
    <w:p w14:paraId="03CB4027" w14:textId="77777777" w:rsidR="008A6794" w:rsidRPr="00C06920" w:rsidRDefault="008A6794"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proofErr w:type="spellStart"/>
      <w:r w:rsidRPr="00C06920">
        <w:rPr>
          <w:rFonts w:ascii="Times New Roman" w:hAnsi="Times New Roman" w:cs="Times New Roman"/>
          <w:color w:val="737373"/>
          <w:shd w:val="clear" w:color="auto" w:fill="FFFFFF"/>
        </w:rPr>
        <w:t>Mungiu-Pippidi</w:t>
      </w:r>
      <w:proofErr w:type="spellEnd"/>
      <w:r w:rsidRPr="00C06920">
        <w:rPr>
          <w:rFonts w:ascii="Times New Roman" w:hAnsi="Times New Roman" w:cs="Times New Roman"/>
          <w:color w:val="737373"/>
          <w:shd w:val="clear" w:color="auto" w:fill="FFFFFF"/>
        </w:rPr>
        <w:t>, A. (2023). Transparency and corruption: Measuring real transparency by a new index. </w:t>
      </w:r>
      <w:r w:rsidRPr="00C06920">
        <w:rPr>
          <w:rFonts w:ascii="Times New Roman" w:hAnsi="Times New Roman" w:cs="Times New Roman"/>
          <w:i/>
          <w:iCs/>
          <w:color w:val="737373"/>
          <w:shd w:val="clear" w:color="auto" w:fill="FFFFFF"/>
        </w:rPr>
        <w:t>Regulation and Governance</w:t>
      </w:r>
      <w:r w:rsidRPr="00C06920">
        <w:rPr>
          <w:rFonts w:ascii="Times New Roman" w:hAnsi="Times New Roman" w:cs="Times New Roman"/>
          <w:color w:val="737373"/>
          <w:shd w:val="clear" w:color="auto" w:fill="FFFFFF"/>
        </w:rPr>
        <w:t>, </w:t>
      </w:r>
      <w:r w:rsidRPr="00C06920">
        <w:rPr>
          <w:rFonts w:ascii="Times New Roman" w:hAnsi="Times New Roman" w:cs="Times New Roman"/>
          <w:i/>
          <w:iCs/>
          <w:color w:val="737373"/>
          <w:shd w:val="clear" w:color="auto" w:fill="FFFFFF"/>
        </w:rPr>
        <w:t>17</w:t>
      </w:r>
      <w:r w:rsidRPr="00C06920">
        <w:rPr>
          <w:rFonts w:ascii="Times New Roman" w:hAnsi="Times New Roman" w:cs="Times New Roman"/>
          <w:color w:val="737373"/>
          <w:shd w:val="clear" w:color="auto" w:fill="FFFFFF"/>
        </w:rPr>
        <w:t xml:space="preserve">(4), 1094–1113. </w:t>
      </w:r>
      <w:hyperlink r:id="rId18" w:history="1">
        <w:r w:rsidRPr="00C06920">
          <w:rPr>
            <w:rStyle w:val="Hyperlink"/>
            <w:rFonts w:ascii="Times New Roman" w:hAnsi="Times New Roman" w:cs="Times New Roman"/>
            <w:shd w:val="clear" w:color="auto" w:fill="FFFFFF"/>
          </w:rPr>
          <w:t>https://doi.org/10.1111/rego.12502</w:t>
        </w:r>
      </w:hyperlink>
      <w:r w:rsidRPr="00C06920">
        <w:rPr>
          <w:rFonts w:ascii="Times New Roman" w:hAnsi="Times New Roman" w:cs="Times New Roman"/>
          <w:color w:val="737373"/>
          <w:shd w:val="clear" w:color="auto" w:fill="FFFFFF"/>
        </w:rPr>
        <w:t xml:space="preserve"> </w:t>
      </w:r>
    </w:p>
    <w:p w14:paraId="2768D90F" w14:textId="77777777" w:rsidR="008A6794" w:rsidRPr="00C06920" w:rsidRDefault="008A6794"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Larsson, S., &amp; Heintz, F. (2020). Transparency in artificial intelligence. </w:t>
      </w:r>
      <w:r w:rsidRPr="00C06920">
        <w:rPr>
          <w:rFonts w:ascii="Times New Roman" w:hAnsi="Times New Roman" w:cs="Times New Roman"/>
          <w:i/>
          <w:iCs/>
          <w:color w:val="737373"/>
          <w:shd w:val="clear" w:color="auto" w:fill="FFFFFF"/>
        </w:rPr>
        <w:t>Internet Policy Review</w:t>
      </w:r>
      <w:r w:rsidRPr="00C06920">
        <w:rPr>
          <w:rFonts w:ascii="Times New Roman" w:hAnsi="Times New Roman" w:cs="Times New Roman"/>
          <w:color w:val="737373"/>
          <w:shd w:val="clear" w:color="auto" w:fill="FFFFFF"/>
        </w:rPr>
        <w:t>, </w:t>
      </w:r>
      <w:r w:rsidRPr="00C06920">
        <w:rPr>
          <w:rFonts w:ascii="Times New Roman" w:hAnsi="Times New Roman" w:cs="Times New Roman"/>
          <w:i/>
          <w:iCs/>
          <w:color w:val="737373"/>
          <w:shd w:val="clear" w:color="auto" w:fill="FFFFFF"/>
        </w:rPr>
        <w:t>9</w:t>
      </w:r>
      <w:r w:rsidRPr="00C06920">
        <w:rPr>
          <w:rFonts w:ascii="Times New Roman" w:hAnsi="Times New Roman" w:cs="Times New Roman"/>
          <w:color w:val="737373"/>
          <w:shd w:val="clear" w:color="auto" w:fill="FFFFFF"/>
        </w:rPr>
        <w:t xml:space="preserve">(2), 1–16. </w:t>
      </w:r>
      <w:hyperlink r:id="rId19" w:history="1">
        <w:r w:rsidRPr="00C06920">
          <w:rPr>
            <w:rStyle w:val="Hyperlink"/>
            <w:rFonts w:ascii="Times New Roman" w:hAnsi="Times New Roman" w:cs="Times New Roman"/>
            <w:shd w:val="clear" w:color="auto" w:fill="FFFFFF"/>
          </w:rPr>
          <w:t>https://doi.org/10.14763/2020.2.1469</w:t>
        </w:r>
      </w:hyperlink>
      <w:r w:rsidRPr="00C06920">
        <w:rPr>
          <w:rFonts w:ascii="Times New Roman" w:hAnsi="Times New Roman" w:cs="Times New Roman"/>
          <w:color w:val="737373"/>
          <w:shd w:val="clear" w:color="auto" w:fill="FFFFFF"/>
        </w:rPr>
        <w:t xml:space="preserve"> </w:t>
      </w:r>
    </w:p>
    <w:p w14:paraId="7C5BD376" w14:textId="77777777" w:rsidR="008A6794" w:rsidRPr="00C06920" w:rsidRDefault="008A6794"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Schäfer, N. (2023). Making transparency transparent: a systematic literature review to define and frame supply chain transparency in the context of sustainability. </w:t>
      </w:r>
      <w:r w:rsidRPr="00C06920">
        <w:rPr>
          <w:rFonts w:ascii="Times New Roman" w:hAnsi="Times New Roman" w:cs="Times New Roman"/>
          <w:i/>
          <w:iCs/>
          <w:color w:val="737373"/>
          <w:shd w:val="clear" w:color="auto" w:fill="FFFFFF"/>
        </w:rPr>
        <w:t>Management Review Quarterly</w:t>
      </w:r>
      <w:r w:rsidRPr="00C06920">
        <w:rPr>
          <w:rFonts w:ascii="Times New Roman" w:hAnsi="Times New Roman" w:cs="Times New Roman"/>
          <w:color w:val="737373"/>
          <w:shd w:val="clear" w:color="auto" w:fill="FFFFFF"/>
        </w:rPr>
        <w:t>, </w:t>
      </w:r>
      <w:r w:rsidRPr="00C06920">
        <w:rPr>
          <w:rFonts w:ascii="Times New Roman" w:hAnsi="Times New Roman" w:cs="Times New Roman"/>
          <w:i/>
          <w:iCs/>
          <w:color w:val="737373"/>
          <w:shd w:val="clear" w:color="auto" w:fill="FFFFFF"/>
        </w:rPr>
        <w:t>73</w:t>
      </w:r>
      <w:r w:rsidRPr="00C06920">
        <w:rPr>
          <w:rFonts w:ascii="Times New Roman" w:hAnsi="Times New Roman" w:cs="Times New Roman"/>
          <w:color w:val="737373"/>
          <w:shd w:val="clear" w:color="auto" w:fill="FFFFFF"/>
        </w:rPr>
        <w:t xml:space="preserve">(2), 579–604. </w:t>
      </w:r>
      <w:hyperlink r:id="rId20" w:history="1">
        <w:r w:rsidRPr="00C06920">
          <w:rPr>
            <w:rStyle w:val="Hyperlink"/>
            <w:rFonts w:ascii="Times New Roman" w:hAnsi="Times New Roman" w:cs="Times New Roman"/>
            <w:shd w:val="clear" w:color="auto" w:fill="FFFFFF"/>
          </w:rPr>
          <w:t>https://doi.org/10.1007/s11301-021-00252-7</w:t>
        </w:r>
      </w:hyperlink>
      <w:r w:rsidRPr="00C06920">
        <w:rPr>
          <w:rFonts w:ascii="Times New Roman" w:hAnsi="Times New Roman" w:cs="Times New Roman"/>
          <w:color w:val="737373"/>
          <w:shd w:val="clear" w:color="auto" w:fill="FFFFFF"/>
        </w:rPr>
        <w:t xml:space="preserve"> </w:t>
      </w:r>
    </w:p>
    <w:p w14:paraId="69CC4CDA" w14:textId="77777777" w:rsidR="008A6794" w:rsidRPr="00B332B1" w:rsidRDefault="008A6794" w:rsidP="0019622A">
      <w:pPr>
        <w:pStyle w:val="ListParagraph"/>
        <w:numPr>
          <w:ilvl w:val="0"/>
          <w:numId w:val="4"/>
        </w:numPr>
        <w:spacing w:after="0" w:line="360" w:lineRule="auto"/>
        <w:jc w:val="both"/>
        <w:rPr>
          <w:rFonts w:ascii="Times New Roman" w:hAnsi="Times New Roman" w:cs="Times New Roman"/>
          <w:color w:val="737373"/>
          <w:highlight w:val="yellow"/>
          <w:shd w:val="clear" w:color="auto" w:fill="FFFFFF"/>
        </w:rPr>
      </w:pPr>
      <w:r w:rsidRPr="00B332B1">
        <w:rPr>
          <w:rFonts w:ascii="Times New Roman" w:hAnsi="Times New Roman" w:cs="Times New Roman"/>
          <w:color w:val="737373"/>
          <w:highlight w:val="yellow"/>
          <w:shd w:val="clear" w:color="auto" w:fill="FFFFFF"/>
        </w:rPr>
        <w:t xml:space="preserve">Song, C. L., Pan, D., Ayub, A., &amp; Cai, B. (2023). The Interplay </w:t>
      </w:r>
      <w:r w:rsidR="00003C7F" w:rsidRPr="00B332B1">
        <w:rPr>
          <w:rFonts w:ascii="Times New Roman" w:hAnsi="Times New Roman" w:cs="Times New Roman"/>
          <w:color w:val="737373"/>
          <w:highlight w:val="yellow"/>
          <w:shd w:val="clear" w:color="auto" w:fill="FFFFFF"/>
        </w:rPr>
        <w:t>between</w:t>
      </w:r>
      <w:r w:rsidRPr="00B332B1">
        <w:rPr>
          <w:rFonts w:ascii="Times New Roman" w:hAnsi="Times New Roman" w:cs="Times New Roman"/>
          <w:color w:val="737373"/>
          <w:highlight w:val="yellow"/>
          <w:shd w:val="clear" w:color="auto" w:fill="FFFFFF"/>
        </w:rPr>
        <w:t xml:space="preserve"> Financial Literacy, Financial Risk Tolerance, and Financial </w:t>
      </w:r>
      <w:proofErr w:type="spellStart"/>
      <w:r w:rsidRPr="00B332B1">
        <w:rPr>
          <w:rFonts w:ascii="Times New Roman" w:hAnsi="Times New Roman" w:cs="Times New Roman"/>
          <w:color w:val="737373"/>
          <w:highlight w:val="yellow"/>
          <w:shd w:val="clear" w:color="auto" w:fill="FFFFFF"/>
        </w:rPr>
        <w:t>Behaviour</w:t>
      </w:r>
      <w:proofErr w:type="spellEnd"/>
      <w:r w:rsidRPr="00B332B1">
        <w:rPr>
          <w:rFonts w:ascii="Times New Roman" w:hAnsi="Times New Roman" w:cs="Times New Roman"/>
          <w:color w:val="737373"/>
          <w:highlight w:val="yellow"/>
          <w:shd w:val="clear" w:color="auto" w:fill="FFFFFF"/>
        </w:rPr>
        <w:t>: The Moderator Effect of Emotional Intelligence. </w:t>
      </w:r>
      <w:r w:rsidRPr="00B332B1">
        <w:rPr>
          <w:rFonts w:ascii="Times New Roman" w:hAnsi="Times New Roman" w:cs="Times New Roman"/>
          <w:i/>
          <w:iCs/>
          <w:color w:val="737373"/>
          <w:highlight w:val="yellow"/>
          <w:shd w:val="clear" w:color="auto" w:fill="FFFFFF"/>
        </w:rPr>
        <w:t>Psychology Research and Behavior Management</w:t>
      </w:r>
      <w:r w:rsidRPr="00B332B1">
        <w:rPr>
          <w:rFonts w:ascii="Times New Roman" w:hAnsi="Times New Roman" w:cs="Times New Roman"/>
          <w:color w:val="737373"/>
          <w:highlight w:val="yellow"/>
          <w:shd w:val="clear" w:color="auto" w:fill="FFFFFF"/>
        </w:rPr>
        <w:t>, </w:t>
      </w:r>
      <w:r w:rsidRPr="00B332B1">
        <w:rPr>
          <w:rFonts w:ascii="Times New Roman" w:hAnsi="Times New Roman" w:cs="Times New Roman"/>
          <w:i/>
          <w:iCs/>
          <w:color w:val="737373"/>
          <w:highlight w:val="yellow"/>
          <w:shd w:val="clear" w:color="auto" w:fill="FFFFFF"/>
        </w:rPr>
        <w:t>16</w:t>
      </w:r>
      <w:r w:rsidRPr="00B332B1">
        <w:rPr>
          <w:rFonts w:ascii="Times New Roman" w:hAnsi="Times New Roman" w:cs="Times New Roman"/>
          <w:color w:val="737373"/>
          <w:highlight w:val="yellow"/>
          <w:shd w:val="clear" w:color="auto" w:fill="FFFFFF"/>
        </w:rPr>
        <w:t xml:space="preserve">, 535–548. </w:t>
      </w:r>
      <w:hyperlink r:id="rId21" w:history="1">
        <w:r w:rsidRPr="00B332B1">
          <w:rPr>
            <w:rStyle w:val="Hyperlink"/>
            <w:rFonts w:ascii="Times New Roman" w:hAnsi="Times New Roman" w:cs="Times New Roman"/>
            <w:highlight w:val="yellow"/>
            <w:shd w:val="clear" w:color="auto" w:fill="FFFFFF"/>
          </w:rPr>
          <w:t>https://doi.org/10.2147/PRBM.S398450</w:t>
        </w:r>
      </w:hyperlink>
      <w:r w:rsidRPr="00B332B1">
        <w:rPr>
          <w:rFonts w:ascii="Times New Roman" w:hAnsi="Times New Roman" w:cs="Times New Roman"/>
          <w:color w:val="737373"/>
          <w:highlight w:val="yellow"/>
          <w:shd w:val="clear" w:color="auto" w:fill="FFFFFF"/>
        </w:rPr>
        <w:t xml:space="preserve"> </w:t>
      </w:r>
    </w:p>
    <w:p w14:paraId="5DAD321E" w14:textId="77777777" w:rsidR="008A6794" w:rsidRPr="00B332B1" w:rsidRDefault="008A6794" w:rsidP="0019622A">
      <w:pPr>
        <w:pStyle w:val="ListParagraph"/>
        <w:numPr>
          <w:ilvl w:val="0"/>
          <w:numId w:val="4"/>
        </w:numPr>
        <w:spacing w:after="0" w:line="360" w:lineRule="auto"/>
        <w:jc w:val="both"/>
        <w:rPr>
          <w:rFonts w:ascii="Times New Roman" w:hAnsi="Times New Roman" w:cs="Times New Roman"/>
          <w:highlight w:val="yellow"/>
        </w:rPr>
      </w:pPr>
      <w:r w:rsidRPr="00B332B1">
        <w:rPr>
          <w:rFonts w:ascii="Times New Roman" w:hAnsi="Times New Roman" w:cs="Times New Roman"/>
          <w:color w:val="737373"/>
          <w:highlight w:val="yellow"/>
          <w:shd w:val="clear" w:color="auto" w:fill="FFFFFF"/>
        </w:rPr>
        <w:t>Gilchrist, S., Wei, B., Yue, V. Z., &amp; Zakrajšek, E. (2022). Sovereign risk and financial risk. </w:t>
      </w:r>
      <w:r w:rsidRPr="00B332B1">
        <w:rPr>
          <w:rFonts w:ascii="Times New Roman" w:hAnsi="Times New Roman" w:cs="Times New Roman"/>
          <w:i/>
          <w:iCs/>
          <w:color w:val="737373"/>
          <w:highlight w:val="yellow"/>
          <w:shd w:val="clear" w:color="auto" w:fill="FFFFFF"/>
        </w:rPr>
        <w:t>Journal of International Economics</w:t>
      </w:r>
      <w:r w:rsidRPr="00B332B1">
        <w:rPr>
          <w:rFonts w:ascii="Times New Roman" w:hAnsi="Times New Roman" w:cs="Times New Roman"/>
          <w:color w:val="737373"/>
          <w:highlight w:val="yellow"/>
          <w:shd w:val="clear" w:color="auto" w:fill="FFFFFF"/>
        </w:rPr>
        <w:t>, </w:t>
      </w:r>
      <w:r w:rsidRPr="00B332B1">
        <w:rPr>
          <w:rFonts w:ascii="Times New Roman" w:hAnsi="Times New Roman" w:cs="Times New Roman"/>
          <w:i/>
          <w:iCs/>
          <w:color w:val="737373"/>
          <w:highlight w:val="yellow"/>
          <w:shd w:val="clear" w:color="auto" w:fill="FFFFFF"/>
        </w:rPr>
        <w:t>136</w:t>
      </w:r>
      <w:r w:rsidRPr="00B332B1">
        <w:rPr>
          <w:rFonts w:ascii="Times New Roman" w:hAnsi="Times New Roman" w:cs="Times New Roman"/>
          <w:color w:val="737373"/>
          <w:highlight w:val="yellow"/>
          <w:shd w:val="clear" w:color="auto" w:fill="FFFFFF"/>
        </w:rPr>
        <w:t xml:space="preserve">. </w:t>
      </w:r>
      <w:hyperlink r:id="rId22" w:history="1">
        <w:r w:rsidRPr="00B332B1">
          <w:rPr>
            <w:rStyle w:val="Hyperlink"/>
            <w:rFonts w:ascii="Times New Roman" w:hAnsi="Times New Roman" w:cs="Times New Roman"/>
            <w:highlight w:val="yellow"/>
            <w:shd w:val="clear" w:color="auto" w:fill="FFFFFF"/>
          </w:rPr>
          <w:t>https://doi.org/10.1016/j.jinteco.2022.103603</w:t>
        </w:r>
      </w:hyperlink>
      <w:r w:rsidRPr="00B332B1">
        <w:rPr>
          <w:rFonts w:ascii="Times New Roman" w:hAnsi="Times New Roman" w:cs="Times New Roman"/>
          <w:color w:val="737373"/>
          <w:highlight w:val="yellow"/>
          <w:shd w:val="clear" w:color="auto" w:fill="FFFFFF"/>
        </w:rPr>
        <w:t xml:space="preserve"> </w:t>
      </w:r>
    </w:p>
    <w:p w14:paraId="58688A74" w14:textId="77777777" w:rsidR="00A712E6" w:rsidRPr="00C06920" w:rsidRDefault="00A712E6" w:rsidP="00A712E6">
      <w:pPr>
        <w:rPr>
          <w:rFonts w:ascii="Times New Roman" w:hAnsi="Times New Roman" w:cs="Times New Roman"/>
        </w:rPr>
      </w:pPr>
    </w:p>
    <w:p w14:paraId="3D947103" w14:textId="77777777" w:rsidR="005044A9" w:rsidRPr="00C06920" w:rsidRDefault="005044A9" w:rsidP="005044A9">
      <w:pPr>
        <w:rPr>
          <w:rFonts w:ascii="Times New Roman" w:hAnsi="Times New Roman" w:cs="Times New Roman"/>
        </w:rPr>
      </w:pPr>
    </w:p>
    <w:sectPr w:rsidR="005044A9" w:rsidRPr="00C06920" w:rsidSect="0019622A">
      <w:pgSz w:w="11907" w:h="16839" w:code="9"/>
      <w:pgMar w:top="1080" w:right="734" w:bottom="1080" w:left="734" w:header="432"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D65B6"/>
    <w:multiLevelType w:val="hybridMultilevel"/>
    <w:tmpl w:val="ACE8D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A4D50"/>
    <w:multiLevelType w:val="hybridMultilevel"/>
    <w:tmpl w:val="6A32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554FEF"/>
    <w:multiLevelType w:val="hybridMultilevel"/>
    <w:tmpl w:val="99E45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F97BD6"/>
    <w:multiLevelType w:val="hybridMultilevel"/>
    <w:tmpl w:val="4A10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7709A1"/>
    <w:multiLevelType w:val="hybridMultilevel"/>
    <w:tmpl w:val="09B0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53C18"/>
    <w:multiLevelType w:val="hybridMultilevel"/>
    <w:tmpl w:val="6F7A1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196536">
    <w:abstractNumId w:val="3"/>
  </w:num>
  <w:num w:numId="2" w16cid:durableId="2029406946">
    <w:abstractNumId w:val="1"/>
  </w:num>
  <w:num w:numId="3" w16cid:durableId="1028870974">
    <w:abstractNumId w:val="4"/>
  </w:num>
  <w:num w:numId="4" w16cid:durableId="1635259628">
    <w:abstractNumId w:val="5"/>
  </w:num>
  <w:num w:numId="5" w16cid:durableId="1526821345">
    <w:abstractNumId w:val="0"/>
  </w:num>
  <w:num w:numId="6" w16cid:durableId="1535539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A51"/>
    <w:rsid w:val="00003C7F"/>
    <w:rsid w:val="00091450"/>
    <w:rsid w:val="000D0788"/>
    <w:rsid w:val="00122B01"/>
    <w:rsid w:val="0016368C"/>
    <w:rsid w:val="0019622A"/>
    <w:rsid w:val="001A3B75"/>
    <w:rsid w:val="001D0C32"/>
    <w:rsid w:val="002105BC"/>
    <w:rsid w:val="0023077E"/>
    <w:rsid w:val="00287CA5"/>
    <w:rsid w:val="00325650"/>
    <w:rsid w:val="00327DEB"/>
    <w:rsid w:val="003326F2"/>
    <w:rsid w:val="0035624C"/>
    <w:rsid w:val="00431D63"/>
    <w:rsid w:val="00457E2F"/>
    <w:rsid w:val="00462E59"/>
    <w:rsid w:val="0047174A"/>
    <w:rsid w:val="00471CD9"/>
    <w:rsid w:val="004D5BDB"/>
    <w:rsid w:val="005044A9"/>
    <w:rsid w:val="00516B50"/>
    <w:rsid w:val="005700FB"/>
    <w:rsid w:val="0057473D"/>
    <w:rsid w:val="005A372A"/>
    <w:rsid w:val="005B26BB"/>
    <w:rsid w:val="005D3284"/>
    <w:rsid w:val="0063418C"/>
    <w:rsid w:val="00660D82"/>
    <w:rsid w:val="0069130A"/>
    <w:rsid w:val="006A6AE8"/>
    <w:rsid w:val="0073030C"/>
    <w:rsid w:val="007A20DF"/>
    <w:rsid w:val="007E3324"/>
    <w:rsid w:val="00855E59"/>
    <w:rsid w:val="0088248A"/>
    <w:rsid w:val="008A6794"/>
    <w:rsid w:val="00980031"/>
    <w:rsid w:val="00986DEC"/>
    <w:rsid w:val="009A74FE"/>
    <w:rsid w:val="009F59A7"/>
    <w:rsid w:val="00A712E6"/>
    <w:rsid w:val="00A93F90"/>
    <w:rsid w:val="00B26725"/>
    <w:rsid w:val="00B332B1"/>
    <w:rsid w:val="00BF5E2B"/>
    <w:rsid w:val="00C0333E"/>
    <w:rsid w:val="00C06920"/>
    <w:rsid w:val="00C3028B"/>
    <w:rsid w:val="00C560CA"/>
    <w:rsid w:val="00C9671F"/>
    <w:rsid w:val="00CC30B4"/>
    <w:rsid w:val="00CC76CE"/>
    <w:rsid w:val="00CD1AB3"/>
    <w:rsid w:val="00D256BD"/>
    <w:rsid w:val="00D61692"/>
    <w:rsid w:val="00DE38FD"/>
    <w:rsid w:val="00DF7385"/>
    <w:rsid w:val="00E0282E"/>
    <w:rsid w:val="00F113EA"/>
    <w:rsid w:val="00F12B53"/>
    <w:rsid w:val="00F272D0"/>
    <w:rsid w:val="00F64714"/>
    <w:rsid w:val="00F77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5819"/>
  <w15:chartTrackingRefBased/>
  <w15:docId w15:val="{790B4247-B336-4B17-AC22-F6856CA9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60D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800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87CA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87CA5"/>
    <w:rPr>
      <w:rFonts w:ascii="Times New Roman" w:eastAsia="Times New Roman" w:hAnsi="Times New Roman" w:cs="Times New Roman"/>
      <w:b/>
      <w:bCs/>
      <w:sz w:val="24"/>
      <w:szCs w:val="24"/>
    </w:rPr>
  </w:style>
  <w:style w:type="character" w:styleId="Strong">
    <w:name w:val="Strong"/>
    <w:basedOn w:val="DefaultParagraphFont"/>
    <w:uiPriority w:val="22"/>
    <w:qFormat/>
    <w:rsid w:val="00287CA5"/>
    <w:rPr>
      <w:b/>
      <w:bCs/>
    </w:rPr>
  </w:style>
  <w:style w:type="paragraph" w:styleId="NormalWeb">
    <w:name w:val="Normal (Web)"/>
    <w:basedOn w:val="Normal"/>
    <w:uiPriority w:val="99"/>
    <w:unhideWhenUsed/>
    <w:rsid w:val="00287CA5"/>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287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287CA5"/>
    <w:pPr>
      <w:ind w:left="720"/>
      <w:contextualSpacing/>
    </w:pPr>
  </w:style>
  <w:style w:type="character" w:customStyle="1" w:styleId="Heading3Char">
    <w:name w:val="Heading 3 Char"/>
    <w:basedOn w:val="DefaultParagraphFont"/>
    <w:link w:val="Heading3"/>
    <w:uiPriority w:val="9"/>
    <w:semiHidden/>
    <w:rsid w:val="00980031"/>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660D8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F5E2B"/>
    <w:rPr>
      <w:color w:val="0563C1" w:themeColor="hyperlink"/>
      <w:u w:val="single"/>
    </w:rPr>
  </w:style>
  <w:style w:type="paragraph" w:customStyle="1" w:styleId="p1">
    <w:name w:val="p1"/>
    <w:basedOn w:val="Normal"/>
    <w:rsid w:val="00B26725"/>
    <w:pPr>
      <w:spacing w:after="0" w:line="240" w:lineRule="auto"/>
    </w:pPr>
    <w:rPr>
      <w:rFonts w:ascii="Helvetica" w:eastAsia="Times New Roman" w:hAnsi="Helvetica" w:cs="Times New Roman"/>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983">
      <w:bodyDiv w:val="1"/>
      <w:marLeft w:val="0"/>
      <w:marRight w:val="0"/>
      <w:marTop w:val="0"/>
      <w:marBottom w:val="0"/>
      <w:divBdr>
        <w:top w:val="none" w:sz="0" w:space="0" w:color="auto"/>
        <w:left w:val="none" w:sz="0" w:space="0" w:color="auto"/>
        <w:bottom w:val="none" w:sz="0" w:space="0" w:color="auto"/>
        <w:right w:val="none" w:sz="0" w:space="0" w:color="auto"/>
      </w:divBdr>
      <w:divsChild>
        <w:div w:id="1444107356">
          <w:marLeft w:val="0"/>
          <w:marRight w:val="0"/>
          <w:marTop w:val="0"/>
          <w:marBottom w:val="0"/>
          <w:divBdr>
            <w:top w:val="none" w:sz="0" w:space="0" w:color="auto"/>
            <w:left w:val="none" w:sz="0" w:space="0" w:color="auto"/>
            <w:bottom w:val="none" w:sz="0" w:space="0" w:color="auto"/>
            <w:right w:val="none" w:sz="0" w:space="0" w:color="auto"/>
          </w:divBdr>
          <w:divsChild>
            <w:div w:id="1216509946">
              <w:marLeft w:val="0"/>
              <w:marRight w:val="0"/>
              <w:marTop w:val="0"/>
              <w:marBottom w:val="0"/>
              <w:divBdr>
                <w:top w:val="none" w:sz="0" w:space="0" w:color="auto"/>
                <w:left w:val="none" w:sz="0" w:space="0" w:color="auto"/>
                <w:bottom w:val="none" w:sz="0" w:space="0" w:color="auto"/>
                <w:right w:val="none" w:sz="0" w:space="0" w:color="auto"/>
              </w:divBdr>
              <w:divsChild>
                <w:div w:id="1834101968">
                  <w:marLeft w:val="0"/>
                  <w:marRight w:val="0"/>
                  <w:marTop w:val="0"/>
                  <w:marBottom w:val="0"/>
                  <w:divBdr>
                    <w:top w:val="none" w:sz="0" w:space="0" w:color="auto"/>
                    <w:left w:val="none" w:sz="0" w:space="0" w:color="auto"/>
                    <w:bottom w:val="none" w:sz="0" w:space="0" w:color="auto"/>
                    <w:right w:val="none" w:sz="0" w:space="0" w:color="auto"/>
                  </w:divBdr>
                  <w:divsChild>
                    <w:div w:id="167097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48124">
          <w:marLeft w:val="0"/>
          <w:marRight w:val="0"/>
          <w:marTop w:val="0"/>
          <w:marBottom w:val="0"/>
          <w:divBdr>
            <w:top w:val="none" w:sz="0" w:space="0" w:color="auto"/>
            <w:left w:val="none" w:sz="0" w:space="0" w:color="auto"/>
            <w:bottom w:val="none" w:sz="0" w:space="0" w:color="auto"/>
            <w:right w:val="none" w:sz="0" w:space="0" w:color="auto"/>
          </w:divBdr>
          <w:divsChild>
            <w:div w:id="19357141">
              <w:marLeft w:val="0"/>
              <w:marRight w:val="0"/>
              <w:marTop w:val="0"/>
              <w:marBottom w:val="0"/>
              <w:divBdr>
                <w:top w:val="none" w:sz="0" w:space="0" w:color="auto"/>
                <w:left w:val="none" w:sz="0" w:space="0" w:color="auto"/>
                <w:bottom w:val="none" w:sz="0" w:space="0" w:color="auto"/>
                <w:right w:val="none" w:sz="0" w:space="0" w:color="auto"/>
              </w:divBdr>
              <w:divsChild>
                <w:div w:id="1068574095">
                  <w:marLeft w:val="0"/>
                  <w:marRight w:val="0"/>
                  <w:marTop w:val="0"/>
                  <w:marBottom w:val="0"/>
                  <w:divBdr>
                    <w:top w:val="none" w:sz="0" w:space="0" w:color="auto"/>
                    <w:left w:val="none" w:sz="0" w:space="0" w:color="auto"/>
                    <w:bottom w:val="none" w:sz="0" w:space="0" w:color="auto"/>
                    <w:right w:val="none" w:sz="0" w:space="0" w:color="auto"/>
                  </w:divBdr>
                  <w:divsChild>
                    <w:div w:id="18300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8793">
      <w:bodyDiv w:val="1"/>
      <w:marLeft w:val="0"/>
      <w:marRight w:val="0"/>
      <w:marTop w:val="0"/>
      <w:marBottom w:val="0"/>
      <w:divBdr>
        <w:top w:val="none" w:sz="0" w:space="0" w:color="auto"/>
        <w:left w:val="none" w:sz="0" w:space="0" w:color="auto"/>
        <w:bottom w:val="none" w:sz="0" w:space="0" w:color="auto"/>
        <w:right w:val="none" w:sz="0" w:space="0" w:color="auto"/>
      </w:divBdr>
    </w:div>
    <w:div w:id="103312707">
      <w:bodyDiv w:val="1"/>
      <w:marLeft w:val="0"/>
      <w:marRight w:val="0"/>
      <w:marTop w:val="0"/>
      <w:marBottom w:val="0"/>
      <w:divBdr>
        <w:top w:val="none" w:sz="0" w:space="0" w:color="auto"/>
        <w:left w:val="none" w:sz="0" w:space="0" w:color="auto"/>
        <w:bottom w:val="none" w:sz="0" w:space="0" w:color="auto"/>
        <w:right w:val="none" w:sz="0" w:space="0" w:color="auto"/>
      </w:divBdr>
    </w:div>
    <w:div w:id="116144434">
      <w:bodyDiv w:val="1"/>
      <w:marLeft w:val="0"/>
      <w:marRight w:val="0"/>
      <w:marTop w:val="0"/>
      <w:marBottom w:val="0"/>
      <w:divBdr>
        <w:top w:val="none" w:sz="0" w:space="0" w:color="auto"/>
        <w:left w:val="none" w:sz="0" w:space="0" w:color="auto"/>
        <w:bottom w:val="none" w:sz="0" w:space="0" w:color="auto"/>
        <w:right w:val="none" w:sz="0" w:space="0" w:color="auto"/>
      </w:divBdr>
    </w:div>
    <w:div w:id="134375629">
      <w:bodyDiv w:val="1"/>
      <w:marLeft w:val="0"/>
      <w:marRight w:val="0"/>
      <w:marTop w:val="0"/>
      <w:marBottom w:val="0"/>
      <w:divBdr>
        <w:top w:val="none" w:sz="0" w:space="0" w:color="auto"/>
        <w:left w:val="none" w:sz="0" w:space="0" w:color="auto"/>
        <w:bottom w:val="none" w:sz="0" w:space="0" w:color="auto"/>
        <w:right w:val="none" w:sz="0" w:space="0" w:color="auto"/>
      </w:divBdr>
    </w:div>
    <w:div w:id="296493378">
      <w:bodyDiv w:val="1"/>
      <w:marLeft w:val="0"/>
      <w:marRight w:val="0"/>
      <w:marTop w:val="0"/>
      <w:marBottom w:val="0"/>
      <w:divBdr>
        <w:top w:val="none" w:sz="0" w:space="0" w:color="auto"/>
        <w:left w:val="none" w:sz="0" w:space="0" w:color="auto"/>
        <w:bottom w:val="none" w:sz="0" w:space="0" w:color="auto"/>
        <w:right w:val="none" w:sz="0" w:space="0" w:color="auto"/>
      </w:divBdr>
      <w:divsChild>
        <w:div w:id="1770393665">
          <w:marLeft w:val="0"/>
          <w:marRight w:val="0"/>
          <w:marTop w:val="0"/>
          <w:marBottom w:val="0"/>
          <w:divBdr>
            <w:top w:val="none" w:sz="0" w:space="0" w:color="auto"/>
            <w:left w:val="none" w:sz="0" w:space="0" w:color="auto"/>
            <w:bottom w:val="none" w:sz="0" w:space="0" w:color="auto"/>
            <w:right w:val="none" w:sz="0" w:space="0" w:color="auto"/>
          </w:divBdr>
          <w:divsChild>
            <w:div w:id="379673943">
              <w:marLeft w:val="0"/>
              <w:marRight w:val="0"/>
              <w:marTop w:val="0"/>
              <w:marBottom w:val="0"/>
              <w:divBdr>
                <w:top w:val="none" w:sz="0" w:space="0" w:color="auto"/>
                <w:left w:val="none" w:sz="0" w:space="0" w:color="auto"/>
                <w:bottom w:val="none" w:sz="0" w:space="0" w:color="auto"/>
                <w:right w:val="none" w:sz="0" w:space="0" w:color="auto"/>
              </w:divBdr>
              <w:divsChild>
                <w:div w:id="953252172">
                  <w:marLeft w:val="0"/>
                  <w:marRight w:val="0"/>
                  <w:marTop w:val="0"/>
                  <w:marBottom w:val="0"/>
                  <w:divBdr>
                    <w:top w:val="none" w:sz="0" w:space="0" w:color="auto"/>
                    <w:left w:val="none" w:sz="0" w:space="0" w:color="auto"/>
                    <w:bottom w:val="none" w:sz="0" w:space="0" w:color="auto"/>
                    <w:right w:val="none" w:sz="0" w:space="0" w:color="auto"/>
                  </w:divBdr>
                  <w:divsChild>
                    <w:div w:id="5821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61038">
          <w:marLeft w:val="0"/>
          <w:marRight w:val="0"/>
          <w:marTop w:val="0"/>
          <w:marBottom w:val="0"/>
          <w:divBdr>
            <w:top w:val="none" w:sz="0" w:space="0" w:color="auto"/>
            <w:left w:val="none" w:sz="0" w:space="0" w:color="auto"/>
            <w:bottom w:val="none" w:sz="0" w:space="0" w:color="auto"/>
            <w:right w:val="none" w:sz="0" w:space="0" w:color="auto"/>
          </w:divBdr>
          <w:divsChild>
            <w:div w:id="1826051013">
              <w:marLeft w:val="0"/>
              <w:marRight w:val="0"/>
              <w:marTop w:val="0"/>
              <w:marBottom w:val="0"/>
              <w:divBdr>
                <w:top w:val="none" w:sz="0" w:space="0" w:color="auto"/>
                <w:left w:val="none" w:sz="0" w:space="0" w:color="auto"/>
                <w:bottom w:val="none" w:sz="0" w:space="0" w:color="auto"/>
                <w:right w:val="none" w:sz="0" w:space="0" w:color="auto"/>
              </w:divBdr>
              <w:divsChild>
                <w:div w:id="1740859962">
                  <w:marLeft w:val="0"/>
                  <w:marRight w:val="0"/>
                  <w:marTop w:val="0"/>
                  <w:marBottom w:val="0"/>
                  <w:divBdr>
                    <w:top w:val="none" w:sz="0" w:space="0" w:color="auto"/>
                    <w:left w:val="none" w:sz="0" w:space="0" w:color="auto"/>
                    <w:bottom w:val="none" w:sz="0" w:space="0" w:color="auto"/>
                    <w:right w:val="none" w:sz="0" w:space="0" w:color="auto"/>
                  </w:divBdr>
                  <w:divsChild>
                    <w:div w:id="14354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849122">
      <w:bodyDiv w:val="1"/>
      <w:marLeft w:val="0"/>
      <w:marRight w:val="0"/>
      <w:marTop w:val="0"/>
      <w:marBottom w:val="0"/>
      <w:divBdr>
        <w:top w:val="none" w:sz="0" w:space="0" w:color="auto"/>
        <w:left w:val="none" w:sz="0" w:space="0" w:color="auto"/>
        <w:bottom w:val="none" w:sz="0" w:space="0" w:color="auto"/>
        <w:right w:val="none" w:sz="0" w:space="0" w:color="auto"/>
      </w:divBdr>
    </w:div>
    <w:div w:id="684095766">
      <w:bodyDiv w:val="1"/>
      <w:marLeft w:val="0"/>
      <w:marRight w:val="0"/>
      <w:marTop w:val="0"/>
      <w:marBottom w:val="0"/>
      <w:divBdr>
        <w:top w:val="none" w:sz="0" w:space="0" w:color="auto"/>
        <w:left w:val="none" w:sz="0" w:space="0" w:color="auto"/>
        <w:bottom w:val="none" w:sz="0" w:space="0" w:color="auto"/>
        <w:right w:val="none" w:sz="0" w:space="0" w:color="auto"/>
      </w:divBdr>
    </w:div>
    <w:div w:id="804080070">
      <w:bodyDiv w:val="1"/>
      <w:marLeft w:val="0"/>
      <w:marRight w:val="0"/>
      <w:marTop w:val="0"/>
      <w:marBottom w:val="0"/>
      <w:divBdr>
        <w:top w:val="none" w:sz="0" w:space="0" w:color="auto"/>
        <w:left w:val="none" w:sz="0" w:space="0" w:color="auto"/>
        <w:bottom w:val="none" w:sz="0" w:space="0" w:color="auto"/>
        <w:right w:val="none" w:sz="0" w:space="0" w:color="auto"/>
      </w:divBdr>
    </w:div>
    <w:div w:id="810096996">
      <w:bodyDiv w:val="1"/>
      <w:marLeft w:val="0"/>
      <w:marRight w:val="0"/>
      <w:marTop w:val="0"/>
      <w:marBottom w:val="0"/>
      <w:divBdr>
        <w:top w:val="none" w:sz="0" w:space="0" w:color="auto"/>
        <w:left w:val="none" w:sz="0" w:space="0" w:color="auto"/>
        <w:bottom w:val="none" w:sz="0" w:space="0" w:color="auto"/>
        <w:right w:val="none" w:sz="0" w:space="0" w:color="auto"/>
      </w:divBdr>
    </w:div>
    <w:div w:id="928582325">
      <w:bodyDiv w:val="1"/>
      <w:marLeft w:val="0"/>
      <w:marRight w:val="0"/>
      <w:marTop w:val="0"/>
      <w:marBottom w:val="0"/>
      <w:divBdr>
        <w:top w:val="none" w:sz="0" w:space="0" w:color="auto"/>
        <w:left w:val="none" w:sz="0" w:space="0" w:color="auto"/>
        <w:bottom w:val="none" w:sz="0" w:space="0" w:color="auto"/>
        <w:right w:val="none" w:sz="0" w:space="0" w:color="auto"/>
      </w:divBdr>
    </w:div>
    <w:div w:id="1161509524">
      <w:bodyDiv w:val="1"/>
      <w:marLeft w:val="0"/>
      <w:marRight w:val="0"/>
      <w:marTop w:val="0"/>
      <w:marBottom w:val="0"/>
      <w:divBdr>
        <w:top w:val="none" w:sz="0" w:space="0" w:color="auto"/>
        <w:left w:val="none" w:sz="0" w:space="0" w:color="auto"/>
        <w:bottom w:val="none" w:sz="0" w:space="0" w:color="auto"/>
        <w:right w:val="none" w:sz="0" w:space="0" w:color="auto"/>
      </w:divBdr>
    </w:div>
    <w:div w:id="1162162552">
      <w:bodyDiv w:val="1"/>
      <w:marLeft w:val="0"/>
      <w:marRight w:val="0"/>
      <w:marTop w:val="0"/>
      <w:marBottom w:val="0"/>
      <w:divBdr>
        <w:top w:val="none" w:sz="0" w:space="0" w:color="auto"/>
        <w:left w:val="none" w:sz="0" w:space="0" w:color="auto"/>
        <w:bottom w:val="none" w:sz="0" w:space="0" w:color="auto"/>
        <w:right w:val="none" w:sz="0" w:space="0" w:color="auto"/>
      </w:divBdr>
    </w:div>
    <w:div w:id="1395355720">
      <w:bodyDiv w:val="1"/>
      <w:marLeft w:val="0"/>
      <w:marRight w:val="0"/>
      <w:marTop w:val="0"/>
      <w:marBottom w:val="0"/>
      <w:divBdr>
        <w:top w:val="none" w:sz="0" w:space="0" w:color="auto"/>
        <w:left w:val="none" w:sz="0" w:space="0" w:color="auto"/>
        <w:bottom w:val="none" w:sz="0" w:space="0" w:color="auto"/>
        <w:right w:val="none" w:sz="0" w:space="0" w:color="auto"/>
      </w:divBdr>
    </w:div>
    <w:div w:id="1396276272">
      <w:bodyDiv w:val="1"/>
      <w:marLeft w:val="0"/>
      <w:marRight w:val="0"/>
      <w:marTop w:val="0"/>
      <w:marBottom w:val="0"/>
      <w:divBdr>
        <w:top w:val="none" w:sz="0" w:space="0" w:color="auto"/>
        <w:left w:val="none" w:sz="0" w:space="0" w:color="auto"/>
        <w:bottom w:val="none" w:sz="0" w:space="0" w:color="auto"/>
        <w:right w:val="none" w:sz="0" w:space="0" w:color="auto"/>
      </w:divBdr>
    </w:div>
    <w:div w:id="1450516808">
      <w:bodyDiv w:val="1"/>
      <w:marLeft w:val="0"/>
      <w:marRight w:val="0"/>
      <w:marTop w:val="0"/>
      <w:marBottom w:val="0"/>
      <w:divBdr>
        <w:top w:val="none" w:sz="0" w:space="0" w:color="auto"/>
        <w:left w:val="none" w:sz="0" w:space="0" w:color="auto"/>
        <w:bottom w:val="none" w:sz="0" w:space="0" w:color="auto"/>
        <w:right w:val="none" w:sz="0" w:space="0" w:color="auto"/>
      </w:divBdr>
    </w:div>
    <w:div w:id="1530871832">
      <w:bodyDiv w:val="1"/>
      <w:marLeft w:val="0"/>
      <w:marRight w:val="0"/>
      <w:marTop w:val="0"/>
      <w:marBottom w:val="0"/>
      <w:divBdr>
        <w:top w:val="none" w:sz="0" w:space="0" w:color="auto"/>
        <w:left w:val="none" w:sz="0" w:space="0" w:color="auto"/>
        <w:bottom w:val="none" w:sz="0" w:space="0" w:color="auto"/>
        <w:right w:val="none" w:sz="0" w:space="0" w:color="auto"/>
      </w:divBdr>
    </w:div>
    <w:div w:id="1646004050">
      <w:bodyDiv w:val="1"/>
      <w:marLeft w:val="0"/>
      <w:marRight w:val="0"/>
      <w:marTop w:val="0"/>
      <w:marBottom w:val="0"/>
      <w:divBdr>
        <w:top w:val="none" w:sz="0" w:space="0" w:color="auto"/>
        <w:left w:val="none" w:sz="0" w:space="0" w:color="auto"/>
        <w:bottom w:val="none" w:sz="0" w:space="0" w:color="auto"/>
        <w:right w:val="none" w:sz="0" w:space="0" w:color="auto"/>
      </w:divBdr>
    </w:div>
    <w:div w:id="1677229116">
      <w:bodyDiv w:val="1"/>
      <w:marLeft w:val="0"/>
      <w:marRight w:val="0"/>
      <w:marTop w:val="0"/>
      <w:marBottom w:val="0"/>
      <w:divBdr>
        <w:top w:val="none" w:sz="0" w:space="0" w:color="auto"/>
        <w:left w:val="none" w:sz="0" w:space="0" w:color="auto"/>
        <w:bottom w:val="none" w:sz="0" w:space="0" w:color="auto"/>
        <w:right w:val="none" w:sz="0" w:space="0" w:color="auto"/>
      </w:divBdr>
    </w:div>
    <w:div w:id="1793018353">
      <w:bodyDiv w:val="1"/>
      <w:marLeft w:val="0"/>
      <w:marRight w:val="0"/>
      <w:marTop w:val="0"/>
      <w:marBottom w:val="0"/>
      <w:divBdr>
        <w:top w:val="none" w:sz="0" w:space="0" w:color="auto"/>
        <w:left w:val="none" w:sz="0" w:space="0" w:color="auto"/>
        <w:bottom w:val="none" w:sz="0" w:space="0" w:color="auto"/>
        <w:right w:val="none" w:sz="0" w:space="0" w:color="auto"/>
      </w:divBdr>
    </w:div>
    <w:div w:id="1823698994">
      <w:bodyDiv w:val="1"/>
      <w:marLeft w:val="0"/>
      <w:marRight w:val="0"/>
      <w:marTop w:val="0"/>
      <w:marBottom w:val="0"/>
      <w:divBdr>
        <w:top w:val="none" w:sz="0" w:space="0" w:color="auto"/>
        <w:left w:val="none" w:sz="0" w:space="0" w:color="auto"/>
        <w:bottom w:val="none" w:sz="0" w:space="0" w:color="auto"/>
        <w:right w:val="none" w:sz="0" w:space="0" w:color="auto"/>
      </w:divBdr>
    </w:div>
    <w:div w:id="1827890159">
      <w:bodyDiv w:val="1"/>
      <w:marLeft w:val="0"/>
      <w:marRight w:val="0"/>
      <w:marTop w:val="0"/>
      <w:marBottom w:val="0"/>
      <w:divBdr>
        <w:top w:val="none" w:sz="0" w:space="0" w:color="auto"/>
        <w:left w:val="none" w:sz="0" w:space="0" w:color="auto"/>
        <w:bottom w:val="none" w:sz="0" w:space="0" w:color="auto"/>
        <w:right w:val="none" w:sz="0" w:space="0" w:color="auto"/>
      </w:divBdr>
    </w:div>
    <w:div w:id="1883708641">
      <w:bodyDiv w:val="1"/>
      <w:marLeft w:val="0"/>
      <w:marRight w:val="0"/>
      <w:marTop w:val="0"/>
      <w:marBottom w:val="0"/>
      <w:divBdr>
        <w:top w:val="none" w:sz="0" w:space="0" w:color="auto"/>
        <w:left w:val="none" w:sz="0" w:space="0" w:color="auto"/>
        <w:bottom w:val="none" w:sz="0" w:space="0" w:color="auto"/>
        <w:right w:val="none" w:sz="0" w:space="0" w:color="auto"/>
      </w:divBdr>
    </w:div>
    <w:div w:id="1938369021">
      <w:bodyDiv w:val="1"/>
      <w:marLeft w:val="0"/>
      <w:marRight w:val="0"/>
      <w:marTop w:val="0"/>
      <w:marBottom w:val="0"/>
      <w:divBdr>
        <w:top w:val="none" w:sz="0" w:space="0" w:color="auto"/>
        <w:left w:val="none" w:sz="0" w:space="0" w:color="auto"/>
        <w:bottom w:val="none" w:sz="0" w:space="0" w:color="auto"/>
        <w:right w:val="none" w:sz="0" w:space="0" w:color="auto"/>
      </w:divBdr>
    </w:div>
    <w:div w:id="1972513779">
      <w:bodyDiv w:val="1"/>
      <w:marLeft w:val="0"/>
      <w:marRight w:val="0"/>
      <w:marTop w:val="0"/>
      <w:marBottom w:val="0"/>
      <w:divBdr>
        <w:top w:val="none" w:sz="0" w:space="0" w:color="auto"/>
        <w:left w:val="none" w:sz="0" w:space="0" w:color="auto"/>
        <w:bottom w:val="none" w:sz="0" w:space="0" w:color="auto"/>
        <w:right w:val="none" w:sz="0" w:space="0" w:color="auto"/>
      </w:divBdr>
      <w:divsChild>
        <w:div w:id="180243323">
          <w:marLeft w:val="0"/>
          <w:marRight w:val="0"/>
          <w:marTop w:val="0"/>
          <w:marBottom w:val="0"/>
          <w:divBdr>
            <w:top w:val="none" w:sz="0" w:space="0" w:color="auto"/>
            <w:left w:val="none" w:sz="0" w:space="0" w:color="auto"/>
            <w:bottom w:val="none" w:sz="0" w:space="0" w:color="auto"/>
            <w:right w:val="none" w:sz="0" w:space="0" w:color="auto"/>
          </w:divBdr>
          <w:divsChild>
            <w:div w:id="334499417">
              <w:marLeft w:val="0"/>
              <w:marRight w:val="0"/>
              <w:marTop w:val="0"/>
              <w:marBottom w:val="0"/>
              <w:divBdr>
                <w:top w:val="none" w:sz="0" w:space="0" w:color="auto"/>
                <w:left w:val="none" w:sz="0" w:space="0" w:color="auto"/>
                <w:bottom w:val="none" w:sz="0" w:space="0" w:color="auto"/>
                <w:right w:val="none" w:sz="0" w:space="0" w:color="auto"/>
              </w:divBdr>
              <w:divsChild>
                <w:div w:id="1784223382">
                  <w:marLeft w:val="0"/>
                  <w:marRight w:val="0"/>
                  <w:marTop w:val="0"/>
                  <w:marBottom w:val="0"/>
                  <w:divBdr>
                    <w:top w:val="none" w:sz="0" w:space="0" w:color="auto"/>
                    <w:left w:val="none" w:sz="0" w:space="0" w:color="auto"/>
                    <w:bottom w:val="none" w:sz="0" w:space="0" w:color="auto"/>
                    <w:right w:val="none" w:sz="0" w:space="0" w:color="auto"/>
                  </w:divBdr>
                  <w:divsChild>
                    <w:div w:id="19827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3598">
          <w:marLeft w:val="0"/>
          <w:marRight w:val="0"/>
          <w:marTop w:val="0"/>
          <w:marBottom w:val="0"/>
          <w:divBdr>
            <w:top w:val="none" w:sz="0" w:space="0" w:color="auto"/>
            <w:left w:val="none" w:sz="0" w:space="0" w:color="auto"/>
            <w:bottom w:val="none" w:sz="0" w:space="0" w:color="auto"/>
            <w:right w:val="none" w:sz="0" w:space="0" w:color="auto"/>
          </w:divBdr>
          <w:divsChild>
            <w:div w:id="501235503">
              <w:marLeft w:val="0"/>
              <w:marRight w:val="0"/>
              <w:marTop w:val="0"/>
              <w:marBottom w:val="0"/>
              <w:divBdr>
                <w:top w:val="none" w:sz="0" w:space="0" w:color="auto"/>
                <w:left w:val="none" w:sz="0" w:space="0" w:color="auto"/>
                <w:bottom w:val="none" w:sz="0" w:space="0" w:color="auto"/>
                <w:right w:val="none" w:sz="0" w:space="0" w:color="auto"/>
              </w:divBdr>
              <w:divsChild>
                <w:div w:id="2024043062">
                  <w:marLeft w:val="0"/>
                  <w:marRight w:val="0"/>
                  <w:marTop w:val="0"/>
                  <w:marBottom w:val="0"/>
                  <w:divBdr>
                    <w:top w:val="none" w:sz="0" w:space="0" w:color="auto"/>
                    <w:left w:val="none" w:sz="0" w:space="0" w:color="auto"/>
                    <w:bottom w:val="none" w:sz="0" w:space="0" w:color="auto"/>
                    <w:right w:val="none" w:sz="0" w:space="0" w:color="auto"/>
                  </w:divBdr>
                  <w:divsChild>
                    <w:div w:id="10875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knosys.2023.110273" TargetMode="External"/><Relationship Id="rId13" Type="http://schemas.openxmlformats.org/officeDocument/2006/relationships/hyperlink" Target="https://doi.org/10.1016/j.heliyon.2019.e03132" TargetMode="External"/><Relationship Id="rId18" Type="http://schemas.openxmlformats.org/officeDocument/2006/relationships/hyperlink" Target="https://doi.org/10.1111/rego.12502" TargetMode="External"/><Relationship Id="rId3" Type="http://schemas.openxmlformats.org/officeDocument/2006/relationships/settings" Target="settings.xml"/><Relationship Id="rId21" Type="http://schemas.openxmlformats.org/officeDocument/2006/relationships/hyperlink" Target="https://doi.org/10.2147/PRBM.S398450" TargetMode="External"/><Relationship Id="rId7" Type="http://schemas.openxmlformats.org/officeDocument/2006/relationships/hyperlink" Target="https://doi.org/10.3390/s23020634" TargetMode="External"/><Relationship Id="rId12" Type="http://schemas.openxmlformats.org/officeDocument/2006/relationships/hyperlink" Target="https://doi.org/10.1108/JFC-05-2021-0107" TargetMode="External"/><Relationship Id="rId17" Type="http://schemas.openxmlformats.org/officeDocument/2006/relationships/hyperlink" Target="https://doi.org/10.1051/e3sconf/202344904008" TargetMode="External"/><Relationship Id="rId2" Type="http://schemas.openxmlformats.org/officeDocument/2006/relationships/styles" Target="styles.xml"/><Relationship Id="rId16" Type="http://schemas.openxmlformats.org/officeDocument/2006/relationships/hyperlink" Target="https://doi.org/10.5089/9781475504705.005" TargetMode="External"/><Relationship Id="rId20" Type="http://schemas.openxmlformats.org/officeDocument/2006/relationships/hyperlink" Target="https://doi.org/10.1007/s11301-021-00252-7"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109/TPAMI.2023.3331846"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doi.org/10.1016/j.accfor.2005.03.001" TargetMode="External"/><Relationship Id="rId23" Type="http://schemas.openxmlformats.org/officeDocument/2006/relationships/fontTable" Target="fontTable.xml"/><Relationship Id="rId10" Type="http://schemas.openxmlformats.org/officeDocument/2006/relationships/hyperlink" Target="https://doi.org/10.1016/j.ijhcs.2020.102551" TargetMode="External"/><Relationship Id="rId19" Type="http://schemas.openxmlformats.org/officeDocument/2006/relationships/hyperlink" Target="https://doi.org/10.14763/2020.2.1469" TargetMode="External"/><Relationship Id="rId4" Type="http://schemas.openxmlformats.org/officeDocument/2006/relationships/webSettings" Target="webSettings.xml"/><Relationship Id="rId9" Type="http://schemas.openxmlformats.org/officeDocument/2006/relationships/hyperlink" Target="https://doi.org/10.1109/ACCESS.2022.3197671" TargetMode="External"/><Relationship Id="rId14" Type="http://schemas.openxmlformats.org/officeDocument/2006/relationships/hyperlink" Target="https://doi.org/10.5650/jos.ess21109" TargetMode="External"/><Relationship Id="rId22" Type="http://schemas.openxmlformats.org/officeDocument/2006/relationships/hyperlink" Target="https://doi.org/10.1016/j.jinteco.2022.103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6226</Words>
  <Characters>35492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8</cp:revision>
  <dcterms:created xsi:type="dcterms:W3CDTF">2025-03-04T01:25:00Z</dcterms:created>
  <dcterms:modified xsi:type="dcterms:W3CDTF">2025-03-22T05:51:00Z</dcterms:modified>
</cp:coreProperties>
</file>