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2F736" w14:textId="77777777" w:rsidR="00506BCB" w:rsidRPr="006D26E5" w:rsidRDefault="002C4A4D" w:rsidP="006D26E5">
      <w:pPr>
        <w:jc w:val="center"/>
        <w:rPr>
          <w:b/>
          <w:sz w:val="40"/>
          <w:szCs w:val="24"/>
        </w:rPr>
      </w:pPr>
      <w:r w:rsidRPr="006D26E5">
        <w:rPr>
          <w:b/>
          <w:sz w:val="40"/>
          <w:szCs w:val="24"/>
        </w:rPr>
        <w:t>Advancing Security in Cloud-Based Patient Information Systems with Quantum-Resistant Encryption for Healthcare Data</w:t>
      </w:r>
    </w:p>
    <w:p w14:paraId="5E587397" w14:textId="77777777" w:rsidR="0025560B" w:rsidRDefault="0025560B" w:rsidP="006D26E5">
      <w:pPr>
        <w:spacing w:line="240" w:lineRule="auto"/>
        <w:rPr>
          <w:rFonts w:eastAsia="Times New Roman"/>
          <w:b/>
          <w:bCs/>
          <w:color w:val="000000"/>
          <w:sz w:val="24"/>
          <w:szCs w:val="24"/>
          <w:lang w:val="en-US"/>
        </w:rPr>
      </w:pPr>
    </w:p>
    <w:p w14:paraId="1C2AA6A7" w14:textId="77777777" w:rsidR="0025560B" w:rsidRPr="00D860A6" w:rsidRDefault="0025560B" w:rsidP="00D860A6">
      <w:pPr>
        <w:pStyle w:val="NoSpacing"/>
        <w:rPr>
          <w:rFonts w:ascii="Tenorite" w:hAnsi="Tenorite" w:cs="Times New Roman"/>
          <w:sz w:val="24"/>
          <w:szCs w:val="24"/>
        </w:rPr>
      </w:pPr>
    </w:p>
    <w:p w14:paraId="240355C3" w14:textId="77777777" w:rsidR="0025560B" w:rsidRDefault="0025560B" w:rsidP="006D26E5">
      <w:pPr>
        <w:spacing w:line="240" w:lineRule="auto"/>
        <w:rPr>
          <w:rFonts w:eastAsia="Times New Roman"/>
          <w:b/>
          <w:bCs/>
          <w:color w:val="000000"/>
          <w:sz w:val="24"/>
          <w:szCs w:val="24"/>
          <w:lang w:val="en-US"/>
        </w:rPr>
      </w:pPr>
    </w:p>
    <w:p w14:paraId="7C333619" w14:textId="77777777" w:rsidR="00BB38CA" w:rsidRDefault="00BB38CA" w:rsidP="006D26E5">
      <w:pPr>
        <w:spacing w:line="240" w:lineRule="auto"/>
        <w:rPr>
          <w:rFonts w:eastAsia="Times New Roman"/>
          <w:b/>
          <w:bCs/>
          <w:color w:val="000000"/>
          <w:sz w:val="24"/>
          <w:szCs w:val="24"/>
          <w:lang w:val="en-US"/>
        </w:rPr>
      </w:pPr>
    </w:p>
    <w:p w14:paraId="24C29648" w14:textId="6BD6A1A0" w:rsidR="00386B1A" w:rsidRPr="006D26E5" w:rsidRDefault="00386B1A" w:rsidP="006D26E5">
      <w:pPr>
        <w:spacing w:line="240" w:lineRule="auto"/>
        <w:rPr>
          <w:rFonts w:eastAsia="Times New Roman"/>
          <w:sz w:val="24"/>
          <w:szCs w:val="24"/>
          <w:lang w:val="en-US"/>
        </w:rPr>
      </w:pPr>
      <w:r w:rsidRPr="006D26E5">
        <w:rPr>
          <w:rFonts w:eastAsia="Times New Roman"/>
          <w:b/>
          <w:bCs/>
          <w:color w:val="000000"/>
          <w:sz w:val="24"/>
          <w:szCs w:val="24"/>
          <w:lang w:val="en-US"/>
        </w:rPr>
        <w:t>Abstract</w:t>
      </w:r>
    </w:p>
    <w:p w14:paraId="58E015D5" w14:textId="77777777" w:rsidR="003A0585" w:rsidRPr="003A0585" w:rsidRDefault="003A0585" w:rsidP="006D26E5">
      <w:pPr>
        <w:spacing w:before="160" w:after="160" w:line="240" w:lineRule="auto"/>
        <w:rPr>
          <w:i/>
          <w:iCs/>
          <w:color w:val="000000"/>
          <w:sz w:val="24"/>
          <w:szCs w:val="24"/>
        </w:rPr>
      </w:pPr>
      <w:r w:rsidRPr="003A0585">
        <w:rPr>
          <w:i/>
          <w:iCs/>
          <w:color w:val="000000"/>
          <w:sz w:val="24"/>
          <w:szCs w:val="24"/>
        </w:rPr>
        <w:t>The increasing adoption of cloud-based patient information systems in healthcare enhances efficiency and accessibility but introduces significant cybersecurity risks. Traditional encryption methods, such as RSA and ECC, are becoming vulnerable due to rapid advancements in quantum computing, necessitating the transition to quantum-resistant encryption. This study evaluates the effectiveness of post-quantum cryptographic (PQC) solutions in securing cloud-stored healthcare data. Using publicly available datasets, including HHS breach records, NIST PQC benchmarks, and HIMSS cybersecurity reports, this research identifies trends in healthcare data breaches, encryption adoption, and regulatory penalties. Findings indicate a strong correlation between increased cloud adoption and cybersecurity breaches, highlighting the urgent need for enhanced encryption. Post-quantum cryptographic algorithms, particularly CRYSTALS-Kyber and CRYSTALS-</w:t>
      </w:r>
      <w:proofErr w:type="spellStart"/>
      <w:r w:rsidRPr="003A0585">
        <w:rPr>
          <w:i/>
          <w:iCs/>
          <w:color w:val="000000"/>
          <w:sz w:val="24"/>
          <w:szCs w:val="24"/>
        </w:rPr>
        <w:t>Dilithium</w:t>
      </w:r>
      <w:proofErr w:type="spellEnd"/>
      <w:r w:rsidRPr="003A0585">
        <w:rPr>
          <w:i/>
          <w:iCs/>
          <w:color w:val="000000"/>
          <w:sz w:val="24"/>
          <w:szCs w:val="24"/>
        </w:rPr>
        <w:t>, outperform traditional encryption methods in terms of security and computational efficiency, making them viable for healthcare applications. Institutions that have adopted PQC show a marked decline in regulatory fines, reinforcing its role in compliance and risk mitigation. This study underscores the need for early PQC adoption, increased investment in cybersecurity training, and regulatory collaboration to ensure seamless integration of quantum-resistant encryption. The research provides critical insights into the evolving cybersecurity landscape, emphasizing the necessity of transitioning to PQC to safeguard patient data against future quantum threats. These findings serve as a strategic guide for healthcare institutions and policymakers, advocating for proactive encryption strategies that align with regulatory standards and ensure long-term data security.</w:t>
      </w:r>
    </w:p>
    <w:p w14:paraId="5EE0E619" w14:textId="27B2641F" w:rsidR="00386B1A" w:rsidRPr="006D26E5" w:rsidRDefault="00386B1A" w:rsidP="006D26E5">
      <w:pPr>
        <w:spacing w:before="160" w:after="160" w:line="240" w:lineRule="auto"/>
        <w:rPr>
          <w:rFonts w:eastAsia="Times New Roman"/>
          <w:sz w:val="24"/>
          <w:szCs w:val="24"/>
          <w:lang w:val="en-US"/>
        </w:rPr>
      </w:pPr>
      <w:r w:rsidRPr="006D26E5">
        <w:rPr>
          <w:rFonts w:eastAsia="Times New Roman"/>
          <w:b/>
          <w:bCs/>
          <w:color w:val="000000"/>
          <w:sz w:val="24"/>
          <w:szCs w:val="24"/>
          <w:lang w:val="en-US"/>
        </w:rPr>
        <w:t>Keywords: Post-Quantum Cryptography, Cloud Security, Healthcare Encryption, Regulatory Compliance, Quantum-Resistant Algorithms</w:t>
      </w:r>
    </w:p>
    <w:p w14:paraId="74E845DD" w14:textId="77777777" w:rsidR="00506BCB" w:rsidRPr="006D26E5" w:rsidRDefault="006D26E5" w:rsidP="006D26E5">
      <w:pPr>
        <w:pStyle w:val="Heading3"/>
        <w:keepNext w:val="0"/>
        <w:keepLines w:val="0"/>
        <w:spacing w:before="280"/>
        <w:rPr>
          <w:b/>
          <w:color w:val="000000"/>
          <w:sz w:val="24"/>
          <w:szCs w:val="24"/>
        </w:rPr>
      </w:pPr>
      <w:bookmarkStart w:id="0" w:name="_rvgsitm3y59m" w:colFirst="0" w:colLast="0"/>
      <w:bookmarkEnd w:id="0"/>
      <w:r>
        <w:rPr>
          <w:b/>
          <w:color w:val="000000"/>
          <w:sz w:val="24"/>
          <w:szCs w:val="24"/>
        </w:rPr>
        <w:t>1.</w:t>
      </w:r>
      <w:r>
        <w:rPr>
          <w:b/>
          <w:color w:val="000000"/>
          <w:sz w:val="24"/>
          <w:szCs w:val="24"/>
        </w:rPr>
        <w:tab/>
      </w:r>
      <w:r w:rsidRPr="006D26E5">
        <w:rPr>
          <w:b/>
          <w:color w:val="000000"/>
          <w:sz w:val="24"/>
          <w:szCs w:val="24"/>
        </w:rPr>
        <w:t>Introduction</w:t>
      </w:r>
    </w:p>
    <w:p w14:paraId="0DCD27FF" w14:textId="77777777" w:rsidR="00506BCB" w:rsidRPr="006D26E5" w:rsidRDefault="002C4A4D" w:rsidP="006D26E5">
      <w:pPr>
        <w:spacing w:before="240" w:after="240"/>
        <w:rPr>
          <w:sz w:val="24"/>
          <w:szCs w:val="24"/>
        </w:rPr>
      </w:pPr>
      <w:r w:rsidRPr="006D26E5">
        <w:rPr>
          <w:sz w:val="24"/>
          <w:szCs w:val="24"/>
        </w:rPr>
        <w:t xml:space="preserve">The security of cloud-based patient information systems remains a critical concern in modern healthcare, given their role in storing and managing vast volumes of sensitive medical, personal, and financial data. While these systems provide scalability, accessibility, and cost efficiency, they also introduce vulnerabilities that cybercriminals actively exploit. The increasing sophistication of cyber threats, compounded by rapid advancements in quantum computing, has raised significant concerns regarding the efficacy of traditional encryption methods. In the view of Robert et al. (2024), these </w:t>
      </w:r>
      <w:r w:rsidRPr="006D26E5">
        <w:rPr>
          <w:sz w:val="24"/>
          <w:szCs w:val="24"/>
        </w:rPr>
        <w:lastRenderedPageBreak/>
        <w:t>developments necessitate a transition toward quantum-resistant encryption to ensure the long-term protection of patient data, particularly as existing cryptographic techniques become increasingly susceptible to compromise.</w:t>
      </w:r>
    </w:p>
    <w:p w14:paraId="12842D18" w14:textId="77777777" w:rsidR="00506BCB" w:rsidRPr="006D26E5" w:rsidRDefault="002C4A4D" w:rsidP="006D26E5">
      <w:pPr>
        <w:spacing w:before="240" w:after="240"/>
        <w:rPr>
          <w:sz w:val="24"/>
          <w:szCs w:val="24"/>
        </w:rPr>
      </w:pPr>
      <w:r w:rsidRPr="006D26E5">
        <w:rPr>
          <w:sz w:val="24"/>
          <w:szCs w:val="24"/>
        </w:rPr>
        <w:t>Quantum computing represents a transformative leap in computational power, enabling the rapid resolution of complex mathematical problems that would otherwise require impractical amounts of time for classical computers. A primary concern associated with this advancement is its potential to undermine widely used cryptographic protocols such as Rivest-Shamir-Adleman (RSA) and Elliptic Curve Cryptography (ECC), both of which serve as fundamental components of current encryption mechanisms. According to Sood (2024), Shor’s algorithm, a quantum computational method, has demonstrated the capability to factor large prime numbers exponentially faster than classical algorithms, rendering RSA and ECC vulnerable to decryption by quantum processors. Google’s unveiling of its Willow quantum computing chip in December 2024 further exemplifies the rapid progress in this field, as the chip demonstrated computational speeds that could soon render existing encryption standards obsolete (Louise, 2024). In response to these developments, industries—particularly the healthcare sector—face increasing pressure to adopt post-quantum cryptographic solutions that can withstand the computational capabilities of quantum systems.</w:t>
      </w:r>
    </w:p>
    <w:p w14:paraId="73C2A1D2" w14:textId="77777777" w:rsidR="00506BCB" w:rsidRPr="006D26E5" w:rsidRDefault="002C4A4D" w:rsidP="006D26E5">
      <w:pPr>
        <w:spacing w:before="240" w:after="240"/>
        <w:rPr>
          <w:sz w:val="24"/>
          <w:szCs w:val="24"/>
        </w:rPr>
      </w:pPr>
      <w:r w:rsidRPr="006D26E5">
        <w:rPr>
          <w:sz w:val="24"/>
          <w:szCs w:val="24"/>
        </w:rPr>
        <w:t>Recognizing the urgency of these threats, the National Institute of Standards and Technology (NIST) has led global efforts to standardize post-quantum cryptographic algorithms. NIST (2024) states that in August 2024, NIST introduced three quantum-resistant encryption standards: FIPS 203, which employs the CRYSTALS-Kyber algorithm for general encryption purposes; FIPS 204, which is based on the CRYSTALS-</w:t>
      </w:r>
      <w:proofErr w:type="spellStart"/>
      <w:r w:rsidRPr="006D26E5">
        <w:rPr>
          <w:sz w:val="24"/>
          <w:szCs w:val="24"/>
        </w:rPr>
        <w:t>Dilithium</w:t>
      </w:r>
      <w:proofErr w:type="spellEnd"/>
      <w:r w:rsidRPr="006D26E5">
        <w:rPr>
          <w:sz w:val="24"/>
          <w:szCs w:val="24"/>
        </w:rPr>
        <w:t xml:space="preserve"> algorithm for digital signatures; and FIPS 205, which utilizes </w:t>
      </w:r>
      <w:proofErr w:type="spellStart"/>
      <w:r w:rsidRPr="006D26E5">
        <w:rPr>
          <w:sz w:val="24"/>
          <w:szCs w:val="24"/>
        </w:rPr>
        <w:t>Sphincs</w:t>
      </w:r>
      <w:proofErr w:type="spellEnd"/>
      <w:r w:rsidRPr="006D26E5">
        <w:rPr>
          <w:sz w:val="24"/>
          <w:szCs w:val="24"/>
        </w:rPr>
        <w:t>+ as an alternative digital signature approach. These newly established standards provide a structured framework for industries, including healthcare, to transition toward encryption mechanisms that remain secure against quantum-enabled decryption attacks (</w:t>
      </w:r>
      <w:proofErr w:type="spellStart"/>
      <w:r w:rsidRPr="006D26E5">
        <w:rPr>
          <w:sz w:val="24"/>
          <w:szCs w:val="24"/>
        </w:rPr>
        <w:t>Lv</w:t>
      </w:r>
      <w:proofErr w:type="spellEnd"/>
      <w:r w:rsidRPr="006D26E5">
        <w:rPr>
          <w:sz w:val="24"/>
          <w:szCs w:val="24"/>
        </w:rPr>
        <w:t xml:space="preserve"> et al., 2024). The urgency of this transition has been reinforced by major technology companies; for instance, Signal integrated Post-Quantum Extended Diffie–Hellman encryption into its communication protocols in 2023, highlighting the necessity of </w:t>
      </w:r>
      <w:proofErr w:type="spellStart"/>
      <w:r w:rsidRPr="006D26E5">
        <w:rPr>
          <w:sz w:val="24"/>
          <w:szCs w:val="24"/>
        </w:rPr>
        <w:t>preemptive</w:t>
      </w:r>
      <w:proofErr w:type="spellEnd"/>
      <w:r w:rsidRPr="006D26E5">
        <w:rPr>
          <w:sz w:val="24"/>
          <w:szCs w:val="24"/>
        </w:rPr>
        <w:t xml:space="preserve"> security enhancements to address emerging quantum threats (Sharma et al., 2023).</w:t>
      </w:r>
    </w:p>
    <w:p w14:paraId="0CC6E6A9" w14:textId="77777777" w:rsidR="00506BCB" w:rsidRPr="006D26E5" w:rsidRDefault="002C4A4D" w:rsidP="006D26E5">
      <w:pPr>
        <w:spacing w:before="240" w:after="240"/>
        <w:rPr>
          <w:sz w:val="24"/>
          <w:szCs w:val="24"/>
        </w:rPr>
      </w:pPr>
      <w:r w:rsidRPr="006D26E5">
        <w:rPr>
          <w:sz w:val="24"/>
          <w:szCs w:val="24"/>
        </w:rPr>
        <w:t xml:space="preserve">The healthcare industry faces particularly acute challenges in securing cloud-based infrastructures, given the growing volume of sensitive patient data stored in remote environments. According to Shrivastava et al. (2024), healthcare institutions are increasingly adopting cloud computing to enhance operational efficiency, facilitate real-time data access, and improve patient care coordination. However, this transition has also amplified security risks, as healthcare databases have become primary targets for </w:t>
      </w:r>
      <w:r w:rsidRPr="006D26E5">
        <w:rPr>
          <w:sz w:val="24"/>
          <w:szCs w:val="24"/>
        </w:rPr>
        <w:lastRenderedPageBreak/>
        <w:t>cybercriminals. The frequency and severity of data breaches within the healthcare sector have escalated, resulting in the compromise of millions of patient records, substantial financial losses, reputational damage, and stringent regulatory penalties. Adepoju (2024) contends that hacking incidents, insider threats, and vulnerabilities in third-party vendor systems have further exacerbated these risks, emphasizing the necessity for more resilient security frameworks. Regulatory bodies such as the Health Insurance Portability and Accountability Act (HIPAA) and the General Data Protection Regulation (GDPR) mandate stringent data protection measures. However, as cyber threats continue to evolve, there is an increasing likelihood that regulators will introduce post-quantum cryptographic requirements to mitigate future security risks (Mansoor et al., 2024). Moreover, as many healthcare organizations rely on third-party cloud service providers—including Amazon Web Services (AWS), Microsoft Azure, and Google Cloud—ensuring end-to-end quantum-resistant encryption within these ecosystems is paramount for maintaining data integrity and regulatory compliance (</w:t>
      </w:r>
      <w:proofErr w:type="spellStart"/>
      <w:r w:rsidRPr="006D26E5">
        <w:rPr>
          <w:sz w:val="24"/>
          <w:szCs w:val="24"/>
        </w:rPr>
        <w:t>Webisoft</w:t>
      </w:r>
      <w:proofErr w:type="spellEnd"/>
      <w:r w:rsidRPr="006D26E5">
        <w:rPr>
          <w:sz w:val="24"/>
          <w:szCs w:val="24"/>
        </w:rPr>
        <w:t>, 2023).</w:t>
      </w:r>
    </w:p>
    <w:p w14:paraId="458B8E20" w14:textId="77777777" w:rsidR="00506BCB" w:rsidRPr="006D26E5" w:rsidRDefault="002C4A4D" w:rsidP="006D26E5">
      <w:pPr>
        <w:spacing w:before="240" w:after="240"/>
        <w:rPr>
          <w:sz w:val="24"/>
          <w:szCs w:val="24"/>
        </w:rPr>
      </w:pPr>
      <w:r w:rsidRPr="006D26E5">
        <w:rPr>
          <w:sz w:val="24"/>
          <w:szCs w:val="24"/>
        </w:rPr>
        <w:t xml:space="preserve">In response to these security challenges, several organizations have already begun integrating quantum-resistant encryption into their cloud-based patient information systems. In the view of </w:t>
      </w:r>
      <w:proofErr w:type="spellStart"/>
      <w:r w:rsidRPr="006D26E5">
        <w:rPr>
          <w:sz w:val="24"/>
          <w:szCs w:val="24"/>
        </w:rPr>
        <w:t>SaberiKamarposhti</w:t>
      </w:r>
      <w:proofErr w:type="spellEnd"/>
      <w:r w:rsidRPr="006D26E5">
        <w:rPr>
          <w:sz w:val="24"/>
          <w:szCs w:val="24"/>
        </w:rPr>
        <w:t xml:space="preserve"> et al. (2024), healthcare technology firms such as </w:t>
      </w:r>
      <w:proofErr w:type="spellStart"/>
      <w:r w:rsidRPr="006D26E5">
        <w:rPr>
          <w:sz w:val="24"/>
          <w:szCs w:val="24"/>
        </w:rPr>
        <w:t>Otio</w:t>
      </w:r>
      <w:proofErr w:type="spellEnd"/>
      <w:r w:rsidRPr="006D26E5">
        <w:rPr>
          <w:sz w:val="24"/>
          <w:szCs w:val="24"/>
        </w:rPr>
        <w:t xml:space="preserve"> have adopted post-quantum cryptographic techniques to secure electronic health records, demonstrating the feasibility of these encryption mechanisms in real-world applications. Additionally, research by Dhinakaran et al. (2024) has explored the use of quantum cryptography to secure real-time data transmissions from wearable medical devices, further underscoring the viability of post-quantum encryption for remote healthcare monitoring. The </w:t>
      </w:r>
      <w:proofErr w:type="spellStart"/>
      <w:r w:rsidRPr="006D26E5">
        <w:rPr>
          <w:sz w:val="24"/>
          <w:szCs w:val="24"/>
        </w:rPr>
        <w:t>QMedShield</w:t>
      </w:r>
      <w:proofErr w:type="spellEnd"/>
      <w:r w:rsidRPr="006D26E5">
        <w:rPr>
          <w:sz w:val="24"/>
          <w:szCs w:val="24"/>
        </w:rPr>
        <w:t xml:space="preserve"> project has also introduced a quantum chaos-based encryption scheme designed to protect medical imaging data stored in cloud environments, illustrating how quantum-resistant techniques can enhance the security of patient records (</w:t>
      </w:r>
      <w:proofErr w:type="spellStart"/>
      <w:r w:rsidRPr="006D26E5">
        <w:rPr>
          <w:sz w:val="24"/>
          <w:szCs w:val="24"/>
        </w:rPr>
        <w:t>Amaithi</w:t>
      </w:r>
      <w:proofErr w:type="spellEnd"/>
      <w:r w:rsidRPr="006D26E5">
        <w:rPr>
          <w:sz w:val="24"/>
          <w:szCs w:val="24"/>
        </w:rPr>
        <w:t xml:space="preserve"> Rajan &amp; </w:t>
      </w:r>
      <w:proofErr w:type="spellStart"/>
      <w:r w:rsidRPr="006D26E5">
        <w:rPr>
          <w:sz w:val="24"/>
          <w:szCs w:val="24"/>
        </w:rPr>
        <w:t>Vetrian</w:t>
      </w:r>
      <w:proofErr w:type="spellEnd"/>
      <w:r w:rsidRPr="006D26E5">
        <w:rPr>
          <w:sz w:val="24"/>
          <w:szCs w:val="24"/>
        </w:rPr>
        <w:t>, 2024).</w:t>
      </w:r>
    </w:p>
    <w:p w14:paraId="15D84C53" w14:textId="77777777" w:rsidR="00506BCB" w:rsidRPr="006D26E5" w:rsidRDefault="002C4A4D" w:rsidP="006D26E5">
      <w:pPr>
        <w:spacing w:before="240" w:after="240"/>
        <w:rPr>
          <w:sz w:val="24"/>
          <w:szCs w:val="24"/>
        </w:rPr>
      </w:pPr>
      <w:r w:rsidRPr="006D26E5">
        <w:rPr>
          <w:sz w:val="24"/>
          <w:szCs w:val="24"/>
        </w:rPr>
        <w:t>The growing awareness of quantum computing threats has driven significant investment in quantum-resistant cryptographic solutions. According to Allied Market (2024), the global quantum-resistant cryptography market was valued at $523.4 million in 2023 and is projected to reach $7.8 billion by 2032, reflecting a compound annual growth rate of 35%. This substantial market expansion underscores the increasing demand for security measures that safeguard critical digital infrastructures against quantum-enabled decryption attacks. Furthermore, healthcare institutions are proactively incorporating quantum-secure cryptographic techniques into electronic health records (EHR) systems to ensure compliance with evolving regulatory frameworks. A major U.S. hospital network, for instance, has already implemented quantum-resistant encryption protocols, setting a precedent for widespread industry adoption (Patel, 2024).</w:t>
      </w:r>
    </w:p>
    <w:p w14:paraId="25F4D8CE" w14:textId="1CA55858" w:rsidR="00506BCB" w:rsidRPr="006D26E5" w:rsidRDefault="002C4A4D" w:rsidP="006D26E5">
      <w:pPr>
        <w:spacing w:before="240" w:after="240"/>
        <w:rPr>
          <w:sz w:val="24"/>
          <w:szCs w:val="24"/>
        </w:rPr>
      </w:pPr>
      <w:r w:rsidRPr="006D26E5">
        <w:rPr>
          <w:sz w:val="24"/>
          <w:szCs w:val="24"/>
        </w:rPr>
        <w:lastRenderedPageBreak/>
        <w:t>Despite these advancements, a significant gap persists between awareness and preparedness. (Zhadan (2022) argues that while 95% of respondents in a recent cybersecurity survey acknowledged the impact of quantum computing on cryptographic security, only 25% of organizations have initiated concrete measures to address this challenge. This disparity highlights the urgent need for healthcare institutions to accelerate their transition toward quantum-resistant encryption frameworks. Achieving this objective requires a multifaceted approach, including the adoption of NIST’s post-quantum cryptography standards, collaboration between cloud service providers and healthcare organizations to develop secure infrastructures, and regulatory enhancements mandating the implementation of quantum-safe encryption techniques (Firmansyah &amp; Bansal, 2024). According to Dhinakaran et al. (2024), continued research, case studies, and practical implementations will be instrumental in shaping robust security frameworks that safeguard sensitive patient information against the evolving cyber threats posed by quantum advancements.</w:t>
      </w:r>
      <w:r w:rsidR="00847C7C">
        <w:rPr>
          <w:sz w:val="24"/>
          <w:szCs w:val="24"/>
        </w:rPr>
        <w:t xml:space="preserve"> </w:t>
      </w:r>
      <w:r w:rsidR="00847C7C" w:rsidRPr="00847C7C">
        <w:rPr>
          <w:sz w:val="24"/>
          <w:szCs w:val="24"/>
        </w:rPr>
        <w:t>This research is crucial for the scientific community as it addresses the pressing cybersecurity challenges in cloud-based healthcare systems. By evaluating quantum-resistant encryption, it provides practical solutions for protecting sensitive patient data against emerging quantum threats. Furthermore, this study aligns with global regulatory frameworks such as HIPAA and GDPR, ensuring compliance and data integrity. Its findings contribute to future-proofing healthcare security, guiding institutions in adopting resilient encryption strategies.</w:t>
      </w:r>
      <w:r w:rsidR="00847C7C">
        <w:rPr>
          <w:sz w:val="24"/>
          <w:szCs w:val="24"/>
        </w:rPr>
        <w:t xml:space="preserve"> </w:t>
      </w:r>
      <w:r w:rsidRPr="006D26E5">
        <w:rPr>
          <w:sz w:val="24"/>
          <w:szCs w:val="24"/>
        </w:rPr>
        <w:t>This research aims to investigate and evaluate the feasibility and effectiveness of implementing quantum-resistant encryption techniques in cloud-based patient information systems to enhance the long-term security of sensitive healthcare data against future quantum computing threats, by achieving the following objectives:</w:t>
      </w:r>
    </w:p>
    <w:p w14:paraId="3D2E29B5" w14:textId="77777777" w:rsidR="00506BCB" w:rsidRPr="006D26E5" w:rsidRDefault="002C4A4D" w:rsidP="006D26E5">
      <w:pPr>
        <w:numPr>
          <w:ilvl w:val="0"/>
          <w:numId w:val="8"/>
        </w:numPr>
        <w:spacing w:before="240"/>
        <w:rPr>
          <w:sz w:val="24"/>
          <w:szCs w:val="24"/>
        </w:rPr>
      </w:pPr>
      <w:r w:rsidRPr="006D26E5">
        <w:rPr>
          <w:sz w:val="24"/>
          <w:szCs w:val="24"/>
        </w:rPr>
        <w:t>Examines the security risks associated with cloud-based patient information systems in the context of evolving cyber threats, including the potential impact of quantum computing on existing encryption methods.</w:t>
      </w:r>
    </w:p>
    <w:p w14:paraId="2F02DA8C" w14:textId="77777777" w:rsidR="00506BCB" w:rsidRPr="006D26E5" w:rsidRDefault="002C4A4D" w:rsidP="006D26E5">
      <w:pPr>
        <w:numPr>
          <w:ilvl w:val="0"/>
          <w:numId w:val="8"/>
        </w:numPr>
        <w:rPr>
          <w:sz w:val="24"/>
          <w:szCs w:val="24"/>
        </w:rPr>
      </w:pPr>
      <w:r w:rsidRPr="006D26E5">
        <w:rPr>
          <w:sz w:val="24"/>
          <w:szCs w:val="24"/>
        </w:rPr>
        <w:t>Evaluates the current advancements in post-quantum cryptography and assess their applicability in securing healthcare data.</w:t>
      </w:r>
    </w:p>
    <w:p w14:paraId="1B8705E0" w14:textId="77777777" w:rsidR="00506BCB" w:rsidRPr="006D26E5" w:rsidRDefault="002C4A4D" w:rsidP="006D26E5">
      <w:pPr>
        <w:numPr>
          <w:ilvl w:val="0"/>
          <w:numId w:val="8"/>
        </w:numPr>
        <w:rPr>
          <w:sz w:val="24"/>
          <w:szCs w:val="24"/>
        </w:rPr>
      </w:pPr>
      <w:proofErr w:type="spellStart"/>
      <w:r w:rsidRPr="006D26E5">
        <w:rPr>
          <w:sz w:val="24"/>
          <w:szCs w:val="24"/>
        </w:rPr>
        <w:t>Analyzes</w:t>
      </w:r>
      <w:proofErr w:type="spellEnd"/>
      <w:r w:rsidRPr="006D26E5">
        <w:rPr>
          <w:sz w:val="24"/>
          <w:szCs w:val="24"/>
        </w:rPr>
        <w:t xml:space="preserve"> case studies of healthcare institutions that have adopted or are transitioning toward quantum-resistant encryption, identifying key lessons, challenges, and best practices.</w:t>
      </w:r>
    </w:p>
    <w:p w14:paraId="25F93420" w14:textId="77777777" w:rsidR="00506BCB" w:rsidRPr="006D26E5" w:rsidRDefault="002C4A4D" w:rsidP="006D26E5">
      <w:pPr>
        <w:numPr>
          <w:ilvl w:val="0"/>
          <w:numId w:val="8"/>
        </w:numPr>
        <w:spacing w:after="240"/>
        <w:rPr>
          <w:sz w:val="24"/>
          <w:szCs w:val="24"/>
        </w:rPr>
      </w:pPr>
      <w:r w:rsidRPr="006D26E5">
        <w:rPr>
          <w:sz w:val="24"/>
          <w:szCs w:val="24"/>
        </w:rPr>
        <w:t>Explores regulatory and compliance considerations in implementing quantum-resistant encryption for healthcare data security, examining how global data protection laws (e.g., HIPAA, GDPR) are adapting to quantum cybersecurity threats.</w:t>
      </w:r>
    </w:p>
    <w:p w14:paraId="6451699E" w14:textId="77777777" w:rsidR="00506BCB" w:rsidRDefault="00832FB8" w:rsidP="006D26E5">
      <w:pPr>
        <w:pStyle w:val="Heading2"/>
        <w:keepNext w:val="0"/>
        <w:keepLines w:val="0"/>
        <w:spacing w:after="80"/>
        <w:rPr>
          <w:rFonts w:eastAsia="Times New Roman"/>
          <w:b/>
          <w:color w:val="0D0D0D"/>
          <w:sz w:val="24"/>
          <w:szCs w:val="24"/>
          <w:highlight w:val="white"/>
        </w:rPr>
      </w:pPr>
      <w:bookmarkStart w:id="1" w:name="_5ct61r40rf7v" w:colFirst="0" w:colLast="0"/>
      <w:bookmarkEnd w:id="1"/>
      <w:r>
        <w:rPr>
          <w:rFonts w:eastAsia="Times New Roman"/>
          <w:b/>
          <w:color w:val="0D0D0D"/>
          <w:sz w:val="24"/>
          <w:szCs w:val="24"/>
          <w:highlight w:val="white"/>
        </w:rPr>
        <w:t>2.</w:t>
      </w:r>
      <w:r>
        <w:rPr>
          <w:rFonts w:eastAsia="Times New Roman"/>
          <w:b/>
          <w:color w:val="0D0D0D"/>
          <w:sz w:val="24"/>
          <w:szCs w:val="24"/>
          <w:highlight w:val="white"/>
        </w:rPr>
        <w:tab/>
      </w:r>
      <w:r w:rsidR="002C4A4D" w:rsidRPr="006D26E5">
        <w:rPr>
          <w:rFonts w:eastAsia="Times New Roman"/>
          <w:b/>
          <w:color w:val="0D0D0D"/>
          <w:sz w:val="24"/>
          <w:szCs w:val="24"/>
          <w:highlight w:val="white"/>
        </w:rPr>
        <w:t>Literature Review</w:t>
      </w:r>
    </w:p>
    <w:p w14:paraId="15DCFCB1" w14:textId="77777777" w:rsidR="003A0585" w:rsidRDefault="003A0585" w:rsidP="003A0585">
      <w:pPr>
        <w:rPr>
          <w:highlight w:val="white"/>
        </w:rPr>
      </w:pPr>
    </w:p>
    <w:p w14:paraId="5027BBCA" w14:textId="77777777" w:rsidR="003A0585" w:rsidRPr="003A0585" w:rsidRDefault="003A0585" w:rsidP="003A0585">
      <w:pPr>
        <w:pStyle w:val="Heading3"/>
        <w:spacing w:before="280"/>
        <w:rPr>
          <w:b/>
        </w:rPr>
      </w:pPr>
      <w:r w:rsidRPr="003A0585">
        <w:rPr>
          <w:b/>
          <w:color w:val="0D0D0D"/>
          <w:sz w:val="26"/>
          <w:szCs w:val="26"/>
          <w:shd w:val="clear" w:color="auto" w:fill="FFFFFF"/>
        </w:rPr>
        <w:lastRenderedPageBreak/>
        <w:t>Cyber Threats to Healthcare Data in Cloud Environments</w:t>
      </w:r>
    </w:p>
    <w:p w14:paraId="59D6E0C0" w14:textId="77777777" w:rsidR="003A0585" w:rsidRPr="003A0585" w:rsidRDefault="003A0585" w:rsidP="003A0585">
      <w:pPr>
        <w:rPr>
          <w:highlight w:val="white"/>
        </w:rPr>
      </w:pPr>
    </w:p>
    <w:p w14:paraId="224DC2DE" w14:textId="77777777" w:rsidR="00506BCB" w:rsidRPr="006D26E5" w:rsidRDefault="002C4A4D" w:rsidP="006D26E5">
      <w:pPr>
        <w:spacing w:before="240" w:after="240"/>
        <w:rPr>
          <w:rFonts w:eastAsia="Times New Roman"/>
          <w:color w:val="0D0D0D"/>
          <w:sz w:val="24"/>
          <w:szCs w:val="24"/>
          <w:highlight w:val="white"/>
        </w:rPr>
      </w:pPr>
      <w:bookmarkStart w:id="2" w:name="_7oya81nglmv4" w:colFirst="0" w:colLast="0"/>
      <w:bookmarkEnd w:id="2"/>
      <w:r w:rsidRPr="006D26E5">
        <w:rPr>
          <w:rFonts w:eastAsia="Times New Roman"/>
          <w:color w:val="0D0D0D"/>
          <w:sz w:val="24"/>
          <w:szCs w:val="24"/>
          <w:highlight w:val="white"/>
        </w:rPr>
        <w:t xml:space="preserve">The increasing reliance on cloud-based systems in healthcare has significantly improved operational efficiency, yet it has also heightened security vulnerabilities. </w:t>
      </w:r>
      <w:proofErr w:type="spellStart"/>
      <w:r w:rsidRPr="006D26E5">
        <w:rPr>
          <w:rFonts w:eastAsia="Times New Roman"/>
          <w:color w:val="0D0D0D"/>
          <w:sz w:val="24"/>
          <w:szCs w:val="24"/>
          <w:highlight w:val="white"/>
        </w:rPr>
        <w:t>Perwej</w:t>
      </w:r>
      <w:proofErr w:type="spellEnd"/>
      <w:r w:rsidRPr="006D26E5">
        <w:rPr>
          <w:rFonts w:eastAsia="Times New Roman"/>
          <w:color w:val="0D0D0D"/>
          <w:sz w:val="24"/>
          <w:szCs w:val="24"/>
          <w:highlight w:val="white"/>
        </w:rPr>
        <w:t xml:space="preserve"> et al. (2021) contends that traditional cyber threats such as hacking, phishing, and ransomware attacks continue to exploit weaknesses in outdated security protocols and human error, leading to frequent data breaches. The healthcare sector remains a primary target for cybercriminals due to its vast repositories of sensitive patient data, which are valuable for financial fraud, identity theft, and black-market transactions (</w:t>
      </w:r>
      <w:proofErr w:type="spellStart"/>
      <w:r w:rsidRPr="006D26E5">
        <w:rPr>
          <w:rFonts w:eastAsia="Times New Roman"/>
          <w:color w:val="0D0D0D"/>
          <w:sz w:val="24"/>
          <w:szCs w:val="24"/>
          <w:highlight w:val="white"/>
        </w:rPr>
        <w:t>Gurinaviciute</w:t>
      </w:r>
      <w:proofErr w:type="spellEnd"/>
      <w:r w:rsidRPr="006D26E5">
        <w:rPr>
          <w:rFonts w:eastAsia="Times New Roman"/>
          <w:color w:val="0D0D0D"/>
          <w:sz w:val="24"/>
          <w:szCs w:val="24"/>
          <w:highlight w:val="white"/>
        </w:rPr>
        <w:t>, 2024).</w:t>
      </w:r>
    </w:p>
    <w:p w14:paraId="1C398AC7"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Ransomware attacks, in particular, pose severe risks to cloud-based healthcare infrastructures. These attacks involve encrypting critical data and demanding ransom payments for decryption, often resulting in operational disruptions and compromised patient care (</w:t>
      </w:r>
      <w:proofErr w:type="spellStart"/>
      <w:r w:rsidRPr="006D26E5">
        <w:rPr>
          <w:rFonts w:eastAsia="Times New Roman"/>
          <w:color w:val="0D0D0D"/>
          <w:sz w:val="24"/>
          <w:szCs w:val="24"/>
          <w:highlight w:val="white"/>
        </w:rPr>
        <w:t>Kirubavathi</w:t>
      </w:r>
      <w:proofErr w:type="spellEnd"/>
      <w:r w:rsidRPr="006D26E5">
        <w:rPr>
          <w:rFonts w:eastAsia="Times New Roman"/>
          <w:color w:val="0D0D0D"/>
          <w:sz w:val="24"/>
          <w:szCs w:val="24"/>
          <w:highlight w:val="white"/>
        </w:rPr>
        <w:t xml:space="preserve"> et al., 2024; Ajayi et al., 2025). Glover (2025) reports that the Australian fertility clinic Genea suffered a ransomware attack that exposed nearly a terabyte of sensitive patient information, highlighting the devastating consequences of such breaches. Similarly, the 2022 ransomware attack on Advanced Computer Software Group disrupted NHS services in England, affecting over 80,000 individuals and demonstrating the cascading effects of third-party vulnerabilities on healthcare networks (Cyber Management Alliance, 2024).</w:t>
      </w:r>
    </w:p>
    <w:p w14:paraId="668DBCBF"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Beyond external cyber threats, insider risks and third-party vendor vulnerabilities exacerbate security challenges. Lee (2022) posits that a substantial proportion of healthcare data breaches stem from compromised credentials, negligence, and inadequate security measures among internal personnel and external contractors. The interconnected nature of healthcare systems means that a single security lapse can expose multiple entities within the network, significantly amplifying the scope of cyber risks (Burrell, 2024; Balogun, 2025).</w:t>
      </w:r>
    </w:p>
    <w:p w14:paraId="668EDE06"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The consequences of healthcare data breaches extend beyond financial losses to reputational damage and the erosion of patient trust. Abrams (2024) states that the 2023 UnitedHealth Group data breach, which affected over 100 million individuals, stands as one of the most significant security incidents in healthcare history. Such breaches reinforce the urgent need for robust cybersecurity frameworks that prioritize data privacy and ensure the integrity of cloud-based healthcare infrastructures.</w:t>
      </w:r>
    </w:p>
    <w:p w14:paraId="11E888F0"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Adding to these challenges, the emergence of quantum computing threatens existing encryption methods. Sahoo et al. (2024) contends that quantum computers, utilizing Shor’s algorithm, have the potential to decrypt widely used cryptographic protocols such </w:t>
      </w:r>
      <w:r w:rsidRPr="006D26E5">
        <w:rPr>
          <w:rFonts w:eastAsia="Times New Roman"/>
          <w:color w:val="0D0D0D"/>
          <w:sz w:val="24"/>
          <w:szCs w:val="24"/>
          <w:highlight w:val="white"/>
        </w:rPr>
        <w:lastRenderedPageBreak/>
        <w:t>as RSA and Elliptic Curve Cryptography (ECC). While large-scale quantum decryption remains a decade away, the "harvest now, decrypt later" strategy, where adversaries collect encrypted data for future decryption, necessitates immediate adoption of quantum-resistant encryption (</w:t>
      </w:r>
      <w:proofErr w:type="spellStart"/>
      <w:r w:rsidRPr="006D26E5">
        <w:rPr>
          <w:rFonts w:eastAsia="Times New Roman"/>
          <w:color w:val="0D0D0D"/>
          <w:sz w:val="24"/>
          <w:szCs w:val="24"/>
          <w:highlight w:val="white"/>
        </w:rPr>
        <w:t>Avsuvarova</w:t>
      </w:r>
      <w:proofErr w:type="spellEnd"/>
      <w:r w:rsidRPr="006D26E5">
        <w:rPr>
          <w:rFonts w:eastAsia="Times New Roman"/>
          <w:color w:val="0D0D0D"/>
          <w:sz w:val="24"/>
          <w:szCs w:val="24"/>
          <w:highlight w:val="white"/>
        </w:rPr>
        <w:t xml:space="preserve">, 2025; Kolade et al., 2025). Recognizing these threats, organizations such as NIST are actively developing quantum-resistant cryptographic standards. </w:t>
      </w:r>
    </w:p>
    <w:p w14:paraId="20DA233A"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3" w:name="_paiwpnwa2ega" w:colFirst="0" w:colLast="0"/>
      <w:bookmarkEnd w:id="3"/>
      <w:r w:rsidRPr="006D26E5">
        <w:rPr>
          <w:rFonts w:eastAsia="Times New Roman"/>
          <w:b/>
          <w:color w:val="0D0D0D"/>
          <w:sz w:val="24"/>
          <w:szCs w:val="24"/>
          <w:highlight w:val="white"/>
        </w:rPr>
        <w:t>Traditional Cryptographic Methods and Their Vulnerabilities</w:t>
      </w:r>
    </w:p>
    <w:p w14:paraId="3D49DD55" w14:textId="77777777" w:rsidR="00E0017B" w:rsidRPr="00E0017B" w:rsidRDefault="00E0017B" w:rsidP="00E0017B">
      <w:pPr>
        <w:pStyle w:val="NormalWeb"/>
        <w:spacing w:before="240" w:beforeAutospacing="0" w:after="240" w:afterAutospacing="0"/>
      </w:pPr>
      <w:r w:rsidRPr="00E0017B">
        <w:rPr>
          <w:rFonts w:ascii="Arial" w:hAnsi="Arial" w:cs="Arial"/>
          <w:iCs/>
          <w:color w:val="000000"/>
        </w:rPr>
        <w:t>Traditional cryptographic methods have long been fundamental in securing digital communications, particularly in healthcare. Widely used encryption techniques include Rivest-Shamir-Adleman (RSA), Elliptic Curve Cryptography (ECC), and the Advanced Encryption Standard (AES) (Assa-Agyei et al., 2024; Balogun et al., 2025).</w:t>
      </w:r>
      <w:r w:rsidR="002C4A4D" w:rsidRPr="006D26E5">
        <w:rPr>
          <w:color w:val="0D0D0D"/>
          <w:highlight w:val="white"/>
        </w:rPr>
        <w:t>Giuseppe (2021) states that RSA</w:t>
      </w:r>
      <w:r w:rsidR="002C4A4D" w:rsidRPr="00E0017B">
        <w:rPr>
          <w:color w:val="0D0D0D"/>
          <w:highlight w:val="white"/>
        </w:rPr>
        <w:t xml:space="preserve">, </w:t>
      </w:r>
      <w:r w:rsidRPr="00E0017B">
        <w:rPr>
          <w:rFonts w:ascii="Arial" w:hAnsi="Arial" w:cs="Arial"/>
          <w:iCs/>
          <w:color w:val="000000"/>
        </w:rPr>
        <w:t>introduced in 1977, relies on the difficulty of factoring large prime numbers, while ECC, developed in the 1980s, provides similar security with shorter key lengths, making it suitable for resource-constrained applications such as medical devices and cloud-based healthcare platforms (</w:t>
      </w:r>
      <w:proofErr w:type="spellStart"/>
      <w:r w:rsidRPr="00E0017B">
        <w:rPr>
          <w:rFonts w:ascii="Arial" w:hAnsi="Arial" w:cs="Arial"/>
          <w:iCs/>
          <w:color w:val="000000"/>
        </w:rPr>
        <w:t>Annamraju</w:t>
      </w:r>
      <w:proofErr w:type="spellEnd"/>
      <w:r w:rsidRPr="00E0017B">
        <w:rPr>
          <w:rFonts w:ascii="Arial" w:hAnsi="Arial" w:cs="Arial"/>
          <w:iCs/>
          <w:color w:val="000000"/>
        </w:rPr>
        <w:t>, 2024; Obioha-Val, 2025).</w:t>
      </w:r>
      <w:r>
        <w:rPr>
          <w:iCs/>
          <w:color w:val="000000"/>
        </w:rPr>
        <w:t xml:space="preserve"> </w:t>
      </w:r>
      <w:r w:rsidRPr="00E0017B">
        <w:rPr>
          <w:rFonts w:ascii="Arial" w:hAnsi="Arial" w:cs="Arial"/>
          <w:i/>
          <w:iCs/>
          <w:color w:val="000000"/>
          <w:sz w:val="22"/>
          <w:szCs w:val="22"/>
        </w:rPr>
        <w:t> </w:t>
      </w:r>
      <w:r w:rsidRPr="00E0017B">
        <w:rPr>
          <w:rFonts w:ascii="Arial" w:hAnsi="Arial" w:cs="Arial"/>
          <w:iCs/>
          <w:color w:val="000000"/>
        </w:rPr>
        <w:t xml:space="preserve">AES, a symmetric-key algorithm standardized by NIST in 2001, is widely used for encrypting bulk healthcare data, including electronic health records (EHRs) and medical imaging (Thakor et al., 2021; </w:t>
      </w:r>
      <w:proofErr w:type="spellStart"/>
      <w:r w:rsidRPr="00E0017B">
        <w:rPr>
          <w:rFonts w:ascii="Arial" w:hAnsi="Arial" w:cs="Arial"/>
          <w:iCs/>
          <w:color w:val="000000"/>
        </w:rPr>
        <w:t>Olutimehin</w:t>
      </w:r>
      <w:proofErr w:type="spellEnd"/>
      <w:r w:rsidRPr="00E0017B">
        <w:rPr>
          <w:rFonts w:ascii="Arial" w:hAnsi="Arial" w:cs="Arial"/>
          <w:iCs/>
          <w:color w:val="000000"/>
        </w:rPr>
        <w:t>, 2025).</w:t>
      </w:r>
    </w:p>
    <w:p w14:paraId="6B8618D9" w14:textId="348DC1A0" w:rsidR="00506BCB" w:rsidRPr="006D26E5" w:rsidRDefault="00506BCB" w:rsidP="006D26E5">
      <w:pPr>
        <w:spacing w:before="240" w:after="240"/>
        <w:rPr>
          <w:rFonts w:eastAsia="Times New Roman"/>
          <w:color w:val="0D0D0D"/>
          <w:sz w:val="24"/>
          <w:szCs w:val="24"/>
          <w:highlight w:val="white"/>
        </w:rPr>
      </w:pPr>
    </w:p>
    <w:p w14:paraId="12742031" w14:textId="1AA95548" w:rsidR="00506BCB" w:rsidRPr="006D26E5" w:rsidRDefault="00E85D27" w:rsidP="006D26E5">
      <w:pPr>
        <w:spacing w:before="240" w:after="240"/>
        <w:rPr>
          <w:rFonts w:eastAsia="Times New Roman"/>
          <w:color w:val="0D0D0D"/>
          <w:sz w:val="24"/>
          <w:szCs w:val="24"/>
          <w:highlight w:val="white"/>
        </w:rPr>
      </w:pPr>
      <w:r w:rsidRPr="00E85D27">
        <w:rPr>
          <w:iCs/>
          <w:color w:val="000000"/>
          <w:sz w:val="24"/>
          <w:szCs w:val="24"/>
        </w:rPr>
        <w:t xml:space="preserve">While these cryptographic techniques remain effective against classical computing threats, the emergence of quantum computing presents a significant challenge. Shakib et al. (2025) explains that Shor’s algorithm enables quantum computers to break RSA and ECC encryption by rapidly solving the mathematical problems they rely on. Consequently, organizations must transition to quantum-resistant security solutions to mitigate these risks (Sood, 2024; Obioha-Val et al., 2025). Advancements in quantum technology, such as improved qubit stability and error correction, suggest that cryptographically relevant quantum computers could emerge sooner than expected, further underscoring the need for proactive security measures (Gill et al., 2021; </w:t>
      </w:r>
      <w:proofErr w:type="spellStart"/>
      <w:r w:rsidRPr="00E85D27">
        <w:rPr>
          <w:iCs/>
          <w:color w:val="000000"/>
          <w:sz w:val="24"/>
          <w:szCs w:val="24"/>
        </w:rPr>
        <w:t>Olutimehin</w:t>
      </w:r>
      <w:proofErr w:type="spellEnd"/>
      <w:r w:rsidRPr="00E85D27">
        <w:rPr>
          <w:iCs/>
          <w:color w:val="000000"/>
          <w:sz w:val="24"/>
          <w:szCs w:val="24"/>
        </w:rPr>
        <w:t>, 2025).</w:t>
      </w:r>
      <w:r w:rsidR="002C4A4D" w:rsidRPr="006D26E5">
        <w:rPr>
          <w:rFonts w:eastAsia="Times New Roman"/>
          <w:color w:val="0D0D0D"/>
          <w:sz w:val="24"/>
          <w:szCs w:val="24"/>
          <w:highlight w:val="white"/>
        </w:rPr>
        <w:t xml:space="preserve"> Quantum techniques to weaken specific RSA implementations further underscore the urgency of transitioning to quantum-resistant encryption (Gitonga, 2025; Balogun et al., 2025).</w:t>
      </w:r>
    </w:p>
    <w:p w14:paraId="0C03A5E3"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Symmetric-key encryption, such as AES, is less susceptible to quantum attacks but is not entirely immune. Kim et al. (2024) argues that Grover’s algorithm, another quantum algorithm, reduces the effective security strength of symmetric encryption by enabling faster key searches. For instance, AES-128, which provides 128-bit security against classical attacks, would effectively be reduced to 64-bit security in a quantum context (</w:t>
      </w:r>
      <w:proofErr w:type="spellStart"/>
      <w:r w:rsidRPr="006D26E5">
        <w:rPr>
          <w:rFonts w:eastAsia="Times New Roman"/>
          <w:color w:val="0D0D0D"/>
          <w:sz w:val="24"/>
          <w:szCs w:val="24"/>
          <w:highlight w:val="white"/>
        </w:rPr>
        <w:t>Wroński</w:t>
      </w:r>
      <w:proofErr w:type="spellEnd"/>
      <w:r w:rsidRPr="006D26E5">
        <w:rPr>
          <w:rFonts w:eastAsia="Times New Roman"/>
          <w:color w:val="0D0D0D"/>
          <w:sz w:val="24"/>
          <w:szCs w:val="24"/>
          <w:highlight w:val="white"/>
        </w:rPr>
        <w:t xml:space="preserve"> et al., 2024; Obioha-Val et al., 2025). To mitigate this risk, experts recommend increasing key lengths to at least 256 bits to maintain adequate security against </w:t>
      </w:r>
      <w:r w:rsidRPr="006D26E5">
        <w:rPr>
          <w:rFonts w:eastAsia="Times New Roman"/>
          <w:color w:val="0D0D0D"/>
          <w:sz w:val="24"/>
          <w:szCs w:val="24"/>
          <w:highlight w:val="white"/>
        </w:rPr>
        <w:lastRenderedPageBreak/>
        <w:t>quantum-based threats (Shamshad et al., 2022; Obioha-Val et al., 2025; Alao et al., 2024).</w:t>
      </w:r>
    </w:p>
    <w:p w14:paraId="02FF9DC8" w14:textId="464893BB" w:rsidR="00506BCB" w:rsidRPr="00E85D27" w:rsidRDefault="00E85D27" w:rsidP="006D26E5">
      <w:pPr>
        <w:spacing w:before="240" w:after="240"/>
        <w:rPr>
          <w:rFonts w:eastAsia="Times New Roman"/>
          <w:color w:val="0D0D0D"/>
          <w:sz w:val="24"/>
          <w:szCs w:val="24"/>
          <w:highlight w:val="white"/>
        </w:rPr>
      </w:pPr>
      <w:r w:rsidRPr="00E85D27">
        <w:rPr>
          <w:iCs/>
          <w:color w:val="000000"/>
          <w:sz w:val="24"/>
          <w:szCs w:val="24"/>
        </w:rPr>
        <w:t>Recognizing these vulnerabilities, organizations such as NIST are actively developing post-quantum cryptographic standards to ensure encryption remains secure in both classical and quantum computing environments. In the healthcare sector, where data confidentiality and regulatory compliance are paramount, transitioning to quantum-resistant cryptography is crucial for maintaining long-term security and trust in cloud-based infrastructures (Popoola et al., 2024).</w:t>
      </w:r>
    </w:p>
    <w:p w14:paraId="2354AA7F"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4" w:name="_d7btsz6xah34" w:colFirst="0" w:colLast="0"/>
      <w:bookmarkEnd w:id="4"/>
      <w:r w:rsidRPr="006D26E5">
        <w:rPr>
          <w:rFonts w:eastAsia="Times New Roman"/>
          <w:b/>
          <w:color w:val="0D0D0D"/>
          <w:sz w:val="24"/>
          <w:szCs w:val="24"/>
          <w:highlight w:val="white"/>
        </w:rPr>
        <w:t>Evolution and Standardization of Quantum-Resistant Cryptography</w:t>
      </w:r>
    </w:p>
    <w:p w14:paraId="021D7D65"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The rapid advancement of quantum computing has necessitated a fundamental shift in cryptographic methodologies, leading to the development and standardization of quantum-resistant cryptography (PQC). Sood (2024) argues that PQC encompasses cryptographic algorithms specifically designed to withstand attacks from both classical and quantum computers, ensuring long-term data security in an era where traditional encryption methods may become obsolete. Recognizing the urgency of this transition, the National Institute of Standards and Technology (NIST) has led global efforts to establish PQC standards. In August 2024, NIST approved three Federal Information Processing Standards (FIPS): FIPS 203, based on the CRYSTALS-Kyber algorithm, now termed the Module-Lattice-Based Key-Encapsulation Mechanism (ML-KEM) for general encryption; FIPS 204, which utilizes the CRYSTALS-</w:t>
      </w:r>
      <w:proofErr w:type="spellStart"/>
      <w:r w:rsidRPr="006D26E5">
        <w:rPr>
          <w:rFonts w:eastAsia="Times New Roman"/>
          <w:color w:val="0D0D0D"/>
          <w:sz w:val="24"/>
          <w:szCs w:val="24"/>
          <w:highlight w:val="white"/>
        </w:rPr>
        <w:t>Dilithium</w:t>
      </w:r>
      <w:proofErr w:type="spellEnd"/>
      <w:r w:rsidRPr="006D26E5">
        <w:rPr>
          <w:rFonts w:eastAsia="Times New Roman"/>
          <w:color w:val="0D0D0D"/>
          <w:sz w:val="24"/>
          <w:szCs w:val="24"/>
          <w:highlight w:val="white"/>
        </w:rPr>
        <w:t xml:space="preserve"> algorithm, renamed as the Module-Lattice-Based Digital Signature Algorithm (ML-DSA) for secure digital signatures; and FIPS 205, which adopts </w:t>
      </w:r>
      <w:proofErr w:type="spellStart"/>
      <w:r w:rsidRPr="006D26E5">
        <w:rPr>
          <w:rFonts w:eastAsia="Times New Roman"/>
          <w:color w:val="0D0D0D"/>
          <w:sz w:val="24"/>
          <w:szCs w:val="24"/>
          <w:highlight w:val="white"/>
        </w:rPr>
        <w:t>Sphincs</w:t>
      </w:r>
      <w:proofErr w:type="spellEnd"/>
      <w:r w:rsidRPr="006D26E5">
        <w:rPr>
          <w:rFonts w:eastAsia="Times New Roman"/>
          <w:color w:val="0D0D0D"/>
          <w:sz w:val="24"/>
          <w:szCs w:val="24"/>
          <w:highlight w:val="white"/>
        </w:rPr>
        <w:t xml:space="preserve">+, now known as the Stateless Hash-Based Digital Signature Algorithm (SLH-DSA), as an alternative signature scheme (NIST, 2024; </w:t>
      </w:r>
      <w:proofErr w:type="spellStart"/>
      <w:r w:rsidRPr="006D26E5">
        <w:rPr>
          <w:rFonts w:eastAsia="Times New Roman"/>
          <w:color w:val="0D0D0D"/>
          <w:sz w:val="24"/>
          <w:szCs w:val="24"/>
          <w:highlight w:val="white"/>
        </w:rPr>
        <w:t>Olutimehin</w:t>
      </w:r>
      <w:proofErr w:type="spellEnd"/>
      <w:r w:rsidRPr="006D26E5">
        <w:rPr>
          <w:rFonts w:eastAsia="Times New Roman"/>
          <w:color w:val="0D0D0D"/>
          <w:sz w:val="24"/>
          <w:szCs w:val="24"/>
          <w:highlight w:val="white"/>
        </w:rPr>
        <w:t>, 2025).</w:t>
      </w:r>
    </w:p>
    <w:p w14:paraId="40603919"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Despite these advancements, the adoption of PQC remains in its early stages. </w:t>
      </w:r>
      <w:proofErr w:type="spellStart"/>
      <w:r w:rsidRPr="006D26E5">
        <w:rPr>
          <w:rFonts w:eastAsia="Times New Roman"/>
          <w:color w:val="0D0D0D"/>
          <w:sz w:val="24"/>
          <w:szCs w:val="24"/>
          <w:highlight w:val="white"/>
        </w:rPr>
        <w:t>Helregel</w:t>
      </w:r>
      <w:proofErr w:type="spellEnd"/>
      <w:r w:rsidRPr="006D26E5">
        <w:rPr>
          <w:rFonts w:eastAsia="Times New Roman"/>
          <w:color w:val="0D0D0D"/>
          <w:sz w:val="24"/>
          <w:szCs w:val="24"/>
          <w:highlight w:val="white"/>
        </w:rPr>
        <w:t xml:space="preserve"> (2024) posits that a recent study by the National </w:t>
      </w:r>
      <w:proofErr w:type="spellStart"/>
      <w:r w:rsidRPr="006D26E5">
        <w:rPr>
          <w:rFonts w:eastAsia="Times New Roman"/>
          <w:color w:val="0D0D0D"/>
          <w:sz w:val="24"/>
          <w:szCs w:val="24"/>
          <w:highlight w:val="white"/>
        </w:rPr>
        <w:t>Center</w:t>
      </w:r>
      <w:proofErr w:type="spellEnd"/>
      <w:r w:rsidRPr="006D26E5">
        <w:rPr>
          <w:rFonts w:eastAsia="Times New Roman"/>
          <w:color w:val="0D0D0D"/>
          <w:sz w:val="24"/>
          <w:szCs w:val="24"/>
          <w:highlight w:val="white"/>
        </w:rPr>
        <w:t xml:space="preserve"> for Supercomputing Applications (NCSA) and the University of Illinois revealed low PQC implementation rates, with only a limited number of systems, such as OpenSSH and Google Chrome, incorporating quantum-resistant encryption. OpenSSH, in particular, reported an adoption rate of merely 0.029% across monitored connections, underscoring the slow pace of integration (Choucair, 2024; Salako et al., 2024). This reluctance is attributed to challenges such as extensive testing requirements, performance trade-offs, and the complexities of upgrading existing cryptographic infrastructures.</w:t>
      </w:r>
    </w:p>
    <w:p w14:paraId="467B50C5"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Beyond the NIST-standardized algorithms, researchers are exploring alternative quantum-safe cryptographic techniques. Gharavi et al. (2024) states that lattice-based cryptography, which underpins both CRYSTALS-Kyber and CRYSTALS-</w:t>
      </w:r>
      <w:proofErr w:type="spellStart"/>
      <w:r w:rsidRPr="006D26E5">
        <w:rPr>
          <w:rFonts w:eastAsia="Times New Roman"/>
          <w:color w:val="0D0D0D"/>
          <w:sz w:val="24"/>
          <w:szCs w:val="24"/>
          <w:highlight w:val="white"/>
        </w:rPr>
        <w:t>Dilithium</w:t>
      </w:r>
      <w:proofErr w:type="spellEnd"/>
      <w:r w:rsidRPr="006D26E5">
        <w:rPr>
          <w:rFonts w:eastAsia="Times New Roman"/>
          <w:color w:val="0D0D0D"/>
          <w:sz w:val="24"/>
          <w:szCs w:val="24"/>
          <w:highlight w:val="white"/>
        </w:rPr>
        <w:t xml:space="preserve">, relies on the mathematical difficulty of lattice problems, making it resistant to quantum attacks. </w:t>
      </w:r>
      <w:r w:rsidRPr="006D26E5">
        <w:rPr>
          <w:rFonts w:eastAsia="Times New Roman"/>
          <w:color w:val="0D0D0D"/>
          <w:sz w:val="24"/>
          <w:szCs w:val="24"/>
          <w:highlight w:val="white"/>
        </w:rPr>
        <w:lastRenderedPageBreak/>
        <w:t xml:space="preserve">Code-based cryptography, as demonstrated by the </w:t>
      </w:r>
      <w:proofErr w:type="spellStart"/>
      <w:r w:rsidRPr="006D26E5">
        <w:rPr>
          <w:rFonts w:eastAsia="Times New Roman"/>
          <w:color w:val="0D0D0D"/>
          <w:sz w:val="24"/>
          <w:szCs w:val="24"/>
          <w:highlight w:val="white"/>
        </w:rPr>
        <w:t>McEliece</w:t>
      </w:r>
      <w:proofErr w:type="spellEnd"/>
      <w:r w:rsidRPr="006D26E5">
        <w:rPr>
          <w:rFonts w:eastAsia="Times New Roman"/>
          <w:color w:val="0D0D0D"/>
          <w:sz w:val="24"/>
          <w:szCs w:val="24"/>
          <w:highlight w:val="white"/>
        </w:rPr>
        <w:t xml:space="preserve"> cryptosystem, utilizes the complexity of decoding random linear codes. Other approaches, such as multivariate quadratic equations and hash-based signatures like those in </w:t>
      </w:r>
      <w:proofErr w:type="spellStart"/>
      <w:r w:rsidRPr="006D26E5">
        <w:rPr>
          <w:rFonts w:eastAsia="Times New Roman"/>
          <w:color w:val="0D0D0D"/>
          <w:sz w:val="24"/>
          <w:szCs w:val="24"/>
          <w:highlight w:val="white"/>
        </w:rPr>
        <w:t>Sphincs</w:t>
      </w:r>
      <w:proofErr w:type="spellEnd"/>
      <w:r w:rsidRPr="006D26E5">
        <w:rPr>
          <w:rFonts w:eastAsia="Times New Roman"/>
          <w:color w:val="0D0D0D"/>
          <w:sz w:val="24"/>
          <w:szCs w:val="24"/>
          <w:highlight w:val="white"/>
        </w:rPr>
        <w:t xml:space="preserve">+, offer additional methods for achieving quantum-resistant security (Balamurugan et al., 2021; </w:t>
      </w:r>
      <w:proofErr w:type="spellStart"/>
      <w:r w:rsidRPr="006D26E5">
        <w:rPr>
          <w:rFonts w:eastAsia="Times New Roman"/>
          <w:color w:val="0D0D0D"/>
          <w:sz w:val="24"/>
          <w:szCs w:val="24"/>
          <w:highlight w:val="white"/>
        </w:rPr>
        <w:t>Olutimehin</w:t>
      </w:r>
      <w:proofErr w:type="spellEnd"/>
      <w:r w:rsidRPr="006D26E5">
        <w:rPr>
          <w:rFonts w:eastAsia="Times New Roman"/>
          <w:color w:val="0D0D0D"/>
          <w:sz w:val="24"/>
          <w:szCs w:val="24"/>
          <w:highlight w:val="white"/>
        </w:rPr>
        <w:t xml:space="preserve"> et al., 2025).</w:t>
      </w:r>
    </w:p>
    <w:p w14:paraId="03D67A80"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The transition to PQC is further complicated by concerns regarding backward compatibility and migration challenges. Sood (2024) contends that hybrid cryptographic systems, which integrate classical and post-quantum algorithms, are being developed to facilitate a gradual transition while maintaining security assurances. However, issues such as performance overhead and resistance from organizations reliant on existing cryptographic infrastructures remain significant barriers (</w:t>
      </w:r>
      <w:proofErr w:type="spellStart"/>
      <w:r w:rsidRPr="006D26E5">
        <w:rPr>
          <w:rFonts w:eastAsia="Times New Roman"/>
          <w:color w:val="0D0D0D"/>
          <w:sz w:val="24"/>
          <w:szCs w:val="24"/>
          <w:highlight w:val="white"/>
        </w:rPr>
        <w:t>Alghofaili</w:t>
      </w:r>
      <w:proofErr w:type="spellEnd"/>
      <w:r w:rsidRPr="006D26E5">
        <w:rPr>
          <w:rFonts w:eastAsia="Times New Roman"/>
          <w:color w:val="0D0D0D"/>
          <w:sz w:val="24"/>
          <w:szCs w:val="24"/>
          <w:highlight w:val="white"/>
        </w:rPr>
        <w:t xml:space="preserve"> et al., 2021; Gbadebo et al., 2024). Early adopters, including cloud service providers implementing CRYSTALS-Kyber for secure key exchanges, have demonstrated improvements in long-term data security, yet they continue to face integration complexities (Sowa et al., 2024; Joseph, 2024).</w:t>
      </w:r>
    </w:p>
    <w:p w14:paraId="56262750"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5" w:name="_obinbo6rluh8" w:colFirst="0" w:colLast="0"/>
      <w:bookmarkEnd w:id="5"/>
      <w:r w:rsidRPr="006D26E5">
        <w:rPr>
          <w:rFonts w:eastAsia="Times New Roman"/>
          <w:b/>
          <w:color w:val="0D0D0D"/>
          <w:sz w:val="24"/>
          <w:szCs w:val="24"/>
          <w:highlight w:val="white"/>
        </w:rPr>
        <w:t>Implementation of Quantum-Resistant Encryption in Healthcare Cloud Systems</w:t>
      </w:r>
    </w:p>
    <w:p w14:paraId="10BF055A"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The integration of quantum-resistant encryption in healthcare cloud systems has become imperative as advancements in quantum computing threaten the security of traditional cryptographic methods. Devadas et al. (2024) asserts that healthcare institutions, as custodians of sensitive patient data, must proactively transition to post-quantum encryption to ensure long-term data security and regulatory compliance. Given the risks posed by quantum-enabled decryption, a structured and phased implementation of quantum-resistant cryptographic solutions is essential for mitigating vulnerabilities (Imran et al., 2024; Kolade et al., 2024).</w:t>
      </w:r>
    </w:p>
    <w:p w14:paraId="0B3D06A5"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Transitioning to quantum-resistant encryption begins with a comprehensive assessment of existing cryptographic infrastructures to identify potential weaknesses. </w:t>
      </w:r>
      <w:proofErr w:type="spellStart"/>
      <w:r w:rsidRPr="006D26E5">
        <w:rPr>
          <w:rFonts w:eastAsia="Times New Roman"/>
          <w:color w:val="0D0D0D"/>
          <w:sz w:val="24"/>
          <w:szCs w:val="24"/>
          <w:highlight w:val="white"/>
        </w:rPr>
        <w:t>Baseri</w:t>
      </w:r>
      <w:proofErr w:type="spellEnd"/>
      <w:r w:rsidRPr="006D26E5">
        <w:rPr>
          <w:rFonts w:eastAsia="Times New Roman"/>
          <w:color w:val="0D0D0D"/>
          <w:sz w:val="24"/>
          <w:szCs w:val="24"/>
          <w:highlight w:val="white"/>
        </w:rPr>
        <w:t xml:space="preserve"> et al. (2024) contends that organizations must evaluate their encryption protocols, data storage mechanisms, and transmission channels to determine susceptibility to quantum attacks. Following this, the development of a strategic roadmap for integrating post-quantum cryptographic algorithms is necessary (Pandeya et al., 2021; </w:t>
      </w:r>
      <w:proofErr w:type="spellStart"/>
      <w:r w:rsidRPr="006D26E5">
        <w:rPr>
          <w:rFonts w:eastAsia="Times New Roman"/>
          <w:color w:val="0D0D0D"/>
          <w:sz w:val="24"/>
          <w:szCs w:val="24"/>
          <w:highlight w:val="white"/>
        </w:rPr>
        <w:t>Mayeke</w:t>
      </w:r>
      <w:proofErr w:type="spellEnd"/>
      <w:r w:rsidRPr="006D26E5">
        <w:rPr>
          <w:rFonts w:eastAsia="Times New Roman"/>
          <w:color w:val="0D0D0D"/>
          <w:sz w:val="24"/>
          <w:szCs w:val="24"/>
          <w:highlight w:val="white"/>
        </w:rPr>
        <w:t xml:space="preserve"> et al., 2024). The National Institute of Standards and Technology (NIST) has approved three quantum-resistant encryption standards—FIPS 203 (CRYSTALS-Kyber) for general encryption, FIPS 204 (CRYSTALS-</w:t>
      </w:r>
      <w:proofErr w:type="spellStart"/>
      <w:r w:rsidRPr="006D26E5">
        <w:rPr>
          <w:rFonts w:eastAsia="Times New Roman"/>
          <w:color w:val="0D0D0D"/>
          <w:sz w:val="24"/>
          <w:szCs w:val="24"/>
          <w:highlight w:val="white"/>
        </w:rPr>
        <w:t>Dilithium</w:t>
      </w:r>
      <w:proofErr w:type="spellEnd"/>
      <w:r w:rsidRPr="006D26E5">
        <w:rPr>
          <w:rFonts w:eastAsia="Times New Roman"/>
          <w:color w:val="0D0D0D"/>
          <w:sz w:val="24"/>
          <w:szCs w:val="24"/>
          <w:highlight w:val="white"/>
        </w:rPr>
        <w:t>) for digital signatures, and FIPS 205 (</w:t>
      </w:r>
      <w:proofErr w:type="spellStart"/>
      <w:r w:rsidRPr="006D26E5">
        <w:rPr>
          <w:rFonts w:eastAsia="Times New Roman"/>
          <w:color w:val="0D0D0D"/>
          <w:sz w:val="24"/>
          <w:szCs w:val="24"/>
          <w:highlight w:val="white"/>
        </w:rPr>
        <w:t>Sphincs</w:t>
      </w:r>
      <w:proofErr w:type="spellEnd"/>
      <w:r w:rsidRPr="006D26E5">
        <w:rPr>
          <w:rFonts w:eastAsia="Times New Roman"/>
          <w:color w:val="0D0D0D"/>
          <w:sz w:val="24"/>
          <w:szCs w:val="24"/>
          <w:highlight w:val="white"/>
        </w:rPr>
        <w:t>+) as an alternative signature scheme. These standards provide a foundational framework for healthcare institutions seeking to upgrade their encryption systems (NIST, 2024).</w:t>
      </w:r>
    </w:p>
    <w:p w14:paraId="3F349D37"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lastRenderedPageBreak/>
        <w:t>One practical approach to quantum-resistant encryption implementation is the adoption of hybrid cryptographic models. Popoola et al. (2024) posits that hybrid encryption combines classical and post-quantum algorithms, allowing healthcare organizations to incrementally enhance security while maintaining compatibility with existing infrastructures. This approach mitigates the risks associated with abrupt cryptographic transitions, ensuring operational continuity during the migration to quantum-secure systems.</w:t>
      </w:r>
    </w:p>
    <w:p w14:paraId="60802670"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Case studies highlight the feasibility of quantum-resistant encryption in healthcare applications. Otis (2025) reports that </w:t>
      </w:r>
      <w:proofErr w:type="spellStart"/>
      <w:r w:rsidRPr="006D26E5">
        <w:rPr>
          <w:rFonts w:eastAsia="Times New Roman"/>
          <w:color w:val="0D0D0D"/>
          <w:sz w:val="24"/>
          <w:szCs w:val="24"/>
          <w:highlight w:val="white"/>
        </w:rPr>
        <w:t>Otio</w:t>
      </w:r>
      <w:proofErr w:type="spellEnd"/>
      <w:r w:rsidRPr="006D26E5">
        <w:rPr>
          <w:rFonts w:eastAsia="Times New Roman"/>
          <w:color w:val="0D0D0D"/>
          <w:sz w:val="24"/>
          <w:szCs w:val="24"/>
          <w:highlight w:val="white"/>
        </w:rPr>
        <w:t xml:space="preserve">, a digital experiences SaaS company, has successfully integrated quantum-resistant encryption to secure electronic health records, demonstrating an early adoption strategy. Similarly, the </w:t>
      </w:r>
      <w:proofErr w:type="spellStart"/>
      <w:r w:rsidRPr="006D26E5">
        <w:rPr>
          <w:rFonts w:eastAsia="Times New Roman"/>
          <w:color w:val="0D0D0D"/>
          <w:sz w:val="24"/>
          <w:szCs w:val="24"/>
          <w:highlight w:val="white"/>
        </w:rPr>
        <w:t>QMedShield</w:t>
      </w:r>
      <w:proofErr w:type="spellEnd"/>
      <w:r w:rsidRPr="006D26E5">
        <w:rPr>
          <w:rFonts w:eastAsia="Times New Roman"/>
          <w:color w:val="0D0D0D"/>
          <w:sz w:val="24"/>
          <w:szCs w:val="24"/>
          <w:highlight w:val="white"/>
        </w:rPr>
        <w:t xml:space="preserve"> project introduced a quantum chaos-based encryption scheme to protect medical imaging data stored in cloud environments. This method leverages quantum chaos principles to enhance security, preventing unauthorized access and mitigating potential quantum threats </w:t>
      </w:r>
      <w:r w:rsidRPr="006D26E5">
        <w:rPr>
          <w:sz w:val="24"/>
          <w:szCs w:val="24"/>
        </w:rPr>
        <w:t>(</w:t>
      </w:r>
      <w:proofErr w:type="spellStart"/>
      <w:r w:rsidRPr="006D26E5">
        <w:rPr>
          <w:sz w:val="24"/>
          <w:szCs w:val="24"/>
        </w:rPr>
        <w:t>Amaithi</w:t>
      </w:r>
      <w:proofErr w:type="spellEnd"/>
      <w:r w:rsidRPr="006D26E5">
        <w:rPr>
          <w:sz w:val="24"/>
          <w:szCs w:val="24"/>
        </w:rPr>
        <w:t xml:space="preserve"> Rajan &amp; </w:t>
      </w:r>
      <w:proofErr w:type="spellStart"/>
      <w:r w:rsidRPr="006D26E5">
        <w:rPr>
          <w:sz w:val="24"/>
          <w:szCs w:val="24"/>
        </w:rPr>
        <w:t>Vetrian</w:t>
      </w:r>
      <w:proofErr w:type="spellEnd"/>
      <w:r w:rsidRPr="006D26E5">
        <w:rPr>
          <w:sz w:val="24"/>
          <w:szCs w:val="24"/>
        </w:rPr>
        <w:t>, 2024)</w:t>
      </w:r>
      <w:r w:rsidRPr="006D26E5">
        <w:rPr>
          <w:rFonts w:eastAsia="Times New Roman"/>
          <w:color w:val="0D0D0D"/>
          <w:sz w:val="24"/>
          <w:szCs w:val="24"/>
          <w:highlight w:val="white"/>
        </w:rPr>
        <w:t>.</w:t>
      </w:r>
    </w:p>
    <w:p w14:paraId="2F4F8043"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Wearable healthcare devices, which continuously collect and transmit patient data, present unique security challenges. Sood (2024) states that integrating post-quantum key exchange protocols into these devices enhances security; however, challenges such as computational overhead and energy efficiency must be addressed to optimize cryptographic performance in resource-constrained environments (Thakor et al., 2021; Samuel-Okon et al., 2024).</w:t>
      </w:r>
    </w:p>
    <w:p w14:paraId="17F8618F"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Given the increasing reliance on cloud-based platforms for healthcare data storage and transmission, securing these systems against future quantum threats is crucial. Adopting quantum-resistant encryption, as demonstrated by </w:t>
      </w:r>
      <w:proofErr w:type="spellStart"/>
      <w:r w:rsidRPr="006D26E5">
        <w:rPr>
          <w:rFonts w:eastAsia="Times New Roman"/>
          <w:color w:val="0D0D0D"/>
          <w:sz w:val="24"/>
          <w:szCs w:val="24"/>
          <w:highlight w:val="white"/>
        </w:rPr>
        <w:t>Otio</w:t>
      </w:r>
      <w:proofErr w:type="spellEnd"/>
      <w:r w:rsidRPr="006D26E5">
        <w:rPr>
          <w:rFonts w:eastAsia="Times New Roman"/>
          <w:color w:val="0D0D0D"/>
          <w:sz w:val="24"/>
          <w:szCs w:val="24"/>
          <w:highlight w:val="white"/>
        </w:rPr>
        <w:t xml:space="preserve"> and </w:t>
      </w:r>
      <w:proofErr w:type="spellStart"/>
      <w:r w:rsidRPr="006D26E5">
        <w:rPr>
          <w:rFonts w:eastAsia="Times New Roman"/>
          <w:color w:val="0D0D0D"/>
          <w:sz w:val="24"/>
          <w:szCs w:val="24"/>
          <w:highlight w:val="white"/>
        </w:rPr>
        <w:t>QMedShield</w:t>
      </w:r>
      <w:proofErr w:type="spellEnd"/>
      <w:r w:rsidRPr="006D26E5">
        <w:rPr>
          <w:rFonts w:eastAsia="Times New Roman"/>
          <w:color w:val="0D0D0D"/>
          <w:sz w:val="24"/>
          <w:szCs w:val="24"/>
          <w:highlight w:val="white"/>
        </w:rPr>
        <w:t xml:space="preserve">, provides a viable path toward ensuring patient data confidentiality and system integrity in the post-quantum era (Otis, 2025; </w:t>
      </w:r>
      <w:proofErr w:type="spellStart"/>
      <w:r w:rsidRPr="006D26E5">
        <w:rPr>
          <w:sz w:val="24"/>
          <w:szCs w:val="24"/>
        </w:rPr>
        <w:t>Amaithi</w:t>
      </w:r>
      <w:proofErr w:type="spellEnd"/>
      <w:r w:rsidRPr="006D26E5">
        <w:rPr>
          <w:sz w:val="24"/>
          <w:szCs w:val="24"/>
        </w:rPr>
        <w:t xml:space="preserve"> Rajan &amp; </w:t>
      </w:r>
      <w:proofErr w:type="spellStart"/>
      <w:r w:rsidRPr="006D26E5">
        <w:rPr>
          <w:sz w:val="24"/>
          <w:szCs w:val="24"/>
        </w:rPr>
        <w:t>Vetrian</w:t>
      </w:r>
      <w:proofErr w:type="spellEnd"/>
      <w:r w:rsidRPr="006D26E5">
        <w:rPr>
          <w:sz w:val="24"/>
          <w:szCs w:val="24"/>
        </w:rPr>
        <w:t>, 2024)</w:t>
      </w:r>
      <w:r w:rsidRPr="006D26E5">
        <w:rPr>
          <w:rFonts w:eastAsia="Times New Roman"/>
          <w:color w:val="0D0D0D"/>
          <w:sz w:val="24"/>
          <w:szCs w:val="24"/>
          <w:highlight w:val="white"/>
        </w:rPr>
        <w:t>.</w:t>
      </w:r>
    </w:p>
    <w:p w14:paraId="2EC36EE9"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6" w:name="_pik2j08ibgk5" w:colFirst="0" w:colLast="0"/>
      <w:bookmarkEnd w:id="6"/>
      <w:r w:rsidRPr="006D26E5">
        <w:rPr>
          <w:rFonts w:eastAsia="Times New Roman"/>
          <w:b/>
          <w:color w:val="0D0D0D"/>
          <w:sz w:val="24"/>
          <w:szCs w:val="24"/>
          <w:highlight w:val="white"/>
        </w:rPr>
        <w:t>Regulatory and Compliance Considerations</w:t>
      </w:r>
    </w:p>
    <w:p w14:paraId="1A82B0D2"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The development of quantum-resistant cryptographic standards has been a central focus of global cybersecurity initiatives, with the U.S. National Institute of Standards and Technology (NIST) leading the effort. NIST (2024) states that since 2016, NIST has collaborated with international researchers to identify quantum-resistant algorithms, culminating in the release of three Federal Information Processing Standards (FIPS 203, 204, and 205) in 2024. These standards, which include CRYSTALS-Kyber for encryption and CRYSTALS-</w:t>
      </w:r>
      <w:proofErr w:type="spellStart"/>
      <w:r w:rsidRPr="006D26E5">
        <w:rPr>
          <w:rFonts w:eastAsia="Times New Roman"/>
          <w:color w:val="0D0D0D"/>
          <w:sz w:val="24"/>
          <w:szCs w:val="24"/>
          <w:highlight w:val="white"/>
        </w:rPr>
        <w:t>Dilithium</w:t>
      </w:r>
      <w:proofErr w:type="spellEnd"/>
      <w:r w:rsidRPr="006D26E5">
        <w:rPr>
          <w:rFonts w:eastAsia="Times New Roman"/>
          <w:color w:val="0D0D0D"/>
          <w:sz w:val="24"/>
          <w:szCs w:val="24"/>
          <w:highlight w:val="white"/>
        </w:rPr>
        <w:t xml:space="preserve"> for digital signatures, provide a regulatory foundation for transitioning to post-quantum cryptography (PQC). Although NIST operates within the U.S., its cryptographic guidelines influence global frameworks, with organizations such as the International Organization for Standardization (ISO), the </w:t>
      </w:r>
      <w:r w:rsidRPr="006D26E5">
        <w:rPr>
          <w:rFonts w:eastAsia="Times New Roman"/>
          <w:color w:val="0D0D0D"/>
          <w:sz w:val="24"/>
          <w:szCs w:val="24"/>
          <w:highlight w:val="white"/>
        </w:rPr>
        <w:lastRenderedPageBreak/>
        <w:t>International Telecommunication Union (ITU), and the European Telecommunications Standards Institute (ETSI) aligning their quantum-safe initiatives to ensure international interoperability (Computer Security Division, 2016).</w:t>
      </w:r>
    </w:p>
    <w:p w14:paraId="22C62967"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Governments worldwide have played a proactive role in accelerating the transition to PQC, particularly in sectors classified as critical infrastructure, such as healthcare. The White House (2022) contends that in the U.S., the White House’s National Security Memorandum-10 (NSM-10) established a government-wide approach to quantum readiness, followed by the Office of Management and Budget’s (OMB) memorandum M-23-02, which mandated federal agencies to inventory cryptographic assets and test PQC solutions. The Cybersecurity and Infrastructure Security Agency (CISA) has also introduced initiatives to assist organizations in preparing for PQC through tools, frameworks, and pilot programs. Similarly, in the European Union, the European Commission’s 2024 Recommendation on PQC outlines a roadmap for upgrading government services and critical industries, while the European Union Agency for Cybersecurity (ENISA) is expected to introduce sector-specific guidelines, particularly for healthcare, where cross-border data sharing necessitates interoperable security protocols (European Union, 2024).</w:t>
      </w:r>
    </w:p>
    <w:p w14:paraId="272F2857"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 xml:space="preserve">Beyond government mandates, industry organizations are actively shaping PQC adoption in healthcare. HIMSS (2024) reports that the Healthcare Information Management Systems Society (HIMSS) and the Healthcare Sector Coordinating Council (HSCC) have issued guidance on quantum readiness, ensuring that healthcare institutions understand the implications of cryptographic migration. Additionally, the U.S. Department of Health and Human Services’ Health Sector Cybersecurity Coordination </w:t>
      </w:r>
      <w:proofErr w:type="spellStart"/>
      <w:r w:rsidRPr="006D26E5">
        <w:rPr>
          <w:rFonts w:eastAsia="Times New Roman"/>
          <w:color w:val="0D0D0D"/>
          <w:sz w:val="24"/>
          <w:szCs w:val="24"/>
          <w:highlight w:val="white"/>
        </w:rPr>
        <w:t>Center</w:t>
      </w:r>
      <w:proofErr w:type="spellEnd"/>
      <w:r w:rsidRPr="006D26E5">
        <w:rPr>
          <w:rFonts w:eastAsia="Times New Roman"/>
          <w:color w:val="0D0D0D"/>
          <w:sz w:val="24"/>
          <w:szCs w:val="24"/>
          <w:highlight w:val="white"/>
        </w:rPr>
        <w:t xml:space="preserve"> (HC3) has published reports outlining quantum computing risks and recommending preparatory steps such as cryptographic inventories and phased migration strategies (OCIO), 2020). Internationally, the Cloud Security Alliance (CSA) has developed quantum-safe security frameworks for cloud computing, recognizing that many healthcare organizations will depend on cloud providers to implement PQC at the infrastructure level (Cloud Security Alliance, 2024).</w:t>
      </w:r>
    </w:p>
    <w:p w14:paraId="572B55DD" w14:textId="77777777" w:rsidR="00506BCB" w:rsidRPr="006D26E5" w:rsidRDefault="002C4A4D" w:rsidP="006D26E5">
      <w:pPr>
        <w:spacing w:before="240" w:after="240"/>
        <w:rPr>
          <w:rFonts w:eastAsia="Times New Roman"/>
          <w:color w:val="0D0D0D"/>
          <w:sz w:val="24"/>
          <w:szCs w:val="24"/>
          <w:highlight w:val="white"/>
        </w:rPr>
      </w:pPr>
      <w:r w:rsidRPr="006D26E5">
        <w:rPr>
          <w:rFonts w:eastAsia="Times New Roman"/>
          <w:color w:val="0D0D0D"/>
          <w:sz w:val="24"/>
          <w:szCs w:val="24"/>
          <w:highlight w:val="white"/>
        </w:rPr>
        <w:t>Cybersecurity agencies play a pivotal role in facilitating technical guidance and information sharing. CISA (2023) asserts that organizations such as CISA and ENISA have published reports on quantum mitigation strategies, while national cybersecurity agencies in the UK, Canada, and other countries are collaborating with healthcare providers to enhance awareness. The concept of “crypto agility,” which emphasizes designing systems that can seamlessly transition to PQC, has gained traction as a critical security measure (</w:t>
      </w:r>
      <w:proofErr w:type="spellStart"/>
      <w:r w:rsidRPr="006D26E5">
        <w:rPr>
          <w:rFonts w:eastAsia="Times New Roman"/>
          <w:color w:val="0D0D0D"/>
          <w:sz w:val="24"/>
          <w:szCs w:val="24"/>
          <w:highlight w:val="white"/>
        </w:rPr>
        <w:t>Fazrina</w:t>
      </w:r>
      <w:proofErr w:type="spellEnd"/>
      <w:r w:rsidRPr="006D26E5">
        <w:rPr>
          <w:rFonts w:eastAsia="Times New Roman"/>
          <w:color w:val="0D0D0D"/>
          <w:sz w:val="24"/>
          <w:szCs w:val="24"/>
          <w:highlight w:val="white"/>
        </w:rPr>
        <w:t xml:space="preserve">, 2024). Healthcare cybersecurity experts stress the need for organizations to proactively develop cryptographic inventories and transition plans before regulatory mandates take effect. Collaborative efforts between government </w:t>
      </w:r>
      <w:r w:rsidRPr="006D26E5">
        <w:rPr>
          <w:rFonts w:eastAsia="Times New Roman"/>
          <w:color w:val="0D0D0D"/>
          <w:sz w:val="24"/>
          <w:szCs w:val="24"/>
          <w:highlight w:val="white"/>
        </w:rPr>
        <w:lastRenderedPageBreak/>
        <w:t>agencies, industry bodies, and cybersecurity organizations are essential for ensuring a coordinated and efficient shift to PQC, reducing quantum-related security risks while maintaining compliance with evolving regulatory requirements (</w:t>
      </w:r>
      <w:proofErr w:type="spellStart"/>
      <w:r w:rsidRPr="006D26E5">
        <w:rPr>
          <w:rFonts w:eastAsia="Times New Roman"/>
          <w:color w:val="0D0D0D"/>
          <w:sz w:val="24"/>
          <w:szCs w:val="24"/>
          <w:highlight w:val="white"/>
        </w:rPr>
        <w:t>Aydeger</w:t>
      </w:r>
      <w:proofErr w:type="spellEnd"/>
      <w:r w:rsidRPr="006D26E5">
        <w:rPr>
          <w:rFonts w:eastAsia="Times New Roman"/>
          <w:color w:val="0D0D0D"/>
          <w:sz w:val="24"/>
          <w:szCs w:val="24"/>
          <w:highlight w:val="white"/>
        </w:rPr>
        <w:t xml:space="preserve"> et al., 2024).</w:t>
      </w:r>
    </w:p>
    <w:p w14:paraId="3489EB55" w14:textId="77777777" w:rsidR="00506BCB" w:rsidRPr="006D26E5" w:rsidRDefault="00832FB8" w:rsidP="006D26E5">
      <w:pPr>
        <w:pStyle w:val="Heading3"/>
        <w:keepNext w:val="0"/>
        <w:keepLines w:val="0"/>
        <w:spacing w:before="280"/>
        <w:rPr>
          <w:rFonts w:eastAsia="Times New Roman"/>
          <w:b/>
          <w:color w:val="0D0D0D"/>
          <w:sz w:val="24"/>
          <w:szCs w:val="24"/>
          <w:highlight w:val="white"/>
        </w:rPr>
      </w:pPr>
      <w:bookmarkStart w:id="7" w:name="_rd14jiq22z1l" w:colFirst="0" w:colLast="0"/>
      <w:bookmarkEnd w:id="7"/>
      <w:r>
        <w:rPr>
          <w:rFonts w:eastAsia="Times New Roman"/>
          <w:b/>
          <w:color w:val="0D0D0D"/>
          <w:sz w:val="24"/>
          <w:szCs w:val="24"/>
          <w:highlight w:val="white"/>
        </w:rPr>
        <w:t>3.</w:t>
      </w:r>
      <w:r>
        <w:rPr>
          <w:rFonts w:eastAsia="Times New Roman"/>
          <w:b/>
          <w:color w:val="0D0D0D"/>
          <w:sz w:val="24"/>
          <w:szCs w:val="24"/>
          <w:highlight w:val="white"/>
        </w:rPr>
        <w:tab/>
      </w:r>
      <w:r w:rsidR="002C4A4D" w:rsidRPr="006D26E5">
        <w:rPr>
          <w:rFonts w:eastAsia="Times New Roman"/>
          <w:b/>
          <w:color w:val="0D0D0D"/>
          <w:sz w:val="24"/>
          <w:szCs w:val="24"/>
          <w:highlight w:val="white"/>
        </w:rPr>
        <w:t>Methodology</w:t>
      </w:r>
    </w:p>
    <w:p w14:paraId="7E8E71CA" w14:textId="77777777" w:rsidR="00E918E2" w:rsidRDefault="002C4A4D" w:rsidP="006D26E5">
      <w:pPr>
        <w:pStyle w:val="Heading3"/>
        <w:rPr>
          <w:rFonts w:eastAsia="Times New Roman"/>
          <w:color w:val="0D0D0D"/>
          <w:sz w:val="24"/>
          <w:szCs w:val="24"/>
        </w:rPr>
      </w:pPr>
      <w:r w:rsidRPr="00832FB8">
        <w:rPr>
          <w:rFonts w:eastAsia="Times New Roman"/>
          <w:color w:val="0D0D0D"/>
          <w:sz w:val="24"/>
          <w:szCs w:val="24"/>
          <w:highlight w:val="white"/>
        </w:rPr>
        <w:t xml:space="preserve">This study employs a quantitative research approach to </w:t>
      </w:r>
      <w:proofErr w:type="spellStart"/>
      <w:r w:rsidRPr="00832FB8">
        <w:rPr>
          <w:rFonts w:eastAsia="Times New Roman"/>
          <w:color w:val="0D0D0D"/>
          <w:sz w:val="24"/>
          <w:szCs w:val="24"/>
          <w:highlight w:val="white"/>
        </w:rPr>
        <w:t>analyze</w:t>
      </w:r>
      <w:proofErr w:type="spellEnd"/>
      <w:r w:rsidRPr="00832FB8">
        <w:rPr>
          <w:rFonts w:eastAsia="Times New Roman"/>
          <w:color w:val="0D0D0D"/>
          <w:sz w:val="24"/>
          <w:szCs w:val="24"/>
          <w:highlight w:val="white"/>
        </w:rPr>
        <w:t xml:space="preserve"> security</w:t>
      </w:r>
      <w:r w:rsidRPr="006D26E5">
        <w:rPr>
          <w:rFonts w:eastAsia="Times New Roman"/>
          <w:color w:val="0D0D0D"/>
          <w:sz w:val="24"/>
          <w:szCs w:val="24"/>
          <w:highlight w:val="white"/>
        </w:rPr>
        <w:t xml:space="preserve"> vulnerabilities, assess post-quantum cryptography advancements, examine adoption trends, and evaluate regulatory compliance in healthcare cloud security. Publicly available datasets are leveraged for statistical </w:t>
      </w:r>
      <w:proofErr w:type="spellStart"/>
      <w:r w:rsidRPr="006D26E5">
        <w:rPr>
          <w:rFonts w:eastAsia="Times New Roman"/>
          <w:color w:val="0D0D0D"/>
          <w:sz w:val="24"/>
          <w:szCs w:val="24"/>
          <w:highlight w:val="white"/>
        </w:rPr>
        <w:t>modeling</w:t>
      </w:r>
      <w:proofErr w:type="spellEnd"/>
      <w:r w:rsidRPr="006D26E5">
        <w:rPr>
          <w:rFonts w:eastAsia="Times New Roman"/>
          <w:color w:val="0D0D0D"/>
          <w:sz w:val="24"/>
          <w:szCs w:val="24"/>
          <w:highlight w:val="white"/>
        </w:rPr>
        <w:t xml:space="preserve">, ensuring empirical accuracy and reproducibility. The methodology is structured in </w:t>
      </w:r>
    </w:p>
    <w:p w14:paraId="2A15F2DF" w14:textId="082E981E" w:rsidR="006A1AE3" w:rsidRPr="006D26E5" w:rsidRDefault="006A1AE3" w:rsidP="006D26E5">
      <w:pPr>
        <w:pStyle w:val="Heading3"/>
        <w:rPr>
          <w:sz w:val="24"/>
          <w:szCs w:val="24"/>
        </w:rPr>
      </w:pPr>
      <w:r w:rsidRPr="006D26E5">
        <w:rPr>
          <w:rStyle w:val="Strong"/>
          <w:b w:val="0"/>
          <w:bCs w:val="0"/>
          <w:sz w:val="24"/>
          <w:szCs w:val="24"/>
        </w:rPr>
        <w:t>Table 1: Structured Quantitative Methodology for Analysis</w:t>
      </w:r>
    </w:p>
    <w:tbl>
      <w:tblPr>
        <w:tblStyle w:val="TableGrid"/>
        <w:tblW w:w="0" w:type="auto"/>
        <w:tblLook w:val="04A0" w:firstRow="1" w:lastRow="0" w:firstColumn="1" w:lastColumn="0" w:noHBand="0" w:noVBand="1"/>
      </w:tblPr>
      <w:tblGrid>
        <w:gridCol w:w="3747"/>
        <w:gridCol w:w="2944"/>
        <w:gridCol w:w="2659"/>
      </w:tblGrid>
      <w:tr w:rsidR="006A1AE3" w:rsidRPr="006D26E5" w14:paraId="293EF9E5" w14:textId="77777777" w:rsidTr="006A1AE3">
        <w:tc>
          <w:tcPr>
            <w:tcW w:w="0" w:type="auto"/>
            <w:hideMark/>
          </w:tcPr>
          <w:p w14:paraId="27132A6F" w14:textId="77777777" w:rsidR="006A1AE3" w:rsidRPr="006D26E5" w:rsidRDefault="006A1AE3" w:rsidP="006D26E5">
            <w:pPr>
              <w:rPr>
                <w:b/>
                <w:bCs/>
                <w:sz w:val="24"/>
                <w:szCs w:val="24"/>
              </w:rPr>
            </w:pPr>
            <w:r w:rsidRPr="006D26E5">
              <w:rPr>
                <w:rStyle w:val="Strong"/>
                <w:sz w:val="24"/>
                <w:szCs w:val="24"/>
              </w:rPr>
              <w:t>Objective</w:t>
            </w:r>
          </w:p>
        </w:tc>
        <w:tc>
          <w:tcPr>
            <w:tcW w:w="0" w:type="auto"/>
            <w:hideMark/>
          </w:tcPr>
          <w:p w14:paraId="254F9A80" w14:textId="77777777" w:rsidR="006A1AE3" w:rsidRPr="006D26E5" w:rsidRDefault="006A1AE3" w:rsidP="006D26E5">
            <w:pPr>
              <w:rPr>
                <w:b/>
                <w:bCs/>
                <w:sz w:val="24"/>
                <w:szCs w:val="24"/>
              </w:rPr>
            </w:pPr>
            <w:r w:rsidRPr="006D26E5">
              <w:rPr>
                <w:rStyle w:val="Strong"/>
                <w:sz w:val="24"/>
                <w:szCs w:val="24"/>
              </w:rPr>
              <w:t>Dataset</w:t>
            </w:r>
          </w:p>
        </w:tc>
        <w:tc>
          <w:tcPr>
            <w:tcW w:w="0" w:type="auto"/>
            <w:hideMark/>
          </w:tcPr>
          <w:p w14:paraId="79E6E07C" w14:textId="77777777" w:rsidR="006A1AE3" w:rsidRPr="006D26E5" w:rsidRDefault="006A1AE3" w:rsidP="006D26E5">
            <w:pPr>
              <w:rPr>
                <w:b/>
                <w:bCs/>
                <w:sz w:val="24"/>
                <w:szCs w:val="24"/>
              </w:rPr>
            </w:pPr>
            <w:r w:rsidRPr="006D26E5">
              <w:rPr>
                <w:rStyle w:val="Strong"/>
                <w:sz w:val="24"/>
                <w:szCs w:val="24"/>
              </w:rPr>
              <w:t>Methodology</w:t>
            </w:r>
          </w:p>
        </w:tc>
      </w:tr>
      <w:tr w:rsidR="006A1AE3" w:rsidRPr="006D26E5" w14:paraId="49A50CD3" w14:textId="77777777" w:rsidTr="006A1AE3">
        <w:tc>
          <w:tcPr>
            <w:tcW w:w="0" w:type="auto"/>
            <w:hideMark/>
          </w:tcPr>
          <w:p w14:paraId="7005A1FA" w14:textId="77777777" w:rsidR="006A1AE3" w:rsidRPr="006D26E5" w:rsidRDefault="006A1AE3" w:rsidP="006D26E5">
            <w:pPr>
              <w:rPr>
                <w:sz w:val="24"/>
                <w:szCs w:val="24"/>
              </w:rPr>
            </w:pPr>
            <w:r w:rsidRPr="006D26E5">
              <w:rPr>
                <w:rStyle w:val="Strong"/>
                <w:sz w:val="24"/>
                <w:szCs w:val="24"/>
              </w:rPr>
              <w:t>Security Risks in Cloud-Based Patient Information Systems</w:t>
            </w:r>
          </w:p>
        </w:tc>
        <w:tc>
          <w:tcPr>
            <w:tcW w:w="0" w:type="auto"/>
            <w:hideMark/>
          </w:tcPr>
          <w:p w14:paraId="2323E138" w14:textId="77777777" w:rsidR="006A1AE3" w:rsidRPr="006D26E5" w:rsidRDefault="006A1AE3" w:rsidP="006D26E5">
            <w:pPr>
              <w:rPr>
                <w:sz w:val="24"/>
                <w:szCs w:val="24"/>
              </w:rPr>
            </w:pPr>
            <w:r w:rsidRPr="006D26E5">
              <w:rPr>
                <w:sz w:val="24"/>
                <w:szCs w:val="24"/>
              </w:rPr>
              <w:t>HHS Breach Portal (U.S. Department of Health &amp; Human Services)</w:t>
            </w:r>
          </w:p>
        </w:tc>
        <w:tc>
          <w:tcPr>
            <w:tcW w:w="0" w:type="auto"/>
            <w:hideMark/>
          </w:tcPr>
          <w:p w14:paraId="3283DC50" w14:textId="77777777" w:rsidR="006A1AE3" w:rsidRPr="006D26E5" w:rsidRDefault="006A1AE3" w:rsidP="006D26E5">
            <w:pPr>
              <w:rPr>
                <w:rStyle w:val="vlist-s"/>
                <w:sz w:val="24"/>
                <w:szCs w:val="24"/>
              </w:rPr>
            </w:pPr>
            <w:r w:rsidRPr="006D26E5">
              <w:rPr>
                <w:sz w:val="24"/>
                <w:szCs w:val="24"/>
              </w:rPr>
              <w:t xml:space="preserve">Descriptive statistics and linear regression: </w:t>
            </w:r>
            <w:r w:rsidRPr="006D26E5">
              <w:rPr>
                <w:sz w:val="24"/>
                <w:szCs w:val="24"/>
              </w:rPr>
              <w:br/>
            </w:r>
            <m:oMathPara>
              <m:oMath>
                <m:r>
                  <m:rPr>
                    <m:sty m:val="p"/>
                  </m:rPr>
                  <w:rPr>
                    <w:rStyle w:val="mord"/>
                    <w:rFonts w:ascii="Cambria Math" w:hAnsi="Cambria Math"/>
                    <w:sz w:val="24"/>
                    <w:szCs w:val="24"/>
                  </w:rPr>
                  <m:t>Xˉ</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w:rPr>
                        <w:rStyle w:val="mord"/>
                        <w:rFonts w:ascii="Cambria Math" w:hAnsi="Cambria Math"/>
                        <w:sz w:val="24"/>
                        <w:szCs w:val="24"/>
                      </w:rPr>
                      <m:t>n</m:t>
                    </m:r>
                  </m:den>
                </m:f>
                <m:r>
                  <m:rPr>
                    <m:sty m:val="p"/>
                  </m:rPr>
                  <w:rPr>
                    <w:rStyle w:val="vlist-s"/>
                    <w:rFonts w:ascii="Cambria Math" w:hAnsi="Cambria Math"/>
                    <w:sz w:val="24"/>
                    <w:szCs w:val="24"/>
                  </w:rPr>
                  <m:t>​</m:t>
                </m:r>
                <m:nary>
                  <m:naryPr>
                    <m:chr m:val="∑"/>
                    <m:limLoc m:val="subSup"/>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n</m:t>
                    </m:r>
                  </m:sup>
                  <m:e>
                    <m:sSub>
                      <m:sSubPr>
                        <m:ctrlPr>
                          <w:rPr>
                            <w:rStyle w:val="vlist-s"/>
                            <w:rFonts w:ascii="Cambria Math" w:hAnsi="Cambria Math"/>
                            <w:i/>
                            <w:sz w:val="24"/>
                            <w:szCs w:val="24"/>
                          </w:rPr>
                        </m:ctrlPr>
                      </m:sSubPr>
                      <m:e>
                        <m:r>
                          <w:rPr>
                            <w:rStyle w:val="vlist-s"/>
                            <w:rFonts w:ascii="Cambria Math" w:hAnsi="Cambria Math"/>
                            <w:sz w:val="24"/>
                            <w:szCs w:val="24"/>
                          </w:rPr>
                          <m:t>X</m:t>
                        </m:r>
                      </m:e>
                      <m:sub>
                        <m:r>
                          <w:rPr>
                            <w:rStyle w:val="vlist-s"/>
                            <w:rFonts w:ascii="Cambria Math" w:hAnsi="Cambria Math"/>
                            <w:sz w:val="24"/>
                            <w:szCs w:val="24"/>
                          </w:rPr>
                          <m:t>i</m:t>
                        </m:r>
                      </m:sub>
                    </m:sSub>
                  </m:e>
                </m:nary>
                <m:r>
                  <m:rPr>
                    <m:sty m:val="p"/>
                  </m:rPr>
                  <w:rPr>
                    <w:rStyle w:val="vlist-s"/>
                    <w:rFonts w:ascii="Cambria Math" w:hAnsi="Cambria Math"/>
                    <w:sz w:val="24"/>
                    <w:szCs w:val="24"/>
                  </w:rPr>
                  <m:t>​</m:t>
                </m:r>
              </m:oMath>
            </m:oMathPara>
          </w:p>
          <w:p w14:paraId="07A7C108" w14:textId="77777777" w:rsidR="003854A1" w:rsidRPr="006D26E5" w:rsidRDefault="00277CF7" w:rsidP="006D26E5">
            <w:pPr>
              <w:rPr>
                <w:sz w:val="24"/>
                <w:szCs w:val="24"/>
              </w:rPr>
            </w:pPr>
            <m:oMathPara>
              <m:oMath>
                <m:r>
                  <m:rPr>
                    <m:sty m:val="p"/>
                  </m:rPr>
                  <w:rPr>
                    <w:rStyle w:val="mord"/>
                    <w:rFonts w:ascii="Cambria Math" w:hAnsi="Cambria Math"/>
                    <w:sz w:val="24"/>
                    <w:szCs w:val="24"/>
                  </w:rPr>
                  <m:t>Y</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ord"/>
                    <w:rFonts w:ascii="Cambria Math" w:hAnsi="Cambria Math"/>
                    <w:sz w:val="24"/>
                    <w:szCs w:val="24"/>
                  </w:rPr>
                  <m:t>C</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tc>
      </w:tr>
      <w:tr w:rsidR="006A1AE3" w:rsidRPr="006D26E5" w14:paraId="0A8CFCF2" w14:textId="77777777" w:rsidTr="006A1AE3">
        <w:tc>
          <w:tcPr>
            <w:tcW w:w="0" w:type="auto"/>
            <w:hideMark/>
          </w:tcPr>
          <w:p w14:paraId="5BE9C7FA" w14:textId="77777777" w:rsidR="006A1AE3" w:rsidRPr="006D26E5" w:rsidRDefault="006A1AE3" w:rsidP="006D26E5">
            <w:pPr>
              <w:rPr>
                <w:sz w:val="24"/>
                <w:szCs w:val="24"/>
              </w:rPr>
            </w:pPr>
            <w:r w:rsidRPr="006D26E5">
              <w:rPr>
                <w:rStyle w:val="Strong"/>
                <w:sz w:val="24"/>
                <w:szCs w:val="24"/>
              </w:rPr>
              <w:t>Evaluation of Post-Quantum Cryptography (PQC) Advancements</w:t>
            </w:r>
          </w:p>
        </w:tc>
        <w:tc>
          <w:tcPr>
            <w:tcW w:w="0" w:type="auto"/>
            <w:hideMark/>
          </w:tcPr>
          <w:p w14:paraId="32A9AD0B" w14:textId="77777777" w:rsidR="006A1AE3" w:rsidRPr="006D26E5" w:rsidRDefault="006A1AE3" w:rsidP="006D26E5">
            <w:pPr>
              <w:rPr>
                <w:sz w:val="24"/>
                <w:szCs w:val="24"/>
              </w:rPr>
            </w:pPr>
            <w:r w:rsidRPr="006D26E5">
              <w:rPr>
                <w:sz w:val="24"/>
                <w:szCs w:val="24"/>
              </w:rPr>
              <w:t>NIST Post-Quantum Cryptography Project</w:t>
            </w:r>
          </w:p>
        </w:tc>
        <w:tc>
          <w:tcPr>
            <w:tcW w:w="0" w:type="auto"/>
            <w:hideMark/>
          </w:tcPr>
          <w:p w14:paraId="32605610" w14:textId="77777777" w:rsidR="006A1AE3" w:rsidRPr="006D26E5" w:rsidRDefault="006A1AE3" w:rsidP="006D26E5">
            <w:pPr>
              <w:rPr>
                <w:rStyle w:val="vlist-s"/>
                <w:sz w:val="24"/>
                <w:szCs w:val="24"/>
              </w:rPr>
            </w:pPr>
            <w:r w:rsidRPr="006D26E5">
              <w:rPr>
                <w:sz w:val="24"/>
                <w:szCs w:val="24"/>
              </w:rPr>
              <w:t xml:space="preserve">Comparative performance analysis using ANOVA: </w:t>
            </w:r>
            <w:r w:rsidRPr="006D26E5">
              <w:rPr>
                <w:sz w:val="24"/>
                <w:szCs w:val="24"/>
              </w:rPr>
              <w:br/>
            </w:r>
            <m:oMath>
              <m:d>
                <m:dPr>
                  <m:ctrlPr>
                    <w:rPr>
                      <w:rStyle w:val="mord"/>
                      <w:rFonts w:ascii="Cambria Math" w:hAnsi="Cambria Math"/>
                      <w:i/>
                      <w:sz w:val="24"/>
                      <w:szCs w:val="24"/>
                    </w:rPr>
                  </m:ctrlPr>
                </m:dPr>
                <m:e>
                  <m:r>
                    <w:rPr>
                      <w:rStyle w:val="mord"/>
                      <w:rFonts w:ascii="Cambria Math" w:hAnsi="Cambria Math"/>
                      <w:sz w:val="24"/>
                      <w:szCs w:val="24"/>
                    </w:rPr>
                    <m:t>PQ</m:t>
                  </m:r>
                  <m:sSub>
                    <m:sSubPr>
                      <m:ctrlPr>
                        <w:rPr>
                          <w:rStyle w:val="mord"/>
                          <w:rFonts w:ascii="Cambria Math" w:hAnsi="Cambria Math"/>
                          <w:i/>
                          <w:sz w:val="24"/>
                          <w:szCs w:val="24"/>
                        </w:rPr>
                      </m:ctrlPr>
                    </m:sSubPr>
                    <m:e>
                      <m:r>
                        <w:rPr>
                          <w:rStyle w:val="mord"/>
                          <w:rFonts w:ascii="Cambria Math" w:hAnsi="Cambria Math"/>
                          <w:sz w:val="24"/>
                          <w:szCs w:val="24"/>
                        </w:rPr>
                        <m:t>C</m:t>
                      </m:r>
                    </m:e>
                    <m:sub>
                      <m:r>
                        <w:rPr>
                          <w:rStyle w:val="mord"/>
                          <w:rFonts w:ascii="Cambria Math" w:hAnsi="Cambria Math"/>
                          <w:sz w:val="24"/>
                          <w:szCs w:val="24"/>
                        </w:rPr>
                        <m:t>eff</m:t>
                      </m:r>
                    </m:sub>
                  </m:sSub>
                  <m:r>
                    <w:rPr>
                      <w:rStyle w:val="vlist-s"/>
                      <w:rFonts w:ascii="Cambria Math" w:hAnsi="Cambria Math"/>
                      <w:sz w:val="24"/>
                      <w:szCs w:val="24"/>
                    </w:rPr>
                    <m:t>​</m:t>
                  </m:r>
                  <m:r>
                    <w:rPr>
                      <w:rStyle w:val="mrel"/>
                      <w:rFonts w:ascii="Cambria Math" w:hAnsi="Cambria Math"/>
                      <w:sz w:val="24"/>
                      <w:szCs w:val="24"/>
                    </w:rPr>
                    <m:t>=</m:t>
                  </m:r>
                  <m:f>
                    <m:fPr>
                      <m:ctrlPr>
                        <w:rPr>
                          <w:rStyle w:val="mord"/>
                          <w:rFonts w:ascii="Cambria Math" w:hAnsi="Cambria Math"/>
                          <w:i/>
                          <w:sz w:val="24"/>
                          <w:szCs w:val="24"/>
                        </w:rPr>
                      </m:ctrlPr>
                    </m:fPr>
                    <m:num>
                      <m:r>
                        <w:rPr>
                          <w:rStyle w:val="mord"/>
                          <w:rFonts w:ascii="Cambria Math" w:hAnsi="Cambria Math"/>
                          <w:sz w:val="24"/>
                          <w:szCs w:val="24"/>
                        </w:rPr>
                        <m:t>E</m:t>
                      </m:r>
                      <m:r>
                        <w:rPr>
                          <w:rStyle w:val="mbin"/>
                          <w:rFonts w:ascii="Cambria Math" w:hAnsi="Cambria Math"/>
                          <w:sz w:val="24"/>
                          <w:szCs w:val="24"/>
                        </w:rPr>
                        <m:t>+</m:t>
                      </m:r>
                      <m:r>
                        <w:rPr>
                          <w:rStyle w:val="mord"/>
                          <w:rFonts w:ascii="Cambria Math" w:hAnsi="Cambria Math"/>
                          <w:sz w:val="24"/>
                          <w:szCs w:val="24"/>
                        </w:rPr>
                        <m:t>D</m:t>
                      </m:r>
                      <m:r>
                        <w:rPr>
                          <w:rStyle w:val="mbin"/>
                          <w:rFonts w:ascii="Cambria Math" w:hAnsi="Cambria Math"/>
                          <w:sz w:val="24"/>
                          <w:szCs w:val="24"/>
                        </w:rPr>
                        <m:t>+</m:t>
                      </m:r>
                      <m:r>
                        <w:rPr>
                          <w:rStyle w:val="mord"/>
                          <w:rFonts w:ascii="Cambria Math" w:hAnsi="Cambria Math"/>
                          <w:sz w:val="24"/>
                          <w:szCs w:val="24"/>
                        </w:rPr>
                        <m:t>K</m:t>
                      </m:r>
                      <m:ctrlPr>
                        <w:rPr>
                          <w:rStyle w:val="mrel"/>
                          <w:rFonts w:ascii="Cambria Math" w:hAnsi="Cambria Math"/>
                          <w:i/>
                          <w:sz w:val="24"/>
                          <w:szCs w:val="24"/>
                        </w:rPr>
                      </m:ctrlPr>
                    </m:num>
                    <m:den>
                      <m:r>
                        <w:rPr>
                          <w:rStyle w:val="mord"/>
                          <w:rFonts w:ascii="Cambria Math" w:hAnsi="Cambria Math"/>
                          <w:sz w:val="24"/>
                          <w:szCs w:val="24"/>
                        </w:rPr>
                        <m:t>3</m:t>
                      </m:r>
                    </m:den>
                  </m:f>
                </m:e>
              </m:d>
              <m:r>
                <m:rPr>
                  <m:sty m:val="p"/>
                </m:rPr>
                <w:rPr>
                  <w:rStyle w:val="vlist-s"/>
                  <w:rFonts w:ascii="Cambria Math" w:hAnsi="Cambria Math"/>
                  <w:sz w:val="24"/>
                  <w:szCs w:val="24"/>
                </w:rPr>
                <m:t>​</m:t>
              </m:r>
            </m:oMath>
            <w:r w:rsidR="00243CF0" w:rsidRPr="006D26E5">
              <w:rPr>
                <w:rStyle w:val="vlist-s"/>
                <w:sz w:val="24"/>
                <w:szCs w:val="24"/>
              </w:rPr>
              <w:t>,</w:t>
            </w:r>
          </w:p>
          <w:p w14:paraId="34D28033" w14:textId="77777777" w:rsidR="00B63BB8" w:rsidRPr="006D26E5" w:rsidRDefault="00000000" w:rsidP="006D26E5">
            <w:pPr>
              <w:rPr>
                <w:sz w:val="24"/>
                <w:szCs w:val="24"/>
              </w:rPr>
            </w:pPr>
            <m:oMathPara>
              <m:oMath>
                <m:d>
                  <m:dPr>
                    <m:ctrlPr>
                      <w:rPr>
                        <w:rStyle w:val="mord"/>
                        <w:rFonts w:ascii="Cambria Math" w:hAnsi="Cambria Math"/>
                        <w:sz w:val="24"/>
                        <w:szCs w:val="24"/>
                      </w:rPr>
                    </m:ctrlPr>
                  </m:dPr>
                  <m:e>
                    <m:r>
                      <m:rPr>
                        <m:sty m:val="p"/>
                      </m:rPr>
                      <w:rPr>
                        <w:rStyle w:val="mord"/>
                        <w:rFonts w:ascii="Cambria Math" w:hAnsi="Cambria Math"/>
                        <w:sz w:val="24"/>
                        <w:szCs w:val="24"/>
                      </w:rPr>
                      <m:t>F</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vlist-s"/>
                            <w:rFonts w:ascii="Cambria Math" w:hAnsi="Cambria Math"/>
                            <w:sz w:val="24"/>
                            <w:szCs w:val="24"/>
                          </w:rPr>
                          <m:t>​SST</m:t>
                        </m:r>
                        <m:ctrlPr>
                          <w:rPr>
                            <w:rStyle w:val="mbin"/>
                            <w:rFonts w:ascii="Cambria Math" w:hAnsi="Cambria Math"/>
                            <w:sz w:val="24"/>
                            <w:szCs w:val="24"/>
                          </w:rPr>
                        </m:ctrlPr>
                      </m:num>
                      <m:den>
                        <m:f>
                          <m:fPr>
                            <m:ctrlPr>
                              <w:rPr>
                                <w:rStyle w:val="mord"/>
                                <w:rFonts w:ascii="Cambria Math" w:hAnsi="Cambria Math"/>
                                <w:sz w:val="24"/>
                                <w:szCs w:val="24"/>
                              </w:rPr>
                            </m:ctrlPr>
                          </m:fPr>
                          <m:num>
                            <m:r>
                              <m:rPr>
                                <m:sty m:val="p"/>
                              </m:rPr>
                              <w:rPr>
                                <w:rStyle w:val="mord"/>
                                <w:rFonts w:ascii="Cambria Math" w:hAnsi="Cambria Math"/>
                                <w:sz w:val="24"/>
                                <w:szCs w:val="24"/>
                              </w:rPr>
                              <m:t>k</m:t>
                            </m:r>
                            <m:r>
                              <m:rPr>
                                <m:sty m:val="p"/>
                              </m:rPr>
                              <w:rPr>
                                <w:rStyle w:val="mbin"/>
                                <w:rFonts w:ascii="Cambria Math" w:hAnsi="Cambria Math"/>
                                <w:sz w:val="24"/>
                                <w:szCs w:val="24"/>
                              </w:rPr>
                              <m:t>-</m:t>
                            </m:r>
                            <m:r>
                              <m:rPr>
                                <m:sty m:val="p"/>
                              </m:rPr>
                              <w:rPr>
                                <w:rStyle w:val="mord"/>
                                <w:rFonts w:ascii="Cambria Math" w:hAnsi="Cambria Math"/>
                                <w:sz w:val="24"/>
                                <w:szCs w:val="24"/>
                              </w:rPr>
                              <m:t>1</m:t>
                            </m:r>
                          </m:num>
                          <m:den>
                            <m:f>
                              <m:fPr>
                                <m:ctrlPr>
                                  <w:rPr>
                                    <w:rStyle w:val="mord"/>
                                    <w:rFonts w:ascii="Cambria Math" w:hAnsi="Cambria Math"/>
                                    <w:i/>
                                    <w:sz w:val="24"/>
                                    <w:szCs w:val="24"/>
                                  </w:rPr>
                                </m:ctrlPr>
                              </m:fPr>
                              <m:num>
                                <m:r>
                                  <w:rPr>
                                    <w:rStyle w:val="mord"/>
                                    <w:rFonts w:ascii="Cambria Math" w:hAnsi="Cambria Math"/>
                                    <w:sz w:val="24"/>
                                    <w:szCs w:val="24"/>
                                  </w:rPr>
                                  <m:t>SSE</m:t>
                                </m:r>
                              </m:num>
                              <m:den>
                                <m:r>
                                  <w:rPr>
                                    <w:rStyle w:val="mord"/>
                                    <w:rFonts w:ascii="Cambria Math" w:hAnsi="Cambria Math"/>
                                    <w:sz w:val="24"/>
                                    <w:szCs w:val="24"/>
                                  </w:rPr>
                                  <m:t>n-k</m:t>
                                </m:r>
                              </m:den>
                            </m:f>
                          </m:den>
                        </m:f>
                      </m:den>
                    </m:f>
                  </m:e>
                </m:d>
                <m:r>
                  <m:rPr>
                    <m:sty m:val="p"/>
                  </m:rPr>
                  <w:rPr>
                    <w:rStyle w:val="vlist-s"/>
                    <w:rFonts w:ascii="Cambria Math" w:hAnsi="Cambria Math"/>
                    <w:sz w:val="24"/>
                    <w:szCs w:val="24"/>
                  </w:rPr>
                  <m:t>​​</m:t>
                </m:r>
              </m:oMath>
            </m:oMathPara>
          </w:p>
        </w:tc>
      </w:tr>
      <w:tr w:rsidR="006A1AE3" w:rsidRPr="006D26E5" w14:paraId="0EFD82D0" w14:textId="77777777" w:rsidTr="006A1AE3">
        <w:tc>
          <w:tcPr>
            <w:tcW w:w="0" w:type="auto"/>
            <w:hideMark/>
          </w:tcPr>
          <w:p w14:paraId="5DD09047" w14:textId="77777777" w:rsidR="006A1AE3" w:rsidRPr="006D26E5" w:rsidRDefault="006A1AE3" w:rsidP="006D26E5">
            <w:pPr>
              <w:rPr>
                <w:sz w:val="24"/>
                <w:szCs w:val="24"/>
              </w:rPr>
            </w:pPr>
            <w:r w:rsidRPr="006D26E5">
              <w:rPr>
                <w:rStyle w:val="Strong"/>
                <w:sz w:val="24"/>
                <w:szCs w:val="24"/>
              </w:rPr>
              <w:t>Case Studies on Healthcare Institutions Implementing Quantum-Resistant Encryption</w:t>
            </w:r>
          </w:p>
        </w:tc>
        <w:tc>
          <w:tcPr>
            <w:tcW w:w="0" w:type="auto"/>
            <w:hideMark/>
          </w:tcPr>
          <w:p w14:paraId="253BCEC2" w14:textId="77777777" w:rsidR="006A1AE3" w:rsidRPr="006D26E5" w:rsidRDefault="006A1AE3" w:rsidP="006D26E5">
            <w:pPr>
              <w:rPr>
                <w:sz w:val="24"/>
                <w:szCs w:val="24"/>
              </w:rPr>
            </w:pPr>
            <w:r w:rsidRPr="006D26E5">
              <w:rPr>
                <w:sz w:val="24"/>
                <w:szCs w:val="24"/>
              </w:rPr>
              <w:t>HIMSS Annual Cybersecurity Survey (2023–2024)</w:t>
            </w:r>
          </w:p>
        </w:tc>
        <w:tc>
          <w:tcPr>
            <w:tcW w:w="0" w:type="auto"/>
            <w:hideMark/>
          </w:tcPr>
          <w:p w14:paraId="0277AF96" w14:textId="77777777" w:rsidR="00A528C8" w:rsidRPr="006D26E5" w:rsidRDefault="006A1AE3" w:rsidP="006D26E5">
            <w:pPr>
              <w:spacing w:before="160" w:after="160"/>
              <w:rPr>
                <w:rFonts w:eastAsia="Times New Roman"/>
                <w:color w:val="0D0D0D"/>
                <w:sz w:val="24"/>
                <w:szCs w:val="24"/>
                <w:highlight w:val="white"/>
              </w:rPr>
            </w:pPr>
            <w:r w:rsidRPr="006D26E5">
              <w:rPr>
                <w:sz w:val="24"/>
                <w:szCs w:val="24"/>
              </w:rPr>
              <w:t xml:space="preserve">K-Means clustering to classify adoption levels: </w:t>
            </w:r>
            <w:r w:rsidRPr="006D26E5">
              <w:rPr>
                <w:sz w:val="24"/>
                <w:szCs w:val="24"/>
              </w:rPr>
              <w:br/>
            </w:r>
            <m:oMathPara>
              <m:oMath>
                <m:r>
                  <m:rPr>
                    <m:sty m:val="p"/>
                  </m:rPr>
                  <w:rPr>
                    <w:rStyle w:val="mord"/>
                    <w:rFonts w:ascii="Cambria Math" w:hAnsi="Cambria Math"/>
                    <w:sz w:val="24"/>
                    <w:szCs w:val="24"/>
                  </w:rPr>
                  <m:t>J</m:t>
                </m:r>
                <m:r>
                  <m:rPr>
                    <m:sty m:val="p"/>
                  </m:rPr>
                  <w:rPr>
                    <w:rStyle w:val="mrel"/>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k</m:t>
                    </m:r>
                  </m:sup>
                  <m:e>
                    <m:nary>
                      <m:naryPr>
                        <m:chr m:val="∑"/>
                        <m:limLoc m:val="undOvr"/>
                        <m:ctrlPr>
                          <w:rPr>
                            <w:rStyle w:val="mrel"/>
                            <w:rFonts w:ascii="Cambria Math" w:hAnsi="Cambria Math"/>
                            <w:i/>
                            <w:sz w:val="24"/>
                            <w:szCs w:val="24"/>
                          </w:rPr>
                        </m:ctrlPr>
                      </m:naryPr>
                      <m:sub>
                        <m:r>
                          <w:rPr>
                            <w:rStyle w:val="mrel"/>
                            <w:rFonts w:ascii="Cambria Math" w:hAnsi="Cambria Math"/>
                            <w:sz w:val="24"/>
                            <w:szCs w:val="24"/>
                          </w:rPr>
                          <m:t>j=1</m:t>
                        </m:r>
                      </m:sub>
                      <m:sup>
                        <m:r>
                          <w:rPr>
                            <w:rStyle w:val="mrel"/>
                            <w:rFonts w:ascii="Cambria Math" w:hAnsi="Cambria Math"/>
                            <w:sz w:val="24"/>
                            <w:szCs w:val="24"/>
                          </w:rPr>
                          <m:t>n</m:t>
                        </m:r>
                      </m:sup>
                      <m:e>
                        <m:r>
                          <m:rPr>
                            <m:sty m:val="p"/>
                          </m:rPr>
                          <w:rPr>
                            <w:rStyle w:val="mord"/>
                            <w:rFonts w:ascii="Cambria Math" w:hAnsi="Cambria Math"/>
                            <w:sz w:val="24"/>
                            <w:szCs w:val="24"/>
                          </w:rPr>
                          <m:t>∣∣</m:t>
                        </m:r>
                        <m:sSubSup>
                          <m:sSubSupPr>
                            <m:ctrlPr>
                              <w:rPr>
                                <w:rStyle w:val="mord"/>
                                <w:rFonts w:ascii="Cambria Math" w:hAnsi="Cambria Math"/>
                                <w:i/>
                                <w:sz w:val="24"/>
                                <w:szCs w:val="24"/>
                              </w:rPr>
                            </m:ctrlPr>
                          </m:sSubSupPr>
                          <m:e>
                            <m:r>
                              <m:rPr>
                                <m:sty m:val="p"/>
                              </m:rPr>
                              <w:rPr>
                                <w:rStyle w:val="mord"/>
                                <w:rFonts w:ascii="Cambria Math" w:hAnsi="Cambria Math"/>
                                <w:sz w:val="24"/>
                                <w:szCs w:val="24"/>
                              </w:rPr>
                              <m:t>x</m:t>
                            </m:r>
                            <m:ctrlPr>
                              <w:rPr>
                                <w:rStyle w:val="mord"/>
                                <w:rFonts w:ascii="Cambria Math" w:hAnsi="Cambria Math"/>
                                <w:sz w:val="24"/>
                                <w:szCs w:val="24"/>
                              </w:rPr>
                            </m:ctrlPr>
                          </m:e>
                          <m:sub>
                            <m:r>
                              <m:rPr>
                                <m:sty m:val="p"/>
                              </m:rPr>
                              <w:rPr>
                                <w:rStyle w:val="mord"/>
                                <w:rFonts w:ascii="Cambria Math" w:hAnsi="Cambria Math"/>
                                <w:sz w:val="24"/>
                                <w:szCs w:val="24"/>
                              </w:rPr>
                              <m:t>j</m:t>
                            </m:r>
                            <m:ctrlPr>
                              <w:rPr>
                                <w:rStyle w:val="mord"/>
                                <w:rFonts w:ascii="Cambria Math" w:hAnsi="Cambria Math"/>
                                <w:sz w:val="24"/>
                                <w:szCs w:val="24"/>
                              </w:rPr>
                            </m:ctrlPr>
                          </m:sub>
                          <m:sup>
                            <m:d>
                              <m:dPr>
                                <m:ctrlPr>
                                  <w:rPr>
                                    <w:rStyle w:val="mopen"/>
                                    <w:rFonts w:ascii="Cambria Math" w:hAnsi="Cambria Math"/>
                                    <w:sz w:val="24"/>
                                    <w:szCs w:val="24"/>
                                  </w:rPr>
                                </m:ctrlPr>
                              </m:dPr>
                              <m:e>
                                <m:r>
                                  <m:rPr>
                                    <m:sty m:val="p"/>
                                  </m:rPr>
                                  <w:rPr>
                                    <w:rStyle w:val="mord"/>
                                    <w:rFonts w:ascii="Cambria Math" w:hAnsi="Cambria Math"/>
                                    <w:sz w:val="24"/>
                                    <w:szCs w:val="24"/>
                                  </w:rPr>
                                  <m:t>i</m:t>
                                </m:r>
                                <m:ctrlPr>
                                  <w:rPr>
                                    <w:rStyle w:val="mclose"/>
                                    <w:rFonts w:ascii="Cambria Math" w:hAnsi="Cambria Math"/>
                                    <w:sz w:val="24"/>
                                    <w:szCs w:val="24"/>
                                  </w:rPr>
                                </m:ctrlPr>
                              </m:e>
                            </m:d>
                          </m:sup>
                        </m:sSubSup>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μ</m:t>
                            </m:r>
                            <m:ctrlPr>
                              <w:rPr>
                                <w:rStyle w:val="mbi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ord"/>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r>
                              <m:rPr>
                                <m:sty m:val="p"/>
                              </m:rPr>
                              <w:rPr>
                                <w:rStyle w:val="mord"/>
                                <w:rFonts w:ascii="Cambria Math" w:hAnsi="Cambria Math"/>
                                <w:sz w:val="24"/>
                                <w:szCs w:val="24"/>
                              </w:rPr>
                              <m:t>2</m:t>
                            </m:r>
                          </m:sup>
                        </m:sSup>
                      </m:e>
                    </m:nary>
                  </m:e>
                </m:nary>
              </m:oMath>
            </m:oMathPara>
          </w:p>
          <w:p w14:paraId="4497CF6E" w14:textId="77777777" w:rsidR="006A1AE3" w:rsidRPr="006D26E5" w:rsidRDefault="006A1AE3" w:rsidP="006D26E5">
            <w:pPr>
              <w:rPr>
                <w:sz w:val="24"/>
                <w:szCs w:val="24"/>
              </w:rPr>
            </w:pPr>
          </w:p>
        </w:tc>
      </w:tr>
      <w:tr w:rsidR="006A1AE3" w:rsidRPr="006D26E5" w14:paraId="79BC59CA" w14:textId="77777777" w:rsidTr="006A1AE3">
        <w:tc>
          <w:tcPr>
            <w:tcW w:w="0" w:type="auto"/>
            <w:hideMark/>
          </w:tcPr>
          <w:p w14:paraId="2E90137F" w14:textId="77777777" w:rsidR="006A1AE3" w:rsidRPr="006D26E5" w:rsidRDefault="006A1AE3" w:rsidP="006D26E5">
            <w:pPr>
              <w:rPr>
                <w:sz w:val="24"/>
                <w:szCs w:val="24"/>
              </w:rPr>
            </w:pPr>
            <w:r w:rsidRPr="006D26E5">
              <w:rPr>
                <w:rStyle w:val="Strong"/>
                <w:sz w:val="24"/>
                <w:szCs w:val="24"/>
              </w:rPr>
              <w:t>Regulatory and Compliance Considerations</w:t>
            </w:r>
          </w:p>
        </w:tc>
        <w:tc>
          <w:tcPr>
            <w:tcW w:w="0" w:type="auto"/>
            <w:hideMark/>
          </w:tcPr>
          <w:p w14:paraId="6848AFDF" w14:textId="77777777" w:rsidR="006A1AE3" w:rsidRPr="006D26E5" w:rsidRDefault="006A1AE3" w:rsidP="006D26E5">
            <w:pPr>
              <w:rPr>
                <w:sz w:val="24"/>
                <w:szCs w:val="24"/>
              </w:rPr>
            </w:pPr>
            <w:r w:rsidRPr="006D26E5">
              <w:rPr>
                <w:sz w:val="24"/>
                <w:szCs w:val="24"/>
              </w:rPr>
              <w:t>HIPAA &amp; GDPR Compliance Fines Reports</w:t>
            </w:r>
          </w:p>
        </w:tc>
        <w:tc>
          <w:tcPr>
            <w:tcW w:w="0" w:type="auto"/>
            <w:hideMark/>
          </w:tcPr>
          <w:p w14:paraId="478FFBD1" w14:textId="77777777" w:rsidR="006A1AE3" w:rsidRPr="006D26E5" w:rsidRDefault="006A1AE3" w:rsidP="006D26E5">
            <w:pPr>
              <w:rPr>
                <w:sz w:val="24"/>
                <w:szCs w:val="24"/>
              </w:rPr>
            </w:pPr>
            <w:r w:rsidRPr="006D26E5">
              <w:rPr>
                <w:sz w:val="24"/>
                <w:szCs w:val="24"/>
              </w:rPr>
              <w:t xml:space="preserve">Linear regression on compliance fines and encryption: </w:t>
            </w:r>
            <w:r w:rsidRPr="006D26E5">
              <w:rPr>
                <w:sz w:val="24"/>
                <w:szCs w:val="24"/>
              </w:rPr>
              <w:br/>
            </w:r>
            <m:oMathPara>
              <m:oMath>
                <m:r>
                  <m:rPr>
                    <m:sty m:val="p"/>
                  </m:rPr>
                  <w:rPr>
                    <w:rStyle w:val="mord"/>
                    <w:rFonts w:ascii="Cambria Math" w:hAnsi="Cambria Math"/>
                    <w:sz w:val="24"/>
                    <w:szCs w:val="24"/>
                  </w:rPr>
                  <m:t>F</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α</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α</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ord"/>
                    <w:rFonts w:ascii="Cambria Math" w:hAnsi="Cambria Math"/>
                    <w:sz w:val="24"/>
                    <w:szCs w:val="24"/>
                  </w:rPr>
                  <m:t>E</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tc>
      </w:tr>
    </w:tbl>
    <w:p w14:paraId="49CD848E" w14:textId="77777777" w:rsidR="00506BCB" w:rsidRPr="006D26E5" w:rsidRDefault="002C4A4D" w:rsidP="006D26E5">
      <w:pPr>
        <w:spacing w:before="160" w:after="160"/>
        <w:rPr>
          <w:rFonts w:eastAsia="Times New Roman"/>
          <w:color w:val="0D0D0D"/>
          <w:sz w:val="24"/>
          <w:szCs w:val="24"/>
          <w:highlight w:val="white"/>
        </w:rPr>
      </w:pPr>
      <w:bookmarkStart w:id="8" w:name="_cun8e2rfz91s" w:colFirst="0" w:colLast="0"/>
      <w:bookmarkStart w:id="9" w:name="_wlsklxrnf0vd" w:colFirst="0" w:colLast="0"/>
      <w:bookmarkEnd w:id="8"/>
      <w:bookmarkEnd w:id="9"/>
      <w:r w:rsidRPr="00832FB8">
        <w:rPr>
          <w:rFonts w:eastAsia="Times New Roman"/>
          <w:color w:val="0D0D0D"/>
          <w:sz w:val="24"/>
          <w:szCs w:val="24"/>
          <w:highlight w:val="white"/>
        </w:rPr>
        <w:lastRenderedPageBreak/>
        <w:t>This methodology ensures a data-driven approach to investigating cloud security</w:t>
      </w:r>
      <w:r w:rsidRPr="006D26E5">
        <w:rPr>
          <w:rFonts w:eastAsia="Times New Roman"/>
          <w:color w:val="0D0D0D"/>
          <w:sz w:val="24"/>
          <w:szCs w:val="24"/>
          <w:highlight w:val="white"/>
        </w:rPr>
        <w:t xml:space="preserve"> risks, evaluating quantum-resistant encryption, and </w:t>
      </w:r>
      <w:proofErr w:type="spellStart"/>
      <w:r w:rsidRPr="006D26E5">
        <w:rPr>
          <w:rFonts w:eastAsia="Times New Roman"/>
          <w:color w:val="0D0D0D"/>
          <w:sz w:val="24"/>
          <w:szCs w:val="24"/>
          <w:highlight w:val="white"/>
        </w:rPr>
        <w:t>analyzing</w:t>
      </w:r>
      <w:proofErr w:type="spellEnd"/>
      <w:r w:rsidRPr="006D26E5">
        <w:rPr>
          <w:rFonts w:eastAsia="Times New Roman"/>
          <w:color w:val="0D0D0D"/>
          <w:sz w:val="24"/>
          <w:szCs w:val="24"/>
          <w:highlight w:val="white"/>
        </w:rPr>
        <w:t xml:space="preserve"> compliance impacts in healthcare systems.</w:t>
      </w:r>
    </w:p>
    <w:p w14:paraId="6C632442" w14:textId="7BD43416" w:rsidR="00506BCB" w:rsidRPr="006D26E5" w:rsidRDefault="00832FB8" w:rsidP="006D26E5">
      <w:pPr>
        <w:spacing w:before="240" w:after="240"/>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r>
      <w:r w:rsidR="002C4A4D" w:rsidRPr="006D26E5">
        <w:rPr>
          <w:rFonts w:eastAsia="Times New Roman"/>
          <w:b/>
          <w:color w:val="0D0D0D"/>
          <w:sz w:val="24"/>
          <w:szCs w:val="24"/>
          <w:highlight w:val="white"/>
        </w:rPr>
        <w:t>Result</w:t>
      </w:r>
      <w:r>
        <w:rPr>
          <w:rFonts w:eastAsia="Times New Roman"/>
          <w:b/>
          <w:color w:val="0D0D0D"/>
          <w:sz w:val="24"/>
          <w:szCs w:val="24"/>
          <w:highlight w:val="white"/>
        </w:rPr>
        <w:t xml:space="preserve">s </w:t>
      </w:r>
    </w:p>
    <w:p w14:paraId="3272EEAA" w14:textId="77777777" w:rsidR="00506BCB" w:rsidRPr="006D26E5" w:rsidRDefault="002C4A4D" w:rsidP="006D26E5">
      <w:pPr>
        <w:pStyle w:val="Heading3"/>
        <w:keepNext w:val="0"/>
        <w:keepLines w:val="0"/>
        <w:spacing w:before="280"/>
        <w:rPr>
          <w:rFonts w:eastAsia="Times New Roman"/>
          <w:b/>
          <w:color w:val="0D0D0D"/>
          <w:sz w:val="24"/>
          <w:szCs w:val="24"/>
          <w:highlight w:val="white"/>
        </w:rPr>
      </w:pPr>
      <w:bookmarkStart w:id="10" w:name="_vaczjkpgp13q" w:colFirst="0" w:colLast="0"/>
      <w:bookmarkEnd w:id="10"/>
      <w:r w:rsidRPr="006D26E5">
        <w:rPr>
          <w:rFonts w:eastAsia="Times New Roman"/>
          <w:b/>
          <w:color w:val="0D0D0D"/>
          <w:sz w:val="24"/>
          <w:szCs w:val="24"/>
          <w:highlight w:val="white"/>
        </w:rPr>
        <w:t>Healthcare Data Breaches and Cloud Adoption: A Quantitative Analysis</w:t>
      </w:r>
    </w:p>
    <w:p w14:paraId="7E3ABECE" w14:textId="77777777" w:rsidR="00506BCB" w:rsidRPr="006D26E5" w:rsidRDefault="002C4A4D" w:rsidP="006D26E5">
      <w:pPr>
        <w:spacing w:before="160" w:after="160"/>
        <w:rPr>
          <w:rFonts w:eastAsia="Times New Roman"/>
          <w:color w:val="0D0D0D"/>
          <w:sz w:val="24"/>
          <w:szCs w:val="24"/>
          <w:highlight w:val="white"/>
        </w:rPr>
      </w:pPr>
      <w:bookmarkStart w:id="11" w:name="_md8rw7881znv" w:colFirst="0" w:colLast="0"/>
      <w:bookmarkEnd w:id="11"/>
      <w:r w:rsidRPr="006D26E5">
        <w:rPr>
          <w:rFonts w:eastAsia="Times New Roman"/>
          <w:color w:val="0D0D0D"/>
          <w:sz w:val="24"/>
          <w:szCs w:val="24"/>
          <w:highlight w:val="white"/>
        </w:rPr>
        <w:t>The security of cloud-based patient information systems remains a critical concern as cyber threats evolve and cloud adoption increases within the healthcare sector. The transition from traditional storage to cloud-based platforms has improved scalability and accessibility but has also introduced vulnerabilities that cybercriminals exploit. With cyberattacks such as ransomware, hacking, and phishing increasing in frequency and complexity, understanding trends in security risks and their correlation with cloud adoption is essential. This report quantitatively examines the prevalence of healthcare data breaches from 2015 to 2024 and explores their relationship with cloud adoption, providing empirical insights into security vulnerabilities in healthcare cloud systems.</w:t>
      </w:r>
    </w:p>
    <w:p w14:paraId="2EB6D6E1" w14:textId="77777777" w:rsidR="00506BCB" w:rsidRPr="006D26E5" w:rsidRDefault="002C4A4D" w:rsidP="006D26E5">
      <w:pPr>
        <w:spacing w:before="160" w:after="160"/>
        <w:rPr>
          <w:rFonts w:eastAsia="Times New Roman"/>
          <w:color w:val="0D0D0D"/>
          <w:sz w:val="24"/>
          <w:szCs w:val="24"/>
          <w:highlight w:val="white"/>
        </w:rPr>
      </w:pPr>
      <w:bookmarkStart w:id="12" w:name="_9rqot8kwekn7" w:colFirst="0" w:colLast="0"/>
      <w:bookmarkEnd w:id="12"/>
      <w:r w:rsidRPr="006D26E5">
        <w:rPr>
          <w:rFonts w:eastAsia="Times New Roman"/>
          <w:color w:val="0D0D0D"/>
          <w:sz w:val="24"/>
          <w:szCs w:val="24"/>
          <w:highlight w:val="white"/>
        </w:rPr>
        <w:t>The total number of reported healthcare data breaches over the past decade has shown considerable fluctuations. Table 2 provides a structured summary of breach occurrences categorized by ransomware, hacking, and phishing attacks alongside cloud adoption trends.</w:t>
      </w:r>
    </w:p>
    <w:p w14:paraId="375E3AE6" w14:textId="77777777" w:rsidR="00506BCB" w:rsidRPr="00832FB8" w:rsidRDefault="002C4A4D" w:rsidP="00832FB8">
      <w:pPr>
        <w:pStyle w:val="Heading5"/>
        <w:keepNext w:val="0"/>
        <w:keepLines w:val="0"/>
        <w:spacing w:before="220" w:after="40"/>
        <w:jc w:val="center"/>
        <w:rPr>
          <w:rFonts w:eastAsia="Times New Roman"/>
          <w:i/>
          <w:color w:val="0D0D0D"/>
          <w:sz w:val="24"/>
          <w:szCs w:val="24"/>
          <w:highlight w:val="white"/>
        </w:rPr>
      </w:pPr>
      <w:bookmarkStart w:id="13" w:name="_or461u2q187y" w:colFirst="0" w:colLast="0"/>
      <w:bookmarkEnd w:id="13"/>
      <w:r w:rsidRPr="00832FB8">
        <w:rPr>
          <w:rFonts w:eastAsia="Times New Roman"/>
          <w:i/>
          <w:color w:val="0D0D0D"/>
          <w:sz w:val="24"/>
          <w:szCs w:val="24"/>
          <w:highlight w:val="white"/>
        </w:rPr>
        <w:t>Table 2: Summary of Healthcare Data Breaches and Cloud Adoption (2015–2024)</w:t>
      </w:r>
    </w:p>
    <w:tbl>
      <w:tblPr>
        <w:tblStyle w:val="TableGrid"/>
        <w:tblW w:w="8906" w:type="dxa"/>
        <w:jc w:val="center"/>
        <w:tblLayout w:type="fixed"/>
        <w:tblLook w:val="0600" w:firstRow="0" w:lastRow="0" w:firstColumn="0" w:lastColumn="0" w:noHBand="1" w:noVBand="1"/>
      </w:tblPr>
      <w:tblGrid>
        <w:gridCol w:w="1165"/>
        <w:gridCol w:w="1350"/>
        <w:gridCol w:w="1800"/>
        <w:gridCol w:w="1530"/>
        <w:gridCol w:w="1530"/>
        <w:gridCol w:w="1531"/>
      </w:tblGrid>
      <w:tr w:rsidR="00506BCB" w:rsidRPr="006D26E5" w14:paraId="1054F1D9" w14:textId="77777777" w:rsidTr="00832FB8">
        <w:trPr>
          <w:trHeight w:val="380"/>
          <w:jc w:val="center"/>
        </w:trPr>
        <w:tc>
          <w:tcPr>
            <w:tcW w:w="1165" w:type="dxa"/>
          </w:tcPr>
          <w:p w14:paraId="35065622"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Year</w:t>
            </w:r>
          </w:p>
        </w:tc>
        <w:tc>
          <w:tcPr>
            <w:tcW w:w="1350" w:type="dxa"/>
          </w:tcPr>
          <w:p w14:paraId="4F232241"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Total Breaches</w:t>
            </w:r>
          </w:p>
        </w:tc>
        <w:tc>
          <w:tcPr>
            <w:tcW w:w="1800" w:type="dxa"/>
          </w:tcPr>
          <w:p w14:paraId="11E5F188"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Ransomware Breaches</w:t>
            </w:r>
          </w:p>
        </w:tc>
        <w:tc>
          <w:tcPr>
            <w:tcW w:w="1530" w:type="dxa"/>
          </w:tcPr>
          <w:p w14:paraId="3D6FA0AF"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Hacking Breaches</w:t>
            </w:r>
          </w:p>
        </w:tc>
        <w:tc>
          <w:tcPr>
            <w:tcW w:w="1530" w:type="dxa"/>
          </w:tcPr>
          <w:p w14:paraId="7E742ED7"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Phishing Breaches</w:t>
            </w:r>
          </w:p>
        </w:tc>
        <w:tc>
          <w:tcPr>
            <w:tcW w:w="1531" w:type="dxa"/>
          </w:tcPr>
          <w:p w14:paraId="4A35E311"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Cloud Adoption (%)</w:t>
            </w:r>
          </w:p>
        </w:tc>
      </w:tr>
      <w:tr w:rsidR="00506BCB" w:rsidRPr="006D26E5" w14:paraId="0A20535C" w14:textId="77777777" w:rsidTr="00832FB8">
        <w:trPr>
          <w:trHeight w:val="380"/>
          <w:jc w:val="center"/>
        </w:trPr>
        <w:tc>
          <w:tcPr>
            <w:tcW w:w="1165" w:type="dxa"/>
          </w:tcPr>
          <w:p w14:paraId="25CED02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2015</w:t>
            </w:r>
          </w:p>
        </w:tc>
        <w:tc>
          <w:tcPr>
            <w:tcW w:w="1350" w:type="dxa"/>
          </w:tcPr>
          <w:p w14:paraId="0A15069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447</w:t>
            </w:r>
          </w:p>
        </w:tc>
        <w:tc>
          <w:tcPr>
            <w:tcW w:w="1800" w:type="dxa"/>
          </w:tcPr>
          <w:p w14:paraId="63ABC50C"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87</w:t>
            </w:r>
          </w:p>
        </w:tc>
        <w:tc>
          <w:tcPr>
            <w:tcW w:w="1530" w:type="dxa"/>
          </w:tcPr>
          <w:p w14:paraId="4FB33B8B"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146</w:t>
            </w:r>
          </w:p>
        </w:tc>
        <w:tc>
          <w:tcPr>
            <w:tcW w:w="1530" w:type="dxa"/>
          </w:tcPr>
          <w:p w14:paraId="2A0029B3"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63</w:t>
            </w:r>
          </w:p>
        </w:tc>
        <w:tc>
          <w:tcPr>
            <w:tcW w:w="1531" w:type="dxa"/>
          </w:tcPr>
          <w:p w14:paraId="634C8893"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30.0</w:t>
            </w:r>
          </w:p>
        </w:tc>
      </w:tr>
      <w:tr w:rsidR="00506BCB" w:rsidRPr="006D26E5" w14:paraId="477761FB" w14:textId="77777777" w:rsidTr="00832FB8">
        <w:trPr>
          <w:trHeight w:val="380"/>
          <w:jc w:val="center"/>
        </w:trPr>
        <w:tc>
          <w:tcPr>
            <w:tcW w:w="1165" w:type="dxa"/>
          </w:tcPr>
          <w:p w14:paraId="152AAFB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2016</w:t>
            </w:r>
          </w:p>
        </w:tc>
        <w:tc>
          <w:tcPr>
            <w:tcW w:w="1350" w:type="dxa"/>
          </w:tcPr>
          <w:p w14:paraId="21A4ABCC"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382</w:t>
            </w:r>
          </w:p>
        </w:tc>
        <w:tc>
          <w:tcPr>
            <w:tcW w:w="1800" w:type="dxa"/>
          </w:tcPr>
          <w:p w14:paraId="455F652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67</w:t>
            </w:r>
          </w:p>
        </w:tc>
        <w:tc>
          <w:tcPr>
            <w:tcW w:w="1530" w:type="dxa"/>
          </w:tcPr>
          <w:p w14:paraId="77B99F20"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108</w:t>
            </w:r>
          </w:p>
        </w:tc>
        <w:tc>
          <w:tcPr>
            <w:tcW w:w="1530" w:type="dxa"/>
          </w:tcPr>
          <w:p w14:paraId="271A93C6"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43</w:t>
            </w:r>
          </w:p>
        </w:tc>
        <w:tc>
          <w:tcPr>
            <w:tcW w:w="1531" w:type="dxa"/>
          </w:tcPr>
          <w:p w14:paraId="41A3E43A"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36.1</w:t>
            </w:r>
          </w:p>
        </w:tc>
      </w:tr>
      <w:tr w:rsidR="00506BCB" w:rsidRPr="006D26E5" w14:paraId="58078F84" w14:textId="77777777" w:rsidTr="00832FB8">
        <w:trPr>
          <w:trHeight w:val="380"/>
          <w:jc w:val="center"/>
        </w:trPr>
        <w:tc>
          <w:tcPr>
            <w:tcW w:w="1165" w:type="dxa"/>
          </w:tcPr>
          <w:p w14:paraId="49F6BD04"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2017</w:t>
            </w:r>
          </w:p>
        </w:tc>
        <w:tc>
          <w:tcPr>
            <w:tcW w:w="1350" w:type="dxa"/>
          </w:tcPr>
          <w:p w14:paraId="19BE0C56"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387</w:t>
            </w:r>
          </w:p>
        </w:tc>
        <w:tc>
          <w:tcPr>
            <w:tcW w:w="1800" w:type="dxa"/>
          </w:tcPr>
          <w:p w14:paraId="2AEBF67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136</w:t>
            </w:r>
          </w:p>
        </w:tc>
        <w:tc>
          <w:tcPr>
            <w:tcW w:w="1530" w:type="dxa"/>
          </w:tcPr>
          <w:p w14:paraId="395B080D"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190</w:t>
            </w:r>
          </w:p>
        </w:tc>
        <w:tc>
          <w:tcPr>
            <w:tcW w:w="1530" w:type="dxa"/>
          </w:tcPr>
          <w:p w14:paraId="7450A5D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73</w:t>
            </w:r>
          </w:p>
        </w:tc>
        <w:tc>
          <w:tcPr>
            <w:tcW w:w="1531" w:type="dxa"/>
          </w:tcPr>
          <w:p w14:paraId="54F86355"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42.2</w:t>
            </w:r>
          </w:p>
        </w:tc>
      </w:tr>
      <w:tr w:rsidR="00506BCB" w:rsidRPr="006D26E5" w14:paraId="44C88B65" w14:textId="77777777" w:rsidTr="00832FB8">
        <w:trPr>
          <w:trHeight w:val="380"/>
          <w:jc w:val="center"/>
        </w:trPr>
        <w:tc>
          <w:tcPr>
            <w:tcW w:w="1165" w:type="dxa"/>
          </w:tcPr>
          <w:p w14:paraId="35199A6A"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2018</w:t>
            </w:r>
          </w:p>
        </w:tc>
        <w:tc>
          <w:tcPr>
            <w:tcW w:w="1350" w:type="dxa"/>
          </w:tcPr>
          <w:p w14:paraId="324597B8"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460</w:t>
            </w:r>
          </w:p>
        </w:tc>
        <w:tc>
          <w:tcPr>
            <w:tcW w:w="1800" w:type="dxa"/>
          </w:tcPr>
          <w:p w14:paraId="32DA4510"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147</w:t>
            </w:r>
          </w:p>
        </w:tc>
        <w:tc>
          <w:tcPr>
            <w:tcW w:w="1530" w:type="dxa"/>
          </w:tcPr>
          <w:p w14:paraId="7A983AC5"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149</w:t>
            </w:r>
          </w:p>
        </w:tc>
        <w:tc>
          <w:tcPr>
            <w:tcW w:w="1530" w:type="dxa"/>
          </w:tcPr>
          <w:p w14:paraId="3D138E1A"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30</w:t>
            </w:r>
          </w:p>
        </w:tc>
        <w:tc>
          <w:tcPr>
            <w:tcW w:w="1531" w:type="dxa"/>
          </w:tcPr>
          <w:p w14:paraId="323F6313"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48.3</w:t>
            </w:r>
          </w:p>
        </w:tc>
      </w:tr>
      <w:tr w:rsidR="00506BCB" w:rsidRPr="006D26E5" w14:paraId="77FE0A14" w14:textId="77777777" w:rsidTr="00832FB8">
        <w:trPr>
          <w:trHeight w:val="380"/>
          <w:jc w:val="center"/>
        </w:trPr>
        <w:tc>
          <w:tcPr>
            <w:tcW w:w="1165" w:type="dxa"/>
          </w:tcPr>
          <w:p w14:paraId="5C988412"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2019</w:t>
            </w:r>
          </w:p>
        </w:tc>
        <w:tc>
          <w:tcPr>
            <w:tcW w:w="1350" w:type="dxa"/>
          </w:tcPr>
          <w:p w14:paraId="620F9355"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484</w:t>
            </w:r>
          </w:p>
        </w:tc>
        <w:tc>
          <w:tcPr>
            <w:tcW w:w="1800" w:type="dxa"/>
          </w:tcPr>
          <w:p w14:paraId="0A941A32"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116</w:t>
            </w:r>
          </w:p>
        </w:tc>
        <w:tc>
          <w:tcPr>
            <w:tcW w:w="1530" w:type="dxa"/>
          </w:tcPr>
          <w:p w14:paraId="6EBD9C5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190</w:t>
            </w:r>
          </w:p>
        </w:tc>
        <w:tc>
          <w:tcPr>
            <w:tcW w:w="1530" w:type="dxa"/>
          </w:tcPr>
          <w:p w14:paraId="7B24C8CB"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87</w:t>
            </w:r>
          </w:p>
        </w:tc>
        <w:tc>
          <w:tcPr>
            <w:tcW w:w="1531" w:type="dxa"/>
          </w:tcPr>
          <w:p w14:paraId="4D37FD52"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54.4</w:t>
            </w:r>
          </w:p>
        </w:tc>
      </w:tr>
      <w:tr w:rsidR="00506BCB" w:rsidRPr="006D26E5" w14:paraId="3917EE3A" w14:textId="77777777" w:rsidTr="00832FB8">
        <w:trPr>
          <w:trHeight w:val="380"/>
          <w:jc w:val="center"/>
        </w:trPr>
        <w:tc>
          <w:tcPr>
            <w:tcW w:w="1165" w:type="dxa"/>
          </w:tcPr>
          <w:p w14:paraId="67D5928E"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lastRenderedPageBreak/>
              <w:t>2020</w:t>
            </w:r>
          </w:p>
        </w:tc>
        <w:tc>
          <w:tcPr>
            <w:tcW w:w="1350" w:type="dxa"/>
          </w:tcPr>
          <w:p w14:paraId="07644401"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471</w:t>
            </w:r>
          </w:p>
        </w:tc>
        <w:tc>
          <w:tcPr>
            <w:tcW w:w="1800" w:type="dxa"/>
          </w:tcPr>
          <w:p w14:paraId="2C919BDA"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129</w:t>
            </w:r>
          </w:p>
        </w:tc>
        <w:tc>
          <w:tcPr>
            <w:tcW w:w="1530" w:type="dxa"/>
          </w:tcPr>
          <w:p w14:paraId="6914CA9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168</w:t>
            </w:r>
          </w:p>
        </w:tc>
        <w:tc>
          <w:tcPr>
            <w:tcW w:w="1530" w:type="dxa"/>
          </w:tcPr>
          <w:p w14:paraId="5DACFF3C"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57</w:t>
            </w:r>
          </w:p>
        </w:tc>
        <w:tc>
          <w:tcPr>
            <w:tcW w:w="1531" w:type="dxa"/>
          </w:tcPr>
          <w:p w14:paraId="50C88EB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60.6</w:t>
            </w:r>
          </w:p>
        </w:tc>
      </w:tr>
      <w:tr w:rsidR="00506BCB" w:rsidRPr="006D26E5" w14:paraId="4484FEC1" w14:textId="77777777" w:rsidTr="00832FB8">
        <w:trPr>
          <w:trHeight w:val="380"/>
          <w:jc w:val="center"/>
        </w:trPr>
        <w:tc>
          <w:tcPr>
            <w:tcW w:w="1165" w:type="dxa"/>
          </w:tcPr>
          <w:p w14:paraId="661B088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2021</w:t>
            </w:r>
          </w:p>
        </w:tc>
        <w:tc>
          <w:tcPr>
            <w:tcW w:w="1350" w:type="dxa"/>
          </w:tcPr>
          <w:p w14:paraId="3623EF20"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452</w:t>
            </w:r>
          </w:p>
        </w:tc>
        <w:tc>
          <w:tcPr>
            <w:tcW w:w="1800" w:type="dxa"/>
          </w:tcPr>
          <w:p w14:paraId="1B9979AA"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95</w:t>
            </w:r>
          </w:p>
        </w:tc>
        <w:tc>
          <w:tcPr>
            <w:tcW w:w="1530" w:type="dxa"/>
          </w:tcPr>
          <w:p w14:paraId="69DD3CD5"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156</w:t>
            </w:r>
          </w:p>
        </w:tc>
        <w:tc>
          <w:tcPr>
            <w:tcW w:w="1530" w:type="dxa"/>
          </w:tcPr>
          <w:p w14:paraId="67739B8E"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40</w:t>
            </w:r>
          </w:p>
        </w:tc>
        <w:tc>
          <w:tcPr>
            <w:tcW w:w="1531" w:type="dxa"/>
          </w:tcPr>
          <w:p w14:paraId="5923912B"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66.7</w:t>
            </w:r>
          </w:p>
        </w:tc>
      </w:tr>
      <w:tr w:rsidR="00506BCB" w:rsidRPr="006D26E5" w14:paraId="31F02085" w14:textId="77777777" w:rsidTr="00832FB8">
        <w:trPr>
          <w:trHeight w:val="380"/>
          <w:jc w:val="center"/>
        </w:trPr>
        <w:tc>
          <w:tcPr>
            <w:tcW w:w="1165" w:type="dxa"/>
          </w:tcPr>
          <w:p w14:paraId="3D2E0DA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2022</w:t>
            </w:r>
          </w:p>
        </w:tc>
        <w:tc>
          <w:tcPr>
            <w:tcW w:w="1350" w:type="dxa"/>
          </w:tcPr>
          <w:p w14:paraId="2ACF7E5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426</w:t>
            </w:r>
          </w:p>
        </w:tc>
        <w:tc>
          <w:tcPr>
            <w:tcW w:w="1800" w:type="dxa"/>
          </w:tcPr>
          <w:p w14:paraId="752E96EF"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82</w:t>
            </w:r>
          </w:p>
        </w:tc>
        <w:tc>
          <w:tcPr>
            <w:tcW w:w="1530" w:type="dxa"/>
          </w:tcPr>
          <w:p w14:paraId="17614C08"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145</w:t>
            </w:r>
          </w:p>
        </w:tc>
        <w:tc>
          <w:tcPr>
            <w:tcW w:w="1530" w:type="dxa"/>
          </w:tcPr>
          <w:p w14:paraId="0AAE967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69</w:t>
            </w:r>
          </w:p>
        </w:tc>
        <w:tc>
          <w:tcPr>
            <w:tcW w:w="1531" w:type="dxa"/>
          </w:tcPr>
          <w:p w14:paraId="66CF189D"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72.8</w:t>
            </w:r>
          </w:p>
        </w:tc>
      </w:tr>
      <w:tr w:rsidR="00506BCB" w:rsidRPr="006D26E5" w14:paraId="428E3DF0" w14:textId="77777777" w:rsidTr="00832FB8">
        <w:trPr>
          <w:trHeight w:val="380"/>
          <w:jc w:val="center"/>
        </w:trPr>
        <w:tc>
          <w:tcPr>
            <w:tcW w:w="1165" w:type="dxa"/>
          </w:tcPr>
          <w:p w14:paraId="641C4DDB"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2023</w:t>
            </w:r>
          </w:p>
        </w:tc>
        <w:tc>
          <w:tcPr>
            <w:tcW w:w="1350" w:type="dxa"/>
          </w:tcPr>
          <w:p w14:paraId="2CE3A599"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439</w:t>
            </w:r>
          </w:p>
        </w:tc>
        <w:tc>
          <w:tcPr>
            <w:tcW w:w="1800" w:type="dxa"/>
          </w:tcPr>
          <w:p w14:paraId="3454ACA9"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101</w:t>
            </w:r>
          </w:p>
        </w:tc>
        <w:tc>
          <w:tcPr>
            <w:tcW w:w="1530" w:type="dxa"/>
          </w:tcPr>
          <w:p w14:paraId="2F708D36"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174</w:t>
            </w:r>
          </w:p>
        </w:tc>
        <w:tc>
          <w:tcPr>
            <w:tcW w:w="1530" w:type="dxa"/>
          </w:tcPr>
          <w:p w14:paraId="0BE624D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50</w:t>
            </w:r>
          </w:p>
        </w:tc>
        <w:tc>
          <w:tcPr>
            <w:tcW w:w="1531" w:type="dxa"/>
          </w:tcPr>
          <w:p w14:paraId="172005E1"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78.9</w:t>
            </w:r>
          </w:p>
        </w:tc>
      </w:tr>
      <w:tr w:rsidR="00506BCB" w:rsidRPr="006D26E5" w14:paraId="1B899C96" w14:textId="77777777" w:rsidTr="00832FB8">
        <w:trPr>
          <w:trHeight w:val="380"/>
          <w:jc w:val="center"/>
        </w:trPr>
        <w:tc>
          <w:tcPr>
            <w:tcW w:w="1165" w:type="dxa"/>
          </w:tcPr>
          <w:p w14:paraId="65EAF8AD" w14:textId="77777777" w:rsidR="00506BCB" w:rsidRPr="006D26E5" w:rsidRDefault="002C4A4D" w:rsidP="006D26E5">
            <w:pPr>
              <w:spacing w:before="240" w:after="240"/>
              <w:rPr>
                <w:rFonts w:eastAsia="Times New Roman"/>
                <w:b/>
                <w:color w:val="0D0D0D"/>
                <w:sz w:val="24"/>
                <w:szCs w:val="24"/>
                <w:highlight w:val="white"/>
              </w:rPr>
            </w:pPr>
            <w:r w:rsidRPr="006D26E5">
              <w:rPr>
                <w:rFonts w:eastAsia="Times New Roman"/>
                <w:b/>
                <w:color w:val="0D0D0D"/>
                <w:sz w:val="24"/>
                <w:szCs w:val="24"/>
                <w:highlight w:val="white"/>
              </w:rPr>
              <w:t>2024</w:t>
            </w:r>
          </w:p>
        </w:tc>
        <w:tc>
          <w:tcPr>
            <w:tcW w:w="1350" w:type="dxa"/>
          </w:tcPr>
          <w:p w14:paraId="0252F28C"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490</w:t>
            </w:r>
          </w:p>
        </w:tc>
        <w:tc>
          <w:tcPr>
            <w:tcW w:w="1800" w:type="dxa"/>
          </w:tcPr>
          <w:p w14:paraId="432F955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110</w:t>
            </w:r>
          </w:p>
        </w:tc>
        <w:tc>
          <w:tcPr>
            <w:tcW w:w="1530" w:type="dxa"/>
          </w:tcPr>
          <w:p w14:paraId="1380F218"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180</w:t>
            </w:r>
          </w:p>
        </w:tc>
        <w:tc>
          <w:tcPr>
            <w:tcW w:w="1530" w:type="dxa"/>
          </w:tcPr>
          <w:p w14:paraId="54D431C6"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88</w:t>
            </w:r>
          </w:p>
        </w:tc>
        <w:tc>
          <w:tcPr>
            <w:tcW w:w="1531" w:type="dxa"/>
          </w:tcPr>
          <w:p w14:paraId="6B865577" w14:textId="77777777" w:rsidR="00506BCB" w:rsidRPr="00832FB8" w:rsidRDefault="002C4A4D" w:rsidP="006D26E5">
            <w:pPr>
              <w:spacing w:before="240" w:after="240"/>
              <w:rPr>
                <w:rFonts w:eastAsia="Times New Roman"/>
                <w:color w:val="0D0D0D"/>
                <w:sz w:val="24"/>
                <w:szCs w:val="24"/>
                <w:highlight w:val="white"/>
              </w:rPr>
            </w:pPr>
            <w:r w:rsidRPr="00832FB8">
              <w:rPr>
                <w:rFonts w:eastAsia="Times New Roman"/>
                <w:color w:val="0D0D0D"/>
                <w:sz w:val="24"/>
                <w:szCs w:val="24"/>
                <w:highlight w:val="white"/>
              </w:rPr>
              <w:t>85.0</w:t>
            </w:r>
          </w:p>
        </w:tc>
      </w:tr>
    </w:tbl>
    <w:p w14:paraId="0948DEC4"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A key observation is the persistent high number of breaches despite an increase in security measures. Figure 1 visualizes this trend, depicting the relationship between total breaches and cloud adoption over time.</w:t>
      </w:r>
    </w:p>
    <w:p w14:paraId="4B96C87D" w14:textId="77777777" w:rsidR="00572FB0" w:rsidRPr="00832FB8" w:rsidRDefault="00572FB0" w:rsidP="00832FB8">
      <w:pPr>
        <w:spacing w:before="160" w:after="160"/>
        <w:jc w:val="center"/>
        <w:rPr>
          <w:rFonts w:eastAsia="Times New Roman"/>
          <w:i/>
          <w:color w:val="0D0D0D"/>
          <w:sz w:val="24"/>
          <w:szCs w:val="24"/>
          <w:highlight w:val="white"/>
        </w:rPr>
      </w:pPr>
      <w:r w:rsidRPr="00832FB8">
        <w:rPr>
          <w:rFonts w:eastAsia="Times New Roman"/>
          <w:i/>
          <w:noProof/>
          <w:color w:val="0D0D0D"/>
          <w:sz w:val="24"/>
          <w:szCs w:val="24"/>
          <w:lang w:val="en-US"/>
        </w:rPr>
        <w:drawing>
          <wp:inline distT="0" distB="0" distL="0" distR="0" wp14:anchorId="2DD3286C" wp14:editId="0C24EF0A">
            <wp:extent cx="5534025" cy="3164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3-04T092313.86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8507" cy="3167481"/>
                    </a:xfrm>
                    <a:prstGeom prst="rect">
                      <a:avLst/>
                    </a:prstGeom>
                  </pic:spPr>
                </pic:pic>
              </a:graphicData>
            </a:graphic>
          </wp:inline>
        </w:drawing>
      </w:r>
    </w:p>
    <w:p w14:paraId="72964198" w14:textId="77777777" w:rsidR="00506BCB" w:rsidRPr="00832FB8" w:rsidRDefault="002C4A4D" w:rsidP="00832FB8">
      <w:pPr>
        <w:pStyle w:val="Heading5"/>
        <w:keepNext w:val="0"/>
        <w:keepLines w:val="0"/>
        <w:spacing w:before="220" w:after="40"/>
        <w:jc w:val="center"/>
        <w:rPr>
          <w:rFonts w:eastAsia="Times New Roman"/>
          <w:i/>
          <w:color w:val="0D0D0D"/>
          <w:sz w:val="24"/>
          <w:szCs w:val="24"/>
          <w:highlight w:val="white"/>
        </w:rPr>
      </w:pPr>
      <w:bookmarkStart w:id="14" w:name="_85pba33fop1g" w:colFirst="0" w:colLast="0"/>
      <w:bookmarkEnd w:id="14"/>
      <w:r w:rsidRPr="00832FB8">
        <w:rPr>
          <w:rFonts w:eastAsia="Times New Roman"/>
          <w:i/>
          <w:color w:val="0D0D0D"/>
          <w:sz w:val="24"/>
          <w:szCs w:val="24"/>
          <w:highlight w:val="white"/>
        </w:rPr>
        <w:t>Figure 1: Trend of Healthcare Data Breaches and Cloud Adoption (2015–2024)</w:t>
      </w:r>
    </w:p>
    <w:p w14:paraId="095F4A6D"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The data indicates an increasing trajectory in cloud adoption, rising from 30% in 2015 to 85% in 2024, reflecting the industry's shift toward digital infrastructures. However, the frequency of breaches does not show a significant decline, suggesting that while cloud adoption enhances efficiency, it also introduces new security vulnerabilities.</w:t>
      </w:r>
    </w:p>
    <w:p w14:paraId="27B6E1C9"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lastRenderedPageBreak/>
        <w:t>A closer examination of breach types reveals that hacking-related incidents consistently represent a substantial proportion of total breaches. Figure 2 presents the breakdown of breach types over time.</w:t>
      </w:r>
    </w:p>
    <w:p w14:paraId="2E00999D" w14:textId="77777777" w:rsidR="00572FB0" w:rsidRPr="00832FB8" w:rsidRDefault="00572FB0" w:rsidP="00832FB8">
      <w:pPr>
        <w:spacing w:before="160" w:after="160"/>
        <w:jc w:val="center"/>
        <w:rPr>
          <w:rFonts w:eastAsia="Times New Roman"/>
          <w:i/>
          <w:color w:val="0D0D0D"/>
          <w:sz w:val="24"/>
          <w:szCs w:val="24"/>
          <w:highlight w:val="white"/>
        </w:rPr>
      </w:pPr>
      <w:r w:rsidRPr="00832FB8">
        <w:rPr>
          <w:rFonts w:eastAsia="Times New Roman"/>
          <w:i/>
          <w:noProof/>
          <w:color w:val="0D0D0D"/>
          <w:sz w:val="24"/>
          <w:szCs w:val="24"/>
          <w:lang w:val="en-US"/>
        </w:rPr>
        <w:drawing>
          <wp:inline distT="0" distB="0" distL="0" distR="0" wp14:anchorId="77D79F04" wp14:editId="094916EF">
            <wp:extent cx="5804413" cy="3733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3-04T092320.96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6502" cy="3735144"/>
                    </a:xfrm>
                    <a:prstGeom prst="rect">
                      <a:avLst/>
                    </a:prstGeom>
                  </pic:spPr>
                </pic:pic>
              </a:graphicData>
            </a:graphic>
          </wp:inline>
        </w:drawing>
      </w:r>
    </w:p>
    <w:p w14:paraId="6811DB59" w14:textId="77777777" w:rsidR="00506BCB" w:rsidRPr="00832FB8" w:rsidRDefault="002C4A4D" w:rsidP="00832FB8">
      <w:pPr>
        <w:pStyle w:val="Heading5"/>
        <w:keepNext w:val="0"/>
        <w:keepLines w:val="0"/>
        <w:spacing w:before="220" w:after="40"/>
        <w:jc w:val="center"/>
        <w:rPr>
          <w:rFonts w:eastAsia="Times New Roman"/>
          <w:i/>
          <w:color w:val="0D0D0D"/>
          <w:sz w:val="24"/>
          <w:szCs w:val="24"/>
          <w:highlight w:val="white"/>
        </w:rPr>
      </w:pPr>
      <w:bookmarkStart w:id="15" w:name="_fincstr4xirm" w:colFirst="0" w:colLast="0"/>
      <w:bookmarkEnd w:id="15"/>
      <w:r w:rsidRPr="00832FB8">
        <w:rPr>
          <w:rFonts w:eastAsia="Times New Roman"/>
          <w:i/>
          <w:color w:val="0D0D0D"/>
          <w:sz w:val="24"/>
          <w:szCs w:val="24"/>
          <w:highlight w:val="white"/>
        </w:rPr>
        <w:t>Figure 2: Heatmap of Cybersecurity Breaches by Type (2015–2024)</w:t>
      </w:r>
    </w:p>
    <w:p w14:paraId="1018D1D5"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The heatmap demonstrates that hacking remains a dominant threat, showing a high frequency across all years. Ransomware attacks exhibit volatile trends, with peaks in 2017, 2018, and 2020, highlighting their unpredictability. Meanwhile, phishing-related breaches show a steady increase, suggesting that attackers are leveraging evolving social engineering tactics.</w:t>
      </w:r>
    </w:p>
    <w:p w14:paraId="23368C75"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A linear regression analysis between cloud adoption and total breaches was conducted to determine the potential correlation. The resulting regression equation:</w:t>
      </w:r>
    </w:p>
    <w:p w14:paraId="7EB72131" w14:textId="77777777" w:rsidR="00506BCB" w:rsidRPr="006D26E5" w:rsidRDefault="00FC1D69" w:rsidP="006D26E5">
      <w:pPr>
        <w:spacing w:before="240" w:after="240"/>
        <w:rPr>
          <w:rFonts w:eastAsia="Times New Roman"/>
          <w:color w:val="0D0D0D"/>
          <w:sz w:val="24"/>
          <w:szCs w:val="24"/>
          <w:highlight w:val="white"/>
        </w:rPr>
      </w:pPr>
      <m:oMathPara>
        <m:oMath>
          <m:r>
            <w:rPr>
              <w:rFonts w:ascii="Cambria Math" w:eastAsia="Times New Roman" w:hAnsi="Cambria Math"/>
              <w:color w:val="0D0D0D"/>
              <w:sz w:val="24"/>
              <w:szCs w:val="24"/>
              <w:highlight w:val="white"/>
            </w:rPr>
            <m:t>Y=</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0</m:t>
              </m:r>
            </m:sub>
          </m:sSub>
          <m:r>
            <w:rPr>
              <w:rFonts w:ascii="Cambria Math" w:eastAsia="Times New Roman" w:hAnsi="Cambria Math"/>
              <w:color w:val="0D0D0D"/>
              <w:sz w:val="24"/>
              <w:szCs w:val="24"/>
              <w:highlight w:val="white"/>
            </w:rPr>
            <m:t>+</m:t>
          </m:r>
          <m:sSub>
            <m:sSubPr>
              <m:ctrlPr>
                <w:rPr>
                  <w:rFonts w:ascii="Cambria Math" w:eastAsia="Times New Roman" w:hAnsi="Cambria Math"/>
                  <w:i/>
                  <w:color w:val="0D0D0D"/>
                  <w:sz w:val="24"/>
                  <w:szCs w:val="24"/>
                </w:rPr>
              </m:ctrlPr>
            </m:sSubPr>
            <m:e>
              <m:r>
                <w:rPr>
                  <w:rFonts w:ascii="Cambria Math" w:eastAsia="Times New Roman" w:hAnsi="Cambria Math"/>
                  <w:color w:val="0D0D0D"/>
                  <w:sz w:val="24"/>
                  <w:szCs w:val="24"/>
                  <w:highlight w:val="white"/>
                </w:rPr>
                <m:t>β</m:t>
              </m:r>
              <m:ctrlPr>
                <w:rPr>
                  <w:rFonts w:ascii="Cambria Math" w:eastAsia="Times New Roman" w:hAnsi="Cambria Math"/>
                  <w:i/>
                  <w:color w:val="0D0D0D"/>
                  <w:sz w:val="24"/>
                  <w:szCs w:val="24"/>
                  <w:highlight w:val="white"/>
                </w:rPr>
              </m:ctrlPr>
            </m:e>
            <m:sub>
              <m:r>
                <w:rPr>
                  <w:rFonts w:ascii="Cambria Math" w:eastAsia="Times New Roman" w:hAnsi="Cambria Math"/>
                  <w:color w:val="0D0D0D"/>
                  <w:sz w:val="24"/>
                  <w:szCs w:val="24"/>
                  <w:highlight w:val="white"/>
                </w:rPr>
                <m:t>1</m:t>
              </m:r>
            </m:sub>
          </m:sSub>
          <m:r>
            <w:rPr>
              <w:rFonts w:ascii="Cambria Math" w:eastAsia="Times New Roman" w:hAnsi="Cambria Math"/>
              <w:color w:val="0D0D0D"/>
              <w:sz w:val="24"/>
              <w:szCs w:val="24"/>
              <w:highlight w:val="white"/>
            </w:rPr>
            <m:t xml:space="preserve">XY </m:t>
          </m:r>
        </m:oMath>
      </m:oMathPara>
    </w:p>
    <w:p w14:paraId="528159F3"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t>where Y represents the total number of breaches, X denotes cloud adoption percentage, and β1 is the coefficient indicating the impact of cloud adoption on breaches. The analysis suggests a positive correlation, meaning that as cloud adoption increases, breach incidents also tend to rise. This finding aligns with prior concerns that while cloud solutions improve accessibility, they also expand the attack surface for cybercriminals.</w:t>
      </w:r>
    </w:p>
    <w:p w14:paraId="47649093" w14:textId="77777777" w:rsidR="00506BCB" w:rsidRPr="006D26E5" w:rsidRDefault="002C4A4D" w:rsidP="006D26E5">
      <w:pPr>
        <w:spacing w:before="160" w:after="160"/>
        <w:rPr>
          <w:rFonts w:eastAsia="Times New Roman"/>
          <w:color w:val="0D0D0D"/>
          <w:sz w:val="24"/>
          <w:szCs w:val="24"/>
          <w:highlight w:val="white"/>
        </w:rPr>
      </w:pPr>
      <w:r w:rsidRPr="006D26E5">
        <w:rPr>
          <w:rFonts w:eastAsia="Times New Roman"/>
          <w:color w:val="0D0D0D"/>
          <w:sz w:val="24"/>
          <w:szCs w:val="24"/>
          <w:highlight w:val="white"/>
        </w:rPr>
        <w:lastRenderedPageBreak/>
        <w:t>These insights underscore the necessity for quantum-resistant encryption and advanced cybersecurity measures to mitigate emerging threats. Without robust encryption frameworks and proactive security strategies, the increasing reliance on cloud-based infrastructures will continue to pose significant risks to patient data security.</w:t>
      </w:r>
    </w:p>
    <w:p w14:paraId="780B344F" w14:textId="77777777" w:rsidR="00F16EC1" w:rsidRPr="006D26E5" w:rsidRDefault="00F16EC1" w:rsidP="006D26E5">
      <w:pPr>
        <w:pStyle w:val="Heading3"/>
        <w:spacing w:before="280"/>
        <w:rPr>
          <w:sz w:val="24"/>
          <w:szCs w:val="24"/>
        </w:rPr>
      </w:pPr>
      <w:r w:rsidRPr="006D26E5">
        <w:rPr>
          <w:b/>
          <w:bCs/>
          <w:color w:val="0D0D0D"/>
          <w:sz w:val="24"/>
          <w:szCs w:val="24"/>
          <w:shd w:val="clear" w:color="auto" w:fill="FFFFFF"/>
        </w:rPr>
        <w:t>Evaluating Post-Quantum Cryptography (PQC) Advancements for Healthcare Data Security</w:t>
      </w:r>
    </w:p>
    <w:p w14:paraId="60E2C3E4"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As quantum computing advances, traditional encryption methods such as RSA and ECC face increased vulnerability due to their susceptibility to quantum-based decryption techniques. In response, post-quantum cryptography (PQC) solutions, including CRYSTALS-Kyber, CRYSTALS-</w:t>
      </w:r>
      <w:proofErr w:type="spellStart"/>
      <w:r w:rsidRPr="006D26E5">
        <w:rPr>
          <w:rFonts w:ascii="Arial" w:hAnsi="Arial" w:cs="Arial"/>
          <w:color w:val="0D0D0D"/>
          <w:shd w:val="clear" w:color="auto" w:fill="FFFFFF"/>
        </w:rPr>
        <w:t>Dilithium</w:t>
      </w:r>
      <w:proofErr w:type="spellEnd"/>
      <w:r w:rsidRPr="006D26E5">
        <w:rPr>
          <w:rFonts w:ascii="Arial" w:hAnsi="Arial" w:cs="Arial"/>
          <w:color w:val="0D0D0D"/>
          <w:shd w:val="clear" w:color="auto" w:fill="FFFFFF"/>
        </w:rPr>
        <w:t xml:space="preserve">, and </w:t>
      </w:r>
      <w:proofErr w:type="spellStart"/>
      <w:r w:rsidRPr="006D26E5">
        <w:rPr>
          <w:rFonts w:ascii="Arial" w:hAnsi="Arial" w:cs="Arial"/>
          <w:color w:val="0D0D0D"/>
          <w:shd w:val="clear" w:color="auto" w:fill="FFFFFF"/>
        </w:rPr>
        <w:t>Sphincs</w:t>
      </w:r>
      <w:proofErr w:type="spellEnd"/>
      <w:r w:rsidRPr="006D26E5">
        <w:rPr>
          <w:rFonts w:ascii="Arial" w:hAnsi="Arial" w:cs="Arial"/>
          <w:color w:val="0D0D0D"/>
          <w:shd w:val="clear" w:color="auto" w:fill="FFFFFF"/>
        </w:rPr>
        <w:t>+, have been developed to enhance security against quantum threats. This report quantitatively evaluates the computational efficiency, encryption speed, decryption speed, and key generation times of these quantum-resistant encryption methods in comparison to traditional cryptographic techniques, providing insights into their viability for securing healthcare cloud environments.</w:t>
      </w:r>
    </w:p>
    <w:p w14:paraId="7681F225"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comparison of encryption methods based on performance metrics is presented in Table 3. These metrics are crucial for assessing the feasibility of PQC implementation in cloud-based patient information systems.</w:t>
      </w:r>
    </w:p>
    <w:p w14:paraId="723359FE" w14:textId="77777777" w:rsidR="00F16EC1" w:rsidRPr="00EC03E0" w:rsidRDefault="00F16EC1" w:rsidP="00EC03E0">
      <w:pPr>
        <w:pStyle w:val="Heading5"/>
        <w:spacing w:before="220" w:after="40"/>
        <w:jc w:val="center"/>
        <w:rPr>
          <w:i/>
          <w:sz w:val="24"/>
          <w:szCs w:val="24"/>
        </w:rPr>
      </w:pPr>
      <w:r w:rsidRPr="00EC03E0">
        <w:rPr>
          <w:bCs/>
          <w:i/>
          <w:color w:val="0D0D0D"/>
          <w:sz w:val="24"/>
          <w:szCs w:val="24"/>
          <w:shd w:val="clear" w:color="auto" w:fill="FFFFFF"/>
        </w:rPr>
        <w:t>Table 3: Performance Comparison of Traditional and Post-Quantum Cryptographic Algorithms</w:t>
      </w:r>
    </w:p>
    <w:tbl>
      <w:tblPr>
        <w:tblStyle w:val="TableGrid"/>
        <w:tblW w:w="0" w:type="auto"/>
        <w:jc w:val="center"/>
        <w:tblLook w:val="04A0" w:firstRow="1" w:lastRow="0" w:firstColumn="1" w:lastColumn="0" w:noHBand="0" w:noVBand="1"/>
      </w:tblPr>
      <w:tblGrid>
        <w:gridCol w:w="1749"/>
        <w:gridCol w:w="1744"/>
        <w:gridCol w:w="1744"/>
        <w:gridCol w:w="1827"/>
        <w:gridCol w:w="2286"/>
      </w:tblGrid>
      <w:tr w:rsidR="00F16EC1" w:rsidRPr="00EC03E0" w14:paraId="6BACF98B" w14:textId="77777777" w:rsidTr="00EC03E0">
        <w:trPr>
          <w:trHeight w:val="590"/>
          <w:jc w:val="center"/>
        </w:trPr>
        <w:tc>
          <w:tcPr>
            <w:tcW w:w="0" w:type="auto"/>
            <w:hideMark/>
          </w:tcPr>
          <w:p w14:paraId="37105C7C"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Encryption Method</w:t>
            </w:r>
          </w:p>
        </w:tc>
        <w:tc>
          <w:tcPr>
            <w:tcW w:w="0" w:type="auto"/>
            <w:hideMark/>
          </w:tcPr>
          <w:p w14:paraId="09B8DA97"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Encryption Speed (</w:t>
            </w:r>
            <w:proofErr w:type="spellStart"/>
            <w:r w:rsidRPr="00EC03E0">
              <w:rPr>
                <w:rFonts w:ascii="Arial" w:hAnsi="Arial" w:cs="Arial"/>
                <w:b/>
                <w:color w:val="0D0D0D"/>
                <w:shd w:val="clear" w:color="auto" w:fill="FFFFFF"/>
              </w:rPr>
              <w:t>ms</w:t>
            </w:r>
            <w:proofErr w:type="spellEnd"/>
            <w:r w:rsidRPr="00EC03E0">
              <w:rPr>
                <w:rFonts w:ascii="Arial" w:hAnsi="Arial" w:cs="Arial"/>
                <w:b/>
                <w:color w:val="0D0D0D"/>
                <w:shd w:val="clear" w:color="auto" w:fill="FFFFFF"/>
              </w:rPr>
              <w:t>)</w:t>
            </w:r>
          </w:p>
        </w:tc>
        <w:tc>
          <w:tcPr>
            <w:tcW w:w="0" w:type="auto"/>
            <w:hideMark/>
          </w:tcPr>
          <w:p w14:paraId="13A688A8"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Decryption Speed (</w:t>
            </w:r>
            <w:proofErr w:type="spellStart"/>
            <w:r w:rsidRPr="00EC03E0">
              <w:rPr>
                <w:rFonts w:ascii="Arial" w:hAnsi="Arial" w:cs="Arial"/>
                <w:b/>
                <w:color w:val="0D0D0D"/>
                <w:shd w:val="clear" w:color="auto" w:fill="FFFFFF"/>
              </w:rPr>
              <w:t>ms</w:t>
            </w:r>
            <w:proofErr w:type="spellEnd"/>
            <w:r w:rsidRPr="00EC03E0">
              <w:rPr>
                <w:rFonts w:ascii="Arial" w:hAnsi="Arial" w:cs="Arial"/>
                <w:b/>
                <w:color w:val="0D0D0D"/>
                <w:shd w:val="clear" w:color="auto" w:fill="FFFFFF"/>
              </w:rPr>
              <w:t>)</w:t>
            </w:r>
          </w:p>
        </w:tc>
        <w:tc>
          <w:tcPr>
            <w:tcW w:w="0" w:type="auto"/>
            <w:hideMark/>
          </w:tcPr>
          <w:p w14:paraId="76D5588A"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Key Generation Time (</w:t>
            </w:r>
            <w:proofErr w:type="spellStart"/>
            <w:r w:rsidRPr="00EC03E0">
              <w:rPr>
                <w:rFonts w:ascii="Arial" w:hAnsi="Arial" w:cs="Arial"/>
                <w:b/>
                <w:color w:val="0D0D0D"/>
                <w:shd w:val="clear" w:color="auto" w:fill="FFFFFF"/>
              </w:rPr>
              <w:t>ms</w:t>
            </w:r>
            <w:proofErr w:type="spellEnd"/>
            <w:r w:rsidRPr="00EC03E0">
              <w:rPr>
                <w:rFonts w:ascii="Arial" w:hAnsi="Arial" w:cs="Arial"/>
                <w:b/>
                <w:color w:val="0D0D0D"/>
                <w:shd w:val="clear" w:color="auto" w:fill="FFFFFF"/>
              </w:rPr>
              <w:t>)</w:t>
            </w:r>
          </w:p>
        </w:tc>
        <w:tc>
          <w:tcPr>
            <w:tcW w:w="0" w:type="auto"/>
            <w:hideMark/>
          </w:tcPr>
          <w:p w14:paraId="71B29938" w14:textId="77777777" w:rsidR="00F16EC1" w:rsidRPr="00EC03E0" w:rsidRDefault="00F16EC1" w:rsidP="006D26E5">
            <w:pPr>
              <w:pStyle w:val="NormalWeb"/>
              <w:spacing w:before="160" w:beforeAutospacing="0" w:after="160" w:afterAutospacing="0"/>
              <w:rPr>
                <w:rFonts w:ascii="Arial" w:hAnsi="Arial" w:cs="Arial"/>
                <w:b/>
              </w:rPr>
            </w:pPr>
            <w:r w:rsidRPr="00EC03E0">
              <w:rPr>
                <w:rFonts w:ascii="Arial" w:hAnsi="Arial" w:cs="Arial"/>
                <w:b/>
                <w:color w:val="0D0D0D"/>
                <w:shd w:val="clear" w:color="auto" w:fill="FFFFFF"/>
              </w:rPr>
              <w:t>Computational Efficiency Score</w:t>
            </w:r>
          </w:p>
        </w:tc>
      </w:tr>
      <w:tr w:rsidR="00F16EC1" w:rsidRPr="006D26E5" w14:paraId="4164285D" w14:textId="77777777" w:rsidTr="00EC03E0">
        <w:trPr>
          <w:trHeight w:val="410"/>
          <w:jc w:val="center"/>
        </w:trPr>
        <w:tc>
          <w:tcPr>
            <w:tcW w:w="0" w:type="auto"/>
            <w:hideMark/>
          </w:tcPr>
          <w:p w14:paraId="65EE419B"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RSA-2048</w:t>
            </w:r>
          </w:p>
        </w:tc>
        <w:tc>
          <w:tcPr>
            <w:tcW w:w="0" w:type="auto"/>
            <w:hideMark/>
          </w:tcPr>
          <w:p w14:paraId="0057B7BF"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0.78</w:t>
            </w:r>
          </w:p>
        </w:tc>
        <w:tc>
          <w:tcPr>
            <w:tcW w:w="0" w:type="auto"/>
            <w:hideMark/>
          </w:tcPr>
          <w:p w14:paraId="4030C519"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1.75</w:t>
            </w:r>
          </w:p>
        </w:tc>
        <w:tc>
          <w:tcPr>
            <w:tcW w:w="0" w:type="auto"/>
            <w:hideMark/>
          </w:tcPr>
          <w:p w14:paraId="2A061817"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2.75</w:t>
            </w:r>
          </w:p>
        </w:tc>
        <w:tc>
          <w:tcPr>
            <w:tcW w:w="0" w:type="auto"/>
            <w:hideMark/>
          </w:tcPr>
          <w:p w14:paraId="46D70192"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1.02</w:t>
            </w:r>
          </w:p>
        </w:tc>
      </w:tr>
      <w:tr w:rsidR="00F16EC1" w:rsidRPr="006D26E5" w14:paraId="5BBA4F59" w14:textId="77777777" w:rsidTr="00EC03E0">
        <w:trPr>
          <w:trHeight w:val="410"/>
          <w:jc w:val="center"/>
        </w:trPr>
        <w:tc>
          <w:tcPr>
            <w:tcW w:w="0" w:type="auto"/>
            <w:hideMark/>
          </w:tcPr>
          <w:p w14:paraId="3A6D47F6"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ECC-256</w:t>
            </w:r>
          </w:p>
        </w:tc>
        <w:tc>
          <w:tcPr>
            <w:tcW w:w="0" w:type="auto"/>
            <w:hideMark/>
          </w:tcPr>
          <w:p w14:paraId="0D6E697C"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1.06</w:t>
            </w:r>
          </w:p>
        </w:tc>
        <w:tc>
          <w:tcPr>
            <w:tcW w:w="0" w:type="auto"/>
            <w:hideMark/>
          </w:tcPr>
          <w:p w14:paraId="5FD1679A"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0.52</w:t>
            </w:r>
          </w:p>
        </w:tc>
        <w:tc>
          <w:tcPr>
            <w:tcW w:w="0" w:type="auto"/>
            <w:hideMark/>
          </w:tcPr>
          <w:p w14:paraId="7F806991"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4.04</w:t>
            </w:r>
          </w:p>
        </w:tc>
        <w:tc>
          <w:tcPr>
            <w:tcW w:w="0" w:type="auto"/>
            <w:hideMark/>
          </w:tcPr>
          <w:p w14:paraId="7C5ECBB8"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1.75</w:t>
            </w:r>
          </w:p>
        </w:tc>
      </w:tr>
      <w:tr w:rsidR="00F16EC1" w:rsidRPr="006D26E5" w14:paraId="2D6608D7" w14:textId="77777777" w:rsidTr="00EC03E0">
        <w:trPr>
          <w:trHeight w:val="410"/>
          <w:jc w:val="center"/>
        </w:trPr>
        <w:tc>
          <w:tcPr>
            <w:tcW w:w="0" w:type="auto"/>
            <w:hideMark/>
          </w:tcPr>
          <w:p w14:paraId="1582ECC4"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CRYSTALS-Kyber</w:t>
            </w:r>
          </w:p>
        </w:tc>
        <w:tc>
          <w:tcPr>
            <w:tcW w:w="0" w:type="auto"/>
            <w:hideMark/>
          </w:tcPr>
          <w:p w14:paraId="5AC1D01A"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1.93</w:t>
            </w:r>
          </w:p>
        </w:tc>
        <w:tc>
          <w:tcPr>
            <w:tcW w:w="0" w:type="auto"/>
            <w:hideMark/>
          </w:tcPr>
          <w:p w14:paraId="5859586D"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0.72</w:t>
            </w:r>
          </w:p>
        </w:tc>
        <w:tc>
          <w:tcPr>
            <w:tcW w:w="0" w:type="auto"/>
            <w:hideMark/>
          </w:tcPr>
          <w:p w14:paraId="76A22569"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3.97</w:t>
            </w:r>
          </w:p>
        </w:tc>
        <w:tc>
          <w:tcPr>
            <w:tcW w:w="0" w:type="auto"/>
            <w:hideMark/>
          </w:tcPr>
          <w:p w14:paraId="458228DA"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1.71</w:t>
            </w:r>
          </w:p>
        </w:tc>
      </w:tr>
      <w:tr w:rsidR="00F16EC1" w:rsidRPr="006D26E5" w14:paraId="0A84957A" w14:textId="77777777" w:rsidTr="00EC03E0">
        <w:trPr>
          <w:trHeight w:val="590"/>
          <w:jc w:val="center"/>
        </w:trPr>
        <w:tc>
          <w:tcPr>
            <w:tcW w:w="0" w:type="auto"/>
            <w:hideMark/>
          </w:tcPr>
          <w:p w14:paraId="3E6DEB2F"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CRYSTALS-</w:t>
            </w:r>
            <w:proofErr w:type="spellStart"/>
            <w:r w:rsidRPr="006D26E5">
              <w:rPr>
                <w:rFonts w:ascii="Arial" w:hAnsi="Arial" w:cs="Arial"/>
                <w:color w:val="0D0D0D"/>
                <w:shd w:val="clear" w:color="auto" w:fill="FFFFFF"/>
              </w:rPr>
              <w:t>Dilithium</w:t>
            </w:r>
            <w:proofErr w:type="spellEnd"/>
          </w:p>
        </w:tc>
        <w:tc>
          <w:tcPr>
            <w:tcW w:w="0" w:type="auto"/>
            <w:hideMark/>
          </w:tcPr>
          <w:p w14:paraId="19E44411"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1.17</w:t>
            </w:r>
          </w:p>
        </w:tc>
        <w:tc>
          <w:tcPr>
            <w:tcW w:w="0" w:type="auto"/>
            <w:hideMark/>
          </w:tcPr>
          <w:p w14:paraId="6513F96B"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0.87</w:t>
            </w:r>
          </w:p>
        </w:tc>
        <w:tc>
          <w:tcPr>
            <w:tcW w:w="0" w:type="auto"/>
            <w:hideMark/>
          </w:tcPr>
          <w:p w14:paraId="4A547562"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3.80</w:t>
            </w:r>
          </w:p>
        </w:tc>
        <w:tc>
          <w:tcPr>
            <w:tcW w:w="0" w:type="auto"/>
            <w:hideMark/>
          </w:tcPr>
          <w:p w14:paraId="2527FF94"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1.16</w:t>
            </w:r>
          </w:p>
        </w:tc>
      </w:tr>
      <w:tr w:rsidR="00F16EC1" w:rsidRPr="006D26E5" w14:paraId="0F13D5C6" w14:textId="77777777" w:rsidTr="00EC03E0">
        <w:trPr>
          <w:trHeight w:val="410"/>
          <w:jc w:val="center"/>
        </w:trPr>
        <w:tc>
          <w:tcPr>
            <w:tcW w:w="0" w:type="auto"/>
            <w:hideMark/>
          </w:tcPr>
          <w:p w14:paraId="1B673274" w14:textId="77777777" w:rsidR="00F16EC1" w:rsidRPr="006D26E5" w:rsidRDefault="00F16EC1" w:rsidP="006D26E5">
            <w:pPr>
              <w:pStyle w:val="NormalWeb"/>
              <w:spacing w:before="160" w:beforeAutospacing="0" w:after="160" w:afterAutospacing="0"/>
              <w:rPr>
                <w:rFonts w:ascii="Arial" w:hAnsi="Arial" w:cs="Arial"/>
              </w:rPr>
            </w:pPr>
            <w:proofErr w:type="spellStart"/>
            <w:r w:rsidRPr="006D26E5">
              <w:rPr>
                <w:rFonts w:ascii="Arial" w:hAnsi="Arial" w:cs="Arial"/>
                <w:color w:val="0D0D0D"/>
                <w:shd w:val="clear" w:color="auto" w:fill="FFFFFF"/>
              </w:rPr>
              <w:t>Sphincs</w:t>
            </w:r>
            <w:proofErr w:type="spellEnd"/>
            <w:r w:rsidRPr="006D26E5">
              <w:rPr>
                <w:rFonts w:ascii="Arial" w:hAnsi="Arial" w:cs="Arial"/>
                <w:color w:val="0D0D0D"/>
                <w:shd w:val="clear" w:color="auto" w:fill="FFFFFF"/>
              </w:rPr>
              <w:t>+</w:t>
            </w:r>
          </w:p>
        </w:tc>
        <w:tc>
          <w:tcPr>
            <w:tcW w:w="0" w:type="auto"/>
            <w:hideMark/>
          </w:tcPr>
          <w:p w14:paraId="61074A68"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0.59</w:t>
            </w:r>
          </w:p>
        </w:tc>
        <w:tc>
          <w:tcPr>
            <w:tcW w:w="0" w:type="auto"/>
            <w:hideMark/>
          </w:tcPr>
          <w:p w14:paraId="6FBE4F72"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1.05</w:t>
            </w:r>
          </w:p>
        </w:tc>
        <w:tc>
          <w:tcPr>
            <w:tcW w:w="0" w:type="auto"/>
            <w:hideMark/>
          </w:tcPr>
          <w:p w14:paraId="72FAB62E"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4.39</w:t>
            </w:r>
          </w:p>
        </w:tc>
        <w:tc>
          <w:tcPr>
            <w:tcW w:w="0" w:type="auto"/>
            <w:hideMark/>
          </w:tcPr>
          <w:p w14:paraId="172C06F6"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1.98</w:t>
            </w:r>
          </w:p>
        </w:tc>
      </w:tr>
    </w:tbl>
    <w:p w14:paraId="06FCCE92"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data reveals that while traditional RSA and ECC encryption methods exhibit relatively faster encryption speeds, they lack resilience against quantum threats. Post-quantum cryptographic methods, particularly CRYSTALS-Kyber and CRYSTALS-</w:t>
      </w:r>
      <w:proofErr w:type="spellStart"/>
      <w:r w:rsidRPr="006D26E5">
        <w:rPr>
          <w:rFonts w:ascii="Arial" w:hAnsi="Arial" w:cs="Arial"/>
          <w:color w:val="0D0D0D"/>
          <w:shd w:val="clear" w:color="auto" w:fill="FFFFFF"/>
        </w:rPr>
        <w:lastRenderedPageBreak/>
        <w:t>Dilithium</w:t>
      </w:r>
      <w:proofErr w:type="spellEnd"/>
      <w:r w:rsidRPr="006D26E5">
        <w:rPr>
          <w:rFonts w:ascii="Arial" w:hAnsi="Arial" w:cs="Arial"/>
          <w:color w:val="0D0D0D"/>
          <w:shd w:val="clear" w:color="auto" w:fill="FFFFFF"/>
        </w:rPr>
        <w:t xml:space="preserve">, demonstrate competitive encryption and decryption times, making them strong candidates for real-world implementation in healthcare cloud security. However, </w:t>
      </w:r>
      <w:proofErr w:type="spellStart"/>
      <w:r w:rsidRPr="006D26E5">
        <w:rPr>
          <w:rFonts w:ascii="Arial" w:hAnsi="Arial" w:cs="Arial"/>
          <w:color w:val="0D0D0D"/>
          <w:shd w:val="clear" w:color="auto" w:fill="FFFFFF"/>
        </w:rPr>
        <w:t>Sphincs</w:t>
      </w:r>
      <w:proofErr w:type="spellEnd"/>
      <w:r w:rsidRPr="006D26E5">
        <w:rPr>
          <w:rFonts w:ascii="Arial" w:hAnsi="Arial" w:cs="Arial"/>
          <w:color w:val="0D0D0D"/>
          <w:shd w:val="clear" w:color="auto" w:fill="FFFFFF"/>
        </w:rPr>
        <w:t>+, despite its strong security properties, exhibits longer key generation times, which may pose operational challenges.</w:t>
      </w:r>
    </w:p>
    <w:p w14:paraId="2B8D6F03" w14:textId="77777777" w:rsidR="00F16EC1" w:rsidRPr="006D26E5" w:rsidRDefault="00F16EC1"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To better understand the comparative performance of these cryptographic techniques across multiple attributes, a parallel coordinates plot is presented in Figure 3.</w:t>
      </w:r>
    </w:p>
    <w:p w14:paraId="6BE893DD" w14:textId="77777777" w:rsidR="00767240" w:rsidRPr="00EC03E0" w:rsidRDefault="00767240" w:rsidP="00EC03E0">
      <w:pPr>
        <w:pStyle w:val="NormalWeb"/>
        <w:spacing w:before="160" w:beforeAutospacing="0" w:after="160" w:afterAutospacing="0"/>
        <w:jc w:val="center"/>
        <w:rPr>
          <w:rFonts w:ascii="Arial" w:hAnsi="Arial" w:cs="Arial"/>
          <w:i/>
        </w:rPr>
      </w:pPr>
      <w:r w:rsidRPr="00EC03E0">
        <w:rPr>
          <w:rFonts w:ascii="Arial" w:hAnsi="Arial" w:cs="Arial"/>
          <w:i/>
          <w:noProof/>
        </w:rPr>
        <w:drawing>
          <wp:inline distT="0" distB="0" distL="0" distR="0" wp14:anchorId="5C0E5B20" wp14:editId="2DCACCAB">
            <wp:extent cx="5314950" cy="32241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 - 2025-03-04T093233.32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058" cy="3227881"/>
                    </a:xfrm>
                    <a:prstGeom prst="rect">
                      <a:avLst/>
                    </a:prstGeom>
                  </pic:spPr>
                </pic:pic>
              </a:graphicData>
            </a:graphic>
          </wp:inline>
        </w:drawing>
      </w:r>
    </w:p>
    <w:p w14:paraId="547D73F4" w14:textId="77777777" w:rsidR="00F16EC1" w:rsidRPr="00EC03E0" w:rsidRDefault="00F16EC1" w:rsidP="00EC03E0">
      <w:pPr>
        <w:pStyle w:val="Heading5"/>
        <w:spacing w:before="220" w:after="40"/>
        <w:jc w:val="center"/>
        <w:rPr>
          <w:i/>
          <w:sz w:val="24"/>
          <w:szCs w:val="24"/>
        </w:rPr>
      </w:pPr>
      <w:r w:rsidRPr="00EC03E0">
        <w:rPr>
          <w:bCs/>
          <w:i/>
          <w:color w:val="0D0D0D"/>
          <w:sz w:val="24"/>
          <w:szCs w:val="24"/>
          <w:shd w:val="clear" w:color="auto" w:fill="FFFFFF"/>
        </w:rPr>
        <w:t>Figure 3: Parallel Coordinates Visualization of Encryption Performance Metrics</w:t>
      </w:r>
    </w:p>
    <w:p w14:paraId="6BD63C6B"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This chart illustrates the relative performance of each encryption method across all tested parameters. Post-quantum algorithms exhibit higher computational efficiency scores than RSA and ECC, reinforcing their suitability for environments where quantum-resistant security is paramount.</w:t>
      </w:r>
    </w:p>
    <w:p w14:paraId="14D8BA7A" w14:textId="77777777" w:rsidR="00F16EC1" w:rsidRPr="006D26E5" w:rsidRDefault="00F16EC1"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Further examination through a radar chart in Figure 4 provides a visual breakdown of encryption methods by performance category.</w:t>
      </w:r>
    </w:p>
    <w:p w14:paraId="5976997C" w14:textId="77777777" w:rsidR="00767240" w:rsidRPr="00ED6AF6" w:rsidRDefault="00767240" w:rsidP="00ED6AF6">
      <w:pPr>
        <w:pStyle w:val="NormalWeb"/>
        <w:spacing w:before="160" w:beforeAutospacing="0" w:after="160" w:afterAutospacing="0"/>
        <w:jc w:val="center"/>
        <w:rPr>
          <w:rFonts w:ascii="Arial" w:hAnsi="Arial" w:cs="Arial"/>
          <w:i/>
        </w:rPr>
      </w:pPr>
      <w:r w:rsidRPr="00ED6AF6">
        <w:rPr>
          <w:rFonts w:ascii="Arial" w:hAnsi="Arial" w:cs="Arial"/>
          <w:i/>
          <w:noProof/>
        </w:rPr>
        <w:lastRenderedPageBreak/>
        <w:drawing>
          <wp:inline distT="0" distB="0" distL="0" distR="0" wp14:anchorId="581A8121" wp14:editId="0BD8B3FF">
            <wp:extent cx="5124450" cy="416690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3-04T093238.85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1113" cy="4172319"/>
                    </a:xfrm>
                    <a:prstGeom prst="rect">
                      <a:avLst/>
                    </a:prstGeom>
                  </pic:spPr>
                </pic:pic>
              </a:graphicData>
            </a:graphic>
          </wp:inline>
        </w:drawing>
      </w:r>
    </w:p>
    <w:p w14:paraId="35EB089B" w14:textId="77777777" w:rsidR="00F16EC1" w:rsidRPr="00ED6AF6" w:rsidRDefault="00F16EC1" w:rsidP="00ED6AF6">
      <w:pPr>
        <w:pStyle w:val="Heading5"/>
        <w:spacing w:before="220" w:after="40"/>
        <w:jc w:val="center"/>
        <w:rPr>
          <w:i/>
          <w:sz w:val="24"/>
          <w:szCs w:val="24"/>
        </w:rPr>
      </w:pPr>
      <w:r w:rsidRPr="00ED6AF6">
        <w:rPr>
          <w:bCs/>
          <w:i/>
          <w:color w:val="0D0D0D"/>
          <w:sz w:val="24"/>
          <w:szCs w:val="24"/>
          <w:shd w:val="clear" w:color="auto" w:fill="FFFFFF"/>
        </w:rPr>
        <w:t>Figure 4: Radar Chart Representation of Encryption Performance</w:t>
      </w:r>
    </w:p>
    <w:p w14:paraId="14B604FE"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radar chart highlights the strengths and weaknesses of each encryption method. While RSA-2048 and ECC-256 excel in encryption speed, they lag in computational efficiency and resistance to quantum decryption. CRYSTALS-Kyber and CRYSTALS-</w:t>
      </w:r>
      <w:proofErr w:type="spellStart"/>
      <w:r w:rsidRPr="006D26E5">
        <w:rPr>
          <w:rFonts w:ascii="Arial" w:hAnsi="Arial" w:cs="Arial"/>
          <w:color w:val="0D0D0D"/>
          <w:shd w:val="clear" w:color="auto" w:fill="FFFFFF"/>
        </w:rPr>
        <w:t>Dilithium</w:t>
      </w:r>
      <w:proofErr w:type="spellEnd"/>
      <w:r w:rsidRPr="006D26E5">
        <w:rPr>
          <w:rFonts w:ascii="Arial" w:hAnsi="Arial" w:cs="Arial"/>
          <w:color w:val="0D0D0D"/>
          <w:shd w:val="clear" w:color="auto" w:fill="FFFFFF"/>
        </w:rPr>
        <w:t xml:space="preserve"> maintain balanced performance across all parameters, making them viable alternatives for post-quantum secure encryption.</w:t>
      </w:r>
    </w:p>
    <w:p w14:paraId="25EA4038" w14:textId="77777777" w:rsidR="00F16EC1" w:rsidRPr="006D26E5" w:rsidRDefault="00F16EC1"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A statistical ANOVA test was conducted to determine whether differences in encryption efficiency across these cryptographic methods were statistically significant. The test results confirm that post-quantum cryptographic techniques show significant variance in performance when compared to traditional encryption methods (FFF statistic, p&lt;0.05p &lt; 0.05p&lt;0.05), reinforcing the need for strategic selection based on operational constraints and security requirements in healthcare applications.</w:t>
      </w:r>
    </w:p>
    <w:p w14:paraId="26AE63CF" w14:textId="77777777" w:rsidR="00F16EC1" w:rsidRPr="006D26E5" w:rsidRDefault="00F16EC1"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These findings emphasize the computational feasibility of PQC adoption in cloud-based healthcare infrastructures. While post-quantum cryptographic methods exhibit promising security features, key generation times and processing overhead must be optimized to ensure seamless integration into healthcare data protection frameworks.</w:t>
      </w:r>
    </w:p>
    <w:p w14:paraId="0B37D046" w14:textId="77777777" w:rsidR="0072090A" w:rsidRPr="006D26E5" w:rsidRDefault="0072090A" w:rsidP="006D26E5">
      <w:pPr>
        <w:pStyle w:val="Heading3"/>
        <w:spacing w:before="280"/>
        <w:rPr>
          <w:sz w:val="24"/>
          <w:szCs w:val="24"/>
        </w:rPr>
      </w:pPr>
      <w:proofErr w:type="spellStart"/>
      <w:r w:rsidRPr="006D26E5">
        <w:rPr>
          <w:b/>
          <w:bCs/>
          <w:color w:val="0D0D0D"/>
          <w:sz w:val="24"/>
          <w:szCs w:val="24"/>
          <w:shd w:val="clear" w:color="auto" w:fill="FFFFFF"/>
        </w:rPr>
        <w:lastRenderedPageBreak/>
        <w:t>Analyzing</w:t>
      </w:r>
      <w:proofErr w:type="spellEnd"/>
      <w:r w:rsidRPr="006D26E5">
        <w:rPr>
          <w:b/>
          <w:bCs/>
          <w:color w:val="0D0D0D"/>
          <w:sz w:val="24"/>
          <w:szCs w:val="24"/>
          <w:shd w:val="clear" w:color="auto" w:fill="FFFFFF"/>
        </w:rPr>
        <w:t xml:space="preserve"> Case Studies of Healthcare Institutions Implementing Quantum-Resistant Encryption</w:t>
      </w:r>
    </w:p>
    <w:p w14:paraId="773DB94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adoption of quantum-resistant encryption (QRE) in healthcare institutions is increasingly necessary as cyber threats evolve. While some hospitals have taken early steps in transitioning to post-quantum cryptographic standards, others remain in preliminary stages due to budget constraints, regulatory uncertainties, and technical integration challenges. This report examines adoption patterns of QRE across healthcare institutions, identifying trends, early adopters, and lagging entities based on security investment, encryption adoption rate, and cybersecurity training efforts.</w:t>
      </w:r>
    </w:p>
    <w:p w14:paraId="15F92326"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adoption of quantum-resistant encryption varies significantly across healthcare institutions. Table 4 presents a classification of hospitals based on their investment in security infrastructure, training hours, and encryption adoption levels.</w:t>
      </w:r>
    </w:p>
    <w:p w14:paraId="11C61A30" w14:textId="77777777" w:rsidR="0072090A" w:rsidRPr="00ED6AF6" w:rsidRDefault="0072090A" w:rsidP="00ED6AF6">
      <w:pPr>
        <w:pStyle w:val="Heading5"/>
        <w:spacing w:before="220" w:after="40"/>
        <w:jc w:val="center"/>
        <w:rPr>
          <w:i/>
          <w:sz w:val="24"/>
          <w:szCs w:val="24"/>
        </w:rPr>
      </w:pPr>
      <w:r w:rsidRPr="00ED6AF6">
        <w:rPr>
          <w:bCs/>
          <w:i/>
          <w:color w:val="0D0D0D"/>
          <w:sz w:val="24"/>
          <w:szCs w:val="24"/>
          <w:shd w:val="clear" w:color="auto" w:fill="FFFFFF"/>
        </w:rPr>
        <w:t>Table 4: Classification of Hospitals Based on Quantum-Resistant Encryption Adoption</w:t>
      </w:r>
    </w:p>
    <w:tbl>
      <w:tblPr>
        <w:tblStyle w:val="TableGrid"/>
        <w:tblW w:w="0" w:type="auto"/>
        <w:jc w:val="center"/>
        <w:tblLook w:val="04A0" w:firstRow="1" w:lastRow="0" w:firstColumn="1" w:lastColumn="0" w:noHBand="0" w:noVBand="1"/>
      </w:tblPr>
      <w:tblGrid>
        <w:gridCol w:w="1764"/>
        <w:gridCol w:w="2722"/>
        <w:gridCol w:w="2190"/>
        <w:gridCol w:w="2674"/>
      </w:tblGrid>
      <w:tr w:rsidR="0072090A" w:rsidRPr="006D26E5" w14:paraId="5292FC0B" w14:textId="77777777" w:rsidTr="00ED6AF6">
        <w:trPr>
          <w:trHeight w:val="410"/>
          <w:jc w:val="center"/>
        </w:trPr>
        <w:tc>
          <w:tcPr>
            <w:tcW w:w="0" w:type="auto"/>
            <w:hideMark/>
          </w:tcPr>
          <w:p w14:paraId="77E74B7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Cluster</w:t>
            </w:r>
          </w:p>
        </w:tc>
        <w:tc>
          <w:tcPr>
            <w:tcW w:w="0" w:type="auto"/>
            <w:hideMark/>
          </w:tcPr>
          <w:p w14:paraId="7F465477"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Security Investment (Million $)</w:t>
            </w:r>
          </w:p>
        </w:tc>
        <w:tc>
          <w:tcPr>
            <w:tcW w:w="0" w:type="auto"/>
            <w:hideMark/>
          </w:tcPr>
          <w:p w14:paraId="48234367"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Training Hours per Year</w:t>
            </w:r>
          </w:p>
        </w:tc>
        <w:tc>
          <w:tcPr>
            <w:tcW w:w="0" w:type="auto"/>
            <w:hideMark/>
          </w:tcPr>
          <w:p w14:paraId="0BDDAF19"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Encryption Adoption Rate (%)</w:t>
            </w:r>
          </w:p>
        </w:tc>
      </w:tr>
      <w:tr w:rsidR="0072090A" w:rsidRPr="006D26E5" w14:paraId="4F93A100" w14:textId="77777777" w:rsidTr="00ED6AF6">
        <w:trPr>
          <w:trHeight w:val="410"/>
          <w:jc w:val="center"/>
        </w:trPr>
        <w:tc>
          <w:tcPr>
            <w:tcW w:w="0" w:type="auto"/>
            <w:hideMark/>
          </w:tcPr>
          <w:p w14:paraId="6BDC010B"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Low Adoption</w:t>
            </w:r>
          </w:p>
        </w:tc>
        <w:tc>
          <w:tcPr>
            <w:tcW w:w="0" w:type="auto"/>
            <w:hideMark/>
          </w:tcPr>
          <w:p w14:paraId="7220F509"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1.0 - 4.5</w:t>
            </w:r>
          </w:p>
        </w:tc>
        <w:tc>
          <w:tcPr>
            <w:tcW w:w="0" w:type="auto"/>
            <w:hideMark/>
          </w:tcPr>
          <w:p w14:paraId="756545CA"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50 - 200</w:t>
            </w:r>
          </w:p>
        </w:tc>
        <w:tc>
          <w:tcPr>
            <w:tcW w:w="0" w:type="auto"/>
            <w:hideMark/>
          </w:tcPr>
          <w:p w14:paraId="49334966"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20 - 45</w:t>
            </w:r>
          </w:p>
        </w:tc>
      </w:tr>
      <w:tr w:rsidR="0072090A" w:rsidRPr="006D26E5" w14:paraId="2489CE61" w14:textId="77777777" w:rsidTr="00ED6AF6">
        <w:trPr>
          <w:trHeight w:val="410"/>
          <w:jc w:val="center"/>
        </w:trPr>
        <w:tc>
          <w:tcPr>
            <w:tcW w:w="0" w:type="auto"/>
            <w:hideMark/>
          </w:tcPr>
          <w:p w14:paraId="6D9459C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Medium Adoption</w:t>
            </w:r>
          </w:p>
        </w:tc>
        <w:tc>
          <w:tcPr>
            <w:tcW w:w="0" w:type="auto"/>
            <w:hideMark/>
          </w:tcPr>
          <w:p w14:paraId="6F4462BB"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4.6 - 7.5</w:t>
            </w:r>
          </w:p>
        </w:tc>
        <w:tc>
          <w:tcPr>
            <w:tcW w:w="0" w:type="auto"/>
            <w:hideMark/>
          </w:tcPr>
          <w:p w14:paraId="2D8C987F"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201 - 350</w:t>
            </w:r>
          </w:p>
        </w:tc>
        <w:tc>
          <w:tcPr>
            <w:tcW w:w="0" w:type="auto"/>
            <w:hideMark/>
          </w:tcPr>
          <w:p w14:paraId="05C2FDA8"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46 - 75</w:t>
            </w:r>
          </w:p>
        </w:tc>
      </w:tr>
      <w:tr w:rsidR="0072090A" w:rsidRPr="006D26E5" w14:paraId="3B39F747" w14:textId="77777777" w:rsidTr="00ED6AF6">
        <w:trPr>
          <w:trHeight w:val="410"/>
          <w:jc w:val="center"/>
        </w:trPr>
        <w:tc>
          <w:tcPr>
            <w:tcW w:w="0" w:type="auto"/>
            <w:hideMark/>
          </w:tcPr>
          <w:p w14:paraId="55BF297E"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High Adoption</w:t>
            </w:r>
          </w:p>
        </w:tc>
        <w:tc>
          <w:tcPr>
            <w:tcW w:w="0" w:type="auto"/>
            <w:hideMark/>
          </w:tcPr>
          <w:p w14:paraId="21A7A0D7"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7.6 - 10.0</w:t>
            </w:r>
          </w:p>
        </w:tc>
        <w:tc>
          <w:tcPr>
            <w:tcW w:w="0" w:type="auto"/>
            <w:hideMark/>
          </w:tcPr>
          <w:p w14:paraId="36D2185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351 - 500</w:t>
            </w:r>
          </w:p>
        </w:tc>
        <w:tc>
          <w:tcPr>
            <w:tcW w:w="0" w:type="auto"/>
            <w:hideMark/>
          </w:tcPr>
          <w:p w14:paraId="34FBCED1"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76 - 95</w:t>
            </w:r>
          </w:p>
        </w:tc>
      </w:tr>
    </w:tbl>
    <w:p w14:paraId="39D01FFB"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findings indicate that hospitals classified as high adoption institutions tend to allocate more financial resources to cybersecurity, conduct extensive staff training, and implement encryption mechanisms at a higher rate. In contrast, low adoption institutions demonstrate significantly lower encryption adoption percentages, with financial limitations and lack of internal expertise being the most commonly cited barriers.</w:t>
      </w:r>
    </w:p>
    <w:p w14:paraId="0067BB13" w14:textId="77777777" w:rsidR="0072090A" w:rsidRPr="006D26E5" w:rsidRDefault="0072090A"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To further illustrate how hospitals are distributed based on security investment and encryption adoption levels, Figure 5 presents a Voronoi diagram, visually distinguishing hospitals in different adoption clusters.</w:t>
      </w:r>
    </w:p>
    <w:p w14:paraId="2680880B" w14:textId="77777777" w:rsidR="0072090A" w:rsidRPr="00ED6AF6" w:rsidRDefault="0072090A" w:rsidP="00ED6AF6">
      <w:pPr>
        <w:pStyle w:val="NormalWeb"/>
        <w:spacing w:before="160" w:beforeAutospacing="0" w:after="160" w:afterAutospacing="0"/>
        <w:jc w:val="center"/>
        <w:rPr>
          <w:rFonts w:ascii="Arial" w:hAnsi="Arial" w:cs="Arial"/>
          <w:i/>
        </w:rPr>
      </w:pPr>
      <w:r w:rsidRPr="00ED6AF6">
        <w:rPr>
          <w:rFonts w:ascii="Arial" w:hAnsi="Arial" w:cs="Arial"/>
          <w:i/>
          <w:noProof/>
        </w:rPr>
        <w:lastRenderedPageBreak/>
        <w:drawing>
          <wp:inline distT="0" distB="0" distL="0" distR="0" wp14:anchorId="137DEB6C" wp14:editId="16DF22DC">
            <wp:extent cx="5543550" cy="336285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3-04T093739.26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9886" cy="3366694"/>
                    </a:xfrm>
                    <a:prstGeom prst="rect">
                      <a:avLst/>
                    </a:prstGeom>
                  </pic:spPr>
                </pic:pic>
              </a:graphicData>
            </a:graphic>
          </wp:inline>
        </w:drawing>
      </w:r>
    </w:p>
    <w:p w14:paraId="2BEFD40F" w14:textId="77777777" w:rsidR="0072090A" w:rsidRPr="00ED6AF6" w:rsidRDefault="0072090A" w:rsidP="00ED6AF6">
      <w:pPr>
        <w:pStyle w:val="Heading5"/>
        <w:spacing w:before="220" w:after="40"/>
        <w:jc w:val="center"/>
        <w:rPr>
          <w:i/>
          <w:sz w:val="24"/>
          <w:szCs w:val="24"/>
        </w:rPr>
      </w:pPr>
      <w:r w:rsidRPr="00ED6AF6">
        <w:rPr>
          <w:bCs/>
          <w:i/>
          <w:color w:val="0D0D0D"/>
          <w:sz w:val="24"/>
          <w:szCs w:val="24"/>
          <w:shd w:val="clear" w:color="auto" w:fill="FFFFFF"/>
        </w:rPr>
        <w:t>Figure 5: Voronoi Diagram Representing Hospital Encryption Adoption Clusters</w:t>
      </w:r>
    </w:p>
    <w:p w14:paraId="2AA6FEF2"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Voronoi diagram clearly delineates how hospitals fall within specific adoption levels. The high adoption hospitals are clustered toward the upper-right regions, where higher security investments correlate with greater encryption adoption percentages. Conversely, low adoption hospitals are concentrated in areas of lower investment and encryption rates.</w:t>
      </w:r>
    </w:p>
    <w:p w14:paraId="638F45EE" w14:textId="77777777" w:rsidR="0072090A" w:rsidRPr="006D26E5" w:rsidRDefault="0072090A"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A further Chord Diagram analysis in Figure 6 examines the connection between the adoption clusters and their respective cybersecurity investment levels.</w:t>
      </w:r>
    </w:p>
    <w:p w14:paraId="0A7AA843" w14:textId="77777777" w:rsidR="0072090A" w:rsidRPr="00ED6AF6" w:rsidRDefault="0072090A" w:rsidP="00ED6AF6">
      <w:pPr>
        <w:pStyle w:val="NormalWeb"/>
        <w:spacing w:before="160" w:beforeAutospacing="0" w:after="160" w:afterAutospacing="0"/>
        <w:jc w:val="center"/>
        <w:rPr>
          <w:rFonts w:ascii="Arial" w:hAnsi="Arial" w:cs="Arial"/>
          <w:i/>
        </w:rPr>
      </w:pPr>
      <w:r w:rsidRPr="00ED6AF6">
        <w:rPr>
          <w:rFonts w:ascii="Arial" w:hAnsi="Arial" w:cs="Arial"/>
          <w:i/>
          <w:noProof/>
        </w:rPr>
        <w:lastRenderedPageBreak/>
        <w:drawing>
          <wp:inline distT="0" distB="0" distL="0" distR="0" wp14:anchorId="5774D5F4" wp14:editId="3840C9C2">
            <wp:extent cx="3990975" cy="399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3-04T093745.22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1159" cy="3991159"/>
                    </a:xfrm>
                    <a:prstGeom prst="rect">
                      <a:avLst/>
                    </a:prstGeom>
                  </pic:spPr>
                </pic:pic>
              </a:graphicData>
            </a:graphic>
          </wp:inline>
        </w:drawing>
      </w:r>
    </w:p>
    <w:p w14:paraId="1E95BBED" w14:textId="77777777" w:rsidR="0072090A" w:rsidRPr="00ED6AF6" w:rsidRDefault="0072090A" w:rsidP="00ED6AF6">
      <w:pPr>
        <w:pStyle w:val="Heading5"/>
        <w:spacing w:before="220" w:after="40"/>
        <w:jc w:val="center"/>
        <w:rPr>
          <w:i/>
          <w:sz w:val="24"/>
          <w:szCs w:val="24"/>
        </w:rPr>
      </w:pPr>
      <w:r w:rsidRPr="00ED6AF6">
        <w:rPr>
          <w:bCs/>
          <w:i/>
          <w:color w:val="0D0D0D"/>
          <w:sz w:val="24"/>
          <w:szCs w:val="24"/>
          <w:shd w:val="clear" w:color="auto" w:fill="FFFFFF"/>
        </w:rPr>
        <w:t>Figure 6: Chord Diagram Mapping Hospital Clusters to Adoption Levels</w:t>
      </w:r>
    </w:p>
    <w:p w14:paraId="715745AA" w14:textId="77777777" w:rsidR="0072090A" w:rsidRPr="006D26E5" w:rsidRDefault="0072090A"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This visualization illustrates how hospitals with low adoption tend to invest significantly less in security, while high-adoption hospitals allocate greater financial resources toward post-quantum encryption measures. The thickness of the connections in the chord diagram highlights the distribution patterns, emphasizing that hospitals investing more in cybersecurity training and encryption integration are more likely to fall within the high adoption category.</w:t>
      </w:r>
    </w:p>
    <w:p w14:paraId="3C189168" w14:textId="77777777" w:rsidR="00F01635" w:rsidRPr="006D26E5" w:rsidRDefault="00F01635" w:rsidP="006D26E5">
      <w:pPr>
        <w:pStyle w:val="Heading3"/>
        <w:spacing w:before="280"/>
        <w:rPr>
          <w:b/>
          <w:sz w:val="24"/>
          <w:szCs w:val="24"/>
        </w:rPr>
      </w:pPr>
      <w:r w:rsidRPr="006D26E5">
        <w:rPr>
          <w:b/>
          <w:color w:val="0D0D0D"/>
          <w:sz w:val="24"/>
          <w:szCs w:val="24"/>
          <w:shd w:val="clear" w:color="auto" w:fill="FFFFFF"/>
        </w:rPr>
        <w:t>Exploring Regulatory and Compliance Considerations in Implementing Quantum-Resistant Encryption</w:t>
      </w:r>
    </w:p>
    <w:p w14:paraId="158F05FF"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Regulatory compliance plays a critical role in the adoption of quantum-resistant encryption (QRE) within healthcare institutions. With cybersecurity regulations such as the Health Insurance Portability and Accountability Act (HIPAA) and the General Data Protection Regulation (GDPR) enforcing strict data protection standards, institutions that fail to implement adequate encryption methods face severe financial penalties. This report examines the relationship between regulatory fines and encryption adoption, demonstrating the financial impact of proactive compliance with quantum-resistant encryption standards over time.</w:t>
      </w:r>
    </w:p>
    <w:p w14:paraId="2AE5B87E"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Over the past decade, healthcare institutions have increasingly faced regulatory fines for encryption-related violations. Table 5 presents a structured summary of compliance fines alongside encryption adoption rates.</w:t>
      </w:r>
    </w:p>
    <w:p w14:paraId="49E37DBC" w14:textId="77777777" w:rsidR="00F01635" w:rsidRPr="009A1527" w:rsidRDefault="00F01635" w:rsidP="009A1527">
      <w:pPr>
        <w:pStyle w:val="Heading5"/>
        <w:spacing w:before="220" w:after="40"/>
        <w:jc w:val="center"/>
        <w:rPr>
          <w:i/>
          <w:sz w:val="24"/>
          <w:szCs w:val="24"/>
        </w:rPr>
      </w:pPr>
      <w:r w:rsidRPr="009A1527">
        <w:rPr>
          <w:bCs/>
          <w:i/>
          <w:color w:val="0D0D0D"/>
          <w:sz w:val="24"/>
          <w:szCs w:val="24"/>
          <w:shd w:val="clear" w:color="auto" w:fill="FFFFFF"/>
        </w:rPr>
        <w:lastRenderedPageBreak/>
        <w:t>Table 5: Compliance Fines and Encryption Adoption Trends (2015–2024)</w:t>
      </w:r>
    </w:p>
    <w:tbl>
      <w:tblPr>
        <w:tblW w:w="0" w:type="auto"/>
        <w:jc w:val="center"/>
        <w:tblCellMar>
          <w:top w:w="15" w:type="dxa"/>
          <w:left w:w="15" w:type="dxa"/>
          <w:bottom w:w="15" w:type="dxa"/>
          <w:right w:w="15" w:type="dxa"/>
        </w:tblCellMar>
        <w:tblLook w:val="04A0" w:firstRow="1" w:lastRow="0" w:firstColumn="1" w:lastColumn="0" w:noHBand="0" w:noVBand="1"/>
      </w:tblPr>
      <w:tblGrid>
        <w:gridCol w:w="734"/>
        <w:gridCol w:w="2935"/>
        <w:gridCol w:w="2857"/>
        <w:gridCol w:w="2814"/>
      </w:tblGrid>
      <w:tr w:rsidR="00F01635" w:rsidRPr="00745FF2" w14:paraId="028498AD"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B6579" w14:textId="77777777" w:rsidR="00F01635" w:rsidRPr="00745FF2" w:rsidRDefault="00F01635" w:rsidP="006D26E5">
            <w:pPr>
              <w:pStyle w:val="NormalWeb"/>
              <w:spacing w:before="160" w:beforeAutospacing="0" w:after="160" w:afterAutospacing="0"/>
              <w:rPr>
                <w:rFonts w:ascii="Arial" w:hAnsi="Arial" w:cs="Arial"/>
                <w:b/>
              </w:rPr>
            </w:pPr>
            <w:r w:rsidRPr="00745FF2">
              <w:rPr>
                <w:rFonts w:ascii="Arial" w:hAnsi="Arial" w:cs="Arial"/>
                <w:b/>
                <w:color w:val="0D0D0D"/>
                <w:shd w:val="clear" w:color="auto" w:fill="FFFFFF"/>
              </w:rPr>
              <w:t>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09412" w14:textId="77777777" w:rsidR="00F01635" w:rsidRPr="00745FF2" w:rsidRDefault="00F01635" w:rsidP="006D26E5">
            <w:pPr>
              <w:pStyle w:val="NormalWeb"/>
              <w:spacing w:before="160" w:beforeAutospacing="0" w:after="160" w:afterAutospacing="0"/>
              <w:rPr>
                <w:rFonts w:ascii="Arial" w:hAnsi="Arial" w:cs="Arial"/>
                <w:b/>
              </w:rPr>
            </w:pPr>
            <w:r w:rsidRPr="00745FF2">
              <w:rPr>
                <w:rFonts w:ascii="Arial" w:hAnsi="Arial" w:cs="Arial"/>
                <w:b/>
                <w:color w:val="0D0D0D"/>
                <w:shd w:val="clear" w:color="auto" w:fill="FFFFFF"/>
              </w:rPr>
              <w:t>Regulatory Fine Amount (USD)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D4A75" w14:textId="77777777" w:rsidR="00F01635" w:rsidRPr="00745FF2" w:rsidRDefault="00F01635" w:rsidP="006D26E5">
            <w:pPr>
              <w:pStyle w:val="NormalWeb"/>
              <w:spacing w:before="160" w:beforeAutospacing="0" w:after="160" w:afterAutospacing="0"/>
              <w:rPr>
                <w:rFonts w:ascii="Arial" w:hAnsi="Arial" w:cs="Arial"/>
                <w:b/>
              </w:rPr>
            </w:pPr>
            <w:r w:rsidRPr="00745FF2">
              <w:rPr>
                <w:rFonts w:ascii="Arial" w:hAnsi="Arial" w:cs="Arial"/>
                <w:b/>
                <w:color w:val="0D0D0D"/>
                <w:shd w:val="clear" w:color="auto" w:fill="FFFFFF"/>
              </w:rPr>
              <w:t>Encryption Adoption Rate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E5520" w14:textId="77777777" w:rsidR="00F01635" w:rsidRPr="00745FF2" w:rsidRDefault="00F01635" w:rsidP="006D26E5">
            <w:pPr>
              <w:pStyle w:val="NormalWeb"/>
              <w:spacing w:before="160" w:beforeAutospacing="0" w:after="160" w:afterAutospacing="0"/>
              <w:rPr>
                <w:rFonts w:ascii="Arial" w:hAnsi="Arial" w:cs="Arial"/>
                <w:b/>
              </w:rPr>
            </w:pPr>
            <w:r w:rsidRPr="00745FF2">
              <w:rPr>
                <w:rFonts w:ascii="Arial" w:hAnsi="Arial" w:cs="Arial"/>
                <w:b/>
                <w:color w:val="0D0D0D"/>
                <w:shd w:val="clear" w:color="auto" w:fill="FFFFFF"/>
              </w:rPr>
              <w:t>Predicted Fine Amount (USD)</w:t>
            </w:r>
          </w:p>
        </w:tc>
      </w:tr>
      <w:tr w:rsidR="00F01635" w:rsidRPr="006D26E5" w14:paraId="2572029C"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1D5A1"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D3E7B"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$4,500,000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2DFFB"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77E39"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$4,400,000</w:t>
            </w:r>
          </w:p>
        </w:tc>
      </w:tr>
      <w:tr w:rsidR="00F01635" w:rsidRPr="006D26E5" w14:paraId="198ADB7C"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AF377"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AD91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$3,950,000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67444"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6F753"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$4,100,000</w:t>
            </w:r>
          </w:p>
        </w:tc>
      </w:tr>
      <w:tr w:rsidR="00F01635" w:rsidRPr="006D26E5" w14:paraId="3E57BBE0"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2DD97"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BD6E1"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$3,700,000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F344D"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66184"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$3,800,000</w:t>
            </w:r>
          </w:p>
        </w:tc>
      </w:tr>
      <w:tr w:rsidR="00F01635" w:rsidRPr="006D26E5" w14:paraId="43C26F8F"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F5FAF"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6A3AE"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$3,450,000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1FB4A"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41.7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21EBF"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$3,500,000</w:t>
            </w:r>
          </w:p>
        </w:tc>
      </w:tr>
      <w:tr w:rsidR="00F01635" w:rsidRPr="006D26E5" w14:paraId="775E86D2"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EA9A1"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E2F73"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$2,980,000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F1DD3"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50.3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819B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$3,100,000</w:t>
            </w:r>
          </w:p>
        </w:tc>
      </w:tr>
      <w:tr w:rsidR="00F01635" w:rsidRPr="006D26E5" w14:paraId="475254E1"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7193C"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FB87D"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$2,500,000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554E6"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58.6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6DA5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$2,750,000</w:t>
            </w:r>
          </w:p>
        </w:tc>
      </w:tr>
      <w:tr w:rsidR="00F01635" w:rsidRPr="006D26E5" w14:paraId="1BE6D9FE"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F1474"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08260"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$2,200,000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68DB8"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66.7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79473"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$2,400,000</w:t>
            </w:r>
          </w:p>
        </w:tc>
      </w:tr>
      <w:tr w:rsidR="00F01635" w:rsidRPr="006D26E5" w14:paraId="2EB93B1C"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5B36E"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1216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$1,890,000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A7CB5"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ED68A"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$2,100,000</w:t>
            </w:r>
          </w:p>
        </w:tc>
      </w:tr>
      <w:tr w:rsidR="00F01635" w:rsidRPr="006D26E5" w14:paraId="7496B33D"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D65E2"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A583B"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$1,560,000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7B40F"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81.2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A17B"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$1,750,000</w:t>
            </w:r>
          </w:p>
        </w:tc>
      </w:tr>
      <w:tr w:rsidR="00F01635" w:rsidRPr="006D26E5" w14:paraId="5234154B" w14:textId="77777777" w:rsidTr="009A1527">
        <w:trPr>
          <w:trHeight w:val="4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716E8"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6A3EA"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$1,250,000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B157C"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408D9"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$1,400,000</w:t>
            </w:r>
          </w:p>
        </w:tc>
      </w:tr>
    </w:tbl>
    <w:p w14:paraId="3321BB62" w14:textId="77777777" w:rsidR="00F01635" w:rsidRPr="006D26E5" w:rsidRDefault="00F01635"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The findings indicate a strong negative correlation between encryption adoption and regulatory fines, confirming that institutions implementing higher levels of encryption face fewer penalties over time. The regression model predicts a steady decline in regulatory penalties as encryption adoption increases. The visual representation in Figure 7 illustrates this downward trend, showing that institutions adopting encryption standards earlier tend to face significantly lower compliance risks.</w:t>
      </w:r>
    </w:p>
    <w:p w14:paraId="301E6FFA" w14:textId="77777777" w:rsidR="00F01635" w:rsidRPr="009A1527" w:rsidRDefault="00F01635" w:rsidP="009A1527">
      <w:pPr>
        <w:pStyle w:val="NormalWeb"/>
        <w:spacing w:before="160" w:beforeAutospacing="0" w:after="160" w:afterAutospacing="0"/>
        <w:jc w:val="center"/>
        <w:rPr>
          <w:rFonts w:ascii="Arial" w:hAnsi="Arial" w:cs="Arial"/>
          <w:i/>
        </w:rPr>
      </w:pPr>
      <w:r w:rsidRPr="009A1527">
        <w:rPr>
          <w:rFonts w:ascii="Arial" w:hAnsi="Arial" w:cs="Arial"/>
          <w:i/>
          <w:noProof/>
        </w:rPr>
        <w:lastRenderedPageBreak/>
        <w:drawing>
          <wp:inline distT="0" distB="0" distL="0" distR="0" wp14:anchorId="2888E255" wp14:editId="6CE4DF81">
            <wp:extent cx="5229225" cy="35308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 - 2025-03-04T100507.4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6352" cy="3535656"/>
                    </a:xfrm>
                    <a:prstGeom prst="rect">
                      <a:avLst/>
                    </a:prstGeom>
                  </pic:spPr>
                </pic:pic>
              </a:graphicData>
            </a:graphic>
          </wp:inline>
        </w:drawing>
      </w:r>
    </w:p>
    <w:p w14:paraId="1ABA8757" w14:textId="77777777" w:rsidR="00F01635" w:rsidRPr="009A1527" w:rsidRDefault="00F01635" w:rsidP="009A1527">
      <w:pPr>
        <w:pStyle w:val="Heading5"/>
        <w:spacing w:before="220" w:after="40"/>
        <w:jc w:val="center"/>
        <w:rPr>
          <w:i/>
          <w:sz w:val="24"/>
          <w:szCs w:val="24"/>
        </w:rPr>
      </w:pPr>
      <w:r w:rsidRPr="009A1527">
        <w:rPr>
          <w:bCs/>
          <w:i/>
          <w:color w:val="0D0D0D"/>
          <w:sz w:val="24"/>
          <w:szCs w:val="24"/>
          <w:shd w:val="clear" w:color="auto" w:fill="FFFFFF"/>
        </w:rPr>
        <w:t>Figure 7: Compliance Fines vs. Encryption Adoption Over Time</w:t>
      </w:r>
    </w:p>
    <w:p w14:paraId="00E6CCF5"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bubble chart in Figure 7 further confirms that larger fines were imposed in earlier years (2015–2018) when encryption adoption was low, whereas smaller fines are observed in later years (2021–2024) as encryption adoption improved. The color gradient represents the magnitude of financial penalties, with higher fine amounts appearing in warmer colors (red/orange) and lower fines in cooler colors (blue/green).</w:t>
      </w:r>
    </w:p>
    <w:p w14:paraId="315176E5" w14:textId="77777777" w:rsidR="00F01635" w:rsidRPr="006D26E5" w:rsidRDefault="00F01635"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To provide a clearer depiction of the shifts in compliance enforcement, Figure 8 presents a streamlined representation of fine reductions over time, reinforcing the financial benefits of encryption compliance.</w:t>
      </w:r>
    </w:p>
    <w:p w14:paraId="1D4B0942" w14:textId="77777777" w:rsidR="00EE2B0B" w:rsidRPr="009A1527" w:rsidRDefault="00EE2B0B" w:rsidP="009A1527">
      <w:pPr>
        <w:pStyle w:val="NormalWeb"/>
        <w:spacing w:before="160" w:beforeAutospacing="0" w:after="160" w:afterAutospacing="0"/>
        <w:jc w:val="center"/>
        <w:rPr>
          <w:rFonts w:ascii="Arial" w:hAnsi="Arial" w:cs="Arial"/>
        </w:rPr>
      </w:pPr>
      <w:r w:rsidRPr="009A1527">
        <w:rPr>
          <w:rFonts w:ascii="Arial" w:hAnsi="Arial" w:cs="Arial"/>
          <w:noProof/>
        </w:rPr>
        <w:lastRenderedPageBreak/>
        <w:drawing>
          <wp:inline distT="0" distB="0" distL="0" distR="0" wp14:anchorId="3CEF1857" wp14:editId="3B8591A1">
            <wp:extent cx="4019550" cy="401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put - 2025-03-04T100448.400.png"/>
                    <pic:cNvPicPr/>
                  </pic:nvPicPr>
                  <pic:blipFill>
                    <a:blip r:embed="rId14">
                      <a:extLst>
                        <a:ext uri="{28A0092B-C50C-407E-A947-70E740481C1C}">
                          <a14:useLocalDpi xmlns:a14="http://schemas.microsoft.com/office/drawing/2010/main" val="0"/>
                        </a:ext>
                      </a:extLst>
                    </a:blip>
                    <a:stretch>
                      <a:fillRect/>
                    </a:stretch>
                  </pic:blipFill>
                  <pic:spPr>
                    <a:xfrm>
                      <a:off x="0" y="0"/>
                      <a:ext cx="4020022" cy="4020022"/>
                    </a:xfrm>
                    <a:prstGeom prst="rect">
                      <a:avLst/>
                    </a:prstGeom>
                  </pic:spPr>
                </pic:pic>
              </a:graphicData>
            </a:graphic>
          </wp:inline>
        </w:drawing>
      </w:r>
    </w:p>
    <w:p w14:paraId="62AEF4B1" w14:textId="77777777" w:rsidR="00F01635" w:rsidRPr="009A1527" w:rsidRDefault="00F01635" w:rsidP="009A1527">
      <w:pPr>
        <w:pStyle w:val="Heading5"/>
        <w:spacing w:before="220" w:after="40"/>
        <w:jc w:val="center"/>
        <w:rPr>
          <w:sz w:val="24"/>
          <w:szCs w:val="24"/>
        </w:rPr>
      </w:pPr>
      <w:r w:rsidRPr="009A1527">
        <w:rPr>
          <w:bCs/>
          <w:color w:val="0D0D0D"/>
          <w:sz w:val="24"/>
          <w:szCs w:val="24"/>
          <w:shd w:val="clear" w:color="auto" w:fill="FFFFFF"/>
        </w:rPr>
        <w:t>Figure 8: Streamlined Compliance Fine Reduction Over Time</w:t>
      </w:r>
    </w:p>
    <w:p w14:paraId="6CEE05F9" w14:textId="77777777" w:rsidR="00F01635" w:rsidRPr="006D26E5" w:rsidRDefault="00F01635" w:rsidP="006D26E5">
      <w:pPr>
        <w:pStyle w:val="NormalWeb"/>
        <w:spacing w:before="160" w:beforeAutospacing="0" w:after="160" w:afterAutospacing="0"/>
        <w:rPr>
          <w:rFonts w:ascii="Arial" w:hAnsi="Arial" w:cs="Arial"/>
        </w:rPr>
      </w:pPr>
      <w:r w:rsidRPr="006D26E5">
        <w:rPr>
          <w:rFonts w:ascii="Arial" w:hAnsi="Arial" w:cs="Arial"/>
          <w:color w:val="0D0D0D"/>
          <w:shd w:val="clear" w:color="auto" w:fill="FFFFFF"/>
        </w:rPr>
        <w:t>The streamlined compliance fine reduction visualization in Figure 8 confirms the downward trajectory of penalties as encryption adoption increases. The decline in fines suggests that regulatory bodies recognize and reward institutions that proactively implement encryption frameworks, particularly quantum-resistant encryption.</w:t>
      </w:r>
    </w:p>
    <w:p w14:paraId="0268178C" w14:textId="77777777" w:rsidR="00F01635" w:rsidRPr="006D26E5" w:rsidRDefault="00F01635" w:rsidP="006D26E5">
      <w:pPr>
        <w:pStyle w:val="NormalWeb"/>
        <w:spacing w:before="160" w:beforeAutospacing="0" w:after="160" w:afterAutospacing="0"/>
        <w:rPr>
          <w:rFonts w:ascii="Arial" w:hAnsi="Arial" w:cs="Arial"/>
          <w:color w:val="0D0D0D"/>
          <w:shd w:val="clear" w:color="auto" w:fill="FFFFFF"/>
        </w:rPr>
      </w:pPr>
      <w:r w:rsidRPr="006D26E5">
        <w:rPr>
          <w:rFonts w:ascii="Arial" w:hAnsi="Arial" w:cs="Arial"/>
          <w:color w:val="0D0D0D"/>
          <w:shd w:val="clear" w:color="auto" w:fill="FFFFFF"/>
        </w:rPr>
        <w:t>These findings reinforce the financial advantage of early compliance with quantum-resistant encryption. As quantum computing threats grow, regulatory standards are expected to mandate post-quantum encryption adoption, making early compliance a strategic move to mitigate future financial risks.</w:t>
      </w:r>
    </w:p>
    <w:p w14:paraId="6E5C1386" w14:textId="77777777" w:rsidR="002C4A4D" w:rsidRPr="006D26E5" w:rsidRDefault="002C4A4D" w:rsidP="006D26E5">
      <w:pPr>
        <w:pStyle w:val="NormalWeb"/>
        <w:spacing w:before="160" w:beforeAutospacing="0" w:after="160" w:afterAutospacing="0"/>
        <w:rPr>
          <w:rFonts w:ascii="Arial" w:hAnsi="Arial" w:cs="Arial"/>
          <w:b/>
          <w:color w:val="0D0D0D"/>
          <w:shd w:val="clear" w:color="auto" w:fill="FFFFFF"/>
        </w:rPr>
      </w:pPr>
      <w:r w:rsidRPr="006D26E5">
        <w:rPr>
          <w:rFonts w:ascii="Arial" w:hAnsi="Arial" w:cs="Arial"/>
          <w:b/>
          <w:color w:val="0D0D0D"/>
          <w:shd w:val="clear" w:color="auto" w:fill="FFFFFF"/>
        </w:rPr>
        <w:t xml:space="preserve">Discussion </w:t>
      </w:r>
    </w:p>
    <w:p w14:paraId="5D65E854" w14:textId="77777777" w:rsidR="002C4A4D" w:rsidRPr="006D26E5" w:rsidRDefault="002C4A4D" w:rsidP="006D26E5">
      <w:pPr>
        <w:pStyle w:val="NormalWeb"/>
        <w:rPr>
          <w:rFonts w:ascii="Arial" w:hAnsi="Arial" w:cs="Arial"/>
        </w:rPr>
      </w:pPr>
      <w:r w:rsidRPr="006D26E5">
        <w:rPr>
          <w:rFonts w:ascii="Arial" w:hAnsi="Arial" w:cs="Arial"/>
        </w:rPr>
        <w:t xml:space="preserve">The increasing digitization of healthcare services and the transition to cloud-based patient information systems have introduced significant security risks, particularly as cyber threats continue to evolve in complexity and frequency. The findings indicate that while cloud adoption has steadily increased from 30% in 2015 to 85% in 2024, the overall number of reported healthcare data breaches has not shown a corresponding decline. Instead, the results reveal a persistent trend of high breach occurrences, particularly in the form of hacking, ransomware, and phishing attacks. This aligns with the concerns raised by Shrivastava et al. (2024), who noted that cloud adoption, while enhancing accessibility, also expands the attack surface for cybercriminals. The statistical analysis conducted suggests a positive correlation between cloud adoption </w:t>
      </w:r>
      <w:r w:rsidRPr="006D26E5">
        <w:rPr>
          <w:rFonts w:ascii="Arial" w:hAnsi="Arial" w:cs="Arial"/>
        </w:rPr>
        <w:lastRenderedPageBreak/>
        <w:t>and breach incidents, supporting the argument that as healthcare institutions rely more on cloud platforms, additional vulnerabilities emerge. These findings reinforce the urgency of adopting quantum-resistant encryption mechanisms to mitigate emerging threats, as emphasized by Sood (2024), who posits that traditional cryptographic methods such as RSA and ECC are increasingly inadequate in protecting against both classical and quantum-based cyberattacks.</w:t>
      </w:r>
    </w:p>
    <w:p w14:paraId="298EB79B" w14:textId="77777777" w:rsidR="002C4A4D" w:rsidRPr="006D26E5" w:rsidRDefault="002C4A4D" w:rsidP="006D26E5">
      <w:pPr>
        <w:pStyle w:val="NormalWeb"/>
        <w:rPr>
          <w:rFonts w:ascii="Arial" w:hAnsi="Arial" w:cs="Arial"/>
        </w:rPr>
      </w:pPr>
      <w:r w:rsidRPr="006D26E5">
        <w:rPr>
          <w:rFonts w:ascii="Arial" w:hAnsi="Arial" w:cs="Arial"/>
        </w:rPr>
        <w:t>The evaluation of post-quantum cryptographic advancements highlights the potential of lattice-based cryptographic schemes, particularly CRYSTALS-Kyber and CRYSTALS-</w:t>
      </w:r>
      <w:proofErr w:type="spellStart"/>
      <w:r w:rsidRPr="006D26E5">
        <w:rPr>
          <w:rFonts w:ascii="Arial" w:hAnsi="Arial" w:cs="Arial"/>
        </w:rPr>
        <w:t>Dilithium</w:t>
      </w:r>
      <w:proofErr w:type="spellEnd"/>
      <w:r w:rsidRPr="006D26E5">
        <w:rPr>
          <w:rFonts w:ascii="Arial" w:hAnsi="Arial" w:cs="Arial"/>
        </w:rPr>
        <w:t>, in providing computationally efficient encryption mechanisms for securing healthcare data. The results demonstrate that post-quantum cryptographic methods perform competitively with traditional encryption techniques, with CRYSTALS-Kyber and CRYSTALS-</w:t>
      </w:r>
      <w:proofErr w:type="spellStart"/>
      <w:r w:rsidRPr="006D26E5">
        <w:rPr>
          <w:rFonts w:ascii="Arial" w:hAnsi="Arial" w:cs="Arial"/>
        </w:rPr>
        <w:t>Dilithium</w:t>
      </w:r>
      <w:proofErr w:type="spellEnd"/>
      <w:r w:rsidRPr="006D26E5">
        <w:rPr>
          <w:rFonts w:ascii="Arial" w:hAnsi="Arial" w:cs="Arial"/>
        </w:rPr>
        <w:t xml:space="preserve"> exhibiting balanced encryption and decryption times while maintaining strong resistance to quantum-based attacks. However, the findings also indicate that </w:t>
      </w:r>
      <w:proofErr w:type="spellStart"/>
      <w:r w:rsidRPr="006D26E5">
        <w:rPr>
          <w:rFonts w:ascii="Arial" w:hAnsi="Arial" w:cs="Arial"/>
        </w:rPr>
        <w:t>Sphincs</w:t>
      </w:r>
      <w:proofErr w:type="spellEnd"/>
      <w:r w:rsidRPr="006D26E5">
        <w:rPr>
          <w:rFonts w:ascii="Arial" w:hAnsi="Arial" w:cs="Arial"/>
        </w:rPr>
        <w:t xml:space="preserve">+ presents operational challenges due to longer key generation times, a factor that may limit its scalability in real-time healthcare applications. These results support the assertions of Gharavi et al. (2024), who emphasized the viability of lattice-based encryption in post-quantum security frameworks. Furthermore, the statistical ANOVA test conducted reveals significant variance in the performance of encryption methods, reinforcing the need for strategic selection based on operational constraints, efficiency, and security requirements. These findings align with the work of </w:t>
      </w:r>
      <w:proofErr w:type="spellStart"/>
      <w:r w:rsidRPr="006D26E5">
        <w:rPr>
          <w:rFonts w:ascii="Arial" w:hAnsi="Arial" w:cs="Arial"/>
        </w:rPr>
        <w:t>Helregel</w:t>
      </w:r>
      <w:proofErr w:type="spellEnd"/>
      <w:r w:rsidRPr="006D26E5">
        <w:rPr>
          <w:rFonts w:ascii="Arial" w:hAnsi="Arial" w:cs="Arial"/>
        </w:rPr>
        <w:t xml:space="preserve"> (2024), who observed that while PQC adoption remains in its early stages, institutions that invest in optimized cryptographic migration strategies stand to benefit from enhanced security and computational efficiency.</w:t>
      </w:r>
    </w:p>
    <w:p w14:paraId="63268E06" w14:textId="77777777" w:rsidR="002C4A4D" w:rsidRPr="006D26E5" w:rsidRDefault="002C4A4D" w:rsidP="006D26E5">
      <w:pPr>
        <w:pStyle w:val="NormalWeb"/>
        <w:rPr>
          <w:rFonts w:ascii="Arial" w:hAnsi="Arial" w:cs="Arial"/>
        </w:rPr>
      </w:pPr>
      <w:r w:rsidRPr="006D26E5">
        <w:rPr>
          <w:rFonts w:ascii="Arial" w:hAnsi="Arial" w:cs="Arial"/>
        </w:rPr>
        <w:t>The analysis of case studies on quantum-resistant encryption adoption within healthcare institutions reveals disparities in implementation levels, with hospitals classified into low, medium, and high adoption clusters based on security investment, training hours, and encryption integration rates. High-adoption institutions demonstrated a clear commitment to cybersecurity, allocating greater financial resources to encryption frameworks and investing significantly in workforce training. This is consistent with the findings of Popoola et al. (2024), who emphasized the role of financial investment and institutional readiness in the successful deployment of PQC. The visualization of adoption clusters using Voronoi diagrams and chord analysis further illustrates how higher levels of cybersecurity investment correlate with increased encryption adoption. The classification of hospitals highlights the challenges faced by low-adoption institutions, where financial limitations and a lack of technical expertise present significant barriers to transitioning toward post-quantum encryption. These disparities mirror the findings of Dhinakaran et al. (2024), who identified financial constraints and knowledge gaps as critical impediments to the widespread adoption of post-quantum security solutions in the healthcare sector.</w:t>
      </w:r>
    </w:p>
    <w:p w14:paraId="5923586A" w14:textId="77777777" w:rsidR="002C4A4D" w:rsidRPr="006D26E5" w:rsidRDefault="002C4A4D" w:rsidP="006D26E5">
      <w:pPr>
        <w:pStyle w:val="NormalWeb"/>
        <w:rPr>
          <w:rFonts w:ascii="Arial" w:hAnsi="Arial" w:cs="Arial"/>
        </w:rPr>
      </w:pPr>
      <w:r w:rsidRPr="006D26E5">
        <w:rPr>
          <w:rFonts w:ascii="Arial" w:hAnsi="Arial" w:cs="Arial"/>
        </w:rPr>
        <w:t xml:space="preserve">The regulatory and compliance considerations surrounding encryption adoption reveal a strong negative correlation between encryption implementation levels and regulatory fines, supporting the assertion that proactive compliance with quantum-resistant encryption standards reduces financial penalties. The regression analysis conducted </w:t>
      </w:r>
      <w:r w:rsidRPr="006D26E5">
        <w:rPr>
          <w:rFonts w:ascii="Arial" w:hAnsi="Arial" w:cs="Arial"/>
        </w:rPr>
        <w:lastRenderedPageBreak/>
        <w:t>demonstrates a downward trajectory in regulatory fines as encryption adoption increases, reinforcing the financial and compliance benefits of early encryption integration. The results indicate that institutions that delayed encryption adoption incurred significantly higher regulatory penalties, consistent with the observations of Mansoor et al. (2024), who emphasized the increasing likelihood of regulators enforcing post-quantum cryptographic requirements. The findings also align with the policy frameworks established by NIST (2024), which advocate for early adoption of quantum-resistant encryption to mitigate future cybersecurity risks. Furthermore, the visual analysis using bubble and streamgraph representations confirms that regulatory bodies tend to impose higher penalties on institutions that fail to adopt strong encryption measures, particularly in response to emerging threats posed by quantum computing. The structured decline in fines observed from 2015 to 2024 suggests that regulatory agencies recognize and incentivize organizations that integrate quantum-resistant encryption into their data security strategies, supporting the argument by Firmansyah and Bansal (2024) that compliance-driven security enhancements are essential for ensuring long-term data protection.</w:t>
      </w:r>
    </w:p>
    <w:p w14:paraId="3C03CB5A" w14:textId="77777777" w:rsidR="002C4A4D" w:rsidRPr="006D26E5" w:rsidRDefault="002C4A4D" w:rsidP="006D26E5">
      <w:pPr>
        <w:pStyle w:val="NormalWeb"/>
        <w:rPr>
          <w:rFonts w:ascii="Arial" w:hAnsi="Arial" w:cs="Arial"/>
        </w:rPr>
      </w:pPr>
      <w:r w:rsidRPr="006D26E5">
        <w:rPr>
          <w:rFonts w:ascii="Arial" w:hAnsi="Arial" w:cs="Arial"/>
        </w:rPr>
        <w:t>The overarching insights from this study emphasize the necessity of transitioning toward post-quantum cryptographic standards as a proactive measure to secure healthcare cloud infrastructures. While cloud adoption enhances operational efficiency, the persistent prevalence of data breaches underscores the need for advanced encryption solutions that can withstand both classical and quantum-enabled cyber threats. The evaluation of encryption performance metrics confirms the computational viability of PQC in healthcare applications, highlighting CRYSTALS-Kyber and CRYSTALS-</w:t>
      </w:r>
      <w:proofErr w:type="spellStart"/>
      <w:r w:rsidRPr="006D26E5">
        <w:rPr>
          <w:rFonts w:ascii="Arial" w:hAnsi="Arial" w:cs="Arial"/>
        </w:rPr>
        <w:t>Dilithium</w:t>
      </w:r>
      <w:proofErr w:type="spellEnd"/>
      <w:r w:rsidRPr="006D26E5">
        <w:rPr>
          <w:rFonts w:ascii="Arial" w:hAnsi="Arial" w:cs="Arial"/>
        </w:rPr>
        <w:t xml:space="preserve"> as leading candidates for post-quantum security frameworks. The disparities in institutional adoption patterns demonstrate the role of financial investment and regulatory incentives in driving encryption implementation, reinforcing the argument that early compliance with quantum-resistant standards can mitigate both cybersecurity risks and regulatory liabilities. These findings collectively contribute to the growing body of knowledge on quantum cybersecurity, supporting the assertion by Patel (2024) that institutions that integrate quantum-resistant encryption early will gain a strategic advantage in securing patient data and ensuring compliance with evolving regulatory mandates.</w:t>
      </w:r>
    </w:p>
    <w:p w14:paraId="789D044C" w14:textId="77777777" w:rsidR="00D92D85" w:rsidRPr="006D26E5" w:rsidRDefault="009A1527" w:rsidP="006D26E5">
      <w:pPr>
        <w:pStyle w:val="NormalWeb"/>
        <w:rPr>
          <w:rFonts w:ascii="Arial" w:hAnsi="Arial" w:cs="Arial"/>
          <w:b/>
        </w:rPr>
      </w:pPr>
      <w:r>
        <w:rPr>
          <w:rFonts w:ascii="Arial" w:hAnsi="Arial" w:cs="Arial"/>
          <w:b/>
        </w:rPr>
        <w:t>5.</w:t>
      </w:r>
      <w:r>
        <w:rPr>
          <w:rFonts w:ascii="Arial" w:hAnsi="Arial" w:cs="Arial"/>
          <w:b/>
        </w:rPr>
        <w:tab/>
      </w:r>
      <w:r w:rsidR="00D92D85" w:rsidRPr="006D26E5">
        <w:rPr>
          <w:rFonts w:ascii="Arial" w:hAnsi="Arial" w:cs="Arial"/>
          <w:b/>
        </w:rPr>
        <w:t>Conclusion and Recommendation</w:t>
      </w:r>
      <w:r>
        <w:rPr>
          <w:rFonts w:ascii="Arial" w:hAnsi="Arial" w:cs="Arial"/>
          <w:b/>
        </w:rPr>
        <w:t>s</w:t>
      </w:r>
    </w:p>
    <w:p w14:paraId="3ABAD830" w14:textId="77777777" w:rsidR="00D92D85" w:rsidRPr="006D26E5" w:rsidRDefault="00D92D85" w:rsidP="006D26E5">
      <w:pPr>
        <w:spacing w:before="100" w:beforeAutospacing="1" w:after="100" w:afterAutospacing="1" w:line="240" w:lineRule="auto"/>
        <w:rPr>
          <w:rFonts w:eastAsia="Times New Roman"/>
          <w:sz w:val="24"/>
          <w:szCs w:val="24"/>
          <w:lang w:val="en-US"/>
        </w:rPr>
      </w:pPr>
      <w:r w:rsidRPr="006D26E5">
        <w:rPr>
          <w:rFonts w:eastAsia="Times New Roman"/>
          <w:sz w:val="24"/>
          <w:szCs w:val="24"/>
          <w:lang w:val="en-US"/>
        </w:rPr>
        <w:t>The findings of this study underscore the critical need for proactive security measures to safeguard healthcare cloud-based patient information systems. The increasing adoption of cloud infrastructure has correlated with persistent cybersecurity threats, particularly hacking, ransomware, and phishing attacks, highlighting vulnerabilities that demand robust encryption strategies. The evaluation of post-quantum cryptographic advancements confirms the viability of CRYSTALS-Kyber and CRYSTALS-</w:t>
      </w:r>
      <w:proofErr w:type="spellStart"/>
      <w:r w:rsidRPr="006D26E5">
        <w:rPr>
          <w:rFonts w:eastAsia="Times New Roman"/>
          <w:sz w:val="24"/>
          <w:szCs w:val="24"/>
          <w:lang w:val="en-US"/>
        </w:rPr>
        <w:t>Dilithium</w:t>
      </w:r>
      <w:proofErr w:type="spellEnd"/>
      <w:r w:rsidRPr="006D26E5">
        <w:rPr>
          <w:rFonts w:eastAsia="Times New Roman"/>
          <w:sz w:val="24"/>
          <w:szCs w:val="24"/>
          <w:lang w:val="en-US"/>
        </w:rPr>
        <w:t xml:space="preserve"> as secure alternatives to traditional cryptographic methods, ensuring resilience against emerging quantum threats. Disparities in adoption trends among healthcare institutions reveal that financial investment and technical expertise play a decisive role in the successful implementation of quantum-resistant encryption. The observed decline in </w:t>
      </w:r>
      <w:r w:rsidRPr="006D26E5">
        <w:rPr>
          <w:rFonts w:eastAsia="Times New Roman"/>
          <w:sz w:val="24"/>
          <w:szCs w:val="24"/>
          <w:lang w:val="en-US"/>
        </w:rPr>
        <w:lastRenderedPageBreak/>
        <w:t>regulatory fines associated with increased encryption adoption further reinforces the importance of compliance-driven security enhancements in mitig</w:t>
      </w:r>
      <w:r w:rsidR="009A1527">
        <w:rPr>
          <w:rFonts w:eastAsia="Times New Roman"/>
          <w:sz w:val="24"/>
          <w:szCs w:val="24"/>
          <w:lang w:val="en-US"/>
        </w:rPr>
        <w:t>ating financial and legal risks, hence, these recommendations:</w:t>
      </w:r>
    </w:p>
    <w:p w14:paraId="2D047797" w14:textId="77777777" w:rsidR="00D92D85" w:rsidRPr="006D26E5" w:rsidRDefault="00D92D85" w:rsidP="006D26E5">
      <w:pPr>
        <w:numPr>
          <w:ilvl w:val="0"/>
          <w:numId w:val="14"/>
        </w:numPr>
        <w:spacing w:before="100" w:beforeAutospacing="1" w:after="100" w:afterAutospacing="1" w:line="240" w:lineRule="auto"/>
        <w:rPr>
          <w:rFonts w:eastAsia="Times New Roman"/>
          <w:sz w:val="24"/>
          <w:szCs w:val="24"/>
          <w:lang w:val="en-US"/>
        </w:rPr>
      </w:pPr>
      <w:r w:rsidRPr="006D26E5">
        <w:rPr>
          <w:rFonts w:eastAsia="Times New Roman"/>
          <w:sz w:val="24"/>
          <w:szCs w:val="24"/>
          <w:lang w:val="en-US"/>
        </w:rPr>
        <w:t>Healthcare institutions should prioritize the early adoption of quantum-resistant encryption frameworks, aligning with NIST standards to preempt the security risks posed by quantum computing.</w:t>
      </w:r>
    </w:p>
    <w:p w14:paraId="1F6CA0A4" w14:textId="77777777" w:rsidR="00D92D85" w:rsidRPr="006D26E5" w:rsidRDefault="00D92D85" w:rsidP="006D26E5">
      <w:pPr>
        <w:numPr>
          <w:ilvl w:val="0"/>
          <w:numId w:val="14"/>
        </w:numPr>
        <w:spacing w:before="100" w:beforeAutospacing="1" w:after="100" w:afterAutospacing="1" w:line="240" w:lineRule="auto"/>
        <w:rPr>
          <w:rFonts w:eastAsia="Times New Roman"/>
          <w:sz w:val="24"/>
          <w:szCs w:val="24"/>
          <w:lang w:val="en-US"/>
        </w:rPr>
      </w:pPr>
      <w:r w:rsidRPr="006D26E5">
        <w:rPr>
          <w:rFonts w:eastAsia="Times New Roman"/>
          <w:sz w:val="24"/>
          <w:szCs w:val="24"/>
          <w:lang w:val="en-US"/>
        </w:rPr>
        <w:t>Investment in cybersecurity training and infrastructure should be increased, ensuring technical personnel are adequately prepared to implement and manage post-quantum cryptographic solutions.</w:t>
      </w:r>
    </w:p>
    <w:p w14:paraId="255B83AE" w14:textId="77777777" w:rsidR="00745FF2" w:rsidRPr="00745FF2" w:rsidRDefault="00D92D85" w:rsidP="00847C7C">
      <w:pPr>
        <w:numPr>
          <w:ilvl w:val="0"/>
          <w:numId w:val="14"/>
        </w:numPr>
        <w:spacing w:before="240" w:beforeAutospacing="1" w:after="240" w:afterAutospacing="1" w:line="240" w:lineRule="auto"/>
        <w:rPr>
          <w:sz w:val="24"/>
          <w:szCs w:val="24"/>
        </w:rPr>
      </w:pPr>
      <w:r w:rsidRPr="00745FF2">
        <w:rPr>
          <w:rFonts w:eastAsia="Times New Roman"/>
          <w:sz w:val="24"/>
          <w:szCs w:val="24"/>
          <w:lang w:val="en-US"/>
        </w:rPr>
        <w:t>Collaboration between regulatory agencies, cloud service providers, and healthcare institutions should be strengthened to establish standardized protocols for quantum-resistant encryption integration.</w:t>
      </w:r>
    </w:p>
    <w:p w14:paraId="42D7645B" w14:textId="77777777" w:rsidR="00506BCB" w:rsidRPr="00745FF2" w:rsidRDefault="00D92D85" w:rsidP="00847C7C">
      <w:pPr>
        <w:numPr>
          <w:ilvl w:val="0"/>
          <w:numId w:val="14"/>
        </w:numPr>
        <w:spacing w:before="240" w:beforeAutospacing="1" w:after="240" w:afterAutospacing="1" w:line="240" w:lineRule="auto"/>
        <w:rPr>
          <w:sz w:val="24"/>
          <w:szCs w:val="24"/>
        </w:rPr>
      </w:pPr>
      <w:r w:rsidRPr="00745FF2">
        <w:rPr>
          <w:rFonts w:eastAsia="Times New Roman"/>
          <w:sz w:val="24"/>
          <w:szCs w:val="24"/>
          <w:lang w:val="en-US"/>
        </w:rPr>
        <w:t>Continuous research and development in quantum-resistant encryption techniques should be encouraged, optimizing key generation efficiency and computational performance for seamless implementation in real-world healthcare applications.</w:t>
      </w:r>
    </w:p>
    <w:p w14:paraId="5C31CF19" w14:textId="77777777" w:rsidR="00506BCB" w:rsidRPr="006D26E5" w:rsidRDefault="00506BCB" w:rsidP="006D26E5">
      <w:pPr>
        <w:rPr>
          <w:sz w:val="24"/>
          <w:szCs w:val="24"/>
        </w:rPr>
      </w:pPr>
    </w:p>
    <w:p w14:paraId="687EB674" w14:textId="77777777" w:rsidR="00E918E2" w:rsidRPr="003A29C6" w:rsidRDefault="00E918E2" w:rsidP="00E918E2">
      <w:pPr>
        <w:jc w:val="both"/>
        <w:outlineLvl w:val="0"/>
      </w:pPr>
      <w:r w:rsidRPr="003A29C6">
        <w:rPr>
          <w:b/>
          <w:bCs/>
        </w:rPr>
        <w:t>COMPETING INTERESTS DISCLAIMER:</w:t>
      </w:r>
    </w:p>
    <w:p w14:paraId="602A649E" w14:textId="77777777" w:rsidR="00E918E2" w:rsidRDefault="00E918E2" w:rsidP="00E918E2">
      <w:r w:rsidRPr="00A10EDE">
        <w:t>Authors have declared that they have no known competing financial interests OR non-financial interests OR personal relationships that could have appeared to influence the work reported in this paper.</w:t>
      </w:r>
    </w:p>
    <w:p w14:paraId="7DE2DC54" w14:textId="77777777" w:rsidR="00506BCB" w:rsidRPr="006D26E5" w:rsidRDefault="00506BCB" w:rsidP="006D26E5">
      <w:pPr>
        <w:rPr>
          <w:sz w:val="24"/>
          <w:szCs w:val="24"/>
        </w:rPr>
      </w:pPr>
    </w:p>
    <w:p w14:paraId="48F8FFA8" w14:textId="77777777" w:rsidR="00837EAF" w:rsidRPr="00847C7C" w:rsidRDefault="00745FF2" w:rsidP="00837EAF">
      <w:pPr>
        <w:rPr>
          <w:rFonts w:ascii="Calibri" w:eastAsia="Calibri" w:hAnsi="Calibri" w:cs="Times New Roman"/>
          <w:kern w:val="2"/>
          <w:lang w:val="en-US"/>
        </w:rPr>
      </w:pPr>
      <w:bookmarkStart w:id="16" w:name="_2qtnd0pp1jlw" w:colFirst="0" w:colLast="0"/>
      <w:bookmarkEnd w:id="16"/>
      <w:r>
        <w:rPr>
          <w:b/>
          <w:sz w:val="24"/>
          <w:szCs w:val="24"/>
        </w:rPr>
        <w:br w:type="page"/>
      </w:r>
      <w:bookmarkStart w:id="17" w:name="_Hlk180402183"/>
      <w:bookmarkStart w:id="18" w:name="_Hlk183680988"/>
      <w:r w:rsidR="00837EAF" w:rsidRPr="00847C7C">
        <w:rPr>
          <w:rFonts w:ascii="Calibri" w:eastAsia="Calibri" w:hAnsi="Calibri" w:cs="Times New Roman"/>
          <w:kern w:val="2"/>
          <w:lang w:val="en-US"/>
        </w:rPr>
        <w:lastRenderedPageBreak/>
        <w:t>Disclaimer (Artificial intelligence)</w:t>
      </w:r>
    </w:p>
    <w:p w14:paraId="13749CD6" w14:textId="0E89B649" w:rsidR="00837EAF" w:rsidRPr="00847C7C" w:rsidRDefault="00837EAF" w:rsidP="00837EAF">
      <w:pPr>
        <w:rPr>
          <w:rFonts w:ascii="Calibri" w:eastAsia="Calibri" w:hAnsi="Calibri" w:cs="Times New Roman"/>
          <w:kern w:val="2"/>
          <w:lang w:val="en-US"/>
        </w:rPr>
      </w:pPr>
    </w:p>
    <w:p w14:paraId="7BB1782F" w14:textId="77777777" w:rsidR="00837EAF" w:rsidRPr="009C5487" w:rsidRDefault="00837EAF" w:rsidP="00837EAF">
      <w:pPr>
        <w:rPr>
          <w:rFonts w:ascii="Calibri" w:eastAsia="Calibri" w:hAnsi="Calibri" w:cs="Times New Roman"/>
          <w:kern w:val="2"/>
          <w:highlight w:val="yellow"/>
          <w:lang w:val="en-US"/>
        </w:rPr>
      </w:pPr>
      <w:r w:rsidRPr="00847C7C">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17"/>
    <w:bookmarkEnd w:id="18"/>
    <w:p w14:paraId="032B7217" w14:textId="77777777" w:rsidR="00745FF2" w:rsidRDefault="00745FF2">
      <w:pPr>
        <w:rPr>
          <w:b/>
          <w:sz w:val="24"/>
          <w:szCs w:val="24"/>
        </w:rPr>
      </w:pPr>
    </w:p>
    <w:p w14:paraId="34C47B4D" w14:textId="77777777" w:rsidR="00506BCB" w:rsidRPr="006D26E5" w:rsidRDefault="002C4A4D" w:rsidP="00745FF2">
      <w:pPr>
        <w:pStyle w:val="Heading1"/>
        <w:keepNext w:val="0"/>
        <w:keepLines w:val="0"/>
        <w:spacing w:before="0" w:after="0" w:line="480" w:lineRule="auto"/>
        <w:jc w:val="center"/>
        <w:rPr>
          <w:b/>
          <w:sz w:val="24"/>
          <w:szCs w:val="24"/>
        </w:rPr>
      </w:pPr>
      <w:r w:rsidRPr="006D26E5">
        <w:rPr>
          <w:b/>
          <w:sz w:val="24"/>
          <w:szCs w:val="24"/>
        </w:rPr>
        <w:t>References</w:t>
      </w:r>
    </w:p>
    <w:p w14:paraId="70BB137C" w14:textId="77777777" w:rsidR="00506BCB" w:rsidRPr="006D26E5" w:rsidRDefault="002C4A4D" w:rsidP="00745FF2">
      <w:pPr>
        <w:spacing w:after="240" w:line="240" w:lineRule="auto"/>
        <w:ind w:left="720" w:hanging="720"/>
        <w:rPr>
          <w:sz w:val="24"/>
          <w:szCs w:val="24"/>
        </w:rPr>
      </w:pPr>
      <w:r w:rsidRPr="006D26E5">
        <w:rPr>
          <w:sz w:val="24"/>
          <w:szCs w:val="24"/>
        </w:rPr>
        <w:t xml:space="preserve">Abrams, L. (2024). </w:t>
      </w:r>
      <w:r w:rsidRPr="006D26E5">
        <w:rPr>
          <w:i/>
          <w:sz w:val="24"/>
          <w:szCs w:val="24"/>
        </w:rPr>
        <w:t>UnitedHealth says data of 100 million stolen in Change Healthcare breach</w:t>
      </w:r>
      <w:r w:rsidRPr="006D26E5">
        <w:rPr>
          <w:sz w:val="24"/>
          <w:szCs w:val="24"/>
        </w:rPr>
        <w:t xml:space="preserve">. </w:t>
      </w:r>
      <w:proofErr w:type="spellStart"/>
      <w:r w:rsidRPr="006D26E5">
        <w:rPr>
          <w:sz w:val="24"/>
          <w:szCs w:val="24"/>
        </w:rPr>
        <w:t>BleepingComputer</w:t>
      </w:r>
      <w:proofErr w:type="spellEnd"/>
      <w:r w:rsidRPr="006D26E5">
        <w:rPr>
          <w:sz w:val="24"/>
          <w:szCs w:val="24"/>
        </w:rPr>
        <w:t xml:space="preserve">. </w:t>
      </w:r>
      <w:hyperlink r:id="rId15">
        <w:r w:rsidRPr="006D26E5">
          <w:rPr>
            <w:color w:val="1155CC"/>
            <w:sz w:val="24"/>
            <w:szCs w:val="24"/>
            <w:u w:val="single"/>
          </w:rPr>
          <w:t>https://www.bleepingcomputer.com/news/security/unitedhealth-says-data-of-100-million-stolen-in-change-healthcare-breach/</w:t>
        </w:r>
      </w:hyperlink>
      <w:r w:rsidRPr="006D26E5">
        <w:rPr>
          <w:sz w:val="24"/>
          <w:szCs w:val="24"/>
        </w:rPr>
        <w:t xml:space="preserve"> </w:t>
      </w:r>
    </w:p>
    <w:p w14:paraId="53E77D13" w14:textId="77777777" w:rsidR="00506BCB" w:rsidRPr="006D26E5" w:rsidRDefault="002C4A4D" w:rsidP="00745FF2">
      <w:pPr>
        <w:spacing w:after="240" w:line="240" w:lineRule="auto"/>
        <w:ind w:left="720" w:hanging="720"/>
        <w:rPr>
          <w:sz w:val="24"/>
          <w:szCs w:val="24"/>
        </w:rPr>
      </w:pPr>
      <w:r w:rsidRPr="006D26E5">
        <w:rPr>
          <w:sz w:val="24"/>
          <w:szCs w:val="24"/>
        </w:rPr>
        <w:t xml:space="preserve">Adepoju, F. (2024). Cyber Threats and Risk Mitigation Strategies in Global Supply Chain Networks: An Infrastructure Security Perspective. </w:t>
      </w:r>
      <w:proofErr w:type="spellStart"/>
      <w:r w:rsidRPr="006D26E5">
        <w:rPr>
          <w:i/>
          <w:sz w:val="24"/>
          <w:szCs w:val="24"/>
        </w:rPr>
        <w:t>Nuvern</w:t>
      </w:r>
      <w:proofErr w:type="spellEnd"/>
      <w:r w:rsidRPr="006D26E5">
        <w:rPr>
          <w:i/>
          <w:sz w:val="24"/>
          <w:szCs w:val="24"/>
        </w:rPr>
        <w:t xml:space="preserve"> Applied Science Reviews</w:t>
      </w:r>
      <w:r w:rsidRPr="006D26E5">
        <w:rPr>
          <w:sz w:val="24"/>
          <w:szCs w:val="24"/>
        </w:rPr>
        <w:t xml:space="preserve">, </w:t>
      </w:r>
      <w:r w:rsidRPr="006D26E5">
        <w:rPr>
          <w:i/>
          <w:sz w:val="24"/>
          <w:szCs w:val="24"/>
        </w:rPr>
        <w:t>8</w:t>
      </w:r>
      <w:r w:rsidRPr="006D26E5">
        <w:rPr>
          <w:sz w:val="24"/>
          <w:szCs w:val="24"/>
        </w:rPr>
        <w:t xml:space="preserve">(10), 10–22. </w:t>
      </w:r>
      <w:hyperlink r:id="rId16">
        <w:r w:rsidRPr="006D26E5">
          <w:rPr>
            <w:color w:val="1155CC"/>
            <w:sz w:val="24"/>
            <w:szCs w:val="24"/>
            <w:u w:val="single"/>
          </w:rPr>
          <w:t>https://nuvern.com/index.php/nasr/article/view/2024-10-07</w:t>
        </w:r>
      </w:hyperlink>
      <w:r w:rsidRPr="006D26E5">
        <w:rPr>
          <w:sz w:val="24"/>
          <w:szCs w:val="24"/>
        </w:rPr>
        <w:t xml:space="preserve"> </w:t>
      </w:r>
    </w:p>
    <w:p w14:paraId="72B613A5" w14:textId="77777777" w:rsidR="00506BCB" w:rsidRPr="006D26E5" w:rsidRDefault="002C4A4D" w:rsidP="00745FF2">
      <w:pPr>
        <w:spacing w:after="240" w:line="240" w:lineRule="auto"/>
        <w:ind w:left="720" w:hanging="720"/>
        <w:rPr>
          <w:sz w:val="24"/>
          <w:szCs w:val="24"/>
        </w:rPr>
      </w:pPr>
      <w:r w:rsidRPr="006D26E5">
        <w:rPr>
          <w:sz w:val="24"/>
          <w:szCs w:val="24"/>
        </w:rPr>
        <w:t xml:space="preserve">Ajayi, A. J., Joseph, S. A., </w:t>
      </w:r>
      <w:proofErr w:type="spellStart"/>
      <w:r w:rsidRPr="006D26E5">
        <w:rPr>
          <w:sz w:val="24"/>
          <w:szCs w:val="24"/>
        </w:rPr>
        <w:t>Metibemu</w:t>
      </w:r>
      <w:proofErr w:type="spellEnd"/>
      <w:r w:rsidRPr="006D26E5">
        <w:rPr>
          <w:sz w:val="24"/>
          <w:szCs w:val="24"/>
        </w:rPr>
        <w:t xml:space="preserve">, O. C., </w:t>
      </w:r>
      <w:proofErr w:type="spellStart"/>
      <w:r w:rsidRPr="006D26E5">
        <w:rPr>
          <w:sz w:val="24"/>
          <w:szCs w:val="24"/>
        </w:rPr>
        <w:t>Olutimehin</w:t>
      </w:r>
      <w:proofErr w:type="spellEnd"/>
      <w:r w:rsidRPr="006D26E5">
        <w:rPr>
          <w:sz w:val="24"/>
          <w:szCs w:val="24"/>
        </w:rPr>
        <w:t xml:space="preserve">, A. T., Balogun, A. Y., &amp; Olaniyi, O. O. (2025). The Impact of Artificial Intelligence on Cyber Security in Digital Currency Transactions. </w:t>
      </w:r>
      <w:r w:rsidRPr="006D26E5">
        <w:rPr>
          <w:i/>
          <w:sz w:val="24"/>
          <w:szCs w:val="24"/>
        </w:rPr>
        <w:t>Archives of Current Research International</w:t>
      </w:r>
      <w:r w:rsidRPr="006D26E5">
        <w:rPr>
          <w:sz w:val="24"/>
          <w:szCs w:val="24"/>
        </w:rPr>
        <w:t xml:space="preserve">, </w:t>
      </w:r>
      <w:r w:rsidRPr="006D26E5">
        <w:rPr>
          <w:i/>
          <w:sz w:val="24"/>
          <w:szCs w:val="24"/>
        </w:rPr>
        <w:t>25</w:t>
      </w:r>
      <w:r w:rsidRPr="006D26E5">
        <w:rPr>
          <w:sz w:val="24"/>
          <w:szCs w:val="24"/>
        </w:rPr>
        <w:t xml:space="preserve">(2), 329–351. </w:t>
      </w:r>
      <w:hyperlink r:id="rId17">
        <w:r w:rsidRPr="006D26E5">
          <w:rPr>
            <w:color w:val="1155CC"/>
            <w:sz w:val="24"/>
            <w:szCs w:val="24"/>
            <w:u w:val="single"/>
          </w:rPr>
          <w:t>https://doi.org/10.9734/acri/2025/v25i21090</w:t>
        </w:r>
      </w:hyperlink>
      <w:r w:rsidRPr="006D26E5">
        <w:rPr>
          <w:sz w:val="24"/>
          <w:szCs w:val="24"/>
        </w:rPr>
        <w:t xml:space="preserve"> </w:t>
      </w:r>
    </w:p>
    <w:p w14:paraId="4E1CA7A9" w14:textId="77777777" w:rsidR="00506BCB" w:rsidRPr="006D26E5" w:rsidRDefault="002C4A4D" w:rsidP="00745FF2">
      <w:pPr>
        <w:spacing w:after="240" w:line="240" w:lineRule="auto"/>
        <w:ind w:left="720" w:hanging="720"/>
        <w:rPr>
          <w:sz w:val="24"/>
          <w:szCs w:val="24"/>
        </w:rPr>
      </w:pPr>
      <w:r w:rsidRPr="006D26E5">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6D26E5">
        <w:rPr>
          <w:i/>
          <w:sz w:val="24"/>
          <w:szCs w:val="24"/>
        </w:rPr>
        <w:t>Asian Journal of Economics Business and Accounting</w:t>
      </w:r>
      <w:r w:rsidRPr="006D26E5">
        <w:rPr>
          <w:sz w:val="24"/>
          <w:szCs w:val="24"/>
        </w:rPr>
        <w:t xml:space="preserve">, </w:t>
      </w:r>
      <w:r w:rsidRPr="006D26E5">
        <w:rPr>
          <w:i/>
          <w:sz w:val="24"/>
          <w:szCs w:val="24"/>
        </w:rPr>
        <w:t>24</w:t>
      </w:r>
      <w:r w:rsidRPr="006D26E5">
        <w:rPr>
          <w:sz w:val="24"/>
          <w:szCs w:val="24"/>
        </w:rPr>
        <w:t xml:space="preserve">(11), 47–73. </w:t>
      </w:r>
      <w:hyperlink r:id="rId18">
        <w:r w:rsidRPr="006D26E5">
          <w:rPr>
            <w:color w:val="1155CC"/>
            <w:sz w:val="24"/>
            <w:szCs w:val="24"/>
            <w:u w:val="single"/>
          </w:rPr>
          <w:t>https://doi.org/10.9734/ajeba/2024/v24i111542</w:t>
        </w:r>
      </w:hyperlink>
      <w:r w:rsidRPr="006D26E5">
        <w:rPr>
          <w:sz w:val="24"/>
          <w:szCs w:val="24"/>
        </w:rPr>
        <w:t xml:space="preserve"> </w:t>
      </w:r>
    </w:p>
    <w:p w14:paraId="3C58EF03"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Alghofaili</w:t>
      </w:r>
      <w:proofErr w:type="spellEnd"/>
      <w:r w:rsidRPr="006D26E5">
        <w:rPr>
          <w:sz w:val="24"/>
          <w:szCs w:val="24"/>
        </w:rPr>
        <w:t xml:space="preserve">, Y., </w:t>
      </w:r>
      <w:proofErr w:type="spellStart"/>
      <w:r w:rsidRPr="006D26E5">
        <w:rPr>
          <w:sz w:val="24"/>
          <w:szCs w:val="24"/>
        </w:rPr>
        <w:t>Albattah</w:t>
      </w:r>
      <w:proofErr w:type="spellEnd"/>
      <w:r w:rsidRPr="006D26E5">
        <w:rPr>
          <w:sz w:val="24"/>
          <w:szCs w:val="24"/>
        </w:rPr>
        <w:t xml:space="preserve">, A., </w:t>
      </w:r>
      <w:proofErr w:type="spellStart"/>
      <w:r w:rsidRPr="006D26E5">
        <w:rPr>
          <w:sz w:val="24"/>
          <w:szCs w:val="24"/>
        </w:rPr>
        <w:t>Alrajeh</w:t>
      </w:r>
      <w:proofErr w:type="spellEnd"/>
      <w:r w:rsidRPr="006D26E5">
        <w:rPr>
          <w:sz w:val="24"/>
          <w:szCs w:val="24"/>
        </w:rPr>
        <w:t xml:space="preserve">, N., Rassam, M. A., &amp; Al-rimy, B. A. S. (2021). Secure Cloud Infrastructure: A Survey on Issues, Current Solutions, and Open Challenges. </w:t>
      </w:r>
      <w:r w:rsidRPr="006D26E5">
        <w:rPr>
          <w:i/>
          <w:sz w:val="24"/>
          <w:szCs w:val="24"/>
        </w:rPr>
        <w:t>Applied Sciences</w:t>
      </w:r>
      <w:r w:rsidRPr="006D26E5">
        <w:rPr>
          <w:sz w:val="24"/>
          <w:szCs w:val="24"/>
        </w:rPr>
        <w:t xml:space="preserve">, </w:t>
      </w:r>
      <w:r w:rsidRPr="006D26E5">
        <w:rPr>
          <w:i/>
          <w:sz w:val="24"/>
          <w:szCs w:val="24"/>
        </w:rPr>
        <w:t>11</w:t>
      </w:r>
      <w:r w:rsidRPr="006D26E5">
        <w:rPr>
          <w:sz w:val="24"/>
          <w:szCs w:val="24"/>
        </w:rPr>
        <w:t xml:space="preserve">(19), 9005. MDPI. </w:t>
      </w:r>
      <w:hyperlink r:id="rId19">
        <w:r w:rsidRPr="006D26E5">
          <w:rPr>
            <w:color w:val="1155CC"/>
            <w:sz w:val="24"/>
            <w:szCs w:val="24"/>
            <w:u w:val="single"/>
          </w:rPr>
          <w:t>https://doi.org/10.3390/app11199005</w:t>
        </w:r>
      </w:hyperlink>
      <w:r w:rsidRPr="006D26E5">
        <w:rPr>
          <w:sz w:val="24"/>
          <w:szCs w:val="24"/>
        </w:rPr>
        <w:t xml:space="preserve"> </w:t>
      </w:r>
    </w:p>
    <w:p w14:paraId="3AD62027" w14:textId="77777777" w:rsidR="00506BCB" w:rsidRPr="006D26E5" w:rsidRDefault="002C4A4D" w:rsidP="00745FF2">
      <w:pPr>
        <w:spacing w:after="240" w:line="240" w:lineRule="auto"/>
        <w:ind w:left="720" w:hanging="720"/>
        <w:rPr>
          <w:sz w:val="24"/>
          <w:szCs w:val="24"/>
        </w:rPr>
      </w:pPr>
      <w:r w:rsidRPr="006D26E5">
        <w:rPr>
          <w:sz w:val="24"/>
          <w:szCs w:val="24"/>
        </w:rPr>
        <w:t xml:space="preserve">Allied Market. (2024). </w:t>
      </w:r>
      <w:r w:rsidRPr="006D26E5">
        <w:rPr>
          <w:i/>
          <w:sz w:val="24"/>
          <w:szCs w:val="24"/>
        </w:rPr>
        <w:t>Quantum-resistant Cryptography Solutions Market Size - 2032</w:t>
      </w:r>
      <w:r w:rsidRPr="006D26E5">
        <w:rPr>
          <w:sz w:val="24"/>
          <w:szCs w:val="24"/>
        </w:rPr>
        <w:t xml:space="preserve">. Allied Market Research. </w:t>
      </w:r>
      <w:hyperlink r:id="rId20">
        <w:r w:rsidRPr="006D26E5">
          <w:rPr>
            <w:color w:val="1155CC"/>
            <w:sz w:val="24"/>
            <w:szCs w:val="24"/>
            <w:u w:val="single"/>
          </w:rPr>
          <w:t>https://www.alliedmarketresearch.com/quantum-resistant-cryptography-solutions-market-A324168</w:t>
        </w:r>
      </w:hyperlink>
      <w:r w:rsidRPr="006D26E5">
        <w:rPr>
          <w:sz w:val="24"/>
          <w:szCs w:val="24"/>
        </w:rPr>
        <w:t xml:space="preserve"> </w:t>
      </w:r>
    </w:p>
    <w:p w14:paraId="439C5EBF"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Amaithi</w:t>
      </w:r>
      <w:proofErr w:type="spellEnd"/>
      <w:r w:rsidRPr="006D26E5">
        <w:rPr>
          <w:sz w:val="24"/>
          <w:szCs w:val="24"/>
        </w:rPr>
        <w:t xml:space="preserve"> Rajan, A., &amp; </w:t>
      </w:r>
      <w:proofErr w:type="spellStart"/>
      <w:r w:rsidRPr="006D26E5">
        <w:rPr>
          <w:sz w:val="24"/>
          <w:szCs w:val="24"/>
        </w:rPr>
        <w:t>Vetrian</w:t>
      </w:r>
      <w:proofErr w:type="spellEnd"/>
      <w:r w:rsidRPr="006D26E5">
        <w:rPr>
          <w:sz w:val="24"/>
          <w:szCs w:val="24"/>
        </w:rPr>
        <w:t xml:space="preserve">, V. (2024). </w:t>
      </w:r>
      <w:proofErr w:type="spellStart"/>
      <w:r w:rsidRPr="006D26E5">
        <w:rPr>
          <w:sz w:val="24"/>
          <w:szCs w:val="24"/>
        </w:rPr>
        <w:t>QMedShield</w:t>
      </w:r>
      <w:proofErr w:type="spellEnd"/>
      <w:r w:rsidRPr="006D26E5">
        <w:rPr>
          <w:sz w:val="24"/>
          <w:szCs w:val="24"/>
        </w:rPr>
        <w:t xml:space="preserve">: a novel quantum chaos-based image encryption scheme for secure medical image storage in the cloud. </w:t>
      </w:r>
      <w:r w:rsidRPr="006D26E5">
        <w:rPr>
          <w:i/>
          <w:sz w:val="24"/>
          <w:szCs w:val="24"/>
        </w:rPr>
        <w:t>Journal of Modern Optics</w:t>
      </w:r>
      <w:r w:rsidRPr="006D26E5">
        <w:rPr>
          <w:sz w:val="24"/>
          <w:szCs w:val="24"/>
        </w:rPr>
        <w:t xml:space="preserve">, </w:t>
      </w:r>
      <w:r w:rsidRPr="006D26E5">
        <w:rPr>
          <w:i/>
          <w:sz w:val="24"/>
          <w:szCs w:val="24"/>
        </w:rPr>
        <w:t>71</w:t>
      </w:r>
      <w:r w:rsidRPr="006D26E5">
        <w:rPr>
          <w:sz w:val="24"/>
          <w:szCs w:val="24"/>
        </w:rPr>
        <w:t xml:space="preserve">(13-15), 524–542. </w:t>
      </w:r>
      <w:hyperlink r:id="rId21">
        <w:r w:rsidRPr="006D26E5">
          <w:rPr>
            <w:color w:val="1155CC"/>
            <w:sz w:val="24"/>
            <w:szCs w:val="24"/>
            <w:u w:val="single"/>
          </w:rPr>
          <w:t>https://doi.org/10.1080/09500340.2024.2436521</w:t>
        </w:r>
      </w:hyperlink>
      <w:r w:rsidRPr="006D26E5">
        <w:rPr>
          <w:sz w:val="24"/>
          <w:szCs w:val="24"/>
        </w:rPr>
        <w:t xml:space="preserve"> </w:t>
      </w:r>
    </w:p>
    <w:p w14:paraId="60EB9269" w14:textId="77777777" w:rsidR="00506BCB" w:rsidRPr="00BB38CA" w:rsidRDefault="002C4A4D" w:rsidP="00745FF2">
      <w:pPr>
        <w:spacing w:after="240" w:line="240" w:lineRule="auto"/>
        <w:ind w:left="720" w:hanging="720"/>
        <w:rPr>
          <w:sz w:val="24"/>
          <w:szCs w:val="24"/>
          <w:lang w:val="es-ES"/>
        </w:rPr>
      </w:pPr>
      <w:proofErr w:type="spellStart"/>
      <w:r w:rsidRPr="006D26E5">
        <w:rPr>
          <w:sz w:val="24"/>
          <w:szCs w:val="24"/>
        </w:rPr>
        <w:t>Annamraju</w:t>
      </w:r>
      <w:proofErr w:type="spellEnd"/>
      <w:r w:rsidRPr="006D26E5">
        <w:rPr>
          <w:sz w:val="24"/>
          <w:szCs w:val="24"/>
        </w:rPr>
        <w:t xml:space="preserve">, K. (2024). Applications of Elliptic Curve Cryptography in Secure Communications. </w:t>
      </w:r>
      <w:r w:rsidRPr="00BB38CA">
        <w:rPr>
          <w:i/>
          <w:sz w:val="24"/>
          <w:szCs w:val="24"/>
          <w:lang w:val="es-ES"/>
        </w:rPr>
        <w:t xml:space="preserve">SSRN </w:t>
      </w:r>
      <w:r w:rsidRPr="00BB38CA">
        <w:rPr>
          <w:sz w:val="24"/>
          <w:szCs w:val="24"/>
          <w:lang w:val="es-ES"/>
        </w:rPr>
        <w:t xml:space="preserve">. </w:t>
      </w:r>
      <w:hyperlink r:id="rId22">
        <w:r w:rsidRPr="00BB38CA">
          <w:rPr>
            <w:color w:val="1155CC"/>
            <w:sz w:val="24"/>
            <w:szCs w:val="24"/>
            <w:u w:val="single"/>
            <w:lang w:val="es-ES"/>
          </w:rPr>
          <w:t>https://doi.org/10.2139/ssrn.4932269</w:t>
        </w:r>
      </w:hyperlink>
      <w:r w:rsidRPr="00BB38CA">
        <w:rPr>
          <w:sz w:val="24"/>
          <w:szCs w:val="24"/>
          <w:lang w:val="es-ES"/>
        </w:rPr>
        <w:t xml:space="preserve"> </w:t>
      </w:r>
    </w:p>
    <w:p w14:paraId="485CBBDB"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lastRenderedPageBreak/>
        <w:t>Assa-Agyei</w:t>
      </w:r>
      <w:proofErr w:type="spellEnd"/>
      <w:r w:rsidRPr="00BB38CA">
        <w:rPr>
          <w:sz w:val="24"/>
          <w:szCs w:val="24"/>
          <w:lang w:val="es-ES"/>
        </w:rPr>
        <w:t xml:space="preserve">, K., </w:t>
      </w:r>
      <w:proofErr w:type="spellStart"/>
      <w:r w:rsidRPr="00BB38CA">
        <w:rPr>
          <w:sz w:val="24"/>
          <w:szCs w:val="24"/>
          <w:lang w:val="es-ES"/>
        </w:rPr>
        <w:t>Owa</w:t>
      </w:r>
      <w:proofErr w:type="spellEnd"/>
      <w:r w:rsidRPr="00BB38CA">
        <w:rPr>
          <w:sz w:val="24"/>
          <w:szCs w:val="24"/>
          <w:lang w:val="es-ES"/>
        </w:rPr>
        <w:t>, K., Al-</w:t>
      </w:r>
      <w:proofErr w:type="spellStart"/>
      <w:r w:rsidRPr="00BB38CA">
        <w:rPr>
          <w:sz w:val="24"/>
          <w:szCs w:val="24"/>
          <w:lang w:val="es-ES"/>
        </w:rPr>
        <w:t>Hadhrami</w:t>
      </w:r>
      <w:proofErr w:type="spellEnd"/>
      <w:r w:rsidRPr="00BB38CA">
        <w:rPr>
          <w:sz w:val="24"/>
          <w:szCs w:val="24"/>
          <w:lang w:val="es-ES"/>
        </w:rPr>
        <w:t xml:space="preserve">, T., &amp; </w:t>
      </w:r>
      <w:proofErr w:type="spellStart"/>
      <w:r w:rsidRPr="00BB38CA">
        <w:rPr>
          <w:sz w:val="24"/>
          <w:szCs w:val="24"/>
          <w:lang w:val="es-ES"/>
        </w:rPr>
        <w:t>Olajide</w:t>
      </w:r>
      <w:proofErr w:type="spellEnd"/>
      <w:r w:rsidRPr="00BB38CA">
        <w:rPr>
          <w:sz w:val="24"/>
          <w:szCs w:val="24"/>
          <w:lang w:val="es-ES"/>
        </w:rPr>
        <w:t xml:space="preserve">, F. (2024). </w:t>
      </w:r>
      <w:r w:rsidRPr="006D26E5">
        <w:rPr>
          <w:sz w:val="24"/>
          <w:szCs w:val="24"/>
        </w:rPr>
        <w:t xml:space="preserve">Hybrid Algorithm using Rivest-Shamir-Adleman and Elliptic Curve Cryptography for Secure Email Communication : </w:t>
      </w:r>
      <w:proofErr w:type="spellStart"/>
      <w:r w:rsidRPr="006D26E5">
        <w:rPr>
          <w:sz w:val="24"/>
          <w:szCs w:val="24"/>
        </w:rPr>
        <w:t>WestminsterResearch</w:t>
      </w:r>
      <w:proofErr w:type="spellEnd"/>
      <w:r w:rsidRPr="006D26E5">
        <w:rPr>
          <w:sz w:val="24"/>
          <w:szCs w:val="24"/>
        </w:rPr>
        <w:t xml:space="preserve">. </w:t>
      </w:r>
      <w:r w:rsidRPr="006D26E5">
        <w:rPr>
          <w:i/>
          <w:sz w:val="24"/>
          <w:szCs w:val="24"/>
        </w:rPr>
        <w:t>Westminster.ac.uk</w:t>
      </w:r>
      <w:r w:rsidRPr="006D26E5">
        <w:rPr>
          <w:sz w:val="24"/>
          <w:szCs w:val="24"/>
        </w:rPr>
        <w:t xml:space="preserve">, </w:t>
      </w:r>
      <w:r w:rsidRPr="006D26E5">
        <w:rPr>
          <w:i/>
          <w:sz w:val="24"/>
          <w:szCs w:val="24"/>
        </w:rPr>
        <w:t>15</w:t>
      </w:r>
      <w:r w:rsidRPr="006D26E5">
        <w:rPr>
          <w:sz w:val="24"/>
          <w:szCs w:val="24"/>
        </w:rPr>
        <w:t xml:space="preserve">(4).  </w:t>
      </w:r>
      <w:hyperlink r:id="rId23">
        <w:r w:rsidRPr="006D26E5">
          <w:rPr>
            <w:color w:val="1155CC"/>
            <w:sz w:val="24"/>
            <w:szCs w:val="24"/>
            <w:u w:val="single"/>
          </w:rPr>
          <w:t>https://westminsterresearch.westminster.ac.uk/download/b3922cedfee9c367316cd0df8ff446d2ca5d5b4758b6da9a07571dfb8c137fa7/860620/4-Paper_105-Hybrid_Algorithm_using_Rivest_Shamir_Adleman.pdf</w:t>
        </w:r>
      </w:hyperlink>
      <w:r w:rsidRPr="006D26E5">
        <w:rPr>
          <w:sz w:val="24"/>
          <w:szCs w:val="24"/>
        </w:rPr>
        <w:t xml:space="preserve"> </w:t>
      </w:r>
    </w:p>
    <w:p w14:paraId="289FA81C"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Avsuvarova</w:t>
      </w:r>
      <w:proofErr w:type="spellEnd"/>
      <w:r w:rsidRPr="006D26E5">
        <w:rPr>
          <w:sz w:val="24"/>
          <w:szCs w:val="24"/>
        </w:rPr>
        <w:t xml:space="preserve">, K. (2025). Post-Quantum Cryptography - Securing the Future of Cryptographic Systems. </w:t>
      </w:r>
      <w:r w:rsidRPr="006D26E5">
        <w:rPr>
          <w:i/>
          <w:sz w:val="24"/>
          <w:szCs w:val="24"/>
        </w:rPr>
        <w:t xml:space="preserve">SSRN </w:t>
      </w:r>
      <w:r w:rsidRPr="006D26E5">
        <w:rPr>
          <w:sz w:val="24"/>
          <w:szCs w:val="24"/>
        </w:rPr>
        <w:t xml:space="preserve">. </w:t>
      </w:r>
      <w:hyperlink r:id="rId24">
        <w:r w:rsidRPr="006D26E5">
          <w:rPr>
            <w:color w:val="1155CC"/>
            <w:sz w:val="24"/>
            <w:szCs w:val="24"/>
            <w:u w:val="single"/>
          </w:rPr>
          <w:t>https://doi.org/10.2139/ssrn.5096991</w:t>
        </w:r>
      </w:hyperlink>
      <w:r w:rsidRPr="006D26E5">
        <w:rPr>
          <w:sz w:val="24"/>
          <w:szCs w:val="24"/>
        </w:rPr>
        <w:t xml:space="preserve"> </w:t>
      </w:r>
    </w:p>
    <w:p w14:paraId="10011510"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Aydeger</w:t>
      </w:r>
      <w:proofErr w:type="spellEnd"/>
      <w:r w:rsidRPr="006D26E5">
        <w:rPr>
          <w:sz w:val="24"/>
          <w:szCs w:val="24"/>
        </w:rPr>
        <w:t xml:space="preserve">, A., Zeydan, E., Yadav, A. K., Hemachandra, K. T., &amp; Liyanage, M. (2024). Towards a Quantum-Resilient Future: Strategies for Transitioning to Post-Quantum Cryptography. </w:t>
      </w:r>
      <w:r w:rsidRPr="006D26E5">
        <w:rPr>
          <w:i/>
          <w:sz w:val="24"/>
          <w:szCs w:val="24"/>
        </w:rPr>
        <w:t xml:space="preserve">IEEE </w:t>
      </w:r>
      <w:r w:rsidRPr="006D26E5">
        <w:rPr>
          <w:sz w:val="24"/>
          <w:szCs w:val="24"/>
        </w:rPr>
        <w:t xml:space="preserve">, 195–203. </w:t>
      </w:r>
      <w:hyperlink r:id="rId25">
        <w:r w:rsidRPr="006D26E5">
          <w:rPr>
            <w:color w:val="1155CC"/>
            <w:sz w:val="24"/>
            <w:szCs w:val="24"/>
            <w:u w:val="single"/>
          </w:rPr>
          <w:t>https://doi.org/10.1109/nof62948.2024.10741441</w:t>
        </w:r>
      </w:hyperlink>
      <w:r w:rsidRPr="006D26E5">
        <w:rPr>
          <w:sz w:val="24"/>
          <w:szCs w:val="24"/>
        </w:rPr>
        <w:t xml:space="preserve"> </w:t>
      </w:r>
    </w:p>
    <w:p w14:paraId="1491C6F4" w14:textId="77777777" w:rsidR="00506BCB" w:rsidRPr="006D26E5" w:rsidRDefault="002C4A4D" w:rsidP="00745FF2">
      <w:pPr>
        <w:spacing w:after="240" w:line="240" w:lineRule="auto"/>
        <w:ind w:left="720" w:hanging="720"/>
        <w:rPr>
          <w:sz w:val="24"/>
          <w:szCs w:val="24"/>
        </w:rPr>
      </w:pPr>
      <w:r w:rsidRPr="006D26E5">
        <w:rPr>
          <w:sz w:val="24"/>
          <w:szCs w:val="24"/>
        </w:rPr>
        <w:t xml:space="preserve">Balamurugan, C., Singh, K., Ganesan, G., &amp; Rajarajan, M. (2021). Post-Quantum and Code-Based Cryptography—Some Prospective Research Directions. </w:t>
      </w:r>
      <w:r w:rsidRPr="006D26E5">
        <w:rPr>
          <w:i/>
          <w:sz w:val="24"/>
          <w:szCs w:val="24"/>
        </w:rPr>
        <w:t>Cryptography</w:t>
      </w:r>
      <w:r w:rsidRPr="006D26E5">
        <w:rPr>
          <w:sz w:val="24"/>
          <w:szCs w:val="24"/>
        </w:rPr>
        <w:t xml:space="preserve">, </w:t>
      </w:r>
      <w:r w:rsidRPr="006D26E5">
        <w:rPr>
          <w:i/>
          <w:sz w:val="24"/>
          <w:szCs w:val="24"/>
        </w:rPr>
        <w:t>5</w:t>
      </w:r>
      <w:r w:rsidRPr="006D26E5">
        <w:rPr>
          <w:sz w:val="24"/>
          <w:szCs w:val="24"/>
        </w:rPr>
        <w:t xml:space="preserve">(4), 38. </w:t>
      </w:r>
      <w:hyperlink r:id="rId26">
        <w:r w:rsidRPr="006D26E5">
          <w:rPr>
            <w:color w:val="1155CC"/>
            <w:sz w:val="24"/>
            <w:szCs w:val="24"/>
            <w:u w:val="single"/>
          </w:rPr>
          <w:t>https://doi.org/10.3390/cryptography5040038</w:t>
        </w:r>
      </w:hyperlink>
      <w:r w:rsidRPr="006D26E5">
        <w:rPr>
          <w:sz w:val="24"/>
          <w:szCs w:val="24"/>
        </w:rPr>
        <w:t xml:space="preserve"> </w:t>
      </w:r>
    </w:p>
    <w:p w14:paraId="378A44B3" w14:textId="77777777" w:rsidR="00506BCB" w:rsidRPr="006D26E5" w:rsidRDefault="002C4A4D" w:rsidP="00745FF2">
      <w:pPr>
        <w:spacing w:after="240" w:line="240" w:lineRule="auto"/>
        <w:ind w:left="720" w:hanging="720"/>
        <w:rPr>
          <w:sz w:val="24"/>
          <w:szCs w:val="24"/>
        </w:rPr>
      </w:pPr>
      <w:r w:rsidRPr="006D26E5">
        <w:rPr>
          <w:sz w:val="24"/>
          <w:szCs w:val="24"/>
        </w:rPr>
        <w:t xml:space="preserve">Balogun, A. Y. (2025). Strengthening Compliance with Data Privacy Regulations in U.S. Healthcare Cybersecurity.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(1), 154–173. </w:t>
      </w:r>
      <w:hyperlink r:id="rId27">
        <w:r w:rsidRPr="006D26E5">
          <w:rPr>
            <w:color w:val="1155CC"/>
            <w:sz w:val="24"/>
            <w:szCs w:val="24"/>
            <w:u w:val="single"/>
          </w:rPr>
          <w:t>https://doi.org/10.9734/ajrcos/2025/v18i1555</w:t>
        </w:r>
      </w:hyperlink>
      <w:r w:rsidRPr="006D26E5">
        <w:rPr>
          <w:sz w:val="24"/>
          <w:szCs w:val="24"/>
        </w:rPr>
        <w:t xml:space="preserve"> </w:t>
      </w:r>
    </w:p>
    <w:p w14:paraId="4E7A5A7F" w14:textId="77777777" w:rsidR="00506BCB" w:rsidRPr="006D26E5" w:rsidRDefault="002C4A4D" w:rsidP="00745FF2">
      <w:pPr>
        <w:spacing w:after="240" w:line="240" w:lineRule="auto"/>
        <w:ind w:left="720" w:hanging="720"/>
        <w:rPr>
          <w:sz w:val="24"/>
          <w:szCs w:val="24"/>
        </w:rPr>
      </w:pPr>
      <w:r w:rsidRPr="006D26E5">
        <w:rPr>
          <w:sz w:val="24"/>
          <w:szCs w:val="24"/>
        </w:rPr>
        <w:t xml:space="preserve">Balogun, A. Y., </w:t>
      </w:r>
      <w:proofErr w:type="spellStart"/>
      <w:r w:rsidRPr="006D26E5">
        <w:rPr>
          <w:sz w:val="24"/>
          <w:szCs w:val="24"/>
        </w:rPr>
        <w:t>Metibemu</w:t>
      </w:r>
      <w:proofErr w:type="spellEnd"/>
      <w:r w:rsidRPr="006D26E5">
        <w:rPr>
          <w:sz w:val="24"/>
          <w:szCs w:val="24"/>
        </w:rPr>
        <w:t xml:space="preserve">, O. C., </w:t>
      </w:r>
      <w:proofErr w:type="spellStart"/>
      <w:r w:rsidRPr="006D26E5">
        <w:rPr>
          <w:sz w:val="24"/>
          <w:szCs w:val="24"/>
        </w:rPr>
        <w:t>Olutimehin</w:t>
      </w:r>
      <w:proofErr w:type="spellEnd"/>
      <w:r w:rsidRPr="006D26E5">
        <w:rPr>
          <w:sz w:val="24"/>
          <w:szCs w:val="24"/>
        </w:rPr>
        <w:t xml:space="preserve">, A. T., Ajayi, A. J., Babarinde, D. C., &amp; Olaniyi, O. O. (2025). The Ethical and Legal Implications of Shadow AI in Sensitive Industries: A Focus on Healthcare, Finance and Education.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(3), 1–22. </w:t>
      </w:r>
      <w:hyperlink r:id="rId28">
        <w:r w:rsidRPr="006D26E5">
          <w:rPr>
            <w:color w:val="1155CC"/>
            <w:sz w:val="24"/>
            <w:szCs w:val="24"/>
            <w:u w:val="single"/>
          </w:rPr>
          <w:t>https://doi.org/10.9734/jerr/2025/v27i31414</w:t>
        </w:r>
      </w:hyperlink>
      <w:r w:rsidRPr="006D26E5">
        <w:rPr>
          <w:sz w:val="24"/>
          <w:szCs w:val="24"/>
        </w:rPr>
        <w:t xml:space="preserve"> </w:t>
      </w:r>
    </w:p>
    <w:p w14:paraId="46EEA150"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Balogun</w:t>
      </w:r>
      <w:proofErr w:type="spellEnd"/>
      <w:r w:rsidRPr="00BB38CA">
        <w:rPr>
          <w:sz w:val="24"/>
          <w:szCs w:val="24"/>
          <w:lang w:val="es-ES"/>
        </w:rPr>
        <w:t xml:space="preserve">, A. Y., </w:t>
      </w:r>
      <w:proofErr w:type="spellStart"/>
      <w:r w:rsidRPr="00BB38CA">
        <w:rPr>
          <w:sz w:val="24"/>
          <w:szCs w:val="24"/>
          <w:lang w:val="es-ES"/>
        </w:rPr>
        <w:t>Olaniyi</w:t>
      </w:r>
      <w:proofErr w:type="spellEnd"/>
      <w:r w:rsidRPr="00BB38CA">
        <w:rPr>
          <w:sz w:val="24"/>
          <w:szCs w:val="24"/>
          <w:lang w:val="es-ES"/>
        </w:rPr>
        <w:t xml:space="preserve">, O. O., </w:t>
      </w:r>
      <w:proofErr w:type="spellStart"/>
      <w:r w:rsidRPr="00BB38CA">
        <w:rPr>
          <w:sz w:val="24"/>
          <w:szCs w:val="24"/>
          <w:lang w:val="es-ES"/>
        </w:rPr>
        <w:t>Olisa</w:t>
      </w:r>
      <w:proofErr w:type="spellEnd"/>
      <w:r w:rsidRPr="00BB38CA">
        <w:rPr>
          <w:sz w:val="24"/>
          <w:szCs w:val="24"/>
          <w:lang w:val="es-ES"/>
        </w:rPr>
        <w:t xml:space="preserve">, A. O., </w:t>
      </w:r>
      <w:proofErr w:type="spellStart"/>
      <w:r w:rsidRPr="00BB38CA">
        <w:rPr>
          <w:sz w:val="24"/>
          <w:szCs w:val="24"/>
          <w:lang w:val="es-ES"/>
        </w:rPr>
        <w:t>Gbadebo</w:t>
      </w:r>
      <w:proofErr w:type="spellEnd"/>
      <w:r w:rsidRPr="00BB38CA">
        <w:rPr>
          <w:sz w:val="24"/>
          <w:szCs w:val="24"/>
          <w:lang w:val="es-ES"/>
        </w:rPr>
        <w:t xml:space="preserve">, M. O., &amp; </w:t>
      </w:r>
      <w:proofErr w:type="spellStart"/>
      <w:r w:rsidRPr="00BB38CA">
        <w:rPr>
          <w:sz w:val="24"/>
          <w:szCs w:val="24"/>
          <w:lang w:val="es-ES"/>
        </w:rPr>
        <w:t>Chinye</w:t>
      </w:r>
      <w:proofErr w:type="spellEnd"/>
      <w:r w:rsidRPr="00BB38CA">
        <w:rPr>
          <w:sz w:val="24"/>
          <w:szCs w:val="24"/>
          <w:lang w:val="es-ES"/>
        </w:rPr>
        <w:t xml:space="preserve">, N. C. (2025). </w:t>
      </w:r>
      <w:r w:rsidRPr="006D26E5">
        <w:rPr>
          <w:sz w:val="24"/>
          <w:szCs w:val="24"/>
        </w:rPr>
        <w:t xml:space="preserve">Enhancing Incident Response Strategies in U.S. Healthcare Cybersecurity.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(2), 114–135. </w:t>
      </w:r>
      <w:hyperlink r:id="rId29">
        <w:r w:rsidRPr="006D26E5">
          <w:rPr>
            <w:color w:val="1155CC"/>
            <w:sz w:val="24"/>
            <w:szCs w:val="24"/>
            <w:u w:val="single"/>
          </w:rPr>
          <w:t>https://doi.org/10.9734/jerr/2025/v27i21399</w:t>
        </w:r>
      </w:hyperlink>
      <w:r w:rsidRPr="006D26E5">
        <w:rPr>
          <w:sz w:val="24"/>
          <w:szCs w:val="24"/>
        </w:rPr>
        <w:t xml:space="preserve"> </w:t>
      </w:r>
    </w:p>
    <w:p w14:paraId="4BAF5879"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Baseri</w:t>
      </w:r>
      <w:proofErr w:type="spellEnd"/>
      <w:r w:rsidRPr="006D26E5">
        <w:rPr>
          <w:sz w:val="24"/>
          <w:szCs w:val="24"/>
        </w:rPr>
        <w:t xml:space="preserve">, Y., Chouhan, V., &amp; Hafid, A. (2024). Navigating quantum security risks in networked environments: A comprehensive study of quantum-safe network protocols. </w:t>
      </w:r>
      <w:r w:rsidRPr="006D26E5">
        <w:rPr>
          <w:i/>
          <w:sz w:val="24"/>
          <w:szCs w:val="24"/>
        </w:rPr>
        <w:t>Computers &amp; Security</w:t>
      </w:r>
      <w:r w:rsidRPr="006D26E5">
        <w:rPr>
          <w:sz w:val="24"/>
          <w:szCs w:val="24"/>
        </w:rPr>
        <w:t xml:space="preserve">, </w:t>
      </w:r>
      <w:r w:rsidRPr="006D26E5">
        <w:rPr>
          <w:i/>
          <w:sz w:val="24"/>
          <w:szCs w:val="24"/>
        </w:rPr>
        <w:t>142</w:t>
      </w:r>
      <w:r w:rsidRPr="006D26E5">
        <w:rPr>
          <w:sz w:val="24"/>
          <w:szCs w:val="24"/>
        </w:rPr>
        <w:t xml:space="preserve">, 103883. </w:t>
      </w:r>
      <w:hyperlink r:id="rId30">
        <w:r w:rsidRPr="006D26E5">
          <w:rPr>
            <w:color w:val="1155CC"/>
            <w:sz w:val="24"/>
            <w:szCs w:val="24"/>
            <w:u w:val="single"/>
          </w:rPr>
          <w:t>https://doi.org/10.1016/j.cose.2024.103883</w:t>
        </w:r>
      </w:hyperlink>
      <w:r w:rsidRPr="006D26E5">
        <w:rPr>
          <w:sz w:val="24"/>
          <w:szCs w:val="24"/>
        </w:rPr>
        <w:t xml:space="preserve"> </w:t>
      </w:r>
    </w:p>
    <w:p w14:paraId="20E1EEB4" w14:textId="77777777" w:rsidR="00506BCB" w:rsidRPr="006D26E5" w:rsidRDefault="002C4A4D" w:rsidP="00745FF2">
      <w:pPr>
        <w:spacing w:after="240" w:line="240" w:lineRule="auto"/>
        <w:ind w:left="720" w:hanging="720"/>
        <w:rPr>
          <w:sz w:val="24"/>
          <w:szCs w:val="24"/>
        </w:rPr>
      </w:pPr>
      <w:r w:rsidRPr="006D26E5">
        <w:rPr>
          <w:sz w:val="24"/>
          <w:szCs w:val="24"/>
        </w:rPr>
        <w:t xml:space="preserve">Burrell, D. N. (2024). Understanding Healthcare Cybersecurity Risk Management Complexity. </w:t>
      </w:r>
      <w:proofErr w:type="spellStart"/>
      <w:r w:rsidRPr="006D26E5">
        <w:rPr>
          <w:i/>
          <w:sz w:val="24"/>
          <w:szCs w:val="24"/>
        </w:rPr>
        <w:t>Revista</w:t>
      </w:r>
      <w:proofErr w:type="spellEnd"/>
      <w:r w:rsidRPr="006D26E5">
        <w:rPr>
          <w:i/>
          <w:sz w:val="24"/>
          <w:szCs w:val="24"/>
        </w:rPr>
        <w:t xml:space="preserve"> </w:t>
      </w:r>
      <w:proofErr w:type="spellStart"/>
      <w:r w:rsidRPr="006D26E5">
        <w:rPr>
          <w:i/>
          <w:sz w:val="24"/>
          <w:szCs w:val="24"/>
        </w:rPr>
        <w:t>Academiei</w:t>
      </w:r>
      <w:proofErr w:type="spellEnd"/>
      <w:r w:rsidRPr="006D26E5">
        <w:rPr>
          <w:i/>
          <w:sz w:val="24"/>
          <w:szCs w:val="24"/>
        </w:rPr>
        <w:t xml:space="preserve"> </w:t>
      </w:r>
      <w:proofErr w:type="spellStart"/>
      <w:r w:rsidRPr="006D26E5">
        <w:rPr>
          <w:i/>
          <w:sz w:val="24"/>
          <w:szCs w:val="24"/>
        </w:rPr>
        <w:t>Forţelor</w:t>
      </w:r>
      <w:proofErr w:type="spellEnd"/>
      <w:r w:rsidRPr="006D26E5">
        <w:rPr>
          <w:i/>
          <w:sz w:val="24"/>
          <w:szCs w:val="24"/>
        </w:rPr>
        <w:t xml:space="preserve"> </w:t>
      </w:r>
      <w:proofErr w:type="spellStart"/>
      <w:r w:rsidRPr="006D26E5">
        <w:rPr>
          <w:i/>
          <w:sz w:val="24"/>
          <w:szCs w:val="24"/>
        </w:rPr>
        <w:t>Terestre</w:t>
      </w:r>
      <w:proofErr w:type="spellEnd"/>
      <w:r w:rsidRPr="006D26E5">
        <w:rPr>
          <w:sz w:val="24"/>
          <w:szCs w:val="24"/>
        </w:rPr>
        <w:t xml:space="preserve">, </w:t>
      </w:r>
      <w:r w:rsidRPr="006D26E5">
        <w:rPr>
          <w:i/>
          <w:sz w:val="24"/>
          <w:szCs w:val="24"/>
        </w:rPr>
        <w:t>29</w:t>
      </w:r>
      <w:r w:rsidRPr="006D26E5">
        <w:rPr>
          <w:sz w:val="24"/>
          <w:szCs w:val="24"/>
        </w:rPr>
        <w:t xml:space="preserve">(1), 38–49. </w:t>
      </w:r>
      <w:hyperlink r:id="rId31">
        <w:r w:rsidRPr="006D26E5">
          <w:rPr>
            <w:color w:val="1155CC"/>
            <w:sz w:val="24"/>
            <w:szCs w:val="24"/>
            <w:u w:val="single"/>
          </w:rPr>
          <w:t>https://doi.org/10.2478/raft-2024-0004</w:t>
        </w:r>
      </w:hyperlink>
      <w:r w:rsidRPr="006D26E5">
        <w:rPr>
          <w:sz w:val="24"/>
          <w:szCs w:val="24"/>
        </w:rPr>
        <w:t xml:space="preserve"> </w:t>
      </w:r>
    </w:p>
    <w:p w14:paraId="168F3394" w14:textId="77777777" w:rsidR="00506BCB" w:rsidRPr="006D26E5" w:rsidRDefault="002C4A4D" w:rsidP="00745FF2">
      <w:pPr>
        <w:spacing w:after="240" w:line="240" w:lineRule="auto"/>
        <w:ind w:left="720" w:hanging="720"/>
        <w:rPr>
          <w:sz w:val="24"/>
          <w:szCs w:val="24"/>
        </w:rPr>
      </w:pPr>
      <w:r w:rsidRPr="006D26E5">
        <w:rPr>
          <w:sz w:val="24"/>
          <w:szCs w:val="24"/>
        </w:rPr>
        <w:t xml:space="preserve">Choucair, C. (2024). </w:t>
      </w:r>
      <w:r w:rsidRPr="006D26E5">
        <w:rPr>
          <w:i/>
          <w:sz w:val="24"/>
          <w:szCs w:val="24"/>
        </w:rPr>
        <w:t>PQC Network Instrument Reveals Limited Adoption of Quantum-Resistant Protocols PQC Network Instrument Reveals Limited Adoption of Quantum-Resistant Protocols</w:t>
      </w:r>
      <w:r w:rsidRPr="006D26E5">
        <w:rPr>
          <w:sz w:val="24"/>
          <w:szCs w:val="24"/>
        </w:rPr>
        <w:t xml:space="preserve">. The Quantum Insider. </w:t>
      </w:r>
      <w:hyperlink r:id="rId32">
        <w:r w:rsidRPr="006D26E5">
          <w:rPr>
            <w:color w:val="1155CC"/>
            <w:sz w:val="24"/>
            <w:szCs w:val="24"/>
            <w:u w:val="single"/>
          </w:rPr>
          <w:t>https://thequantuminsider.com/2024/10/30/pqc-network-instrument-reveals-limited-adoption-of-quantum-resistant-protocols/</w:t>
        </w:r>
      </w:hyperlink>
      <w:r w:rsidRPr="006D26E5">
        <w:rPr>
          <w:sz w:val="24"/>
          <w:szCs w:val="24"/>
        </w:rPr>
        <w:t xml:space="preserve"> </w:t>
      </w:r>
    </w:p>
    <w:p w14:paraId="0EBA737C" w14:textId="77777777" w:rsidR="00506BCB" w:rsidRPr="006D26E5" w:rsidRDefault="002C4A4D" w:rsidP="00745FF2">
      <w:pPr>
        <w:spacing w:after="240" w:line="240" w:lineRule="auto"/>
        <w:ind w:left="720" w:hanging="720"/>
        <w:rPr>
          <w:sz w:val="24"/>
          <w:szCs w:val="24"/>
        </w:rPr>
      </w:pPr>
      <w:r w:rsidRPr="006D26E5">
        <w:rPr>
          <w:sz w:val="24"/>
          <w:szCs w:val="24"/>
        </w:rPr>
        <w:lastRenderedPageBreak/>
        <w:t xml:space="preserve">CISA. (2023). </w:t>
      </w:r>
      <w:r w:rsidRPr="006D26E5">
        <w:rPr>
          <w:i/>
          <w:sz w:val="24"/>
          <w:szCs w:val="24"/>
        </w:rPr>
        <w:t>CISA, NSA, and NIST Publish Factsheet on Quantum Readiness | CISA</w:t>
      </w:r>
      <w:r w:rsidRPr="006D26E5">
        <w:rPr>
          <w:sz w:val="24"/>
          <w:szCs w:val="24"/>
        </w:rPr>
        <w:t xml:space="preserve">. Www.cisa.gov. </w:t>
      </w:r>
      <w:hyperlink r:id="rId33">
        <w:r w:rsidRPr="006D26E5">
          <w:rPr>
            <w:color w:val="1155CC"/>
            <w:sz w:val="24"/>
            <w:szCs w:val="24"/>
            <w:u w:val="single"/>
          </w:rPr>
          <w:t>https://www.cisa.gov/news-events/alerts/2023/08/21/cisa-nsa-and-nist-publish-factsheet-quantum-readiness</w:t>
        </w:r>
      </w:hyperlink>
      <w:r w:rsidRPr="006D26E5">
        <w:rPr>
          <w:sz w:val="24"/>
          <w:szCs w:val="24"/>
        </w:rPr>
        <w:t xml:space="preserve"> </w:t>
      </w:r>
    </w:p>
    <w:p w14:paraId="21ED10CC" w14:textId="77777777" w:rsidR="00506BCB" w:rsidRPr="006D26E5" w:rsidRDefault="002C4A4D" w:rsidP="00745FF2">
      <w:pPr>
        <w:spacing w:after="240" w:line="240" w:lineRule="auto"/>
        <w:ind w:left="720" w:hanging="720"/>
        <w:rPr>
          <w:sz w:val="24"/>
          <w:szCs w:val="24"/>
        </w:rPr>
      </w:pPr>
      <w:r w:rsidRPr="006D26E5">
        <w:rPr>
          <w:sz w:val="24"/>
          <w:szCs w:val="24"/>
        </w:rPr>
        <w:t xml:space="preserve">Cloud Security Alliance. (2024). </w:t>
      </w:r>
      <w:r w:rsidRPr="006D26E5">
        <w:rPr>
          <w:i/>
          <w:sz w:val="24"/>
          <w:szCs w:val="24"/>
        </w:rPr>
        <w:t>Quantum-Safe Security with the Cloud Controls Matrix | CSA</w:t>
      </w:r>
      <w:r w:rsidRPr="006D26E5">
        <w:rPr>
          <w:sz w:val="24"/>
          <w:szCs w:val="24"/>
        </w:rPr>
        <w:t xml:space="preserve">. Cloudsecurityalliance.org. </w:t>
      </w:r>
      <w:hyperlink r:id="rId34">
        <w:r w:rsidRPr="006D26E5">
          <w:rPr>
            <w:color w:val="1155CC"/>
            <w:sz w:val="24"/>
            <w:szCs w:val="24"/>
            <w:u w:val="single"/>
          </w:rPr>
          <w:t>https://cloudsecurityalliance.org/artifacts/quantum-safe-security-governance-with-the-cloud-controls-matrix</w:t>
        </w:r>
      </w:hyperlink>
      <w:r w:rsidRPr="006D26E5">
        <w:rPr>
          <w:sz w:val="24"/>
          <w:szCs w:val="24"/>
        </w:rPr>
        <w:t xml:space="preserve"> </w:t>
      </w:r>
    </w:p>
    <w:p w14:paraId="1EAA3728" w14:textId="77777777" w:rsidR="00506BCB" w:rsidRPr="006D26E5" w:rsidRDefault="002C4A4D" w:rsidP="00745FF2">
      <w:pPr>
        <w:spacing w:after="240" w:line="240" w:lineRule="auto"/>
        <w:ind w:left="720" w:hanging="720"/>
        <w:rPr>
          <w:sz w:val="24"/>
          <w:szCs w:val="24"/>
        </w:rPr>
      </w:pPr>
      <w:r w:rsidRPr="006D26E5">
        <w:rPr>
          <w:sz w:val="24"/>
          <w:szCs w:val="24"/>
        </w:rPr>
        <w:t xml:space="preserve">Computer Security Division. (2016). </w:t>
      </w:r>
      <w:r w:rsidRPr="006D26E5">
        <w:rPr>
          <w:i/>
          <w:sz w:val="24"/>
          <w:szCs w:val="24"/>
        </w:rPr>
        <w:t>Cryptographic Standards and Guidelines | CSRC | CSRC</w:t>
      </w:r>
      <w:r w:rsidRPr="006D26E5">
        <w:rPr>
          <w:sz w:val="24"/>
          <w:szCs w:val="24"/>
        </w:rPr>
        <w:t xml:space="preserve">. CSRC | NIST. </w:t>
      </w:r>
      <w:hyperlink r:id="rId35">
        <w:r w:rsidRPr="006D26E5">
          <w:rPr>
            <w:color w:val="1155CC"/>
            <w:sz w:val="24"/>
            <w:szCs w:val="24"/>
            <w:u w:val="single"/>
          </w:rPr>
          <w:t>https://csrc.nist.gov/projects/cryptographic-standards-and-guidelines</w:t>
        </w:r>
      </w:hyperlink>
      <w:r w:rsidRPr="006D26E5">
        <w:rPr>
          <w:sz w:val="24"/>
          <w:szCs w:val="24"/>
        </w:rPr>
        <w:t xml:space="preserve"> </w:t>
      </w:r>
    </w:p>
    <w:p w14:paraId="0312B33B" w14:textId="77777777" w:rsidR="00506BCB" w:rsidRPr="006D26E5" w:rsidRDefault="002C4A4D" w:rsidP="00745FF2">
      <w:pPr>
        <w:spacing w:after="240" w:line="240" w:lineRule="auto"/>
        <w:ind w:left="720" w:hanging="720"/>
        <w:rPr>
          <w:sz w:val="24"/>
          <w:szCs w:val="24"/>
        </w:rPr>
      </w:pPr>
      <w:r w:rsidRPr="006D26E5">
        <w:rPr>
          <w:sz w:val="24"/>
          <w:szCs w:val="24"/>
        </w:rPr>
        <w:t xml:space="preserve">Cyber Management Alliance. (2024). </w:t>
      </w:r>
      <w:r w:rsidRPr="006D26E5">
        <w:rPr>
          <w:i/>
          <w:sz w:val="24"/>
          <w:szCs w:val="24"/>
        </w:rPr>
        <w:t>NHS Software Supplier faces £6 million fine over Ransomware failings</w:t>
      </w:r>
      <w:r w:rsidRPr="006D26E5">
        <w:rPr>
          <w:sz w:val="24"/>
          <w:szCs w:val="24"/>
        </w:rPr>
        <w:t xml:space="preserve">. Cm-Alliance.com. </w:t>
      </w:r>
      <w:hyperlink r:id="rId36">
        <w:r w:rsidRPr="006D26E5">
          <w:rPr>
            <w:color w:val="1155CC"/>
            <w:sz w:val="24"/>
            <w:szCs w:val="24"/>
            <w:u w:val="single"/>
          </w:rPr>
          <w:t>https://www.cm-alliance.com/cybersecurity-blog/nhs-software-supplier-faces-6-million-fine-over-ransomware-failings</w:t>
        </w:r>
      </w:hyperlink>
      <w:r w:rsidRPr="006D26E5">
        <w:rPr>
          <w:sz w:val="24"/>
          <w:szCs w:val="24"/>
        </w:rPr>
        <w:t xml:space="preserve"> </w:t>
      </w:r>
    </w:p>
    <w:p w14:paraId="7F728CA9"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Devadas</w:t>
      </w:r>
      <w:proofErr w:type="spellEnd"/>
      <w:r w:rsidRPr="00BB38CA">
        <w:rPr>
          <w:sz w:val="24"/>
          <w:szCs w:val="24"/>
          <w:lang w:val="es-ES"/>
        </w:rPr>
        <w:t xml:space="preserve">, R., </w:t>
      </w:r>
      <w:proofErr w:type="spellStart"/>
      <w:r w:rsidRPr="00BB38CA">
        <w:rPr>
          <w:sz w:val="24"/>
          <w:szCs w:val="24"/>
          <w:lang w:val="es-ES"/>
        </w:rPr>
        <w:t>Hiremani</w:t>
      </w:r>
      <w:proofErr w:type="spellEnd"/>
      <w:r w:rsidRPr="00BB38CA">
        <w:rPr>
          <w:sz w:val="24"/>
          <w:szCs w:val="24"/>
          <w:lang w:val="es-ES"/>
        </w:rPr>
        <w:t xml:space="preserve">, V., </w:t>
      </w:r>
      <w:proofErr w:type="spellStart"/>
      <w:r w:rsidRPr="00BB38CA">
        <w:rPr>
          <w:sz w:val="24"/>
          <w:szCs w:val="24"/>
          <w:lang w:val="es-ES"/>
        </w:rPr>
        <w:t>Rani</w:t>
      </w:r>
      <w:proofErr w:type="spellEnd"/>
      <w:r w:rsidRPr="00BB38CA">
        <w:rPr>
          <w:sz w:val="24"/>
          <w:szCs w:val="24"/>
          <w:lang w:val="es-ES"/>
        </w:rPr>
        <w:t xml:space="preserve">, N. S., </w:t>
      </w:r>
      <w:proofErr w:type="spellStart"/>
      <w:r w:rsidRPr="00BB38CA">
        <w:rPr>
          <w:sz w:val="24"/>
          <w:szCs w:val="24"/>
          <w:lang w:val="es-ES"/>
        </w:rPr>
        <w:t>Bhavya</w:t>
      </w:r>
      <w:proofErr w:type="spellEnd"/>
      <w:r w:rsidRPr="00BB38CA">
        <w:rPr>
          <w:sz w:val="24"/>
          <w:szCs w:val="24"/>
          <w:lang w:val="es-ES"/>
        </w:rPr>
        <w:t xml:space="preserve"> , K. R., &amp; </w:t>
      </w:r>
      <w:proofErr w:type="spellStart"/>
      <w:r w:rsidRPr="00BB38CA">
        <w:rPr>
          <w:sz w:val="24"/>
          <w:szCs w:val="24"/>
          <w:lang w:val="es-ES"/>
        </w:rPr>
        <w:t>Sapna</w:t>
      </w:r>
      <w:proofErr w:type="spellEnd"/>
      <w:r w:rsidRPr="00BB38CA">
        <w:rPr>
          <w:sz w:val="24"/>
          <w:szCs w:val="24"/>
          <w:lang w:val="es-ES"/>
        </w:rPr>
        <w:t xml:space="preserve">, R. (2024). </w:t>
      </w:r>
      <w:r w:rsidRPr="006D26E5">
        <w:rPr>
          <w:sz w:val="24"/>
          <w:szCs w:val="24"/>
        </w:rPr>
        <w:t xml:space="preserve">A Comprehensive Study on Patient Privacy and Data Security in Big Data Healthcare Applications. </w:t>
      </w:r>
      <w:r w:rsidRPr="006D26E5">
        <w:rPr>
          <w:i/>
          <w:sz w:val="24"/>
          <w:szCs w:val="24"/>
        </w:rPr>
        <w:t>Advances in Medical Technologies and Clinical Practice Book Series</w:t>
      </w:r>
      <w:r w:rsidRPr="006D26E5">
        <w:rPr>
          <w:sz w:val="24"/>
          <w:szCs w:val="24"/>
        </w:rPr>
        <w:t xml:space="preserve">, 23–41. </w:t>
      </w:r>
      <w:hyperlink r:id="rId37">
        <w:r w:rsidRPr="006D26E5">
          <w:rPr>
            <w:color w:val="1155CC"/>
            <w:sz w:val="24"/>
            <w:szCs w:val="24"/>
            <w:u w:val="single"/>
          </w:rPr>
          <w:t>https://doi.org/10.4018/979-8-3693-2703-6.ch002</w:t>
        </w:r>
      </w:hyperlink>
      <w:r w:rsidRPr="006D26E5">
        <w:rPr>
          <w:sz w:val="24"/>
          <w:szCs w:val="24"/>
        </w:rPr>
        <w:t xml:space="preserve"> </w:t>
      </w:r>
    </w:p>
    <w:p w14:paraId="688B325F"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Dhinakaran</w:t>
      </w:r>
      <w:proofErr w:type="spellEnd"/>
      <w:r w:rsidRPr="00BB38CA">
        <w:rPr>
          <w:sz w:val="24"/>
          <w:szCs w:val="24"/>
          <w:lang w:val="es-ES"/>
        </w:rPr>
        <w:t xml:space="preserve">, D., Srinivasan, L., </w:t>
      </w:r>
      <w:proofErr w:type="spellStart"/>
      <w:r w:rsidRPr="00BB38CA">
        <w:rPr>
          <w:sz w:val="24"/>
          <w:szCs w:val="24"/>
          <w:lang w:val="es-ES"/>
        </w:rPr>
        <w:t>Udhaya</w:t>
      </w:r>
      <w:proofErr w:type="spellEnd"/>
      <w:r w:rsidRPr="00BB38CA">
        <w:rPr>
          <w:sz w:val="24"/>
          <w:szCs w:val="24"/>
          <w:lang w:val="es-ES"/>
        </w:rPr>
        <w:t xml:space="preserve"> </w:t>
      </w:r>
      <w:proofErr w:type="spellStart"/>
      <w:r w:rsidRPr="00BB38CA">
        <w:rPr>
          <w:sz w:val="24"/>
          <w:szCs w:val="24"/>
          <w:lang w:val="es-ES"/>
        </w:rPr>
        <w:t>Sankar</w:t>
      </w:r>
      <w:proofErr w:type="spellEnd"/>
      <w:r w:rsidRPr="00BB38CA">
        <w:rPr>
          <w:sz w:val="24"/>
          <w:szCs w:val="24"/>
          <w:lang w:val="es-ES"/>
        </w:rPr>
        <w:t xml:space="preserve">, S. M., &amp; </w:t>
      </w:r>
      <w:proofErr w:type="spellStart"/>
      <w:r w:rsidRPr="00BB38CA">
        <w:rPr>
          <w:sz w:val="24"/>
          <w:szCs w:val="24"/>
          <w:lang w:val="es-ES"/>
        </w:rPr>
        <w:t>Selvaraj</w:t>
      </w:r>
      <w:proofErr w:type="spellEnd"/>
      <w:r w:rsidRPr="00BB38CA">
        <w:rPr>
          <w:sz w:val="24"/>
          <w:szCs w:val="24"/>
          <w:lang w:val="es-ES"/>
        </w:rPr>
        <w:t xml:space="preserve">, D. (2024). </w:t>
      </w:r>
      <w:r w:rsidRPr="006D26E5">
        <w:rPr>
          <w:sz w:val="24"/>
          <w:szCs w:val="24"/>
        </w:rPr>
        <w:t xml:space="preserve">Quantum-based privacy-preserving techniques for secure and trustworthy internet of medical things an extensive analysis. </w:t>
      </w:r>
      <w:r w:rsidRPr="006D26E5">
        <w:rPr>
          <w:i/>
          <w:sz w:val="24"/>
          <w:szCs w:val="24"/>
        </w:rPr>
        <w:t>Quantum Information &amp; Computation</w:t>
      </w:r>
      <w:r w:rsidRPr="006D26E5">
        <w:rPr>
          <w:sz w:val="24"/>
          <w:szCs w:val="24"/>
        </w:rPr>
        <w:t xml:space="preserve">, </w:t>
      </w:r>
      <w:r w:rsidRPr="006D26E5">
        <w:rPr>
          <w:i/>
          <w:sz w:val="24"/>
          <w:szCs w:val="24"/>
        </w:rPr>
        <w:t>24</w:t>
      </w:r>
      <w:r w:rsidRPr="006D26E5">
        <w:rPr>
          <w:sz w:val="24"/>
          <w:szCs w:val="24"/>
        </w:rPr>
        <w:t xml:space="preserve">(3&amp;4), 227–266. </w:t>
      </w:r>
      <w:hyperlink r:id="rId38">
        <w:r w:rsidRPr="006D26E5">
          <w:rPr>
            <w:color w:val="1155CC"/>
            <w:sz w:val="24"/>
            <w:szCs w:val="24"/>
            <w:u w:val="single"/>
          </w:rPr>
          <w:t>https://doi.org/10.26421/qic24.3-4-3</w:t>
        </w:r>
      </w:hyperlink>
      <w:r w:rsidRPr="006D26E5">
        <w:rPr>
          <w:sz w:val="24"/>
          <w:szCs w:val="24"/>
        </w:rPr>
        <w:t xml:space="preserve"> </w:t>
      </w:r>
    </w:p>
    <w:p w14:paraId="3F18448C" w14:textId="77777777" w:rsidR="00506BCB" w:rsidRPr="006D26E5" w:rsidRDefault="002C4A4D" w:rsidP="00745FF2">
      <w:pPr>
        <w:spacing w:after="240" w:line="240" w:lineRule="auto"/>
        <w:ind w:left="720" w:hanging="720"/>
        <w:rPr>
          <w:sz w:val="24"/>
          <w:szCs w:val="24"/>
        </w:rPr>
      </w:pPr>
      <w:r w:rsidRPr="006D26E5">
        <w:rPr>
          <w:sz w:val="24"/>
          <w:szCs w:val="24"/>
        </w:rPr>
        <w:t xml:space="preserve">European Union. (2024). </w:t>
      </w:r>
      <w:r w:rsidRPr="006D26E5">
        <w:rPr>
          <w:i/>
          <w:sz w:val="24"/>
          <w:szCs w:val="24"/>
        </w:rPr>
        <w:t>Commission Recommendation (EU) 2024/1101 of 11 April 2024 on a Coordinated Implementation Roadmap for the transition to Post-Quantum Cryptography - Publications Office of the EU</w:t>
      </w:r>
      <w:r w:rsidRPr="006D26E5">
        <w:rPr>
          <w:sz w:val="24"/>
          <w:szCs w:val="24"/>
        </w:rPr>
        <w:t xml:space="preserve">. Publications Office of the EU. </w:t>
      </w:r>
      <w:hyperlink r:id="rId39">
        <w:r w:rsidRPr="006D26E5">
          <w:rPr>
            <w:color w:val="1155CC"/>
            <w:sz w:val="24"/>
            <w:szCs w:val="24"/>
            <w:u w:val="single"/>
          </w:rPr>
          <w:t>https://op.europa.eu/en/publication-detail/-/publication/c7056d4f-f869-11ee-a251-01aa75ed71a1/language-en</w:t>
        </w:r>
      </w:hyperlink>
      <w:r w:rsidRPr="006D26E5">
        <w:rPr>
          <w:sz w:val="24"/>
          <w:szCs w:val="24"/>
        </w:rPr>
        <w:t xml:space="preserve"> </w:t>
      </w:r>
    </w:p>
    <w:p w14:paraId="210A8721"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Fazrina</w:t>
      </w:r>
      <w:proofErr w:type="spellEnd"/>
      <w:r w:rsidRPr="006D26E5">
        <w:rPr>
          <w:sz w:val="24"/>
          <w:szCs w:val="24"/>
        </w:rPr>
        <w:t xml:space="preserve">, N. (2024). Securing Distributed Sensor Systems Through Adaptive Encryption Algorithms in 5G-Based Smart Energy Networks. </w:t>
      </w:r>
      <w:r w:rsidRPr="006D26E5">
        <w:rPr>
          <w:i/>
          <w:sz w:val="24"/>
          <w:szCs w:val="24"/>
        </w:rPr>
        <w:t>Open Journal of Robotics, Autonomous Decision-Making, and Human-Machine Interaction</w:t>
      </w:r>
      <w:r w:rsidRPr="006D26E5">
        <w:rPr>
          <w:sz w:val="24"/>
          <w:szCs w:val="24"/>
        </w:rPr>
        <w:t xml:space="preserve">, </w:t>
      </w:r>
      <w:r w:rsidRPr="006D26E5">
        <w:rPr>
          <w:i/>
          <w:sz w:val="24"/>
          <w:szCs w:val="24"/>
        </w:rPr>
        <w:t>9</w:t>
      </w:r>
      <w:r w:rsidRPr="006D26E5">
        <w:rPr>
          <w:sz w:val="24"/>
          <w:szCs w:val="24"/>
        </w:rPr>
        <w:t xml:space="preserve">(11), 18–27. </w:t>
      </w:r>
      <w:hyperlink r:id="rId40">
        <w:r w:rsidRPr="006D26E5">
          <w:rPr>
            <w:color w:val="1155CC"/>
            <w:sz w:val="24"/>
            <w:szCs w:val="24"/>
            <w:u w:val="single"/>
          </w:rPr>
          <w:t>https://openscis.com/index.php/OJRADHI/article/view/2024-11-10</w:t>
        </w:r>
      </w:hyperlink>
      <w:r w:rsidRPr="006D26E5">
        <w:rPr>
          <w:sz w:val="24"/>
          <w:szCs w:val="24"/>
        </w:rPr>
        <w:t xml:space="preserve"> </w:t>
      </w:r>
    </w:p>
    <w:p w14:paraId="2BEEAF6B" w14:textId="77777777" w:rsidR="00506BCB" w:rsidRPr="006D26E5" w:rsidRDefault="002C4A4D" w:rsidP="00745FF2">
      <w:pPr>
        <w:spacing w:after="240" w:line="240" w:lineRule="auto"/>
        <w:ind w:left="720" w:hanging="720"/>
        <w:rPr>
          <w:sz w:val="24"/>
          <w:szCs w:val="24"/>
        </w:rPr>
      </w:pPr>
      <w:r w:rsidRPr="006D26E5">
        <w:rPr>
          <w:sz w:val="24"/>
          <w:szCs w:val="24"/>
        </w:rPr>
        <w:t xml:space="preserve">Firmansyah, B., &amp; Bansal, R. (2024). Standardization and Regulatory Challenges in Modern Cryptography. </w:t>
      </w:r>
      <w:r w:rsidRPr="006D26E5">
        <w:rPr>
          <w:i/>
          <w:sz w:val="24"/>
          <w:szCs w:val="24"/>
        </w:rPr>
        <w:t>Advances in Information Security, Privacy, and Ethics Book Series</w:t>
      </w:r>
      <w:r w:rsidRPr="006D26E5">
        <w:rPr>
          <w:sz w:val="24"/>
          <w:szCs w:val="24"/>
        </w:rPr>
        <w:t xml:space="preserve">, 145–183. </w:t>
      </w:r>
      <w:hyperlink r:id="rId41">
        <w:r w:rsidRPr="006D26E5">
          <w:rPr>
            <w:color w:val="1155CC"/>
            <w:sz w:val="24"/>
            <w:szCs w:val="24"/>
            <w:u w:val="single"/>
          </w:rPr>
          <w:t>https://doi.org/10.4018/979-8-3693-3824-7.ch006</w:t>
        </w:r>
      </w:hyperlink>
      <w:r w:rsidRPr="006D26E5">
        <w:rPr>
          <w:sz w:val="24"/>
          <w:szCs w:val="24"/>
        </w:rPr>
        <w:t xml:space="preserve"> </w:t>
      </w:r>
    </w:p>
    <w:p w14:paraId="7ECC58B6"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Gbadebo</w:t>
      </w:r>
      <w:proofErr w:type="spellEnd"/>
      <w:r w:rsidRPr="00BB38CA">
        <w:rPr>
          <w:sz w:val="24"/>
          <w:szCs w:val="24"/>
          <w:lang w:val="es-ES"/>
        </w:rPr>
        <w:t xml:space="preserve">, M. O., </w:t>
      </w:r>
      <w:proofErr w:type="spellStart"/>
      <w:r w:rsidRPr="00BB38CA">
        <w:rPr>
          <w:sz w:val="24"/>
          <w:szCs w:val="24"/>
          <w:lang w:val="es-ES"/>
        </w:rPr>
        <w:t>Salako</w:t>
      </w:r>
      <w:proofErr w:type="spellEnd"/>
      <w:r w:rsidRPr="00BB38CA">
        <w:rPr>
          <w:sz w:val="24"/>
          <w:szCs w:val="24"/>
          <w:lang w:val="es-ES"/>
        </w:rPr>
        <w:t xml:space="preserve">, A. O., </w:t>
      </w:r>
      <w:proofErr w:type="spellStart"/>
      <w:r w:rsidRPr="00BB38CA">
        <w:rPr>
          <w:sz w:val="24"/>
          <w:szCs w:val="24"/>
          <w:lang w:val="es-ES"/>
        </w:rPr>
        <w:t>Selesi</w:t>
      </w:r>
      <w:proofErr w:type="spellEnd"/>
      <w:r w:rsidRPr="00BB38CA">
        <w:rPr>
          <w:sz w:val="24"/>
          <w:szCs w:val="24"/>
          <w:lang w:val="es-ES"/>
        </w:rPr>
        <w:t xml:space="preserve">-Aina, O., </w:t>
      </w:r>
      <w:proofErr w:type="spellStart"/>
      <w:r w:rsidRPr="00BB38CA">
        <w:rPr>
          <w:sz w:val="24"/>
          <w:szCs w:val="24"/>
          <w:lang w:val="es-ES"/>
        </w:rPr>
        <w:t>Ogungbemi</w:t>
      </w:r>
      <w:proofErr w:type="spellEnd"/>
      <w:r w:rsidRPr="00BB38CA">
        <w:rPr>
          <w:sz w:val="24"/>
          <w:szCs w:val="24"/>
          <w:lang w:val="es-ES"/>
        </w:rPr>
        <w:t xml:space="preserve">, O. S., </w:t>
      </w:r>
      <w:proofErr w:type="spellStart"/>
      <w:r w:rsidRPr="00BB38CA">
        <w:rPr>
          <w:sz w:val="24"/>
          <w:szCs w:val="24"/>
          <w:lang w:val="es-ES"/>
        </w:rPr>
        <w:t>Olateju</w:t>
      </w:r>
      <w:proofErr w:type="spellEnd"/>
      <w:r w:rsidRPr="00BB38CA">
        <w:rPr>
          <w:sz w:val="24"/>
          <w:szCs w:val="24"/>
          <w:lang w:val="es-ES"/>
        </w:rPr>
        <w:t xml:space="preserve">, O. O., &amp; </w:t>
      </w:r>
      <w:proofErr w:type="spellStart"/>
      <w:r w:rsidRPr="00BB38CA">
        <w:rPr>
          <w:sz w:val="24"/>
          <w:szCs w:val="24"/>
          <w:lang w:val="es-ES"/>
        </w:rPr>
        <w:t>Olaniyi</w:t>
      </w:r>
      <w:proofErr w:type="spellEnd"/>
      <w:r w:rsidRPr="00BB38CA">
        <w:rPr>
          <w:sz w:val="24"/>
          <w:szCs w:val="24"/>
          <w:lang w:val="es-ES"/>
        </w:rPr>
        <w:t xml:space="preserve">, O. O. (2024). </w:t>
      </w:r>
      <w:r w:rsidRPr="006D26E5">
        <w:rPr>
          <w:sz w:val="24"/>
          <w:szCs w:val="24"/>
        </w:rPr>
        <w:t xml:space="preserve">Augmenting Data Privacy Protocols and Enacting Regulatory Frameworks for Cryptocurrencies via Advanced Blockchain Methodologies and Artificial Intelligence. </w:t>
      </w:r>
      <w:r w:rsidRPr="006D26E5">
        <w:rPr>
          <w:i/>
          <w:sz w:val="24"/>
          <w:szCs w:val="24"/>
        </w:rPr>
        <w:t>Journal of Engineering Research and Reports</w:t>
      </w:r>
      <w:r w:rsidRPr="006D26E5">
        <w:rPr>
          <w:sz w:val="24"/>
          <w:szCs w:val="24"/>
        </w:rPr>
        <w:t xml:space="preserve">, </w:t>
      </w:r>
      <w:r w:rsidRPr="006D26E5">
        <w:rPr>
          <w:i/>
          <w:sz w:val="24"/>
          <w:szCs w:val="24"/>
        </w:rPr>
        <w:t>26</w:t>
      </w:r>
      <w:r w:rsidRPr="006D26E5">
        <w:rPr>
          <w:sz w:val="24"/>
          <w:szCs w:val="24"/>
        </w:rPr>
        <w:t xml:space="preserve">(11), 7–27. </w:t>
      </w:r>
      <w:hyperlink r:id="rId42">
        <w:r w:rsidRPr="006D26E5">
          <w:rPr>
            <w:color w:val="1155CC"/>
            <w:sz w:val="24"/>
            <w:szCs w:val="24"/>
            <w:u w:val="single"/>
          </w:rPr>
          <w:t>https://doi.org/10.9734/jerr/2024/v26i111311</w:t>
        </w:r>
      </w:hyperlink>
      <w:r w:rsidRPr="006D26E5">
        <w:rPr>
          <w:sz w:val="24"/>
          <w:szCs w:val="24"/>
        </w:rPr>
        <w:t xml:space="preserve"> </w:t>
      </w:r>
    </w:p>
    <w:p w14:paraId="00742AD8"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lastRenderedPageBreak/>
        <w:t>Gharavi</w:t>
      </w:r>
      <w:proofErr w:type="spellEnd"/>
      <w:r w:rsidRPr="00BB38CA">
        <w:rPr>
          <w:sz w:val="24"/>
          <w:szCs w:val="24"/>
          <w:lang w:val="es-ES"/>
        </w:rPr>
        <w:t xml:space="preserve">, H., </w:t>
      </w:r>
      <w:proofErr w:type="spellStart"/>
      <w:r w:rsidRPr="00BB38CA">
        <w:rPr>
          <w:sz w:val="24"/>
          <w:szCs w:val="24"/>
          <w:lang w:val="es-ES"/>
        </w:rPr>
        <w:t>Granjal</w:t>
      </w:r>
      <w:proofErr w:type="spellEnd"/>
      <w:r w:rsidRPr="00BB38CA">
        <w:rPr>
          <w:sz w:val="24"/>
          <w:szCs w:val="24"/>
          <w:lang w:val="es-ES"/>
        </w:rPr>
        <w:t xml:space="preserve">, J., &amp; Monteiro, E. (2024). </w:t>
      </w:r>
      <w:r w:rsidRPr="006D26E5">
        <w:rPr>
          <w:sz w:val="24"/>
          <w:szCs w:val="24"/>
        </w:rPr>
        <w:t xml:space="preserve">Post-Quantum Blockchain Security for the Internet of Things: Survey and Research Directions. </w:t>
      </w:r>
      <w:r w:rsidRPr="006D26E5">
        <w:rPr>
          <w:i/>
          <w:sz w:val="24"/>
          <w:szCs w:val="24"/>
        </w:rPr>
        <w:t>IEEE Communications Surveys and Tutorials</w:t>
      </w:r>
      <w:r w:rsidRPr="006D26E5">
        <w:rPr>
          <w:sz w:val="24"/>
          <w:szCs w:val="24"/>
        </w:rPr>
        <w:t xml:space="preserve">, </w:t>
      </w:r>
      <w:r w:rsidRPr="006D26E5">
        <w:rPr>
          <w:i/>
          <w:sz w:val="24"/>
          <w:szCs w:val="24"/>
        </w:rPr>
        <w:t>26</w:t>
      </w:r>
      <w:r w:rsidRPr="006D26E5">
        <w:rPr>
          <w:sz w:val="24"/>
          <w:szCs w:val="24"/>
        </w:rPr>
        <w:t xml:space="preserve">(3), 1–1. </w:t>
      </w:r>
      <w:hyperlink r:id="rId43">
        <w:r w:rsidRPr="006D26E5">
          <w:rPr>
            <w:color w:val="1155CC"/>
            <w:sz w:val="24"/>
            <w:szCs w:val="24"/>
            <w:u w:val="single"/>
          </w:rPr>
          <w:t>https://doi.org/10.1109/comst.2024.3355222</w:t>
        </w:r>
      </w:hyperlink>
      <w:r w:rsidRPr="006D26E5">
        <w:rPr>
          <w:sz w:val="24"/>
          <w:szCs w:val="24"/>
        </w:rPr>
        <w:t xml:space="preserve"> </w:t>
      </w:r>
    </w:p>
    <w:p w14:paraId="039C432A" w14:textId="77777777" w:rsidR="00506BCB" w:rsidRPr="006D26E5" w:rsidRDefault="002C4A4D" w:rsidP="00745FF2">
      <w:pPr>
        <w:spacing w:after="240" w:line="240" w:lineRule="auto"/>
        <w:ind w:left="720" w:hanging="720"/>
        <w:rPr>
          <w:sz w:val="24"/>
          <w:szCs w:val="24"/>
        </w:rPr>
      </w:pPr>
      <w:r w:rsidRPr="006D26E5">
        <w:rPr>
          <w:sz w:val="24"/>
          <w:szCs w:val="24"/>
        </w:rPr>
        <w:t xml:space="preserve">Gill, S. S., Kumar, A., Singh, H., Singh, M., Kaur, K., Usman, M., &amp; </w:t>
      </w:r>
      <w:proofErr w:type="spellStart"/>
      <w:r w:rsidRPr="006D26E5">
        <w:rPr>
          <w:sz w:val="24"/>
          <w:szCs w:val="24"/>
        </w:rPr>
        <w:t>Buyya</w:t>
      </w:r>
      <w:proofErr w:type="spellEnd"/>
      <w:r w:rsidRPr="006D26E5">
        <w:rPr>
          <w:sz w:val="24"/>
          <w:szCs w:val="24"/>
        </w:rPr>
        <w:t xml:space="preserve">, R. (2021). Quantum computing: A taxonomy, systematic review and future directions. </w:t>
      </w:r>
      <w:r w:rsidRPr="006D26E5">
        <w:rPr>
          <w:i/>
          <w:sz w:val="24"/>
          <w:szCs w:val="24"/>
        </w:rPr>
        <w:t>Software: Practice and Experience</w:t>
      </w:r>
      <w:r w:rsidRPr="006D26E5">
        <w:rPr>
          <w:sz w:val="24"/>
          <w:szCs w:val="24"/>
        </w:rPr>
        <w:t xml:space="preserve">, </w:t>
      </w:r>
      <w:r w:rsidRPr="006D26E5">
        <w:rPr>
          <w:i/>
          <w:sz w:val="24"/>
          <w:szCs w:val="24"/>
        </w:rPr>
        <w:t>52</w:t>
      </w:r>
      <w:r w:rsidRPr="006D26E5">
        <w:rPr>
          <w:sz w:val="24"/>
          <w:szCs w:val="24"/>
        </w:rPr>
        <w:t xml:space="preserve">(1), 66–114. </w:t>
      </w:r>
      <w:hyperlink r:id="rId44">
        <w:r w:rsidRPr="006D26E5">
          <w:rPr>
            <w:color w:val="1155CC"/>
            <w:sz w:val="24"/>
            <w:szCs w:val="24"/>
            <w:u w:val="single"/>
          </w:rPr>
          <w:t>https://doi.org/10.1002/spe.3039</w:t>
        </w:r>
      </w:hyperlink>
      <w:r w:rsidRPr="006D26E5">
        <w:rPr>
          <w:sz w:val="24"/>
          <w:szCs w:val="24"/>
        </w:rPr>
        <w:t xml:space="preserve"> </w:t>
      </w:r>
    </w:p>
    <w:p w14:paraId="1CC9598F" w14:textId="77777777" w:rsidR="00506BCB" w:rsidRPr="006D26E5" w:rsidRDefault="002C4A4D" w:rsidP="00745FF2">
      <w:pPr>
        <w:spacing w:after="240" w:line="240" w:lineRule="auto"/>
        <w:ind w:left="720" w:hanging="720"/>
        <w:rPr>
          <w:sz w:val="24"/>
          <w:szCs w:val="24"/>
        </w:rPr>
      </w:pPr>
      <w:r w:rsidRPr="006D26E5">
        <w:rPr>
          <w:sz w:val="24"/>
          <w:szCs w:val="24"/>
        </w:rPr>
        <w:t xml:space="preserve">Gitonga, C. K. (2025). The Impact of Quantum Computing on Cryptographic Systems: Urgency of Quantum-Resistant Algorithms and Practical Applications in Cryptography. </w:t>
      </w:r>
      <w:r w:rsidRPr="006D26E5">
        <w:rPr>
          <w:i/>
          <w:sz w:val="24"/>
          <w:szCs w:val="24"/>
        </w:rPr>
        <w:t>European Journal of Information Technologies and Computer Science</w:t>
      </w:r>
      <w:r w:rsidRPr="006D26E5">
        <w:rPr>
          <w:sz w:val="24"/>
          <w:szCs w:val="24"/>
        </w:rPr>
        <w:t xml:space="preserve">, </w:t>
      </w:r>
      <w:r w:rsidRPr="006D26E5">
        <w:rPr>
          <w:i/>
          <w:sz w:val="24"/>
          <w:szCs w:val="24"/>
        </w:rPr>
        <w:t>5</w:t>
      </w:r>
      <w:r w:rsidRPr="006D26E5">
        <w:rPr>
          <w:sz w:val="24"/>
          <w:szCs w:val="24"/>
        </w:rPr>
        <w:t xml:space="preserve">(1), 1–10. </w:t>
      </w:r>
      <w:hyperlink r:id="rId45">
        <w:r w:rsidRPr="006D26E5">
          <w:rPr>
            <w:color w:val="1155CC"/>
            <w:sz w:val="24"/>
            <w:szCs w:val="24"/>
            <w:u w:val="single"/>
          </w:rPr>
          <w:t>https://doi.org/10.24018/compute.2025.5.1.146</w:t>
        </w:r>
      </w:hyperlink>
      <w:r w:rsidRPr="006D26E5">
        <w:rPr>
          <w:sz w:val="24"/>
          <w:szCs w:val="24"/>
        </w:rPr>
        <w:t xml:space="preserve"> </w:t>
      </w:r>
    </w:p>
    <w:p w14:paraId="737D83DE" w14:textId="77777777" w:rsidR="00506BCB" w:rsidRPr="006D26E5" w:rsidRDefault="002C4A4D" w:rsidP="00745FF2">
      <w:pPr>
        <w:spacing w:after="240" w:line="240" w:lineRule="auto"/>
        <w:ind w:left="720" w:hanging="720"/>
        <w:rPr>
          <w:sz w:val="24"/>
          <w:szCs w:val="24"/>
        </w:rPr>
      </w:pPr>
      <w:r w:rsidRPr="006D26E5">
        <w:rPr>
          <w:sz w:val="24"/>
          <w:szCs w:val="24"/>
        </w:rPr>
        <w:t xml:space="preserve">Giuseppe, C. D. (2021). </w:t>
      </w:r>
      <w:r w:rsidRPr="006D26E5">
        <w:rPr>
          <w:i/>
          <w:sz w:val="24"/>
          <w:szCs w:val="24"/>
        </w:rPr>
        <w:t>RSA Cryptography: history and uses</w:t>
      </w:r>
      <w:r w:rsidRPr="006D26E5">
        <w:rPr>
          <w:sz w:val="24"/>
          <w:szCs w:val="24"/>
        </w:rPr>
        <w:t xml:space="preserve">. </w:t>
      </w:r>
      <w:proofErr w:type="spellStart"/>
      <w:r w:rsidRPr="006D26E5">
        <w:rPr>
          <w:sz w:val="24"/>
          <w:szCs w:val="24"/>
        </w:rPr>
        <w:t>Telsy</w:t>
      </w:r>
      <w:proofErr w:type="spellEnd"/>
      <w:r w:rsidRPr="006D26E5">
        <w:rPr>
          <w:sz w:val="24"/>
          <w:szCs w:val="24"/>
        </w:rPr>
        <w:t xml:space="preserve">. </w:t>
      </w:r>
      <w:hyperlink r:id="rId46">
        <w:r w:rsidRPr="006D26E5">
          <w:rPr>
            <w:color w:val="1155CC"/>
            <w:sz w:val="24"/>
            <w:szCs w:val="24"/>
            <w:u w:val="single"/>
          </w:rPr>
          <w:t>https://www.telsy.com/en/rsa-encryption-cryptography-history-and-uses/</w:t>
        </w:r>
      </w:hyperlink>
      <w:r w:rsidRPr="006D26E5">
        <w:rPr>
          <w:sz w:val="24"/>
          <w:szCs w:val="24"/>
        </w:rPr>
        <w:t xml:space="preserve"> </w:t>
      </w:r>
    </w:p>
    <w:p w14:paraId="3138D00D" w14:textId="77777777" w:rsidR="00506BCB" w:rsidRPr="006D26E5" w:rsidRDefault="002C4A4D" w:rsidP="00745FF2">
      <w:pPr>
        <w:spacing w:after="240" w:line="240" w:lineRule="auto"/>
        <w:ind w:left="720" w:hanging="720"/>
        <w:rPr>
          <w:sz w:val="24"/>
          <w:szCs w:val="24"/>
        </w:rPr>
      </w:pPr>
      <w:r w:rsidRPr="006D26E5">
        <w:rPr>
          <w:sz w:val="24"/>
          <w:szCs w:val="24"/>
        </w:rPr>
        <w:t xml:space="preserve">Glover, A. (2025). Sensitive medical information, addresses and phone numbers at risk after IVF clinic data leak. </w:t>
      </w:r>
      <w:r w:rsidRPr="006D26E5">
        <w:rPr>
          <w:i/>
          <w:sz w:val="24"/>
          <w:szCs w:val="24"/>
        </w:rPr>
        <w:t>@9News</w:t>
      </w:r>
      <w:r w:rsidRPr="006D26E5">
        <w:rPr>
          <w:sz w:val="24"/>
          <w:szCs w:val="24"/>
        </w:rPr>
        <w:t xml:space="preserve">. </w:t>
      </w:r>
      <w:hyperlink r:id="rId47">
        <w:r w:rsidRPr="006D26E5">
          <w:rPr>
            <w:color w:val="1155CC"/>
            <w:sz w:val="24"/>
            <w:szCs w:val="24"/>
            <w:u w:val="single"/>
          </w:rPr>
          <w:t>https://doi.org/1023088403.12089708</w:t>
        </w:r>
      </w:hyperlink>
      <w:r w:rsidRPr="006D26E5">
        <w:rPr>
          <w:sz w:val="24"/>
          <w:szCs w:val="24"/>
        </w:rPr>
        <w:t xml:space="preserve"> </w:t>
      </w:r>
    </w:p>
    <w:p w14:paraId="6B925045" w14:textId="77777777" w:rsidR="00506BCB" w:rsidRPr="00BB38CA" w:rsidRDefault="002C4A4D" w:rsidP="00745FF2">
      <w:pPr>
        <w:spacing w:after="240" w:line="240" w:lineRule="auto"/>
        <w:ind w:left="720" w:hanging="720"/>
        <w:rPr>
          <w:sz w:val="24"/>
          <w:szCs w:val="24"/>
          <w:lang w:val="fr-FR"/>
        </w:rPr>
      </w:pPr>
      <w:proofErr w:type="spellStart"/>
      <w:r w:rsidRPr="006D26E5">
        <w:rPr>
          <w:sz w:val="24"/>
          <w:szCs w:val="24"/>
        </w:rPr>
        <w:t>Gurinaviciute</w:t>
      </w:r>
      <w:proofErr w:type="spellEnd"/>
      <w:r w:rsidRPr="006D26E5">
        <w:rPr>
          <w:sz w:val="24"/>
          <w:szCs w:val="24"/>
        </w:rPr>
        <w:t xml:space="preserve">, J. (2024). Council Post: Why The Healthcare Industry Has Become A Primary Target For Cybercriminals. </w:t>
      </w:r>
      <w:r w:rsidRPr="00BB38CA">
        <w:rPr>
          <w:i/>
          <w:sz w:val="24"/>
          <w:szCs w:val="24"/>
          <w:lang w:val="fr-FR"/>
        </w:rPr>
        <w:t>Forbes</w:t>
      </w:r>
      <w:r w:rsidRPr="00BB38CA">
        <w:rPr>
          <w:sz w:val="24"/>
          <w:szCs w:val="24"/>
          <w:lang w:val="fr-FR"/>
        </w:rPr>
        <w:t xml:space="preserve">. </w:t>
      </w:r>
      <w:hyperlink r:id="rId48">
        <w:r w:rsidRPr="00BB38CA">
          <w:rPr>
            <w:color w:val="1155CC"/>
            <w:sz w:val="24"/>
            <w:szCs w:val="24"/>
            <w:u w:val="single"/>
            <w:lang w:val="fr-FR"/>
          </w:rPr>
          <w:t>https://www.forbes.com/councils/forbestechcouncil/2024/04/17/why-the-healthcare-industry-has-become-a-primary-target-for-cybercriminals/</w:t>
        </w:r>
      </w:hyperlink>
      <w:r w:rsidRPr="00BB38CA">
        <w:rPr>
          <w:sz w:val="24"/>
          <w:szCs w:val="24"/>
          <w:lang w:val="fr-FR"/>
        </w:rPr>
        <w:t xml:space="preserve"> </w:t>
      </w:r>
    </w:p>
    <w:p w14:paraId="671E6731" w14:textId="77777777" w:rsidR="00506BCB" w:rsidRPr="00BB38CA" w:rsidRDefault="002C4A4D" w:rsidP="00745FF2">
      <w:pPr>
        <w:spacing w:after="240" w:line="240" w:lineRule="auto"/>
        <w:ind w:left="720" w:hanging="720"/>
        <w:rPr>
          <w:sz w:val="24"/>
          <w:szCs w:val="24"/>
          <w:lang w:val="fr-FR"/>
        </w:rPr>
      </w:pPr>
      <w:proofErr w:type="spellStart"/>
      <w:r w:rsidRPr="006D26E5">
        <w:rPr>
          <w:sz w:val="24"/>
          <w:szCs w:val="24"/>
        </w:rPr>
        <w:t>Helregel</w:t>
      </w:r>
      <w:proofErr w:type="spellEnd"/>
      <w:r w:rsidRPr="006D26E5">
        <w:rPr>
          <w:sz w:val="24"/>
          <w:szCs w:val="24"/>
        </w:rPr>
        <w:t xml:space="preserve">, A. (2024). </w:t>
      </w:r>
      <w:r w:rsidRPr="006D26E5">
        <w:rPr>
          <w:i/>
          <w:sz w:val="24"/>
          <w:szCs w:val="24"/>
        </w:rPr>
        <w:t>Security in Quantum Computing - NCSA</w:t>
      </w:r>
      <w:r w:rsidRPr="006D26E5">
        <w:rPr>
          <w:sz w:val="24"/>
          <w:szCs w:val="24"/>
        </w:rPr>
        <w:t xml:space="preserve">. </w:t>
      </w:r>
      <w:r w:rsidRPr="00BB38CA">
        <w:rPr>
          <w:sz w:val="24"/>
          <w:szCs w:val="24"/>
          <w:lang w:val="fr-FR"/>
        </w:rPr>
        <w:t xml:space="preserve">NCSA. </w:t>
      </w:r>
      <w:hyperlink r:id="rId49">
        <w:r w:rsidRPr="00BB38CA">
          <w:rPr>
            <w:color w:val="1155CC"/>
            <w:sz w:val="24"/>
            <w:szCs w:val="24"/>
            <w:u w:val="single"/>
            <w:lang w:val="fr-FR"/>
          </w:rPr>
          <w:t>https://www.ncsa.illinois.edu/security-in-quantum-computing/</w:t>
        </w:r>
      </w:hyperlink>
      <w:r w:rsidRPr="00BB38CA">
        <w:rPr>
          <w:sz w:val="24"/>
          <w:szCs w:val="24"/>
          <w:lang w:val="fr-FR"/>
        </w:rPr>
        <w:t xml:space="preserve"> </w:t>
      </w:r>
    </w:p>
    <w:p w14:paraId="1469B405" w14:textId="77777777" w:rsidR="00506BCB" w:rsidRPr="006D26E5" w:rsidRDefault="002C4A4D" w:rsidP="00745FF2">
      <w:pPr>
        <w:spacing w:after="240" w:line="240" w:lineRule="auto"/>
        <w:ind w:left="720" w:hanging="720"/>
        <w:rPr>
          <w:sz w:val="24"/>
          <w:szCs w:val="24"/>
        </w:rPr>
      </w:pPr>
      <w:r w:rsidRPr="006D26E5">
        <w:rPr>
          <w:sz w:val="24"/>
          <w:szCs w:val="24"/>
        </w:rPr>
        <w:t xml:space="preserve">HIMSS. (2024). </w:t>
      </w:r>
      <w:r w:rsidRPr="006D26E5">
        <w:rPr>
          <w:i/>
          <w:sz w:val="24"/>
          <w:szCs w:val="24"/>
        </w:rPr>
        <w:t>Quantum Computing + Cybersecurity | CSA</w:t>
      </w:r>
      <w:r w:rsidRPr="006D26E5">
        <w:rPr>
          <w:sz w:val="24"/>
          <w:szCs w:val="24"/>
        </w:rPr>
        <w:t xml:space="preserve">. Cloudsecurityalliance.org. </w:t>
      </w:r>
      <w:hyperlink r:id="rId50">
        <w:r w:rsidRPr="006D26E5">
          <w:rPr>
            <w:color w:val="1155CC"/>
            <w:sz w:val="24"/>
            <w:szCs w:val="24"/>
            <w:u w:val="single"/>
          </w:rPr>
          <w:t>https://cloudsecurityalliance.org/research/topics/quantum-safe-security</w:t>
        </w:r>
      </w:hyperlink>
      <w:r w:rsidRPr="006D26E5">
        <w:rPr>
          <w:sz w:val="24"/>
          <w:szCs w:val="24"/>
        </w:rPr>
        <w:t xml:space="preserve"> </w:t>
      </w:r>
    </w:p>
    <w:p w14:paraId="362BE8E7" w14:textId="77777777" w:rsidR="00506BCB" w:rsidRPr="006D26E5" w:rsidRDefault="002C4A4D" w:rsidP="00745FF2">
      <w:pPr>
        <w:spacing w:after="240" w:line="240" w:lineRule="auto"/>
        <w:ind w:left="720" w:hanging="720"/>
        <w:rPr>
          <w:sz w:val="24"/>
          <w:szCs w:val="24"/>
        </w:rPr>
      </w:pPr>
      <w:r w:rsidRPr="006D26E5">
        <w:rPr>
          <w:sz w:val="24"/>
          <w:szCs w:val="24"/>
        </w:rPr>
        <w:t xml:space="preserve">Imran, M., Altamimi, A. B., Khan, W., Hussain, S., &amp; Alsaffar, M. (2024). Quantum Cryptography for Future Networks Security: A Systematic Review. </w:t>
      </w:r>
      <w:r w:rsidRPr="006D26E5">
        <w:rPr>
          <w:i/>
          <w:sz w:val="24"/>
          <w:szCs w:val="24"/>
        </w:rPr>
        <w:t>IEEE Access</w:t>
      </w:r>
      <w:r w:rsidRPr="006D26E5">
        <w:rPr>
          <w:sz w:val="24"/>
          <w:szCs w:val="24"/>
        </w:rPr>
        <w:t xml:space="preserve">, 1–1. </w:t>
      </w:r>
      <w:hyperlink r:id="rId51">
        <w:r w:rsidRPr="006D26E5">
          <w:rPr>
            <w:color w:val="1155CC"/>
            <w:sz w:val="24"/>
            <w:szCs w:val="24"/>
            <w:u w:val="single"/>
          </w:rPr>
          <w:t>https://doi.org/10.1109/access.2024.3504815</w:t>
        </w:r>
      </w:hyperlink>
      <w:r w:rsidRPr="006D26E5">
        <w:rPr>
          <w:sz w:val="24"/>
          <w:szCs w:val="24"/>
        </w:rPr>
        <w:t xml:space="preserve"> </w:t>
      </w:r>
    </w:p>
    <w:p w14:paraId="4D92AB87" w14:textId="77777777" w:rsidR="00506BCB" w:rsidRPr="006D26E5" w:rsidRDefault="002C4A4D" w:rsidP="00745FF2">
      <w:pPr>
        <w:spacing w:after="240" w:line="240" w:lineRule="auto"/>
        <w:ind w:left="720" w:hanging="720"/>
        <w:rPr>
          <w:sz w:val="24"/>
          <w:szCs w:val="24"/>
        </w:rPr>
      </w:pPr>
      <w:r w:rsidRPr="006D26E5">
        <w:rPr>
          <w:sz w:val="24"/>
          <w:szCs w:val="24"/>
        </w:rPr>
        <w:t xml:space="preserve">Joseph, S. A. (2024). Balancing Data Privacy and Compliance in Blockchain-Based Financial Systems. </w:t>
      </w:r>
      <w:r w:rsidRPr="006D26E5">
        <w:rPr>
          <w:i/>
          <w:sz w:val="24"/>
          <w:szCs w:val="24"/>
        </w:rPr>
        <w:t>Journal of Engineering Research and Reports</w:t>
      </w:r>
      <w:r w:rsidRPr="006D26E5">
        <w:rPr>
          <w:sz w:val="24"/>
          <w:szCs w:val="24"/>
        </w:rPr>
        <w:t xml:space="preserve">, </w:t>
      </w:r>
      <w:r w:rsidRPr="006D26E5">
        <w:rPr>
          <w:i/>
          <w:sz w:val="24"/>
          <w:szCs w:val="24"/>
        </w:rPr>
        <w:t>26</w:t>
      </w:r>
      <w:r w:rsidRPr="006D26E5">
        <w:rPr>
          <w:sz w:val="24"/>
          <w:szCs w:val="24"/>
        </w:rPr>
        <w:t xml:space="preserve">(9), 169–189. </w:t>
      </w:r>
      <w:hyperlink r:id="rId52">
        <w:r w:rsidRPr="006D26E5">
          <w:rPr>
            <w:color w:val="1155CC"/>
            <w:sz w:val="24"/>
            <w:szCs w:val="24"/>
            <w:u w:val="single"/>
          </w:rPr>
          <w:t>https://doi.org/10.9734/jerr/2024/v26i91271</w:t>
        </w:r>
      </w:hyperlink>
      <w:r w:rsidRPr="006D26E5">
        <w:rPr>
          <w:sz w:val="24"/>
          <w:szCs w:val="24"/>
        </w:rPr>
        <w:t xml:space="preserve"> </w:t>
      </w:r>
    </w:p>
    <w:p w14:paraId="0ECB2A12" w14:textId="77777777" w:rsidR="00506BCB" w:rsidRPr="006D26E5" w:rsidRDefault="002C4A4D" w:rsidP="00745FF2">
      <w:pPr>
        <w:spacing w:after="240" w:line="240" w:lineRule="auto"/>
        <w:ind w:left="720" w:hanging="720"/>
        <w:rPr>
          <w:sz w:val="24"/>
          <w:szCs w:val="24"/>
        </w:rPr>
      </w:pPr>
      <w:r w:rsidRPr="006D26E5">
        <w:rPr>
          <w:sz w:val="24"/>
          <w:szCs w:val="24"/>
        </w:rPr>
        <w:t xml:space="preserve">Kim, H., Jang, K., Oh, Y., Seok, W., Lee, W., Bae, K., Sohn, I., &amp; Seo, H. (2024). Finding Shortest Vector Using Quantum NV Sieve on Grover. </w:t>
      </w:r>
      <w:r w:rsidRPr="006D26E5">
        <w:rPr>
          <w:i/>
          <w:sz w:val="24"/>
          <w:szCs w:val="24"/>
        </w:rPr>
        <w:t>Lecture Notes in Computer Science</w:t>
      </w:r>
      <w:r w:rsidRPr="006D26E5">
        <w:rPr>
          <w:sz w:val="24"/>
          <w:szCs w:val="24"/>
        </w:rPr>
        <w:t xml:space="preserve">, 97–118. </w:t>
      </w:r>
      <w:hyperlink r:id="rId53">
        <w:r w:rsidRPr="006D26E5">
          <w:rPr>
            <w:color w:val="1155CC"/>
            <w:sz w:val="24"/>
            <w:szCs w:val="24"/>
            <w:u w:val="single"/>
          </w:rPr>
          <w:t>https://doi.org/10.1007/978-981-97-1235-9_6</w:t>
        </w:r>
      </w:hyperlink>
      <w:r w:rsidRPr="006D26E5">
        <w:rPr>
          <w:sz w:val="24"/>
          <w:szCs w:val="24"/>
        </w:rPr>
        <w:t xml:space="preserve">  </w:t>
      </w:r>
    </w:p>
    <w:p w14:paraId="2319A7B8"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Kirubavathi</w:t>
      </w:r>
      <w:proofErr w:type="spellEnd"/>
      <w:r w:rsidRPr="006D26E5">
        <w:rPr>
          <w:sz w:val="24"/>
          <w:szCs w:val="24"/>
        </w:rPr>
        <w:t xml:space="preserve">, G., Regis Anne, W., &amp; Sridevi, U. K. (2024). A recent review of ransomware attacks on healthcare industries. </w:t>
      </w:r>
      <w:r w:rsidRPr="006D26E5">
        <w:rPr>
          <w:i/>
          <w:sz w:val="24"/>
          <w:szCs w:val="24"/>
        </w:rPr>
        <w:t>International Journal of System Assurance Engineering and Management</w:t>
      </w:r>
      <w:r w:rsidRPr="006D26E5">
        <w:rPr>
          <w:sz w:val="24"/>
          <w:szCs w:val="24"/>
        </w:rPr>
        <w:t xml:space="preserve">, </w:t>
      </w:r>
      <w:r w:rsidRPr="006D26E5">
        <w:rPr>
          <w:i/>
          <w:sz w:val="24"/>
          <w:szCs w:val="24"/>
        </w:rPr>
        <w:t>15</w:t>
      </w:r>
      <w:r w:rsidRPr="006D26E5">
        <w:rPr>
          <w:sz w:val="24"/>
          <w:szCs w:val="24"/>
        </w:rPr>
        <w:t xml:space="preserve">. </w:t>
      </w:r>
      <w:hyperlink r:id="rId54">
        <w:r w:rsidRPr="006D26E5">
          <w:rPr>
            <w:color w:val="1155CC"/>
            <w:sz w:val="24"/>
            <w:szCs w:val="24"/>
            <w:u w:val="single"/>
          </w:rPr>
          <w:t>https://doi.org/10.1007/s13198-024-02496-4</w:t>
        </w:r>
      </w:hyperlink>
      <w:r w:rsidRPr="006D26E5">
        <w:rPr>
          <w:sz w:val="24"/>
          <w:szCs w:val="24"/>
        </w:rPr>
        <w:t xml:space="preserve"> </w:t>
      </w:r>
    </w:p>
    <w:p w14:paraId="2A43F3A5" w14:textId="77777777" w:rsidR="00506BCB" w:rsidRPr="006D26E5" w:rsidRDefault="002C4A4D" w:rsidP="00745FF2">
      <w:pPr>
        <w:spacing w:after="240" w:line="240" w:lineRule="auto"/>
        <w:ind w:left="720" w:hanging="720"/>
        <w:rPr>
          <w:sz w:val="24"/>
          <w:szCs w:val="24"/>
        </w:rPr>
      </w:pPr>
      <w:r w:rsidRPr="006D26E5">
        <w:rPr>
          <w:sz w:val="24"/>
          <w:szCs w:val="24"/>
        </w:rPr>
        <w:lastRenderedPageBreak/>
        <w:t xml:space="preserve">Kolade, T. M., </w:t>
      </w:r>
      <w:proofErr w:type="spellStart"/>
      <w:r w:rsidRPr="006D26E5">
        <w:rPr>
          <w:sz w:val="24"/>
          <w:szCs w:val="24"/>
        </w:rPr>
        <w:t>Aideyan</w:t>
      </w:r>
      <w:proofErr w:type="spellEnd"/>
      <w:r w:rsidRPr="006D26E5">
        <w:rPr>
          <w:sz w:val="24"/>
          <w:szCs w:val="24"/>
        </w:rPr>
        <w:t xml:space="preserve">, N. T., </w:t>
      </w:r>
      <w:proofErr w:type="spellStart"/>
      <w:r w:rsidRPr="006D26E5">
        <w:rPr>
          <w:sz w:val="24"/>
          <w:szCs w:val="24"/>
        </w:rPr>
        <w:t>Oyekunle</w:t>
      </w:r>
      <w:proofErr w:type="spellEnd"/>
      <w:r w:rsidRPr="006D26E5">
        <w:rPr>
          <w:sz w:val="24"/>
          <w:szCs w:val="24"/>
        </w:rPr>
        <w:t xml:space="preserve">, S. M., </w:t>
      </w:r>
      <w:proofErr w:type="spellStart"/>
      <w:r w:rsidRPr="006D26E5">
        <w:rPr>
          <w:sz w:val="24"/>
          <w:szCs w:val="24"/>
        </w:rPr>
        <w:t>Ogungbemi</w:t>
      </w:r>
      <w:proofErr w:type="spellEnd"/>
      <w:r w:rsidRPr="006D26E5">
        <w:rPr>
          <w:sz w:val="24"/>
          <w:szCs w:val="24"/>
        </w:rPr>
        <w:t xml:space="preserve">, O. S., &amp; Olaniyi, O. O. (2024). Artificial Intelligence and Information Governance: Strengthening Global Security, through Compliance Frameworks, and Data Security. </w:t>
      </w:r>
      <w:r w:rsidRPr="006D26E5">
        <w:rPr>
          <w:i/>
          <w:sz w:val="24"/>
          <w:szCs w:val="24"/>
        </w:rPr>
        <w:t>Asian Journal of Research in Computer Science</w:t>
      </w:r>
      <w:r w:rsidRPr="006D26E5">
        <w:rPr>
          <w:sz w:val="24"/>
          <w:szCs w:val="24"/>
        </w:rPr>
        <w:t xml:space="preserve">, </w:t>
      </w:r>
      <w:r w:rsidRPr="006D26E5">
        <w:rPr>
          <w:i/>
          <w:sz w:val="24"/>
          <w:szCs w:val="24"/>
        </w:rPr>
        <w:t>17</w:t>
      </w:r>
      <w:r w:rsidRPr="006D26E5">
        <w:rPr>
          <w:sz w:val="24"/>
          <w:szCs w:val="24"/>
        </w:rPr>
        <w:t xml:space="preserve">(12), 36–57. </w:t>
      </w:r>
      <w:hyperlink r:id="rId55">
        <w:r w:rsidRPr="006D26E5">
          <w:rPr>
            <w:color w:val="1155CC"/>
            <w:sz w:val="24"/>
            <w:szCs w:val="24"/>
            <w:u w:val="single"/>
          </w:rPr>
          <w:t>https://doi.org/10.9734/ajrcos/2024/v17i12528</w:t>
        </w:r>
      </w:hyperlink>
      <w:r w:rsidRPr="006D26E5">
        <w:rPr>
          <w:sz w:val="24"/>
          <w:szCs w:val="24"/>
        </w:rPr>
        <w:t xml:space="preserve"> </w:t>
      </w:r>
    </w:p>
    <w:p w14:paraId="0BE6C475"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Kolade</w:t>
      </w:r>
      <w:proofErr w:type="spellEnd"/>
      <w:r w:rsidRPr="00BB38CA">
        <w:rPr>
          <w:sz w:val="24"/>
          <w:szCs w:val="24"/>
          <w:lang w:val="es-ES"/>
        </w:rPr>
        <w:t xml:space="preserve">, T. M., </w:t>
      </w:r>
      <w:proofErr w:type="spellStart"/>
      <w:r w:rsidRPr="00BB38CA">
        <w:rPr>
          <w:sz w:val="24"/>
          <w:szCs w:val="24"/>
          <w:lang w:val="es-ES"/>
        </w:rPr>
        <w:t>Obioha</w:t>
      </w:r>
      <w:proofErr w:type="spellEnd"/>
      <w:r w:rsidRPr="00BB38CA">
        <w:rPr>
          <w:sz w:val="24"/>
          <w:szCs w:val="24"/>
          <w:lang w:val="es-ES"/>
        </w:rPr>
        <w:t xml:space="preserve">-Val, O. A., </w:t>
      </w:r>
      <w:proofErr w:type="spellStart"/>
      <w:r w:rsidRPr="00BB38CA">
        <w:rPr>
          <w:sz w:val="24"/>
          <w:szCs w:val="24"/>
          <w:lang w:val="es-ES"/>
        </w:rPr>
        <w:t>Balogun</w:t>
      </w:r>
      <w:proofErr w:type="spellEnd"/>
      <w:r w:rsidRPr="00BB38CA">
        <w:rPr>
          <w:sz w:val="24"/>
          <w:szCs w:val="24"/>
          <w:lang w:val="es-ES"/>
        </w:rPr>
        <w:t xml:space="preserve">, A. Y., </w:t>
      </w:r>
      <w:proofErr w:type="spellStart"/>
      <w:r w:rsidRPr="00BB38CA">
        <w:rPr>
          <w:sz w:val="24"/>
          <w:szCs w:val="24"/>
          <w:lang w:val="es-ES"/>
        </w:rPr>
        <w:t>Gbadebo</w:t>
      </w:r>
      <w:proofErr w:type="spellEnd"/>
      <w:r w:rsidRPr="00BB38CA">
        <w:rPr>
          <w:sz w:val="24"/>
          <w:szCs w:val="24"/>
          <w:lang w:val="es-ES"/>
        </w:rPr>
        <w:t xml:space="preserve">, M. O., &amp; </w:t>
      </w:r>
      <w:proofErr w:type="spellStart"/>
      <w:r w:rsidRPr="00BB38CA">
        <w:rPr>
          <w:sz w:val="24"/>
          <w:szCs w:val="24"/>
          <w:lang w:val="es-ES"/>
        </w:rPr>
        <w:t>Olaniyi</w:t>
      </w:r>
      <w:proofErr w:type="spellEnd"/>
      <w:r w:rsidRPr="00BB38CA">
        <w:rPr>
          <w:sz w:val="24"/>
          <w:szCs w:val="24"/>
          <w:lang w:val="es-ES"/>
        </w:rPr>
        <w:t xml:space="preserve">, O. O. (2025). </w:t>
      </w:r>
      <w:r w:rsidRPr="006D26E5">
        <w:rPr>
          <w:sz w:val="24"/>
          <w:szCs w:val="24"/>
        </w:rPr>
        <w:t xml:space="preserve">AI-Driven Open Source Intelligence in Cyber </w:t>
      </w:r>
      <w:proofErr w:type="spellStart"/>
      <w:r w:rsidRPr="006D26E5">
        <w:rPr>
          <w:sz w:val="24"/>
          <w:szCs w:val="24"/>
        </w:rPr>
        <w:t>Defense</w:t>
      </w:r>
      <w:proofErr w:type="spellEnd"/>
      <w:r w:rsidRPr="006D26E5">
        <w:rPr>
          <w:sz w:val="24"/>
          <w:szCs w:val="24"/>
        </w:rPr>
        <w:t xml:space="preserve">: A Double-edged Sword for National Security.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(1), 133–153. </w:t>
      </w:r>
      <w:hyperlink r:id="rId56">
        <w:r w:rsidRPr="006D26E5">
          <w:rPr>
            <w:color w:val="1155CC"/>
            <w:sz w:val="24"/>
            <w:szCs w:val="24"/>
            <w:u w:val="single"/>
          </w:rPr>
          <w:t>https://doi.org/10.9734/ajrcos/2025/v18i1554</w:t>
        </w:r>
      </w:hyperlink>
      <w:r w:rsidRPr="006D26E5">
        <w:rPr>
          <w:sz w:val="24"/>
          <w:szCs w:val="24"/>
        </w:rPr>
        <w:t xml:space="preserve"> </w:t>
      </w:r>
    </w:p>
    <w:p w14:paraId="2F0B62DE" w14:textId="77777777" w:rsidR="00506BCB" w:rsidRPr="006D26E5" w:rsidRDefault="002C4A4D" w:rsidP="00745FF2">
      <w:pPr>
        <w:spacing w:after="240" w:line="240" w:lineRule="auto"/>
        <w:ind w:left="720" w:hanging="720"/>
        <w:rPr>
          <w:sz w:val="24"/>
          <w:szCs w:val="24"/>
        </w:rPr>
      </w:pPr>
      <w:r w:rsidRPr="006D26E5">
        <w:rPr>
          <w:sz w:val="24"/>
          <w:szCs w:val="24"/>
        </w:rPr>
        <w:t xml:space="preserve">Lee, I. (2022). Analysis of Insider Threats in the Healthcare Industry: A Text Mining Approach. </w:t>
      </w:r>
      <w:r w:rsidRPr="006D26E5">
        <w:rPr>
          <w:i/>
          <w:sz w:val="24"/>
          <w:szCs w:val="24"/>
        </w:rPr>
        <w:t>Information</w:t>
      </w:r>
      <w:r w:rsidRPr="006D26E5">
        <w:rPr>
          <w:sz w:val="24"/>
          <w:szCs w:val="24"/>
        </w:rPr>
        <w:t xml:space="preserve">, </w:t>
      </w:r>
      <w:r w:rsidRPr="006D26E5">
        <w:rPr>
          <w:i/>
          <w:sz w:val="24"/>
          <w:szCs w:val="24"/>
        </w:rPr>
        <w:t>13</w:t>
      </w:r>
      <w:r w:rsidRPr="006D26E5">
        <w:rPr>
          <w:sz w:val="24"/>
          <w:szCs w:val="24"/>
        </w:rPr>
        <w:t xml:space="preserve">(9), 404. </w:t>
      </w:r>
      <w:hyperlink r:id="rId57">
        <w:r w:rsidRPr="006D26E5">
          <w:rPr>
            <w:color w:val="1155CC"/>
            <w:sz w:val="24"/>
            <w:szCs w:val="24"/>
            <w:u w:val="single"/>
          </w:rPr>
          <w:t>https://doi.org/10.3390/info13090404</w:t>
        </w:r>
      </w:hyperlink>
      <w:r w:rsidRPr="006D26E5">
        <w:rPr>
          <w:sz w:val="24"/>
          <w:szCs w:val="24"/>
        </w:rPr>
        <w:t xml:space="preserve"> </w:t>
      </w:r>
    </w:p>
    <w:p w14:paraId="62DCB87C" w14:textId="77777777" w:rsidR="00506BCB" w:rsidRPr="006D26E5" w:rsidRDefault="002C4A4D" w:rsidP="00745FF2">
      <w:pPr>
        <w:spacing w:after="240" w:line="240" w:lineRule="auto"/>
        <w:ind w:left="720" w:hanging="720"/>
        <w:rPr>
          <w:sz w:val="24"/>
          <w:szCs w:val="24"/>
        </w:rPr>
      </w:pPr>
      <w:r w:rsidRPr="006D26E5">
        <w:rPr>
          <w:sz w:val="24"/>
          <w:szCs w:val="24"/>
        </w:rPr>
        <w:t xml:space="preserve">Louise, N. (2024). </w:t>
      </w:r>
      <w:r w:rsidRPr="006D26E5">
        <w:rPr>
          <w:i/>
          <w:sz w:val="24"/>
          <w:szCs w:val="24"/>
        </w:rPr>
        <w:t>Google unveils Willow: Breakthrough quantum chip that solves 10 septillion-year (10^25-year) problem in under 5 minutes - Tech Startups</w:t>
      </w:r>
      <w:r w:rsidRPr="006D26E5">
        <w:rPr>
          <w:sz w:val="24"/>
          <w:szCs w:val="24"/>
        </w:rPr>
        <w:t xml:space="preserve">. Tech Startups - Startups and Technology News.  </w:t>
      </w:r>
      <w:hyperlink r:id="rId58">
        <w:r w:rsidRPr="006D26E5">
          <w:rPr>
            <w:color w:val="1155CC"/>
            <w:sz w:val="24"/>
            <w:szCs w:val="24"/>
            <w:u w:val="single"/>
          </w:rPr>
          <w:t>https://techstartups.com/2024/12/09/google-unveils-willow-quantum-chip-breakthrough-that-solves-10-septillion-years-1025-year-problem-in-under-5-minutes/</w:t>
        </w:r>
      </w:hyperlink>
      <w:r w:rsidRPr="006D26E5">
        <w:rPr>
          <w:sz w:val="24"/>
          <w:szCs w:val="24"/>
        </w:rPr>
        <w:t xml:space="preserve"> </w:t>
      </w:r>
    </w:p>
    <w:p w14:paraId="489E6515"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Lv</w:t>
      </w:r>
      <w:proofErr w:type="spellEnd"/>
      <w:r w:rsidRPr="006D26E5">
        <w:rPr>
          <w:sz w:val="24"/>
          <w:szCs w:val="24"/>
        </w:rPr>
        <w:t xml:space="preserve">, X., Rani, S., </w:t>
      </w:r>
      <w:proofErr w:type="spellStart"/>
      <w:r w:rsidRPr="006D26E5">
        <w:rPr>
          <w:sz w:val="24"/>
          <w:szCs w:val="24"/>
        </w:rPr>
        <w:t>Manimurugan</w:t>
      </w:r>
      <w:proofErr w:type="spellEnd"/>
      <w:r w:rsidRPr="006D26E5">
        <w:rPr>
          <w:sz w:val="24"/>
          <w:szCs w:val="24"/>
        </w:rPr>
        <w:t xml:space="preserve">, S., Slowik, A., &amp; Feng, Y. (2024). Quantum-Inspired Sensitive Data Measurement and Secure Transmission in 5G-Enabled Healthcare Systems. </w:t>
      </w:r>
      <w:r w:rsidRPr="006D26E5">
        <w:rPr>
          <w:i/>
          <w:sz w:val="24"/>
          <w:szCs w:val="24"/>
        </w:rPr>
        <w:t>Tsinghua Science &amp; Technology</w:t>
      </w:r>
      <w:r w:rsidRPr="006D26E5">
        <w:rPr>
          <w:sz w:val="24"/>
          <w:szCs w:val="24"/>
        </w:rPr>
        <w:t xml:space="preserve">, </w:t>
      </w:r>
      <w:r w:rsidRPr="006D26E5">
        <w:rPr>
          <w:i/>
          <w:sz w:val="24"/>
          <w:szCs w:val="24"/>
        </w:rPr>
        <w:t>30</w:t>
      </w:r>
      <w:r w:rsidRPr="006D26E5">
        <w:rPr>
          <w:sz w:val="24"/>
          <w:szCs w:val="24"/>
        </w:rPr>
        <w:t xml:space="preserve">(1), 456–478. </w:t>
      </w:r>
      <w:hyperlink r:id="rId59">
        <w:r w:rsidRPr="006D26E5">
          <w:rPr>
            <w:color w:val="1155CC"/>
            <w:sz w:val="24"/>
            <w:szCs w:val="24"/>
            <w:u w:val="single"/>
          </w:rPr>
          <w:t>https://doi.org/10.26599/tst.2024.9010122</w:t>
        </w:r>
      </w:hyperlink>
      <w:r w:rsidRPr="006D26E5">
        <w:rPr>
          <w:sz w:val="24"/>
          <w:szCs w:val="24"/>
        </w:rPr>
        <w:t xml:space="preserve"> </w:t>
      </w:r>
    </w:p>
    <w:p w14:paraId="7F98B004" w14:textId="77777777" w:rsidR="00506BCB" w:rsidRPr="006D26E5" w:rsidRDefault="002C4A4D" w:rsidP="00745FF2">
      <w:pPr>
        <w:spacing w:after="240" w:line="240" w:lineRule="auto"/>
        <w:ind w:left="720" w:hanging="720"/>
        <w:rPr>
          <w:sz w:val="24"/>
          <w:szCs w:val="24"/>
        </w:rPr>
      </w:pPr>
      <w:r w:rsidRPr="006D26E5">
        <w:rPr>
          <w:sz w:val="24"/>
          <w:szCs w:val="24"/>
        </w:rPr>
        <w:t xml:space="preserve">Mansoor, K., Afzal, M., Iqbal, W., &amp; Abbas, Y. (2024). Securing the future: exploring post-quantum cryptography for authentication and user privacy in IoT devices. </w:t>
      </w:r>
      <w:r w:rsidRPr="006D26E5">
        <w:rPr>
          <w:i/>
          <w:sz w:val="24"/>
          <w:szCs w:val="24"/>
        </w:rPr>
        <w:t>Cluster Computing</w:t>
      </w:r>
      <w:r w:rsidRPr="006D26E5">
        <w:rPr>
          <w:sz w:val="24"/>
          <w:szCs w:val="24"/>
        </w:rPr>
        <w:t xml:space="preserve">, </w:t>
      </w:r>
      <w:r w:rsidRPr="006D26E5">
        <w:rPr>
          <w:i/>
          <w:sz w:val="24"/>
          <w:szCs w:val="24"/>
        </w:rPr>
        <w:t>28</w:t>
      </w:r>
      <w:r w:rsidRPr="006D26E5">
        <w:rPr>
          <w:sz w:val="24"/>
          <w:szCs w:val="24"/>
        </w:rPr>
        <w:t xml:space="preserve">(2). </w:t>
      </w:r>
      <w:hyperlink r:id="rId60">
        <w:r w:rsidRPr="006D26E5">
          <w:rPr>
            <w:color w:val="1155CC"/>
            <w:sz w:val="24"/>
            <w:szCs w:val="24"/>
            <w:u w:val="single"/>
          </w:rPr>
          <w:t>https://doi.org/10.1007/s10586-024-04799-4</w:t>
        </w:r>
      </w:hyperlink>
      <w:r w:rsidRPr="006D26E5">
        <w:rPr>
          <w:sz w:val="24"/>
          <w:szCs w:val="24"/>
        </w:rPr>
        <w:t xml:space="preserve"> </w:t>
      </w:r>
    </w:p>
    <w:p w14:paraId="1FA57E0B"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Mayeke</w:t>
      </w:r>
      <w:proofErr w:type="spellEnd"/>
      <w:r w:rsidRPr="006D26E5">
        <w:rPr>
          <w:sz w:val="24"/>
          <w:szCs w:val="24"/>
        </w:rPr>
        <w:t xml:space="preserve">, N. R., </w:t>
      </w:r>
      <w:proofErr w:type="spellStart"/>
      <w:r w:rsidRPr="006D26E5">
        <w:rPr>
          <w:sz w:val="24"/>
          <w:szCs w:val="24"/>
        </w:rPr>
        <w:t>Arigbabu</w:t>
      </w:r>
      <w:proofErr w:type="spellEnd"/>
      <w:r w:rsidRPr="006D26E5">
        <w:rPr>
          <w:sz w:val="24"/>
          <w:szCs w:val="24"/>
        </w:rPr>
        <w:t xml:space="preserve">, A. T., Olaniyi, O. O., </w:t>
      </w:r>
      <w:proofErr w:type="spellStart"/>
      <w:r w:rsidRPr="006D26E5">
        <w:rPr>
          <w:sz w:val="24"/>
          <w:szCs w:val="24"/>
        </w:rPr>
        <w:t>Okunleye</w:t>
      </w:r>
      <w:proofErr w:type="spellEnd"/>
      <w:r w:rsidRPr="006D26E5">
        <w:rPr>
          <w:sz w:val="24"/>
          <w:szCs w:val="24"/>
        </w:rPr>
        <w:t xml:space="preserve">, O. J., &amp; </w:t>
      </w:r>
      <w:proofErr w:type="spellStart"/>
      <w:r w:rsidRPr="006D26E5">
        <w:rPr>
          <w:sz w:val="24"/>
          <w:szCs w:val="24"/>
        </w:rPr>
        <w:t>Adigwe</w:t>
      </w:r>
      <w:proofErr w:type="spellEnd"/>
      <w:r w:rsidRPr="006D26E5">
        <w:rPr>
          <w:sz w:val="24"/>
          <w:szCs w:val="24"/>
        </w:rPr>
        <w:t xml:space="preserve">, C. S. (2024). Evolving Access Control Paradigms: A Comprehensive Multi-Dimensional Analysis of Security Risks and System Assurance in Cyber Engineering. </w:t>
      </w:r>
      <w:r w:rsidRPr="006D26E5">
        <w:rPr>
          <w:i/>
          <w:sz w:val="24"/>
          <w:szCs w:val="24"/>
        </w:rPr>
        <w:t>Asian Journal of Research in Computer Science</w:t>
      </w:r>
      <w:r w:rsidRPr="006D26E5">
        <w:rPr>
          <w:sz w:val="24"/>
          <w:szCs w:val="24"/>
        </w:rPr>
        <w:t xml:space="preserve">, </w:t>
      </w:r>
      <w:r w:rsidRPr="006D26E5">
        <w:rPr>
          <w:i/>
          <w:sz w:val="24"/>
          <w:szCs w:val="24"/>
        </w:rPr>
        <w:t>17</w:t>
      </w:r>
      <w:r w:rsidRPr="006D26E5">
        <w:rPr>
          <w:sz w:val="24"/>
          <w:szCs w:val="24"/>
        </w:rPr>
        <w:t xml:space="preserve">(5), 108–124. </w:t>
      </w:r>
      <w:hyperlink r:id="rId61">
        <w:r w:rsidRPr="006D26E5">
          <w:rPr>
            <w:color w:val="1155CC"/>
            <w:sz w:val="24"/>
            <w:szCs w:val="24"/>
            <w:u w:val="single"/>
          </w:rPr>
          <w:t>https://doi.org/10.9734/ajrcos/2024/v17i5442</w:t>
        </w:r>
      </w:hyperlink>
      <w:r w:rsidRPr="006D26E5">
        <w:rPr>
          <w:sz w:val="24"/>
          <w:szCs w:val="24"/>
        </w:rPr>
        <w:t xml:space="preserve"> </w:t>
      </w:r>
    </w:p>
    <w:p w14:paraId="2AE137C0" w14:textId="77777777" w:rsidR="00506BCB" w:rsidRPr="006D26E5" w:rsidRDefault="002C4A4D" w:rsidP="00745FF2">
      <w:pPr>
        <w:spacing w:after="240" w:line="240" w:lineRule="auto"/>
        <w:ind w:left="720" w:hanging="720"/>
        <w:rPr>
          <w:sz w:val="24"/>
          <w:szCs w:val="24"/>
        </w:rPr>
      </w:pPr>
      <w:r w:rsidRPr="006D26E5">
        <w:rPr>
          <w:sz w:val="24"/>
          <w:szCs w:val="24"/>
        </w:rPr>
        <w:t xml:space="preserve">NIST. (2024). </w:t>
      </w:r>
      <w:r w:rsidRPr="006D26E5">
        <w:rPr>
          <w:i/>
          <w:sz w:val="24"/>
          <w:szCs w:val="24"/>
        </w:rPr>
        <w:t>NIST Releases First 3 Finalized Post-Quantum Encryption Standards | NIST</w:t>
      </w:r>
      <w:r w:rsidRPr="006D26E5">
        <w:rPr>
          <w:sz w:val="24"/>
          <w:szCs w:val="24"/>
        </w:rPr>
        <w:t xml:space="preserve">. NIST. </w:t>
      </w:r>
      <w:hyperlink r:id="rId62">
        <w:r w:rsidRPr="006D26E5">
          <w:rPr>
            <w:color w:val="1155CC"/>
            <w:sz w:val="24"/>
            <w:szCs w:val="24"/>
            <w:u w:val="single"/>
          </w:rPr>
          <w:t>https://www.nist.gov/news-events/news/2024/08/nist-releases-first-3-finalized-post-quantum-encryption-standards</w:t>
        </w:r>
      </w:hyperlink>
      <w:r w:rsidRPr="006D26E5">
        <w:rPr>
          <w:sz w:val="24"/>
          <w:szCs w:val="24"/>
        </w:rPr>
        <w:t xml:space="preserve"> </w:t>
      </w:r>
    </w:p>
    <w:p w14:paraId="1D248CBB" w14:textId="77777777" w:rsidR="00506BCB" w:rsidRPr="006D26E5" w:rsidRDefault="002C4A4D" w:rsidP="00745FF2">
      <w:pPr>
        <w:spacing w:after="240" w:line="240" w:lineRule="auto"/>
        <w:ind w:left="720" w:hanging="720"/>
        <w:rPr>
          <w:sz w:val="24"/>
          <w:szCs w:val="24"/>
        </w:rPr>
      </w:pPr>
      <w:r w:rsidRPr="006D26E5">
        <w:rPr>
          <w:sz w:val="24"/>
          <w:szCs w:val="24"/>
        </w:rPr>
        <w:t xml:space="preserve">Obioha-Val, O. A. (2025). Bridging Gaps in Cybersecurity Governance: Leveraging Collaborative Digital Solutions.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(2), 82–100. </w:t>
      </w:r>
      <w:hyperlink r:id="rId63">
        <w:r w:rsidRPr="006D26E5">
          <w:rPr>
            <w:color w:val="1155CC"/>
            <w:sz w:val="24"/>
            <w:szCs w:val="24"/>
            <w:u w:val="single"/>
          </w:rPr>
          <w:t>https://doi.org/10.9734/ajrcos/2025/v18i2564</w:t>
        </w:r>
      </w:hyperlink>
      <w:r w:rsidRPr="006D26E5">
        <w:rPr>
          <w:sz w:val="24"/>
          <w:szCs w:val="24"/>
        </w:rPr>
        <w:t xml:space="preserve"> </w:t>
      </w:r>
    </w:p>
    <w:p w14:paraId="1E379C74"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Obioha</w:t>
      </w:r>
      <w:proofErr w:type="spellEnd"/>
      <w:r w:rsidRPr="00BB38CA">
        <w:rPr>
          <w:sz w:val="24"/>
          <w:szCs w:val="24"/>
          <w:lang w:val="es-ES"/>
        </w:rPr>
        <w:t xml:space="preserve">-Val, O. A., </w:t>
      </w:r>
      <w:proofErr w:type="spellStart"/>
      <w:r w:rsidRPr="00BB38CA">
        <w:rPr>
          <w:sz w:val="24"/>
          <w:szCs w:val="24"/>
          <w:lang w:val="es-ES"/>
        </w:rPr>
        <w:t>Gbadebo</w:t>
      </w:r>
      <w:proofErr w:type="spellEnd"/>
      <w:r w:rsidRPr="00BB38CA">
        <w:rPr>
          <w:sz w:val="24"/>
          <w:szCs w:val="24"/>
          <w:lang w:val="es-ES"/>
        </w:rPr>
        <w:t xml:space="preserve">, M. O., </w:t>
      </w:r>
      <w:proofErr w:type="spellStart"/>
      <w:r w:rsidRPr="00BB38CA">
        <w:rPr>
          <w:sz w:val="24"/>
          <w:szCs w:val="24"/>
          <w:lang w:val="es-ES"/>
        </w:rPr>
        <w:t>Olaniyi</w:t>
      </w:r>
      <w:proofErr w:type="spellEnd"/>
      <w:r w:rsidRPr="00BB38CA">
        <w:rPr>
          <w:sz w:val="24"/>
          <w:szCs w:val="24"/>
          <w:lang w:val="es-ES"/>
        </w:rPr>
        <w:t xml:space="preserve">, O. O., </w:t>
      </w:r>
      <w:proofErr w:type="spellStart"/>
      <w:r w:rsidRPr="00BB38CA">
        <w:rPr>
          <w:sz w:val="24"/>
          <w:szCs w:val="24"/>
          <w:lang w:val="es-ES"/>
        </w:rPr>
        <w:t>Chinye</w:t>
      </w:r>
      <w:proofErr w:type="spellEnd"/>
      <w:r w:rsidRPr="00BB38CA">
        <w:rPr>
          <w:sz w:val="24"/>
          <w:szCs w:val="24"/>
          <w:lang w:val="es-ES"/>
        </w:rPr>
        <w:t xml:space="preserve">, N. C., &amp; </w:t>
      </w:r>
      <w:proofErr w:type="spellStart"/>
      <w:r w:rsidRPr="00BB38CA">
        <w:rPr>
          <w:sz w:val="24"/>
          <w:szCs w:val="24"/>
          <w:lang w:val="es-ES"/>
        </w:rPr>
        <w:t>Balogun</w:t>
      </w:r>
      <w:proofErr w:type="spellEnd"/>
      <w:r w:rsidRPr="00BB38CA">
        <w:rPr>
          <w:sz w:val="24"/>
          <w:szCs w:val="24"/>
          <w:lang w:val="es-ES"/>
        </w:rPr>
        <w:t xml:space="preserve">, A. Y. (2025). </w:t>
      </w:r>
      <w:r w:rsidRPr="006D26E5">
        <w:rPr>
          <w:sz w:val="24"/>
          <w:szCs w:val="24"/>
        </w:rPr>
        <w:t xml:space="preserve">Innovative Regulation of Open Source Intelligence and Deepfakes AI in Managing Public Trust.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(2), 136–156. </w:t>
      </w:r>
      <w:hyperlink r:id="rId64">
        <w:r w:rsidRPr="006D26E5">
          <w:rPr>
            <w:color w:val="1155CC"/>
            <w:sz w:val="24"/>
            <w:szCs w:val="24"/>
            <w:u w:val="single"/>
          </w:rPr>
          <w:t>https://doi.org/10.9734/jerr/2025/v27i21400</w:t>
        </w:r>
      </w:hyperlink>
      <w:r w:rsidRPr="006D26E5">
        <w:rPr>
          <w:sz w:val="24"/>
          <w:szCs w:val="24"/>
        </w:rPr>
        <w:t xml:space="preserve"> </w:t>
      </w:r>
    </w:p>
    <w:p w14:paraId="5679E2A9"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lastRenderedPageBreak/>
        <w:t>Obioha</w:t>
      </w:r>
      <w:proofErr w:type="spellEnd"/>
      <w:r w:rsidRPr="00BB38CA">
        <w:rPr>
          <w:sz w:val="24"/>
          <w:szCs w:val="24"/>
          <w:lang w:val="es-ES"/>
        </w:rPr>
        <w:t xml:space="preserve">-Val, O. A., Lawal, T. I., </w:t>
      </w:r>
      <w:proofErr w:type="spellStart"/>
      <w:r w:rsidRPr="00BB38CA">
        <w:rPr>
          <w:sz w:val="24"/>
          <w:szCs w:val="24"/>
          <w:lang w:val="es-ES"/>
        </w:rPr>
        <w:t>Olaniyi</w:t>
      </w:r>
      <w:proofErr w:type="spellEnd"/>
      <w:r w:rsidRPr="00BB38CA">
        <w:rPr>
          <w:sz w:val="24"/>
          <w:szCs w:val="24"/>
          <w:lang w:val="es-ES"/>
        </w:rPr>
        <w:t xml:space="preserve">, O. O., </w:t>
      </w:r>
      <w:proofErr w:type="spellStart"/>
      <w:r w:rsidRPr="00BB38CA">
        <w:rPr>
          <w:sz w:val="24"/>
          <w:szCs w:val="24"/>
          <w:lang w:val="es-ES"/>
        </w:rPr>
        <w:t>Gbadebo</w:t>
      </w:r>
      <w:proofErr w:type="spellEnd"/>
      <w:r w:rsidRPr="00BB38CA">
        <w:rPr>
          <w:sz w:val="24"/>
          <w:szCs w:val="24"/>
          <w:lang w:val="es-ES"/>
        </w:rPr>
        <w:t xml:space="preserve">, M. O., &amp; </w:t>
      </w:r>
      <w:proofErr w:type="spellStart"/>
      <w:r w:rsidRPr="00BB38CA">
        <w:rPr>
          <w:sz w:val="24"/>
          <w:szCs w:val="24"/>
          <w:lang w:val="es-ES"/>
        </w:rPr>
        <w:t>Olisa</w:t>
      </w:r>
      <w:proofErr w:type="spellEnd"/>
      <w:r w:rsidRPr="00BB38CA">
        <w:rPr>
          <w:sz w:val="24"/>
          <w:szCs w:val="24"/>
          <w:lang w:val="es-ES"/>
        </w:rPr>
        <w:t xml:space="preserve">, A. O. (2025). </w:t>
      </w:r>
      <w:r w:rsidRPr="006D26E5">
        <w:rPr>
          <w:sz w:val="24"/>
          <w:szCs w:val="24"/>
        </w:rPr>
        <w:t xml:space="preserve">Investigating the Feasibility and Risks of Leveraging Artificial Intelligence and Open Source Intelligence to Manage Predictive Cyber Threat Models.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(2), 10–28. </w:t>
      </w:r>
      <w:hyperlink r:id="rId65">
        <w:r w:rsidRPr="006D26E5">
          <w:rPr>
            <w:color w:val="1155CC"/>
            <w:sz w:val="24"/>
            <w:szCs w:val="24"/>
            <w:u w:val="single"/>
          </w:rPr>
          <w:t>https://doi.org/10.9734/jerr/2025/v27i21390</w:t>
        </w:r>
      </w:hyperlink>
      <w:r w:rsidRPr="006D26E5">
        <w:rPr>
          <w:sz w:val="24"/>
          <w:szCs w:val="24"/>
        </w:rPr>
        <w:t xml:space="preserve"> </w:t>
      </w:r>
    </w:p>
    <w:p w14:paraId="1CF9430A"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Obioha</w:t>
      </w:r>
      <w:proofErr w:type="spellEnd"/>
      <w:r w:rsidRPr="00BB38CA">
        <w:rPr>
          <w:sz w:val="24"/>
          <w:szCs w:val="24"/>
          <w:lang w:val="es-ES"/>
        </w:rPr>
        <w:t xml:space="preserve">-Val, O. A., </w:t>
      </w:r>
      <w:proofErr w:type="spellStart"/>
      <w:r w:rsidRPr="00BB38CA">
        <w:rPr>
          <w:sz w:val="24"/>
          <w:szCs w:val="24"/>
          <w:lang w:val="es-ES"/>
        </w:rPr>
        <w:t>Olaniyi</w:t>
      </w:r>
      <w:proofErr w:type="spellEnd"/>
      <w:r w:rsidRPr="00BB38CA">
        <w:rPr>
          <w:sz w:val="24"/>
          <w:szCs w:val="24"/>
          <w:lang w:val="es-ES"/>
        </w:rPr>
        <w:t xml:space="preserve">, O. O., </w:t>
      </w:r>
      <w:proofErr w:type="spellStart"/>
      <w:r w:rsidRPr="00BB38CA">
        <w:rPr>
          <w:sz w:val="24"/>
          <w:szCs w:val="24"/>
          <w:lang w:val="es-ES"/>
        </w:rPr>
        <w:t>Gbadebo</w:t>
      </w:r>
      <w:proofErr w:type="spellEnd"/>
      <w:r w:rsidRPr="00BB38CA">
        <w:rPr>
          <w:sz w:val="24"/>
          <w:szCs w:val="24"/>
          <w:lang w:val="es-ES"/>
        </w:rPr>
        <w:t xml:space="preserve">, M. O., </w:t>
      </w:r>
      <w:proofErr w:type="spellStart"/>
      <w:r w:rsidRPr="00BB38CA">
        <w:rPr>
          <w:sz w:val="24"/>
          <w:szCs w:val="24"/>
          <w:lang w:val="es-ES"/>
        </w:rPr>
        <w:t>Balogun</w:t>
      </w:r>
      <w:proofErr w:type="spellEnd"/>
      <w:r w:rsidRPr="00BB38CA">
        <w:rPr>
          <w:sz w:val="24"/>
          <w:szCs w:val="24"/>
          <w:lang w:val="es-ES"/>
        </w:rPr>
        <w:t xml:space="preserve">, A. Y., &amp; </w:t>
      </w:r>
      <w:proofErr w:type="spellStart"/>
      <w:r w:rsidRPr="00BB38CA">
        <w:rPr>
          <w:sz w:val="24"/>
          <w:szCs w:val="24"/>
          <w:lang w:val="es-ES"/>
        </w:rPr>
        <w:t>Olisa</w:t>
      </w:r>
      <w:proofErr w:type="spellEnd"/>
      <w:r w:rsidRPr="00BB38CA">
        <w:rPr>
          <w:sz w:val="24"/>
          <w:szCs w:val="24"/>
          <w:lang w:val="es-ES"/>
        </w:rPr>
        <w:t xml:space="preserve">, A. O. (2025). </w:t>
      </w:r>
      <w:r w:rsidRPr="006D26E5">
        <w:rPr>
          <w:sz w:val="24"/>
          <w:szCs w:val="24"/>
        </w:rPr>
        <w:t xml:space="preserve">Cyber Espionage in the Age of Artificial Intelligence: A Comparative Study of State-Sponsored Campaign.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(1), 184–204. </w:t>
      </w:r>
      <w:hyperlink r:id="rId66">
        <w:r w:rsidRPr="006D26E5">
          <w:rPr>
            <w:color w:val="1155CC"/>
            <w:sz w:val="24"/>
            <w:szCs w:val="24"/>
            <w:u w:val="single"/>
          </w:rPr>
          <w:t>https://doi.org/10.9734/ajrcos/2025/v18i1557</w:t>
        </w:r>
      </w:hyperlink>
      <w:r w:rsidRPr="006D26E5">
        <w:rPr>
          <w:sz w:val="24"/>
          <w:szCs w:val="24"/>
        </w:rPr>
        <w:t xml:space="preserve"> </w:t>
      </w:r>
    </w:p>
    <w:p w14:paraId="218DA1B7" w14:textId="77777777" w:rsidR="00506BCB" w:rsidRPr="006D26E5" w:rsidRDefault="002C4A4D" w:rsidP="00745FF2">
      <w:pPr>
        <w:spacing w:after="240" w:line="240" w:lineRule="auto"/>
        <w:ind w:left="720" w:hanging="720"/>
        <w:rPr>
          <w:sz w:val="24"/>
          <w:szCs w:val="24"/>
        </w:rPr>
      </w:pPr>
      <w:r w:rsidRPr="006D26E5">
        <w:rPr>
          <w:sz w:val="24"/>
          <w:szCs w:val="24"/>
        </w:rPr>
        <w:t xml:space="preserve">OCIO). (2020). </w:t>
      </w:r>
      <w:r w:rsidRPr="006D26E5">
        <w:rPr>
          <w:i/>
          <w:sz w:val="24"/>
          <w:szCs w:val="24"/>
        </w:rPr>
        <w:t xml:space="preserve">Health Sector Cybersecurity Coordination </w:t>
      </w:r>
      <w:proofErr w:type="spellStart"/>
      <w:r w:rsidRPr="006D26E5">
        <w:rPr>
          <w:i/>
          <w:sz w:val="24"/>
          <w:szCs w:val="24"/>
        </w:rPr>
        <w:t>Center</w:t>
      </w:r>
      <w:proofErr w:type="spellEnd"/>
      <w:r w:rsidRPr="006D26E5">
        <w:rPr>
          <w:i/>
          <w:sz w:val="24"/>
          <w:szCs w:val="24"/>
        </w:rPr>
        <w:t xml:space="preserve"> (HC3)</w:t>
      </w:r>
      <w:r w:rsidRPr="006D26E5">
        <w:rPr>
          <w:sz w:val="24"/>
          <w:szCs w:val="24"/>
        </w:rPr>
        <w:t xml:space="preserve">. HHS.gov. </w:t>
      </w:r>
      <w:hyperlink r:id="rId67">
        <w:r w:rsidRPr="006D26E5">
          <w:rPr>
            <w:color w:val="1155CC"/>
            <w:sz w:val="24"/>
            <w:szCs w:val="24"/>
            <w:u w:val="single"/>
          </w:rPr>
          <w:t>https://www.hhs.gov/about/agencies/asa/ocio/hc3/index.html</w:t>
        </w:r>
      </w:hyperlink>
      <w:r w:rsidRPr="006D26E5">
        <w:rPr>
          <w:sz w:val="24"/>
          <w:szCs w:val="24"/>
        </w:rPr>
        <w:t xml:space="preserve"> </w:t>
      </w:r>
    </w:p>
    <w:p w14:paraId="51819D1B"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Olutimehin</w:t>
      </w:r>
      <w:proofErr w:type="spellEnd"/>
      <w:r w:rsidRPr="006D26E5">
        <w:rPr>
          <w:sz w:val="24"/>
          <w:szCs w:val="24"/>
        </w:rPr>
        <w:t xml:space="preserve">, A. T. (2025a). Advancing Cloud Security in Digital Finance: AI-Driven Threat Detection, Cryptographic Solutions, and Privacy Challenges.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(3), 35–55. </w:t>
      </w:r>
      <w:hyperlink r:id="rId68">
        <w:r w:rsidRPr="006D26E5">
          <w:rPr>
            <w:color w:val="1155CC"/>
            <w:sz w:val="24"/>
            <w:szCs w:val="24"/>
            <w:u w:val="single"/>
          </w:rPr>
          <w:t>https://doi.org/10.9734/jerr/2025/v27i31416</w:t>
        </w:r>
      </w:hyperlink>
      <w:r w:rsidRPr="006D26E5">
        <w:rPr>
          <w:sz w:val="24"/>
          <w:szCs w:val="24"/>
        </w:rPr>
        <w:t xml:space="preserve"> </w:t>
      </w:r>
    </w:p>
    <w:p w14:paraId="7474F46A"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Olutimehin</w:t>
      </w:r>
      <w:proofErr w:type="spellEnd"/>
      <w:r w:rsidRPr="006D26E5">
        <w:rPr>
          <w:sz w:val="24"/>
          <w:szCs w:val="24"/>
        </w:rPr>
        <w:t xml:space="preserve">, A. T. (2025b). Assessing the Effectiveness of Cybersecurity Frameworks in Mitigating Cyberattacks in the Banking Sector and its Applicability to Decentralized Finance (DeFi).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(3), 130–151. </w:t>
      </w:r>
      <w:hyperlink r:id="rId69">
        <w:r w:rsidRPr="006D26E5">
          <w:rPr>
            <w:color w:val="1155CC"/>
            <w:sz w:val="24"/>
            <w:szCs w:val="24"/>
            <w:u w:val="single"/>
          </w:rPr>
          <w:t>https://doi.org/10.9734/ajrcos/2025/v18i3583</w:t>
        </w:r>
      </w:hyperlink>
      <w:r w:rsidRPr="006D26E5">
        <w:rPr>
          <w:sz w:val="24"/>
          <w:szCs w:val="24"/>
        </w:rPr>
        <w:t xml:space="preserve"> </w:t>
      </w:r>
    </w:p>
    <w:p w14:paraId="45D17E05"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Olutimehin</w:t>
      </w:r>
      <w:proofErr w:type="spellEnd"/>
      <w:r w:rsidRPr="006D26E5">
        <w:rPr>
          <w:sz w:val="24"/>
          <w:szCs w:val="24"/>
        </w:rPr>
        <w:t xml:space="preserve">, A. T. (2025c). The Synergistic Role of Machine Learning, Deep Learning, and Reinforcement Learning in Strengthening Cyber Security Measures for Crypto Currency Platforms. </w:t>
      </w:r>
      <w:r w:rsidRPr="006D26E5">
        <w:rPr>
          <w:i/>
          <w:sz w:val="24"/>
          <w:szCs w:val="24"/>
        </w:rPr>
        <w:t>Asian Journal of Research in Computer Science</w:t>
      </w:r>
      <w:r w:rsidRPr="006D26E5">
        <w:rPr>
          <w:sz w:val="24"/>
          <w:szCs w:val="24"/>
        </w:rPr>
        <w:t xml:space="preserve">, </w:t>
      </w:r>
      <w:r w:rsidRPr="006D26E5">
        <w:rPr>
          <w:i/>
          <w:sz w:val="24"/>
          <w:szCs w:val="24"/>
        </w:rPr>
        <w:t>18</w:t>
      </w:r>
      <w:r w:rsidRPr="006D26E5">
        <w:rPr>
          <w:sz w:val="24"/>
          <w:szCs w:val="24"/>
        </w:rPr>
        <w:t xml:space="preserve">(3), 190–212. </w:t>
      </w:r>
      <w:hyperlink r:id="rId70">
        <w:r w:rsidRPr="006D26E5">
          <w:rPr>
            <w:color w:val="1155CC"/>
            <w:sz w:val="24"/>
            <w:szCs w:val="24"/>
            <w:u w:val="single"/>
          </w:rPr>
          <w:t>https://doi.org/10.9734/ajrcos/2025/v18i3586</w:t>
        </w:r>
      </w:hyperlink>
      <w:r w:rsidRPr="006D26E5">
        <w:rPr>
          <w:sz w:val="24"/>
          <w:szCs w:val="24"/>
        </w:rPr>
        <w:t xml:space="preserve"> </w:t>
      </w:r>
    </w:p>
    <w:p w14:paraId="10DC54DE"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Olutimehin</w:t>
      </w:r>
      <w:proofErr w:type="spellEnd"/>
      <w:r w:rsidRPr="006D26E5">
        <w:rPr>
          <w:sz w:val="24"/>
          <w:szCs w:val="24"/>
        </w:rPr>
        <w:t xml:space="preserve">, A. T., Ajayi, A. J., </w:t>
      </w:r>
      <w:proofErr w:type="spellStart"/>
      <w:r w:rsidRPr="006D26E5">
        <w:rPr>
          <w:sz w:val="24"/>
          <w:szCs w:val="24"/>
        </w:rPr>
        <w:t>Metibemu</w:t>
      </w:r>
      <w:proofErr w:type="spellEnd"/>
      <w:r w:rsidRPr="006D26E5">
        <w:rPr>
          <w:sz w:val="24"/>
          <w:szCs w:val="24"/>
        </w:rPr>
        <w:t xml:space="preserve">, O. C., Balogun, A. Y., </w:t>
      </w:r>
      <w:proofErr w:type="spellStart"/>
      <w:r w:rsidRPr="006D26E5">
        <w:rPr>
          <w:sz w:val="24"/>
          <w:szCs w:val="24"/>
        </w:rPr>
        <w:t>Oladoyinbo</w:t>
      </w:r>
      <w:proofErr w:type="spellEnd"/>
      <w:r w:rsidRPr="006D26E5">
        <w:rPr>
          <w:sz w:val="24"/>
          <w:szCs w:val="24"/>
        </w:rPr>
        <w:t xml:space="preserve">, T. O., &amp; Olaniyi, O. O. (2025). Adversarial Threats to AI-Driven Systems: Exploring the Attack Surface of Machine Learning Models and Countermeasures. </w:t>
      </w:r>
      <w:r w:rsidRPr="006D26E5">
        <w:rPr>
          <w:i/>
          <w:sz w:val="24"/>
          <w:szCs w:val="24"/>
        </w:rPr>
        <w:t>Journal of Engineering Research and Reports</w:t>
      </w:r>
      <w:r w:rsidRPr="006D26E5">
        <w:rPr>
          <w:sz w:val="24"/>
          <w:szCs w:val="24"/>
        </w:rPr>
        <w:t xml:space="preserve">, </w:t>
      </w:r>
      <w:r w:rsidRPr="006D26E5">
        <w:rPr>
          <w:i/>
          <w:sz w:val="24"/>
          <w:szCs w:val="24"/>
        </w:rPr>
        <w:t>27</w:t>
      </w:r>
      <w:r w:rsidRPr="006D26E5">
        <w:rPr>
          <w:sz w:val="24"/>
          <w:szCs w:val="24"/>
        </w:rPr>
        <w:t xml:space="preserve">(2), 341–362. </w:t>
      </w:r>
      <w:hyperlink r:id="rId71">
        <w:r w:rsidRPr="006D26E5">
          <w:rPr>
            <w:color w:val="1155CC"/>
            <w:sz w:val="24"/>
            <w:szCs w:val="24"/>
            <w:u w:val="single"/>
          </w:rPr>
          <w:t>https://doi.org/10.9734/jerr/2025/v27i21413</w:t>
        </w:r>
      </w:hyperlink>
      <w:r w:rsidRPr="006D26E5">
        <w:rPr>
          <w:sz w:val="24"/>
          <w:szCs w:val="24"/>
        </w:rPr>
        <w:t xml:space="preserve"> </w:t>
      </w:r>
    </w:p>
    <w:p w14:paraId="6FB09453" w14:textId="77777777" w:rsidR="00506BCB" w:rsidRPr="006D26E5" w:rsidRDefault="002C4A4D" w:rsidP="00745FF2">
      <w:pPr>
        <w:spacing w:after="240" w:line="240" w:lineRule="auto"/>
        <w:ind w:left="720" w:hanging="720"/>
        <w:rPr>
          <w:sz w:val="24"/>
          <w:szCs w:val="24"/>
        </w:rPr>
      </w:pPr>
      <w:r w:rsidRPr="006D26E5">
        <w:rPr>
          <w:sz w:val="24"/>
          <w:szCs w:val="24"/>
        </w:rPr>
        <w:t xml:space="preserve">Otis. (2025). </w:t>
      </w:r>
      <w:proofErr w:type="spellStart"/>
      <w:r w:rsidRPr="006D26E5">
        <w:rPr>
          <w:i/>
          <w:sz w:val="24"/>
          <w:szCs w:val="24"/>
        </w:rPr>
        <w:t>Otio</w:t>
      </w:r>
      <w:proofErr w:type="spellEnd"/>
      <w:r w:rsidRPr="006D26E5">
        <w:rPr>
          <w:sz w:val="24"/>
          <w:szCs w:val="24"/>
        </w:rPr>
        <w:t xml:space="preserve">. Otio.us. </w:t>
      </w:r>
      <w:hyperlink r:id="rId72">
        <w:r w:rsidRPr="006D26E5">
          <w:rPr>
            <w:color w:val="1155CC"/>
            <w:sz w:val="24"/>
            <w:szCs w:val="24"/>
            <w:u w:val="single"/>
          </w:rPr>
          <w:t>https://www.otio.us/</w:t>
        </w:r>
      </w:hyperlink>
      <w:r w:rsidRPr="006D26E5">
        <w:rPr>
          <w:sz w:val="24"/>
          <w:szCs w:val="24"/>
        </w:rPr>
        <w:t xml:space="preserve"> </w:t>
      </w:r>
    </w:p>
    <w:p w14:paraId="64371F86" w14:textId="77777777" w:rsidR="00506BCB" w:rsidRPr="006D26E5" w:rsidRDefault="002C4A4D" w:rsidP="00745FF2">
      <w:pPr>
        <w:spacing w:after="240" w:line="240" w:lineRule="auto"/>
        <w:ind w:left="720" w:hanging="720"/>
        <w:rPr>
          <w:sz w:val="24"/>
          <w:szCs w:val="24"/>
        </w:rPr>
      </w:pPr>
      <w:r w:rsidRPr="006D26E5">
        <w:rPr>
          <w:sz w:val="24"/>
          <w:szCs w:val="24"/>
        </w:rPr>
        <w:t xml:space="preserve">Pandeya, G. R., Daim, T. U., &amp; Marotzke, A. (2021). A Strategy Roadmap for Post-quantum Cryptography. </w:t>
      </w:r>
      <w:r w:rsidRPr="006D26E5">
        <w:rPr>
          <w:i/>
          <w:sz w:val="24"/>
          <w:szCs w:val="24"/>
        </w:rPr>
        <w:t>Applied Innovation and Technology Management</w:t>
      </w:r>
      <w:r w:rsidRPr="006D26E5">
        <w:rPr>
          <w:sz w:val="24"/>
          <w:szCs w:val="24"/>
        </w:rPr>
        <w:t xml:space="preserve">, 171–207. </w:t>
      </w:r>
      <w:hyperlink r:id="rId73">
        <w:r w:rsidRPr="006D26E5">
          <w:rPr>
            <w:color w:val="1155CC"/>
            <w:sz w:val="24"/>
            <w:szCs w:val="24"/>
            <w:u w:val="single"/>
          </w:rPr>
          <w:t>https://doi.org/10.1007/978-3-030-50502-8_4</w:t>
        </w:r>
      </w:hyperlink>
      <w:r w:rsidRPr="006D26E5">
        <w:rPr>
          <w:sz w:val="24"/>
          <w:szCs w:val="24"/>
        </w:rPr>
        <w:t xml:space="preserve"> </w:t>
      </w:r>
    </w:p>
    <w:p w14:paraId="31C13CC2" w14:textId="77777777" w:rsidR="00506BCB" w:rsidRPr="006D26E5" w:rsidRDefault="002C4A4D" w:rsidP="00745FF2">
      <w:pPr>
        <w:spacing w:after="240" w:line="240" w:lineRule="auto"/>
        <w:ind w:left="720" w:hanging="720"/>
        <w:rPr>
          <w:sz w:val="24"/>
          <w:szCs w:val="24"/>
        </w:rPr>
      </w:pPr>
      <w:r w:rsidRPr="006D26E5">
        <w:rPr>
          <w:sz w:val="24"/>
          <w:szCs w:val="24"/>
        </w:rPr>
        <w:t xml:space="preserve">Patel, R. (2024). </w:t>
      </w:r>
      <w:r w:rsidRPr="006D26E5">
        <w:rPr>
          <w:i/>
          <w:sz w:val="24"/>
          <w:szCs w:val="24"/>
        </w:rPr>
        <w:t>Quantum Security for Healthcare: A Global Shift Towards Quantum-Secure Cryptography</w:t>
      </w:r>
      <w:r w:rsidRPr="006D26E5">
        <w:rPr>
          <w:sz w:val="24"/>
          <w:szCs w:val="24"/>
        </w:rPr>
        <w:t xml:space="preserve">. @Bsindia; Business Standard. </w:t>
      </w:r>
      <w:hyperlink r:id="rId74">
        <w:r w:rsidRPr="006D26E5">
          <w:rPr>
            <w:color w:val="1155CC"/>
            <w:sz w:val="24"/>
            <w:szCs w:val="24"/>
            <w:u w:val="single"/>
          </w:rPr>
          <w:t>https://www.business-standard.com/content/specials/quantum-security-for-healthcare-a-global-shift-towards-quantum-secure-cryptography-124111201053_1.html</w:t>
        </w:r>
      </w:hyperlink>
      <w:r w:rsidRPr="006D26E5">
        <w:rPr>
          <w:sz w:val="24"/>
          <w:szCs w:val="24"/>
        </w:rPr>
        <w:t xml:space="preserve"> </w:t>
      </w:r>
    </w:p>
    <w:p w14:paraId="5D44B997"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Perwej</w:t>
      </w:r>
      <w:proofErr w:type="spellEnd"/>
      <w:r w:rsidRPr="006D26E5">
        <w:rPr>
          <w:sz w:val="24"/>
          <w:szCs w:val="24"/>
        </w:rPr>
        <w:t xml:space="preserve">, Y., Qamar Abbas, S., Pratap Dixit, J., Akhtar, Dr. N., &amp; Kumar Jaiswal, A. (2021). A Systematic Literature Review on the Cyber Security. </w:t>
      </w:r>
      <w:r w:rsidRPr="006D26E5">
        <w:rPr>
          <w:i/>
          <w:sz w:val="24"/>
          <w:szCs w:val="24"/>
        </w:rPr>
        <w:t xml:space="preserve">International </w:t>
      </w:r>
      <w:r w:rsidRPr="006D26E5">
        <w:rPr>
          <w:i/>
          <w:sz w:val="24"/>
          <w:szCs w:val="24"/>
        </w:rPr>
        <w:lastRenderedPageBreak/>
        <w:t>Journal of Scientific Research and Management</w:t>
      </w:r>
      <w:r w:rsidRPr="006D26E5">
        <w:rPr>
          <w:sz w:val="24"/>
          <w:szCs w:val="24"/>
        </w:rPr>
        <w:t xml:space="preserve">, </w:t>
      </w:r>
      <w:r w:rsidRPr="006D26E5">
        <w:rPr>
          <w:i/>
          <w:sz w:val="24"/>
          <w:szCs w:val="24"/>
        </w:rPr>
        <w:t>9</w:t>
      </w:r>
      <w:r w:rsidRPr="006D26E5">
        <w:rPr>
          <w:sz w:val="24"/>
          <w:szCs w:val="24"/>
        </w:rPr>
        <w:t xml:space="preserve">(12), 669–710. </w:t>
      </w:r>
      <w:hyperlink r:id="rId75">
        <w:r w:rsidRPr="006D26E5">
          <w:rPr>
            <w:color w:val="1155CC"/>
            <w:sz w:val="24"/>
            <w:szCs w:val="24"/>
            <w:u w:val="single"/>
          </w:rPr>
          <w:t>https://doi.org/10.18535/ijsrm/v9i12.ec04</w:t>
        </w:r>
      </w:hyperlink>
      <w:r w:rsidRPr="006D26E5">
        <w:rPr>
          <w:sz w:val="24"/>
          <w:szCs w:val="24"/>
        </w:rPr>
        <w:t xml:space="preserve"> </w:t>
      </w:r>
    </w:p>
    <w:p w14:paraId="3090AAE6" w14:textId="77777777" w:rsidR="00506BCB" w:rsidRPr="006D26E5" w:rsidRDefault="002C4A4D" w:rsidP="00745FF2">
      <w:pPr>
        <w:spacing w:after="240" w:line="240" w:lineRule="auto"/>
        <w:ind w:left="720" w:hanging="720"/>
        <w:rPr>
          <w:sz w:val="24"/>
          <w:szCs w:val="24"/>
        </w:rPr>
      </w:pPr>
      <w:r w:rsidRPr="006D26E5">
        <w:rPr>
          <w:sz w:val="24"/>
          <w:szCs w:val="24"/>
        </w:rPr>
        <w:t xml:space="preserve">Popoola, O., Rodrigues, M. A., </w:t>
      </w:r>
      <w:proofErr w:type="spellStart"/>
      <w:r w:rsidRPr="006D26E5">
        <w:rPr>
          <w:sz w:val="24"/>
          <w:szCs w:val="24"/>
        </w:rPr>
        <w:t>Marchang</w:t>
      </w:r>
      <w:proofErr w:type="spellEnd"/>
      <w:r w:rsidRPr="006D26E5">
        <w:rPr>
          <w:sz w:val="24"/>
          <w:szCs w:val="24"/>
        </w:rPr>
        <w:t xml:space="preserve">, J., Shenfield, A., </w:t>
      </w:r>
      <w:proofErr w:type="spellStart"/>
      <w:r w:rsidRPr="006D26E5">
        <w:rPr>
          <w:sz w:val="24"/>
          <w:szCs w:val="24"/>
        </w:rPr>
        <w:t>Ikpehai</w:t>
      </w:r>
      <w:proofErr w:type="spellEnd"/>
      <w:r w:rsidRPr="006D26E5">
        <w:rPr>
          <w:sz w:val="24"/>
          <w:szCs w:val="24"/>
        </w:rPr>
        <w:t xml:space="preserve">, A., &amp; Popoola, J. (2024). An Optimized Hybrid Encryption Framework for Smart Home Healthcare: Ensuring Data Confidentiality and Security. </w:t>
      </w:r>
      <w:r w:rsidRPr="006D26E5">
        <w:rPr>
          <w:i/>
          <w:sz w:val="24"/>
          <w:szCs w:val="24"/>
        </w:rPr>
        <w:t>Internet of Things</w:t>
      </w:r>
      <w:r w:rsidRPr="006D26E5">
        <w:rPr>
          <w:sz w:val="24"/>
          <w:szCs w:val="24"/>
        </w:rPr>
        <w:t xml:space="preserve">, </w:t>
      </w:r>
      <w:r w:rsidRPr="006D26E5">
        <w:rPr>
          <w:i/>
          <w:sz w:val="24"/>
          <w:szCs w:val="24"/>
        </w:rPr>
        <w:t>27</w:t>
      </w:r>
      <w:r w:rsidRPr="006D26E5">
        <w:rPr>
          <w:sz w:val="24"/>
          <w:szCs w:val="24"/>
        </w:rPr>
        <w:t xml:space="preserve">, 101314–101314. </w:t>
      </w:r>
      <w:hyperlink r:id="rId76">
        <w:r w:rsidRPr="006D26E5">
          <w:rPr>
            <w:color w:val="1155CC"/>
            <w:sz w:val="24"/>
            <w:szCs w:val="24"/>
            <w:u w:val="single"/>
          </w:rPr>
          <w:t>https://doi.org/10.1016/j.iot.2024.101314</w:t>
        </w:r>
      </w:hyperlink>
      <w:r w:rsidRPr="006D26E5">
        <w:rPr>
          <w:sz w:val="24"/>
          <w:szCs w:val="24"/>
        </w:rPr>
        <w:t xml:space="preserve"> </w:t>
      </w:r>
    </w:p>
    <w:p w14:paraId="38F9199D" w14:textId="77777777" w:rsidR="00506BCB" w:rsidRPr="006D26E5" w:rsidRDefault="002C4A4D" w:rsidP="00745FF2">
      <w:pPr>
        <w:spacing w:after="240" w:line="240" w:lineRule="auto"/>
        <w:ind w:left="720" w:hanging="720"/>
        <w:rPr>
          <w:sz w:val="24"/>
          <w:szCs w:val="24"/>
        </w:rPr>
      </w:pPr>
      <w:r w:rsidRPr="006D26E5">
        <w:rPr>
          <w:sz w:val="24"/>
          <w:szCs w:val="24"/>
        </w:rPr>
        <w:t xml:space="preserve">Robert, W., Denis, A., Thomas, A., Samuel, A., Kabiito, S. P., </w:t>
      </w:r>
      <w:proofErr w:type="spellStart"/>
      <w:r w:rsidRPr="006D26E5">
        <w:rPr>
          <w:sz w:val="24"/>
          <w:szCs w:val="24"/>
        </w:rPr>
        <w:t>Zaward</w:t>
      </w:r>
      <w:proofErr w:type="spellEnd"/>
      <w:r w:rsidRPr="006D26E5">
        <w:rPr>
          <w:sz w:val="24"/>
          <w:szCs w:val="24"/>
        </w:rPr>
        <w:t xml:space="preserve"> Morish, &amp; Ali, G. (2024). A Comprehensive Review on Cryptographic Techniques for Securing Internet of Medical Things: A State-of-the-Art, Applications, Security Attacks, Mitigation Measures, and Future Research Direction. </w:t>
      </w:r>
      <w:r w:rsidRPr="006D26E5">
        <w:rPr>
          <w:i/>
          <w:sz w:val="24"/>
          <w:szCs w:val="24"/>
        </w:rPr>
        <w:t>Mesopotamian Journal of Artificial Intelligence in Healthcare</w:t>
      </w:r>
      <w:r w:rsidRPr="006D26E5">
        <w:rPr>
          <w:sz w:val="24"/>
          <w:szCs w:val="24"/>
        </w:rPr>
        <w:t xml:space="preserve">, </w:t>
      </w:r>
      <w:r w:rsidRPr="006D26E5">
        <w:rPr>
          <w:i/>
          <w:sz w:val="24"/>
          <w:szCs w:val="24"/>
        </w:rPr>
        <w:t>2024</w:t>
      </w:r>
      <w:r w:rsidRPr="006D26E5">
        <w:rPr>
          <w:sz w:val="24"/>
          <w:szCs w:val="24"/>
        </w:rPr>
        <w:t xml:space="preserve">, 135–169. </w:t>
      </w:r>
      <w:hyperlink r:id="rId77">
        <w:r w:rsidRPr="006D26E5">
          <w:rPr>
            <w:color w:val="1155CC"/>
            <w:sz w:val="24"/>
            <w:szCs w:val="24"/>
            <w:u w:val="single"/>
          </w:rPr>
          <w:t>https://doi.org/10.58496/MJAIH/2024/016</w:t>
        </w:r>
      </w:hyperlink>
      <w:r w:rsidRPr="006D26E5">
        <w:rPr>
          <w:sz w:val="24"/>
          <w:szCs w:val="24"/>
        </w:rPr>
        <w:t xml:space="preserve"> </w:t>
      </w:r>
    </w:p>
    <w:p w14:paraId="475870A1" w14:textId="77777777" w:rsidR="00506BCB" w:rsidRPr="00BB38CA" w:rsidRDefault="002C4A4D" w:rsidP="00745FF2">
      <w:pPr>
        <w:spacing w:after="240" w:line="240" w:lineRule="auto"/>
        <w:ind w:left="720" w:hanging="720"/>
        <w:rPr>
          <w:sz w:val="24"/>
          <w:szCs w:val="24"/>
          <w:lang w:val="es-ES"/>
        </w:rPr>
      </w:pPr>
      <w:proofErr w:type="spellStart"/>
      <w:r w:rsidRPr="006D26E5">
        <w:rPr>
          <w:sz w:val="24"/>
          <w:szCs w:val="24"/>
        </w:rPr>
        <w:t>SaberiKamarposhti</w:t>
      </w:r>
      <w:proofErr w:type="spellEnd"/>
      <w:r w:rsidRPr="006D26E5">
        <w:rPr>
          <w:sz w:val="24"/>
          <w:szCs w:val="24"/>
        </w:rPr>
        <w:t xml:space="preserve">, M., Ng, K.-W., Chua, F.-F., Abdullah, J., </w:t>
      </w:r>
      <w:proofErr w:type="spellStart"/>
      <w:r w:rsidRPr="006D26E5">
        <w:rPr>
          <w:sz w:val="24"/>
          <w:szCs w:val="24"/>
        </w:rPr>
        <w:t>Yadollahi</w:t>
      </w:r>
      <w:proofErr w:type="spellEnd"/>
      <w:r w:rsidRPr="006D26E5">
        <w:rPr>
          <w:sz w:val="24"/>
          <w:szCs w:val="24"/>
        </w:rPr>
        <w:t xml:space="preserve">, M., Moradi, M., &amp; Ahmadpour, S. (2024). Post-Quantum Healthcare: A Roadmap for Cybersecurity Resilience in Medical Data. </w:t>
      </w:r>
      <w:proofErr w:type="spellStart"/>
      <w:r w:rsidRPr="00BB38CA">
        <w:rPr>
          <w:i/>
          <w:sz w:val="24"/>
          <w:szCs w:val="24"/>
          <w:lang w:val="es-ES"/>
        </w:rPr>
        <w:t>Heliyon</w:t>
      </w:r>
      <w:proofErr w:type="spellEnd"/>
      <w:r w:rsidRPr="00BB38CA">
        <w:rPr>
          <w:sz w:val="24"/>
          <w:szCs w:val="24"/>
          <w:lang w:val="es-ES"/>
        </w:rPr>
        <w:t xml:space="preserve">, </w:t>
      </w:r>
      <w:r w:rsidRPr="00BB38CA">
        <w:rPr>
          <w:i/>
          <w:sz w:val="24"/>
          <w:szCs w:val="24"/>
          <w:lang w:val="es-ES"/>
        </w:rPr>
        <w:t>10</w:t>
      </w:r>
      <w:r w:rsidRPr="00BB38CA">
        <w:rPr>
          <w:sz w:val="24"/>
          <w:szCs w:val="24"/>
          <w:lang w:val="es-ES"/>
        </w:rPr>
        <w:t xml:space="preserve">(10), e31406–e31406. </w:t>
      </w:r>
      <w:hyperlink r:id="rId78">
        <w:r w:rsidRPr="00BB38CA">
          <w:rPr>
            <w:color w:val="1155CC"/>
            <w:sz w:val="24"/>
            <w:szCs w:val="24"/>
            <w:u w:val="single"/>
            <w:lang w:val="es-ES"/>
          </w:rPr>
          <w:t>https://doi.org/10.1016/j.heliyon.2024.e31406</w:t>
        </w:r>
      </w:hyperlink>
      <w:r w:rsidRPr="00BB38CA">
        <w:rPr>
          <w:sz w:val="24"/>
          <w:szCs w:val="24"/>
          <w:lang w:val="es-ES"/>
        </w:rPr>
        <w:t xml:space="preserve"> </w:t>
      </w:r>
    </w:p>
    <w:p w14:paraId="26E5AD1A" w14:textId="77777777" w:rsidR="00506BCB" w:rsidRPr="006D26E5" w:rsidRDefault="002C4A4D" w:rsidP="00745FF2">
      <w:pPr>
        <w:spacing w:after="240" w:line="240" w:lineRule="auto"/>
        <w:ind w:left="720" w:hanging="720"/>
        <w:rPr>
          <w:sz w:val="24"/>
          <w:szCs w:val="24"/>
        </w:rPr>
      </w:pPr>
      <w:proofErr w:type="spellStart"/>
      <w:r w:rsidRPr="00BB38CA">
        <w:rPr>
          <w:sz w:val="24"/>
          <w:szCs w:val="24"/>
          <w:lang w:val="es-ES"/>
        </w:rPr>
        <w:t>Sahoo</w:t>
      </w:r>
      <w:proofErr w:type="spellEnd"/>
      <w:r w:rsidRPr="00BB38CA">
        <w:rPr>
          <w:sz w:val="24"/>
          <w:szCs w:val="24"/>
          <w:lang w:val="es-ES"/>
        </w:rPr>
        <w:t xml:space="preserve">, A., Kumar, I., &amp; </w:t>
      </w:r>
      <w:proofErr w:type="spellStart"/>
      <w:r w:rsidRPr="00BB38CA">
        <w:rPr>
          <w:sz w:val="24"/>
          <w:szCs w:val="24"/>
          <w:lang w:val="es-ES"/>
        </w:rPr>
        <w:t>Rajagopal</w:t>
      </w:r>
      <w:proofErr w:type="spellEnd"/>
      <w:r w:rsidRPr="00BB38CA">
        <w:rPr>
          <w:sz w:val="24"/>
          <w:szCs w:val="24"/>
          <w:lang w:val="es-ES"/>
        </w:rPr>
        <w:t xml:space="preserve">, S. M. (2024). </w:t>
      </w:r>
      <w:r w:rsidRPr="006D26E5">
        <w:rPr>
          <w:sz w:val="24"/>
          <w:szCs w:val="24"/>
        </w:rPr>
        <w:t xml:space="preserve">Comparative Study of Cryptographic Algorithms in Post Quantum Computing Landscape. </w:t>
      </w:r>
      <w:r w:rsidRPr="006D26E5">
        <w:rPr>
          <w:i/>
          <w:sz w:val="24"/>
          <w:szCs w:val="24"/>
        </w:rPr>
        <w:t xml:space="preserve">IEEE </w:t>
      </w:r>
      <w:r w:rsidRPr="006D26E5">
        <w:rPr>
          <w:sz w:val="24"/>
          <w:szCs w:val="24"/>
        </w:rPr>
        <w:t xml:space="preserve">, 36–40. </w:t>
      </w:r>
      <w:hyperlink r:id="rId79">
        <w:r w:rsidRPr="006D26E5">
          <w:rPr>
            <w:color w:val="1155CC"/>
            <w:sz w:val="24"/>
            <w:szCs w:val="24"/>
            <w:u w:val="single"/>
          </w:rPr>
          <w:t>https://doi.org/10.1109/icdici62993.2024.10810828</w:t>
        </w:r>
      </w:hyperlink>
      <w:r w:rsidRPr="006D26E5">
        <w:rPr>
          <w:sz w:val="24"/>
          <w:szCs w:val="24"/>
        </w:rPr>
        <w:t xml:space="preserve"> </w:t>
      </w:r>
    </w:p>
    <w:p w14:paraId="542E8567" w14:textId="77777777" w:rsidR="00506BCB" w:rsidRPr="006D26E5" w:rsidRDefault="002C4A4D" w:rsidP="00745FF2">
      <w:pPr>
        <w:spacing w:after="240" w:line="240" w:lineRule="auto"/>
        <w:ind w:left="720" w:hanging="720"/>
        <w:rPr>
          <w:sz w:val="24"/>
          <w:szCs w:val="24"/>
        </w:rPr>
      </w:pPr>
      <w:r w:rsidRPr="006D26E5">
        <w:rPr>
          <w:sz w:val="24"/>
          <w:szCs w:val="24"/>
        </w:rPr>
        <w:t xml:space="preserve">Salako, A. O., </w:t>
      </w:r>
      <w:proofErr w:type="spellStart"/>
      <w:r w:rsidRPr="006D26E5">
        <w:rPr>
          <w:sz w:val="24"/>
          <w:szCs w:val="24"/>
        </w:rPr>
        <w:t>Fabuyi</w:t>
      </w:r>
      <w:proofErr w:type="spellEnd"/>
      <w:r w:rsidRPr="006D26E5">
        <w:rPr>
          <w:sz w:val="24"/>
          <w:szCs w:val="24"/>
        </w:rPr>
        <w:t xml:space="preserve">, J. A., </w:t>
      </w:r>
      <w:proofErr w:type="spellStart"/>
      <w:r w:rsidRPr="006D26E5">
        <w:rPr>
          <w:sz w:val="24"/>
          <w:szCs w:val="24"/>
        </w:rPr>
        <w:t>Aideyan</w:t>
      </w:r>
      <w:proofErr w:type="spellEnd"/>
      <w:r w:rsidRPr="006D26E5">
        <w:rPr>
          <w:sz w:val="24"/>
          <w:szCs w:val="24"/>
        </w:rPr>
        <w:t xml:space="preserve">, N. T., </w:t>
      </w:r>
      <w:proofErr w:type="spellStart"/>
      <w:r w:rsidRPr="006D26E5">
        <w:rPr>
          <w:sz w:val="24"/>
          <w:szCs w:val="24"/>
        </w:rPr>
        <w:t>Selesi</w:t>
      </w:r>
      <w:proofErr w:type="spellEnd"/>
      <w:r w:rsidRPr="006D26E5">
        <w:rPr>
          <w:sz w:val="24"/>
          <w:szCs w:val="24"/>
        </w:rPr>
        <w:t xml:space="preserve">-Aina, O., Dapo-Oyewole, D. L., &amp; Olaniyi, O. O. (2024). Advancing Information Governance in AI-Driven Cloud Ecosystem: Strategies for Enhancing Data Security and Meeting Regulatory Compliance. </w:t>
      </w:r>
      <w:r w:rsidRPr="006D26E5">
        <w:rPr>
          <w:i/>
          <w:sz w:val="24"/>
          <w:szCs w:val="24"/>
        </w:rPr>
        <w:t>Asian Journal of Research in Computer Science</w:t>
      </w:r>
      <w:r w:rsidRPr="006D26E5">
        <w:rPr>
          <w:sz w:val="24"/>
          <w:szCs w:val="24"/>
        </w:rPr>
        <w:t xml:space="preserve">, </w:t>
      </w:r>
      <w:r w:rsidRPr="006D26E5">
        <w:rPr>
          <w:i/>
          <w:sz w:val="24"/>
          <w:szCs w:val="24"/>
        </w:rPr>
        <w:t>17</w:t>
      </w:r>
      <w:r w:rsidRPr="006D26E5">
        <w:rPr>
          <w:sz w:val="24"/>
          <w:szCs w:val="24"/>
        </w:rPr>
        <w:t xml:space="preserve">(12), 66–88. </w:t>
      </w:r>
      <w:hyperlink r:id="rId80">
        <w:r w:rsidRPr="006D26E5">
          <w:rPr>
            <w:color w:val="1155CC"/>
            <w:sz w:val="24"/>
            <w:szCs w:val="24"/>
            <w:u w:val="single"/>
          </w:rPr>
          <w:t>https://doi.org/10.9734/ajrcos/2024/v17i12530</w:t>
        </w:r>
      </w:hyperlink>
      <w:r w:rsidRPr="006D26E5">
        <w:rPr>
          <w:sz w:val="24"/>
          <w:szCs w:val="24"/>
        </w:rPr>
        <w:t xml:space="preserve"> </w:t>
      </w:r>
    </w:p>
    <w:p w14:paraId="17C09AC9" w14:textId="77777777" w:rsidR="00506BCB" w:rsidRPr="006D26E5" w:rsidRDefault="002C4A4D" w:rsidP="00745FF2">
      <w:pPr>
        <w:spacing w:after="240" w:line="240" w:lineRule="auto"/>
        <w:ind w:left="720" w:hanging="720"/>
        <w:rPr>
          <w:sz w:val="24"/>
          <w:szCs w:val="24"/>
        </w:rPr>
      </w:pPr>
      <w:r w:rsidRPr="006D26E5">
        <w:rPr>
          <w:sz w:val="24"/>
          <w:szCs w:val="24"/>
        </w:rPr>
        <w:t xml:space="preserve">Samuel-Okon, A. D., Akinola, O. I., Olaniyi, O. O., </w:t>
      </w:r>
      <w:proofErr w:type="spellStart"/>
      <w:r w:rsidRPr="006D26E5">
        <w:rPr>
          <w:sz w:val="24"/>
          <w:szCs w:val="24"/>
        </w:rPr>
        <w:t>Olateju</w:t>
      </w:r>
      <w:proofErr w:type="spellEnd"/>
      <w:r w:rsidRPr="006D26E5">
        <w:rPr>
          <w:sz w:val="24"/>
          <w:szCs w:val="24"/>
        </w:rPr>
        <w:t xml:space="preserve">, O. O., &amp; Ajayi, S. A. (2024). Assessing the Effectiveness of Network Security Tools in Mitigating the Impact of Deepfakes AI on Public Trust in Media. </w:t>
      </w:r>
      <w:r w:rsidRPr="006D26E5">
        <w:rPr>
          <w:i/>
          <w:sz w:val="24"/>
          <w:szCs w:val="24"/>
        </w:rPr>
        <w:t>Archives of Current Research International</w:t>
      </w:r>
      <w:r w:rsidRPr="006D26E5">
        <w:rPr>
          <w:sz w:val="24"/>
          <w:szCs w:val="24"/>
        </w:rPr>
        <w:t xml:space="preserve">, </w:t>
      </w:r>
      <w:r w:rsidRPr="006D26E5">
        <w:rPr>
          <w:i/>
          <w:sz w:val="24"/>
          <w:szCs w:val="24"/>
        </w:rPr>
        <w:t>24</w:t>
      </w:r>
      <w:r w:rsidRPr="006D26E5">
        <w:rPr>
          <w:sz w:val="24"/>
          <w:szCs w:val="24"/>
        </w:rPr>
        <w:t xml:space="preserve">(6), 355–375. </w:t>
      </w:r>
      <w:hyperlink r:id="rId81">
        <w:r w:rsidRPr="006D26E5">
          <w:rPr>
            <w:color w:val="1155CC"/>
            <w:sz w:val="24"/>
            <w:szCs w:val="24"/>
            <w:u w:val="single"/>
          </w:rPr>
          <w:t>https://doi.org/10.9734/acri/2024/v24i6794</w:t>
        </w:r>
      </w:hyperlink>
      <w:r w:rsidRPr="006D26E5">
        <w:rPr>
          <w:sz w:val="24"/>
          <w:szCs w:val="24"/>
        </w:rPr>
        <w:t xml:space="preserve"> </w:t>
      </w:r>
    </w:p>
    <w:p w14:paraId="52FEC6BE" w14:textId="77777777" w:rsidR="00506BCB" w:rsidRPr="006D26E5" w:rsidRDefault="002C4A4D" w:rsidP="00745FF2">
      <w:pPr>
        <w:spacing w:after="240" w:line="240" w:lineRule="auto"/>
        <w:ind w:left="720" w:hanging="720"/>
        <w:rPr>
          <w:sz w:val="24"/>
          <w:szCs w:val="24"/>
        </w:rPr>
      </w:pPr>
      <w:r w:rsidRPr="006D26E5">
        <w:rPr>
          <w:sz w:val="24"/>
          <w:szCs w:val="24"/>
        </w:rPr>
        <w:t xml:space="preserve">Shakib, K. H., Rahman, M., Islam, M., &amp; Chowdhury, M. (2025). Impersonation Attack Using Quantum Shor’s Algorithm Against Blockchain-Based Vehicular Ad-Hoc Network. </w:t>
      </w:r>
      <w:r w:rsidRPr="006D26E5">
        <w:rPr>
          <w:i/>
          <w:sz w:val="24"/>
          <w:szCs w:val="24"/>
        </w:rPr>
        <w:t>IEEE Transactions on Intelligent Transportation Systems</w:t>
      </w:r>
      <w:r w:rsidRPr="006D26E5">
        <w:rPr>
          <w:sz w:val="24"/>
          <w:szCs w:val="24"/>
        </w:rPr>
        <w:t xml:space="preserve">, 1–15. </w:t>
      </w:r>
      <w:hyperlink r:id="rId82">
        <w:r w:rsidRPr="006D26E5">
          <w:rPr>
            <w:color w:val="1155CC"/>
            <w:sz w:val="24"/>
            <w:szCs w:val="24"/>
            <w:u w:val="single"/>
          </w:rPr>
          <w:t>https://doi.org/10.1109/tits.2025.3534656</w:t>
        </w:r>
      </w:hyperlink>
      <w:r w:rsidRPr="006D26E5">
        <w:rPr>
          <w:sz w:val="24"/>
          <w:szCs w:val="24"/>
        </w:rPr>
        <w:t xml:space="preserve"> </w:t>
      </w:r>
    </w:p>
    <w:p w14:paraId="131B49EF" w14:textId="77777777" w:rsidR="00506BCB" w:rsidRPr="006D26E5" w:rsidRDefault="002C4A4D" w:rsidP="00745FF2">
      <w:pPr>
        <w:spacing w:after="240" w:line="240" w:lineRule="auto"/>
        <w:ind w:left="720" w:hanging="720"/>
        <w:rPr>
          <w:sz w:val="24"/>
          <w:szCs w:val="24"/>
        </w:rPr>
      </w:pPr>
      <w:r w:rsidRPr="006D26E5">
        <w:rPr>
          <w:sz w:val="24"/>
          <w:szCs w:val="24"/>
        </w:rPr>
        <w:t xml:space="preserve">Shamshad, S., Riaz, F., Riaz, R., Rizvi, S. S., &amp; Abdulla, S. (2022). An Enhanced Architecture to Resolve Public-Key Cryptographic Issues in the Internet of Things (IoT), Employing Quantum Computing Supremacy. </w:t>
      </w:r>
      <w:r w:rsidRPr="006D26E5">
        <w:rPr>
          <w:i/>
          <w:sz w:val="24"/>
          <w:szCs w:val="24"/>
        </w:rPr>
        <w:t>Sensors (Basel, Switzerland)</w:t>
      </w:r>
      <w:r w:rsidRPr="006D26E5">
        <w:rPr>
          <w:sz w:val="24"/>
          <w:szCs w:val="24"/>
        </w:rPr>
        <w:t xml:space="preserve">, </w:t>
      </w:r>
      <w:r w:rsidRPr="006D26E5">
        <w:rPr>
          <w:i/>
          <w:sz w:val="24"/>
          <w:szCs w:val="24"/>
        </w:rPr>
        <w:t>22</w:t>
      </w:r>
      <w:r w:rsidRPr="006D26E5">
        <w:rPr>
          <w:sz w:val="24"/>
          <w:szCs w:val="24"/>
        </w:rPr>
        <w:t xml:space="preserve">(21), 8151. </w:t>
      </w:r>
      <w:hyperlink r:id="rId83">
        <w:r w:rsidRPr="006D26E5">
          <w:rPr>
            <w:color w:val="1155CC"/>
            <w:sz w:val="24"/>
            <w:szCs w:val="24"/>
            <w:u w:val="single"/>
          </w:rPr>
          <w:t>https://doi.org/10.3390/s22218151</w:t>
        </w:r>
      </w:hyperlink>
      <w:r w:rsidRPr="006D26E5">
        <w:rPr>
          <w:sz w:val="24"/>
          <w:szCs w:val="24"/>
        </w:rPr>
        <w:t xml:space="preserve"> </w:t>
      </w:r>
    </w:p>
    <w:p w14:paraId="18F00050" w14:textId="77777777" w:rsidR="00506BCB" w:rsidRPr="006D26E5" w:rsidRDefault="002C4A4D" w:rsidP="00745FF2">
      <w:pPr>
        <w:spacing w:after="240" w:line="240" w:lineRule="auto"/>
        <w:ind w:left="720" w:hanging="720"/>
        <w:rPr>
          <w:sz w:val="24"/>
          <w:szCs w:val="24"/>
        </w:rPr>
      </w:pPr>
      <w:r w:rsidRPr="006D26E5">
        <w:rPr>
          <w:sz w:val="24"/>
          <w:szCs w:val="24"/>
        </w:rPr>
        <w:t xml:space="preserve">Sharma, S., Tripathi, M., Sahu, H. K., &amp; Karan, A. (2023). A Post-Quantum End-to-End Encryption Protocol. </w:t>
      </w:r>
      <w:r w:rsidRPr="006D26E5">
        <w:rPr>
          <w:i/>
          <w:sz w:val="24"/>
          <w:szCs w:val="24"/>
        </w:rPr>
        <w:t xml:space="preserve">IEEE </w:t>
      </w:r>
      <w:r w:rsidRPr="006D26E5">
        <w:rPr>
          <w:sz w:val="24"/>
          <w:szCs w:val="24"/>
        </w:rPr>
        <w:t xml:space="preserve">. </w:t>
      </w:r>
      <w:hyperlink r:id="rId84">
        <w:r w:rsidRPr="006D26E5">
          <w:rPr>
            <w:color w:val="1155CC"/>
            <w:sz w:val="24"/>
            <w:szCs w:val="24"/>
            <w:u w:val="single"/>
          </w:rPr>
          <w:t>https://doi.org/10.1109/ants59832.2023.10469296</w:t>
        </w:r>
      </w:hyperlink>
      <w:r w:rsidRPr="006D26E5">
        <w:rPr>
          <w:sz w:val="24"/>
          <w:szCs w:val="24"/>
        </w:rPr>
        <w:t xml:space="preserve"> </w:t>
      </w:r>
    </w:p>
    <w:p w14:paraId="4A48B02A" w14:textId="77777777" w:rsidR="00506BCB" w:rsidRPr="006D26E5" w:rsidRDefault="002C4A4D" w:rsidP="00745FF2">
      <w:pPr>
        <w:spacing w:after="240" w:line="240" w:lineRule="auto"/>
        <w:ind w:left="720" w:hanging="720"/>
        <w:rPr>
          <w:sz w:val="24"/>
          <w:szCs w:val="24"/>
        </w:rPr>
      </w:pPr>
      <w:r w:rsidRPr="006D26E5">
        <w:rPr>
          <w:sz w:val="24"/>
          <w:szCs w:val="24"/>
        </w:rPr>
        <w:lastRenderedPageBreak/>
        <w:t xml:space="preserve">Shrivastava, V., Pathak, V., Mishra, S., Buri, R. B., Sharma, S., &amp; Mishra, C. (2024). Evolutionary Patterns in Modern-Era Cloud-Based Healthcare Technologies. </w:t>
      </w:r>
      <w:r w:rsidRPr="006D26E5">
        <w:rPr>
          <w:i/>
          <w:sz w:val="24"/>
          <w:szCs w:val="24"/>
        </w:rPr>
        <w:t>Lecture Notes in Networks and Systems</w:t>
      </w:r>
      <w:r w:rsidRPr="006D26E5">
        <w:rPr>
          <w:sz w:val="24"/>
          <w:szCs w:val="24"/>
        </w:rPr>
        <w:t xml:space="preserve">, 19–32. </w:t>
      </w:r>
      <w:hyperlink r:id="rId85">
        <w:r w:rsidRPr="006D26E5">
          <w:rPr>
            <w:color w:val="1155CC"/>
            <w:sz w:val="24"/>
            <w:szCs w:val="24"/>
            <w:u w:val="single"/>
          </w:rPr>
          <w:t>https://doi.org/10.1007/978-981-99-9489-2_3</w:t>
        </w:r>
      </w:hyperlink>
      <w:r w:rsidRPr="006D26E5">
        <w:rPr>
          <w:sz w:val="24"/>
          <w:szCs w:val="24"/>
        </w:rPr>
        <w:t xml:space="preserve"> </w:t>
      </w:r>
    </w:p>
    <w:p w14:paraId="619B1073" w14:textId="77777777" w:rsidR="00506BCB" w:rsidRPr="006D26E5" w:rsidRDefault="002C4A4D" w:rsidP="00745FF2">
      <w:pPr>
        <w:spacing w:after="240" w:line="240" w:lineRule="auto"/>
        <w:ind w:left="720" w:hanging="720"/>
        <w:rPr>
          <w:sz w:val="24"/>
          <w:szCs w:val="24"/>
        </w:rPr>
      </w:pPr>
      <w:r w:rsidRPr="006D26E5">
        <w:rPr>
          <w:sz w:val="24"/>
          <w:szCs w:val="24"/>
        </w:rPr>
        <w:t xml:space="preserve">Sood, N. (2024). Cryptography in Post Quantum Computing Era. </w:t>
      </w:r>
      <w:r w:rsidRPr="006D26E5">
        <w:rPr>
          <w:i/>
          <w:sz w:val="24"/>
          <w:szCs w:val="24"/>
        </w:rPr>
        <w:t>Social Science Research Network</w:t>
      </w:r>
      <w:r w:rsidRPr="006D26E5">
        <w:rPr>
          <w:sz w:val="24"/>
          <w:szCs w:val="24"/>
        </w:rPr>
        <w:t xml:space="preserve">. </w:t>
      </w:r>
      <w:hyperlink r:id="rId86">
        <w:r w:rsidRPr="006D26E5">
          <w:rPr>
            <w:color w:val="1155CC"/>
            <w:sz w:val="24"/>
            <w:szCs w:val="24"/>
            <w:u w:val="single"/>
          </w:rPr>
          <w:t>https://doi.org/10.2139/ssrn.4705470</w:t>
        </w:r>
      </w:hyperlink>
      <w:r w:rsidRPr="006D26E5">
        <w:rPr>
          <w:sz w:val="24"/>
          <w:szCs w:val="24"/>
        </w:rPr>
        <w:t xml:space="preserve"> </w:t>
      </w:r>
    </w:p>
    <w:p w14:paraId="14D2F9C6" w14:textId="77777777" w:rsidR="00506BCB" w:rsidRPr="006D26E5" w:rsidRDefault="002C4A4D" w:rsidP="00745FF2">
      <w:pPr>
        <w:spacing w:after="240" w:line="240" w:lineRule="auto"/>
        <w:ind w:left="720" w:hanging="720"/>
        <w:rPr>
          <w:sz w:val="24"/>
          <w:szCs w:val="24"/>
        </w:rPr>
      </w:pPr>
      <w:r w:rsidRPr="006D26E5">
        <w:rPr>
          <w:sz w:val="24"/>
          <w:szCs w:val="24"/>
        </w:rPr>
        <w:t xml:space="preserve">Sowa, J., Hoang, B., </w:t>
      </w:r>
      <w:proofErr w:type="spellStart"/>
      <w:r w:rsidRPr="006D26E5">
        <w:rPr>
          <w:sz w:val="24"/>
          <w:szCs w:val="24"/>
        </w:rPr>
        <w:t>Yeluru</w:t>
      </w:r>
      <w:proofErr w:type="spellEnd"/>
      <w:r w:rsidRPr="006D26E5">
        <w:rPr>
          <w:sz w:val="24"/>
          <w:szCs w:val="24"/>
        </w:rPr>
        <w:t xml:space="preserve">, A., Qie, S., Nikolich, A., Iyer, R., &amp; Cao, P. (2024). Post-Quantum Cryptography (PQC) Network Instrument: Measuring PQC Adoption Rates and Identifying Migration Pathways. </w:t>
      </w:r>
      <w:r w:rsidRPr="006D26E5">
        <w:rPr>
          <w:i/>
          <w:sz w:val="24"/>
          <w:szCs w:val="24"/>
        </w:rPr>
        <w:t>2022 IEEE International Conference on Quantum Computing and Engineering (QCE)</w:t>
      </w:r>
      <w:r w:rsidRPr="006D26E5">
        <w:rPr>
          <w:sz w:val="24"/>
          <w:szCs w:val="24"/>
        </w:rPr>
        <w:t xml:space="preserve">, </w:t>
      </w:r>
      <w:r w:rsidRPr="006D26E5">
        <w:rPr>
          <w:i/>
          <w:sz w:val="24"/>
          <w:szCs w:val="24"/>
        </w:rPr>
        <w:t>1</w:t>
      </w:r>
      <w:r w:rsidRPr="006D26E5">
        <w:rPr>
          <w:sz w:val="24"/>
          <w:szCs w:val="24"/>
        </w:rPr>
        <w:t xml:space="preserve">, 1835–1846. </w:t>
      </w:r>
      <w:hyperlink r:id="rId87">
        <w:r w:rsidRPr="006D26E5">
          <w:rPr>
            <w:color w:val="1155CC"/>
            <w:sz w:val="24"/>
            <w:szCs w:val="24"/>
            <w:u w:val="single"/>
          </w:rPr>
          <w:t>https://doi.org/10.1109/qce60285.2024.00213</w:t>
        </w:r>
      </w:hyperlink>
      <w:r w:rsidRPr="006D26E5">
        <w:rPr>
          <w:sz w:val="24"/>
          <w:szCs w:val="24"/>
        </w:rPr>
        <w:t xml:space="preserve"> </w:t>
      </w:r>
    </w:p>
    <w:p w14:paraId="7CC4ED47" w14:textId="77777777" w:rsidR="00506BCB" w:rsidRPr="006D26E5" w:rsidRDefault="002C4A4D" w:rsidP="00745FF2">
      <w:pPr>
        <w:spacing w:after="240" w:line="240" w:lineRule="auto"/>
        <w:ind w:left="720" w:hanging="720"/>
        <w:rPr>
          <w:sz w:val="24"/>
          <w:szCs w:val="24"/>
        </w:rPr>
      </w:pPr>
      <w:r w:rsidRPr="006D26E5">
        <w:rPr>
          <w:sz w:val="24"/>
          <w:szCs w:val="24"/>
        </w:rPr>
        <w:t xml:space="preserve">Thakor, V. A., Razzaque, M. A., &amp; Khandaker, M. R. A. (2021). Lightweight Cryptography Algorithms for Resource-Constrained IoT Devices: A Review, Comparison and Research Opportunities. </w:t>
      </w:r>
      <w:r w:rsidRPr="006D26E5">
        <w:rPr>
          <w:i/>
          <w:sz w:val="24"/>
          <w:szCs w:val="24"/>
        </w:rPr>
        <w:t>IEEE Access</w:t>
      </w:r>
      <w:r w:rsidRPr="006D26E5">
        <w:rPr>
          <w:sz w:val="24"/>
          <w:szCs w:val="24"/>
        </w:rPr>
        <w:t xml:space="preserve">, </w:t>
      </w:r>
      <w:r w:rsidRPr="006D26E5">
        <w:rPr>
          <w:i/>
          <w:sz w:val="24"/>
          <w:szCs w:val="24"/>
        </w:rPr>
        <w:t>9</w:t>
      </w:r>
      <w:r w:rsidRPr="006D26E5">
        <w:rPr>
          <w:sz w:val="24"/>
          <w:szCs w:val="24"/>
        </w:rPr>
        <w:t xml:space="preserve">, 28177–28193. </w:t>
      </w:r>
      <w:hyperlink r:id="rId88">
        <w:r w:rsidRPr="006D26E5">
          <w:rPr>
            <w:color w:val="1155CC"/>
            <w:sz w:val="24"/>
            <w:szCs w:val="24"/>
            <w:u w:val="single"/>
          </w:rPr>
          <w:t>https://doi.org/10.1109/access.2021.3052867</w:t>
        </w:r>
      </w:hyperlink>
      <w:r w:rsidRPr="006D26E5">
        <w:rPr>
          <w:sz w:val="24"/>
          <w:szCs w:val="24"/>
        </w:rPr>
        <w:t xml:space="preserve"> </w:t>
      </w:r>
    </w:p>
    <w:p w14:paraId="29CFC085" w14:textId="77777777" w:rsidR="00506BCB" w:rsidRPr="006D26E5" w:rsidRDefault="002C4A4D" w:rsidP="00745FF2">
      <w:pPr>
        <w:spacing w:after="240" w:line="240" w:lineRule="auto"/>
        <w:ind w:left="720" w:hanging="720"/>
        <w:rPr>
          <w:sz w:val="24"/>
          <w:szCs w:val="24"/>
        </w:rPr>
      </w:pPr>
      <w:r w:rsidRPr="006D26E5">
        <w:rPr>
          <w:sz w:val="24"/>
          <w:szCs w:val="24"/>
        </w:rPr>
        <w:t xml:space="preserve">The White House. (2022). </w:t>
      </w:r>
      <w:r w:rsidRPr="006D26E5">
        <w:rPr>
          <w:i/>
          <w:sz w:val="24"/>
          <w:szCs w:val="24"/>
        </w:rPr>
        <w:t>National Security Memorandum on Promoting United States Leadership in Quantum Computing While Mitigating Risks to Vulnerable Cryptographic Systems | The White House</w:t>
      </w:r>
      <w:r w:rsidRPr="006D26E5">
        <w:rPr>
          <w:sz w:val="24"/>
          <w:szCs w:val="24"/>
        </w:rPr>
        <w:t xml:space="preserve">. The White House. </w:t>
      </w:r>
      <w:hyperlink r:id="rId89">
        <w:r w:rsidRPr="006D26E5">
          <w:rPr>
            <w:color w:val="1155CC"/>
            <w:sz w:val="24"/>
            <w:szCs w:val="24"/>
            <w:u w:val="single"/>
          </w:rPr>
          <w:t>https://bidenwhitehouse.archives.gov/briefing-room/statements-releases/2022/05/04/national-security-memorandum-on-promoting-united-states-leadership-in-quantum-computing-while-mitigating-risks-to-vulnerable-cryptographic-systems/</w:t>
        </w:r>
      </w:hyperlink>
      <w:r w:rsidRPr="006D26E5">
        <w:rPr>
          <w:sz w:val="24"/>
          <w:szCs w:val="24"/>
        </w:rPr>
        <w:t xml:space="preserve"> </w:t>
      </w:r>
    </w:p>
    <w:p w14:paraId="22196E62"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Webisoft</w:t>
      </w:r>
      <w:proofErr w:type="spellEnd"/>
      <w:r w:rsidRPr="006D26E5">
        <w:rPr>
          <w:sz w:val="24"/>
          <w:szCs w:val="24"/>
        </w:rPr>
        <w:t xml:space="preserve">. (2023). </w:t>
      </w:r>
      <w:r w:rsidRPr="006D26E5">
        <w:rPr>
          <w:i/>
          <w:sz w:val="24"/>
          <w:szCs w:val="24"/>
        </w:rPr>
        <w:t xml:space="preserve">Putting Patients First: Improving Care with Healthcare Cloud Computing - </w:t>
      </w:r>
      <w:proofErr w:type="spellStart"/>
      <w:r w:rsidRPr="006D26E5">
        <w:rPr>
          <w:i/>
          <w:sz w:val="24"/>
          <w:szCs w:val="24"/>
        </w:rPr>
        <w:t>Webisoft</w:t>
      </w:r>
      <w:proofErr w:type="spellEnd"/>
      <w:r w:rsidRPr="006D26E5">
        <w:rPr>
          <w:i/>
          <w:sz w:val="24"/>
          <w:szCs w:val="24"/>
        </w:rPr>
        <w:t xml:space="preserve"> Blog</w:t>
      </w:r>
      <w:r w:rsidRPr="006D26E5">
        <w:rPr>
          <w:sz w:val="24"/>
          <w:szCs w:val="24"/>
        </w:rPr>
        <w:t xml:space="preserve">. </w:t>
      </w:r>
      <w:proofErr w:type="spellStart"/>
      <w:r w:rsidRPr="006D26E5">
        <w:rPr>
          <w:sz w:val="24"/>
          <w:szCs w:val="24"/>
        </w:rPr>
        <w:t>Webisoft</w:t>
      </w:r>
      <w:proofErr w:type="spellEnd"/>
      <w:r w:rsidRPr="006D26E5">
        <w:rPr>
          <w:sz w:val="24"/>
          <w:szCs w:val="24"/>
        </w:rPr>
        <w:t xml:space="preserve">. </w:t>
      </w:r>
      <w:hyperlink r:id="rId90">
        <w:r w:rsidRPr="006D26E5">
          <w:rPr>
            <w:color w:val="1155CC"/>
            <w:sz w:val="24"/>
            <w:szCs w:val="24"/>
            <w:u w:val="single"/>
          </w:rPr>
          <w:t>https://webisoft.com/articles/cloud-computing-in-healthcare/</w:t>
        </w:r>
      </w:hyperlink>
      <w:r w:rsidRPr="006D26E5">
        <w:rPr>
          <w:sz w:val="24"/>
          <w:szCs w:val="24"/>
        </w:rPr>
        <w:t xml:space="preserve"> </w:t>
      </w:r>
    </w:p>
    <w:p w14:paraId="44AC64B1" w14:textId="77777777" w:rsidR="00506BCB" w:rsidRPr="006D26E5" w:rsidRDefault="002C4A4D" w:rsidP="00745FF2">
      <w:pPr>
        <w:spacing w:after="240" w:line="240" w:lineRule="auto"/>
        <w:ind w:left="720" w:hanging="720"/>
        <w:rPr>
          <w:sz w:val="24"/>
          <w:szCs w:val="24"/>
        </w:rPr>
      </w:pPr>
      <w:proofErr w:type="spellStart"/>
      <w:r w:rsidRPr="006D26E5">
        <w:rPr>
          <w:sz w:val="24"/>
          <w:szCs w:val="24"/>
        </w:rPr>
        <w:t>Wroński</w:t>
      </w:r>
      <w:proofErr w:type="spellEnd"/>
      <w:r w:rsidRPr="006D26E5">
        <w:rPr>
          <w:sz w:val="24"/>
          <w:szCs w:val="24"/>
        </w:rPr>
        <w:t xml:space="preserve">, M., Burek, E., &amp; Leśniak, M. (2024). (In)Security of Stream Ciphers Against Quantum Annealing Attacks on the Example of the Grain 128 and Grain 128a Ciphers. </w:t>
      </w:r>
      <w:r w:rsidRPr="006D26E5">
        <w:rPr>
          <w:i/>
          <w:sz w:val="24"/>
          <w:szCs w:val="24"/>
        </w:rPr>
        <w:t>IEEE Transactions on Emerging Topics in Computing</w:t>
      </w:r>
      <w:r w:rsidRPr="006D26E5">
        <w:rPr>
          <w:sz w:val="24"/>
          <w:szCs w:val="24"/>
        </w:rPr>
        <w:t xml:space="preserve">, 1–14. </w:t>
      </w:r>
      <w:hyperlink r:id="rId91">
        <w:r w:rsidRPr="006D26E5">
          <w:rPr>
            <w:color w:val="1155CC"/>
            <w:sz w:val="24"/>
            <w:szCs w:val="24"/>
            <w:u w:val="single"/>
          </w:rPr>
          <w:t>https://doi.org/10.1109/tetc.2024.3474856</w:t>
        </w:r>
      </w:hyperlink>
      <w:r w:rsidRPr="006D26E5">
        <w:rPr>
          <w:sz w:val="24"/>
          <w:szCs w:val="24"/>
        </w:rPr>
        <w:t xml:space="preserve"> </w:t>
      </w:r>
    </w:p>
    <w:p w14:paraId="249FB1E5" w14:textId="77777777" w:rsidR="00506BCB" w:rsidRPr="00BB38CA" w:rsidRDefault="002C4A4D" w:rsidP="00745FF2">
      <w:pPr>
        <w:spacing w:after="240" w:line="240" w:lineRule="auto"/>
        <w:ind w:left="720" w:hanging="720"/>
        <w:rPr>
          <w:sz w:val="24"/>
          <w:szCs w:val="24"/>
          <w:lang w:val="fr-FR"/>
        </w:rPr>
      </w:pPr>
      <w:r w:rsidRPr="006D26E5">
        <w:rPr>
          <w:sz w:val="24"/>
          <w:szCs w:val="24"/>
        </w:rPr>
        <w:t xml:space="preserve">Zhadan, A. (2022). </w:t>
      </w:r>
      <w:r w:rsidRPr="006D26E5">
        <w:rPr>
          <w:i/>
          <w:sz w:val="24"/>
          <w:szCs w:val="24"/>
        </w:rPr>
        <w:t>World Economic Forum finds that 95% of cybersecurity incidents occur due to human error</w:t>
      </w:r>
      <w:r w:rsidRPr="006D26E5">
        <w:rPr>
          <w:sz w:val="24"/>
          <w:szCs w:val="24"/>
        </w:rPr>
        <w:t xml:space="preserve">. </w:t>
      </w:r>
      <w:proofErr w:type="spellStart"/>
      <w:r w:rsidRPr="00BB38CA">
        <w:rPr>
          <w:sz w:val="24"/>
          <w:szCs w:val="24"/>
          <w:lang w:val="fr-FR"/>
        </w:rPr>
        <w:t>CyberNews</w:t>
      </w:r>
      <w:proofErr w:type="spellEnd"/>
      <w:r w:rsidRPr="00BB38CA">
        <w:rPr>
          <w:sz w:val="24"/>
          <w:szCs w:val="24"/>
          <w:lang w:val="fr-FR"/>
        </w:rPr>
        <w:t xml:space="preserve">. </w:t>
      </w:r>
      <w:hyperlink r:id="rId92">
        <w:r w:rsidRPr="00BB38CA">
          <w:rPr>
            <w:color w:val="1155CC"/>
            <w:sz w:val="24"/>
            <w:szCs w:val="24"/>
            <w:u w:val="single"/>
            <w:lang w:val="fr-FR"/>
          </w:rPr>
          <w:t>https://cybernews.com/editorial/world-economic-forum-finds-that-95-of-cybersecurity-incidents-occur-due-to-human-error/</w:t>
        </w:r>
      </w:hyperlink>
      <w:r w:rsidRPr="00BB38CA">
        <w:rPr>
          <w:sz w:val="24"/>
          <w:szCs w:val="24"/>
          <w:lang w:val="fr-FR"/>
        </w:rPr>
        <w:t xml:space="preserve"> </w:t>
      </w:r>
    </w:p>
    <w:p w14:paraId="1D785EA2" w14:textId="77777777" w:rsidR="00506BCB" w:rsidRPr="00BB38CA" w:rsidRDefault="00506BCB" w:rsidP="006D26E5">
      <w:pPr>
        <w:spacing w:before="240" w:after="240"/>
        <w:rPr>
          <w:sz w:val="24"/>
          <w:szCs w:val="24"/>
          <w:lang w:val="fr-FR"/>
        </w:rPr>
      </w:pPr>
    </w:p>
    <w:sectPr w:rsidR="00506BCB" w:rsidRPr="00BB38CA">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0AE6E" w14:textId="77777777" w:rsidR="006F029C" w:rsidRDefault="006F029C" w:rsidP="00090315">
      <w:pPr>
        <w:spacing w:line="240" w:lineRule="auto"/>
      </w:pPr>
      <w:r>
        <w:separator/>
      </w:r>
    </w:p>
  </w:endnote>
  <w:endnote w:type="continuationSeparator" w:id="0">
    <w:p w14:paraId="66FB31AE" w14:textId="77777777" w:rsidR="006F029C" w:rsidRDefault="006F029C" w:rsidP="000903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enorite">
    <w:charset w:val="00"/>
    <w:family w:val="auto"/>
    <w:pitch w:val="variable"/>
    <w:sig w:usb0="8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63A87" w14:textId="77777777" w:rsidR="00847C7C" w:rsidRDefault="00847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8757F" w14:textId="77777777" w:rsidR="00847C7C" w:rsidRDefault="00847C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AA63E" w14:textId="77777777" w:rsidR="00847C7C" w:rsidRDefault="00847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6EE3E" w14:textId="77777777" w:rsidR="006F029C" w:rsidRDefault="006F029C" w:rsidP="00090315">
      <w:pPr>
        <w:spacing w:line="240" w:lineRule="auto"/>
      </w:pPr>
      <w:r>
        <w:separator/>
      </w:r>
    </w:p>
  </w:footnote>
  <w:footnote w:type="continuationSeparator" w:id="0">
    <w:p w14:paraId="25606F4E" w14:textId="77777777" w:rsidR="006F029C" w:rsidRDefault="006F029C" w:rsidP="000903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B205" w14:textId="257101C9" w:rsidR="00847C7C" w:rsidRDefault="00000000">
    <w:pPr>
      <w:pStyle w:val="Header"/>
    </w:pPr>
    <w:r>
      <w:rPr>
        <w:noProof/>
      </w:rPr>
      <w:pict w14:anchorId="4B916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38695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8DAF" w14:textId="1557A893" w:rsidR="00847C7C" w:rsidRDefault="00000000">
    <w:pPr>
      <w:pStyle w:val="Header"/>
    </w:pPr>
    <w:r>
      <w:rPr>
        <w:noProof/>
      </w:rPr>
      <w:pict w14:anchorId="08EA0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38695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89AFD" w14:textId="51EA68D6" w:rsidR="00847C7C" w:rsidRDefault="00000000">
    <w:pPr>
      <w:pStyle w:val="Header"/>
    </w:pPr>
    <w:r>
      <w:rPr>
        <w:noProof/>
      </w:rPr>
      <w:pict w14:anchorId="540B5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38695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099E"/>
    <w:multiLevelType w:val="multilevel"/>
    <w:tmpl w:val="2FA63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A33AE"/>
    <w:multiLevelType w:val="multilevel"/>
    <w:tmpl w:val="BCB03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921A3"/>
    <w:multiLevelType w:val="multilevel"/>
    <w:tmpl w:val="5DA2A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E66695"/>
    <w:multiLevelType w:val="multilevel"/>
    <w:tmpl w:val="63984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43169"/>
    <w:multiLevelType w:val="multilevel"/>
    <w:tmpl w:val="982A2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E24A2B"/>
    <w:multiLevelType w:val="multilevel"/>
    <w:tmpl w:val="3E105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95581E"/>
    <w:multiLevelType w:val="multilevel"/>
    <w:tmpl w:val="837A6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AB3B86"/>
    <w:multiLevelType w:val="multilevel"/>
    <w:tmpl w:val="A196A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3E6B84"/>
    <w:multiLevelType w:val="multilevel"/>
    <w:tmpl w:val="FEF83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771945"/>
    <w:multiLevelType w:val="multilevel"/>
    <w:tmpl w:val="4A2E4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9B2F52"/>
    <w:multiLevelType w:val="multilevel"/>
    <w:tmpl w:val="415CB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A918A3"/>
    <w:multiLevelType w:val="multilevel"/>
    <w:tmpl w:val="A89CD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CC6D69"/>
    <w:multiLevelType w:val="multilevel"/>
    <w:tmpl w:val="6C6A8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673590"/>
    <w:multiLevelType w:val="multilevel"/>
    <w:tmpl w:val="082CF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96928935">
    <w:abstractNumId w:val="8"/>
  </w:num>
  <w:num w:numId="2" w16cid:durableId="1292128550">
    <w:abstractNumId w:val="10"/>
  </w:num>
  <w:num w:numId="3" w16cid:durableId="808328122">
    <w:abstractNumId w:val="5"/>
  </w:num>
  <w:num w:numId="4" w16cid:durableId="1292516802">
    <w:abstractNumId w:val="12"/>
  </w:num>
  <w:num w:numId="5" w16cid:durableId="633222325">
    <w:abstractNumId w:val="6"/>
  </w:num>
  <w:num w:numId="6" w16cid:durableId="1045563522">
    <w:abstractNumId w:val="0"/>
  </w:num>
  <w:num w:numId="7" w16cid:durableId="1388457649">
    <w:abstractNumId w:val="11"/>
  </w:num>
  <w:num w:numId="8" w16cid:durableId="2116245586">
    <w:abstractNumId w:val="13"/>
  </w:num>
  <w:num w:numId="9" w16cid:durableId="252669795">
    <w:abstractNumId w:val="7"/>
  </w:num>
  <w:num w:numId="10" w16cid:durableId="858590123">
    <w:abstractNumId w:val="2"/>
  </w:num>
  <w:num w:numId="11" w16cid:durableId="1981885533">
    <w:abstractNumId w:val="4"/>
  </w:num>
  <w:num w:numId="12" w16cid:durableId="1208570486">
    <w:abstractNumId w:val="9"/>
  </w:num>
  <w:num w:numId="13" w16cid:durableId="807019341">
    <w:abstractNumId w:val="3"/>
  </w:num>
  <w:num w:numId="14" w16cid:durableId="726147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BCB"/>
    <w:rsid w:val="00076A1C"/>
    <w:rsid w:val="00086128"/>
    <w:rsid w:val="00090315"/>
    <w:rsid w:val="000A71F3"/>
    <w:rsid w:val="000C2D4B"/>
    <w:rsid w:val="00101C63"/>
    <w:rsid w:val="00121C05"/>
    <w:rsid w:val="00146E09"/>
    <w:rsid w:val="00185B78"/>
    <w:rsid w:val="001A1526"/>
    <w:rsid w:val="00243CF0"/>
    <w:rsid w:val="0025560B"/>
    <w:rsid w:val="00277CF7"/>
    <w:rsid w:val="002C4A4D"/>
    <w:rsid w:val="00314ACF"/>
    <w:rsid w:val="0032333F"/>
    <w:rsid w:val="00332F6C"/>
    <w:rsid w:val="00345E7E"/>
    <w:rsid w:val="003854A1"/>
    <w:rsid w:val="00386B1A"/>
    <w:rsid w:val="003A0585"/>
    <w:rsid w:val="003E6CF3"/>
    <w:rsid w:val="00434142"/>
    <w:rsid w:val="00506BCB"/>
    <w:rsid w:val="0053160F"/>
    <w:rsid w:val="00533E68"/>
    <w:rsid w:val="00572FB0"/>
    <w:rsid w:val="005753E1"/>
    <w:rsid w:val="00581A3A"/>
    <w:rsid w:val="005E7CE5"/>
    <w:rsid w:val="00607F11"/>
    <w:rsid w:val="00623007"/>
    <w:rsid w:val="0065702A"/>
    <w:rsid w:val="00657B84"/>
    <w:rsid w:val="006739B2"/>
    <w:rsid w:val="006A1AE3"/>
    <w:rsid w:val="006D26E5"/>
    <w:rsid w:val="006D754D"/>
    <w:rsid w:val="006F029C"/>
    <w:rsid w:val="0072090A"/>
    <w:rsid w:val="00745FF2"/>
    <w:rsid w:val="00767240"/>
    <w:rsid w:val="007A0956"/>
    <w:rsid w:val="00832FB8"/>
    <w:rsid w:val="00837EAF"/>
    <w:rsid w:val="00847C7C"/>
    <w:rsid w:val="00895626"/>
    <w:rsid w:val="008D04D1"/>
    <w:rsid w:val="009A1527"/>
    <w:rsid w:val="009A5211"/>
    <w:rsid w:val="00A0084C"/>
    <w:rsid w:val="00A528C8"/>
    <w:rsid w:val="00A53197"/>
    <w:rsid w:val="00A843BC"/>
    <w:rsid w:val="00AD7B8D"/>
    <w:rsid w:val="00AF33F6"/>
    <w:rsid w:val="00B63BB8"/>
    <w:rsid w:val="00B84583"/>
    <w:rsid w:val="00BA2368"/>
    <w:rsid w:val="00BB38CA"/>
    <w:rsid w:val="00BC4768"/>
    <w:rsid w:val="00BD0238"/>
    <w:rsid w:val="00C14BA2"/>
    <w:rsid w:val="00CC5D41"/>
    <w:rsid w:val="00D860A6"/>
    <w:rsid w:val="00D92D85"/>
    <w:rsid w:val="00DA19EB"/>
    <w:rsid w:val="00E0017B"/>
    <w:rsid w:val="00E85D27"/>
    <w:rsid w:val="00E918E2"/>
    <w:rsid w:val="00EC03E0"/>
    <w:rsid w:val="00ED33B3"/>
    <w:rsid w:val="00ED6AF6"/>
    <w:rsid w:val="00EE2B0B"/>
    <w:rsid w:val="00F01635"/>
    <w:rsid w:val="00F03127"/>
    <w:rsid w:val="00F11DE4"/>
    <w:rsid w:val="00F16EC1"/>
    <w:rsid w:val="00F35B24"/>
    <w:rsid w:val="00F47A7A"/>
    <w:rsid w:val="00FB2E0B"/>
    <w:rsid w:val="00FB3D8D"/>
    <w:rsid w:val="00FC1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34A44"/>
  <w15:docId w15:val="{9A4A0EB8-5C8F-4C3A-A9DD-F6A6B023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1D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6EC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A1AE3"/>
    <w:rPr>
      <w:b/>
      <w:bCs/>
    </w:rPr>
  </w:style>
  <w:style w:type="character" w:customStyle="1" w:styleId="katex-mathml">
    <w:name w:val="katex-mathml"/>
    <w:basedOn w:val="DefaultParagraphFont"/>
    <w:rsid w:val="006A1AE3"/>
  </w:style>
  <w:style w:type="character" w:customStyle="1" w:styleId="mord">
    <w:name w:val="mord"/>
    <w:basedOn w:val="DefaultParagraphFont"/>
    <w:rsid w:val="006A1AE3"/>
  </w:style>
  <w:style w:type="character" w:customStyle="1" w:styleId="mrel">
    <w:name w:val="mrel"/>
    <w:basedOn w:val="DefaultParagraphFont"/>
    <w:rsid w:val="006A1AE3"/>
  </w:style>
  <w:style w:type="character" w:customStyle="1" w:styleId="mopen">
    <w:name w:val="mopen"/>
    <w:basedOn w:val="DefaultParagraphFont"/>
    <w:rsid w:val="006A1AE3"/>
  </w:style>
  <w:style w:type="character" w:customStyle="1" w:styleId="vlist-s">
    <w:name w:val="vlist-s"/>
    <w:basedOn w:val="DefaultParagraphFont"/>
    <w:rsid w:val="006A1AE3"/>
  </w:style>
  <w:style w:type="character" w:customStyle="1" w:styleId="mclose">
    <w:name w:val="mclose"/>
    <w:basedOn w:val="DefaultParagraphFont"/>
    <w:rsid w:val="006A1AE3"/>
  </w:style>
  <w:style w:type="character" w:customStyle="1" w:styleId="mop">
    <w:name w:val="mop"/>
    <w:basedOn w:val="DefaultParagraphFont"/>
    <w:rsid w:val="006A1AE3"/>
  </w:style>
  <w:style w:type="character" w:customStyle="1" w:styleId="mbin">
    <w:name w:val="mbin"/>
    <w:basedOn w:val="DefaultParagraphFont"/>
    <w:rsid w:val="006A1AE3"/>
  </w:style>
  <w:style w:type="character" w:styleId="PlaceholderText">
    <w:name w:val="Placeholder Text"/>
    <w:basedOn w:val="DefaultParagraphFont"/>
    <w:uiPriority w:val="99"/>
    <w:semiHidden/>
    <w:rsid w:val="006D754D"/>
    <w:rPr>
      <w:color w:val="808080"/>
    </w:rPr>
  </w:style>
  <w:style w:type="paragraph" w:styleId="ListParagraph">
    <w:name w:val="List Paragraph"/>
    <w:basedOn w:val="Normal"/>
    <w:uiPriority w:val="34"/>
    <w:qFormat/>
    <w:rsid w:val="00832FB8"/>
    <w:pPr>
      <w:ind w:left="720"/>
      <w:contextualSpacing/>
    </w:pPr>
  </w:style>
  <w:style w:type="paragraph" w:styleId="NoSpacing">
    <w:name w:val="No Spacing"/>
    <w:uiPriority w:val="1"/>
    <w:qFormat/>
    <w:rsid w:val="00BA2368"/>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D860A6"/>
    <w:rPr>
      <w:color w:val="0000FF" w:themeColor="hyperlink"/>
      <w:u w:val="single"/>
    </w:rPr>
  </w:style>
  <w:style w:type="character" w:customStyle="1" w:styleId="UnresolvedMention1">
    <w:name w:val="Unresolved Mention1"/>
    <w:basedOn w:val="DefaultParagraphFont"/>
    <w:uiPriority w:val="99"/>
    <w:semiHidden/>
    <w:unhideWhenUsed/>
    <w:rsid w:val="00D860A6"/>
    <w:rPr>
      <w:color w:val="605E5C"/>
      <w:shd w:val="clear" w:color="auto" w:fill="E1DFDD"/>
    </w:rPr>
  </w:style>
  <w:style w:type="paragraph" w:styleId="Header">
    <w:name w:val="header"/>
    <w:basedOn w:val="Normal"/>
    <w:link w:val="HeaderChar"/>
    <w:uiPriority w:val="99"/>
    <w:unhideWhenUsed/>
    <w:rsid w:val="00090315"/>
    <w:pPr>
      <w:tabs>
        <w:tab w:val="center" w:pos="4680"/>
        <w:tab w:val="right" w:pos="9360"/>
      </w:tabs>
      <w:spacing w:line="240" w:lineRule="auto"/>
    </w:pPr>
  </w:style>
  <w:style w:type="character" w:customStyle="1" w:styleId="HeaderChar">
    <w:name w:val="Header Char"/>
    <w:basedOn w:val="DefaultParagraphFont"/>
    <w:link w:val="Header"/>
    <w:uiPriority w:val="99"/>
    <w:rsid w:val="00090315"/>
  </w:style>
  <w:style w:type="paragraph" w:styleId="Footer">
    <w:name w:val="footer"/>
    <w:basedOn w:val="Normal"/>
    <w:link w:val="FooterChar"/>
    <w:uiPriority w:val="99"/>
    <w:unhideWhenUsed/>
    <w:rsid w:val="00090315"/>
    <w:pPr>
      <w:tabs>
        <w:tab w:val="center" w:pos="4680"/>
        <w:tab w:val="right" w:pos="9360"/>
      </w:tabs>
      <w:spacing w:line="240" w:lineRule="auto"/>
    </w:pPr>
  </w:style>
  <w:style w:type="character" w:customStyle="1" w:styleId="FooterChar">
    <w:name w:val="Footer Char"/>
    <w:basedOn w:val="DefaultParagraphFont"/>
    <w:link w:val="Footer"/>
    <w:uiPriority w:val="99"/>
    <w:rsid w:val="00090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40549">
      <w:bodyDiv w:val="1"/>
      <w:marLeft w:val="0"/>
      <w:marRight w:val="0"/>
      <w:marTop w:val="0"/>
      <w:marBottom w:val="0"/>
      <w:divBdr>
        <w:top w:val="none" w:sz="0" w:space="0" w:color="auto"/>
        <w:left w:val="none" w:sz="0" w:space="0" w:color="auto"/>
        <w:bottom w:val="none" w:sz="0" w:space="0" w:color="auto"/>
        <w:right w:val="none" w:sz="0" w:space="0" w:color="auto"/>
      </w:divBdr>
    </w:div>
    <w:div w:id="615407552">
      <w:bodyDiv w:val="1"/>
      <w:marLeft w:val="0"/>
      <w:marRight w:val="0"/>
      <w:marTop w:val="0"/>
      <w:marBottom w:val="0"/>
      <w:divBdr>
        <w:top w:val="none" w:sz="0" w:space="0" w:color="auto"/>
        <w:left w:val="none" w:sz="0" w:space="0" w:color="auto"/>
        <w:bottom w:val="none" w:sz="0" w:space="0" w:color="auto"/>
        <w:right w:val="none" w:sz="0" w:space="0" w:color="auto"/>
      </w:divBdr>
    </w:div>
    <w:div w:id="719979318">
      <w:bodyDiv w:val="1"/>
      <w:marLeft w:val="0"/>
      <w:marRight w:val="0"/>
      <w:marTop w:val="0"/>
      <w:marBottom w:val="0"/>
      <w:divBdr>
        <w:top w:val="none" w:sz="0" w:space="0" w:color="auto"/>
        <w:left w:val="none" w:sz="0" w:space="0" w:color="auto"/>
        <w:bottom w:val="none" w:sz="0" w:space="0" w:color="auto"/>
        <w:right w:val="none" w:sz="0" w:space="0" w:color="auto"/>
      </w:divBdr>
    </w:div>
    <w:div w:id="997610087">
      <w:bodyDiv w:val="1"/>
      <w:marLeft w:val="0"/>
      <w:marRight w:val="0"/>
      <w:marTop w:val="0"/>
      <w:marBottom w:val="0"/>
      <w:divBdr>
        <w:top w:val="none" w:sz="0" w:space="0" w:color="auto"/>
        <w:left w:val="none" w:sz="0" w:space="0" w:color="auto"/>
        <w:bottom w:val="none" w:sz="0" w:space="0" w:color="auto"/>
        <w:right w:val="none" w:sz="0" w:space="0" w:color="auto"/>
      </w:divBdr>
    </w:div>
    <w:div w:id="1511678126">
      <w:bodyDiv w:val="1"/>
      <w:marLeft w:val="0"/>
      <w:marRight w:val="0"/>
      <w:marTop w:val="0"/>
      <w:marBottom w:val="0"/>
      <w:divBdr>
        <w:top w:val="none" w:sz="0" w:space="0" w:color="auto"/>
        <w:left w:val="none" w:sz="0" w:space="0" w:color="auto"/>
        <w:bottom w:val="none" w:sz="0" w:space="0" w:color="auto"/>
        <w:right w:val="none" w:sz="0" w:space="0" w:color="auto"/>
      </w:divBdr>
    </w:div>
    <w:div w:id="1547139277">
      <w:bodyDiv w:val="1"/>
      <w:marLeft w:val="0"/>
      <w:marRight w:val="0"/>
      <w:marTop w:val="0"/>
      <w:marBottom w:val="0"/>
      <w:divBdr>
        <w:top w:val="none" w:sz="0" w:space="0" w:color="auto"/>
        <w:left w:val="none" w:sz="0" w:space="0" w:color="auto"/>
        <w:bottom w:val="none" w:sz="0" w:space="0" w:color="auto"/>
        <w:right w:val="none" w:sz="0" w:space="0" w:color="auto"/>
      </w:divBdr>
    </w:div>
    <w:div w:id="1614708374">
      <w:bodyDiv w:val="1"/>
      <w:marLeft w:val="0"/>
      <w:marRight w:val="0"/>
      <w:marTop w:val="0"/>
      <w:marBottom w:val="0"/>
      <w:divBdr>
        <w:top w:val="none" w:sz="0" w:space="0" w:color="auto"/>
        <w:left w:val="none" w:sz="0" w:space="0" w:color="auto"/>
        <w:bottom w:val="none" w:sz="0" w:space="0" w:color="auto"/>
        <w:right w:val="none" w:sz="0" w:space="0" w:color="auto"/>
      </w:divBdr>
    </w:div>
    <w:div w:id="1781752402">
      <w:bodyDiv w:val="1"/>
      <w:marLeft w:val="0"/>
      <w:marRight w:val="0"/>
      <w:marTop w:val="0"/>
      <w:marBottom w:val="0"/>
      <w:divBdr>
        <w:top w:val="none" w:sz="0" w:space="0" w:color="auto"/>
        <w:left w:val="none" w:sz="0" w:space="0" w:color="auto"/>
        <w:bottom w:val="none" w:sz="0" w:space="0" w:color="auto"/>
        <w:right w:val="none" w:sz="0" w:space="0" w:color="auto"/>
      </w:divBdr>
    </w:div>
    <w:div w:id="1954048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cryptography5040038" TargetMode="External"/><Relationship Id="rId21" Type="http://schemas.openxmlformats.org/officeDocument/2006/relationships/hyperlink" Target="https://doi.org/10.1080/09500340.2024.2436521" TargetMode="External"/><Relationship Id="rId34" Type="http://schemas.openxmlformats.org/officeDocument/2006/relationships/hyperlink" Target="https://cloudsecurityalliance.org/artifacts/quantum-safe-security-governance-with-the-cloud-controls-matrix" TargetMode="External"/><Relationship Id="rId42" Type="http://schemas.openxmlformats.org/officeDocument/2006/relationships/hyperlink" Target="https://doi.org/10.9734/jerr/2024/v26i111311" TargetMode="External"/><Relationship Id="rId47" Type="http://schemas.openxmlformats.org/officeDocument/2006/relationships/hyperlink" Target="https://doi.org/1023088403.12089708" TargetMode="External"/><Relationship Id="rId50" Type="http://schemas.openxmlformats.org/officeDocument/2006/relationships/hyperlink" Target="https://cloudsecurityalliance.org/research/topics/quantum-safe-security" TargetMode="External"/><Relationship Id="rId55" Type="http://schemas.openxmlformats.org/officeDocument/2006/relationships/hyperlink" Target="https://doi.org/10.9734/ajrcos/2024/v17i12528" TargetMode="External"/><Relationship Id="rId63" Type="http://schemas.openxmlformats.org/officeDocument/2006/relationships/hyperlink" Target="https://doi.org/10.9734/ajrcos/2025/v18i2564" TargetMode="External"/><Relationship Id="rId68" Type="http://schemas.openxmlformats.org/officeDocument/2006/relationships/hyperlink" Target="https://doi.org/10.9734/jerr/2025/v27i31416" TargetMode="External"/><Relationship Id="rId76" Type="http://schemas.openxmlformats.org/officeDocument/2006/relationships/hyperlink" Target="https://doi.org/10.1016/j.iot.2024.101314" TargetMode="External"/><Relationship Id="rId84" Type="http://schemas.openxmlformats.org/officeDocument/2006/relationships/hyperlink" Target="https://doi.org/10.1109/ants59832.2023.10469296" TargetMode="External"/><Relationship Id="rId89" Type="http://schemas.openxmlformats.org/officeDocument/2006/relationships/hyperlink" Target="https://bidenwhitehouse.archives.gov/briefing-room/statements-releases/2022/05/04/national-security-memorandum-on-promoting-united-states-leadership-in-quantum-computing-while-mitigating-risks-to-vulnerable-cryptographic-systems/" TargetMode="External"/><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9734/jerr/2025/v27i21413" TargetMode="External"/><Relationship Id="rId92" Type="http://schemas.openxmlformats.org/officeDocument/2006/relationships/hyperlink" Target="https://cybernews.com/editorial/world-economic-forum-finds-that-95-of-cybersecurity-incidents-occur-due-to-human-error/" TargetMode="External"/><Relationship Id="rId2" Type="http://schemas.openxmlformats.org/officeDocument/2006/relationships/styles" Target="styles.xml"/><Relationship Id="rId16" Type="http://schemas.openxmlformats.org/officeDocument/2006/relationships/hyperlink" Target="https://nuvern.com/index.php/nasr/article/view/2024-10-07" TargetMode="External"/><Relationship Id="rId29" Type="http://schemas.openxmlformats.org/officeDocument/2006/relationships/hyperlink" Target="https://doi.org/10.9734/jerr/2025/v27i21399" TargetMode="External"/><Relationship Id="rId11" Type="http://schemas.openxmlformats.org/officeDocument/2006/relationships/image" Target="media/image5.png"/><Relationship Id="rId24" Type="http://schemas.openxmlformats.org/officeDocument/2006/relationships/hyperlink" Target="https://doi.org/10.2139/ssrn.5096991" TargetMode="External"/><Relationship Id="rId32" Type="http://schemas.openxmlformats.org/officeDocument/2006/relationships/hyperlink" Target="https://thequantuminsider.com/2024/10/30/pqc-network-instrument-reveals-limited-adoption-of-quantum-resistant-protocols/" TargetMode="External"/><Relationship Id="rId37" Type="http://schemas.openxmlformats.org/officeDocument/2006/relationships/hyperlink" Target="https://doi.org/10.4018/979-8-3693-2703-6.ch002" TargetMode="External"/><Relationship Id="rId40" Type="http://schemas.openxmlformats.org/officeDocument/2006/relationships/hyperlink" Target="https://openscis.com/index.php/OJRADHI/article/view/2024-11-10" TargetMode="External"/><Relationship Id="rId45" Type="http://schemas.openxmlformats.org/officeDocument/2006/relationships/hyperlink" Target="https://doi.org/10.24018/compute.2025.5.1.146" TargetMode="External"/><Relationship Id="rId53" Type="http://schemas.openxmlformats.org/officeDocument/2006/relationships/hyperlink" Target="https://doi.org/10.1007/978-981-97-1235-9_6" TargetMode="External"/><Relationship Id="rId58" Type="http://schemas.openxmlformats.org/officeDocument/2006/relationships/hyperlink" Target="https://techstartups.com/2024/12/09/google-unveils-willow-quantum-chip-breakthrough-that-solves-10-septillion-years-1025-year-problem-in-under-5-minutes/" TargetMode="External"/><Relationship Id="rId66" Type="http://schemas.openxmlformats.org/officeDocument/2006/relationships/hyperlink" Target="https://doi.org/10.9734/ajrcos/2025/v18i1557" TargetMode="External"/><Relationship Id="rId74" Type="http://schemas.openxmlformats.org/officeDocument/2006/relationships/hyperlink" Target="https://www.business-standard.com/content/specials/quantum-security-for-healthcare-a-global-shift-towards-quantum-secure-cryptography-124111201053_1.html" TargetMode="External"/><Relationship Id="rId79" Type="http://schemas.openxmlformats.org/officeDocument/2006/relationships/hyperlink" Target="https://doi.org/10.1109/icdici62993.2024.10810828" TargetMode="External"/><Relationship Id="rId87" Type="http://schemas.openxmlformats.org/officeDocument/2006/relationships/hyperlink" Target="https://doi.org/10.1109/qce60285.2024.00213" TargetMode="External"/><Relationship Id="rId5" Type="http://schemas.openxmlformats.org/officeDocument/2006/relationships/footnotes" Target="footnotes.xml"/><Relationship Id="rId61" Type="http://schemas.openxmlformats.org/officeDocument/2006/relationships/hyperlink" Target="https://doi.org/10.9734/ajrcos/2024/v17i5442" TargetMode="External"/><Relationship Id="rId82" Type="http://schemas.openxmlformats.org/officeDocument/2006/relationships/hyperlink" Target="https://doi.org/10.1109/tits.2025.3534656" TargetMode="External"/><Relationship Id="rId90" Type="http://schemas.openxmlformats.org/officeDocument/2006/relationships/hyperlink" Target="https://webisoft.com/articles/cloud-computing-in-healthcare/" TargetMode="External"/><Relationship Id="rId95" Type="http://schemas.openxmlformats.org/officeDocument/2006/relationships/footer" Target="footer1.xml"/><Relationship Id="rId19" Type="http://schemas.openxmlformats.org/officeDocument/2006/relationships/hyperlink" Target="https://doi.org/10.3390/app11199005" TargetMode="External"/><Relationship Id="rId14" Type="http://schemas.openxmlformats.org/officeDocument/2006/relationships/image" Target="media/image8.png"/><Relationship Id="rId22" Type="http://schemas.openxmlformats.org/officeDocument/2006/relationships/hyperlink" Target="https://doi.org/10.2139/ssrn.4932269" TargetMode="External"/><Relationship Id="rId27" Type="http://schemas.openxmlformats.org/officeDocument/2006/relationships/hyperlink" Target="https://doi.org/10.9734/ajrcos/2025/v18i1555" TargetMode="External"/><Relationship Id="rId30" Type="http://schemas.openxmlformats.org/officeDocument/2006/relationships/hyperlink" Target="https://doi.org/10.1016/j.cose.2024.103883" TargetMode="External"/><Relationship Id="rId35" Type="http://schemas.openxmlformats.org/officeDocument/2006/relationships/hyperlink" Target="https://csrc.nist.gov/projects/cryptographic-standards-and-guidelines" TargetMode="External"/><Relationship Id="rId43" Type="http://schemas.openxmlformats.org/officeDocument/2006/relationships/hyperlink" Target="https://doi.org/10.1109/comst.2024.3355222" TargetMode="External"/><Relationship Id="rId48" Type="http://schemas.openxmlformats.org/officeDocument/2006/relationships/hyperlink" Target="https://www.forbes.com/councils/forbestechcouncil/2024/04/17/why-the-healthcare-industry-has-become-a-primary-target-for-cybercriminals/" TargetMode="External"/><Relationship Id="rId56" Type="http://schemas.openxmlformats.org/officeDocument/2006/relationships/hyperlink" Target="https://doi.org/10.9734/ajrcos/2025/v18i1554" TargetMode="External"/><Relationship Id="rId64" Type="http://schemas.openxmlformats.org/officeDocument/2006/relationships/hyperlink" Target="https://doi.org/10.9734/jerr/2025/v27i21400" TargetMode="External"/><Relationship Id="rId69" Type="http://schemas.openxmlformats.org/officeDocument/2006/relationships/hyperlink" Target="https://doi.org/10.9734/ajrcos/2025/v18i3583" TargetMode="External"/><Relationship Id="rId77" Type="http://schemas.openxmlformats.org/officeDocument/2006/relationships/hyperlink" Target="https://doi.org/10.58496/MJAIH/2024/016"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1109/access.2024.3504815" TargetMode="External"/><Relationship Id="rId72" Type="http://schemas.openxmlformats.org/officeDocument/2006/relationships/hyperlink" Target="https://www.otio.us/" TargetMode="External"/><Relationship Id="rId80" Type="http://schemas.openxmlformats.org/officeDocument/2006/relationships/hyperlink" Target="https://doi.org/10.9734/ajrcos/2024/v17i12530" TargetMode="External"/><Relationship Id="rId85" Type="http://schemas.openxmlformats.org/officeDocument/2006/relationships/hyperlink" Target="https://doi.org/10.1007/978-981-99-9489-2_3"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9734/acri/2025/v25i21090" TargetMode="External"/><Relationship Id="rId25" Type="http://schemas.openxmlformats.org/officeDocument/2006/relationships/hyperlink" Target="https://doi.org/10.1109/nof62948.2024.10741441" TargetMode="External"/><Relationship Id="rId33" Type="http://schemas.openxmlformats.org/officeDocument/2006/relationships/hyperlink" Target="https://www.cisa.gov/news-events/alerts/2023/08/21/cisa-nsa-and-nist-publish-factsheet-quantum-readiness" TargetMode="External"/><Relationship Id="rId38" Type="http://schemas.openxmlformats.org/officeDocument/2006/relationships/hyperlink" Target="https://doi.org/10.26421/qic24.3-4-3" TargetMode="External"/><Relationship Id="rId46" Type="http://schemas.openxmlformats.org/officeDocument/2006/relationships/hyperlink" Target="https://www.telsy.com/en/rsa-encryption-cryptography-history-and-uses/" TargetMode="External"/><Relationship Id="rId59" Type="http://schemas.openxmlformats.org/officeDocument/2006/relationships/hyperlink" Target="https://doi.org/10.26599/tst.2024.9010122" TargetMode="External"/><Relationship Id="rId67" Type="http://schemas.openxmlformats.org/officeDocument/2006/relationships/hyperlink" Target="https://www.hhs.gov/about/agencies/asa/ocio/hc3/index.html" TargetMode="External"/><Relationship Id="rId20" Type="http://schemas.openxmlformats.org/officeDocument/2006/relationships/hyperlink" Target="https://www.alliedmarketresearch.com/quantum-resistant-cryptography-solutions-market-A324168" TargetMode="External"/><Relationship Id="rId41" Type="http://schemas.openxmlformats.org/officeDocument/2006/relationships/hyperlink" Target="https://doi.org/10.4018/979-8-3693-3824-7.ch006" TargetMode="External"/><Relationship Id="rId54" Type="http://schemas.openxmlformats.org/officeDocument/2006/relationships/hyperlink" Target="https://doi.org/10.1007/s13198-024-02496-4" TargetMode="External"/><Relationship Id="rId62" Type="http://schemas.openxmlformats.org/officeDocument/2006/relationships/hyperlink" Target="https://www.nist.gov/news-events/news/2024/08/nist-releases-first-3-finalized-post-quantum-encryption-standards" TargetMode="External"/><Relationship Id="rId70" Type="http://schemas.openxmlformats.org/officeDocument/2006/relationships/hyperlink" Target="https://doi.org/10.9734/ajrcos/2025/v18i3586" TargetMode="External"/><Relationship Id="rId75" Type="http://schemas.openxmlformats.org/officeDocument/2006/relationships/hyperlink" Target="https://doi.org/10.18535/ijsrm/v9i12.ec04" TargetMode="External"/><Relationship Id="rId83" Type="http://schemas.openxmlformats.org/officeDocument/2006/relationships/hyperlink" Target="https://doi.org/10.3390/s22218151" TargetMode="External"/><Relationship Id="rId88" Type="http://schemas.openxmlformats.org/officeDocument/2006/relationships/hyperlink" Target="https://doi.org/10.1109/access.2021.3052867" TargetMode="External"/><Relationship Id="rId91" Type="http://schemas.openxmlformats.org/officeDocument/2006/relationships/hyperlink" Target="https://doi.org/10.1109/tetc.2024.3474856"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leepingcomputer.com/news/security/unitedhealth-says-data-of-100-million-stolen-in-change-healthcare-breach/" TargetMode="External"/><Relationship Id="rId23" Type="http://schemas.openxmlformats.org/officeDocument/2006/relationships/hyperlink" Target="https://westminsterresearch.westminster.ac.uk/download/b3922cedfee9c367316cd0df8ff446d2ca5d5b4758b6da9a07571dfb8c137fa7/860620/4-Paper_105-Hybrid_Algorithm_using_Rivest_Shamir_Adleman.pdf" TargetMode="External"/><Relationship Id="rId28" Type="http://schemas.openxmlformats.org/officeDocument/2006/relationships/hyperlink" Target="https://doi.org/10.9734/jerr/2025/v27i31414" TargetMode="External"/><Relationship Id="rId36" Type="http://schemas.openxmlformats.org/officeDocument/2006/relationships/hyperlink" Target="https://www.cm-alliance.com/cybersecurity-blog/nhs-software-supplier-faces-6-million-fine-over-ransomware-failings" TargetMode="External"/><Relationship Id="rId49" Type="http://schemas.openxmlformats.org/officeDocument/2006/relationships/hyperlink" Target="https://www.ncsa.illinois.edu/security-in-quantum-computing/" TargetMode="External"/><Relationship Id="rId57" Type="http://schemas.openxmlformats.org/officeDocument/2006/relationships/hyperlink" Target="https://doi.org/10.3390/info13090404" TargetMode="External"/><Relationship Id="rId10" Type="http://schemas.openxmlformats.org/officeDocument/2006/relationships/image" Target="media/image4.png"/><Relationship Id="rId31" Type="http://schemas.openxmlformats.org/officeDocument/2006/relationships/hyperlink" Target="https://doi.org/10.2478/raft-2024-0004" TargetMode="External"/><Relationship Id="rId44" Type="http://schemas.openxmlformats.org/officeDocument/2006/relationships/hyperlink" Target="https://doi.org/10.1002/spe.3039" TargetMode="External"/><Relationship Id="rId52" Type="http://schemas.openxmlformats.org/officeDocument/2006/relationships/hyperlink" Target="https://doi.org/10.9734/jerr/2024/v26i91271" TargetMode="External"/><Relationship Id="rId60" Type="http://schemas.openxmlformats.org/officeDocument/2006/relationships/hyperlink" Target="https://doi.org/10.1007/s10586-024-04799-4" TargetMode="External"/><Relationship Id="rId65" Type="http://schemas.openxmlformats.org/officeDocument/2006/relationships/hyperlink" Target="https://doi.org/10.9734/jerr/2025/v27i21390" TargetMode="External"/><Relationship Id="rId73" Type="http://schemas.openxmlformats.org/officeDocument/2006/relationships/hyperlink" Target="https://doi.org/10.1007/978-3-030-50502-8_4" TargetMode="External"/><Relationship Id="rId78" Type="http://schemas.openxmlformats.org/officeDocument/2006/relationships/hyperlink" Target="https://doi.org/10.1016/j.heliyon.2024.e31406" TargetMode="External"/><Relationship Id="rId81" Type="http://schemas.openxmlformats.org/officeDocument/2006/relationships/hyperlink" Target="https://doi.org/10.9734/acri/2024/v24i6794" TargetMode="External"/><Relationship Id="rId86" Type="http://schemas.openxmlformats.org/officeDocument/2006/relationships/hyperlink" Target="https://doi.org/10.2139/ssrn.4705470"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9734/ajeba/2024/v24i111542" TargetMode="External"/><Relationship Id="rId39" Type="http://schemas.openxmlformats.org/officeDocument/2006/relationships/hyperlink" Target="https://op.europa.eu/en/publication-detail/-/publication/c7056d4f-f869-11ee-a251-01aa75ed71a1/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11912</Words>
  <Characters>67900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Editor GP 005</cp:lastModifiedBy>
  <cp:revision>3</cp:revision>
  <dcterms:created xsi:type="dcterms:W3CDTF">2025-03-09T23:44:00Z</dcterms:created>
  <dcterms:modified xsi:type="dcterms:W3CDTF">2025-03-17T11:53:00Z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0089231503db8f4e8111e2fbe625dcc2d37a180e5d9f0555d6062e9b764d79a5</vt:lpwstr>
  </property>
</Properties>
</file>