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C7422" w14:textId="77777777" w:rsidR="001C1A1F" w:rsidRDefault="001C1A1F" w:rsidP="00441B6F">
      <w:pPr>
        <w:pStyle w:val="Title"/>
        <w:spacing w:after="0"/>
        <w:jc w:val="both"/>
        <w:rPr>
          <w:rFonts w:ascii="Arial" w:hAnsi="Arial" w:cs="Arial"/>
        </w:rPr>
      </w:pPr>
    </w:p>
    <w:p w14:paraId="0D3A491A" w14:textId="4EE27D98" w:rsidR="00163BC4" w:rsidRPr="00163BC4" w:rsidRDefault="00E66DBE" w:rsidP="00441B6F">
      <w:pPr>
        <w:pStyle w:val="Author"/>
        <w:spacing w:line="240" w:lineRule="auto"/>
        <w:rPr>
          <w:rFonts w:ascii="Arial" w:hAnsi="Arial" w:cs="Arial"/>
          <w:bCs/>
          <w:iCs/>
          <w:kern w:val="28"/>
          <w:sz w:val="36"/>
        </w:rPr>
      </w:pPr>
      <w:bookmarkStart w:id="0" w:name="OLE_LINK1"/>
      <w:bookmarkStart w:id="1" w:name="OLE_LINK2"/>
      <w:bookmarkStart w:id="2" w:name="_Hlk193725804"/>
      <w:r w:rsidRPr="00E66DBE">
        <w:rPr>
          <w:rFonts w:ascii="Arial" w:hAnsi="Arial" w:cs="Arial"/>
          <w:bCs/>
          <w:iCs/>
          <w:kern w:val="28"/>
          <w:sz w:val="36"/>
        </w:rPr>
        <w:t xml:space="preserve">Enhancing Milk Production through </w:t>
      </w:r>
      <w:r w:rsidR="000844EC">
        <w:rPr>
          <w:rFonts w:ascii="Arial" w:hAnsi="Arial" w:cs="Arial"/>
          <w:bCs/>
          <w:iCs/>
          <w:kern w:val="28"/>
          <w:sz w:val="36"/>
        </w:rPr>
        <w:t xml:space="preserve">Establishment of </w:t>
      </w:r>
      <w:r w:rsidRPr="00E66DBE">
        <w:rPr>
          <w:rFonts w:ascii="Arial" w:hAnsi="Arial" w:cs="Arial"/>
          <w:bCs/>
          <w:iCs/>
          <w:kern w:val="28"/>
          <w:sz w:val="36"/>
        </w:rPr>
        <w:t>Milk Collection Centers</w:t>
      </w:r>
      <w:r w:rsidR="007F00A9">
        <w:rPr>
          <w:rFonts w:ascii="Arial" w:hAnsi="Arial" w:cs="Arial"/>
          <w:bCs/>
          <w:iCs/>
          <w:kern w:val="28"/>
          <w:sz w:val="36"/>
        </w:rPr>
        <w:t xml:space="preserve"> in Tanga region of Tanzania</w:t>
      </w:r>
      <w:r w:rsidRPr="00E66DBE">
        <w:rPr>
          <w:rFonts w:ascii="Arial" w:hAnsi="Arial" w:cs="Arial"/>
          <w:bCs/>
          <w:iCs/>
          <w:kern w:val="28"/>
          <w:sz w:val="36"/>
        </w:rPr>
        <w:t xml:space="preserve">: </w:t>
      </w:r>
      <w:r w:rsidR="000E5E22">
        <w:rPr>
          <w:rFonts w:ascii="Arial" w:hAnsi="Arial" w:cs="Arial"/>
          <w:bCs/>
          <w:iCs/>
          <w:kern w:val="28"/>
          <w:sz w:val="36"/>
        </w:rPr>
        <w:t xml:space="preserve">A Case of </w:t>
      </w:r>
      <w:bookmarkStart w:id="3" w:name="OLE_LINK3"/>
      <w:bookmarkStart w:id="4" w:name="OLE_LINK4"/>
      <w:r w:rsidRPr="00E66DBE">
        <w:rPr>
          <w:rFonts w:ascii="Arial" w:hAnsi="Arial" w:cs="Arial"/>
          <w:bCs/>
          <w:iCs/>
          <w:kern w:val="28"/>
          <w:sz w:val="36"/>
        </w:rPr>
        <w:t>Uwama Milk Col</w:t>
      </w:r>
      <w:r w:rsidR="007D3771">
        <w:rPr>
          <w:rFonts w:ascii="Arial" w:hAnsi="Arial" w:cs="Arial"/>
          <w:bCs/>
          <w:iCs/>
          <w:kern w:val="28"/>
          <w:sz w:val="36"/>
        </w:rPr>
        <w:t xml:space="preserve">lection Centre </w:t>
      </w:r>
      <w:bookmarkEnd w:id="0"/>
      <w:bookmarkEnd w:id="1"/>
      <w:r w:rsidR="007F00A9">
        <w:rPr>
          <w:rFonts w:ascii="Arial" w:hAnsi="Arial" w:cs="Arial"/>
          <w:bCs/>
          <w:iCs/>
          <w:kern w:val="28"/>
          <w:sz w:val="36"/>
        </w:rPr>
        <w:t>at Amani Division in Muheza District</w:t>
      </w:r>
      <w:r w:rsidR="00231920">
        <w:rPr>
          <w:rFonts w:ascii="Arial" w:hAnsi="Arial" w:cs="Arial"/>
          <w:bCs/>
          <w:iCs/>
          <w:kern w:val="28"/>
          <w:sz w:val="36"/>
        </w:rPr>
        <w:t xml:space="preserve"> </w:t>
      </w:r>
      <w:bookmarkEnd w:id="3"/>
      <w:bookmarkEnd w:id="4"/>
    </w:p>
    <w:bookmarkEnd w:id="2"/>
    <w:p w14:paraId="101313CF" w14:textId="77777777" w:rsidR="00A258C3" w:rsidRPr="00790ADA" w:rsidRDefault="00A258C3" w:rsidP="00441B6F">
      <w:pPr>
        <w:pStyle w:val="Author"/>
        <w:spacing w:line="240" w:lineRule="auto"/>
        <w:jc w:val="both"/>
        <w:rPr>
          <w:rFonts w:ascii="Arial" w:hAnsi="Arial" w:cs="Arial"/>
          <w:sz w:val="36"/>
        </w:rPr>
      </w:pPr>
    </w:p>
    <w:p w14:paraId="5D82B01E" w14:textId="77777777" w:rsidR="00B01FCD" w:rsidRPr="00FB3A86" w:rsidRDefault="00133102" w:rsidP="00441B6F">
      <w:pPr>
        <w:pStyle w:val="Copyright"/>
        <w:spacing w:after="0" w:line="240" w:lineRule="auto"/>
        <w:jc w:val="both"/>
        <w:rPr>
          <w:rFonts w:ascii="Arial" w:hAnsi="Arial" w:cs="Arial"/>
        </w:rPr>
        <w:sectPr w:rsidR="00B01FCD" w:rsidRPr="00FB3A86" w:rsidSect="00A322AA">
          <w:headerReference w:type="even" r:id="rId8"/>
          <w:headerReference w:type="default" r:id="rId9"/>
          <w:headerReference w:type="first" r:id="rId10"/>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946B0D2" wp14:editId="17FA382A">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8EC324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79AB5F70" w14:textId="70E20884" w:rsidR="00B01FCD" w:rsidRDefault="00B01FCD" w:rsidP="00441B6F">
      <w:pPr>
        <w:pStyle w:val="AbstHead"/>
        <w:spacing w:after="0"/>
        <w:jc w:val="both"/>
        <w:rPr>
          <w:rFonts w:ascii="Arial" w:hAnsi="Arial" w:cs="Arial"/>
        </w:rPr>
      </w:pPr>
      <w:r w:rsidRPr="00FB3A86">
        <w:rPr>
          <w:rFonts w:ascii="Arial" w:hAnsi="Arial" w:cs="Arial"/>
        </w:rPr>
        <w:t>ABSTRACT</w:t>
      </w:r>
      <w:r w:rsidR="006E29EB">
        <w:rPr>
          <w:rFonts w:ascii="Arial" w:hAnsi="Arial" w:cs="Arial"/>
        </w:rPr>
        <w:t xml:space="preserve"> </w:t>
      </w:r>
      <w:r w:rsidR="009B6093">
        <w:rPr>
          <w:rFonts w:ascii="Arial" w:hAnsi="Arial" w:cs="Arial"/>
        </w:rPr>
        <w:t xml:space="preserve"> </w:t>
      </w:r>
    </w:p>
    <w:p w14:paraId="3E79452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E761C9A" w14:textId="77777777" w:rsidTr="001E44FE">
        <w:tc>
          <w:tcPr>
            <w:tcW w:w="9576" w:type="dxa"/>
            <w:shd w:val="clear" w:color="auto" w:fill="F2F2F2"/>
          </w:tcPr>
          <w:p w14:paraId="4D5E8737" w14:textId="5336DCBD" w:rsidR="00505F06" w:rsidRPr="00BA1B01" w:rsidRDefault="004A6E86" w:rsidP="00DD6D72">
            <w:pPr>
              <w:pStyle w:val="Body"/>
              <w:spacing w:after="0"/>
              <w:rPr>
                <w:rFonts w:ascii="Arial" w:eastAsia="Calibri" w:hAnsi="Arial" w:cs="Arial"/>
                <w:szCs w:val="22"/>
              </w:rPr>
            </w:pPr>
            <w:r w:rsidRPr="004A6E86">
              <w:rPr>
                <w:rFonts w:ascii="Arial" w:eastAsia="Calibri" w:hAnsi="Arial" w:cs="Arial"/>
                <w:szCs w:val="22"/>
              </w:rPr>
              <w:t>Thi</w:t>
            </w:r>
            <w:r>
              <w:rPr>
                <w:rFonts w:ascii="Arial" w:eastAsia="Calibri" w:hAnsi="Arial" w:cs="Arial"/>
                <w:szCs w:val="22"/>
              </w:rPr>
              <w:t>s 2024 study assessed the contribution</w:t>
            </w:r>
            <w:r w:rsidRPr="004A6E86">
              <w:rPr>
                <w:rFonts w:ascii="Arial" w:eastAsia="Calibri" w:hAnsi="Arial" w:cs="Arial"/>
                <w:szCs w:val="22"/>
              </w:rPr>
              <w:t xml:space="preserve"> of milk collection centers on dairy farming in Amani division, Muheza District, Tanga region, Tanzania. Data were collected via a descriptive survey using questionnaires administered to a sample of 30 respondents (men and women). Key parameters examined included demographic data (gender, age in years, marital status, years of education), milk production (liters/day), </w:t>
            </w:r>
            <w:r w:rsidR="003B100A">
              <w:rPr>
                <w:rFonts w:ascii="Arial" w:eastAsia="Calibri" w:hAnsi="Arial" w:cs="Arial"/>
                <w:szCs w:val="22"/>
              </w:rPr>
              <w:t>milk quality</w:t>
            </w:r>
            <w:r w:rsidRPr="004A6E86">
              <w:rPr>
                <w:rFonts w:ascii="Arial" w:eastAsia="Calibri" w:hAnsi="Arial" w:cs="Arial"/>
                <w:szCs w:val="22"/>
              </w:rPr>
              <w:t xml:space="preserve">, feeding practices (type and quantity of feed), monthly income (Tanzanian Shillings), and access to essential services (water availability, road condition assessment). Findings revealed that milk collection centers significantly enhanced milk production, guaranteed market access, and ensured timely payments, leading to improved feeding strategies and increased milk yields. </w:t>
            </w:r>
            <w:r w:rsidR="00DD6D72" w:rsidRPr="00DD6D72">
              <w:rPr>
                <w:rFonts w:ascii="Arial" w:eastAsia="Calibri" w:hAnsi="Arial" w:cs="Arial"/>
                <w:szCs w:val="22"/>
              </w:rPr>
              <w:t>Despite boosting farmer income and community ties, the success of milk collection centers was hindered by significant infrastructure challenges. Water shortages, poor road conditions, and a lack of skilled workers limited productivity and market reach. While farmers largely supported the centers, worries about fair prices and potential exploitation underscore the urgent need for equitable pricing mechanisms and infrastructure improvements.</w:t>
            </w:r>
            <w:r w:rsidR="00DD6D72">
              <w:rPr>
                <w:rFonts w:ascii="Arial" w:eastAsia="Calibri" w:hAnsi="Arial" w:cs="Arial"/>
                <w:szCs w:val="22"/>
              </w:rPr>
              <w:t xml:space="preserve"> </w:t>
            </w:r>
            <w:r w:rsidRPr="004A6E86">
              <w:rPr>
                <w:rFonts w:ascii="Arial" w:eastAsia="Calibri" w:hAnsi="Arial" w:cs="Arial"/>
                <w:szCs w:val="22"/>
              </w:rPr>
              <w:t>The study underscores the critical role of milk collection centers in linking rural producers to urban markets, but emphasizes the need for enhanced communication and infrastructure development to maximize their effectiveness and foster sustainable growth in Tanzania's smallholder dairy sector.</w:t>
            </w:r>
          </w:p>
        </w:tc>
      </w:tr>
    </w:tbl>
    <w:p w14:paraId="54340EB2" w14:textId="77777777" w:rsidR="00636EB2" w:rsidRDefault="00636EB2" w:rsidP="00441B6F">
      <w:pPr>
        <w:pStyle w:val="Body"/>
        <w:spacing w:after="0"/>
        <w:rPr>
          <w:rFonts w:ascii="Arial" w:hAnsi="Arial" w:cs="Arial"/>
          <w:i/>
        </w:rPr>
      </w:pPr>
    </w:p>
    <w:p w14:paraId="6C2498D4" w14:textId="3D84AF75" w:rsidR="00A24E7E" w:rsidRDefault="002128CC" w:rsidP="00441B6F">
      <w:pPr>
        <w:pStyle w:val="Body"/>
        <w:spacing w:after="0"/>
        <w:rPr>
          <w:rFonts w:ascii="Arial" w:hAnsi="Arial" w:cs="Arial"/>
          <w:i/>
        </w:rPr>
      </w:pPr>
      <w:r>
        <w:rPr>
          <w:rFonts w:ascii="Arial" w:hAnsi="Arial" w:cs="Arial"/>
          <w:i/>
        </w:rPr>
        <w:t xml:space="preserve">Keywords: </w:t>
      </w:r>
      <w:r w:rsidR="007E31BC" w:rsidRPr="002128CC">
        <w:rPr>
          <w:rFonts w:ascii="Arial" w:hAnsi="Arial" w:cs="Arial"/>
          <w:i/>
        </w:rPr>
        <w:t>Dairy farming</w:t>
      </w:r>
      <w:r w:rsidR="007E31BC">
        <w:rPr>
          <w:rFonts w:ascii="Arial" w:hAnsi="Arial" w:cs="Arial"/>
          <w:i/>
        </w:rPr>
        <w:t>,</w:t>
      </w:r>
      <w:r w:rsidR="007E31BC" w:rsidRPr="002128CC">
        <w:rPr>
          <w:rFonts w:ascii="Arial" w:hAnsi="Arial" w:cs="Arial"/>
          <w:i/>
        </w:rPr>
        <w:t xml:space="preserve"> Farmers’ cooperatives</w:t>
      </w:r>
      <w:r w:rsidR="007E31BC">
        <w:rPr>
          <w:rFonts w:ascii="Arial" w:hAnsi="Arial" w:cs="Arial"/>
          <w:i/>
        </w:rPr>
        <w:t>,</w:t>
      </w:r>
      <w:r w:rsidR="007E31BC" w:rsidRPr="002128CC">
        <w:rPr>
          <w:rFonts w:ascii="Arial" w:hAnsi="Arial" w:cs="Arial"/>
          <w:i/>
        </w:rPr>
        <w:t xml:space="preserve"> Market access, Rural development</w:t>
      </w:r>
      <w:r w:rsidR="007E31BC">
        <w:rPr>
          <w:rFonts w:ascii="Arial" w:hAnsi="Arial" w:cs="Arial"/>
          <w:i/>
        </w:rPr>
        <w:t>, Smallholder farmers</w:t>
      </w:r>
      <w:r w:rsidRPr="002128CC">
        <w:rPr>
          <w:rFonts w:ascii="Arial" w:hAnsi="Arial" w:cs="Arial"/>
          <w:i/>
        </w:rPr>
        <w:t xml:space="preserve"> </w:t>
      </w:r>
    </w:p>
    <w:p w14:paraId="5307F8DF" w14:textId="77777777" w:rsidR="00505F06" w:rsidRPr="00A24E7E" w:rsidRDefault="00505F06" w:rsidP="00441B6F">
      <w:pPr>
        <w:pStyle w:val="Body"/>
        <w:spacing w:after="0"/>
        <w:rPr>
          <w:rFonts w:ascii="Arial" w:hAnsi="Arial" w:cs="Arial"/>
          <w:i/>
        </w:rPr>
      </w:pPr>
    </w:p>
    <w:p w14:paraId="73E3669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8E40F8">
        <w:rPr>
          <w:rFonts w:ascii="Arial" w:hAnsi="Arial" w:cs="Arial"/>
        </w:rPr>
        <w:t xml:space="preserve"> </w:t>
      </w:r>
    </w:p>
    <w:p w14:paraId="75E3980D" w14:textId="77777777" w:rsidR="008E40F8" w:rsidRDefault="008E40F8" w:rsidP="00441B6F">
      <w:pPr>
        <w:pStyle w:val="AbstHead"/>
        <w:spacing w:after="0"/>
        <w:jc w:val="both"/>
        <w:rPr>
          <w:rFonts w:ascii="Arial" w:hAnsi="Arial" w:cs="Arial"/>
        </w:rPr>
      </w:pPr>
    </w:p>
    <w:p w14:paraId="4CA7EC65" w14:textId="77777777" w:rsidR="00785B96" w:rsidRPr="00785B96" w:rsidRDefault="00785B96" w:rsidP="00785B96">
      <w:pPr>
        <w:jc w:val="both"/>
        <w:rPr>
          <w:rFonts w:ascii="Arial" w:hAnsi="Arial" w:cs="Arial"/>
        </w:rPr>
      </w:pPr>
      <w:r w:rsidRPr="00785B96">
        <w:rPr>
          <w:rFonts w:ascii="Arial" w:hAnsi="Arial" w:cs="Arial"/>
        </w:rPr>
        <w:t>This study examines the multifaceted factors influencing milk productivity within Amani Division, Muheza District, Tanga Region, Tanzania, with a particular emphasis on the role of milk collection centers (MCCs). Tanzania's livestock sector, while possessing a substantial national herd and extensive grazing land, significantly underperforms its economic potential [1, 2]. This underperformance stems largely from the sector's predominantly smallholder structure, where over 80% of Tanzanians engage in subsistence farming [3], and a staggering 99% of livestock are owned by smallholders operating within pastoral and agro-pastoral systems [4]. However, the burgeoning demand for livestock products, fueled by population growth, urbanization, and rising incomes, presents a considerable opportunity for expansion and economic growth [5, 6, 7].</w:t>
      </w:r>
    </w:p>
    <w:p w14:paraId="6124BE39" w14:textId="1C814A6A" w:rsidR="00785B96" w:rsidRPr="00785B96" w:rsidRDefault="00785B96" w:rsidP="00785B96">
      <w:pPr>
        <w:jc w:val="both"/>
        <w:rPr>
          <w:rFonts w:ascii="Arial" w:hAnsi="Arial" w:cs="Arial"/>
        </w:rPr>
      </w:pPr>
      <w:r w:rsidRPr="00785B96">
        <w:rPr>
          <w:rFonts w:ascii="Arial" w:hAnsi="Arial" w:cs="Arial"/>
        </w:rPr>
        <w:t xml:space="preserve">Tanzania's milk production is characterized by two primary systems: traditional and </w:t>
      </w:r>
      <w:r w:rsidR="00AC7275">
        <w:rPr>
          <w:rFonts w:ascii="Arial" w:hAnsi="Arial" w:cs="Arial"/>
        </w:rPr>
        <w:t xml:space="preserve">commercial </w:t>
      </w:r>
      <w:r w:rsidRPr="00785B96">
        <w:rPr>
          <w:rFonts w:ascii="Arial" w:hAnsi="Arial" w:cs="Arial"/>
        </w:rPr>
        <w:t xml:space="preserve">dairy. The traditional system, prevalent in central, northern, and western Tanzania, utilizes indigenous cattle breeds [8]. While characterized by low production costs, </w:t>
      </w:r>
      <w:r w:rsidRPr="00785B96">
        <w:rPr>
          <w:rFonts w:ascii="Arial" w:hAnsi="Arial" w:cs="Arial"/>
        </w:rPr>
        <w:lastRenderedPageBreak/>
        <w:t>this system suffers from low productivity, hampered by remoteness, poor infrastructure, and limited market access, resulting in substantial milk loss through local consumption or wastage [9]. In contrast, the dairy system employs improved breeds (Friesian, Je</w:t>
      </w:r>
      <w:r w:rsidR="00EA3552">
        <w:rPr>
          <w:rFonts w:ascii="Arial" w:hAnsi="Arial" w:cs="Arial"/>
        </w:rPr>
        <w:t>rsey, Ayrshire crosses with Tanzania Short-Horned Zebu</w:t>
      </w:r>
      <w:r w:rsidRPr="00785B96">
        <w:rPr>
          <w:rFonts w:ascii="Arial" w:hAnsi="Arial" w:cs="Arial"/>
        </w:rPr>
        <w:t>), encompassing smallholder, urban/</w:t>
      </w:r>
      <w:proofErr w:type="spellStart"/>
      <w:r w:rsidRPr="00785B96">
        <w:rPr>
          <w:rFonts w:ascii="Arial" w:hAnsi="Arial" w:cs="Arial"/>
        </w:rPr>
        <w:t>peri</w:t>
      </w:r>
      <w:proofErr w:type="spellEnd"/>
      <w:r w:rsidRPr="00785B96">
        <w:rPr>
          <w:rFonts w:ascii="Arial" w:hAnsi="Arial" w:cs="Arial"/>
        </w:rPr>
        <w:t>-urban, and large-scale operations.</w:t>
      </w:r>
    </w:p>
    <w:p w14:paraId="59A28140" w14:textId="77777777" w:rsidR="00785B96" w:rsidRPr="00785B96" w:rsidRDefault="00785B96" w:rsidP="00785B96">
      <w:pPr>
        <w:jc w:val="both"/>
        <w:rPr>
          <w:rFonts w:ascii="Arial" w:hAnsi="Arial" w:cs="Arial"/>
        </w:rPr>
      </w:pPr>
      <w:r w:rsidRPr="00785B96">
        <w:rPr>
          <w:rFonts w:ascii="Arial" w:hAnsi="Arial" w:cs="Arial"/>
        </w:rPr>
        <w:t>The Tanga Region, with its substantial cattle population (322,351 in 2010 [10]) and numerous organizations involved in dairy production (100,103 in 2007 [11]), serves as a microcosm of the Tanzanian dairy sector, highlighting both its challenges and opportunities. The high nutritional value of milk [12, 13] underscores its importance, particularly for rural communities' nutritional security.</w:t>
      </w:r>
    </w:p>
    <w:p w14:paraId="4A454758" w14:textId="36F9C385" w:rsidR="00785B96" w:rsidRPr="00785B96" w:rsidRDefault="00785B96" w:rsidP="00785B96">
      <w:pPr>
        <w:jc w:val="both"/>
        <w:rPr>
          <w:rFonts w:ascii="Arial" w:hAnsi="Arial" w:cs="Arial"/>
        </w:rPr>
      </w:pPr>
      <w:r w:rsidRPr="00785B96">
        <w:rPr>
          <w:rFonts w:ascii="Arial" w:hAnsi="Arial" w:cs="Arial"/>
        </w:rPr>
        <w:t xml:space="preserve">Optimal milk production hinges on several interconnected factors. Appropriate breeds are crucial; crossbred cows with 50-75% </w:t>
      </w:r>
      <w:r w:rsidRPr="0000023E">
        <w:rPr>
          <w:rFonts w:ascii="Arial" w:hAnsi="Arial" w:cs="Arial"/>
          <w:i/>
        </w:rPr>
        <w:t>Bos taurus</w:t>
      </w:r>
      <w:r w:rsidRPr="00785B96">
        <w:rPr>
          <w:rFonts w:ascii="Arial" w:hAnsi="Arial" w:cs="Arial"/>
        </w:rPr>
        <w:t xml:space="preserve"> genetics offer a balance between productivity and disease resistance [14</w:t>
      </w:r>
      <w:r w:rsidR="0000023E">
        <w:rPr>
          <w:rFonts w:ascii="Arial" w:hAnsi="Arial" w:cs="Arial"/>
        </w:rPr>
        <w:t xml:space="preserve">, </w:t>
      </w:r>
      <w:r w:rsidR="0000023E" w:rsidRPr="00D90C95">
        <w:rPr>
          <w:rFonts w:ascii="Arial" w:hAnsi="Arial" w:cs="Arial"/>
        </w:rPr>
        <w:t>42</w:t>
      </w:r>
      <w:r w:rsidRPr="00785B96">
        <w:rPr>
          <w:rFonts w:ascii="Arial" w:hAnsi="Arial" w:cs="Arial"/>
        </w:rPr>
        <w:t>]. However, milk production varies considerably (2-28 kg/cow/day [11]), influenced by both genetic factors and management practices. Farming practices range from zero-grazing to pastoralism [15], with challenges including land scarcity and limited grazing areas. Furthermore, Tanzania's inadequate transportation infrastructure, low milk prices, ineffective marketing strategies, limited promotion of dairy products, and a shortage of dairy technologists hinder the formal sector's development [14]. The prevalence of informal trade, coupled with weak quality control, exacerbates disease risks. The absence of quality-based pricing further restricts market supply.</w:t>
      </w:r>
    </w:p>
    <w:p w14:paraId="2AF0D90B" w14:textId="424D9DC6" w:rsidR="007E2669" w:rsidRDefault="00785B96" w:rsidP="00785B96">
      <w:pPr>
        <w:jc w:val="both"/>
        <w:rPr>
          <w:rFonts w:ascii="Arial" w:hAnsi="Arial" w:cs="Arial"/>
        </w:rPr>
      </w:pPr>
      <w:r w:rsidRPr="00785B96">
        <w:rPr>
          <w:rFonts w:ascii="Arial" w:hAnsi="Arial" w:cs="Arial"/>
        </w:rPr>
        <w:t xml:space="preserve">The entire dairy value chain—encompassing production, collection, processing, distribution, and marketing [16]—faces numerous obstacles. Low-producing local breeds, poor-quality feed, water scarcity, and limited animal health services all negatively impact milk production [16]. Efficient milk collection is paramount. MCCs are particularly vital in developing countries, serving as a crucial link between smallholder farmers and markets [17]. While individual cow productivity may be low, the collective output from numerous smallholders is substantial [14], emphasizing the need for efficient collection and marketing systems. Government initiatives, including policy reforms (ASDPII, 2017-2022) and the promotion of group farming and crossbred cattle [14], aim to improve market access and overall productivity. Milk collection centers (MCCs) play a pivotal role, especially in regions with milk surpluses exceeding local demand [18]. These centers, often managed by farmer groups, processors, or traders, connect rural producers to </w:t>
      </w:r>
      <w:proofErr w:type="spellStart"/>
      <w:r w:rsidRPr="00785B96">
        <w:rPr>
          <w:rFonts w:ascii="Arial" w:hAnsi="Arial" w:cs="Arial"/>
        </w:rPr>
        <w:t>peri</w:t>
      </w:r>
      <w:proofErr w:type="spellEnd"/>
      <w:r w:rsidRPr="00785B96">
        <w:rPr>
          <w:rFonts w:ascii="Arial" w:hAnsi="Arial" w:cs="Arial"/>
        </w:rPr>
        <w:t>-urban and urban markets. Farmers typically choose between supplying an MCC or direct sales to urban consumers or households. Maintaining milk quality requires a robust cold chain from farm to processing plant; while large-scale operations in developed countries utilize on-farm cooling, this is often financially prohibitive for smallholders in developing countries [16]. Therefore, the role and effectiveness of MCCs in overcoming these challenges are central to this study.</w:t>
      </w:r>
    </w:p>
    <w:p w14:paraId="36AA87CD" w14:textId="47289944" w:rsidR="00785B96" w:rsidRDefault="00785B96" w:rsidP="00785B96">
      <w:pPr>
        <w:jc w:val="both"/>
        <w:rPr>
          <w:rFonts w:ascii="Arial" w:hAnsi="Arial" w:cs="Arial"/>
        </w:rPr>
      </w:pPr>
    </w:p>
    <w:p w14:paraId="7B8C9EB7" w14:textId="3A34ECE3" w:rsidR="00785B96" w:rsidRDefault="00785B96" w:rsidP="00785B96">
      <w:pPr>
        <w:jc w:val="both"/>
        <w:rPr>
          <w:rFonts w:ascii="Arial" w:hAnsi="Arial" w:cs="Arial"/>
          <w:b/>
        </w:rPr>
      </w:pPr>
      <w:r w:rsidRPr="00785B96">
        <w:rPr>
          <w:rFonts w:ascii="Arial" w:hAnsi="Arial" w:cs="Arial"/>
          <w:b/>
        </w:rPr>
        <w:t>2.METHODOLOGY</w:t>
      </w:r>
    </w:p>
    <w:p w14:paraId="1B709416" w14:textId="48EDDEBE" w:rsidR="00785B96" w:rsidRPr="00265F5F" w:rsidRDefault="00785B96" w:rsidP="00785B96">
      <w:pPr>
        <w:jc w:val="both"/>
        <w:rPr>
          <w:rFonts w:ascii="Arial" w:hAnsi="Arial" w:cs="Arial"/>
          <w:b/>
        </w:rPr>
      </w:pPr>
    </w:p>
    <w:p w14:paraId="5FF763EE" w14:textId="77777777" w:rsidR="00785B96" w:rsidRPr="00265F5F" w:rsidRDefault="00785B96" w:rsidP="00785B96">
      <w:pPr>
        <w:pStyle w:val="Body"/>
        <w:rPr>
          <w:rFonts w:ascii="Arial" w:hAnsi="Arial" w:cs="Arial"/>
          <w:b/>
        </w:rPr>
      </w:pPr>
      <w:r w:rsidRPr="00265F5F">
        <w:rPr>
          <w:rFonts w:ascii="Arial" w:hAnsi="Arial" w:cs="Arial"/>
          <w:b/>
        </w:rPr>
        <w:t>Research design</w:t>
      </w:r>
    </w:p>
    <w:p w14:paraId="30C17D66" w14:textId="77777777" w:rsidR="00785B96" w:rsidRPr="007E2669" w:rsidRDefault="00785B96" w:rsidP="00785B96">
      <w:pPr>
        <w:pStyle w:val="Body"/>
        <w:rPr>
          <w:rFonts w:ascii="Arial" w:hAnsi="Arial" w:cs="Arial"/>
        </w:rPr>
      </w:pPr>
      <w:r>
        <w:rPr>
          <w:rFonts w:ascii="Arial" w:hAnsi="Arial" w:cs="Arial"/>
        </w:rPr>
        <w:t>This study employed a</w:t>
      </w:r>
      <w:r w:rsidRPr="00C82E42">
        <w:rPr>
          <w:rFonts w:ascii="Arial" w:hAnsi="Arial" w:cs="Arial"/>
        </w:rPr>
        <w:t xml:space="preserve"> descriptive survey</w:t>
      </w:r>
      <w:r w:rsidRPr="007E2669">
        <w:rPr>
          <w:rFonts w:ascii="Arial" w:hAnsi="Arial" w:cs="Arial"/>
        </w:rPr>
        <w:t xml:space="preserve"> design, collecting data at a single point in time to minimize costs and time constraints given limited resources [26; 27]. This approach is efficient and cost-effective, particularly where resource availability could influence results.</w:t>
      </w:r>
    </w:p>
    <w:p w14:paraId="09F48707" w14:textId="77777777" w:rsidR="00785B96" w:rsidRPr="00265F5F" w:rsidRDefault="00785B96" w:rsidP="00785B96">
      <w:pPr>
        <w:pStyle w:val="Body"/>
        <w:rPr>
          <w:rFonts w:ascii="Arial" w:hAnsi="Arial" w:cs="Arial"/>
          <w:b/>
        </w:rPr>
      </w:pPr>
      <w:r w:rsidRPr="00265F5F">
        <w:rPr>
          <w:rFonts w:ascii="Arial" w:hAnsi="Arial" w:cs="Arial"/>
          <w:b/>
        </w:rPr>
        <w:t>Study area</w:t>
      </w:r>
    </w:p>
    <w:p w14:paraId="0C985A5C" w14:textId="408BCF77" w:rsidR="00785B96" w:rsidRPr="007E2669" w:rsidRDefault="00785B96" w:rsidP="00423F82">
      <w:pPr>
        <w:pStyle w:val="Body"/>
        <w:rPr>
          <w:rFonts w:ascii="Arial" w:hAnsi="Arial" w:cs="Arial"/>
        </w:rPr>
      </w:pPr>
      <w:r w:rsidRPr="007E2669">
        <w:rPr>
          <w:rFonts w:ascii="Arial" w:hAnsi="Arial" w:cs="Arial"/>
        </w:rPr>
        <w:t xml:space="preserve">This study </w:t>
      </w:r>
      <w:proofErr w:type="gramStart"/>
      <w:r w:rsidRPr="007E2669">
        <w:rPr>
          <w:rFonts w:ascii="Arial" w:hAnsi="Arial" w:cs="Arial"/>
        </w:rPr>
        <w:t>was conducted</w:t>
      </w:r>
      <w:proofErr w:type="gramEnd"/>
      <w:r w:rsidRPr="007E2669">
        <w:rPr>
          <w:rFonts w:ascii="Arial" w:hAnsi="Arial" w:cs="Arial"/>
        </w:rPr>
        <w:t xml:space="preserve"> in Amani Division, Muheza district, Tanga Region, Tanzania</w:t>
      </w:r>
      <w:r>
        <w:rPr>
          <w:rFonts w:ascii="Arial" w:hAnsi="Arial" w:cs="Arial"/>
        </w:rPr>
        <w:t xml:space="preserve"> in 2024</w:t>
      </w:r>
      <w:r w:rsidRPr="007E2669">
        <w:rPr>
          <w:rFonts w:ascii="Arial" w:hAnsi="Arial" w:cs="Arial"/>
        </w:rPr>
        <w:t xml:space="preserve">. Muheza district, located in the northeast corner of Tanga Region, is bordered by Tanga, Pangani, Korogwe, Lushoto, Kenya, and the Indian Ocean. Its district headquarters are situated just 36 kilometers from Tanga City. Muheza, covering 4,922 square kilometers, is Tanga Region's largest district after Handeni [28]. The region's diverse geography includes </w:t>
      </w:r>
      <w:r w:rsidRPr="007E2669">
        <w:rPr>
          <w:rFonts w:ascii="Arial" w:hAnsi="Arial" w:cs="Arial"/>
        </w:rPr>
        <w:lastRenderedPageBreak/>
        <w:t>coastal plains, mountains, and the Indian Ocean, rich in biodiversity [14]. The Pangani, Zigi, and Mkulumuzi rivers flow into the Indian Ocean. The climate varies from hot and humid on the coast to temperate in the mountains (Muheza district socio-economic profile, [29]. Amani division was purposefully selected due to the absence of prior similar research in the area. This division is known for dairy production and milk collection services within Tanga Region</w:t>
      </w:r>
      <w:r w:rsidR="004A39C7">
        <w:rPr>
          <w:rFonts w:ascii="Arial" w:hAnsi="Arial" w:cs="Arial"/>
        </w:rPr>
        <w:t xml:space="preserve"> having a production record of 7,595,605 </w:t>
      </w:r>
      <w:proofErr w:type="spellStart"/>
      <w:r w:rsidR="004A39C7">
        <w:rPr>
          <w:rFonts w:ascii="Arial" w:hAnsi="Arial" w:cs="Arial"/>
        </w:rPr>
        <w:t>litres</w:t>
      </w:r>
      <w:proofErr w:type="spellEnd"/>
      <w:r w:rsidR="004A39C7">
        <w:rPr>
          <w:rFonts w:ascii="Arial" w:hAnsi="Arial" w:cs="Arial"/>
        </w:rPr>
        <w:t xml:space="preserve"> of milk from </w:t>
      </w:r>
      <w:r w:rsidR="00C27C68">
        <w:rPr>
          <w:rFonts w:ascii="Arial" w:hAnsi="Arial" w:cs="Arial"/>
        </w:rPr>
        <w:t xml:space="preserve">2017 </w:t>
      </w:r>
      <w:r w:rsidR="008B1F04">
        <w:rPr>
          <w:rFonts w:ascii="Arial" w:hAnsi="Arial" w:cs="Arial"/>
        </w:rPr>
        <w:t>–</w:t>
      </w:r>
      <w:r w:rsidR="00C27C68">
        <w:rPr>
          <w:rFonts w:ascii="Arial" w:hAnsi="Arial" w:cs="Arial"/>
        </w:rPr>
        <w:t xml:space="preserve"> 2023</w:t>
      </w:r>
      <w:r w:rsidR="008B1F04">
        <w:rPr>
          <w:rFonts w:ascii="Arial" w:hAnsi="Arial" w:cs="Arial"/>
        </w:rPr>
        <w:t xml:space="preserve"> (data adopted from</w:t>
      </w:r>
      <w:r w:rsidR="008B1F04" w:rsidRPr="008B1F04">
        <w:t xml:space="preserve"> Uwama Milk Collection Centre at Am</w:t>
      </w:r>
      <w:r w:rsidR="001167BD">
        <w:t>ani Division in Muheza District</w:t>
      </w:r>
      <w:r w:rsidR="008B1F04" w:rsidRPr="008B1F04">
        <w:rPr>
          <w:rFonts w:ascii="Arial" w:hAnsi="Arial" w:cs="Arial"/>
        </w:rPr>
        <w:t>, Tanga Region</w:t>
      </w:r>
      <w:r w:rsidR="001167BD">
        <w:rPr>
          <w:rFonts w:ascii="Arial" w:hAnsi="Arial" w:cs="Arial"/>
        </w:rPr>
        <w:t xml:space="preserve">, Tanzania). </w:t>
      </w:r>
      <w:r w:rsidRPr="007E2669">
        <w:rPr>
          <w:rFonts w:ascii="Arial" w:hAnsi="Arial" w:cs="Arial"/>
        </w:rPr>
        <w:t>Therefore, Amani division provided a suitable location for investigating the potentials and constraints of milk collection centers on milk productivity.</w:t>
      </w:r>
    </w:p>
    <w:p w14:paraId="74C342A0" w14:textId="77777777" w:rsidR="007E2669" w:rsidRPr="00BB44E0" w:rsidRDefault="007E2669" w:rsidP="007E2669">
      <w:pPr>
        <w:pStyle w:val="Body"/>
        <w:rPr>
          <w:rFonts w:ascii="Arial" w:hAnsi="Arial" w:cs="Arial"/>
          <w:b/>
        </w:rPr>
      </w:pPr>
      <w:r w:rsidRPr="00BB44E0">
        <w:rPr>
          <w:rFonts w:ascii="Arial" w:hAnsi="Arial" w:cs="Arial"/>
          <w:b/>
        </w:rPr>
        <w:t>Study population and sample size</w:t>
      </w:r>
    </w:p>
    <w:p w14:paraId="01DFE6D8" w14:textId="6DB93722" w:rsidR="007E2669" w:rsidRPr="007E2669" w:rsidRDefault="007E2669" w:rsidP="007E2669">
      <w:pPr>
        <w:pStyle w:val="Body"/>
        <w:rPr>
          <w:rFonts w:ascii="Arial" w:hAnsi="Arial" w:cs="Arial"/>
        </w:rPr>
      </w:pPr>
      <w:r w:rsidRPr="007E2669">
        <w:rPr>
          <w:rFonts w:ascii="Arial" w:hAnsi="Arial" w:cs="Arial"/>
        </w:rPr>
        <w:t>This study defined its population as Amani livestock cooperative members in Amani Division, Muheza district, possessing relevant knowledge on milk production and collection [30; 31; 32; 33]. Both men and women were included as they both contribute to milk production and transportation. A sample of 30</w:t>
      </w:r>
      <w:r w:rsidR="00CE6BE9">
        <w:rPr>
          <w:rFonts w:ascii="Arial" w:hAnsi="Arial" w:cs="Arial"/>
        </w:rPr>
        <w:t xml:space="preserve"> respondents (men and women) were</w:t>
      </w:r>
      <w:r w:rsidRPr="007E2669">
        <w:rPr>
          <w:rFonts w:ascii="Arial" w:hAnsi="Arial" w:cs="Arial"/>
        </w:rPr>
        <w:t xml:space="preserve"> selected to gather information on milk collection centers and milk productivity. This sample size </w:t>
      </w:r>
      <w:r w:rsidR="00B00120">
        <w:rPr>
          <w:rFonts w:ascii="Arial" w:hAnsi="Arial" w:cs="Arial"/>
        </w:rPr>
        <w:t xml:space="preserve">was selected based on convenience sampling </w:t>
      </w:r>
      <w:r w:rsidRPr="007E2669">
        <w:rPr>
          <w:rFonts w:ascii="Arial" w:hAnsi="Arial" w:cs="Arial"/>
        </w:rPr>
        <w:t>aimed to represent the larger population [34; 35]. Individual-level sampling was employed. Simple random sampling was used to select the 30 respondents from the cooperative's membership list. This probability sampling technique ensured each member had an equal chance of selection. The small sample size was chosen to represent the study area's population while mitigating bias. The sample comprised the sampling frame for the study. The selected respondents were expected to provide accurate and reliable information.</w:t>
      </w:r>
    </w:p>
    <w:p w14:paraId="05A7A38C" w14:textId="77777777" w:rsidR="007E2669" w:rsidRPr="00C11DDE" w:rsidRDefault="007E2669" w:rsidP="007E2669">
      <w:pPr>
        <w:pStyle w:val="Body"/>
        <w:rPr>
          <w:rFonts w:ascii="Arial" w:hAnsi="Arial" w:cs="Arial"/>
          <w:b/>
        </w:rPr>
      </w:pPr>
      <w:r w:rsidRPr="00C11DDE">
        <w:rPr>
          <w:rFonts w:ascii="Arial" w:hAnsi="Arial" w:cs="Arial"/>
          <w:b/>
        </w:rPr>
        <w:t>Data collection, processing and analysis</w:t>
      </w:r>
      <w:r w:rsidRPr="00C11DDE">
        <w:rPr>
          <w:rFonts w:ascii="Arial" w:hAnsi="Arial" w:cs="Arial"/>
          <w:b/>
        </w:rPr>
        <w:tab/>
      </w:r>
    </w:p>
    <w:p w14:paraId="0B39D262" w14:textId="391D6BAD" w:rsidR="007E2669" w:rsidRPr="007E2669" w:rsidRDefault="007E2669" w:rsidP="007E2669">
      <w:pPr>
        <w:pStyle w:val="Body"/>
        <w:rPr>
          <w:rFonts w:ascii="Arial" w:hAnsi="Arial" w:cs="Arial"/>
        </w:rPr>
      </w:pPr>
      <w:r w:rsidRPr="007E2669">
        <w:rPr>
          <w:rFonts w:ascii="Arial" w:hAnsi="Arial" w:cs="Arial"/>
        </w:rPr>
        <w:t>Data analysis employed a mixed-methods approach. Quantitative data were analyzed using descriptive statistics in IBM SPSS Statistics version 20. This software facilitated effi</w:t>
      </w:r>
      <w:r w:rsidR="00FA6728">
        <w:rPr>
          <w:rFonts w:ascii="Arial" w:hAnsi="Arial" w:cs="Arial"/>
        </w:rPr>
        <w:t>cient analysis of the collected data</w:t>
      </w:r>
      <w:r w:rsidRPr="007E2669">
        <w:rPr>
          <w:rFonts w:ascii="Arial" w:hAnsi="Arial" w:cs="Arial"/>
        </w:rPr>
        <w:t xml:space="preserve">, providing frequency </w:t>
      </w:r>
      <w:r w:rsidR="00FA6728">
        <w:rPr>
          <w:rFonts w:ascii="Arial" w:hAnsi="Arial" w:cs="Arial"/>
        </w:rPr>
        <w:t xml:space="preserve">and </w:t>
      </w:r>
      <w:r w:rsidR="00FA6728" w:rsidRPr="007E2669">
        <w:rPr>
          <w:rFonts w:ascii="Arial" w:hAnsi="Arial" w:cs="Arial"/>
        </w:rPr>
        <w:t xml:space="preserve">percentages </w:t>
      </w:r>
      <w:r w:rsidRPr="007E2669">
        <w:rPr>
          <w:rFonts w:ascii="Arial" w:hAnsi="Arial" w:cs="Arial"/>
        </w:rPr>
        <w:t>tables to summarize data categorized by gender, age, marital status, and education level [31]. Results were presented to reflect demographic characteristics. Qualitative data were analyzed using Excel. Data processing involved editing, coding, classifying, and tabulating the collected data to prepare them for analysis [31]. Descr</w:t>
      </w:r>
      <w:r w:rsidR="00FA6728">
        <w:rPr>
          <w:rFonts w:ascii="Arial" w:hAnsi="Arial" w:cs="Arial"/>
        </w:rPr>
        <w:t xml:space="preserve">iptive statistics (frequencies and </w:t>
      </w:r>
      <w:r w:rsidRPr="007E2669">
        <w:rPr>
          <w:rFonts w:ascii="Arial" w:hAnsi="Arial" w:cs="Arial"/>
        </w:rPr>
        <w:t>percentages) were used to draw conclusions and compare variables.</w:t>
      </w:r>
    </w:p>
    <w:p w14:paraId="4448BDA1" w14:textId="77777777" w:rsidR="00B01FCD" w:rsidRDefault="007E2669" w:rsidP="007E2669">
      <w:pPr>
        <w:pStyle w:val="Body"/>
        <w:spacing w:after="0"/>
        <w:rPr>
          <w:rFonts w:ascii="Arial" w:hAnsi="Arial" w:cs="Arial"/>
        </w:rPr>
      </w:pPr>
      <w:r w:rsidRPr="007E2669">
        <w:rPr>
          <w:rFonts w:ascii="Arial" w:hAnsi="Arial" w:cs="Arial"/>
        </w:rPr>
        <w:t>Primary data collection involved questionnaires and face-to-face interviews with 30 dairy farmers selected using simple random sampling. This approach was chosen to gather first-hand information on the potentials and constraints of milk collection centers on milk productivity [31]. Both open-ended and closed-ended questions were used. Open-ended questions allowed for richer responses, while closed-ended questions ensured efficient data collection and analysis [36]. The mixed-methods approach combined the strengths of both quantitative and qualitative data analysis techniques to provide a comprehensive understanding of the research problem.</w:t>
      </w:r>
    </w:p>
    <w:p w14:paraId="359F9160" w14:textId="77777777" w:rsidR="00A03B96" w:rsidRDefault="00A03B96" w:rsidP="00441B6F">
      <w:pPr>
        <w:pStyle w:val="Body"/>
        <w:spacing w:after="0"/>
        <w:rPr>
          <w:rFonts w:ascii="Arial" w:hAnsi="Arial" w:cs="Arial"/>
        </w:rPr>
      </w:pPr>
    </w:p>
    <w:p w14:paraId="4598D230" w14:textId="77777777" w:rsidR="00963F3C" w:rsidRDefault="00000F8F" w:rsidP="00365705">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2C44BC4" w14:textId="77777777" w:rsidR="00365705" w:rsidRPr="00365705" w:rsidRDefault="00365705" w:rsidP="00365705">
      <w:pPr>
        <w:pStyle w:val="Head1"/>
        <w:spacing w:after="0"/>
        <w:jc w:val="both"/>
        <w:rPr>
          <w:rFonts w:ascii="Arial" w:hAnsi="Arial" w:cs="Arial"/>
        </w:rPr>
      </w:pPr>
    </w:p>
    <w:p w14:paraId="0F9B46E4" w14:textId="77777777" w:rsidR="00963F3C" w:rsidRPr="00C06A36" w:rsidRDefault="00963F3C" w:rsidP="00454437">
      <w:pPr>
        <w:spacing w:after="160"/>
        <w:jc w:val="both"/>
        <w:rPr>
          <w:rFonts w:ascii="Arial" w:eastAsia="Calibri" w:hAnsi="Arial" w:cs="Arial"/>
          <w:b/>
          <w:lang w:val="en-GB"/>
        </w:rPr>
      </w:pPr>
      <w:r w:rsidRPr="00C06A36">
        <w:rPr>
          <w:rFonts w:ascii="Arial" w:eastAsia="Calibri" w:hAnsi="Arial" w:cs="Arial"/>
          <w:b/>
          <w:lang w:val="en-GB"/>
        </w:rPr>
        <w:t>Farmers’ demographics</w:t>
      </w:r>
    </w:p>
    <w:p w14:paraId="52FB6481" w14:textId="77777777" w:rsidR="00963F3C" w:rsidRDefault="00963F3C" w:rsidP="00454437">
      <w:pPr>
        <w:spacing w:after="160"/>
        <w:jc w:val="both"/>
        <w:rPr>
          <w:rFonts w:ascii="Arial" w:eastAsia="Calibri" w:hAnsi="Arial" w:cs="Arial"/>
          <w:lang w:val="en-GB"/>
        </w:rPr>
      </w:pPr>
      <w:r w:rsidRPr="00963F3C">
        <w:rPr>
          <w:rFonts w:ascii="Arial" w:eastAsia="Calibri" w:hAnsi="Arial" w:cs="Arial"/>
          <w:lang w:val="en-GB"/>
        </w:rPr>
        <w:t xml:space="preserve">A demographic study of 30 livestock keepers in Amani division revealed key characteristics influencing dairy farming practices. The sample demonstrated a significant gender imbalance, with males comprising 60% of respondents. Ages ranged from 19 to 85 years, with the largest age cohort (39.9%) between 36 and 55 years old. Educational attainment was predominantly </w:t>
      </w:r>
      <w:r w:rsidRPr="00963F3C">
        <w:rPr>
          <w:rFonts w:ascii="Arial" w:eastAsia="Calibri" w:hAnsi="Arial" w:cs="Arial"/>
          <w:lang w:val="en-GB"/>
        </w:rPr>
        <w:lastRenderedPageBreak/>
        <w:t xml:space="preserve">primary school level (63.3%), suggesting a reliance on traditional farming knowledge. Marital status showed a high percentage of married respondents (80%), indicating a focus on family income generation. Most participants (90%) engaged in mixed farming, combining livestock keeping with crop cultivation. A smaller subset (10%) focused exclusively on livestock, often supplementing their income through off-farm employment. This diversity in occupational strategies impacted resource allocation and time management within farming operations. The demographic data provided a crucial foundation for </w:t>
      </w:r>
      <w:proofErr w:type="spellStart"/>
      <w:r w:rsidRPr="00963F3C">
        <w:rPr>
          <w:rFonts w:ascii="Arial" w:eastAsia="Calibri" w:hAnsi="Arial" w:cs="Arial"/>
          <w:lang w:val="en-GB"/>
        </w:rPr>
        <w:t>analyzing</w:t>
      </w:r>
      <w:proofErr w:type="spellEnd"/>
      <w:r w:rsidRPr="00963F3C">
        <w:rPr>
          <w:rFonts w:ascii="Arial" w:eastAsia="Calibri" w:hAnsi="Arial" w:cs="Arial"/>
          <w:lang w:val="en-GB"/>
        </w:rPr>
        <w:t xml:space="preserve"> the effects of milk collection centers on milk productivity. These findings highlight both the potential and constraints within the Amani dairy farming sector, providing valuable insights for designing effective interventions targeted at this specific population (see Table 1).</w:t>
      </w:r>
    </w:p>
    <w:p w14:paraId="114B943D" w14:textId="77777777" w:rsidR="008237AF" w:rsidRPr="008237AF" w:rsidRDefault="008237AF" w:rsidP="00454437">
      <w:pPr>
        <w:spacing w:after="160"/>
        <w:jc w:val="both"/>
        <w:rPr>
          <w:rFonts w:ascii="Arial" w:eastAsia="Calibri" w:hAnsi="Arial" w:cs="Arial"/>
          <w:lang w:val="en-GB"/>
        </w:rPr>
      </w:pPr>
      <w:r w:rsidRPr="008237AF">
        <w:rPr>
          <w:rFonts w:ascii="Arial" w:eastAsia="Calibri" w:hAnsi="Arial" w:cs="Arial"/>
          <w:lang w:val="en-GB"/>
        </w:rPr>
        <w:t>Potential of milk collection centre on milk productivity</w:t>
      </w:r>
    </w:p>
    <w:p w14:paraId="7E45DA9D" w14:textId="723EEC61" w:rsidR="008237AF" w:rsidRPr="002C1C41" w:rsidRDefault="008237AF" w:rsidP="00454437">
      <w:pPr>
        <w:spacing w:after="160"/>
        <w:jc w:val="both"/>
        <w:rPr>
          <w:rFonts w:ascii="Arial" w:eastAsia="Calibri" w:hAnsi="Arial" w:cs="Arial"/>
          <w:lang w:val="en-GB"/>
        </w:rPr>
      </w:pPr>
      <w:r w:rsidRPr="008237AF">
        <w:rPr>
          <w:rFonts w:ascii="Arial" w:eastAsia="Calibri" w:hAnsi="Arial" w:cs="Arial"/>
          <w:lang w:val="en-GB"/>
        </w:rPr>
        <w:t>This study's primary objective was to assess the perceived benefits of milk collection centers on milk productivity. The results (Table 2) indicated unanimous agreement (100%) among respondents that these centers positively impact milk production, the overall dairy production system, and farmer income. Key benefits identified included guaranteed market access, enabling consistent milk sales. Respondents further reported that increased income from milk sales was allocated towards food security (40%), children's education (20%), household expenses (33.3%), and the purchase of cattle feed supplements (6.6%) to further enhance milk production.</w:t>
      </w:r>
    </w:p>
    <w:p w14:paraId="58E0B890" w14:textId="77777777" w:rsidR="008237AF" w:rsidRPr="008237AF" w:rsidRDefault="008237AF" w:rsidP="00454437">
      <w:pPr>
        <w:spacing w:after="160"/>
        <w:jc w:val="both"/>
        <w:rPr>
          <w:rFonts w:ascii="Arial" w:eastAsia="Calibri" w:hAnsi="Arial" w:cs="Arial"/>
          <w:lang w:val="en-GB"/>
        </w:rPr>
      </w:pPr>
      <w:r w:rsidRPr="008237AF">
        <w:rPr>
          <w:rFonts w:ascii="Arial" w:eastAsia="Calibri" w:hAnsi="Arial" w:cs="Arial"/>
          <w:lang w:val="en-GB"/>
        </w:rPr>
        <w:t>The constraints of milk collection centre on milk productivity</w:t>
      </w:r>
    </w:p>
    <w:p w14:paraId="40154C25" w14:textId="77777777" w:rsidR="008237AF" w:rsidRPr="008237AF" w:rsidRDefault="008237AF" w:rsidP="00454437">
      <w:pPr>
        <w:spacing w:after="160"/>
        <w:jc w:val="both"/>
        <w:rPr>
          <w:rFonts w:ascii="Arial" w:eastAsia="Calibri" w:hAnsi="Arial" w:cs="Arial"/>
          <w:lang w:val="en-GB"/>
        </w:rPr>
      </w:pPr>
      <w:r w:rsidRPr="008237AF">
        <w:rPr>
          <w:rFonts w:ascii="Arial" w:eastAsia="Calibri" w:hAnsi="Arial" w:cs="Arial"/>
          <w:lang w:val="en-GB"/>
        </w:rPr>
        <w:t xml:space="preserve">The study identified several key constraints impacting both milk collection center operations and overall milk production. These included inadequate skilled </w:t>
      </w:r>
      <w:proofErr w:type="spellStart"/>
      <w:r w:rsidRPr="008237AF">
        <w:rPr>
          <w:rFonts w:ascii="Arial" w:eastAsia="Calibri" w:hAnsi="Arial" w:cs="Arial"/>
          <w:lang w:val="en-GB"/>
        </w:rPr>
        <w:t>labor</w:t>
      </w:r>
      <w:proofErr w:type="spellEnd"/>
      <w:r w:rsidRPr="008237AF">
        <w:rPr>
          <w:rFonts w:ascii="Arial" w:eastAsia="Calibri" w:hAnsi="Arial" w:cs="Arial"/>
          <w:lang w:val="en-GB"/>
        </w:rPr>
        <w:t xml:space="preserve">, water scarcity, unreliable electricity supply, and deficient infrastructure, particularly poor road conditions (Table 3). While water shortages (33.3%), electricity outages (6.6%), and a lack of skilled </w:t>
      </w:r>
      <w:proofErr w:type="spellStart"/>
      <w:r w:rsidRPr="008237AF">
        <w:rPr>
          <w:rFonts w:ascii="Arial" w:eastAsia="Calibri" w:hAnsi="Arial" w:cs="Arial"/>
          <w:lang w:val="en-GB"/>
        </w:rPr>
        <w:t>labor</w:t>
      </w:r>
      <w:proofErr w:type="spellEnd"/>
      <w:r w:rsidRPr="008237AF">
        <w:rPr>
          <w:rFonts w:ascii="Arial" w:eastAsia="Calibri" w:hAnsi="Arial" w:cs="Arial"/>
          <w:lang w:val="en-GB"/>
        </w:rPr>
        <w:t xml:space="preserve"> (10%) presented challenges, poor road networks emerged as the most significant constraint (50%). This severely hampered not only efficient milk collection and delivery but also broader economic development in the rural areas. The perishable nature of milk necessitates daily access to markets and reliable transportation, making the poor road conditions a major impediment to both milk marketing and processing activities.</w:t>
      </w:r>
    </w:p>
    <w:p w14:paraId="0C170D7F" w14:textId="77777777" w:rsidR="00573AD6" w:rsidRPr="00573AD6" w:rsidRDefault="00573AD6" w:rsidP="00573AD6">
      <w:pPr>
        <w:spacing w:after="160"/>
        <w:jc w:val="both"/>
        <w:rPr>
          <w:rFonts w:ascii="Arial" w:eastAsia="Calibri" w:hAnsi="Arial" w:cs="Arial"/>
          <w:lang w:val="en-GB"/>
        </w:rPr>
      </w:pPr>
      <w:r w:rsidRPr="00573AD6">
        <w:rPr>
          <w:rFonts w:ascii="Arial" w:eastAsia="Calibri" w:hAnsi="Arial" w:cs="Arial"/>
          <w:lang w:val="en-GB"/>
        </w:rPr>
        <w:t>Farmer’s perceptions toward milk collection centre</w:t>
      </w:r>
    </w:p>
    <w:p w14:paraId="6B6D83BF" w14:textId="77777777" w:rsidR="00573AD6" w:rsidRPr="00573AD6" w:rsidRDefault="00573AD6" w:rsidP="00573AD6">
      <w:pPr>
        <w:spacing w:after="160"/>
        <w:jc w:val="both"/>
        <w:rPr>
          <w:rFonts w:ascii="Arial" w:eastAsia="Calibri" w:hAnsi="Arial" w:cs="Arial"/>
          <w:lang w:val="en-GB"/>
        </w:rPr>
      </w:pPr>
      <w:r w:rsidRPr="00573AD6">
        <w:rPr>
          <w:rFonts w:ascii="Arial" w:eastAsia="Calibri" w:hAnsi="Arial" w:cs="Arial"/>
          <w:lang w:val="en-GB"/>
        </w:rPr>
        <w:t xml:space="preserve">Milk collection centers are largely viewed </w:t>
      </w:r>
      <w:proofErr w:type="spellStart"/>
      <w:r w:rsidRPr="00573AD6">
        <w:rPr>
          <w:rFonts w:ascii="Arial" w:eastAsia="Calibri" w:hAnsi="Arial" w:cs="Arial"/>
          <w:lang w:val="en-GB"/>
        </w:rPr>
        <w:t>favorably</w:t>
      </w:r>
      <w:proofErr w:type="spellEnd"/>
      <w:r w:rsidRPr="00573AD6">
        <w:rPr>
          <w:rFonts w:ascii="Arial" w:eastAsia="Calibri" w:hAnsi="Arial" w:cs="Arial"/>
          <w:lang w:val="en-GB"/>
        </w:rPr>
        <w:t xml:space="preserve"> by farmers, primarily due to increased income, strengthened social networks, and reliable savings mechanisms. The consistent income stream significantly improves farmers' financial stability and social standing, enhancing their overall resilience. This underscores the </w:t>
      </w:r>
      <w:proofErr w:type="spellStart"/>
      <w:r w:rsidRPr="00573AD6">
        <w:rPr>
          <w:rFonts w:ascii="Arial" w:eastAsia="Calibri" w:hAnsi="Arial" w:cs="Arial"/>
          <w:lang w:val="en-GB"/>
        </w:rPr>
        <w:t>centers'</w:t>
      </w:r>
      <w:proofErr w:type="spellEnd"/>
      <w:r w:rsidRPr="00573AD6">
        <w:rPr>
          <w:rFonts w:ascii="Arial" w:eastAsia="Calibri" w:hAnsi="Arial" w:cs="Arial"/>
          <w:lang w:val="en-GB"/>
        </w:rPr>
        <w:t xml:space="preserve"> potential for fostering profitable smallholder dairy farming. However, opinions diverge regarding potential exploitation by these centers; a notable minority holds this view, although the majority disagree. Farmer cooperatives associated with the centers are generally viewed positively, facilitating collaboration, market access, and timely payments. Payment security is a highly valued aspect of the centers for most farmers. Contrary to common assumptions, high milk production is not considered a prerequisite for utilizing the centers by a significant number of farmers. Similarly, the majority disagree with the notion that these centers are unimportant for boosting milk production. While some find the offered milk prices acceptable, many perceive them as too low, especially considering transportation costs. Despite this, the majority recognize the </w:t>
      </w:r>
      <w:proofErr w:type="spellStart"/>
      <w:r w:rsidRPr="00573AD6">
        <w:rPr>
          <w:rFonts w:ascii="Arial" w:eastAsia="Calibri" w:hAnsi="Arial" w:cs="Arial"/>
          <w:lang w:val="en-GB"/>
        </w:rPr>
        <w:t>centers'</w:t>
      </w:r>
      <w:proofErr w:type="spellEnd"/>
      <w:r w:rsidRPr="00573AD6">
        <w:rPr>
          <w:rFonts w:ascii="Arial" w:eastAsia="Calibri" w:hAnsi="Arial" w:cs="Arial"/>
          <w:lang w:val="en-GB"/>
        </w:rPr>
        <w:t xml:space="preserve"> crucial role in providing access to markets and ensuring reliable payment. While strong farmer-center relationships are important, they aren't the sole determinant of success. Finally, the establishment of these centers is not solely driven by the promise of high milk prices.</w:t>
      </w:r>
    </w:p>
    <w:p w14:paraId="63642295" w14:textId="77777777" w:rsidR="00365705" w:rsidRPr="00365705" w:rsidRDefault="00365705" w:rsidP="00010CFC">
      <w:pPr>
        <w:spacing w:after="160"/>
        <w:jc w:val="both"/>
        <w:rPr>
          <w:rFonts w:ascii="Arial" w:eastAsia="Calibri" w:hAnsi="Arial" w:cs="Arial"/>
          <w:lang w:val="en-GB"/>
        </w:rPr>
      </w:pPr>
      <w:r w:rsidRPr="00010CFC">
        <w:rPr>
          <w:rFonts w:ascii="Arial" w:eastAsia="Calibri" w:hAnsi="Arial" w:cs="Arial"/>
          <w:lang w:val="en-GB"/>
        </w:rPr>
        <w:lastRenderedPageBreak/>
        <w:t>The study investigated</w:t>
      </w:r>
      <w:r w:rsidRPr="00365705">
        <w:rPr>
          <w:rFonts w:ascii="Arial" w:eastAsia="Calibri" w:hAnsi="Arial" w:cs="Arial"/>
          <w:lang w:val="en-GB"/>
        </w:rPr>
        <w:t xml:space="preserve"> multifaceted impact of milk collection centers on dairy farming practices and productivity in Amani division at Muheza district in Tanga region of Tan</w:t>
      </w:r>
      <w:r w:rsidRPr="00010CFC">
        <w:rPr>
          <w:rFonts w:ascii="Arial" w:eastAsia="Calibri" w:hAnsi="Arial" w:cs="Arial"/>
          <w:lang w:val="en-GB"/>
        </w:rPr>
        <w:t>zania. The analysis incorporated</w:t>
      </w:r>
      <w:r w:rsidRPr="00365705">
        <w:rPr>
          <w:rFonts w:ascii="Arial" w:eastAsia="Calibri" w:hAnsi="Arial" w:cs="Arial"/>
          <w:lang w:val="en-GB"/>
        </w:rPr>
        <w:t xml:space="preserve"> demographic data to provide a comprehensive understanding of respondent characteristics and their influence on perceptions and practices. Understanding the demographic characteristics of respondents—gender, age, marital status, and education level—is crucial for interpreting </w:t>
      </w:r>
      <w:r w:rsidRPr="00752B25">
        <w:rPr>
          <w:rFonts w:ascii="Arial" w:eastAsia="Calibri" w:hAnsi="Arial" w:cs="Arial"/>
          <w:lang w:val="en-GB"/>
        </w:rPr>
        <w:t xml:space="preserve">survey results. </w:t>
      </w:r>
      <w:r w:rsidRPr="00365705">
        <w:rPr>
          <w:rFonts w:ascii="Arial" w:eastAsia="Calibri" w:hAnsi="Arial" w:cs="Arial"/>
          <w:lang w:val="en-GB"/>
        </w:rPr>
        <w:t>These factors significantly influence</w:t>
      </w:r>
      <w:r w:rsidRPr="00010CFC">
        <w:rPr>
          <w:rFonts w:ascii="Arial" w:eastAsia="Calibri" w:hAnsi="Arial" w:cs="Arial"/>
          <w:lang w:val="en-GB"/>
        </w:rPr>
        <w:t>d</w:t>
      </w:r>
      <w:r w:rsidRPr="00365705">
        <w:rPr>
          <w:rFonts w:ascii="Arial" w:eastAsia="Calibri" w:hAnsi="Arial" w:cs="Arial"/>
          <w:lang w:val="en-GB"/>
        </w:rPr>
        <w:t xml:space="preserve"> respondents' maturity, experiences, and perspectives on dairy farming. </w:t>
      </w:r>
      <w:proofErr w:type="spellStart"/>
      <w:r w:rsidRPr="00365705">
        <w:rPr>
          <w:rFonts w:ascii="Arial" w:eastAsia="Calibri" w:hAnsi="Arial" w:cs="Arial"/>
          <w:lang w:val="en-GB"/>
        </w:rPr>
        <w:t>Analyzi</w:t>
      </w:r>
      <w:r w:rsidRPr="00010CFC">
        <w:rPr>
          <w:rFonts w:ascii="Arial" w:eastAsia="Calibri" w:hAnsi="Arial" w:cs="Arial"/>
          <w:lang w:val="en-GB"/>
        </w:rPr>
        <w:t>ng</w:t>
      </w:r>
      <w:proofErr w:type="spellEnd"/>
      <w:r w:rsidRPr="00010CFC">
        <w:rPr>
          <w:rFonts w:ascii="Arial" w:eastAsia="Calibri" w:hAnsi="Arial" w:cs="Arial"/>
          <w:lang w:val="en-GB"/>
        </w:rPr>
        <w:t xml:space="preserve"> these characteristics allowed</w:t>
      </w:r>
      <w:r w:rsidRPr="00365705">
        <w:rPr>
          <w:rFonts w:ascii="Arial" w:eastAsia="Calibri" w:hAnsi="Arial" w:cs="Arial"/>
          <w:lang w:val="en-GB"/>
        </w:rPr>
        <w:t xml:space="preserve"> for the identification of disparities in views, perceptions, knowledge, skills, and experiences related to dairy farming a</w:t>
      </w:r>
      <w:r w:rsidRPr="00010CFC">
        <w:rPr>
          <w:rFonts w:ascii="Arial" w:eastAsia="Calibri" w:hAnsi="Arial" w:cs="Arial"/>
          <w:lang w:val="en-GB"/>
        </w:rPr>
        <w:t>ctivities. This approach ensured</w:t>
      </w:r>
      <w:r w:rsidRPr="00365705">
        <w:rPr>
          <w:rFonts w:ascii="Arial" w:eastAsia="Calibri" w:hAnsi="Arial" w:cs="Arial"/>
          <w:lang w:val="en-GB"/>
        </w:rPr>
        <w:t xml:space="preserve"> the validity and reliability of the collected data, providing a nuanced picture of the respondent population [37]</w:t>
      </w:r>
      <w:r w:rsidRPr="00010CFC">
        <w:rPr>
          <w:rFonts w:ascii="Arial" w:eastAsia="Calibri" w:hAnsi="Arial" w:cs="Arial"/>
          <w:lang w:val="en-GB"/>
        </w:rPr>
        <w:t>. This aligned</w:t>
      </w:r>
      <w:r w:rsidRPr="00365705">
        <w:rPr>
          <w:rFonts w:ascii="Arial" w:eastAsia="Calibri" w:hAnsi="Arial" w:cs="Arial"/>
          <w:lang w:val="en-GB"/>
        </w:rPr>
        <w:t xml:space="preserve"> with [38], who highlight</w:t>
      </w:r>
      <w:r w:rsidRPr="00010CFC">
        <w:rPr>
          <w:rFonts w:ascii="Arial" w:eastAsia="Calibri" w:hAnsi="Arial" w:cs="Arial"/>
          <w:lang w:val="en-GB"/>
        </w:rPr>
        <w:t>ed</w:t>
      </w:r>
      <w:r w:rsidRPr="00365705">
        <w:rPr>
          <w:rFonts w:ascii="Arial" w:eastAsia="Calibri" w:hAnsi="Arial" w:cs="Arial"/>
          <w:lang w:val="en-GB"/>
        </w:rPr>
        <w:t xml:space="preserve"> the value of demographic data in gaining a comprehensive understanding of respondents based on age, work experience, and educational qualifications. The inclusion of such data enhances the researcher's awareness of the respondent group's nature and context.</w:t>
      </w:r>
    </w:p>
    <w:p w14:paraId="138F930F" w14:textId="77777777" w:rsidR="00365705" w:rsidRPr="00365705" w:rsidRDefault="00365705" w:rsidP="00010CFC">
      <w:pPr>
        <w:spacing w:after="160"/>
        <w:jc w:val="both"/>
        <w:rPr>
          <w:rFonts w:ascii="Arial" w:eastAsia="Calibri" w:hAnsi="Arial" w:cs="Arial"/>
          <w:lang w:val="en-GB"/>
        </w:rPr>
      </w:pPr>
      <w:r w:rsidRPr="00365705">
        <w:rPr>
          <w:rFonts w:ascii="Arial" w:eastAsia="Calibri" w:hAnsi="Arial" w:cs="Arial"/>
          <w:lang w:val="en-GB"/>
        </w:rPr>
        <w:t>Milk collection centers play a pivotal role in improving dairy farming practices and outcomes. They function as farmer cooperatives, enhancing milk production, guaranteeing market access, ensuring secure and timely payments, and fostering trust [17]. The presence of these centers significantly influences farming practices. Farmers in areas with collection centers demonstrate improved feeding strategies, including increased use of concentrates and silage, resulting in higher milk yields and better milk quality [24]. This improved productivity and higher milk prices contribute to increased income, supporting the expansion of milk collection centers to enhance the overall dairy production system and farmer livelihoods. A key function of these centers is maintaining the quality and safety of raw milk through cold chain management, ensuring product quality from milking to processing [19]. They provide farmers with crucial technical, economic, and social support, with input supply emerging as a particularly significant factor [19]. [23] emphasizes that a secure and profitable market, minimizing farmer risk, is the primary incentive for dairy farming investment and diversification. Milk collection centers effectively achieve this by providing a reliable market outlet and facilitating the efficient exploitation of local milk production potential. These centers are vital to the development of the dairy industry, acting as a crucial link between rural producers and urban consumers or milk-deficient areas [14].</w:t>
      </w:r>
    </w:p>
    <w:p w14:paraId="060973A1" w14:textId="77777777" w:rsidR="00365705" w:rsidRPr="00365705" w:rsidRDefault="00365705" w:rsidP="00010CFC">
      <w:pPr>
        <w:spacing w:after="160"/>
        <w:jc w:val="both"/>
        <w:rPr>
          <w:rFonts w:ascii="Arial" w:eastAsia="Calibri" w:hAnsi="Arial" w:cs="Arial"/>
          <w:lang w:val="en-GB"/>
        </w:rPr>
      </w:pPr>
      <w:r w:rsidRPr="00365705">
        <w:rPr>
          <w:rFonts w:ascii="Arial" w:eastAsia="Calibri" w:hAnsi="Arial" w:cs="Arial"/>
          <w:lang w:val="en-GB"/>
        </w:rPr>
        <w:t xml:space="preserve">Despite their benefits, milk collection centers face significant constraints that impact milk productivity. These include water shortages (33.3%), electricity shortages (6.6%), poor road conditions (50%), and inadequate skilled </w:t>
      </w:r>
      <w:proofErr w:type="spellStart"/>
      <w:r w:rsidRPr="00365705">
        <w:rPr>
          <w:rFonts w:ascii="Arial" w:eastAsia="Calibri" w:hAnsi="Arial" w:cs="Arial"/>
          <w:lang w:val="en-GB"/>
        </w:rPr>
        <w:t>labor</w:t>
      </w:r>
      <w:proofErr w:type="spellEnd"/>
      <w:r w:rsidRPr="00365705">
        <w:rPr>
          <w:rFonts w:ascii="Arial" w:eastAsia="Calibri" w:hAnsi="Arial" w:cs="Arial"/>
          <w:lang w:val="en-GB"/>
        </w:rPr>
        <w:t xml:space="preserve"> (10%). The perishable nature of milk necessitates daily access to markets and reliable delivery services, making poor road conditions a particularly critical constraint [14]. This is further compounded by high ambient temperatures, which increase the risk of spoilage during transport to processing plants (e.g., Tanga Fresh). This aligns with [20], who demonstrated a 27% price increase per </w:t>
      </w:r>
      <w:proofErr w:type="spellStart"/>
      <w:r w:rsidRPr="00365705">
        <w:rPr>
          <w:rFonts w:ascii="Arial" w:eastAsia="Calibri" w:hAnsi="Arial" w:cs="Arial"/>
          <w:lang w:val="en-GB"/>
        </w:rPr>
        <w:t>liter</w:t>
      </w:r>
      <w:proofErr w:type="spellEnd"/>
      <w:r w:rsidRPr="00365705">
        <w:rPr>
          <w:rFonts w:ascii="Arial" w:eastAsia="Calibri" w:hAnsi="Arial" w:cs="Arial"/>
          <w:lang w:val="en-GB"/>
        </w:rPr>
        <w:t xml:space="preserve"> due to poor road conditions in Tanzania. Remoteness and inadequate infrastructure pose major bottlenecks to milk collection and marketing. Addressing this requires infrastructure improvements, which can be justified by the potential for growth in smallholder milk production [39]. Furthermore, Tanzania's poor transportation system generally hampers the delivery of goods to markets [16]. Low milk prices, poor marketing, limited promotion of dairy products, and a shortage of dairy technologists hinder the formal sector's development. The resulting informal trade in raw milk, coupled with inadequate quality control, increases the risk of zoonotic diseases [11]. Accessibility to veterinary clinics, secondary markets, primary markets, and water points are also major challenges, with a significant percentage of households located far from these essential services [40]. Internal challenges for dairy cooperatives (milk collection centers) include a lack of processing facilities, poor member awareness, and limited member involvement in decision-making. External constraints include high costs associated with crossbreed cows, animal diseases, and low productivity of local breeds [22].</w:t>
      </w:r>
    </w:p>
    <w:p w14:paraId="1EC5A3D4" w14:textId="7E1D8CB9" w:rsidR="000D48AA" w:rsidRPr="002C1C41" w:rsidRDefault="00365705" w:rsidP="002C1C41">
      <w:pPr>
        <w:spacing w:after="160"/>
        <w:jc w:val="both"/>
        <w:rPr>
          <w:rFonts w:ascii="Arial" w:eastAsia="Calibri" w:hAnsi="Arial" w:cs="Arial"/>
          <w:lang w:val="en-GB"/>
        </w:rPr>
      </w:pPr>
      <w:r w:rsidRPr="00365705">
        <w:rPr>
          <w:rFonts w:ascii="Arial" w:eastAsia="Calibri" w:hAnsi="Arial" w:cs="Arial"/>
          <w:lang w:val="en-GB"/>
        </w:rPr>
        <w:lastRenderedPageBreak/>
        <w:t xml:space="preserve">Farmers generally hold positive views of milk collection centers, appreciating their role in expanding social networks, increasing income, and providing savings opportunities [22]. However, perceptions regarding exploitation vary. While a significant portion disagrees, a considerable number believe they are exploited by these centers. The majority of farmers (56.7% agree, 16.7% strongly agree) recognize the importance of milk collection centers for increasing milk production, market access, and payment security. Farmers in areas with collection centers often increase forage cultivation, </w:t>
      </w:r>
      <w:proofErr w:type="spellStart"/>
      <w:r w:rsidRPr="00365705">
        <w:rPr>
          <w:rFonts w:ascii="Arial" w:eastAsia="Calibri" w:hAnsi="Arial" w:cs="Arial"/>
          <w:lang w:val="en-GB"/>
        </w:rPr>
        <w:t>favor</w:t>
      </w:r>
      <w:proofErr w:type="spellEnd"/>
      <w:r w:rsidRPr="00365705">
        <w:rPr>
          <w:rFonts w:ascii="Arial" w:eastAsia="Calibri" w:hAnsi="Arial" w:cs="Arial"/>
          <w:lang w:val="en-GB"/>
        </w:rPr>
        <w:t xml:space="preserve"> buffaloes due to their milk fat content, and improve feeding practices [24; 41]. They also adopt cleaner milking practices, leading to higher productivity and milk prices [42]. The case study of Mr. Said, a dairy farmer since 2002, highlights the transformative impact of milk collection centers on his livelihood, demonstrating significant income growth and improved living standards [17]. However, a significant portion of farmers disagree with the assertion that collection centers provide good prices, citing the price paid by Tanga Fresh and transport costs as insufficient (40% disagree).</w:t>
      </w:r>
    </w:p>
    <w:p w14:paraId="1F2AC632" w14:textId="77777777" w:rsidR="000D48AA" w:rsidRDefault="000D48AA" w:rsidP="00D92061">
      <w:pPr>
        <w:spacing w:line="360" w:lineRule="auto"/>
        <w:jc w:val="both"/>
        <w:rPr>
          <w:rFonts w:ascii="Arial" w:hAnsi="Arial" w:cs="Arial"/>
          <w:b/>
        </w:rPr>
      </w:pPr>
    </w:p>
    <w:p w14:paraId="47023F42" w14:textId="77777777" w:rsidR="00D92061" w:rsidRPr="000D48AA" w:rsidRDefault="00D92061" w:rsidP="00EA1F3C">
      <w:pPr>
        <w:spacing w:line="360" w:lineRule="auto"/>
        <w:jc w:val="center"/>
        <w:rPr>
          <w:rFonts w:ascii="Arial" w:hAnsi="Arial" w:cs="Arial"/>
          <w:b/>
        </w:rPr>
      </w:pPr>
      <w:r w:rsidRPr="000D48AA">
        <w:rPr>
          <w:rFonts w:ascii="Arial" w:hAnsi="Arial" w:cs="Arial"/>
          <w:b/>
        </w:rPr>
        <w:t>Table 1: Respondent Demographics in Amani Division Dairy Sector (n=30)</w:t>
      </w:r>
    </w:p>
    <w:tbl>
      <w:tblPr>
        <w:tblStyle w:val="PlainTable1"/>
        <w:tblW w:w="0" w:type="auto"/>
        <w:tblLook w:val="04A0" w:firstRow="1" w:lastRow="0" w:firstColumn="1" w:lastColumn="0" w:noHBand="0" w:noVBand="1"/>
      </w:tblPr>
      <w:tblGrid>
        <w:gridCol w:w="4050"/>
        <w:gridCol w:w="4148"/>
      </w:tblGrid>
      <w:tr w:rsidR="000D48AA" w:rsidRPr="00D92061" w14:paraId="15E82F60" w14:textId="77777777" w:rsidTr="000D48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3C41B1AD" w14:textId="77777777" w:rsidR="00D92061" w:rsidRPr="00D92061" w:rsidRDefault="00D92061" w:rsidP="000809C1">
            <w:pPr>
              <w:spacing w:line="360" w:lineRule="auto"/>
              <w:jc w:val="both"/>
              <w:rPr>
                <w:rFonts w:ascii="Arial" w:hAnsi="Arial" w:cs="Arial"/>
              </w:rPr>
            </w:pPr>
            <w:r w:rsidRPr="00D92061">
              <w:rPr>
                <w:rFonts w:ascii="Arial" w:hAnsi="Arial" w:cs="Arial"/>
              </w:rPr>
              <w:t>Characteristic</w:t>
            </w:r>
          </w:p>
        </w:tc>
        <w:tc>
          <w:tcPr>
            <w:tcW w:w="4536" w:type="dxa"/>
          </w:tcPr>
          <w:p w14:paraId="3F4A0680" w14:textId="77777777" w:rsidR="00D92061" w:rsidRPr="00D92061" w:rsidRDefault="00D92061" w:rsidP="000809C1">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Percentage (%)</w:t>
            </w:r>
          </w:p>
        </w:tc>
      </w:tr>
      <w:tr w:rsidR="000D48AA" w:rsidRPr="00D92061" w14:paraId="59262071"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76E254F" w14:textId="77777777" w:rsidR="00D92061" w:rsidRPr="00D92061" w:rsidRDefault="00D92061" w:rsidP="000809C1">
            <w:pPr>
              <w:spacing w:line="360" w:lineRule="auto"/>
              <w:jc w:val="both"/>
              <w:rPr>
                <w:rFonts w:ascii="Arial" w:hAnsi="Arial" w:cs="Arial"/>
              </w:rPr>
            </w:pPr>
            <w:r w:rsidRPr="00D92061">
              <w:rPr>
                <w:rFonts w:ascii="Arial" w:hAnsi="Arial" w:cs="Arial"/>
              </w:rPr>
              <w:t>Sex</w:t>
            </w:r>
          </w:p>
        </w:tc>
        <w:tc>
          <w:tcPr>
            <w:tcW w:w="4536" w:type="dxa"/>
          </w:tcPr>
          <w:p w14:paraId="2799FA5A" w14:textId="77777777" w:rsidR="00D92061" w:rsidRPr="00D92061" w:rsidRDefault="00D92061" w:rsidP="000809C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48AA" w:rsidRPr="00D92061" w14:paraId="54503860"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26B76F69" w14:textId="77777777" w:rsidR="00D92061" w:rsidRPr="00D92061" w:rsidRDefault="00D92061" w:rsidP="000809C1">
            <w:pPr>
              <w:spacing w:line="360" w:lineRule="auto"/>
              <w:jc w:val="both"/>
              <w:rPr>
                <w:rFonts w:ascii="Arial" w:hAnsi="Arial" w:cs="Arial"/>
              </w:rPr>
            </w:pPr>
            <w:r w:rsidRPr="00D92061">
              <w:rPr>
                <w:rFonts w:ascii="Arial" w:hAnsi="Arial" w:cs="Arial"/>
              </w:rPr>
              <w:t>Male</w:t>
            </w:r>
          </w:p>
        </w:tc>
        <w:tc>
          <w:tcPr>
            <w:tcW w:w="4536" w:type="dxa"/>
          </w:tcPr>
          <w:p w14:paraId="6639D93F" w14:textId="77777777" w:rsidR="00D92061" w:rsidRPr="00D92061" w:rsidRDefault="00D92061" w:rsidP="000809C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60</w:t>
            </w:r>
          </w:p>
        </w:tc>
      </w:tr>
      <w:tr w:rsidR="000D48AA" w:rsidRPr="00D92061" w14:paraId="2FE83CF2"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48FA9B2" w14:textId="77777777" w:rsidR="00D92061" w:rsidRPr="00D92061" w:rsidRDefault="00D92061" w:rsidP="000809C1">
            <w:pPr>
              <w:spacing w:line="360" w:lineRule="auto"/>
              <w:jc w:val="both"/>
              <w:rPr>
                <w:rFonts w:ascii="Arial" w:hAnsi="Arial" w:cs="Arial"/>
              </w:rPr>
            </w:pPr>
            <w:r w:rsidRPr="00D92061">
              <w:rPr>
                <w:rFonts w:ascii="Arial" w:hAnsi="Arial" w:cs="Arial"/>
              </w:rPr>
              <w:t>Female</w:t>
            </w:r>
          </w:p>
        </w:tc>
        <w:tc>
          <w:tcPr>
            <w:tcW w:w="4536" w:type="dxa"/>
          </w:tcPr>
          <w:p w14:paraId="366DDDF1" w14:textId="77777777" w:rsidR="00D92061" w:rsidRPr="00D92061" w:rsidRDefault="00D92061" w:rsidP="000809C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40</w:t>
            </w:r>
          </w:p>
        </w:tc>
      </w:tr>
      <w:tr w:rsidR="000D48AA" w:rsidRPr="00D92061" w14:paraId="62BA344D"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7B76D3F2" w14:textId="77777777" w:rsidR="00D92061" w:rsidRPr="00D92061" w:rsidRDefault="00D92061" w:rsidP="000809C1">
            <w:pPr>
              <w:spacing w:line="360" w:lineRule="auto"/>
              <w:jc w:val="both"/>
              <w:rPr>
                <w:rFonts w:ascii="Arial" w:hAnsi="Arial" w:cs="Arial"/>
              </w:rPr>
            </w:pPr>
            <w:r w:rsidRPr="00D92061">
              <w:rPr>
                <w:rFonts w:ascii="Arial" w:hAnsi="Arial" w:cs="Arial"/>
              </w:rPr>
              <w:t>Age Group (years)</w:t>
            </w:r>
          </w:p>
        </w:tc>
        <w:tc>
          <w:tcPr>
            <w:tcW w:w="4536" w:type="dxa"/>
          </w:tcPr>
          <w:p w14:paraId="18ADE86C" w14:textId="77777777" w:rsidR="00D92061" w:rsidRPr="00D92061" w:rsidRDefault="00D92061" w:rsidP="000809C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D48AA" w:rsidRPr="00D92061" w14:paraId="17585B1D"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C75493D" w14:textId="77777777" w:rsidR="00D92061" w:rsidRPr="00D92061" w:rsidRDefault="00D92061" w:rsidP="000809C1">
            <w:pPr>
              <w:spacing w:line="360" w:lineRule="auto"/>
              <w:jc w:val="both"/>
              <w:rPr>
                <w:rFonts w:ascii="Arial" w:hAnsi="Arial" w:cs="Arial"/>
              </w:rPr>
            </w:pPr>
            <w:r w:rsidRPr="00D92061">
              <w:rPr>
                <w:rFonts w:ascii="Arial" w:hAnsi="Arial" w:cs="Arial"/>
              </w:rPr>
              <w:t>19-35</w:t>
            </w:r>
          </w:p>
        </w:tc>
        <w:tc>
          <w:tcPr>
            <w:tcW w:w="4536" w:type="dxa"/>
          </w:tcPr>
          <w:p w14:paraId="5A8765C7" w14:textId="77777777" w:rsidR="00D92061" w:rsidRPr="00D92061" w:rsidRDefault="00D92061" w:rsidP="000809C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13.5</w:t>
            </w:r>
          </w:p>
        </w:tc>
      </w:tr>
      <w:tr w:rsidR="000D48AA" w:rsidRPr="00D92061" w14:paraId="55A327CA"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33AC1684" w14:textId="77777777" w:rsidR="00D92061" w:rsidRPr="00D92061" w:rsidRDefault="00D92061" w:rsidP="000809C1">
            <w:pPr>
              <w:spacing w:line="360" w:lineRule="auto"/>
              <w:jc w:val="both"/>
              <w:rPr>
                <w:rFonts w:ascii="Arial" w:hAnsi="Arial" w:cs="Arial"/>
              </w:rPr>
            </w:pPr>
            <w:r w:rsidRPr="00D92061">
              <w:rPr>
                <w:rFonts w:ascii="Arial" w:hAnsi="Arial" w:cs="Arial"/>
              </w:rPr>
              <w:t>36-55</w:t>
            </w:r>
          </w:p>
        </w:tc>
        <w:tc>
          <w:tcPr>
            <w:tcW w:w="4536" w:type="dxa"/>
          </w:tcPr>
          <w:p w14:paraId="6BE89B85" w14:textId="77777777" w:rsidR="00D92061" w:rsidRPr="00D92061" w:rsidRDefault="00D92061" w:rsidP="000809C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39.9</w:t>
            </w:r>
          </w:p>
        </w:tc>
      </w:tr>
      <w:tr w:rsidR="000D48AA" w:rsidRPr="00D92061" w14:paraId="2CDFE64A"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F3A4E91" w14:textId="77777777" w:rsidR="00D92061" w:rsidRPr="00D92061" w:rsidRDefault="00D92061" w:rsidP="000809C1">
            <w:pPr>
              <w:spacing w:line="360" w:lineRule="auto"/>
              <w:jc w:val="both"/>
              <w:rPr>
                <w:rFonts w:ascii="Arial" w:hAnsi="Arial" w:cs="Arial"/>
              </w:rPr>
            </w:pPr>
            <w:r w:rsidRPr="00D92061">
              <w:rPr>
                <w:rFonts w:ascii="Arial" w:hAnsi="Arial" w:cs="Arial"/>
              </w:rPr>
              <w:t>56-75</w:t>
            </w:r>
          </w:p>
        </w:tc>
        <w:tc>
          <w:tcPr>
            <w:tcW w:w="4536" w:type="dxa"/>
          </w:tcPr>
          <w:p w14:paraId="2AE4F6E1" w14:textId="77777777" w:rsidR="00D92061" w:rsidRPr="00D92061" w:rsidRDefault="00D92061" w:rsidP="000809C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3.3</w:t>
            </w:r>
          </w:p>
        </w:tc>
      </w:tr>
      <w:tr w:rsidR="000D48AA" w:rsidRPr="00D92061" w14:paraId="77BDB058"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2492627A" w14:textId="77777777" w:rsidR="00D92061" w:rsidRPr="00D92061" w:rsidRDefault="00D92061" w:rsidP="000809C1">
            <w:pPr>
              <w:spacing w:line="360" w:lineRule="auto"/>
              <w:jc w:val="both"/>
              <w:rPr>
                <w:rFonts w:ascii="Arial" w:hAnsi="Arial" w:cs="Arial"/>
              </w:rPr>
            </w:pPr>
            <w:r w:rsidRPr="00D92061">
              <w:rPr>
                <w:rFonts w:ascii="Arial" w:hAnsi="Arial" w:cs="Arial"/>
              </w:rPr>
              <w:t>76-85</w:t>
            </w:r>
          </w:p>
        </w:tc>
        <w:tc>
          <w:tcPr>
            <w:tcW w:w="4536" w:type="dxa"/>
          </w:tcPr>
          <w:p w14:paraId="1ED8A1A3" w14:textId="77777777" w:rsidR="00D92061" w:rsidRPr="00D92061" w:rsidRDefault="00D92061" w:rsidP="000809C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16.6</w:t>
            </w:r>
          </w:p>
        </w:tc>
      </w:tr>
      <w:tr w:rsidR="000D48AA" w:rsidRPr="00D92061" w14:paraId="4A337A6B"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32320C5" w14:textId="77777777" w:rsidR="00D92061" w:rsidRPr="00D92061" w:rsidRDefault="00D92061" w:rsidP="000809C1">
            <w:pPr>
              <w:spacing w:line="360" w:lineRule="auto"/>
              <w:jc w:val="both"/>
              <w:rPr>
                <w:rFonts w:ascii="Arial" w:hAnsi="Arial" w:cs="Arial"/>
              </w:rPr>
            </w:pPr>
            <w:r w:rsidRPr="00D92061">
              <w:rPr>
                <w:rFonts w:ascii="Arial" w:hAnsi="Arial" w:cs="Arial"/>
              </w:rPr>
              <w:t>Education Level</w:t>
            </w:r>
          </w:p>
        </w:tc>
        <w:tc>
          <w:tcPr>
            <w:tcW w:w="4536" w:type="dxa"/>
          </w:tcPr>
          <w:p w14:paraId="35AD08B3" w14:textId="77777777" w:rsidR="00D92061" w:rsidRPr="00D92061" w:rsidRDefault="00D92061" w:rsidP="000809C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48AA" w:rsidRPr="00D92061" w14:paraId="243BFC5D"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33EC27F9" w14:textId="77777777" w:rsidR="00D92061" w:rsidRPr="00D92061" w:rsidRDefault="00D92061" w:rsidP="000809C1">
            <w:pPr>
              <w:spacing w:line="360" w:lineRule="auto"/>
              <w:jc w:val="both"/>
              <w:rPr>
                <w:rFonts w:ascii="Arial" w:hAnsi="Arial" w:cs="Arial"/>
              </w:rPr>
            </w:pPr>
            <w:r w:rsidRPr="00D92061">
              <w:rPr>
                <w:rFonts w:ascii="Arial" w:hAnsi="Arial" w:cs="Arial"/>
              </w:rPr>
              <w:t>Primary</w:t>
            </w:r>
          </w:p>
        </w:tc>
        <w:tc>
          <w:tcPr>
            <w:tcW w:w="4536" w:type="dxa"/>
          </w:tcPr>
          <w:p w14:paraId="05C651C7" w14:textId="77777777" w:rsidR="00D92061" w:rsidRPr="00D92061" w:rsidRDefault="00D92061" w:rsidP="000809C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63.3</w:t>
            </w:r>
          </w:p>
        </w:tc>
      </w:tr>
      <w:tr w:rsidR="000D48AA" w:rsidRPr="00D92061" w14:paraId="5B89FB67"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C4D30B0" w14:textId="77777777" w:rsidR="00D92061" w:rsidRPr="00D92061" w:rsidRDefault="00D92061" w:rsidP="000809C1">
            <w:pPr>
              <w:spacing w:line="360" w:lineRule="auto"/>
              <w:jc w:val="both"/>
              <w:rPr>
                <w:rFonts w:ascii="Arial" w:hAnsi="Arial" w:cs="Arial"/>
              </w:rPr>
            </w:pPr>
            <w:r w:rsidRPr="00D92061">
              <w:rPr>
                <w:rFonts w:ascii="Arial" w:hAnsi="Arial" w:cs="Arial"/>
              </w:rPr>
              <w:t>Secondary</w:t>
            </w:r>
          </w:p>
        </w:tc>
        <w:tc>
          <w:tcPr>
            <w:tcW w:w="4536" w:type="dxa"/>
          </w:tcPr>
          <w:p w14:paraId="28518C8E" w14:textId="77777777" w:rsidR="00D92061" w:rsidRPr="00D92061" w:rsidRDefault="00D92061" w:rsidP="000809C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33.3</w:t>
            </w:r>
          </w:p>
        </w:tc>
      </w:tr>
      <w:tr w:rsidR="000D48AA" w:rsidRPr="00D92061" w14:paraId="11A6E142"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577E73C3" w14:textId="77777777" w:rsidR="00D92061" w:rsidRPr="00D92061" w:rsidRDefault="00D92061" w:rsidP="000809C1">
            <w:pPr>
              <w:spacing w:line="360" w:lineRule="auto"/>
              <w:jc w:val="both"/>
              <w:rPr>
                <w:rFonts w:ascii="Arial" w:hAnsi="Arial" w:cs="Arial"/>
              </w:rPr>
            </w:pPr>
            <w:r w:rsidRPr="00D92061">
              <w:rPr>
                <w:rFonts w:ascii="Arial" w:hAnsi="Arial" w:cs="Arial"/>
              </w:rPr>
              <w:t>Advanced</w:t>
            </w:r>
          </w:p>
        </w:tc>
        <w:tc>
          <w:tcPr>
            <w:tcW w:w="4536" w:type="dxa"/>
          </w:tcPr>
          <w:p w14:paraId="292BD569" w14:textId="77777777" w:rsidR="00D92061" w:rsidRPr="00D92061" w:rsidRDefault="00D92061" w:rsidP="000809C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3.3</w:t>
            </w:r>
          </w:p>
        </w:tc>
      </w:tr>
      <w:tr w:rsidR="000D48AA" w:rsidRPr="00D92061" w14:paraId="44A613B8"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4A1C58B9" w14:textId="77777777" w:rsidR="00D92061" w:rsidRPr="00D92061" w:rsidRDefault="00D92061" w:rsidP="000809C1">
            <w:pPr>
              <w:spacing w:line="360" w:lineRule="auto"/>
              <w:jc w:val="both"/>
              <w:rPr>
                <w:rFonts w:ascii="Arial" w:hAnsi="Arial" w:cs="Arial"/>
              </w:rPr>
            </w:pPr>
            <w:r w:rsidRPr="00D92061">
              <w:rPr>
                <w:rFonts w:ascii="Arial" w:hAnsi="Arial" w:cs="Arial"/>
              </w:rPr>
              <w:t>Marital Status</w:t>
            </w:r>
          </w:p>
        </w:tc>
        <w:tc>
          <w:tcPr>
            <w:tcW w:w="4536" w:type="dxa"/>
          </w:tcPr>
          <w:p w14:paraId="3C849071" w14:textId="77777777" w:rsidR="00D92061" w:rsidRPr="00D92061" w:rsidRDefault="00D92061" w:rsidP="000809C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D48AA" w:rsidRPr="00D92061" w14:paraId="41383A10"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324F5D6D" w14:textId="77777777" w:rsidR="00D92061" w:rsidRPr="00D92061" w:rsidRDefault="00D92061" w:rsidP="000809C1">
            <w:pPr>
              <w:spacing w:line="360" w:lineRule="auto"/>
              <w:jc w:val="both"/>
              <w:rPr>
                <w:rFonts w:ascii="Arial" w:hAnsi="Arial" w:cs="Arial"/>
              </w:rPr>
            </w:pPr>
            <w:r w:rsidRPr="00D92061">
              <w:rPr>
                <w:rFonts w:ascii="Arial" w:hAnsi="Arial" w:cs="Arial"/>
              </w:rPr>
              <w:t>Married</w:t>
            </w:r>
          </w:p>
        </w:tc>
        <w:tc>
          <w:tcPr>
            <w:tcW w:w="4536" w:type="dxa"/>
          </w:tcPr>
          <w:p w14:paraId="29BFE16F" w14:textId="77777777" w:rsidR="00D92061" w:rsidRPr="00D92061" w:rsidRDefault="00D92061" w:rsidP="000809C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80</w:t>
            </w:r>
          </w:p>
        </w:tc>
      </w:tr>
      <w:tr w:rsidR="000D48AA" w:rsidRPr="00D92061" w14:paraId="4620EBDB"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25185061" w14:textId="77777777" w:rsidR="00D92061" w:rsidRPr="00D92061" w:rsidRDefault="00D92061" w:rsidP="000809C1">
            <w:pPr>
              <w:spacing w:line="360" w:lineRule="auto"/>
              <w:jc w:val="both"/>
              <w:rPr>
                <w:rFonts w:ascii="Arial" w:hAnsi="Arial" w:cs="Arial"/>
              </w:rPr>
            </w:pPr>
            <w:r w:rsidRPr="00D92061">
              <w:rPr>
                <w:rFonts w:ascii="Arial" w:hAnsi="Arial" w:cs="Arial"/>
              </w:rPr>
              <w:t>Single</w:t>
            </w:r>
          </w:p>
        </w:tc>
        <w:tc>
          <w:tcPr>
            <w:tcW w:w="4536" w:type="dxa"/>
          </w:tcPr>
          <w:p w14:paraId="30D0678A" w14:textId="77777777" w:rsidR="00D92061" w:rsidRPr="00D92061" w:rsidRDefault="00D92061" w:rsidP="000809C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20</w:t>
            </w:r>
          </w:p>
        </w:tc>
      </w:tr>
      <w:tr w:rsidR="000D48AA" w:rsidRPr="00D92061" w14:paraId="288DBF5A"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7804F869" w14:textId="77777777" w:rsidR="00D92061" w:rsidRPr="00D92061" w:rsidRDefault="00D92061" w:rsidP="000809C1">
            <w:pPr>
              <w:spacing w:line="360" w:lineRule="auto"/>
              <w:jc w:val="both"/>
              <w:rPr>
                <w:rFonts w:ascii="Arial" w:hAnsi="Arial" w:cs="Arial"/>
              </w:rPr>
            </w:pPr>
            <w:r w:rsidRPr="00D92061">
              <w:rPr>
                <w:rFonts w:ascii="Arial" w:hAnsi="Arial" w:cs="Arial"/>
              </w:rPr>
              <w:t>Primary Occupation</w:t>
            </w:r>
          </w:p>
        </w:tc>
        <w:tc>
          <w:tcPr>
            <w:tcW w:w="4536" w:type="dxa"/>
          </w:tcPr>
          <w:p w14:paraId="71BADBC3" w14:textId="77777777" w:rsidR="00D92061" w:rsidRPr="00D92061" w:rsidRDefault="00D92061" w:rsidP="000809C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D48AA" w:rsidRPr="00D92061" w14:paraId="39FDCE2F" w14:textId="77777777" w:rsidTr="000D48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0F2AEBE" w14:textId="77777777" w:rsidR="00D92061" w:rsidRPr="00D92061" w:rsidRDefault="00D92061" w:rsidP="000809C1">
            <w:pPr>
              <w:spacing w:line="360" w:lineRule="auto"/>
              <w:jc w:val="both"/>
              <w:rPr>
                <w:rFonts w:ascii="Arial" w:hAnsi="Arial" w:cs="Arial"/>
              </w:rPr>
            </w:pPr>
            <w:r w:rsidRPr="00D92061">
              <w:rPr>
                <w:rFonts w:ascii="Arial" w:hAnsi="Arial" w:cs="Arial"/>
              </w:rPr>
              <w:t>Livestock &amp; Crops</w:t>
            </w:r>
          </w:p>
        </w:tc>
        <w:tc>
          <w:tcPr>
            <w:tcW w:w="4536" w:type="dxa"/>
          </w:tcPr>
          <w:p w14:paraId="5926A110" w14:textId="77777777" w:rsidR="00D92061" w:rsidRPr="00D92061" w:rsidRDefault="00D92061" w:rsidP="000809C1">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D92061">
              <w:rPr>
                <w:rFonts w:ascii="Arial" w:hAnsi="Arial" w:cs="Arial"/>
              </w:rPr>
              <w:t>90</w:t>
            </w:r>
          </w:p>
        </w:tc>
      </w:tr>
      <w:tr w:rsidR="000D48AA" w:rsidRPr="00D92061" w14:paraId="08EAB250" w14:textId="77777777" w:rsidTr="000D48AA">
        <w:tc>
          <w:tcPr>
            <w:cnfStyle w:val="001000000000" w:firstRow="0" w:lastRow="0" w:firstColumn="1" w:lastColumn="0" w:oddVBand="0" w:evenVBand="0" w:oddHBand="0" w:evenHBand="0" w:firstRowFirstColumn="0" w:firstRowLastColumn="0" w:lastRowFirstColumn="0" w:lastRowLastColumn="0"/>
            <w:tcW w:w="4390" w:type="dxa"/>
          </w:tcPr>
          <w:p w14:paraId="58DBC614" w14:textId="77777777" w:rsidR="00D92061" w:rsidRPr="00D92061" w:rsidRDefault="00D92061" w:rsidP="000809C1">
            <w:pPr>
              <w:spacing w:line="360" w:lineRule="auto"/>
              <w:jc w:val="both"/>
              <w:rPr>
                <w:rFonts w:ascii="Arial" w:hAnsi="Arial" w:cs="Arial"/>
              </w:rPr>
            </w:pPr>
            <w:r w:rsidRPr="00D92061">
              <w:rPr>
                <w:rFonts w:ascii="Arial" w:hAnsi="Arial" w:cs="Arial"/>
              </w:rPr>
              <w:t>Livestock Only</w:t>
            </w:r>
          </w:p>
        </w:tc>
        <w:tc>
          <w:tcPr>
            <w:tcW w:w="4536" w:type="dxa"/>
          </w:tcPr>
          <w:p w14:paraId="024AC16A" w14:textId="77777777" w:rsidR="00D92061" w:rsidRPr="00D92061" w:rsidRDefault="00D92061" w:rsidP="000809C1">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92061">
              <w:rPr>
                <w:rFonts w:ascii="Arial" w:hAnsi="Arial" w:cs="Arial"/>
              </w:rPr>
              <w:t>10</w:t>
            </w:r>
          </w:p>
        </w:tc>
      </w:tr>
    </w:tbl>
    <w:p w14:paraId="2EC76063" w14:textId="77777777" w:rsidR="00790ADA" w:rsidRPr="00FB3A86" w:rsidRDefault="00790ADA" w:rsidP="00441B6F">
      <w:pPr>
        <w:pStyle w:val="Head1"/>
        <w:spacing w:after="0"/>
        <w:jc w:val="both"/>
        <w:rPr>
          <w:rFonts w:ascii="Arial" w:hAnsi="Arial" w:cs="Arial"/>
        </w:rPr>
      </w:pPr>
    </w:p>
    <w:p w14:paraId="4D34B72B" w14:textId="77777777" w:rsidR="002C1C41" w:rsidRDefault="002C1C41" w:rsidP="00EA1F3C">
      <w:pPr>
        <w:pStyle w:val="Body"/>
        <w:spacing w:after="0"/>
        <w:jc w:val="center"/>
        <w:rPr>
          <w:rFonts w:ascii="Arial" w:hAnsi="Arial" w:cs="Arial"/>
          <w:b/>
        </w:rPr>
      </w:pPr>
    </w:p>
    <w:p w14:paraId="61038B90" w14:textId="77777777" w:rsidR="002C1C41" w:rsidRDefault="002C1C41" w:rsidP="00EA1F3C">
      <w:pPr>
        <w:pStyle w:val="Body"/>
        <w:spacing w:after="0"/>
        <w:jc w:val="center"/>
        <w:rPr>
          <w:rFonts w:ascii="Arial" w:hAnsi="Arial" w:cs="Arial"/>
          <w:b/>
        </w:rPr>
      </w:pPr>
    </w:p>
    <w:p w14:paraId="699D64B0" w14:textId="77777777" w:rsidR="002C1C41" w:rsidRDefault="002C1C41" w:rsidP="00EA1F3C">
      <w:pPr>
        <w:pStyle w:val="Body"/>
        <w:spacing w:after="0"/>
        <w:jc w:val="center"/>
        <w:rPr>
          <w:rFonts w:ascii="Arial" w:hAnsi="Arial" w:cs="Arial"/>
          <w:b/>
        </w:rPr>
      </w:pPr>
    </w:p>
    <w:p w14:paraId="31C97EB6" w14:textId="5029AB4C" w:rsidR="00E053D0" w:rsidRPr="00EA1F3C" w:rsidRDefault="00EA1F3C" w:rsidP="00EA1F3C">
      <w:pPr>
        <w:pStyle w:val="Body"/>
        <w:spacing w:after="0"/>
        <w:jc w:val="center"/>
        <w:rPr>
          <w:rFonts w:ascii="Arial" w:hAnsi="Arial" w:cs="Arial"/>
          <w:b/>
        </w:rPr>
      </w:pPr>
      <w:r w:rsidRPr="00EA1F3C">
        <w:rPr>
          <w:rFonts w:ascii="Arial" w:hAnsi="Arial" w:cs="Arial"/>
          <w:b/>
        </w:rPr>
        <w:t>Table 2: Potentials of milk collection centre on milk productivity</w:t>
      </w:r>
    </w:p>
    <w:tbl>
      <w:tblPr>
        <w:tblW w:w="5000" w:type="pct"/>
        <w:tblBorders>
          <w:top w:val="single" w:sz="8" w:space="0" w:color="000000"/>
          <w:bottom w:val="single" w:sz="8" w:space="0" w:color="000000"/>
        </w:tblBorders>
        <w:tblLook w:val="07E0" w:firstRow="1" w:lastRow="1" w:firstColumn="1" w:lastColumn="1" w:noHBand="1" w:noVBand="1"/>
      </w:tblPr>
      <w:tblGrid>
        <w:gridCol w:w="3612"/>
        <w:gridCol w:w="1863"/>
        <w:gridCol w:w="1367"/>
        <w:gridCol w:w="1366"/>
      </w:tblGrid>
      <w:tr w:rsidR="00EA1F3C" w:rsidRPr="00EA1F3C" w14:paraId="17D436E4" w14:textId="77777777" w:rsidTr="000809C1">
        <w:tc>
          <w:tcPr>
            <w:tcW w:w="2200" w:type="pct"/>
            <w:tcBorders>
              <w:top w:val="single" w:sz="8" w:space="0" w:color="000000"/>
              <w:left w:val="nil"/>
              <w:bottom w:val="single" w:sz="8" w:space="0" w:color="000000"/>
              <w:right w:val="nil"/>
            </w:tcBorders>
            <w:shd w:val="clear" w:color="auto" w:fill="auto"/>
          </w:tcPr>
          <w:p w14:paraId="1A0EE506"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Farmers’ participation</w:t>
            </w:r>
          </w:p>
        </w:tc>
        <w:tc>
          <w:tcPr>
            <w:tcW w:w="1135" w:type="pct"/>
            <w:tcBorders>
              <w:top w:val="single" w:sz="8" w:space="0" w:color="000000"/>
              <w:left w:val="nil"/>
              <w:bottom w:val="single" w:sz="8" w:space="0" w:color="000000"/>
              <w:right w:val="nil"/>
            </w:tcBorders>
            <w:shd w:val="clear" w:color="auto" w:fill="auto"/>
          </w:tcPr>
          <w:p w14:paraId="4874CB4B"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Frequency</w:t>
            </w:r>
          </w:p>
        </w:tc>
        <w:tc>
          <w:tcPr>
            <w:tcW w:w="1666" w:type="pct"/>
            <w:gridSpan w:val="2"/>
            <w:tcBorders>
              <w:top w:val="single" w:sz="8" w:space="0" w:color="000000"/>
              <w:left w:val="nil"/>
              <w:bottom w:val="single" w:sz="8" w:space="0" w:color="000000"/>
              <w:right w:val="nil"/>
            </w:tcBorders>
            <w:shd w:val="clear" w:color="auto" w:fill="auto"/>
          </w:tcPr>
          <w:p w14:paraId="43A7CF9B" w14:textId="77777777" w:rsidR="00EA1F3C" w:rsidRPr="00EA1F3C" w:rsidRDefault="00EA1F3C" w:rsidP="00127A88">
            <w:pPr>
              <w:autoSpaceDE w:val="0"/>
              <w:autoSpaceDN w:val="0"/>
              <w:adjustRightInd w:val="0"/>
              <w:jc w:val="center"/>
              <w:rPr>
                <w:rFonts w:ascii="Times New Roman" w:eastAsia="Calibri" w:hAnsi="Times New Roman"/>
              </w:rPr>
            </w:pPr>
            <w:r w:rsidRPr="00EA1F3C">
              <w:rPr>
                <w:rFonts w:ascii="Times New Roman" w:eastAsia="Calibri" w:hAnsi="Times New Roman"/>
              </w:rPr>
              <w:t>Percent</w:t>
            </w:r>
            <w:r w:rsidR="00127A88">
              <w:rPr>
                <w:rFonts w:ascii="Times New Roman" w:eastAsia="Calibri" w:hAnsi="Times New Roman"/>
              </w:rPr>
              <w:t>age (%)</w:t>
            </w:r>
          </w:p>
        </w:tc>
      </w:tr>
      <w:tr w:rsidR="00EA1F3C" w:rsidRPr="00EA1F3C" w14:paraId="66AC1FA6" w14:textId="77777777" w:rsidTr="000809C1">
        <w:tc>
          <w:tcPr>
            <w:tcW w:w="2200" w:type="pct"/>
            <w:shd w:val="clear" w:color="auto" w:fill="auto"/>
          </w:tcPr>
          <w:p w14:paraId="434A8A8A"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lastRenderedPageBreak/>
              <w:t>Farmers responsibilities in milk production</w:t>
            </w:r>
          </w:p>
        </w:tc>
        <w:tc>
          <w:tcPr>
            <w:tcW w:w="1135" w:type="pct"/>
            <w:shd w:val="clear" w:color="auto" w:fill="auto"/>
          </w:tcPr>
          <w:p w14:paraId="1DB1B570" w14:textId="77777777" w:rsidR="00EA1F3C" w:rsidRPr="00EA1F3C" w:rsidRDefault="00EA1F3C" w:rsidP="00EA1F3C">
            <w:pPr>
              <w:autoSpaceDE w:val="0"/>
              <w:autoSpaceDN w:val="0"/>
              <w:adjustRightInd w:val="0"/>
              <w:jc w:val="center"/>
              <w:rPr>
                <w:rFonts w:ascii="Times New Roman" w:eastAsia="Calibri" w:hAnsi="Times New Roman"/>
                <w:b/>
                <w:bCs/>
              </w:rPr>
            </w:pPr>
          </w:p>
        </w:tc>
        <w:tc>
          <w:tcPr>
            <w:tcW w:w="1666" w:type="pct"/>
            <w:gridSpan w:val="2"/>
            <w:shd w:val="clear" w:color="auto" w:fill="auto"/>
          </w:tcPr>
          <w:p w14:paraId="458A5358" w14:textId="77777777"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14:paraId="360AC932" w14:textId="77777777" w:rsidTr="000809C1">
        <w:tc>
          <w:tcPr>
            <w:tcW w:w="2200" w:type="pct"/>
            <w:shd w:val="clear" w:color="auto" w:fill="auto"/>
          </w:tcPr>
          <w:p w14:paraId="7447047C"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male</w:t>
            </w:r>
          </w:p>
        </w:tc>
        <w:tc>
          <w:tcPr>
            <w:tcW w:w="1135" w:type="pct"/>
            <w:shd w:val="clear" w:color="auto" w:fill="auto"/>
          </w:tcPr>
          <w:p w14:paraId="6383F970"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18</w:t>
            </w:r>
          </w:p>
        </w:tc>
        <w:tc>
          <w:tcPr>
            <w:tcW w:w="1666" w:type="pct"/>
            <w:gridSpan w:val="2"/>
            <w:shd w:val="clear" w:color="auto" w:fill="auto"/>
          </w:tcPr>
          <w:p w14:paraId="5905293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60.0</w:t>
            </w:r>
          </w:p>
        </w:tc>
      </w:tr>
      <w:tr w:rsidR="00EA1F3C" w:rsidRPr="00EA1F3C" w14:paraId="07618EE9" w14:textId="77777777" w:rsidTr="000809C1">
        <w:tc>
          <w:tcPr>
            <w:tcW w:w="2200" w:type="pct"/>
            <w:shd w:val="clear" w:color="auto" w:fill="auto"/>
          </w:tcPr>
          <w:p w14:paraId="56D54F11"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female</w:t>
            </w:r>
          </w:p>
        </w:tc>
        <w:tc>
          <w:tcPr>
            <w:tcW w:w="1135" w:type="pct"/>
            <w:shd w:val="clear" w:color="auto" w:fill="auto"/>
          </w:tcPr>
          <w:p w14:paraId="50471917"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12</w:t>
            </w:r>
          </w:p>
        </w:tc>
        <w:tc>
          <w:tcPr>
            <w:tcW w:w="1666" w:type="pct"/>
            <w:gridSpan w:val="2"/>
            <w:shd w:val="clear" w:color="auto" w:fill="auto"/>
          </w:tcPr>
          <w:p w14:paraId="529A5FFF" w14:textId="77777777" w:rsidR="00EA1F3C" w:rsidRPr="00EA1F3C" w:rsidRDefault="00771291" w:rsidP="00EA1F3C">
            <w:pPr>
              <w:autoSpaceDE w:val="0"/>
              <w:autoSpaceDN w:val="0"/>
              <w:adjustRightInd w:val="0"/>
              <w:rPr>
                <w:rFonts w:ascii="Times New Roman" w:eastAsia="Calibri" w:hAnsi="Times New Roman"/>
              </w:rPr>
            </w:pPr>
            <w:r>
              <w:rPr>
                <w:rFonts w:ascii="Times New Roman" w:eastAsia="Calibri" w:hAnsi="Times New Roman"/>
              </w:rPr>
              <w:t xml:space="preserve">                      </w:t>
            </w:r>
            <w:r w:rsidR="00EA1F3C" w:rsidRPr="00EA1F3C">
              <w:rPr>
                <w:rFonts w:ascii="Times New Roman" w:eastAsia="Calibri" w:hAnsi="Times New Roman"/>
              </w:rPr>
              <w:t>40.0</w:t>
            </w:r>
          </w:p>
        </w:tc>
      </w:tr>
      <w:tr w:rsidR="00EA1F3C" w:rsidRPr="00EA1F3C" w14:paraId="714079CA" w14:textId="77777777" w:rsidTr="000809C1">
        <w:tc>
          <w:tcPr>
            <w:tcW w:w="2200" w:type="pct"/>
            <w:shd w:val="clear" w:color="auto" w:fill="auto"/>
          </w:tcPr>
          <w:p w14:paraId="44B428E2"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All</w:t>
            </w:r>
          </w:p>
        </w:tc>
        <w:tc>
          <w:tcPr>
            <w:tcW w:w="1135" w:type="pct"/>
            <w:shd w:val="clear" w:color="auto" w:fill="auto"/>
          </w:tcPr>
          <w:p w14:paraId="4E912E5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p>
        </w:tc>
        <w:tc>
          <w:tcPr>
            <w:tcW w:w="1666" w:type="pct"/>
            <w:gridSpan w:val="2"/>
            <w:shd w:val="clear" w:color="auto" w:fill="auto"/>
          </w:tcPr>
          <w:p w14:paraId="32AB509E"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r w:rsidR="00771291">
              <w:rPr>
                <w:rFonts w:ascii="Times New Roman" w:eastAsia="Calibri" w:hAnsi="Times New Roman"/>
              </w:rPr>
              <w:t>.0</w:t>
            </w:r>
          </w:p>
        </w:tc>
      </w:tr>
      <w:tr w:rsidR="00EA1F3C" w:rsidRPr="00EA1F3C" w14:paraId="12651C61" w14:textId="77777777" w:rsidTr="000809C1">
        <w:tc>
          <w:tcPr>
            <w:tcW w:w="2200" w:type="pct"/>
            <w:shd w:val="clear" w:color="auto" w:fill="auto"/>
          </w:tcPr>
          <w:p w14:paraId="518D23A8"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Total</w:t>
            </w:r>
          </w:p>
        </w:tc>
        <w:tc>
          <w:tcPr>
            <w:tcW w:w="1135" w:type="pct"/>
            <w:shd w:val="clear" w:color="auto" w:fill="auto"/>
          </w:tcPr>
          <w:p w14:paraId="2E9DC5D0" w14:textId="77777777" w:rsidR="00EA1F3C" w:rsidRPr="00EA1F3C" w:rsidRDefault="00EA1F3C" w:rsidP="00EA1F3C">
            <w:pPr>
              <w:autoSpaceDE w:val="0"/>
              <w:autoSpaceDN w:val="0"/>
              <w:adjustRightInd w:val="0"/>
              <w:jc w:val="center"/>
              <w:rPr>
                <w:rFonts w:ascii="Times New Roman" w:eastAsia="Calibri" w:hAnsi="Times New Roman"/>
                <w:b/>
              </w:rPr>
            </w:pPr>
            <w:r w:rsidRPr="00EA1F3C">
              <w:rPr>
                <w:rFonts w:ascii="Times New Roman" w:eastAsia="Calibri" w:hAnsi="Times New Roman"/>
                <w:b/>
              </w:rPr>
              <w:t>30</w:t>
            </w:r>
          </w:p>
        </w:tc>
        <w:tc>
          <w:tcPr>
            <w:tcW w:w="1666" w:type="pct"/>
            <w:gridSpan w:val="2"/>
            <w:shd w:val="clear" w:color="auto" w:fill="auto"/>
          </w:tcPr>
          <w:p w14:paraId="75BA97F9"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100.0</w:t>
            </w:r>
          </w:p>
        </w:tc>
      </w:tr>
      <w:tr w:rsidR="00EA1F3C" w:rsidRPr="00EA1F3C" w14:paraId="363EA3AD" w14:textId="77777777" w:rsidTr="000809C1">
        <w:tc>
          <w:tcPr>
            <w:tcW w:w="2200" w:type="pct"/>
            <w:shd w:val="clear" w:color="auto" w:fill="auto"/>
          </w:tcPr>
          <w:p w14:paraId="4BFE5E86"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Benefit from  milk production</w:t>
            </w:r>
          </w:p>
        </w:tc>
        <w:tc>
          <w:tcPr>
            <w:tcW w:w="1135" w:type="pct"/>
            <w:shd w:val="clear" w:color="auto" w:fill="auto"/>
          </w:tcPr>
          <w:p w14:paraId="787D17BD" w14:textId="77777777" w:rsidR="00EA1F3C" w:rsidRPr="00EA1F3C" w:rsidRDefault="00EA1F3C" w:rsidP="00EA1F3C">
            <w:pPr>
              <w:autoSpaceDE w:val="0"/>
              <w:autoSpaceDN w:val="0"/>
              <w:adjustRightInd w:val="0"/>
              <w:jc w:val="center"/>
              <w:rPr>
                <w:rFonts w:ascii="Times New Roman" w:eastAsia="Calibri" w:hAnsi="Times New Roman"/>
                <w:b/>
              </w:rPr>
            </w:pPr>
          </w:p>
        </w:tc>
        <w:tc>
          <w:tcPr>
            <w:tcW w:w="1666" w:type="pct"/>
            <w:gridSpan w:val="2"/>
            <w:shd w:val="clear" w:color="auto" w:fill="auto"/>
          </w:tcPr>
          <w:p w14:paraId="72049E6D" w14:textId="77777777"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14:paraId="6C388772" w14:textId="77777777" w:rsidTr="000809C1">
        <w:tc>
          <w:tcPr>
            <w:tcW w:w="2200" w:type="pct"/>
            <w:shd w:val="clear" w:color="auto" w:fill="auto"/>
          </w:tcPr>
          <w:p w14:paraId="1C19E2DD"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Yes</w:t>
            </w:r>
          </w:p>
        </w:tc>
        <w:tc>
          <w:tcPr>
            <w:tcW w:w="1135" w:type="pct"/>
            <w:shd w:val="clear" w:color="auto" w:fill="auto"/>
          </w:tcPr>
          <w:p w14:paraId="282108E9"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30</w:t>
            </w:r>
          </w:p>
        </w:tc>
        <w:tc>
          <w:tcPr>
            <w:tcW w:w="1666" w:type="pct"/>
            <w:gridSpan w:val="2"/>
            <w:shd w:val="clear" w:color="auto" w:fill="auto"/>
          </w:tcPr>
          <w:p w14:paraId="165F973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100.0</w:t>
            </w:r>
          </w:p>
        </w:tc>
      </w:tr>
      <w:tr w:rsidR="00EA1F3C" w:rsidRPr="00EA1F3C" w14:paraId="2BB5E444" w14:textId="77777777" w:rsidTr="000809C1">
        <w:tc>
          <w:tcPr>
            <w:tcW w:w="2200" w:type="pct"/>
            <w:shd w:val="clear" w:color="auto" w:fill="auto"/>
          </w:tcPr>
          <w:p w14:paraId="4FB10D49"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No</w:t>
            </w:r>
          </w:p>
        </w:tc>
        <w:tc>
          <w:tcPr>
            <w:tcW w:w="1135" w:type="pct"/>
            <w:shd w:val="clear" w:color="auto" w:fill="auto"/>
          </w:tcPr>
          <w:p w14:paraId="56578083"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p>
        </w:tc>
        <w:tc>
          <w:tcPr>
            <w:tcW w:w="1666" w:type="pct"/>
            <w:gridSpan w:val="2"/>
            <w:shd w:val="clear" w:color="auto" w:fill="auto"/>
          </w:tcPr>
          <w:p w14:paraId="75E9F701"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r w:rsidR="00771291">
              <w:rPr>
                <w:rFonts w:ascii="Times New Roman" w:eastAsia="Calibri" w:hAnsi="Times New Roman"/>
              </w:rPr>
              <w:t>.0</w:t>
            </w:r>
          </w:p>
        </w:tc>
      </w:tr>
      <w:tr w:rsidR="00EA1F3C" w:rsidRPr="00EA1F3C" w14:paraId="0223264F" w14:textId="77777777" w:rsidTr="000809C1">
        <w:tc>
          <w:tcPr>
            <w:tcW w:w="2200" w:type="pct"/>
            <w:shd w:val="clear" w:color="auto" w:fill="auto"/>
          </w:tcPr>
          <w:p w14:paraId="7C02C4C3"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Total</w:t>
            </w:r>
          </w:p>
        </w:tc>
        <w:tc>
          <w:tcPr>
            <w:tcW w:w="1135" w:type="pct"/>
            <w:shd w:val="clear" w:color="auto" w:fill="auto"/>
          </w:tcPr>
          <w:p w14:paraId="114378A9" w14:textId="77777777" w:rsidR="00EA1F3C" w:rsidRPr="00EA1F3C" w:rsidRDefault="00EA1F3C" w:rsidP="00EA1F3C">
            <w:pPr>
              <w:autoSpaceDE w:val="0"/>
              <w:autoSpaceDN w:val="0"/>
              <w:adjustRightInd w:val="0"/>
              <w:jc w:val="center"/>
              <w:rPr>
                <w:rFonts w:ascii="Times New Roman" w:eastAsia="Calibri" w:hAnsi="Times New Roman"/>
                <w:b/>
              </w:rPr>
            </w:pPr>
            <w:r w:rsidRPr="00EA1F3C">
              <w:rPr>
                <w:rFonts w:ascii="Times New Roman" w:eastAsia="Calibri" w:hAnsi="Times New Roman"/>
                <w:b/>
              </w:rPr>
              <w:t>30</w:t>
            </w:r>
          </w:p>
        </w:tc>
        <w:tc>
          <w:tcPr>
            <w:tcW w:w="1666" w:type="pct"/>
            <w:gridSpan w:val="2"/>
            <w:shd w:val="clear" w:color="auto" w:fill="auto"/>
          </w:tcPr>
          <w:p w14:paraId="64789CC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100.0</w:t>
            </w:r>
          </w:p>
        </w:tc>
      </w:tr>
      <w:tr w:rsidR="00EA1F3C" w:rsidRPr="00EA1F3C" w14:paraId="2887F45F" w14:textId="77777777" w:rsidTr="000809C1">
        <w:tc>
          <w:tcPr>
            <w:tcW w:w="2200" w:type="pct"/>
            <w:shd w:val="clear" w:color="auto" w:fill="auto"/>
          </w:tcPr>
          <w:p w14:paraId="19815807"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Reasons for beneficiaries</w:t>
            </w:r>
          </w:p>
        </w:tc>
        <w:tc>
          <w:tcPr>
            <w:tcW w:w="1135" w:type="pct"/>
            <w:shd w:val="clear" w:color="auto" w:fill="auto"/>
          </w:tcPr>
          <w:p w14:paraId="121AC849" w14:textId="77777777" w:rsidR="00EA1F3C" w:rsidRPr="00EA1F3C" w:rsidRDefault="00EA1F3C" w:rsidP="00EA1F3C">
            <w:pPr>
              <w:autoSpaceDE w:val="0"/>
              <w:autoSpaceDN w:val="0"/>
              <w:adjustRightInd w:val="0"/>
              <w:jc w:val="center"/>
              <w:rPr>
                <w:rFonts w:ascii="Times New Roman" w:eastAsia="Calibri" w:hAnsi="Times New Roman"/>
                <w:b/>
              </w:rPr>
            </w:pPr>
          </w:p>
        </w:tc>
        <w:tc>
          <w:tcPr>
            <w:tcW w:w="1666" w:type="pct"/>
            <w:gridSpan w:val="2"/>
            <w:shd w:val="clear" w:color="auto" w:fill="auto"/>
          </w:tcPr>
          <w:p w14:paraId="2882446E" w14:textId="77777777"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14:paraId="63C54588" w14:textId="77777777" w:rsidTr="000809C1">
        <w:tc>
          <w:tcPr>
            <w:tcW w:w="2200" w:type="pct"/>
            <w:shd w:val="clear" w:color="auto" w:fill="auto"/>
          </w:tcPr>
          <w:p w14:paraId="02B6B423"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Food</w:t>
            </w:r>
          </w:p>
        </w:tc>
        <w:tc>
          <w:tcPr>
            <w:tcW w:w="1135" w:type="pct"/>
            <w:shd w:val="clear" w:color="auto" w:fill="auto"/>
          </w:tcPr>
          <w:p w14:paraId="36294B1A"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12</w:t>
            </w:r>
          </w:p>
        </w:tc>
        <w:tc>
          <w:tcPr>
            <w:tcW w:w="1666" w:type="pct"/>
            <w:gridSpan w:val="2"/>
            <w:shd w:val="clear" w:color="auto" w:fill="auto"/>
          </w:tcPr>
          <w:p w14:paraId="6932FA9D"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40</w:t>
            </w:r>
            <w:r w:rsidR="00771291">
              <w:rPr>
                <w:rFonts w:ascii="Times New Roman" w:eastAsia="Calibri" w:hAnsi="Times New Roman"/>
              </w:rPr>
              <w:t>.0</w:t>
            </w:r>
          </w:p>
        </w:tc>
      </w:tr>
      <w:tr w:rsidR="00EA1F3C" w:rsidRPr="00EA1F3C" w14:paraId="2A3C7274" w14:textId="77777777" w:rsidTr="000809C1">
        <w:tc>
          <w:tcPr>
            <w:tcW w:w="2200" w:type="pct"/>
            <w:shd w:val="clear" w:color="auto" w:fill="auto"/>
          </w:tcPr>
          <w:p w14:paraId="22094CD9"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School fees</w:t>
            </w:r>
          </w:p>
        </w:tc>
        <w:tc>
          <w:tcPr>
            <w:tcW w:w="1135" w:type="pct"/>
            <w:shd w:val="clear" w:color="auto" w:fill="auto"/>
          </w:tcPr>
          <w:p w14:paraId="59D5DD86"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6</w:t>
            </w:r>
          </w:p>
        </w:tc>
        <w:tc>
          <w:tcPr>
            <w:tcW w:w="1666" w:type="pct"/>
            <w:gridSpan w:val="2"/>
            <w:shd w:val="clear" w:color="auto" w:fill="auto"/>
          </w:tcPr>
          <w:p w14:paraId="7CA03C76" w14:textId="77777777" w:rsidR="00EA1F3C" w:rsidRPr="00EA1F3C" w:rsidRDefault="00771291" w:rsidP="00EA1F3C">
            <w:pPr>
              <w:autoSpaceDE w:val="0"/>
              <w:autoSpaceDN w:val="0"/>
              <w:adjustRightInd w:val="0"/>
              <w:jc w:val="center"/>
              <w:rPr>
                <w:rFonts w:ascii="Times New Roman" w:eastAsia="Calibri" w:hAnsi="Times New Roman"/>
              </w:rPr>
            </w:pPr>
            <w:r>
              <w:rPr>
                <w:rFonts w:ascii="Times New Roman" w:eastAsia="Calibri" w:hAnsi="Times New Roman"/>
              </w:rPr>
              <w:t xml:space="preserve"> </w:t>
            </w:r>
            <w:r w:rsidR="00EA1F3C" w:rsidRPr="00EA1F3C">
              <w:rPr>
                <w:rFonts w:ascii="Times New Roman" w:eastAsia="Calibri" w:hAnsi="Times New Roman"/>
              </w:rPr>
              <w:t>20.0</w:t>
            </w:r>
          </w:p>
        </w:tc>
      </w:tr>
      <w:tr w:rsidR="00EA1F3C" w:rsidRPr="00EA1F3C" w14:paraId="123E06B4" w14:textId="77777777" w:rsidTr="000809C1">
        <w:tc>
          <w:tcPr>
            <w:tcW w:w="2200" w:type="pct"/>
            <w:shd w:val="clear" w:color="auto" w:fill="auto"/>
          </w:tcPr>
          <w:p w14:paraId="6BFFA215"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Covering home costs  needs</w:t>
            </w:r>
          </w:p>
        </w:tc>
        <w:tc>
          <w:tcPr>
            <w:tcW w:w="1135" w:type="pct"/>
            <w:shd w:val="clear" w:color="auto" w:fill="auto"/>
          </w:tcPr>
          <w:p w14:paraId="48F9E69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w:t>
            </w:r>
          </w:p>
        </w:tc>
        <w:tc>
          <w:tcPr>
            <w:tcW w:w="1666" w:type="pct"/>
            <w:gridSpan w:val="2"/>
            <w:shd w:val="clear" w:color="auto" w:fill="auto"/>
          </w:tcPr>
          <w:p w14:paraId="360FABC9" w14:textId="77777777" w:rsidR="00EA1F3C" w:rsidRPr="00EA1F3C" w:rsidRDefault="00771291" w:rsidP="00EA1F3C">
            <w:pPr>
              <w:autoSpaceDE w:val="0"/>
              <w:autoSpaceDN w:val="0"/>
              <w:adjustRightInd w:val="0"/>
              <w:jc w:val="center"/>
              <w:rPr>
                <w:rFonts w:ascii="Times New Roman" w:eastAsia="Calibri" w:hAnsi="Times New Roman"/>
              </w:rPr>
            </w:pPr>
            <w:r>
              <w:rPr>
                <w:rFonts w:ascii="Times New Roman" w:eastAsia="Calibri" w:hAnsi="Times New Roman"/>
              </w:rPr>
              <w:t xml:space="preserve"> </w:t>
            </w:r>
            <w:r w:rsidR="00EA1F3C" w:rsidRPr="00EA1F3C">
              <w:rPr>
                <w:rFonts w:ascii="Times New Roman" w:eastAsia="Calibri" w:hAnsi="Times New Roman"/>
              </w:rPr>
              <w:t>33.3</w:t>
            </w:r>
          </w:p>
        </w:tc>
      </w:tr>
      <w:tr w:rsidR="00EA1F3C" w:rsidRPr="00EA1F3C" w14:paraId="1C3EA5E2" w14:textId="77777777" w:rsidTr="000809C1">
        <w:tc>
          <w:tcPr>
            <w:tcW w:w="2200" w:type="pct"/>
            <w:shd w:val="clear" w:color="auto" w:fill="auto"/>
          </w:tcPr>
          <w:p w14:paraId="7093E235"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Buying cattle supplements</w:t>
            </w:r>
          </w:p>
        </w:tc>
        <w:tc>
          <w:tcPr>
            <w:tcW w:w="1135" w:type="pct"/>
            <w:shd w:val="clear" w:color="auto" w:fill="auto"/>
          </w:tcPr>
          <w:p w14:paraId="7459FBA5"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2</w:t>
            </w:r>
          </w:p>
        </w:tc>
        <w:tc>
          <w:tcPr>
            <w:tcW w:w="1666" w:type="pct"/>
            <w:gridSpan w:val="2"/>
            <w:shd w:val="clear" w:color="auto" w:fill="auto"/>
          </w:tcPr>
          <w:p w14:paraId="3B17D477" w14:textId="77777777" w:rsidR="00EA1F3C" w:rsidRPr="00EA1F3C" w:rsidRDefault="00771291" w:rsidP="00EA1F3C">
            <w:pPr>
              <w:autoSpaceDE w:val="0"/>
              <w:autoSpaceDN w:val="0"/>
              <w:adjustRightInd w:val="0"/>
              <w:rPr>
                <w:rFonts w:ascii="Times New Roman" w:eastAsia="Calibri" w:hAnsi="Times New Roman"/>
              </w:rPr>
            </w:pPr>
            <w:r>
              <w:rPr>
                <w:rFonts w:ascii="Times New Roman" w:eastAsia="Calibri" w:hAnsi="Times New Roman"/>
              </w:rPr>
              <w:t xml:space="preserve">                      </w:t>
            </w:r>
            <w:r w:rsidR="00EA1F3C" w:rsidRPr="00EA1F3C">
              <w:rPr>
                <w:rFonts w:ascii="Times New Roman" w:eastAsia="Calibri" w:hAnsi="Times New Roman"/>
              </w:rPr>
              <w:t>6.6</w:t>
            </w:r>
          </w:p>
        </w:tc>
      </w:tr>
      <w:tr w:rsidR="00EA1F3C" w:rsidRPr="00EA1F3C" w14:paraId="763CAD72" w14:textId="77777777" w:rsidTr="000809C1">
        <w:tc>
          <w:tcPr>
            <w:tcW w:w="2200" w:type="pct"/>
            <w:shd w:val="clear" w:color="auto" w:fill="auto"/>
          </w:tcPr>
          <w:p w14:paraId="2A6EA1F9" w14:textId="77777777" w:rsidR="00EA1F3C" w:rsidRPr="00EA1F3C" w:rsidRDefault="00EA1F3C" w:rsidP="00EA1F3C">
            <w:pPr>
              <w:autoSpaceDE w:val="0"/>
              <w:autoSpaceDN w:val="0"/>
              <w:adjustRightInd w:val="0"/>
              <w:rPr>
                <w:rFonts w:ascii="Times New Roman" w:eastAsia="Calibri" w:hAnsi="Times New Roman"/>
              </w:rPr>
            </w:pPr>
          </w:p>
        </w:tc>
        <w:tc>
          <w:tcPr>
            <w:tcW w:w="1135" w:type="pct"/>
            <w:shd w:val="clear" w:color="auto" w:fill="auto"/>
          </w:tcPr>
          <w:p w14:paraId="7148A33F" w14:textId="77777777" w:rsidR="00EA1F3C" w:rsidRPr="00EA1F3C" w:rsidRDefault="00EA1F3C" w:rsidP="00EA1F3C">
            <w:pPr>
              <w:autoSpaceDE w:val="0"/>
              <w:autoSpaceDN w:val="0"/>
              <w:adjustRightInd w:val="0"/>
              <w:jc w:val="center"/>
              <w:rPr>
                <w:rFonts w:ascii="Times New Roman" w:eastAsia="Calibri" w:hAnsi="Times New Roman"/>
                <w:b/>
              </w:rPr>
            </w:pPr>
          </w:p>
        </w:tc>
        <w:tc>
          <w:tcPr>
            <w:tcW w:w="1666" w:type="pct"/>
            <w:gridSpan w:val="2"/>
            <w:shd w:val="clear" w:color="auto" w:fill="auto"/>
          </w:tcPr>
          <w:p w14:paraId="0AABA745" w14:textId="77777777"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14:paraId="13D08134" w14:textId="77777777" w:rsidTr="000809C1">
        <w:trPr>
          <w:trHeight w:val="214"/>
        </w:trPr>
        <w:tc>
          <w:tcPr>
            <w:tcW w:w="2200" w:type="pct"/>
            <w:tcBorders>
              <w:top w:val="single" w:sz="8" w:space="0" w:color="000000"/>
              <w:left w:val="nil"/>
              <w:bottom w:val="single" w:sz="8" w:space="0" w:color="000000"/>
              <w:right w:val="nil"/>
            </w:tcBorders>
            <w:shd w:val="clear" w:color="auto" w:fill="auto"/>
          </w:tcPr>
          <w:p w14:paraId="10D6F523" w14:textId="77777777"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Total</w:t>
            </w:r>
          </w:p>
        </w:tc>
        <w:tc>
          <w:tcPr>
            <w:tcW w:w="1135" w:type="pct"/>
            <w:tcBorders>
              <w:top w:val="single" w:sz="8" w:space="0" w:color="000000"/>
              <w:left w:val="nil"/>
              <w:bottom w:val="single" w:sz="8" w:space="0" w:color="000000"/>
              <w:right w:val="nil"/>
            </w:tcBorders>
            <w:shd w:val="clear" w:color="auto" w:fill="auto"/>
          </w:tcPr>
          <w:p w14:paraId="218709F9" w14:textId="77777777"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30</w:t>
            </w:r>
          </w:p>
        </w:tc>
        <w:tc>
          <w:tcPr>
            <w:tcW w:w="833" w:type="pct"/>
            <w:tcBorders>
              <w:top w:val="single" w:sz="8" w:space="0" w:color="000000"/>
              <w:left w:val="nil"/>
              <w:bottom w:val="single" w:sz="8" w:space="0" w:color="000000"/>
              <w:right w:val="nil"/>
            </w:tcBorders>
            <w:shd w:val="clear" w:color="auto" w:fill="auto"/>
          </w:tcPr>
          <w:p w14:paraId="54964928" w14:textId="77777777" w:rsidR="00EA1F3C" w:rsidRPr="00EA1F3C" w:rsidRDefault="00EA1F3C" w:rsidP="00EA1F3C">
            <w:pPr>
              <w:rPr>
                <w:rFonts w:ascii="Times New Roman" w:eastAsia="Calibri" w:hAnsi="Times New Roman"/>
              </w:rPr>
            </w:pPr>
            <w:r w:rsidRPr="00EA1F3C">
              <w:rPr>
                <w:rFonts w:ascii="Times New Roman" w:eastAsia="Calibri" w:hAnsi="Times New Roman"/>
              </w:rPr>
              <w:t xml:space="preserve">          </w:t>
            </w:r>
          </w:p>
        </w:tc>
        <w:tc>
          <w:tcPr>
            <w:tcW w:w="833" w:type="pct"/>
            <w:tcBorders>
              <w:top w:val="single" w:sz="8" w:space="0" w:color="000000"/>
              <w:left w:val="nil"/>
              <w:bottom w:val="single" w:sz="8" w:space="0" w:color="000000"/>
              <w:right w:val="nil"/>
            </w:tcBorders>
            <w:shd w:val="clear" w:color="auto" w:fill="auto"/>
          </w:tcPr>
          <w:p w14:paraId="24816A1C" w14:textId="77777777" w:rsidR="00EA1F3C" w:rsidRPr="00EA1F3C" w:rsidRDefault="00EA1F3C" w:rsidP="00EA1F3C">
            <w:pPr>
              <w:rPr>
                <w:rFonts w:ascii="Times New Roman" w:eastAsia="Calibri" w:hAnsi="Times New Roman"/>
              </w:rPr>
            </w:pPr>
            <w:r w:rsidRPr="00EA1F3C">
              <w:rPr>
                <w:rFonts w:ascii="Times New Roman" w:eastAsia="Calibri" w:hAnsi="Times New Roman"/>
              </w:rPr>
              <w:t>100</w:t>
            </w:r>
          </w:p>
        </w:tc>
      </w:tr>
    </w:tbl>
    <w:p w14:paraId="37A088ED" w14:textId="562CAB39" w:rsidR="00BA54D8" w:rsidRDefault="00BA54D8" w:rsidP="00BA54D8">
      <w:pPr>
        <w:pStyle w:val="Body"/>
        <w:spacing w:after="0"/>
        <w:rPr>
          <w:rFonts w:ascii="Arial" w:hAnsi="Arial" w:cs="Arial"/>
        </w:rPr>
      </w:pPr>
    </w:p>
    <w:p w14:paraId="24B1C6FD" w14:textId="77777777" w:rsidR="00790ADA" w:rsidRPr="00BA54D8" w:rsidRDefault="00BA54D8" w:rsidP="00BA54D8">
      <w:pPr>
        <w:pStyle w:val="Body"/>
        <w:spacing w:after="0"/>
        <w:jc w:val="center"/>
        <w:rPr>
          <w:rFonts w:ascii="Arial" w:hAnsi="Arial" w:cs="Arial"/>
          <w:b/>
        </w:rPr>
      </w:pPr>
      <w:r w:rsidRPr="00BA54D8">
        <w:rPr>
          <w:rFonts w:ascii="Arial" w:hAnsi="Arial" w:cs="Arial"/>
          <w:b/>
        </w:rPr>
        <w:t>Table 3: Constraints of milk collection centre</w:t>
      </w:r>
    </w:p>
    <w:tbl>
      <w:tblPr>
        <w:tblW w:w="5000" w:type="pct"/>
        <w:tblBorders>
          <w:top w:val="single" w:sz="8" w:space="0" w:color="000000"/>
          <w:bottom w:val="single" w:sz="8" w:space="0" w:color="000000"/>
        </w:tblBorders>
        <w:tblLook w:val="07E0" w:firstRow="1" w:lastRow="1" w:firstColumn="1" w:lastColumn="1" w:noHBand="1" w:noVBand="1"/>
      </w:tblPr>
      <w:tblGrid>
        <w:gridCol w:w="3430"/>
        <w:gridCol w:w="2041"/>
        <w:gridCol w:w="2737"/>
      </w:tblGrid>
      <w:tr w:rsidR="00BA54D8" w:rsidRPr="00BA54D8" w14:paraId="2EE63ECD" w14:textId="77777777" w:rsidTr="000809C1">
        <w:trPr>
          <w:trHeight w:val="152"/>
        </w:trPr>
        <w:tc>
          <w:tcPr>
            <w:tcW w:w="2090" w:type="pct"/>
            <w:tcBorders>
              <w:top w:val="single" w:sz="8" w:space="0" w:color="000000"/>
              <w:left w:val="nil"/>
              <w:bottom w:val="single" w:sz="8" w:space="0" w:color="000000"/>
              <w:right w:val="nil"/>
            </w:tcBorders>
            <w:shd w:val="clear" w:color="auto" w:fill="auto"/>
          </w:tcPr>
          <w:p w14:paraId="532B980C"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Constraints of milk collection</w:t>
            </w:r>
          </w:p>
        </w:tc>
        <w:tc>
          <w:tcPr>
            <w:tcW w:w="1243" w:type="pct"/>
            <w:tcBorders>
              <w:top w:val="single" w:sz="8" w:space="0" w:color="000000"/>
              <w:left w:val="nil"/>
              <w:bottom w:val="single" w:sz="8" w:space="0" w:color="000000"/>
              <w:right w:val="nil"/>
            </w:tcBorders>
            <w:shd w:val="clear" w:color="auto" w:fill="auto"/>
          </w:tcPr>
          <w:p w14:paraId="4A74F0C8"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Frequency</w:t>
            </w:r>
          </w:p>
        </w:tc>
        <w:tc>
          <w:tcPr>
            <w:tcW w:w="1667" w:type="pct"/>
            <w:tcBorders>
              <w:top w:val="single" w:sz="8" w:space="0" w:color="000000"/>
              <w:left w:val="nil"/>
              <w:bottom w:val="single" w:sz="8" w:space="0" w:color="000000"/>
              <w:right w:val="nil"/>
            </w:tcBorders>
            <w:shd w:val="clear" w:color="auto" w:fill="auto"/>
          </w:tcPr>
          <w:p w14:paraId="0345FC21"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Percent</w:t>
            </w:r>
            <w:r w:rsidR="00127A88">
              <w:rPr>
                <w:rFonts w:ascii="Times New Roman" w:eastAsia="Calibri" w:hAnsi="Times New Roman"/>
                <w:szCs w:val="24"/>
              </w:rPr>
              <w:t>age (%)</w:t>
            </w:r>
          </w:p>
        </w:tc>
      </w:tr>
      <w:tr w:rsidR="00BA54D8" w:rsidRPr="00BA54D8" w14:paraId="74D04DF7" w14:textId="77777777" w:rsidTr="000809C1">
        <w:tc>
          <w:tcPr>
            <w:tcW w:w="2090" w:type="pct"/>
            <w:shd w:val="clear" w:color="auto" w:fill="auto"/>
          </w:tcPr>
          <w:p w14:paraId="52041CE2"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Shortage of water</w:t>
            </w:r>
          </w:p>
        </w:tc>
        <w:tc>
          <w:tcPr>
            <w:tcW w:w="1243" w:type="pct"/>
            <w:shd w:val="clear" w:color="auto" w:fill="auto"/>
          </w:tcPr>
          <w:p w14:paraId="02D4F5DA"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10</w:t>
            </w:r>
          </w:p>
        </w:tc>
        <w:tc>
          <w:tcPr>
            <w:tcW w:w="1667" w:type="pct"/>
            <w:shd w:val="clear" w:color="auto" w:fill="auto"/>
          </w:tcPr>
          <w:p w14:paraId="3EE86750"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33.3</w:t>
            </w:r>
          </w:p>
        </w:tc>
      </w:tr>
      <w:tr w:rsidR="00BA54D8" w:rsidRPr="00BA54D8" w14:paraId="1D79619A" w14:textId="77777777" w:rsidTr="000809C1">
        <w:tc>
          <w:tcPr>
            <w:tcW w:w="2090" w:type="pct"/>
            <w:shd w:val="clear" w:color="auto" w:fill="auto"/>
          </w:tcPr>
          <w:p w14:paraId="764BEEC5"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Poor infrastructure( Roads)</w:t>
            </w:r>
          </w:p>
        </w:tc>
        <w:tc>
          <w:tcPr>
            <w:tcW w:w="1243" w:type="pct"/>
            <w:shd w:val="clear" w:color="auto" w:fill="auto"/>
          </w:tcPr>
          <w:p w14:paraId="5A13E716"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15</w:t>
            </w:r>
          </w:p>
        </w:tc>
        <w:tc>
          <w:tcPr>
            <w:tcW w:w="1667" w:type="pct"/>
            <w:shd w:val="clear" w:color="auto" w:fill="auto"/>
          </w:tcPr>
          <w:p w14:paraId="48952A02"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50</w:t>
            </w:r>
          </w:p>
        </w:tc>
      </w:tr>
      <w:tr w:rsidR="00BA54D8" w:rsidRPr="00BA54D8" w14:paraId="13B6C6C3" w14:textId="77777777" w:rsidTr="000809C1">
        <w:tc>
          <w:tcPr>
            <w:tcW w:w="2090" w:type="pct"/>
            <w:shd w:val="clear" w:color="auto" w:fill="auto"/>
          </w:tcPr>
          <w:p w14:paraId="54A20060"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Shortage of electricity</w:t>
            </w:r>
          </w:p>
        </w:tc>
        <w:tc>
          <w:tcPr>
            <w:tcW w:w="1243" w:type="pct"/>
            <w:shd w:val="clear" w:color="auto" w:fill="auto"/>
          </w:tcPr>
          <w:p w14:paraId="65F53BE3"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2</w:t>
            </w:r>
          </w:p>
        </w:tc>
        <w:tc>
          <w:tcPr>
            <w:tcW w:w="1667" w:type="pct"/>
            <w:shd w:val="clear" w:color="auto" w:fill="auto"/>
          </w:tcPr>
          <w:p w14:paraId="0C076B94"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6.6</w:t>
            </w:r>
          </w:p>
        </w:tc>
      </w:tr>
      <w:tr w:rsidR="00BA54D8" w:rsidRPr="00BA54D8" w14:paraId="7749646A" w14:textId="77777777" w:rsidTr="000809C1">
        <w:tc>
          <w:tcPr>
            <w:tcW w:w="2090" w:type="pct"/>
            <w:shd w:val="clear" w:color="auto" w:fill="auto"/>
          </w:tcPr>
          <w:p w14:paraId="65F3F0F1"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 xml:space="preserve">lack of skills </w:t>
            </w:r>
            <w:proofErr w:type="spellStart"/>
            <w:r w:rsidRPr="00BA54D8">
              <w:rPr>
                <w:rFonts w:ascii="Times New Roman" w:eastAsia="Calibri" w:hAnsi="Times New Roman"/>
                <w:szCs w:val="24"/>
              </w:rPr>
              <w:t>labour</w:t>
            </w:r>
            <w:proofErr w:type="spellEnd"/>
          </w:p>
        </w:tc>
        <w:tc>
          <w:tcPr>
            <w:tcW w:w="1243" w:type="pct"/>
            <w:shd w:val="clear" w:color="auto" w:fill="auto"/>
          </w:tcPr>
          <w:p w14:paraId="5A6F400A"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3</w:t>
            </w:r>
          </w:p>
        </w:tc>
        <w:tc>
          <w:tcPr>
            <w:tcW w:w="1667" w:type="pct"/>
            <w:shd w:val="clear" w:color="auto" w:fill="auto"/>
          </w:tcPr>
          <w:p w14:paraId="78F8AE73"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10</w:t>
            </w:r>
          </w:p>
        </w:tc>
      </w:tr>
      <w:tr w:rsidR="00BA54D8" w:rsidRPr="00BA54D8" w14:paraId="1A2D1E20" w14:textId="77777777" w:rsidTr="000809C1">
        <w:tc>
          <w:tcPr>
            <w:tcW w:w="2090" w:type="pct"/>
            <w:tcBorders>
              <w:top w:val="single" w:sz="8" w:space="0" w:color="000000"/>
              <w:left w:val="nil"/>
              <w:bottom w:val="single" w:sz="8" w:space="0" w:color="000000"/>
              <w:right w:val="nil"/>
            </w:tcBorders>
            <w:shd w:val="clear" w:color="auto" w:fill="auto"/>
          </w:tcPr>
          <w:p w14:paraId="559E336A" w14:textId="77777777"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Total</w:t>
            </w:r>
          </w:p>
        </w:tc>
        <w:tc>
          <w:tcPr>
            <w:tcW w:w="1243" w:type="pct"/>
            <w:tcBorders>
              <w:top w:val="single" w:sz="8" w:space="0" w:color="000000"/>
              <w:left w:val="nil"/>
              <w:bottom w:val="single" w:sz="8" w:space="0" w:color="000000"/>
              <w:right w:val="nil"/>
            </w:tcBorders>
            <w:shd w:val="clear" w:color="auto" w:fill="auto"/>
          </w:tcPr>
          <w:p w14:paraId="31273B8E"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30</w:t>
            </w:r>
          </w:p>
        </w:tc>
        <w:tc>
          <w:tcPr>
            <w:tcW w:w="1667" w:type="pct"/>
            <w:tcBorders>
              <w:top w:val="single" w:sz="8" w:space="0" w:color="000000"/>
              <w:left w:val="nil"/>
              <w:bottom w:val="single" w:sz="8" w:space="0" w:color="000000"/>
              <w:right w:val="nil"/>
            </w:tcBorders>
            <w:shd w:val="clear" w:color="auto" w:fill="auto"/>
          </w:tcPr>
          <w:p w14:paraId="49248C74" w14:textId="77777777"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100.0</w:t>
            </w:r>
          </w:p>
        </w:tc>
      </w:tr>
    </w:tbl>
    <w:p w14:paraId="4FE97F40" w14:textId="77777777" w:rsidR="00BA54D8" w:rsidRDefault="00BA54D8" w:rsidP="00BA54D8">
      <w:pPr>
        <w:pStyle w:val="Body"/>
        <w:spacing w:after="0"/>
        <w:rPr>
          <w:rFonts w:ascii="Arial" w:hAnsi="Arial" w:cs="Arial"/>
        </w:rPr>
      </w:pPr>
    </w:p>
    <w:p w14:paraId="4BC39AFB" w14:textId="77777777" w:rsidR="00BA54D8" w:rsidRPr="008109E2" w:rsidRDefault="000B1E03" w:rsidP="008109E2">
      <w:pPr>
        <w:pStyle w:val="Body"/>
        <w:spacing w:after="0"/>
        <w:jc w:val="center"/>
        <w:rPr>
          <w:rFonts w:ascii="Arial" w:hAnsi="Arial" w:cs="Arial"/>
          <w:b/>
        </w:rPr>
      </w:pPr>
      <w:r w:rsidRPr="008109E2">
        <w:rPr>
          <w:rFonts w:ascii="Arial" w:hAnsi="Arial" w:cs="Arial"/>
          <w:b/>
        </w:rPr>
        <w:t>Table 4: Farmer’s perceptions toward milk collection centre</w:t>
      </w:r>
    </w:p>
    <w:p w14:paraId="2A1D7C22" w14:textId="77777777" w:rsidR="008109E2" w:rsidRDefault="008109E2" w:rsidP="00BA54D8">
      <w:pPr>
        <w:pStyle w:val="Body"/>
        <w:spacing w:after="0"/>
        <w:rPr>
          <w:rFonts w:ascii="Arial" w:hAnsi="Arial" w:cs="Arial"/>
        </w:rPr>
      </w:pPr>
    </w:p>
    <w:tbl>
      <w:tblPr>
        <w:tblStyle w:val="TableGrid"/>
        <w:tblW w:w="0" w:type="auto"/>
        <w:tblLook w:val="04A0" w:firstRow="1" w:lastRow="0" w:firstColumn="1" w:lastColumn="0" w:noHBand="0" w:noVBand="1"/>
      </w:tblPr>
      <w:tblGrid>
        <w:gridCol w:w="2551"/>
        <w:gridCol w:w="1228"/>
        <w:gridCol w:w="1172"/>
        <w:gridCol w:w="1275"/>
        <w:gridCol w:w="951"/>
        <w:gridCol w:w="1021"/>
      </w:tblGrid>
      <w:tr w:rsidR="008109E2" w:rsidRPr="008109E2" w14:paraId="22AC3492" w14:textId="77777777" w:rsidTr="00CC2DFA">
        <w:tc>
          <w:tcPr>
            <w:tcW w:w="2551" w:type="dxa"/>
          </w:tcPr>
          <w:p w14:paraId="482FDBE0"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Attitudinal Statement</w:t>
            </w:r>
          </w:p>
        </w:tc>
        <w:tc>
          <w:tcPr>
            <w:tcW w:w="1228" w:type="dxa"/>
          </w:tcPr>
          <w:p w14:paraId="6F12EAB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Strong Disagree</w:t>
            </w:r>
          </w:p>
        </w:tc>
        <w:tc>
          <w:tcPr>
            <w:tcW w:w="1172" w:type="dxa"/>
          </w:tcPr>
          <w:p w14:paraId="43C2DC6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Disagree</w:t>
            </w:r>
          </w:p>
        </w:tc>
        <w:tc>
          <w:tcPr>
            <w:tcW w:w="1275" w:type="dxa"/>
          </w:tcPr>
          <w:p w14:paraId="258EFDC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Undecided</w:t>
            </w:r>
          </w:p>
        </w:tc>
        <w:tc>
          <w:tcPr>
            <w:tcW w:w="951" w:type="dxa"/>
          </w:tcPr>
          <w:p w14:paraId="79AA1C9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Agree</w:t>
            </w:r>
          </w:p>
        </w:tc>
        <w:tc>
          <w:tcPr>
            <w:tcW w:w="1021" w:type="dxa"/>
          </w:tcPr>
          <w:p w14:paraId="0E16FB1D"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Strong Agree</w:t>
            </w:r>
          </w:p>
        </w:tc>
      </w:tr>
      <w:tr w:rsidR="008109E2" w:rsidRPr="008109E2" w14:paraId="1D82DA58" w14:textId="77777777" w:rsidTr="00CC2DFA">
        <w:tc>
          <w:tcPr>
            <w:tcW w:w="2551" w:type="dxa"/>
          </w:tcPr>
          <w:p w14:paraId="43697EE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exploit farmers</w:t>
            </w:r>
          </w:p>
        </w:tc>
        <w:tc>
          <w:tcPr>
            <w:tcW w:w="1228" w:type="dxa"/>
          </w:tcPr>
          <w:p w14:paraId="413586A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33.3%</w:t>
            </w:r>
          </w:p>
        </w:tc>
        <w:tc>
          <w:tcPr>
            <w:tcW w:w="1172" w:type="dxa"/>
          </w:tcPr>
          <w:p w14:paraId="3D7AC939"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275" w:type="dxa"/>
          </w:tcPr>
          <w:p w14:paraId="2A86576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951" w:type="dxa"/>
          </w:tcPr>
          <w:p w14:paraId="7ED450D3"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c>
          <w:tcPr>
            <w:tcW w:w="1021" w:type="dxa"/>
          </w:tcPr>
          <w:p w14:paraId="322DAE4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r>
      <w:tr w:rsidR="008109E2" w:rsidRPr="008109E2" w14:paraId="5F9A02C5" w14:textId="77777777" w:rsidTr="00CC2DFA">
        <w:tc>
          <w:tcPr>
            <w:tcW w:w="2551" w:type="dxa"/>
          </w:tcPr>
          <w:p w14:paraId="3FFF169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provide good prices for farmers</w:t>
            </w:r>
          </w:p>
        </w:tc>
        <w:tc>
          <w:tcPr>
            <w:tcW w:w="1228" w:type="dxa"/>
          </w:tcPr>
          <w:p w14:paraId="3811A626"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c>
          <w:tcPr>
            <w:tcW w:w="1172" w:type="dxa"/>
          </w:tcPr>
          <w:p w14:paraId="181FC1BF"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40.0%</w:t>
            </w:r>
          </w:p>
        </w:tc>
        <w:tc>
          <w:tcPr>
            <w:tcW w:w="1275" w:type="dxa"/>
          </w:tcPr>
          <w:p w14:paraId="155869DF"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951" w:type="dxa"/>
          </w:tcPr>
          <w:p w14:paraId="7BE24D4D"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021" w:type="dxa"/>
          </w:tcPr>
          <w:p w14:paraId="33BC732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r>
      <w:tr w:rsidR="008109E2" w:rsidRPr="008109E2" w14:paraId="0153CFEB" w14:textId="77777777" w:rsidTr="00CC2DFA">
        <w:tc>
          <w:tcPr>
            <w:tcW w:w="2551" w:type="dxa"/>
          </w:tcPr>
          <w:p w14:paraId="32691F7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are important for market insurance</w:t>
            </w:r>
          </w:p>
        </w:tc>
        <w:tc>
          <w:tcPr>
            <w:tcW w:w="1228" w:type="dxa"/>
          </w:tcPr>
          <w:p w14:paraId="05E951FB"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1172" w:type="dxa"/>
          </w:tcPr>
          <w:p w14:paraId="62FAC8A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1275" w:type="dxa"/>
          </w:tcPr>
          <w:p w14:paraId="49F15B0E"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951" w:type="dxa"/>
          </w:tcPr>
          <w:p w14:paraId="4B3F097E"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56.7%</w:t>
            </w:r>
          </w:p>
        </w:tc>
        <w:tc>
          <w:tcPr>
            <w:tcW w:w="1021" w:type="dxa"/>
          </w:tcPr>
          <w:p w14:paraId="4C5C05B5"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r>
      <w:tr w:rsidR="008109E2" w:rsidRPr="008109E2" w14:paraId="051144DD" w14:textId="77777777" w:rsidTr="00CC2DFA">
        <w:tc>
          <w:tcPr>
            <w:tcW w:w="2551" w:type="dxa"/>
          </w:tcPr>
          <w:p w14:paraId="075C11B6"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are not important for increased milk production</w:t>
            </w:r>
          </w:p>
        </w:tc>
        <w:tc>
          <w:tcPr>
            <w:tcW w:w="1228" w:type="dxa"/>
            <w:vAlign w:val="center"/>
          </w:tcPr>
          <w:p w14:paraId="7220347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30.0%</w:t>
            </w:r>
          </w:p>
        </w:tc>
        <w:tc>
          <w:tcPr>
            <w:tcW w:w="1172" w:type="dxa"/>
          </w:tcPr>
          <w:p w14:paraId="58893A77"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33.3%</w:t>
            </w:r>
          </w:p>
        </w:tc>
        <w:tc>
          <w:tcPr>
            <w:tcW w:w="1275" w:type="dxa"/>
          </w:tcPr>
          <w:p w14:paraId="2394D441"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951" w:type="dxa"/>
          </w:tcPr>
          <w:p w14:paraId="1F9F801B"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021" w:type="dxa"/>
          </w:tcPr>
          <w:p w14:paraId="4502520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3.3%</w:t>
            </w:r>
          </w:p>
        </w:tc>
      </w:tr>
      <w:tr w:rsidR="008109E2" w:rsidRPr="008109E2" w14:paraId="5077C11D" w14:textId="77777777" w:rsidTr="00CC2DFA">
        <w:tc>
          <w:tcPr>
            <w:tcW w:w="2551" w:type="dxa"/>
          </w:tcPr>
          <w:p w14:paraId="028B8AD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High milk production is not essential for center use</w:t>
            </w:r>
          </w:p>
        </w:tc>
        <w:tc>
          <w:tcPr>
            <w:tcW w:w="1228" w:type="dxa"/>
          </w:tcPr>
          <w:p w14:paraId="3E5AD2B8"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172" w:type="dxa"/>
          </w:tcPr>
          <w:p w14:paraId="3D52AA8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275" w:type="dxa"/>
          </w:tcPr>
          <w:p w14:paraId="2765953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951" w:type="dxa"/>
          </w:tcPr>
          <w:p w14:paraId="7F19A548"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021" w:type="dxa"/>
          </w:tcPr>
          <w:p w14:paraId="15E6C09B"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r>
      <w:tr w:rsidR="008109E2" w:rsidRPr="008109E2" w14:paraId="1DAEBC0F" w14:textId="77777777" w:rsidTr="00CC2DFA">
        <w:tc>
          <w:tcPr>
            <w:tcW w:w="2551" w:type="dxa"/>
          </w:tcPr>
          <w:p w14:paraId="1D386854"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No need for collection centers in your area</w:t>
            </w:r>
          </w:p>
        </w:tc>
        <w:tc>
          <w:tcPr>
            <w:tcW w:w="1228" w:type="dxa"/>
            <w:vAlign w:val="center"/>
          </w:tcPr>
          <w:p w14:paraId="18071C7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43.3%</w:t>
            </w:r>
          </w:p>
        </w:tc>
        <w:tc>
          <w:tcPr>
            <w:tcW w:w="1172" w:type="dxa"/>
          </w:tcPr>
          <w:p w14:paraId="63DC7CD6"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275" w:type="dxa"/>
          </w:tcPr>
          <w:p w14:paraId="1CAE1C00"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951" w:type="dxa"/>
          </w:tcPr>
          <w:p w14:paraId="5E74E1F2"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c>
          <w:tcPr>
            <w:tcW w:w="1021" w:type="dxa"/>
          </w:tcPr>
          <w:p w14:paraId="450CF8B9"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r>
      <w:tr w:rsidR="008109E2" w:rsidRPr="008109E2" w14:paraId="30F33EF0" w14:textId="77777777" w:rsidTr="00CC2DFA">
        <w:tc>
          <w:tcPr>
            <w:tcW w:w="2551" w:type="dxa"/>
          </w:tcPr>
          <w:p w14:paraId="53713FA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Center performance not determined by farmer linkage</w:t>
            </w:r>
          </w:p>
        </w:tc>
        <w:tc>
          <w:tcPr>
            <w:tcW w:w="1228" w:type="dxa"/>
          </w:tcPr>
          <w:p w14:paraId="3AA49A7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172" w:type="dxa"/>
          </w:tcPr>
          <w:p w14:paraId="57C710DD"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275" w:type="dxa"/>
          </w:tcPr>
          <w:p w14:paraId="0ADEC043"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13.3%</w:t>
            </w:r>
          </w:p>
        </w:tc>
        <w:tc>
          <w:tcPr>
            <w:tcW w:w="951" w:type="dxa"/>
          </w:tcPr>
          <w:p w14:paraId="1E8272E1"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021" w:type="dxa"/>
          </w:tcPr>
          <w:p w14:paraId="0D7DDF7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r>
      <w:tr w:rsidR="008109E2" w:rsidRPr="008109E2" w14:paraId="72D765E3" w14:textId="77777777" w:rsidTr="00CC2DFA">
        <w:tc>
          <w:tcPr>
            <w:tcW w:w="2551" w:type="dxa"/>
          </w:tcPr>
          <w:p w14:paraId="7EC23B13"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Having centers is less determined by good milk prices</w:t>
            </w:r>
          </w:p>
        </w:tc>
        <w:tc>
          <w:tcPr>
            <w:tcW w:w="1228" w:type="dxa"/>
            <w:vAlign w:val="center"/>
          </w:tcPr>
          <w:p w14:paraId="7C614973"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13.3%</w:t>
            </w:r>
          </w:p>
        </w:tc>
        <w:tc>
          <w:tcPr>
            <w:tcW w:w="1172" w:type="dxa"/>
          </w:tcPr>
          <w:p w14:paraId="3B4BC33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275" w:type="dxa"/>
          </w:tcPr>
          <w:p w14:paraId="648D6B0C"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30.0%</w:t>
            </w:r>
          </w:p>
        </w:tc>
        <w:tc>
          <w:tcPr>
            <w:tcW w:w="951" w:type="dxa"/>
          </w:tcPr>
          <w:p w14:paraId="2050A98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021" w:type="dxa"/>
          </w:tcPr>
          <w:p w14:paraId="5184E87A" w14:textId="77777777"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13.3%</w:t>
            </w:r>
          </w:p>
        </w:tc>
      </w:tr>
    </w:tbl>
    <w:p w14:paraId="4C6C9FF0" w14:textId="403FE879" w:rsidR="000B1E03" w:rsidRPr="00885F6D" w:rsidRDefault="00CC2DFA" w:rsidP="00BA54D8">
      <w:pPr>
        <w:pStyle w:val="Body"/>
        <w:spacing w:after="0"/>
        <w:rPr>
          <w:rFonts w:ascii="Arial" w:hAnsi="Arial" w:cs="Arial"/>
          <w:b/>
        </w:rPr>
      </w:pPr>
      <w:r w:rsidRPr="00CC2DFA">
        <w:rPr>
          <w:rFonts w:ascii="Arial" w:hAnsi="Arial" w:cs="Arial"/>
          <w:b/>
        </w:rPr>
        <w:t>Table 5: Milk Production Trend: Uwama Milk Collection Center</w:t>
      </w:r>
    </w:p>
    <w:tbl>
      <w:tblPr>
        <w:tblStyle w:val="TableGrid"/>
        <w:tblW w:w="0" w:type="auto"/>
        <w:tblLook w:val="04A0" w:firstRow="1" w:lastRow="0" w:firstColumn="1" w:lastColumn="0" w:noHBand="0" w:noVBand="1"/>
      </w:tblPr>
      <w:tblGrid>
        <w:gridCol w:w="4687"/>
        <w:gridCol w:w="834"/>
        <w:gridCol w:w="2677"/>
      </w:tblGrid>
      <w:tr w:rsidR="00CC2DFA" w14:paraId="18082137" w14:textId="77777777" w:rsidTr="003D45CE">
        <w:tc>
          <w:tcPr>
            <w:tcW w:w="4687" w:type="dxa"/>
          </w:tcPr>
          <w:p w14:paraId="58C6978F" w14:textId="27AA4333" w:rsidR="00CC2DFA" w:rsidRDefault="00CC2DFA" w:rsidP="00BA54D8">
            <w:pPr>
              <w:pStyle w:val="Body"/>
              <w:spacing w:after="0"/>
              <w:rPr>
                <w:rFonts w:ascii="Arial" w:hAnsi="Arial" w:cs="Arial"/>
              </w:rPr>
            </w:pPr>
            <w:r>
              <w:rPr>
                <w:rFonts w:ascii="Arial" w:hAnsi="Arial" w:cs="Arial"/>
              </w:rPr>
              <w:t>Time Period</w:t>
            </w:r>
          </w:p>
        </w:tc>
        <w:tc>
          <w:tcPr>
            <w:tcW w:w="834" w:type="dxa"/>
          </w:tcPr>
          <w:p w14:paraId="55B125B6" w14:textId="60743A07" w:rsidR="00CC2DFA" w:rsidRDefault="00CC2DFA" w:rsidP="00BA54D8">
            <w:pPr>
              <w:pStyle w:val="Body"/>
              <w:spacing w:after="0"/>
              <w:rPr>
                <w:rFonts w:ascii="Arial" w:hAnsi="Arial" w:cs="Arial"/>
              </w:rPr>
            </w:pPr>
            <w:r>
              <w:rPr>
                <w:rFonts w:ascii="Arial" w:hAnsi="Arial" w:cs="Arial"/>
              </w:rPr>
              <w:t>Year</w:t>
            </w:r>
          </w:p>
        </w:tc>
        <w:tc>
          <w:tcPr>
            <w:tcW w:w="2677" w:type="dxa"/>
          </w:tcPr>
          <w:p w14:paraId="08008C04" w14:textId="5E3A5420" w:rsidR="00CC2DFA" w:rsidRDefault="00CC2DFA" w:rsidP="00BA54D8">
            <w:pPr>
              <w:pStyle w:val="Body"/>
              <w:spacing w:after="0"/>
              <w:rPr>
                <w:rFonts w:ascii="Arial" w:hAnsi="Arial" w:cs="Arial"/>
              </w:rPr>
            </w:pPr>
            <w:r>
              <w:rPr>
                <w:rFonts w:ascii="Arial" w:hAnsi="Arial" w:cs="Arial"/>
              </w:rPr>
              <w:t>Milk Production (Litres)</w:t>
            </w:r>
          </w:p>
        </w:tc>
      </w:tr>
      <w:tr w:rsidR="00CC2DFA" w14:paraId="417ED3FF" w14:textId="77777777" w:rsidTr="003D45CE">
        <w:tc>
          <w:tcPr>
            <w:tcW w:w="4687" w:type="dxa"/>
          </w:tcPr>
          <w:p w14:paraId="0AEEF175" w14:textId="6B783254" w:rsidR="00CC2DFA" w:rsidRDefault="003D45CE" w:rsidP="00BA54D8">
            <w:pPr>
              <w:pStyle w:val="Body"/>
              <w:spacing w:after="0"/>
              <w:rPr>
                <w:rFonts w:ascii="Arial" w:hAnsi="Arial" w:cs="Arial"/>
              </w:rPr>
            </w:pPr>
            <w:r>
              <w:rPr>
                <w:rFonts w:ascii="Arial" w:hAnsi="Arial" w:cs="Arial"/>
              </w:rPr>
              <w:lastRenderedPageBreak/>
              <w:t>Pre-Establishment</w:t>
            </w:r>
          </w:p>
        </w:tc>
        <w:tc>
          <w:tcPr>
            <w:tcW w:w="834" w:type="dxa"/>
          </w:tcPr>
          <w:p w14:paraId="0BB1CB02" w14:textId="1605E83A" w:rsidR="00CC2DFA" w:rsidRDefault="003D45CE" w:rsidP="00BA54D8">
            <w:pPr>
              <w:pStyle w:val="Body"/>
              <w:spacing w:after="0"/>
              <w:rPr>
                <w:rFonts w:ascii="Arial" w:hAnsi="Arial" w:cs="Arial"/>
              </w:rPr>
            </w:pPr>
            <w:r>
              <w:rPr>
                <w:rFonts w:ascii="Arial" w:hAnsi="Arial" w:cs="Arial"/>
              </w:rPr>
              <w:t>&lt;1990</w:t>
            </w:r>
          </w:p>
        </w:tc>
        <w:tc>
          <w:tcPr>
            <w:tcW w:w="2677" w:type="dxa"/>
          </w:tcPr>
          <w:p w14:paraId="3EC5B35D" w14:textId="45D9C4E8" w:rsidR="00CC2DFA" w:rsidRDefault="003D45CE" w:rsidP="00BA54D8">
            <w:pPr>
              <w:pStyle w:val="Body"/>
              <w:spacing w:after="0"/>
              <w:rPr>
                <w:rFonts w:ascii="Arial" w:hAnsi="Arial" w:cs="Arial"/>
              </w:rPr>
            </w:pPr>
            <w:r>
              <w:rPr>
                <w:rFonts w:ascii="Arial" w:hAnsi="Arial" w:cs="Arial"/>
              </w:rPr>
              <w:t>Data unavailable</w:t>
            </w:r>
          </w:p>
        </w:tc>
      </w:tr>
      <w:tr w:rsidR="00B82201" w14:paraId="22A46157" w14:textId="77777777" w:rsidTr="003D45CE">
        <w:tc>
          <w:tcPr>
            <w:tcW w:w="4687" w:type="dxa"/>
            <w:vMerge w:val="restart"/>
          </w:tcPr>
          <w:p w14:paraId="63A62FCF" w14:textId="6F5919CB" w:rsidR="00B82201" w:rsidRDefault="00B82201" w:rsidP="00BA54D8">
            <w:pPr>
              <w:pStyle w:val="Body"/>
              <w:spacing w:after="0"/>
              <w:rPr>
                <w:rFonts w:ascii="Arial" w:hAnsi="Arial" w:cs="Arial"/>
              </w:rPr>
            </w:pPr>
            <w:r>
              <w:rPr>
                <w:rFonts w:ascii="Arial" w:hAnsi="Arial" w:cs="Arial"/>
              </w:rPr>
              <w:t xml:space="preserve">Post-Establishment </w:t>
            </w:r>
            <w:r w:rsidRPr="003D45CE">
              <w:rPr>
                <w:rFonts w:ascii="Arial" w:hAnsi="Arial" w:cs="Arial"/>
              </w:rPr>
              <w:t>(Center established 28/05/1991)</w:t>
            </w:r>
          </w:p>
        </w:tc>
        <w:tc>
          <w:tcPr>
            <w:tcW w:w="834" w:type="dxa"/>
          </w:tcPr>
          <w:p w14:paraId="79851540" w14:textId="00285619" w:rsidR="00B82201" w:rsidRDefault="00B82201" w:rsidP="00BA54D8">
            <w:pPr>
              <w:pStyle w:val="Body"/>
              <w:spacing w:after="0"/>
              <w:rPr>
                <w:rFonts w:ascii="Arial" w:hAnsi="Arial" w:cs="Arial"/>
              </w:rPr>
            </w:pPr>
            <w:r>
              <w:rPr>
                <w:rFonts w:ascii="Arial" w:hAnsi="Arial" w:cs="Arial"/>
              </w:rPr>
              <w:t>2017</w:t>
            </w:r>
          </w:p>
        </w:tc>
        <w:tc>
          <w:tcPr>
            <w:tcW w:w="2677" w:type="dxa"/>
          </w:tcPr>
          <w:p w14:paraId="018D3E87" w14:textId="7C0DE1F6" w:rsidR="00B82201" w:rsidRPr="00CC2DFA" w:rsidRDefault="00B82201" w:rsidP="00BA54D8">
            <w:pPr>
              <w:pStyle w:val="Body"/>
              <w:spacing w:after="0"/>
              <w:rPr>
                <w:rFonts w:ascii="Arial" w:hAnsi="Arial" w:cs="Arial"/>
              </w:rPr>
            </w:pPr>
            <w:r w:rsidRPr="00CC2DFA">
              <w:rPr>
                <w:rFonts w:ascii="Arial" w:hAnsi="Arial" w:cs="Arial"/>
              </w:rPr>
              <w:t>988,154</w:t>
            </w:r>
          </w:p>
        </w:tc>
      </w:tr>
      <w:tr w:rsidR="00B82201" w14:paraId="2D12DCEE" w14:textId="77777777" w:rsidTr="003D45CE">
        <w:tc>
          <w:tcPr>
            <w:tcW w:w="4687" w:type="dxa"/>
            <w:vMerge/>
          </w:tcPr>
          <w:p w14:paraId="3997B5FA" w14:textId="77777777" w:rsidR="00B82201" w:rsidRDefault="00B82201" w:rsidP="00BA54D8">
            <w:pPr>
              <w:pStyle w:val="Body"/>
              <w:spacing w:after="0"/>
              <w:rPr>
                <w:rFonts w:ascii="Arial" w:hAnsi="Arial" w:cs="Arial"/>
              </w:rPr>
            </w:pPr>
          </w:p>
        </w:tc>
        <w:tc>
          <w:tcPr>
            <w:tcW w:w="834" w:type="dxa"/>
          </w:tcPr>
          <w:p w14:paraId="0C2D1795" w14:textId="6BA391EB" w:rsidR="00B82201" w:rsidRDefault="00B82201" w:rsidP="00BA54D8">
            <w:pPr>
              <w:pStyle w:val="Body"/>
              <w:spacing w:after="0"/>
              <w:rPr>
                <w:rFonts w:ascii="Arial" w:hAnsi="Arial" w:cs="Arial"/>
              </w:rPr>
            </w:pPr>
            <w:r>
              <w:rPr>
                <w:rFonts w:ascii="Arial" w:hAnsi="Arial" w:cs="Arial"/>
              </w:rPr>
              <w:t>2018</w:t>
            </w:r>
          </w:p>
        </w:tc>
        <w:tc>
          <w:tcPr>
            <w:tcW w:w="2677" w:type="dxa"/>
          </w:tcPr>
          <w:p w14:paraId="38EE67DA" w14:textId="450A12E1" w:rsidR="00B82201" w:rsidRDefault="00B82201" w:rsidP="00BA54D8">
            <w:pPr>
              <w:pStyle w:val="Body"/>
              <w:spacing w:after="0"/>
              <w:rPr>
                <w:rFonts w:ascii="Arial" w:hAnsi="Arial" w:cs="Arial"/>
              </w:rPr>
            </w:pPr>
            <w:r w:rsidRPr="00CC2DFA">
              <w:rPr>
                <w:rFonts w:ascii="Arial" w:hAnsi="Arial" w:cs="Arial"/>
              </w:rPr>
              <w:t>1,214,940</w:t>
            </w:r>
          </w:p>
        </w:tc>
      </w:tr>
      <w:tr w:rsidR="00B82201" w14:paraId="4EC75DF3" w14:textId="77777777" w:rsidTr="003D45CE">
        <w:tc>
          <w:tcPr>
            <w:tcW w:w="4687" w:type="dxa"/>
            <w:vMerge/>
          </w:tcPr>
          <w:p w14:paraId="47B25BEB" w14:textId="77777777" w:rsidR="00B82201" w:rsidRDefault="00B82201" w:rsidP="00BA54D8">
            <w:pPr>
              <w:pStyle w:val="Body"/>
              <w:spacing w:after="0"/>
              <w:rPr>
                <w:rFonts w:ascii="Arial" w:hAnsi="Arial" w:cs="Arial"/>
              </w:rPr>
            </w:pPr>
          </w:p>
        </w:tc>
        <w:tc>
          <w:tcPr>
            <w:tcW w:w="834" w:type="dxa"/>
          </w:tcPr>
          <w:p w14:paraId="207D2ED3" w14:textId="63BC4C0C" w:rsidR="00B82201" w:rsidRDefault="00B82201" w:rsidP="00BA54D8">
            <w:pPr>
              <w:pStyle w:val="Body"/>
              <w:spacing w:after="0"/>
              <w:rPr>
                <w:rFonts w:ascii="Arial" w:hAnsi="Arial" w:cs="Arial"/>
              </w:rPr>
            </w:pPr>
            <w:r>
              <w:rPr>
                <w:rFonts w:ascii="Arial" w:hAnsi="Arial" w:cs="Arial"/>
              </w:rPr>
              <w:t>2019</w:t>
            </w:r>
          </w:p>
        </w:tc>
        <w:tc>
          <w:tcPr>
            <w:tcW w:w="2677" w:type="dxa"/>
          </w:tcPr>
          <w:p w14:paraId="7D7A1011" w14:textId="4E68548C" w:rsidR="00B82201" w:rsidRDefault="00B82201" w:rsidP="00BA54D8">
            <w:pPr>
              <w:pStyle w:val="Body"/>
              <w:spacing w:after="0"/>
              <w:rPr>
                <w:rFonts w:ascii="Arial" w:hAnsi="Arial" w:cs="Arial"/>
              </w:rPr>
            </w:pPr>
            <w:r w:rsidRPr="00CC2DFA">
              <w:rPr>
                <w:rFonts w:ascii="Arial" w:hAnsi="Arial" w:cs="Arial"/>
              </w:rPr>
              <w:t>1,357,256</w:t>
            </w:r>
          </w:p>
        </w:tc>
      </w:tr>
      <w:tr w:rsidR="00B82201" w14:paraId="07136BA4" w14:textId="77777777" w:rsidTr="003D45CE">
        <w:tc>
          <w:tcPr>
            <w:tcW w:w="4687" w:type="dxa"/>
            <w:vMerge/>
          </w:tcPr>
          <w:p w14:paraId="516C2432" w14:textId="77777777" w:rsidR="00B82201" w:rsidRDefault="00B82201" w:rsidP="00BA54D8">
            <w:pPr>
              <w:pStyle w:val="Body"/>
              <w:spacing w:after="0"/>
              <w:rPr>
                <w:rFonts w:ascii="Arial" w:hAnsi="Arial" w:cs="Arial"/>
              </w:rPr>
            </w:pPr>
          </w:p>
        </w:tc>
        <w:tc>
          <w:tcPr>
            <w:tcW w:w="834" w:type="dxa"/>
          </w:tcPr>
          <w:p w14:paraId="3CB561BD" w14:textId="496FD4E6" w:rsidR="00B82201" w:rsidRDefault="00B82201" w:rsidP="00BA54D8">
            <w:pPr>
              <w:pStyle w:val="Body"/>
              <w:spacing w:after="0"/>
              <w:rPr>
                <w:rFonts w:ascii="Arial" w:hAnsi="Arial" w:cs="Arial"/>
              </w:rPr>
            </w:pPr>
            <w:r>
              <w:rPr>
                <w:rFonts w:ascii="Arial" w:hAnsi="Arial" w:cs="Arial"/>
              </w:rPr>
              <w:t>2020</w:t>
            </w:r>
          </w:p>
        </w:tc>
        <w:tc>
          <w:tcPr>
            <w:tcW w:w="2677" w:type="dxa"/>
          </w:tcPr>
          <w:p w14:paraId="157365C1" w14:textId="762777DA" w:rsidR="00B82201" w:rsidRDefault="00B82201" w:rsidP="00BA54D8">
            <w:pPr>
              <w:pStyle w:val="Body"/>
              <w:spacing w:after="0"/>
              <w:rPr>
                <w:rFonts w:ascii="Arial" w:hAnsi="Arial" w:cs="Arial"/>
              </w:rPr>
            </w:pPr>
            <w:r w:rsidRPr="00CC2DFA">
              <w:rPr>
                <w:rFonts w:ascii="Arial" w:hAnsi="Arial" w:cs="Arial"/>
              </w:rPr>
              <w:t>1,199,693</w:t>
            </w:r>
          </w:p>
        </w:tc>
      </w:tr>
      <w:tr w:rsidR="00B82201" w14:paraId="0BB58F30" w14:textId="77777777" w:rsidTr="003D45CE">
        <w:tc>
          <w:tcPr>
            <w:tcW w:w="4687" w:type="dxa"/>
            <w:vMerge/>
          </w:tcPr>
          <w:p w14:paraId="0F1533D8" w14:textId="77777777" w:rsidR="00B82201" w:rsidRDefault="00B82201" w:rsidP="00BA54D8">
            <w:pPr>
              <w:pStyle w:val="Body"/>
              <w:spacing w:after="0"/>
              <w:rPr>
                <w:rFonts w:ascii="Arial" w:hAnsi="Arial" w:cs="Arial"/>
              </w:rPr>
            </w:pPr>
          </w:p>
        </w:tc>
        <w:tc>
          <w:tcPr>
            <w:tcW w:w="834" w:type="dxa"/>
          </w:tcPr>
          <w:p w14:paraId="3B72A0F6" w14:textId="28CE468A" w:rsidR="00B82201" w:rsidRDefault="00B82201" w:rsidP="00BA54D8">
            <w:pPr>
              <w:pStyle w:val="Body"/>
              <w:spacing w:after="0"/>
              <w:rPr>
                <w:rFonts w:ascii="Arial" w:hAnsi="Arial" w:cs="Arial"/>
              </w:rPr>
            </w:pPr>
            <w:r>
              <w:rPr>
                <w:rFonts w:ascii="Arial" w:hAnsi="Arial" w:cs="Arial"/>
              </w:rPr>
              <w:t>2021</w:t>
            </w:r>
          </w:p>
        </w:tc>
        <w:tc>
          <w:tcPr>
            <w:tcW w:w="2677" w:type="dxa"/>
          </w:tcPr>
          <w:p w14:paraId="3795DFC0" w14:textId="46D4EDA6" w:rsidR="00B82201" w:rsidRDefault="00B82201" w:rsidP="00BA54D8">
            <w:pPr>
              <w:pStyle w:val="Body"/>
              <w:spacing w:after="0"/>
              <w:rPr>
                <w:rFonts w:ascii="Arial" w:hAnsi="Arial" w:cs="Arial"/>
              </w:rPr>
            </w:pPr>
            <w:r w:rsidRPr="00CC2DFA">
              <w:rPr>
                <w:rFonts w:ascii="Arial" w:hAnsi="Arial" w:cs="Arial"/>
              </w:rPr>
              <w:t>1,079,886</w:t>
            </w:r>
          </w:p>
        </w:tc>
      </w:tr>
      <w:tr w:rsidR="00B82201" w14:paraId="55AEE867" w14:textId="77777777" w:rsidTr="003D45CE">
        <w:tc>
          <w:tcPr>
            <w:tcW w:w="4687" w:type="dxa"/>
            <w:vMerge/>
          </w:tcPr>
          <w:p w14:paraId="4F42CE06" w14:textId="77777777" w:rsidR="00B82201" w:rsidRDefault="00B82201" w:rsidP="00BA54D8">
            <w:pPr>
              <w:pStyle w:val="Body"/>
              <w:spacing w:after="0"/>
              <w:rPr>
                <w:rFonts w:ascii="Arial" w:hAnsi="Arial" w:cs="Arial"/>
              </w:rPr>
            </w:pPr>
          </w:p>
        </w:tc>
        <w:tc>
          <w:tcPr>
            <w:tcW w:w="834" w:type="dxa"/>
          </w:tcPr>
          <w:p w14:paraId="50E68EC0" w14:textId="398AC88B" w:rsidR="00B82201" w:rsidRDefault="00B82201" w:rsidP="00BA54D8">
            <w:pPr>
              <w:pStyle w:val="Body"/>
              <w:spacing w:after="0"/>
              <w:rPr>
                <w:rFonts w:ascii="Arial" w:hAnsi="Arial" w:cs="Arial"/>
              </w:rPr>
            </w:pPr>
            <w:r>
              <w:rPr>
                <w:rFonts w:ascii="Arial" w:hAnsi="Arial" w:cs="Arial"/>
              </w:rPr>
              <w:t>2022</w:t>
            </w:r>
          </w:p>
        </w:tc>
        <w:tc>
          <w:tcPr>
            <w:tcW w:w="2677" w:type="dxa"/>
          </w:tcPr>
          <w:p w14:paraId="37FF3C09" w14:textId="5C515753" w:rsidR="00B82201" w:rsidRDefault="00B82201" w:rsidP="00BA54D8">
            <w:pPr>
              <w:pStyle w:val="Body"/>
              <w:spacing w:after="0"/>
              <w:rPr>
                <w:rFonts w:ascii="Arial" w:hAnsi="Arial" w:cs="Arial"/>
              </w:rPr>
            </w:pPr>
            <w:r w:rsidRPr="00CC2DFA">
              <w:rPr>
                <w:rFonts w:ascii="Arial" w:hAnsi="Arial" w:cs="Arial"/>
              </w:rPr>
              <w:t>877,790</w:t>
            </w:r>
          </w:p>
        </w:tc>
      </w:tr>
      <w:tr w:rsidR="00B82201" w14:paraId="35F7EFC1" w14:textId="77777777" w:rsidTr="003D45CE">
        <w:tc>
          <w:tcPr>
            <w:tcW w:w="4687" w:type="dxa"/>
            <w:vMerge/>
          </w:tcPr>
          <w:p w14:paraId="3216AE08" w14:textId="77777777" w:rsidR="00B82201" w:rsidRDefault="00B82201" w:rsidP="00BA54D8">
            <w:pPr>
              <w:pStyle w:val="Body"/>
              <w:spacing w:after="0"/>
              <w:rPr>
                <w:rFonts w:ascii="Arial" w:hAnsi="Arial" w:cs="Arial"/>
              </w:rPr>
            </w:pPr>
          </w:p>
        </w:tc>
        <w:tc>
          <w:tcPr>
            <w:tcW w:w="834" w:type="dxa"/>
          </w:tcPr>
          <w:p w14:paraId="2B1F30FD" w14:textId="4D85DCE2" w:rsidR="00B82201" w:rsidRDefault="00B82201" w:rsidP="00BA54D8">
            <w:pPr>
              <w:pStyle w:val="Body"/>
              <w:spacing w:after="0"/>
              <w:rPr>
                <w:rFonts w:ascii="Arial" w:hAnsi="Arial" w:cs="Arial"/>
              </w:rPr>
            </w:pPr>
            <w:r>
              <w:rPr>
                <w:rFonts w:ascii="Arial" w:hAnsi="Arial" w:cs="Arial"/>
              </w:rPr>
              <w:t>2023</w:t>
            </w:r>
          </w:p>
        </w:tc>
        <w:tc>
          <w:tcPr>
            <w:tcW w:w="2677" w:type="dxa"/>
          </w:tcPr>
          <w:p w14:paraId="66A729B5" w14:textId="59C09CB6" w:rsidR="00B82201" w:rsidRDefault="00B82201" w:rsidP="00BA54D8">
            <w:pPr>
              <w:pStyle w:val="Body"/>
              <w:spacing w:after="0"/>
              <w:rPr>
                <w:rFonts w:ascii="Arial" w:hAnsi="Arial" w:cs="Arial"/>
              </w:rPr>
            </w:pPr>
            <w:r w:rsidRPr="00DB388C">
              <w:rPr>
                <w:rFonts w:ascii="Arial" w:hAnsi="Arial" w:cs="Arial"/>
              </w:rPr>
              <w:t>877,886</w:t>
            </w:r>
          </w:p>
        </w:tc>
      </w:tr>
    </w:tbl>
    <w:p w14:paraId="5FB866B1" w14:textId="77777777" w:rsidR="002C1C41" w:rsidRDefault="002C1C41" w:rsidP="00BA54D8">
      <w:pPr>
        <w:pStyle w:val="Body"/>
        <w:spacing w:after="0"/>
        <w:rPr>
          <w:rFonts w:ascii="Arial" w:hAnsi="Arial" w:cs="Arial"/>
        </w:rPr>
      </w:pPr>
    </w:p>
    <w:p w14:paraId="5688A1B6" w14:textId="77777777" w:rsidR="002C1C41" w:rsidRPr="00BA54D8" w:rsidRDefault="002C1C41" w:rsidP="00BA54D8">
      <w:pPr>
        <w:pStyle w:val="Body"/>
        <w:spacing w:after="0"/>
        <w:rPr>
          <w:rFonts w:ascii="Arial" w:hAnsi="Arial" w:cs="Arial"/>
        </w:rPr>
      </w:pPr>
    </w:p>
    <w:p w14:paraId="7E40985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F225AB8" w14:textId="77777777" w:rsidR="00790ADA" w:rsidRPr="00FB3A86" w:rsidRDefault="00790ADA" w:rsidP="00441B6F">
      <w:pPr>
        <w:pStyle w:val="ConcHead"/>
        <w:spacing w:after="0"/>
        <w:jc w:val="both"/>
        <w:rPr>
          <w:rFonts w:ascii="Arial" w:hAnsi="Arial" w:cs="Arial"/>
        </w:rPr>
      </w:pPr>
    </w:p>
    <w:p w14:paraId="33FEEF08" w14:textId="77777777" w:rsidR="00B01FCD" w:rsidRDefault="00F976D2" w:rsidP="00441B6F">
      <w:pPr>
        <w:pStyle w:val="Body"/>
        <w:spacing w:after="0"/>
        <w:rPr>
          <w:rFonts w:ascii="Arial" w:hAnsi="Arial" w:cs="Arial"/>
        </w:rPr>
      </w:pPr>
      <w:r w:rsidRPr="00F976D2">
        <w:rPr>
          <w:rFonts w:ascii="Arial" w:hAnsi="Arial" w:cs="Arial"/>
        </w:rPr>
        <w:t>To enhance the effectiveness of milk collection centers, several strategies are recommended. A fair pricing mechanism that rewards farmers who organize into formal groups is crucial. This incentivizes group formation, potentially leading to cooperatives and improved relationships. Paying premiums for higher-quality milk can further motivate farmers to increase production. Building trust and commitment through reliable milk supply and incentive schemes, such as bonuses or profit sharing, can create a stable production system. The centers should actively facilitate market linkages between farmer groups, collection centers, and processors, fostering long-term supply contracts. Addressing infrastructure challenges, particularly road conditions, is paramount to ensuring timely and efficient milk delivery. Finally, enhancing communication and transparency between farmers and collection centers can improve trust and participation.</w:t>
      </w:r>
    </w:p>
    <w:p w14:paraId="5624C37F" w14:textId="77777777" w:rsidR="00790ADA" w:rsidRPr="00FB3A86" w:rsidRDefault="00790ADA" w:rsidP="00441B6F">
      <w:pPr>
        <w:pStyle w:val="Body"/>
        <w:spacing w:after="0"/>
        <w:rPr>
          <w:rFonts w:ascii="Arial" w:hAnsi="Arial" w:cs="Arial"/>
        </w:rPr>
      </w:pPr>
    </w:p>
    <w:p w14:paraId="46F7A898" w14:textId="77777777" w:rsidR="00E93F00" w:rsidRPr="00315186" w:rsidRDefault="00E93F00" w:rsidP="00E93F00">
      <w:pPr>
        <w:pStyle w:val="Body"/>
        <w:spacing w:after="0"/>
      </w:pPr>
    </w:p>
    <w:p w14:paraId="6711C1DB" w14:textId="2F46CEEB" w:rsidR="003A45B3" w:rsidRDefault="003A45B3" w:rsidP="00C93CD6">
      <w:pPr>
        <w:pStyle w:val="ReferHead"/>
        <w:spacing w:after="0"/>
        <w:jc w:val="both"/>
        <w:rPr>
          <w:rFonts w:ascii="Arial" w:hAnsi="Arial" w:cs="Arial"/>
          <w:b w:val="0"/>
          <w:caps w:val="0"/>
          <w:sz w:val="20"/>
        </w:rPr>
      </w:pPr>
      <w:bookmarkStart w:id="5" w:name="_GoBack"/>
      <w:bookmarkEnd w:id="5"/>
    </w:p>
    <w:p w14:paraId="0DE8C57D" w14:textId="1BCDA1AD" w:rsidR="003A45B3" w:rsidRPr="00445B86" w:rsidRDefault="003A45B3" w:rsidP="003A45B3">
      <w:pPr>
        <w:spacing w:after="200" w:line="276" w:lineRule="auto"/>
        <w:rPr>
          <w:rFonts w:ascii="Calibri" w:eastAsia="Calibri" w:hAnsi="Calibri"/>
          <w:b/>
          <w:kern w:val="2"/>
          <w:sz w:val="22"/>
          <w:szCs w:val="22"/>
        </w:rPr>
      </w:pPr>
      <w:bookmarkStart w:id="6" w:name="_Hlk193540946"/>
      <w:bookmarkStart w:id="7" w:name="_Hlk180402183"/>
      <w:bookmarkStart w:id="8" w:name="_Hlk183680988"/>
      <w:r w:rsidRPr="00445B86">
        <w:rPr>
          <w:rFonts w:ascii="Calibri" w:eastAsia="Calibri" w:hAnsi="Calibri"/>
          <w:b/>
          <w:kern w:val="2"/>
          <w:sz w:val="22"/>
          <w:szCs w:val="22"/>
        </w:rPr>
        <w:t>Disclaimer (Artificial intelligence)</w:t>
      </w:r>
    </w:p>
    <w:p w14:paraId="563390D5" w14:textId="6F47DCA6" w:rsidR="00860000" w:rsidRPr="00445B86" w:rsidRDefault="00445B86" w:rsidP="00445B86">
      <w:pPr>
        <w:spacing w:after="200" w:line="276" w:lineRule="auto"/>
        <w:rPr>
          <w:rFonts w:ascii="Calibri" w:eastAsia="Calibri" w:hAnsi="Calibri"/>
          <w:kern w:val="2"/>
          <w:sz w:val="22"/>
          <w:szCs w:val="22"/>
        </w:rPr>
      </w:pPr>
      <w:r w:rsidRPr="00445B86">
        <w:rPr>
          <w:rFonts w:ascii="Calibri" w:eastAsia="Calibri" w:hAnsi="Calibri"/>
          <w:kern w:val="2"/>
          <w:sz w:val="22"/>
          <w:szCs w:val="22"/>
        </w:rPr>
        <w:t>Author(s) hereby declare that no</w:t>
      </w:r>
      <w:r w:rsidR="003A45B3" w:rsidRPr="00445B86">
        <w:rPr>
          <w:rFonts w:ascii="Calibri" w:eastAsia="Calibri" w:hAnsi="Calibri"/>
          <w:kern w:val="2"/>
          <w:sz w:val="22"/>
          <w:szCs w:val="22"/>
        </w:rPr>
        <w:t xml:space="preserve"> generative AI technologies such as Large Language Models (ChatGPT, COPILOT, etc.) and text-to-image generators have been used during the writing or editing of this manuscript. </w:t>
      </w:r>
      <w:bookmarkEnd w:id="6"/>
      <w:bookmarkEnd w:id="7"/>
      <w:bookmarkEnd w:id="8"/>
    </w:p>
    <w:p w14:paraId="1348324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3BE24D6"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McDowell</w:t>
      </w:r>
      <w:r w:rsidR="00913452" w:rsidRPr="00C95883">
        <w:rPr>
          <w:rFonts w:ascii="Times New Roman" w:eastAsia="Calibri" w:hAnsi="Times New Roman"/>
          <w:sz w:val="24"/>
          <w:szCs w:val="24"/>
          <w:lang w:val="en-GB"/>
        </w:rPr>
        <w:t>, R.</w:t>
      </w:r>
      <w:r w:rsidRPr="00C95883">
        <w:rPr>
          <w:rFonts w:ascii="Times New Roman" w:eastAsia="Calibri" w:hAnsi="Times New Roman"/>
          <w:sz w:val="24"/>
          <w:szCs w:val="24"/>
          <w:lang w:val="en-GB"/>
        </w:rPr>
        <w:t>E.</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(1979). Rate of animals in support of man. World Food Issues paper. Cornell University Centre for the Analyses of World Issues, Ithaca, NY, USA</w:t>
      </w:r>
      <w:r w:rsidR="007B44EA" w:rsidRPr="00C95883">
        <w:rPr>
          <w:rFonts w:ascii="Times New Roman" w:eastAsia="Calibri" w:hAnsi="Times New Roman"/>
          <w:sz w:val="24"/>
          <w:szCs w:val="24"/>
          <w:lang w:val="en-GB"/>
        </w:rPr>
        <w:t>.</w:t>
      </w:r>
      <w:r w:rsidR="004D6175" w:rsidRPr="00C95883">
        <w:rPr>
          <w:rFonts w:ascii="Times New Roman" w:hAnsi="Times New Roman"/>
          <w:sz w:val="24"/>
          <w:szCs w:val="24"/>
          <w:shd w:val="clear" w:color="auto" w:fill="FFFFFF"/>
        </w:rPr>
        <w:t xml:space="preserve"> https://doi.org/10.1007/BF023579</w:t>
      </w:r>
    </w:p>
    <w:p w14:paraId="40980B6C" w14:textId="77777777" w:rsidR="007B6B1B" w:rsidRPr="00C95883" w:rsidRDefault="007B6B1B" w:rsidP="004D6175">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Win rock International. (1983). Sheep and goats in developing countries: Their present and potential role. World Bank Technical paper. World Bank, Washington, DC, USA</w:t>
      </w:r>
      <w:r w:rsidR="007B44EA" w:rsidRPr="00C95883">
        <w:rPr>
          <w:rFonts w:ascii="Times New Roman" w:eastAsia="Calibri" w:hAnsi="Times New Roman"/>
          <w:sz w:val="24"/>
          <w:szCs w:val="24"/>
          <w:lang w:val="en-GB"/>
        </w:rPr>
        <w:t>.</w:t>
      </w:r>
      <w:r w:rsidR="004D6175" w:rsidRPr="00C95883">
        <w:rPr>
          <w:rFonts w:ascii="Times New Roman" w:eastAsia="Calibri" w:hAnsi="Times New Roman"/>
          <w:sz w:val="24"/>
          <w:szCs w:val="24"/>
          <w:lang w:val="en-GB"/>
        </w:rPr>
        <w:t xml:space="preserve">  http://documents.worldbank.org/curated/en/156211468764420473.</w:t>
      </w:r>
    </w:p>
    <w:p w14:paraId="23FAF45F"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MALD (Ministry of Agriculture and Livestock Development). (1988). Statistical abstract of the livestock census 1984. MALD, Dar es salaam, Tanzania.</w:t>
      </w:r>
    </w:p>
    <w:p w14:paraId="6D7D9496"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Ministry of Agriculture and Livestock Development (MALD) (1984). Tanzania National Food Strategy Vol. II. MALD, Dar es salaam, Tanzania.</w:t>
      </w:r>
      <w:r w:rsidR="004D6175" w:rsidRPr="00C95883">
        <w:rPr>
          <w:rFonts w:ascii="Times New Roman" w:hAnsi="Times New Roman"/>
          <w:sz w:val="24"/>
          <w:szCs w:val="24"/>
        </w:rPr>
        <w:t xml:space="preserve"> </w:t>
      </w:r>
      <w:hyperlink r:id="rId11" w:history="1">
        <w:r w:rsidR="004D6175" w:rsidRPr="00C95883">
          <w:rPr>
            <w:rFonts w:ascii="Times New Roman" w:hAnsi="Times New Roman"/>
            <w:sz w:val="24"/>
            <w:szCs w:val="24"/>
            <w:u w:val="single"/>
          </w:rPr>
          <w:t>1566289239-The Tanzania Livestock Development Authority Act, 1984.pdf</w:t>
        </w:r>
      </w:hyperlink>
    </w:p>
    <w:p w14:paraId="05BA218D" w14:textId="77777777" w:rsidR="007B6B1B" w:rsidRPr="00C95883" w:rsidRDefault="00520814"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hAnsi="Times New Roman"/>
          <w:sz w:val="24"/>
          <w:szCs w:val="24"/>
        </w:rPr>
        <w:t xml:space="preserve"> </w:t>
      </w:r>
      <w:hyperlink r:id="rId12" w:history="1">
        <w:r w:rsidRPr="00C95883">
          <w:rPr>
            <w:rFonts w:ascii="Times New Roman" w:hAnsi="Times New Roman"/>
            <w:sz w:val="24"/>
            <w:szCs w:val="24"/>
            <w:u w:val="single"/>
          </w:rPr>
          <w:t xml:space="preserve">Steinfeld, H., Gerber, P., Wassenaar, T., Castel, V., Rosales, M. and de Haan, C. (2006) Livestock’s Long Shadow Environmental Issues and </w:t>
        </w:r>
        <w:r w:rsidRPr="00C95883">
          <w:rPr>
            <w:rFonts w:ascii="Times New Roman" w:hAnsi="Times New Roman"/>
            <w:sz w:val="24"/>
            <w:szCs w:val="24"/>
            <w:u w:val="single"/>
          </w:rPr>
          <w:lastRenderedPageBreak/>
          <w:t>Options. Food and Agriculture Organization of the United Nations (FAO), Rome. - References - Scientific Research Publishing</w:t>
        </w:r>
      </w:hyperlink>
    </w:p>
    <w:p w14:paraId="50A5D6CB"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UNFPA (United Nations Population Fund) (2008). The state of world population 2007: unleashing the potential of urban growth. United Nations Population Fund. Accessed August 2011 from, </w:t>
      </w:r>
      <w:hyperlink r:id="rId13" w:history="1">
        <w:r w:rsidRPr="00C95883">
          <w:rPr>
            <w:rFonts w:ascii="Times New Roman" w:eastAsia="Calibri" w:hAnsi="Times New Roman"/>
            <w:sz w:val="24"/>
            <w:szCs w:val="24"/>
            <w:u w:val="single"/>
          </w:rPr>
          <w:t>http://www.unfpa.org/swp/swpmain.htm</w:t>
        </w:r>
      </w:hyperlink>
      <w:r w:rsidRPr="00C95883">
        <w:rPr>
          <w:rFonts w:ascii="Times New Roman" w:eastAsia="Calibri" w:hAnsi="Times New Roman"/>
          <w:sz w:val="24"/>
          <w:szCs w:val="24"/>
          <w:lang w:val="en-GB"/>
        </w:rPr>
        <w:t>.</w:t>
      </w:r>
    </w:p>
    <w:p w14:paraId="052E08E9"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Thornton</w:t>
      </w:r>
      <w:r w:rsidR="00913452" w:rsidRPr="00C95883">
        <w:rPr>
          <w:rFonts w:ascii="Times New Roman" w:eastAsia="Calibri" w:hAnsi="Times New Roman"/>
          <w:sz w:val="24"/>
          <w:szCs w:val="24"/>
          <w:lang w:val="en-GB"/>
        </w:rPr>
        <w:t>, PK.</w:t>
      </w:r>
      <w:r w:rsidRPr="00C95883">
        <w:rPr>
          <w:rFonts w:ascii="Times New Roman" w:eastAsia="Calibri" w:hAnsi="Times New Roman"/>
          <w:sz w:val="24"/>
          <w:szCs w:val="24"/>
          <w:lang w:val="en-GB"/>
        </w:rPr>
        <w:t>, (2010). Livestock production: recent trends, future prospects, Philosophical Transactions of the Royal Society pf Biological Sciences 365:2853-2867, doi:10.1098/rstb.2010.0134</w:t>
      </w:r>
    </w:p>
    <w:p w14:paraId="521879FB"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Garcia, O.</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Saha, A</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w:t>
      </w:r>
      <w:r w:rsidR="00E4541A" w:rsidRPr="00C95883">
        <w:rPr>
          <w:rFonts w:ascii="Times New Roman" w:eastAsia="Calibri" w:hAnsi="Times New Roman"/>
          <w:sz w:val="24"/>
          <w:szCs w:val="24"/>
          <w:lang w:val="en-GB"/>
        </w:rPr>
        <w:t xml:space="preserve">and </w:t>
      </w:r>
      <w:r w:rsidRPr="00C95883">
        <w:rPr>
          <w:rFonts w:ascii="Times New Roman" w:eastAsia="Calibri" w:hAnsi="Times New Roman"/>
          <w:sz w:val="24"/>
          <w:szCs w:val="24"/>
          <w:lang w:val="en-GB"/>
        </w:rPr>
        <w:t>Torsten</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H</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(2003)</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 review of milk production in India with particular Emphasis on Small-scale producer, PPLPI Working paper </w:t>
      </w:r>
      <w:hyperlink r:id="rId14" w:history="1">
        <w:r w:rsidRPr="00C95883">
          <w:rPr>
            <w:rFonts w:ascii="Times New Roman" w:eastAsia="Calibri" w:hAnsi="Times New Roman"/>
            <w:sz w:val="24"/>
            <w:szCs w:val="24"/>
            <w:u w:val="single"/>
          </w:rPr>
          <w:t>http://www.fao.org/ag/againfo/projests/en/pplpi/publications.html</w:t>
        </w:r>
      </w:hyperlink>
      <w:r w:rsidRPr="00C95883">
        <w:rPr>
          <w:rFonts w:ascii="Times New Roman" w:eastAsia="Calibri" w:hAnsi="Times New Roman"/>
          <w:sz w:val="24"/>
          <w:szCs w:val="24"/>
          <w:lang w:val="en-GB"/>
        </w:rPr>
        <w:t>.</w:t>
      </w:r>
    </w:p>
    <w:p w14:paraId="100C79E3"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United Republic of Tanzania Ministry of Livestock and Fisheries Development, (2011). The Tanzania Dairy: Status, Opportunities and Prospects. Move pick palm Hotel, Dar es Salaam, 25-27 May 2011.</w:t>
      </w:r>
    </w:p>
    <w:p w14:paraId="49ACBBED"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United Republic of Tanzania, Economic Survey, 2010.</w:t>
      </w:r>
      <w:r w:rsidR="004D6175" w:rsidRPr="00C95883">
        <w:rPr>
          <w:rFonts w:ascii="Times New Roman" w:hAnsi="Times New Roman"/>
          <w:sz w:val="24"/>
          <w:szCs w:val="24"/>
        </w:rPr>
        <w:t xml:space="preserve"> </w:t>
      </w:r>
      <w:hyperlink r:id="rId15" w:history="1">
        <w:r w:rsidR="004D6175" w:rsidRPr="00C95883">
          <w:rPr>
            <w:rFonts w:ascii="Times New Roman" w:hAnsi="Times New Roman"/>
            <w:sz w:val="24"/>
            <w:szCs w:val="24"/>
            <w:u w:val="single"/>
          </w:rPr>
          <w:t>repository.mof.go.tz/bitstream/handle/123456789/23/THE ECONOMIC SURVEY 2010.pdf?sequence=1</w:t>
        </w:r>
      </w:hyperlink>
    </w:p>
    <w:p w14:paraId="02B2515D" w14:textId="77777777" w:rsidR="00EA5C1D" w:rsidRPr="00C95883" w:rsidRDefault="007B6B1B" w:rsidP="00EA5C1D">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(2016). National Five Year Development Plan 2016/17 – 2020/21: Nurturing Industrialization for Economic Transformation and Human Development.</w:t>
      </w:r>
      <w:r w:rsidR="00EA5C1D" w:rsidRPr="00C95883">
        <w:rPr>
          <w:rFonts w:ascii="Times New Roman" w:hAnsi="Times New Roman"/>
          <w:sz w:val="24"/>
          <w:szCs w:val="24"/>
        </w:rPr>
        <w:t xml:space="preserve"> </w:t>
      </w:r>
      <w:r w:rsidR="00EA5C1D" w:rsidRPr="00C95883">
        <w:rPr>
          <w:rFonts w:ascii="Times New Roman" w:eastAsia="Calibri" w:hAnsi="Times New Roman"/>
          <w:sz w:val="24"/>
          <w:szCs w:val="24"/>
          <w:lang w:val="en-GB"/>
        </w:rPr>
        <w:t>https://repository.mof.go.tz/handle/123456789/653</w:t>
      </w:r>
    </w:p>
    <w:p w14:paraId="0DE7FD3C" w14:textId="77777777" w:rsidR="007B6B1B" w:rsidRPr="00C95883" w:rsidRDefault="00520814" w:rsidP="00EA5C1D">
      <w:pPr>
        <w:spacing w:after="160"/>
        <w:ind w:left="1080"/>
        <w:contextualSpacing/>
        <w:jc w:val="both"/>
        <w:rPr>
          <w:rFonts w:ascii="Times New Roman" w:eastAsia="Calibri" w:hAnsi="Times New Roman"/>
          <w:sz w:val="24"/>
          <w:szCs w:val="24"/>
          <w:lang w:val="en-GB"/>
        </w:rPr>
      </w:pPr>
      <w:r w:rsidRPr="00C95883">
        <w:rPr>
          <w:rFonts w:ascii="Times New Roman" w:hAnsi="Times New Roman"/>
          <w:sz w:val="24"/>
          <w:szCs w:val="24"/>
        </w:rPr>
        <w:t xml:space="preserve"> </w:t>
      </w:r>
    </w:p>
    <w:p w14:paraId="17EA8CDE" w14:textId="77777777" w:rsidR="007B6B1B" w:rsidRPr="00C95883" w:rsidRDefault="007B6B1B" w:rsidP="00EA5C1D">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Leng, R.A and Kunju, G (1989). Development of feeding strategies for improving milk production in India form milk animals owned by small-farmers. In: Final Coordinated Meeting of “The use of Nuclear Techniques to Improve Domestic Buffalo Production in Asia “IAEA – Oakhampton, Australia.</w:t>
      </w:r>
      <w:r w:rsidR="00EA5C1D" w:rsidRPr="00C95883">
        <w:rPr>
          <w:rFonts w:ascii="Times New Roman" w:hAnsi="Times New Roman"/>
          <w:sz w:val="24"/>
          <w:szCs w:val="24"/>
        </w:rPr>
        <w:t xml:space="preserve"> </w:t>
      </w:r>
      <w:r w:rsidR="00EA5C1D" w:rsidRPr="00C95883">
        <w:rPr>
          <w:rFonts w:ascii="Times New Roman" w:eastAsia="Calibri" w:hAnsi="Times New Roman"/>
          <w:sz w:val="24"/>
          <w:szCs w:val="24"/>
          <w:lang w:val="en-GB"/>
        </w:rPr>
        <w:t>https://www.fao.org/4/t0413e/T0413E08.htm</w:t>
      </w:r>
    </w:p>
    <w:p w14:paraId="1C2ACF42" w14:textId="77777777" w:rsidR="007B6B1B" w:rsidRPr="00C95883" w:rsidRDefault="007B6B1B" w:rsidP="00EA5C1D">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Angeles-Hernandez</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J.C</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Aranda-Aguirre</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E</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Muñoz-Benítez</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A.L</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Chay-Canul</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A.J</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Albarran-Portillo</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B</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Pollott</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G.E</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and Gonzalez-Ronquillo</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M. (2021). </w:t>
      </w:r>
      <w:r w:rsidRPr="00C95883">
        <w:rPr>
          <w:rFonts w:ascii="Times New Roman" w:eastAsia="Calibri" w:hAnsi="Times New Roman"/>
          <w:bCs/>
          <w:sz w:val="24"/>
          <w:szCs w:val="24"/>
          <w:shd w:val="clear" w:color="auto" w:fill="FFFFFF"/>
          <w:lang w:val="en-GB"/>
        </w:rPr>
        <w:t>Physiology of milk production and modelling of the lactation curve.</w:t>
      </w:r>
      <w:r w:rsidRPr="00C95883">
        <w:rPr>
          <w:rFonts w:ascii="Times New Roman" w:eastAsia="Calibri" w:hAnsi="Times New Roman"/>
          <w:sz w:val="24"/>
          <w:szCs w:val="24"/>
          <w:lang w:val="en-GB"/>
        </w:rPr>
        <w:t xml:space="preserve"> CAB Reviews. 60, No. 056</w:t>
      </w:r>
      <w:r w:rsidR="00EA5C1D" w:rsidRPr="00C95883">
        <w:rPr>
          <w:rFonts w:ascii="Times New Roman" w:eastAsia="Calibri" w:hAnsi="Times New Roman"/>
          <w:sz w:val="24"/>
          <w:szCs w:val="24"/>
          <w:lang w:val="en-GB"/>
        </w:rPr>
        <w:t>.</w:t>
      </w:r>
      <w:r w:rsidR="00EA5C1D" w:rsidRPr="00C95883">
        <w:rPr>
          <w:rFonts w:ascii="Times New Roman" w:hAnsi="Times New Roman"/>
          <w:sz w:val="24"/>
          <w:szCs w:val="24"/>
        </w:rPr>
        <w:t xml:space="preserve"> </w:t>
      </w:r>
      <w:r w:rsidR="00EA5C1D" w:rsidRPr="00C95883">
        <w:rPr>
          <w:rFonts w:ascii="Times New Roman" w:eastAsia="Calibri" w:hAnsi="Times New Roman"/>
          <w:sz w:val="24"/>
          <w:szCs w:val="24"/>
          <w:lang w:val="en-GB"/>
        </w:rPr>
        <w:t>November 2021CABI Reviews 16(056) DOI: 10.1079/PAVSNNR202116056 Lab: J.C. Angeles-Hernandez's Lab</w:t>
      </w:r>
    </w:p>
    <w:p w14:paraId="315DC9B4" w14:textId="77777777" w:rsidR="007B6B1B" w:rsidRPr="00C95883" w:rsidRDefault="007B6B1B" w:rsidP="002118F6">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(2017). Muheza district strategic plan and operational plan for the year2018/19-2012/23.</w:t>
      </w:r>
      <w:r w:rsidR="002118F6" w:rsidRPr="00C95883">
        <w:rPr>
          <w:rFonts w:ascii="Times New Roman" w:hAnsi="Times New Roman"/>
          <w:sz w:val="24"/>
          <w:szCs w:val="24"/>
        </w:rPr>
        <w:t xml:space="preserve"> </w:t>
      </w:r>
      <w:r w:rsidR="002118F6" w:rsidRPr="00C95883">
        <w:rPr>
          <w:rFonts w:ascii="Times New Roman" w:eastAsia="Calibri" w:hAnsi="Times New Roman"/>
          <w:sz w:val="24"/>
          <w:szCs w:val="24"/>
          <w:lang w:val="en-GB"/>
        </w:rPr>
        <w:t>https://muhezadc.go.tz/storage/app/uploads/public/5a8/079/062/5a8079062dca8620207114.pdf</w:t>
      </w:r>
    </w:p>
    <w:p w14:paraId="760FD71A" w14:textId="77777777" w:rsidR="007B6B1B" w:rsidRPr="00C95883" w:rsidRDefault="007B6B1B" w:rsidP="002118F6">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Tanga Region Investment Guide (URT, 2023). ISBN: 978 - 9987 - 664 - 10 – 8.</w:t>
      </w:r>
      <w:r w:rsidR="002118F6" w:rsidRPr="00C95883">
        <w:rPr>
          <w:rFonts w:ascii="Times New Roman" w:hAnsi="Times New Roman"/>
          <w:sz w:val="24"/>
          <w:szCs w:val="24"/>
        </w:rPr>
        <w:t xml:space="preserve"> </w:t>
      </w:r>
      <w:r w:rsidR="002118F6" w:rsidRPr="00C95883">
        <w:rPr>
          <w:rFonts w:ascii="Times New Roman" w:eastAsia="Calibri" w:hAnsi="Times New Roman"/>
          <w:sz w:val="24"/>
          <w:szCs w:val="24"/>
          <w:lang w:val="en-GB"/>
        </w:rPr>
        <w:t>https://www.scribd.com/document/728462593/Tanga-Investment-Guide-Nov-2023-Eng-Final.</w:t>
      </w:r>
    </w:p>
    <w:p w14:paraId="58BC030B" w14:textId="77777777" w:rsidR="007B6B1B" w:rsidRPr="00C95883" w:rsidRDefault="007B6B1B" w:rsidP="002118F6">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Marius R, (2020). Dairy value chain: what model of milk collection centers is efficient?</w:t>
      </w:r>
      <w:r w:rsidR="002118F6" w:rsidRPr="00C95883">
        <w:rPr>
          <w:rFonts w:ascii="Times New Roman" w:hAnsi="Times New Roman"/>
          <w:sz w:val="24"/>
          <w:szCs w:val="24"/>
        </w:rPr>
        <w:t xml:space="preserve"> </w:t>
      </w:r>
      <w:r w:rsidR="002118F6" w:rsidRPr="00C95883">
        <w:rPr>
          <w:rFonts w:ascii="Times New Roman" w:eastAsia="Calibri" w:hAnsi="Times New Roman"/>
          <w:sz w:val="24"/>
          <w:szCs w:val="24"/>
          <w:lang w:val="en-GB"/>
        </w:rPr>
        <w:t>https://www.shininginstitute.com/blog/2020/7/31/dairy-value-chain-what-model-of-milk-collection-centers-is-efficient.</w:t>
      </w:r>
    </w:p>
    <w:p w14:paraId="3FCDADEA"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lastRenderedPageBreak/>
        <w:t>Kurwijila, R (2006). Hygienic Milk Handling, Processing and Marketing: Reference Guide for Training and Certification of Small-scale Milk Traders in Eastern Africa.</w:t>
      </w:r>
      <w:r w:rsidR="002118F6" w:rsidRPr="00C95883">
        <w:rPr>
          <w:rFonts w:ascii="Times New Roman" w:hAnsi="Times New Roman"/>
          <w:sz w:val="24"/>
          <w:szCs w:val="24"/>
        </w:rPr>
        <w:t xml:space="preserve"> </w:t>
      </w:r>
      <w:hyperlink r:id="rId16" w:tgtFrame="_blank" w:history="1">
        <w:r w:rsidR="002118F6" w:rsidRPr="00C95883">
          <w:rPr>
            <w:rFonts w:ascii="Times New Roman" w:hAnsi="Times New Roman"/>
            <w:sz w:val="24"/>
            <w:szCs w:val="24"/>
            <w:u w:val="single"/>
            <w:shd w:val="clear" w:color="auto" w:fill="FFFFFF"/>
          </w:rPr>
          <w:t>https://hdl.handle.net/10568/1697</w:t>
        </w:r>
      </w:hyperlink>
    </w:p>
    <w:p w14:paraId="5095B995"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Mukumbuta, L. (2006). Enabling smallholder prosperity: Zambia’s smallholder milk collection centres, Staff paper, The Zambia Agribusiness Technical Assistance centre (ZATAC). </w:t>
      </w:r>
      <w:hyperlink r:id="rId17" w:history="1">
        <w:r w:rsidRPr="00C95883">
          <w:rPr>
            <w:rFonts w:ascii="Times New Roman" w:eastAsia="Calibri" w:hAnsi="Times New Roman"/>
            <w:sz w:val="24"/>
            <w:szCs w:val="24"/>
            <w:u w:val="single"/>
          </w:rPr>
          <w:t>www.zatac.org</w:t>
        </w:r>
      </w:hyperlink>
      <w:r w:rsidRPr="00C95883">
        <w:rPr>
          <w:rFonts w:ascii="Times New Roman" w:eastAsia="Calibri" w:hAnsi="Times New Roman"/>
          <w:sz w:val="24"/>
          <w:szCs w:val="24"/>
          <w:lang w:val="en-GB"/>
        </w:rPr>
        <w:t>.</w:t>
      </w:r>
    </w:p>
    <w:p w14:paraId="1AFD5F39" w14:textId="77777777" w:rsidR="007B6B1B" w:rsidRPr="00C95883" w:rsidRDefault="007B6B1B" w:rsidP="006E0544">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Duydu, T., Nevin, D., </w:t>
      </w:r>
      <w:r w:rsidR="00692D87" w:rsidRPr="00C95883">
        <w:rPr>
          <w:rFonts w:ascii="Times New Roman" w:eastAsia="Calibri" w:hAnsi="Times New Roman"/>
          <w:sz w:val="24"/>
          <w:szCs w:val="24"/>
          <w:lang w:val="en-GB"/>
        </w:rPr>
        <w:t>Evren, G</w:t>
      </w:r>
      <w:r w:rsidR="00E4541A" w:rsidRPr="00C95883">
        <w:rPr>
          <w:rFonts w:ascii="Times New Roman" w:eastAsia="Calibri" w:hAnsi="Times New Roman"/>
          <w:sz w:val="24"/>
          <w:szCs w:val="24"/>
          <w:lang w:val="en-GB"/>
        </w:rPr>
        <w:t xml:space="preserve"> and</w:t>
      </w:r>
      <w:r w:rsidRPr="00C95883">
        <w:rPr>
          <w:rFonts w:ascii="Times New Roman" w:eastAsia="Calibri" w:hAnsi="Times New Roman"/>
          <w:sz w:val="24"/>
          <w:szCs w:val="24"/>
          <w:lang w:val="en-GB"/>
        </w:rPr>
        <w:t xml:space="preserve"> Figen C (2007</w:t>
      </w:r>
      <w:r w:rsidR="00692D87" w:rsidRPr="00C95883">
        <w:rPr>
          <w:rFonts w:ascii="Times New Roman" w:eastAsia="Calibri" w:hAnsi="Times New Roman"/>
          <w:sz w:val="24"/>
          <w:szCs w:val="24"/>
          <w:lang w:val="en-GB"/>
        </w:rPr>
        <w:t>). The</w:t>
      </w:r>
      <w:r w:rsidRPr="00C95883">
        <w:rPr>
          <w:rFonts w:ascii="Times New Roman" w:eastAsia="Calibri" w:hAnsi="Times New Roman"/>
          <w:sz w:val="24"/>
          <w:szCs w:val="24"/>
          <w:lang w:val="en-GB"/>
        </w:rPr>
        <w:t xml:space="preserve"> Role and Importance of Milk Collection Centers in Milk Supply Chain in Turkey: The Case of Izmir Province.</w:t>
      </w:r>
      <w:r w:rsidR="006E0544" w:rsidRPr="00C95883">
        <w:rPr>
          <w:rFonts w:ascii="Times New Roman" w:hAnsi="Times New Roman"/>
          <w:sz w:val="24"/>
          <w:szCs w:val="24"/>
        </w:rPr>
        <w:t xml:space="preserve"> </w:t>
      </w:r>
      <w:r w:rsidR="006E0544" w:rsidRPr="00C95883">
        <w:rPr>
          <w:rFonts w:ascii="Times New Roman" w:eastAsia="Calibri" w:hAnsi="Times New Roman"/>
          <w:sz w:val="24"/>
          <w:szCs w:val="24"/>
          <w:lang w:val="en-GB"/>
        </w:rPr>
        <w:t>https://www.researchgate.net/publication/327069205_The_Role_and_Importance_of_Milk_Collection_Centers_in_Milk_Supply_Chain_in_Turkey_The_Case_of_Izmir_Provin.</w:t>
      </w:r>
    </w:p>
    <w:p w14:paraId="053ADC3C" w14:textId="77777777" w:rsidR="007B6B1B" w:rsidRPr="00C95883" w:rsidRDefault="007B6B1B" w:rsidP="006E0544">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Kurwijila, R.L. (1995). Milk marketing and processing options for smallholder dairy co-operative organizations: The case of Serengeti and Mwakaleli dairy co-operative in Tanzania.</w:t>
      </w:r>
      <w:r w:rsidR="006E0544" w:rsidRPr="00C95883">
        <w:rPr>
          <w:rFonts w:ascii="Times New Roman" w:hAnsi="Times New Roman"/>
          <w:sz w:val="24"/>
          <w:szCs w:val="24"/>
        </w:rPr>
        <w:t xml:space="preserve"> </w:t>
      </w:r>
      <w:r w:rsidR="006E0544" w:rsidRPr="00C95883">
        <w:rPr>
          <w:rFonts w:ascii="Times New Roman" w:eastAsia="Calibri" w:hAnsi="Times New Roman"/>
          <w:sz w:val="24"/>
          <w:szCs w:val="24"/>
          <w:lang w:val="en-GB"/>
        </w:rPr>
        <w:t>https://www.fao.org/4/x5661e/x5661e00.htm</w:t>
      </w:r>
    </w:p>
    <w:p w14:paraId="3E1FAB0F" w14:textId="77777777" w:rsidR="007B6B1B" w:rsidRPr="00C95883" w:rsidRDefault="007B6B1B" w:rsidP="00E867D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Shirley, T. (2019). Meat: </w:t>
      </w:r>
      <w:r w:rsidR="00692D87" w:rsidRPr="00C95883">
        <w:rPr>
          <w:rFonts w:ascii="Times New Roman" w:eastAsia="Calibri" w:hAnsi="Times New Roman"/>
          <w:sz w:val="24"/>
          <w:szCs w:val="24"/>
          <w:lang w:val="en-GB"/>
        </w:rPr>
        <w:t>The</w:t>
      </w:r>
      <w:r w:rsidRPr="00C95883">
        <w:rPr>
          <w:rFonts w:ascii="Times New Roman" w:eastAsia="Calibri" w:hAnsi="Times New Roman"/>
          <w:sz w:val="24"/>
          <w:szCs w:val="24"/>
          <w:lang w:val="en-GB"/>
        </w:rPr>
        <w:t xml:space="preserve"> Future </w:t>
      </w:r>
      <w:r w:rsidR="00692D87" w:rsidRPr="00C95883">
        <w:rPr>
          <w:rFonts w:ascii="Times New Roman" w:eastAsia="Calibri" w:hAnsi="Times New Roman"/>
          <w:sz w:val="24"/>
          <w:szCs w:val="24"/>
          <w:lang w:val="en-GB"/>
        </w:rPr>
        <w:t>Series</w:t>
      </w:r>
      <w:r w:rsidRPr="00C95883">
        <w:rPr>
          <w:rFonts w:ascii="Times New Roman" w:eastAsia="Calibri" w:hAnsi="Times New Roman"/>
          <w:sz w:val="24"/>
          <w:szCs w:val="24"/>
          <w:lang w:val="en-GB"/>
        </w:rPr>
        <w:t xml:space="preserve"> Options for the Livestock Sector in Developing and Emerging Economies to 2030 and beyond. The International Livestock Research Institute for the World Economic Forum’s Meat: </w:t>
      </w:r>
      <w:r w:rsidR="00692D87" w:rsidRPr="00C95883">
        <w:rPr>
          <w:rFonts w:ascii="Times New Roman" w:eastAsia="Calibri" w:hAnsi="Times New Roman"/>
          <w:sz w:val="24"/>
          <w:szCs w:val="24"/>
          <w:lang w:val="en-GB"/>
        </w:rPr>
        <w:t>The</w:t>
      </w:r>
      <w:r w:rsidRPr="00C95883">
        <w:rPr>
          <w:rFonts w:ascii="Times New Roman" w:eastAsia="Calibri" w:hAnsi="Times New Roman"/>
          <w:sz w:val="24"/>
          <w:szCs w:val="24"/>
          <w:lang w:val="en-GB"/>
        </w:rPr>
        <w:t xml:space="preserve"> Future dialogue series</w:t>
      </w:r>
      <w:r w:rsidR="00E867D8" w:rsidRPr="00C95883">
        <w:rPr>
          <w:rFonts w:ascii="Times New Roman" w:hAnsi="Times New Roman"/>
          <w:sz w:val="24"/>
          <w:szCs w:val="24"/>
        </w:rPr>
        <w:t xml:space="preserve"> </w:t>
      </w:r>
      <w:r w:rsidR="00E867D8" w:rsidRPr="00C95883">
        <w:rPr>
          <w:rFonts w:ascii="Times New Roman" w:eastAsia="Calibri" w:hAnsi="Times New Roman"/>
          <w:sz w:val="24"/>
          <w:szCs w:val="24"/>
          <w:lang w:val="en-GB"/>
        </w:rPr>
        <w:t>https://www.econbiz.de/Record/meat-the-future-series-options-for-the-livestock-sector-in-developing-and-emerging-economies-to-2030-and-beyond/10012125008.</w:t>
      </w:r>
    </w:p>
    <w:p w14:paraId="5FF2404E" w14:textId="77777777" w:rsidR="007B6B1B" w:rsidRPr="00C95883" w:rsidRDefault="00E4541A"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Abateneh M</w:t>
      </w:r>
      <w:r w:rsidR="007B6B1B" w:rsidRPr="00C95883">
        <w:rPr>
          <w:rFonts w:ascii="Times New Roman" w:eastAsia="Calibri" w:hAnsi="Times New Roman"/>
          <w:sz w:val="24"/>
          <w:szCs w:val="24"/>
          <w:lang w:val="en-GB"/>
        </w:rPr>
        <w:t>., Azanaw</w:t>
      </w:r>
      <w:r w:rsidRPr="00C95883">
        <w:rPr>
          <w:rFonts w:ascii="Times New Roman" w:eastAsia="Calibri" w:hAnsi="Times New Roman"/>
          <w:sz w:val="24"/>
          <w:szCs w:val="24"/>
          <w:lang w:val="en-GB"/>
        </w:rPr>
        <w:t>, A</w:t>
      </w:r>
      <w:r w:rsidR="007B6B1B" w:rsidRPr="00C95883">
        <w:rPr>
          <w:rFonts w:ascii="Times New Roman" w:eastAsia="Calibri" w:hAnsi="Times New Roman"/>
          <w:sz w:val="24"/>
          <w:szCs w:val="24"/>
          <w:lang w:val="en-GB"/>
        </w:rPr>
        <w:t>, Mulugeta</w:t>
      </w:r>
      <w:r w:rsidRPr="00C95883">
        <w:rPr>
          <w:rFonts w:ascii="Times New Roman" w:eastAsia="Calibri" w:hAnsi="Times New Roman"/>
          <w:sz w:val="24"/>
          <w:szCs w:val="24"/>
          <w:lang w:val="en-GB"/>
        </w:rPr>
        <w:t>, B</w:t>
      </w:r>
      <w:r w:rsidR="007B6B1B" w:rsidRPr="00C95883">
        <w:rPr>
          <w:rFonts w:ascii="Times New Roman" w:eastAsia="Calibri" w:hAnsi="Times New Roman"/>
          <w:sz w:val="24"/>
          <w:szCs w:val="24"/>
          <w:lang w:val="en-GB"/>
        </w:rPr>
        <w:t>, Desyalew</w:t>
      </w:r>
      <w:r w:rsidRPr="00C95883">
        <w:rPr>
          <w:rFonts w:ascii="Times New Roman" w:eastAsia="Calibri" w:hAnsi="Times New Roman"/>
          <w:sz w:val="24"/>
          <w:szCs w:val="24"/>
          <w:lang w:val="en-GB"/>
        </w:rPr>
        <w:t>, A and</w:t>
      </w:r>
      <w:r w:rsidR="007B6B1B" w:rsidRPr="00C95883">
        <w:rPr>
          <w:rFonts w:ascii="Times New Roman" w:eastAsia="Calibri" w:hAnsi="Times New Roman"/>
          <w:sz w:val="24"/>
          <w:szCs w:val="24"/>
          <w:lang w:val="en-GB"/>
        </w:rPr>
        <w:t xml:space="preserve"> Senait</w:t>
      </w:r>
      <w:r w:rsidRPr="00C95883">
        <w:rPr>
          <w:rFonts w:ascii="Times New Roman" w:eastAsia="Calibri" w:hAnsi="Times New Roman"/>
          <w:sz w:val="24"/>
          <w:szCs w:val="24"/>
          <w:lang w:val="en-GB"/>
        </w:rPr>
        <w:t>, K.</w:t>
      </w:r>
      <w:r w:rsidR="007B6B1B" w:rsidRPr="00C95883">
        <w:rPr>
          <w:rFonts w:ascii="Times New Roman" w:eastAsia="Calibri" w:hAnsi="Times New Roman"/>
          <w:sz w:val="24"/>
          <w:szCs w:val="24"/>
          <w:lang w:val="en-GB"/>
        </w:rPr>
        <w:t xml:space="preserve"> (2024). Analysis of Farmer's Perception and Constraints on Dairy Cooperatives in Amhara Region, Ethiopia. International Journal on Food, Agriculture, and Natural Resources Volume 05, Issue 02, Page 129-139 ISSN: 2722-4066 </w:t>
      </w:r>
      <w:hyperlink r:id="rId18" w:history="1">
        <w:r w:rsidR="007B6B1B" w:rsidRPr="00C95883">
          <w:rPr>
            <w:rFonts w:ascii="Times New Roman" w:eastAsia="Calibri" w:hAnsi="Times New Roman"/>
            <w:sz w:val="24"/>
            <w:szCs w:val="24"/>
            <w:u w:val="single"/>
          </w:rPr>
          <w:t>http://www.fanres.org</w:t>
        </w:r>
      </w:hyperlink>
      <w:r w:rsidR="007B6B1B" w:rsidRPr="00C95883">
        <w:rPr>
          <w:rFonts w:ascii="Times New Roman" w:eastAsia="Calibri" w:hAnsi="Times New Roman"/>
          <w:sz w:val="24"/>
          <w:szCs w:val="24"/>
          <w:lang w:val="en-GB"/>
        </w:rPr>
        <w:t>.</w:t>
      </w:r>
    </w:p>
    <w:p w14:paraId="6B99D2B7" w14:textId="77777777" w:rsidR="007B6B1B" w:rsidRPr="00C95883" w:rsidRDefault="007B6B1B" w:rsidP="003A05B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Pandey, G., </w:t>
      </w:r>
      <w:r w:rsidR="0078339C"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2008</w:t>
      </w:r>
      <w:r w:rsidR="0078339C"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Smallholder Dairy Development. GART’s Approach Towards Its Commercialization in Lesotho &amp; Zambia. Golden Valley Agricultural Research Trust Lusaka, Zambia. Presentation at the ESADA Conference, 7th Aug 2008, Nairobi, Kenya.</w:t>
      </w:r>
      <w:r w:rsidR="003A05B8" w:rsidRPr="00C95883">
        <w:rPr>
          <w:rFonts w:ascii="Times New Roman" w:hAnsi="Times New Roman"/>
          <w:sz w:val="24"/>
          <w:szCs w:val="24"/>
        </w:rPr>
        <w:t xml:space="preserve"> </w:t>
      </w:r>
      <w:r w:rsidR="003A05B8" w:rsidRPr="00C95883">
        <w:rPr>
          <w:rFonts w:ascii="Times New Roman" w:eastAsia="Calibri" w:hAnsi="Times New Roman"/>
          <w:sz w:val="24"/>
          <w:szCs w:val="24"/>
          <w:lang w:val="en-GB"/>
        </w:rPr>
        <w:t>https://www.researchgate.net/publication/4756413_Smallholder_dairy_production_and_markets_A_comparison_of_production_systems_in_Zambia_Kenya_and_Sri_Lank</w:t>
      </w:r>
    </w:p>
    <w:p w14:paraId="0735A348"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Sahar A.</w:t>
      </w:r>
      <w:r w:rsidR="007B44EA" w:rsidRPr="00C95883">
        <w:rPr>
          <w:rFonts w:ascii="Times New Roman" w:eastAsia="Calibri" w:hAnsi="Times New Roman"/>
          <w:sz w:val="24"/>
          <w:szCs w:val="24"/>
          <w:lang w:val="en-GB"/>
        </w:rPr>
        <w:t>, AbdElrahaeim and Dalia, Y</w:t>
      </w:r>
      <w:r w:rsidR="0078339C"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(2017). Impact of Milk Collection Centers on Dairy Production System in the Newly Reclaimed Area of Nubaria. J. Animal and Poultry Prod.., Mansoura Univ., Vol. 8 (7): 179 - 185, 2017</w:t>
      </w:r>
    </w:p>
    <w:p w14:paraId="2FC5AABE" w14:textId="77777777" w:rsidR="007B6B1B" w:rsidRPr="00C95883" w:rsidRDefault="007B6B1B" w:rsidP="003A05B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Mpagalile, J.J., Ishengoma, R. and Gillah, P. (2008) Agribusiness Innovations in six African Countries. The Tanzania Experience. Report prepared for the World Bank Institute</w:t>
      </w:r>
      <w:r w:rsidR="003A05B8" w:rsidRPr="00C95883">
        <w:rPr>
          <w:rFonts w:ascii="Times New Roman" w:hAnsi="Times New Roman"/>
          <w:sz w:val="24"/>
          <w:szCs w:val="24"/>
        </w:rPr>
        <w:t xml:space="preserve"> </w:t>
      </w:r>
      <w:r w:rsidR="003A05B8" w:rsidRPr="00C95883">
        <w:rPr>
          <w:rFonts w:ascii="Times New Roman" w:eastAsia="Calibri" w:hAnsi="Times New Roman"/>
          <w:sz w:val="24"/>
          <w:szCs w:val="24"/>
          <w:lang w:val="en-GB"/>
        </w:rPr>
        <w:t>https://www.researchgate.net/publication/283796329_Agribusiness_innovation_in_six_African_countries_The_Tanzanian_experience</w:t>
      </w:r>
    </w:p>
    <w:p w14:paraId="4D340D98" w14:textId="77777777"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lastRenderedPageBreak/>
        <w:t>Shaughnessy J.J</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Zechmeister</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E.B</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and Zechmeister</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J.S. (2000). Research methods in psychology (5th ed) New York. Mc Craw Hill.</w:t>
      </w:r>
    </w:p>
    <w:p w14:paraId="60FA6080" w14:textId="77777777" w:rsidR="007B6B1B" w:rsidRPr="00C95883" w:rsidRDefault="00E4541A"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Maninder, S.</w:t>
      </w:r>
      <w:r w:rsidR="007B6B1B" w:rsidRPr="00C95883">
        <w:rPr>
          <w:rFonts w:ascii="Times New Roman" w:eastAsia="Calibri" w:hAnsi="Times New Roman"/>
          <w:sz w:val="24"/>
          <w:szCs w:val="24"/>
          <w:lang w:val="en-GB"/>
        </w:rPr>
        <w:t>S.</w:t>
      </w:r>
      <w:r w:rsidRPr="00C95883">
        <w:rPr>
          <w:rFonts w:ascii="Times New Roman" w:eastAsia="Calibri" w:hAnsi="Times New Roman"/>
          <w:sz w:val="24"/>
          <w:szCs w:val="24"/>
          <w:lang w:val="en-GB"/>
        </w:rPr>
        <w:t>,</w:t>
      </w:r>
      <w:r w:rsidR="007B6B1B" w:rsidRPr="00C95883">
        <w:rPr>
          <w:rFonts w:ascii="Times New Roman" w:eastAsia="Calibri" w:hAnsi="Times New Roman"/>
          <w:sz w:val="24"/>
          <w:szCs w:val="24"/>
          <w:lang w:val="en-GB"/>
        </w:rPr>
        <w:t xml:space="preserve"> (2016). Methodology Series Module 3: Cross-sectional Studies. Article in Indian Journal of Dermatology -DOI: 10.4103/0019-5154.182410</w:t>
      </w:r>
    </w:p>
    <w:p w14:paraId="0054F801" w14:textId="77777777" w:rsidR="007B6B1B" w:rsidRPr="00C95883" w:rsidRDefault="007B6B1B" w:rsidP="003A05B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(1996). Muheza district investment plan and development for the year1997.</w:t>
      </w:r>
      <w:r w:rsidR="003A05B8" w:rsidRPr="00C95883">
        <w:rPr>
          <w:rFonts w:ascii="Times New Roman" w:hAnsi="Times New Roman"/>
          <w:sz w:val="24"/>
          <w:szCs w:val="24"/>
        </w:rPr>
        <w:t xml:space="preserve"> </w:t>
      </w:r>
      <w:r w:rsidR="003A05B8" w:rsidRPr="00C95883">
        <w:rPr>
          <w:rFonts w:ascii="Times New Roman" w:eastAsia="Calibri" w:hAnsi="Times New Roman"/>
          <w:sz w:val="24"/>
          <w:szCs w:val="24"/>
          <w:lang w:val="en-GB"/>
        </w:rPr>
        <w:t>https://muhezadc.go.tz/storage/app/uploads/public/5a8/079/062/5a8079062dca8620207114.pdf</w:t>
      </w:r>
      <w:r w:rsidRPr="00C95883">
        <w:rPr>
          <w:rFonts w:ascii="Times New Roman" w:eastAsia="Calibri" w:hAnsi="Times New Roman"/>
          <w:sz w:val="24"/>
          <w:szCs w:val="24"/>
          <w:lang w:val="en-GB"/>
        </w:rPr>
        <w:t>United Republic of Tanzania Muheza district council investment profile (2004) investment vision, mission and objectives of muheza district council.</w:t>
      </w:r>
    </w:p>
    <w:p w14:paraId="56BAE83F" w14:textId="77777777" w:rsidR="007B6B1B" w:rsidRPr="00C95883" w:rsidRDefault="00E4541A"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Burns, N., and</w:t>
      </w:r>
      <w:r w:rsidR="007B6B1B" w:rsidRPr="00C95883">
        <w:rPr>
          <w:rFonts w:ascii="Times New Roman" w:eastAsia="Calibri" w:hAnsi="Times New Roman"/>
          <w:sz w:val="24"/>
          <w:szCs w:val="24"/>
          <w:lang w:val="en-GB"/>
        </w:rPr>
        <w:t xml:space="preserve"> Groves, S. (2001). The practice of nursing research: conduct, critique and utilization (4th ed). W.B. Saunders: Philadephia, Pennsylvania, USA.</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https://books.google.co.tz/books/about/Burns_and_Grove_s_The_Practice_of_Nursin.html?id=HmbyDwAAQBAJ&amp;redir_esc=y#:~:text=This%20highly%20respec</w:t>
      </w:r>
    </w:p>
    <w:p w14:paraId="5B6CA755" w14:textId="77777777" w:rsidR="007B6B1B" w:rsidRPr="00C95883" w:rsidRDefault="007B6B1B"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Kothari, C.R. (2004) Research Methodology: Methods and Techniques (2ed) New Age International Publisher.</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https://archive.org/details/researchmethodol0000koth.</w:t>
      </w:r>
    </w:p>
    <w:p w14:paraId="725C4610" w14:textId="77777777" w:rsidR="007B6B1B" w:rsidRPr="00C95883" w:rsidRDefault="00D97166"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Tarsi, K., and</w:t>
      </w:r>
      <w:r w:rsidR="007B6B1B" w:rsidRPr="00C95883">
        <w:rPr>
          <w:rFonts w:ascii="Times New Roman" w:eastAsia="Calibri" w:hAnsi="Times New Roman"/>
          <w:sz w:val="24"/>
          <w:szCs w:val="24"/>
          <w:lang w:val="en-GB"/>
        </w:rPr>
        <w:t xml:space="preserve"> Tuff, T. (2012). Introduction to Population Demographics. Nature of education knowledge. Retrieved from: https://www.researchgate.net/ 290851981. 69i57j0i3017.12190 j0j7</w:t>
      </w:r>
    </w:p>
    <w:p w14:paraId="58F8BA03" w14:textId="77777777" w:rsidR="007B6B1B" w:rsidRPr="00C95883" w:rsidRDefault="00D97166"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Christensen, L.B., Johnson, R.B., and Turner, L.</w:t>
      </w:r>
      <w:r w:rsidR="007B6B1B" w:rsidRPr="00C95883">
        <w:rPr>
          <w:rFonts w:ascii="Times New Roman" w:eastAsia="Calibri" w:hAnsi="Times New Roman"/>
          <w:sz w:val="24"/>
          <w:szCs w:val="24"/>
          <w:lang w:val="en-GB"/>
        </w:rPr>
        <w:t>A. (2014). Research methods, design, and analysis (12th ed.). Boston, MA: Pearson.</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https://openlibrary.org/books/OL29271542M/Research_Methods_Design_and_Analysis_Global_Edition.</w:t>
      </w:r>
    </w:p>
    <w:p w14:paraId="5904FC00" w14:textId="77777777" w:rsidR="007B6B1B" w:rsidRPr="00C95883" w:rsidRDefault="00D97166"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Clark-carter, L.</w:t>
      </w:r>
      <w:r w:rsidR="007B6B1B" w:rsidRPr="00C95883">
        <w:rPr>
          <w:rFonts w:ascii="Times New Roman" w:eastAsia="Calibri" w:hAnsi="Times New Roman"/>
          <w:sz w:val="24"/>
          <w:szCs w:val="24"/>
          <w:lang w:val="en-GB"/>
        </w:rPr>
        <w:t>D. (1997). Doing qualitative and qualitative psychological research from design to report. East Sussex: Psychological Press Ltd.</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https://archive.org/details/doingquantitativ0000clar.</w:t>
      </w:r>
    </w:p>
    <w:p w14:paraId="2F446FF5" w14:textId="77777777" w:rsidR="007B6B1B" w:rsidRPr="00C95883" w:rsidRDefault="007B6B1B"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Opie, C. (2019). Research procedures. Getting Started in Your Educational Research: Design, Data Production and Analysis, 159.</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https://books.google.co.tz/books/about/Getting_Started_in_Your_Educational_Rese.html?id=ELuODwAAQBAJ&amp;redir_esc=y#:~:text=A%20one-stop%20shop%20for%</w:t>
      </w:r>
    </w:p>
    <w:p w14:paraId="6F87C951" w14:textId="77777777" w:rsidR="007B6B1B" w:rsidRPr="00C95883" w:rsidRDefault="007B6B1B"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Kumar, R. (2019). Research methodology: A step-by-step guide for beginners. Sage Publications Limited.</w:t>
      </w:r>
      <w:r w:rsidR="002E3B93" w:rsidRPr="00C95883">
        <w:rPr>
          <w:rFonts w:ascii="Times New Roman" w:hAnsi="Times New Roman"/>
          <w:sz w:val="24"/>
          <w:szCs w:val="24"/>
        </w:rPr>
        <w:t xml:space="preserve"> </w:t>
      </w:r>
      <w:r w:rsidR="002E3B93" w:rsidRPr="00C95883">
        <w:rPr>
          <w:rFonts w:ascii="Times New Roman" w:eastAsia="Calibri" w:hAnsi="Times New Roman"/>
          <w:sz w:val="24"/>
          <w:szCs w:val="24"/>
          <w:lang w:val="en-GB"/>
        </w:rPr>
        <w:t>https://www.bing.com/videos/search?q=35.+Kumar%2c+R.+(2019).+Research+methodology%3a+A+step-by-step+guide+for+beginners.+Sage+Publications+Limite</w:t>
      </w:r>
    </w:p>
    <w:p w14:paraId="474314EC" w14:textId="77777777" w:rsidR="007B6B1B" w:rsidRPr="00C95883" w:rsidRDefault="007B6B1B"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Lourdes B. (Ed). 1982. Women and development: The Sexual Division of Labor in `Rural Societies. United Nations. New York, USA.</w:t>
      </w:r>
      <w:r w:rsidR="00C95883" w:rsidRPr="00C95883">
        <w:rPr>
          <w:rFonts w:ascii="Times New Roman" w:hAnsi="Times New Roman"/>
          <w:sz w:val="24"/>
          <w:szCs w:val="24"/>
        </w:rPr>
        <w:t xml:space="preserve"> </w:t>
      </w:r>
      <w:r w:rsidR="00C95883" w:rsidRPr="00C95883">
        <w:rPr>
          <w:rFonts w:ascii="Times New Roman" w:eastAsia="Calibri" w:hAnsi="Times New Roman"/>
          <w:sz w:val="24"/>
          <w:szCs w:val="24"/>
          <w:lang w:val="en-GB"/>
        </w:rPr>
        <w:t>https://books.google.co.tz/books/about/Women_and_Development.html?i</w:t>
      </w:r>
      <w:r w:rsidR="00C95883" w:rsidRPr="00C95883">
        <w:rPr>
          <w:rFonts w:ascii="Times New Roman" w:eastAsia="Calibri" w:hAnsi="Times New Roman"/>
          <w:sz w:val="24"/>
          <w:szCs w:val="24"/>
          <w:lang w:val="en-GB"/>
        </w:rPr>
        <w:lastRenderedPageBreak/>
        <w:t>d=9UiFAAAAIAAJ&amp;redir_esc=y#:~:text=Monograph%20on%20the%20sexual%20division%</w:t>
      </w:r>
    </w:p>
    <w:p w14:paraId="73867C2C" w14:textId="77777777" w:rsidR="007B6B1B" w:rsidRPr="00C95883" w:rsidRDefault="0026764E"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Tarsi, K., and</w:t>
      </w:r>
      <w:r w:rsidR="007B6B1B" w:rsidRPr="00C95883">
        <w:rPr>
          <w:rFonts w:ascii="Times New Roman" w:eastAsia="Calibri" w:hAnsi="Times New Roman"/>
          <w:sz w:val="24"/>
          <w:szCs w:val="24"/>
          <w:lang w:val="en-GB"/>
        </w:rPr>
        <w:t xml:space="preserve"> Tuff, T. (2012). Introduction to Population Demographics. Nature of education knowledge. Retrieved from: https://www.researchgate.net/ 290851981. 69i57j0i3017.12190 j0j7.</w:t>
      </w:r>
    </w:p>
    <w:p w14:paraId="0956870B" w14:textId="77777777" w:rsidR="007B6B1B" w:rsidRPr="00C95883" w:rsidRDefault="0026764E"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David B.</w:t>
      </w:r>
      <w:r w:rsidR="007B6B1B" w:rsidRPr="00C95883">
        <w:rPr>
          <w:rFonts w:ascii="Times New Roman" w:eastAsia="Calibri" w:hAnsi="Times New Roman"/>
          <w:sz w:val="24"/>
          <w:szCs w:val="24"/>
          <w:lang w:val="en-GB"/>
        </w:rPr>
        <w:t>, Kenneth</w:t>
      </w:r>
      <w:r w:rsidRPr="00C95883">
        <w:rPr>
          <w:rFonts w:ascii="Times New Roman" w:eastAsia="Calibri" w:hAnsi="Times New Roman"/>
          <w:sz w:val="24"/>
          <w:szCs w:val="24"/>
          <w:lang w:val="en-GB"/>
        </w:rPr>
        <w:t>, O.,</w:t>
      </w:r>
      <w:r w:rsidR="007B6B1B" w:rsidRPr="00C95883">
        <w:rPr>
          <w:rFonts w:ascii="Times New Roman" w:eastAsia="Calibri" w:hAnsi="Times New Roman"/>
          <w:sz w:val="24"/>
          <w:szCs w:val="24"/>
          <w:lang w:val="en-GB"/>
        </w:rPr>
        <w:t xml:space="preserve"> and Akankiza</w:t>
      </w:r>
      <w:r w:rsidRPr="00C95883">
        <w:rPr>
          <w:rFonts w:ascii="Times New Roman" w:eastAsia="Calibri" w:hAnsi="Times New Roman"/>
          <w:sz w:val="24"/>
          <w:szCs w:val="24"/>
          <w:lang w:val="en-GB"/>
        </w:rPr>
        <w:t>, S.</w:t>
      </w:r>
      <w:r w:rsidR="007B6B1B" w:rsidRPr="00C95883">
        <w:rPr>
          <w:rFonts w:ascii="Times New Roman" w:eastAsia="Calibri" w:hAnsi="Times New Roman"/>
          <w:sz w:val="24"/>
          <w:szCs w:val="24"/>
          <w:lang w:val="en-GB"/>
        </w:rPr>
        <w:t>M</w:t>
      </w:r>
      <w:r w:rsidRPr="00C95883">
        <w:rPr>
          <w:rFonts w:ascii="Times New Roman" w:eastAsia="Calibri" w:hAnsi="Times New Roman"/>
          <w:sz w:val="24"/>
          <w:szCs w:val="24"/>
          <w:lang w:val="en-GB"/>
        </w:rPr>
        <w:t>.</w:t>
      </w:r>
      <w:r w:rsidR="007B6B1B" w:rsidRPr="00C95883">
        <w:rPr>
          <w:rFonts w:ascii="Times New Roman" w:eastAsia="Calibri" w:hAnsi="Times New Roman"/>
          <w:sz w:val="24"/>
          <w:szCs w:val="24"/>
          <w:lang w:val="en-GB"/>
        </w:rPr>
        <w:t xml:space="preserve"> (2021). Performance of milk collection centres in Uganda “Facilitating evidence-based policy dialogue on performance of the dairy value chain” Dairy Development Authority (DDA), Ministry of Agriculture, Animal Industry and Fisheries.</w:t>
      </w:r>
      <w:r w:rsidR="00C95883" w:rsidRPr="00C95883">
        <w:rPr>
          <w:rFonts w:ascii="Times New Roman" w:hAnsi="Times New Roman"/>
          <w:sz w:val="24"/>
          <w:szCs w:val="24"/>
        </w:rPr>
        <w:t xml:space="preserve"> </w:t>
      </w:r>
      <w:r w:rsidR="00C95883" w:rsidRPr="00C95883">
        <w:rPr>
          <w:rFonts w:ascii="Times New Roman" w:eastAsia="Calibri" w:hAnsi="Times New Roman"/>
          <w:sz w:val="24"/>
          <w:szCs w:val="24"/>
          <w:lang w:val="en-GB"/>
        </w:rPr>
        <w:t>https://dda.cresteddevelopers.com/images/1700641216.pdf</w:t>
      </w:r>
    </w:p>
    <w:p w14:paraId="57876991" w14:textId="77777777" w:rsidR="007B6B1B" w:rsidRPr="00C95883" w:rsidRDefault="007B6B1B"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(2016). National Five Year Development Plan 2016/17 – 2020/21: Nurturing Industrialization for Economic Transformation and Human Development.</w:t>
      </w:r>
      <w:r w:rsidR="00C95883" w:rsidRPr="00C95883">
        <w:rPr>
          <w:rFonts w:ascii="Times New Roman" w:hAnsi="Times New Roman"/>
          <w:sz w:val="24"/>
          <w:szCs w:val="24"/>
        </w:rPr>
        <w:t xml:space="preserve"> </w:t>
      </w:r>
      <w:r w:rsidR="00C95883" w:rsidRPr="00C95883">
        <w:rPr>
          <w:rFonts w:ascii="Times New Roman" w:eastAsia="Calibri" w:hAnsi="Times New Roman"/>
          <w:sz w:val="24"/>
          <w:szCs w:val="24"/>
          <w:lang w:val="en-GB"/>
        </w:rPr>
        <w:t>https://leap.unep.org/en/countries/tz/national-legislation/national-five-year-development-plan-201617-202021#:~:text=The%20National%20Five%20Year%20Develepment.</w:t>
      </w:r>
    </w:p>
    <w:p w14:paraId="00E9BED7" w14:textId="77777777" w:rsidR="007B6B1B" w:rsidRPr="00C95883" w:rsidRDefault="00F10A7F"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Belitz H.</w:t>
      </w:r>
      <w:r w:rsidR="007B6B1B" w:rsidRPr="00C95883">
        <w:rPr>
          <w:rFonts w:ascii="Times New Roman" w:eastAsia="Calibri" w:hAnsi="Times New Roman"/>
          <w:sz w:val="24"/>
          <w:szCs w:val="24"/>
          <w:lang w:val="en-GB"/>
        </w:rPr>
        <w:t>D.</w:t>
      </w:r>
      <w:r w:rsidRPr="00C95883">
        <w:rPr>
          <w:rFonts w:ascii="Times New Roman" w:eastAsia="Calibri" w:hAnsi="Times New Roman"/>
          <w:sz w:val="24"/>
          <w:szCs w:val="24"/>
          <w:lang w:val="en-GB"/>
        </w:rPr>
        <w:t>, W and</w:t>
      </w:r>
      <w:r w:rsidR="007B6B1B" w:rsidRPr="00C95883">
        <w:rPr>
          <w:rFonts w:ascii="Times New Roman" w:eastAsia="Calibri" w:hAnsi="Times New Roman"/>
          <w:sz w:val="24"/>
          <w:szCs w:val="24"/>
          <w:lang w:val="en-GB"/>
        </w:rPr>
        <w:t xml:space="preserve"> Grosch</w:t>
      </w:r>
      <w:r w:rsidRPr="00C95883">
        <w:rPr>
          <w:rFonts w:ascii="Times New Roman" w:eastAsia="Calibri" w:hAnsi="Times New Roman"/>
          <w:sz w:val="24"/>
          <w:szCs w:val="24"/>
          <w:lang w:val="en-GB"/>
        </w:rPr>
        <w:t>, P.S.</w:t>
      </w:r>
      <w:r w:rsidR="007B6B1B" w:rsidRPr="00C95883">
        <w:rPr>
          <w:rFonts w:ascii="Times New Roman" w:eastAsia="Calibri" w:hAnsi="Times New Roman"/>
          <w:sz w:val="24"/>
          <w:szCs w:val="24"/>
          <w:lang w:val="en-GB"/>
        </w:rPr>
        <w:t xml:space="preserve"> (2008) Milk and Dairy Products. At: </w:t>
      </w:r>
      <w:hyperlink r:id="rId19" w:history="1">
        <w:r w:rsidR="007B6B1B" w:rsidRPr="00C95883">
          <w:rPr>
            <w:rFonts w:ascii="Times New Roman" w:eastAsia="Calibri" w:hAnsi="Times New Roman"/>
            <w:sz w:val="24"/>
            <w:szCs w:val="24"/>
            <w:u w:val="single"/>
          </w:rPr>
          <w:t>https://www.researchgate.net/publication/226857525</w:t>
        </w:r>
      </w:hyperlink>
    </w:p>
    <w:p w14:paraId="224AE572" w14:textId="4E678E51" w:rsidR="007B6B1B" w:rsidRDefault="007B6B1B"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Leng, </w:t>
      </w:r>
      <w:r w:rsidR="00F10A7F" w:rsidRPr="00C95883">
        <w:rPr>
          <w:rFonts w:ascii="Times New Roman" w:eastAsia="Calibri" w:hAnsi="Times New Roman"/>
          <w:sz w:val="24"/>
          <w:szCs w:val="24"/>
          <w:lang w:val="en-GB"/>
        </w:rPr>
        <w:t>R.</w:t>
      </w:r>
      <w:r w:rsidR="00D60930" w:rsidRPr="00C95883">
        <w:rPr>
          <w:rFonts w:ascii="Times New Roman" w:eastAsia="Calibri" w:hAnsi="Times New Roman"/>
          <w:sz w:val="24"/>
          <w:szCs w:val="24"/>
          <w:lang w:val="en-GB"/>
        </w:rPr>
        <w:t>A</w:t>
      </w:r>
      <w:r w:rsidRPr="00C95883">
        <w:rPr>
          <w:rFonts w:ascii="Times New Roman" w:eastAsia="Calibri" w:hAnsi="Times New Roman"/>
          <w:sz w:val="24"/>
          <w:szCs w:val="24"/>
          <w:lang w:val="en-GB"/>
        </w:rPr>
        <w:t xml:space="preserve"> and Kunju, G</w:t>
      </w:r>
      <w:r w:rsidR="00F10A7F"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(1989</w:t>
      </w:r>
      <w:r w:rsidR="00D60930" w:rsidRPr="00C95883">
        <w:rPr>
          <w:rFonts w:ascii="Times New Roman" w:eastAsia="Calibri" w:hAnsi="Times New Roman"/>
          <w:sz w:val="24"/>
          <w:szCs w:val="24"/>
          <w:lang w:val="en-GB"/>
        </w:rPr>
        <w:t>). Development</w:t>
      </w:r>
      <w:r w:rsidRPr="00C95883">
        <w:rPr>
          <w:rFonts w:ascii="Times New Roman" w:eastAsia="Calibri" w:hAnsi="Times New Roman"/>
          <w:sz w:val="24"/>
          <w:szCs w:val="24"/>
          <w:lang w:val="en-GB"/>
        </w:rPr>
        <w:t xml:space="preserve"> of feeding strategies for improving milk production in India form milk animals owned by small-farmers. In: Final Coordinated Meeting of “The use of Nuclear Techniques to Improve Domestic Buffalo Production in Asia “IAEA – Oakhampton, Australia.</w:t>
      </w:r>
      <w:r w:rsidR="00C95883" w:rsidRPr="00C95883">
        <w:rPr>
          <w:rFonts w:ascii="Times New Roman" w:hAnsi="Times New Roman"/>
          <w:sz w:val="24"/>
          <w:szCs w:val="24"/>
        </w:rPr>
        <w:t xml:space="preserve"> </w:t>
      </w:r>
      <w:hyperlink r:id="rId20" w:history="1">
        <w:r w:rsidR="0000023E" w:rsidRPr="00F05A82">
          <w:rPr>
            <w:rStyle w:val="Hyperlink"/>
            <w:rFonts w:ascii="Times New Roman" w:eastAsia="Calibri" w:hAnsi="Times New Roman"/>
            <w:sz w:val="24"/>
            <w:szCs w:val="24"/>
            <w:lang w:val="en-GB"/>
          </w:rPr>
          <w:t>https://www.fao.org/4/t0413e/T0413E08.htm</w:t>
        </w:r>
      </w:hyperlink>
      <w:r w:rsidR="00C95883" w:rsidRPr="00C95883">
        <w:rPr>
          <w:rFonts w:ascii="Times New Roman" w:eastAsia="Calibri" w:hAnsi="Times New Roman"/>
          <w:sz w:val="24"/>
          <w:szCs w:val="24"/>
          <w:lang w:val="en-GB"/>
        </w:rPr>
        <w:t>.</w:t>
      </w:r>
    </w:p>
    <w:p w14:paraId="5F9A14C1" w14:textId="318878E6" w:rsidR="0000023E" w:rsidRDefault="000809C1" w:rsidP="000809C1">
      <w:pPr>
        <w:numPr>
          <w:ilvl w:val="0"/>
          <w:numId w:val="31"/>
        </w:numPr>
        <w:spacing w:after="160"/>
        <w:contextualSpacing/>
        <w:jc w:val="both"/>
        <w:rPr>
          <w:rFonts w:ascii="Times New Roman" w:eastAsia="Calibri" w:hAnsi="Times New Roman"/>
          <w:sz w:val="24"/>
          <w:szCs w:val="24"/>
          <w:lang w:val="en-GB"/>
        </w:rPr>
      </w:pPr>
      <w:r w:rsidRPr="000809C1">
        <w:rPr>
          <w:rFonts w:ascii="Times New Roman" w:eastAsia="Calibri" w:hAnsi="Times New Roman"/>
          <w:sz w:val="24"/>
          <w:szCs w:val="24"/>
          <w:lang w:val="en-GB"/>
        </w:rPr>
        <w:t>Sultana</w:t>
      </w:r>
      <w:r>
        <w:rPr>
          <w:rFonts w:ascii="Times New Roman" w:eastAsia="Calibri" w:hAnsi="Times New Roman"/>
          <w:sz w:val="24"/>
          <w:szCs w:val="24"/>
          <w:lang w:val="en-GB"/>
        </w:rPr>
        <w:t>,</w:t>
      </w:r>
      <w:r w:rsidRPr="000809C1">
        <w:rPr>
          <w:rFonts w:ascii="Times New Roman" w:eastAsia="Calibri" w:hAnsi="Times New Roman"/>
          <w:sz w:val="24"/>
          <w:szCs w:val="24"/>
          <w:lang w:val="en-GB"/>
        </w:rPr>
        <w:t xml:space="preserve"> M</w:t>
      </w:r>
      <w:r>
        <w:rPr>
          <w:rFonts w:ascii="Times New Roman" w:eastAsia="Calibri" w:hAnsi="Times New Roman"/>
          <w:sz w:val="24"/>
          <w:szCs w:val="24"/>
          <w:lang w:val="en-GB"/>
        </w:rPr>
        <w:t>.</w:t>
      </w:r>
      <w:r w:rsidRPr="000809C1">
        <w:rPr>
          <w:rFonts w:ascii="Times New Roman" w:eastAsia="Calibri" w:hAnsi="Times New Roman"/>
          <w:sz w:val="24"/>
          <w:szCs w:val="24"/>
          <w:lang w:val="en-GB"/>
        </w:rPr>
        <w:t>S</w:t>
      </w:r>
      <w:r>
        <w:rPr>
          <w:rFonts w:ascii="Times New Roman" w:eastAsia="Calibri" w:hAnsi="Times New Roman"/>
          <w:sz w:val="24"/>
          <w:szCs w:val="24"/>
          <w:lang w:val="en-GB"/>
        </w:rPr>
        <w:t>.</w:t>
      </w:r>
      <w:r w:rsidRPr="000809C1">
        <w:rPr>
          <w:rFonts w:ascii="Times New Roman" w:eastAsia="Calibri" w:hAnsi="Times New Roman"/>
          <w:sz w:val="24"/>
          <w:szCs w:val="24"/>
          <w:lang w:val="en-GB"/>
        </w:rPr>
        <w:t>, Reshma</w:t>
      </w:r>
      <w:r>
        <w:rPr>
          <w:rFonts w:ascii="Times New Roman" w:eastAsia="Calibri" w:hAnsi="Times New Roman"/>
          <w:sz w:val="24"/>
          <w:szCs w:val="24"/>
          <w:lang w:val="en-GB"/>
        </w:rPr>
        <w:t>,</w:t>
      </w:r>
      <w:r w:rsidRPr="000809C1">
        <w:rPr>
          <w:rFonts w:ascii="Times New Roman" w:eastAsia="Calibri" w:hAnsi="Times New Roman"/>
          <w:sz w:val="24"/>
          <w:szCs w:val="24"/>
          <w:lang w:val="en-GB"/>
        </w:rPr>
        <w:t xml:space="preserve"> B</w:t>
      </w:r>
      <w:r>
        <w:rPr>
          <w:rFonts w:ascii="Times New Roman" w:eastAsia="Calibri" w:hAnsi="Times New Roman"/>
          <w:sz w:val="24"/>
          <w:szCs w:val="24"/>
          <w:lang w:val="en-GB"/>
        </w:rPr>
        <w:t>.</w:t>
      </w:r>
      <w:r w:rsidRPr="000809C1">
        <w:rPr>
          <w:rFonts w:ascii="Times New Roman" w:eastAsia="Calibri" w:hAnsi="Times New Roman"/>
          <w:sz w:val="24"/>
          <w:szCs w:val="24"/>
          <w:lang w:val="en-GB"/>
        </w:rPr>
        <w:t>Z</w:t>
      </w:r>
      <w:r>
        <w:rPr>
          <w:rFonts w:ascii="Times New Roman" w:eastAsia="Calibri" w:hAnsi="Times New Roman"/>
          <w:sz w:val="24"/>
          <w:szCs w:val="24"/>
          <w:lang w:val="en-GB"/>
        </w:rPr>
        <w:t>.</w:t>
      </w:r>
      <w:r w:rsidRPr="000809C1">
        <w:rPr>
          <w:rFonts w:ascii="Times New Roman" w:eastAsia="Calibri" w:hAnsi="Times New Roman"/>
          <w:sz w:val="24"/>
          <w:szCs w:val="24"/>
          <w:lang w:val="en-GB"/>
        </w:rPr>
        <w:t>, Hasnat</w:t>
      </w:r>
      <w:r>
        <w:rPr>
          <w:rFonts w:ascii="Times New Roman" w:eastAsia="Calibri" w:hAnsi="Times New Roman"/>
          <w:sz w:val="24"/>
          <w:szCs w:val="24"/>
          <w:lang w:val="en-GB"/>
        </w:rPr>
        <w:t>,</w:t>
      </w:r>
      <w:r w:rsidRPr="000809C1">
        <w:rPr>
          <w:rFonts w:ascii="Times New Roman" w:eastAsia="Calibri" w:hAnsi="Times New Roman"/>
          <w:sz w:val="24"/>
          <w:szCs w:val="24"/>
          <w:lang w:val="en-GB"/>
        </w:rPr>
        <w:t xml:space="preserve"> M</w:t>
      </w:r>
      <w:r>
        <w:rPr>
          <w:rFonts w:ascii="Times New Roman" w:eastAsia="Calibri" w:hAnsi="Times New Roman"/>
          <w:sz w:val="24"/>
          <w:szCs w:val="24"/>
          <w:lang w:val="en-GB"/>
        </w:rPr>
        <w:t>.</w:t>
      </w:r>
      <w:r w:rsidRPr="000809C1">
        <w:rPr>
          <w:rFonts w:ascii="Times New Roman" w:eastAsia="Calibri" w:hAnsi="Times New Roman"/>
          <w:sz w:val="24"/>
          <w:szCs w:val="24"/>
          <w:lang w:val="en-GB"/>
        </w:rPr>
        <w:t>K</w:t>
      </w:r>
      <w:r>
        <w:rPr>
          <w:rFonts w:ascii="Times New Roman" w:eastAsia="Calibri" w:hAnsi="Times New Roman"/>
          <w:sz w:val="24"/>
          <w:szCs w:val="24"/>
          <w:lang w:val="en-GB"/>
        </w:rPr>
        <w:t>.</w:t>
      </w:r>
      <w:r w:rsidRPr="000809C1">
        <w:rPr>
          <w:rFonts w:ascii="Times New Roman" w:eastAsia="Calibri" w:hAnsi="Times New Roman"/>
          <w:sz w:val="24"/>
          <w:szCs w:val="24"/>
          <w:lang w:val="en-GB"/>
        </w:rPr>
        <w:t>, Kabir</w:t>
      </w:r>
      <w:r>
        <w:rPr>
          <w:rFonts w:ascii="Times New Roman" w:eastAsia="Calibri" w:hAnsi="Times New Roman"/>
          <w:sz w:val="24"/>
          <w:szCs w:val="24"/>
          <w:lang w:val="en-GB"/>
        </w:rPr>
        <w:t>,</w:t>
      </w:r>
      <w:r w:rsidRPr="000809C1">
        <w:rPr>
          <w:rFonts w:ascii="Times New Roman" w:eastAsia="Calibri" w:hAnsi="Times New Roman"/>
          <w:sz w:val="24"/>
          <w:szCs w:val="24"/>
          <w:lang w:val="en-GB"/>
        </w:rPr>
        <w:t xml:space="preserve"> M</w:t>
      </w:r>
      <w:r>
        <w:rPr>
          <w:rFonts w:ascii="Times New Roman" w:eastAsia="Calibri" w:hAnsi="Times New Roman"/>
          <w:sz w:val="24"/>
          <w:szCs w:val="24"/>
          <w:lang w:val="en-GB"/>
        </w:rPr>
        <w:t>.</w:t>
      </w:r>
      <w:r w:rsidRPr="000809C1">
        <w:rPr>
          <w:rFonts w:ascii="Times New Roman" w:eastAsia="Calibri" w:hAnsi="Times New Roman"/>
          <w:sz w:val="24"/>
          <w:szCs w:val="24"/>
          <w:lang w:val="en-GB"/>
        </w:rPr>
        <w:t xml:space="preserve">H. </w:t>
      </w:r>
      <w:r w:rsidR="00465ED5">
        <w:rPr>
          <w:rFonts w:ascii="Times New Roman" w:eastAsia="Calibri" w:hAnsi="Times New Roman"/>
          <w:sz w:val="24"/>
          <w:szCs w:val="24"/>
          <w:lang w:val="en-GB"/>
        </w:rPr>
        <w:t xml:space="preserve">(2024). </w:t>
      </w:r>
      <w:r w:rsidRPr="000809C1">
        <w:rPr>
          <w:rFonts w:ascii="Times New Roman" w:eastAsia="Calibri" w:hAnsi="Times New Roman"/>
          <w:sz w:val="24"/>
          <w:szCs w:val="24"/>
          <w:lang w:val="en-GB"/>
        </w:rPr>
        <w:t>Factors Influencing Milk Production among the Dairy Farms of Savar Sub-District, Dhaka, Banglade</w:t>
      </w:r>
      <w:r w:rsidR="00465ED5">
        <w:rPr>
          <w:rFonts w:ascii="Times New Roman" w:eastAsia="Calibri" w:hAnsi="Times New Roman"/>
          <w:sz w:val="24"/>
          <w:szCs w:val="24"/>
          <w:lang w:val="en-GB"/>
        </w:rPr>
        <w:t>sh. J. Sci. Res. Rep. 30(7):628-34.</w:t>
      </w:r>
      <w:r w:rsidRPr="000809C1">
        <w:rPr>
          <w:rFonts w:ascii="Times New Roman" w:eastAsia="Calibri" w:hAnsi="Times New Roman"/>
          <w:sz w:val="24"/>
          <w:szCs w:val="24"/>
          <w:lang w:val="en-GB"/>
        </w:rPr>
        <w:t xml:space="preserve"> </w:t>
      </w:r>
      <w:hyperlink r:id="rId21" w:history="1">
        <w:r w:rsidR="008A0BC4" w:rsidRPr="00F05A82">
          <w:rPr>
            <w:rStyle w:val="Hyperlink"/>
            <w:rFonts w:ascii="Times New Roman" w:eastAsia="Calibri" w:hAnsi="Times New Roman"/>
            <w:sz w:val="24"/>
            <w:szCs w:val="24"/>
            <w:lang w:val="en-GB"/>
          </w:rPr>
          <w:t>https://journaljsrr.com/index.php/JSRR/article/view/2176</w:t>
        </w:r>
      </w:hyperlink>
    </w:p>
    <w:p w14:paraId="51B9FB38" w14:textId="77777777" w:rsidR="008A0BC4" w:rsidRPr="00C95883" w:rsidRDefault="008A0BC4" w:rsidP="008A0BC4">
      <w:pPr>
        <w:spacing w:after="160"/>
        <w:ind w:left="1080"/>
        <w:contextualSpacing/>
        <w:jc w:val="both"/>
        <w:rPr>
          <w:rFonts w:ascii="Times New Roman" w:eastAsia="Calibri" w:hAnsi="Times New Roman"/>
          <w:sz w:val="24"/>
          <w:szCs w:val="24"/>
          <w:lang w:val="en-GB"/>
        </w:rPr>
      </w:pPr>
    </w:p>
    <w:p w14:paraId="2E5107C1" w14:textId="77777777" w:rsidR="00790ADA" w:rsidRPr="00FB3A86" w:rsidRDefault="00790ADA" w:rsidP="00441B6F">
      <w:pPr>
        <w:pStyle w:val="ReferHead"/>
        <w:spacing w:after="0"/>
        <w:jc w:val="both"/>
        <w:rPr>
          <w:rFonts w:ascii="Arial" w:hAnsi="Arial" w:cs="Arial"/>
        </w:rPr>
      </w:pPr>
    </w:p>
    <w:p w14:paraId="75A34513" w14:textId="77777777" w:rsidR="004D4277" w:rsidRPr="003A7026" w:rsidRDefault="004D4277" w:rsidP="003A7026">
      <w:pPr>
        <w:pStyle w:val="Body"/>
        <w:spacing w:after="0"/>
        <w:rPr>
          <w:rFonts w:ascii="Arial" w:hAnsi="Arial" w:cs="Arial"/>
        </w:rPr>
        <w:sectPr w:rsidR="004D4277" w:rsidRPr="003A7026" w:rsidSect="00A322AA">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139DD6D0" w14:textId="77777777" w:rsidR="00B01FCD" w:rsidRPr="00FB3A86" w:rsidRDefault="00B01FCD" w:rsidP="00441B6F">
      <w:pPr>
        <w:pStyle w:val="Appendix"/>
        <w:spacing w:after="0"/>
        <w:jc w:val="both"/>
        <w:rPr>
          <w:rFonts w:ascii="Arial" w:hAnsi="Arial" w:cs="Arial"/>
          <w:b w:val="0"/>
        </w:rPr>
      </w:pPr>
    </w:p>
    <w:sectPr w:rsidR="00B01FCD" w:rsidRPr="00FB3A86" w:rsidSect="00A322A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958F0" w14:textId="77777777" w:rsidR="00CA257A" w:rsidRDefault="00CA257A" w:rsidP="00C37E61">
      <w:r>
        <w:separator/>
      </w:r>
    </w:p>
  </w:endnote>
  <w:endnote w:type="continuationSeparator" w:id="0">
    <w:p w14:paraId="1FB3BDEA" w14:textId="77777777" w:rsidR="00CA257A" w:rsidRDefault="00CA257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D1EF" w14:textId="77777777" w:rsidR="000809C1" w:rsidRPr="00C37E61" w:rsidRDefault="000809C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DB983" w14:textId="77777777" w:rsidR="00CA257A" w:rsidRDefault="00CA257A" w:rsidP="00C37E61">
      <w:r>
        <w:separator/>
      </w:r>
    </w:p>
  </w:footnote>
  <w:footnote w:type="continuationSeparator" w:id="0">
    <w:p w14:paraId="3A0B8216" w14:textId="77777777" w:rsidR="00CA257A" w:rsidRDefault="00CA257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91C4C" w14:textId="62DDA884" w:rsidR="000809C1" w:rsidRDefault="00CA257A">
    <w:pPr>
      <w:pStyle w:val="Header"/>
    </w:pPr>
    <w:r>
      <w:rPr>
        <w:noProof/>
      </w:rPr>
      <w:pict w14:anchorId="23B49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2EDF0" w14:textId="3F051ED0" w:rsidR="000809C1" w:rsidRDefault="00CA257A">
    <w:pPr>
      <w:pStyle w:val="Header"/>
    </w:pPr>
    <w:r>
      <w:rPr>
        <w:noProof/>
      </w:rPr>
      <w:pict w14:anchorId="0220CA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0557A" w14:textId="735D3ED3" w:rsidR="000809C1" w:rsidRPr="00296529" w:rsidRDefault="00CA257A" w:rsidP="00296529">
    <w:pPr>
      <w:ind w:left="2160"/>
      <w:jc w:val="center"/>
      <w:rPr>
        <w:rFonts w:ascii="Times New Roman" w:eastAsia="Calibri" w:hAnsi="Times New Roman"/>
        <w:i/>
        <w:sz w:val="18"/>
        <w:szCs w:val="22"/>
      </w:rPr>
    </w:pPr>
    <w:r>
      <w:rPr>
        <w:noProof/>
      </w:rPr>
      <w:pict w14:anchorId="2EB511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A5BD527" w14:textId="77777777" w:rsidR="000809C1" w:rsidRPr="00296529" w:rsidRDefault="000809C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00D1CF9" w14:textId="77777777" w:rsidR="000809C1" w:rsidRPr="00296529" w:rsidRDefault="000809C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1D5433" w14:textId="77777777" w:rsidR="000809C1" w:rsidRPr="00296529" w:rsidRDefault="000809C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A33F6E7" w14:textId="77777777" w:rsidR="000809C1" w:rsidRDefault="000809C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693D59B" w14:textId="77777777" w:rsidR="000809C1" w:rsidRDefault="000809C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0768569" w14:textId="77777777" w:rsidR="000809C1" w:rsidRDefault="000809C1">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AC50" w14:textId="51D93889" w:rsidR="000809C1" w:rsidRDefault="00CA257A">
    <w:pPr>
      <w:pStyle w:val="Header"/>
    </w:pPr>
    <w:r>
      <w:rPr>
        <w:noProof/>
      </w:rPr>
      <w:pict w14:anchorId="603AF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A1DD4" w14:textId="430443BA" w:rsidR="000809C1" w:rsidRDefault="00CA257A">
    <w:pPr>
      <w:pStyle w:val="Header"/>
    </w:pPr>
    <w:r>
      <w:rPr>
        <w:noProof/>
      </w:rPr>
      <w:pict w14:anchorId="62251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6B66" w14:textId="0BAD9B44" w:rsidR="000809C1" w:rsidRDefault="00CA257A">
    <w:pPr>
      <w:pStyle w:val="Header"/>
    </w:pPr>
    <w:r>
      <w:rPr>
        <w:noProof/>
      </w:rPr>
      <w:pict w14:anchorId="2F3B29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323220"/>
    <w:multiLevelType w:val="hybridMultilevel"/>
    <w:tmpl w:val="63D8BA02"/>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23E"/>
    <w:rsid w:val="00000F8F"/>
    <w:rsid w:val="00010CFC"/>
    <w:rsid w:val="00030174"/>
    <w:rsid w:val="00041883"/>
    <w:rsid w:val="0004579C"/>
    <w:rsid w:val="000809C1"/>
    <w:rsid w:val="000844EC"/>
    <w:rsid w:val="000A47FA"/>
    <w:rsid w:val="000A65D3"/>
    <w:rsid w:val="000B1E03"/>
    <w:rsid w:val="000B1E33"/>
    <w:rsid w:val="000D48AA"/>
    <w:rsid w:val="000D689F"/>
    <w:rsid w:val="000E5E22"/>
    <w:rsid w:val="000E7B7B"/>
    <w:rsid w:val="000E7D62"/>
    <w:rsid w:val="000F3B55"/>
    <w:rsid w:val="00103357"/>
    <w:rsid w:val="00115B46"/>
    <w:rsid w:val="00116141"/>
    <w:rsid w:val="001167BD"/>
    <w:rsid w:val="00123C9F"/>
    <w:rsid w:val="00126190"/>
    <w:rsid w:val="00127A88"/>
    <w:rsid w:val="00130F17"/>
    <w:rsid w:val="001320BF"/>
    <w:rsid w:val="00133102"/>
    <w:rsid w:val="00163BC4"/>
    <w:rsid w:val="00165532"/>
    <w:rsid w:val="00182633"/>
    <w:rsid w:val="00191062"/>
    <w:rsid w:val="00192B72"/>
    <w:rsid w:val="00196BC4"/>
    <w:rsid w:val="001A26F4"/>
    <w:rsid w:val="001A29D8"/>
    <w:rsid w:val="001A33DD"/>
    <w:rsid w:val="001A5CAA"/>
    <w:rsid w:val="001B0427"/>
    <w:rsid w:val="001C1A1F"/>
    <w:rsid w:val="001D3A51"/>
    <w:rsid w:val="001E10D2"/>
    <w:rsid w:val="001E25B4"/>
    <w:rsid w:val="001E44FE"/>
    <w:rsid w:val="00200595"/>
    <w:rsid w:val="00204835"/>
    <w:rsid w:val="002118F6"/>
    <w:rsid w:val="002128CC"/>
    <w:rsid w:val="00231920"/>
    <w:rsid w:val="0023195C"/>
    <w:rsid w:val="0024282C"/>
    <w:rsid w:val="002460DC"/>
    <w:rsid w:val="00250985"/>
    <w:rsid w:val="002556F6"/>
    <w:rsid w:val="00265F5F"/>
    <w:rsid w:val="0026764E"/>
    <w:rsid w:val="00283105"/>
    <w:rsid w:val="00284C4C"/>
    <w:rsid w:val="00287E68"/>
    <w:rsid w:val="00290A61"/>
    <w:rsid w:val="00296529"/>
    <w:rsid w:val="002B27FB"/>
    <w:rsid w:val="002B685A"/>
    <w:rsid w:val="002C1C41"/>
    <w:rsid w:val="002C57D2"/>
    <w:rsid w:val="002E0D56"/>
    <w:rsid w:val="002E3B93"/>
    <w:rsid w:val="00315186"/>
    <w:rsid w:val="003317D4"/>
    <w:rsid w:val="0033343E"/>
    <w:rsid w:val="003512C2"/>
    <w:rsid w:val="00353C42"/>
    <w:rsid w:val="00365705"/>
    <w:rsid w:val="00371FB6"/>
    <w:rsid w:val="003763C1"/>
    <w:rsid w:val="00376BBE"/>
    <w:rsid w:val="0039224F"/>
    <w:rsid w:val="003A0343"/>
    <w:rsid w:val="003A05B8"/>
    <w:rsid w:val="003A43A4"/>
    <w:rsid w:val="003A45B3"/>
    <w:rsid w:val="003A7026"/>
    <w:rsid w:val="003A7E18"/>
    <w:rsid w:val="003B100A"/>
    <w:rsid w:val="003C4C86"/>
    <w:rsid w:val="003C6258"/>
    <w:rsid w:val="003D45CE"/>
    <w:rsid w:val="003E2904"/>
    <w:rsid w:val="00401927"/>
    <w:rsid w:val="0041027F"/>
    <w:rsid w:val="00412475"/>
    <w:rsid w:val="00423789"/>
    <w:rsid w:val="00423F82"/>
    <w:rsid w:val="00426ABA"/>
    <w:rsid w:val="00440F43"/>
    <w:rsid w:val="00441B6F"/>
    <w:rsid w:val="00443078"/>
    <w:rsid w:val="00445B86"/>
    <w:rsid w:val="00446221"/>
    <w:rsid w:val="00450E62"/>
    <w:rsid w:val="004539DB"/>
    <w:rsid w:val="00454437"/>
    <w:rsid w:val="00465ED5"/>
    <w:rsid w:val="00471A80"/>
    <w:rsid w:val="00480A5D"/>
    <w:rsid w:val="004A39C7"/>
    <w:rsid w:val="004A6E86"/>
    <w:rsid w:val="004D305E"/>
    <w:rsid w:val="004D4277"/>
    <w:rsid w:val="004D6175"/>
    <w:rsid w:val="004F2E09"/>
    <w:rsid w:val="00502516"/>
    <w:rsid w:val="00505F06"/>
    <w:rsid w:val="00506828"/>
    <w:rsid w:val="00520814"/>
    <w:rsid w:val="00524CA3"/>
    <w:rsid w:val="0053056E"/>
    <w:rsid w:val="00532866"/>
    <w:rsid w:val="00554FDA"/>
    <w:rsid w:val="00573AD6"/>
    <w:rsid w:val="005828AD"/>
    <w:rsid w:val="005A0733"/>
    <w:rsid w:val="005B3189"/>
    <w:rsid w:val="005C784C"/>
    <w:rsid w:val="005D17F6"/>
    <w:rsid w:val="005E5539"/>
    <w:rsid w:val="00602BF5"/>
    <w:rsid w:val="00617636"/>
    <w:rsid w:val="00617FDD"/>
    <w:rsid w:val="00621872"/>
    <w:rsid w:val="00627733"/>
    <w:rsid w:val="00633614"/>
    <w:rsid w:val="00633F68"/>
    <w:rsid w:val="00636EB2"/>
    <w:rsid w:val="006375B8"/>
    <w:rsid w:val="0066510A"/>
    <w:rsid w:val="00673F9F"/>
    <w:rsid w:val="0067416F"/>
    <w:rsid w:val="00686953"/>
    <w:rsid w:val="00687DEA"/>
    <w:rsid w:val="00687E67"/>
    <w:rsid w:val="00692D87"/>
    <w:rsid w:val="006967F7"/>
    <w:rsid w:val="006A250C"/>
    <w:rsid w:val="006B21D3"/>
    <w:rsid w:val="006B57D0"/>
    <w:rsid w:val="006D30FF"/>
    <w:rsid w:val="006D6940"/>
    <w:rsid w:val="006E0544"/>
    <w:rsid w:val="006E29EB"/>
    <w:rsid w:val="006F11EC"/>
    <w:rsid w:val="0070082C"/>
    <w:rsid w:val="00703500"/>
    <w:rsid w:val="00723E2C"/>
    <w:rsid w:val="007305AB"/>
    <w:rsid w:val="007369E6"/>
    <w:rsid w:val="00746E59"/>
    <w:rsid w:val="00752B25"/>
    <w:rsid w:val="00754C9A"/>
    <w:rsid w:val="0075599A"/>
    <w:rsid w:val="00761D52"/>
    <w:rsid w:val="00771291"/>
    <w:rsid w:val="0077626C"/>
    <w:rsid w:val="0077749E"/>
    <w:rsid w:val="0078339C"/>
    <w:rsid w:val="00785B96"/>
    <w:rsid w:val="00790ADA"/>
    <w:rsid w:val="007B44EA"/>
    <w:rsid w:val="007B6B1B"/>
    <w:rsid w:val="007D2288"/>
    <w:rsid w:val="007D3771"/>
    <w:rsid w:val="007E088F"/>
    <w:rsid w:val="007E2669"/>
    <w:rsid w:val="007E31BC"/>
    <w:rsid w:val="007E3705"/>
    <w:rsid w:val="007F00A9"/>
    <w:rsid w:val="007F7B32"/>
    <w:rsid w:val="00804BC2"/>
    <w:rsid w:val="008109E2"/>
    <w:rsid w:val="0081431A"/>
    <w:rsid w:val="008237AF"/>
    <w:rsid w:val="0083216F"/>
    <w:rsid w:val="00860000"/>
    <w:rsid w:val="00863BD3"/>
    <w:rsid w:val="008641ED"/>
    <w:rsid w:val="00866D66"/>
    <w:rsid w:val="008671C6"/>
    <w:rsid w:val="00875803"/>
    <w:rsid w:val="00881D6E"/>
    <w:rsid w:val="00885F6D"/>
    <w:rsid w:val="008A010C"/>
    <w:rsid w:val="008A0BC4"/>
    <w:rsid w:val="008B1F04"/>
    <w:rsid w:val="008B459E"/>
    <w:rsid w:val="008E13AE"/>
    <w:rsid w:val="008E1506"/>
    <w:rsid w:val="008E40F8"/>
    <w:rsid w:val="008E710C"/>
    <w:rsid w:val="008F69D6"/>
    <w:rsid w:val="00902823"/>
    <w:rsid w:val="00913452"/>
    <w:rsid w:val="00915CA6"/>
    <w:rsid w:val="00927834"/>
    <w:rsid w:val="00934F4B"/>
    <w:rsid w:val="009500A6"/>
    <w:rsid w:val="00957C18"/>
    <w:rsid w:val="00963F3C"/>
    <w:rsid w:val="009659BA"/>
    <w:rsid w:val="00976DDA"/>
    <w:rsid w:val="00983040"/>
    <w:rsid w:val="009835D7"/>
    <w:rsid w:val="009875A7"/>
    <w:rsid w:val="009B3FB9"/>
    <w:rsid w:val="009B6093"/>
    <w:rsid w:val="009C2465"/>
    <w:rsid w:val="009D35A0"/>
    <w:rsid w:val="009D7EB7"/>
    <w:rsid w:val="009E048A"/>
    <w:rsid w:val="009E08E9"/>
    <w:rsid w:val="009E3DB9"/>
    <w:rsid w:val="009E6E35"/>
    <w:rsid w:val="009F0EDA"/>
    <w:rsid w:val="00A03B96"/>
    <w:rsid w:val="00A05B19"/>
    <w:rsid w:val="00A1134E"/>
    <w:rsid w:val="00A24E7E"/>
    <w:rsid w:val="00A258C3"/>
    <w:rsid w:val="00A322AA"/>
    <w:rsid w:val="00A347C0"/>
    <w:rsid w:val="00A51431"/>
    <w:rsid w:val="00A539AD"/>
    <w:rsid w:val="00A666CA"/>
    <w:rsid w:val="00A94063"/>
    <w:rsid w:val="00AA6219"/>
    <w:rsid w:val="00AA74E0"/>
    <w:rsid w:val="00AB6EA8"/>
    <w:rsid w:val="00AB703F"/>
    <w:rsid w:val="00AC6BB8"/>
    <w:rsid w:val="00AC7275"/>
    <w:rsid w:val="00AE008F"/>
    <w:rsid w:val="00AE661B"/>
    <w:rsid w:val="00B00120"/>
    <w:rsid w:val="00B01FCD"/>
    <w:rsid w:val="00B1776C"/>
    <w:rsid w:val="00B25383"/>
    <w:rsid w:val="00B52583"/>
    <w:rsid w:val="00B52896"/>
    <w:rsid w:val="00B53728"/>
    <w:rsid w:val="00B82201"/>
    <w:rsid w:val="00B908C3"/>
    <w:rsid w:val="00B95236"/>
    <w:rsid w:val="00B96BD9"/>
    <w:rsid w:val="00BA1B01"/>
    <w:rsid w:val="00BA2641"/>
    <w:rsid w:val="00BA2901"/>
    <w:rsid w:val="00BA54D8"/>
    <w:rsid w:val="00BB37AA"/>
    <w:rsid w:val="00BB44E0"/>
    <w:rsid w:val="00BC53A0"/>
    <w:rsid w:val="00BE62AD"/>
    <w:rsid w:val="00BF121F"/>
    <w:rsid w:val="00BF1F80"/>
    <w:rsid w:val="00C06A36"/>
    <w:rsid w:val="00C11DDE"/>
    <w:rsid w:val="00C166EF"/>
    <w:rsid w:val="00C17EB0"/>
    <w:rsid w:val="00C27C68"/>
    <w:rsid w:val="00C27F5F"/>
    <w:rsid w:val="00C30A0F"/>
    <w:rsid w:val="00C37E61"/>
    <w:rsid w:val="00C70F1B"/>
    <w:rsid w:val="00C71A47"/>
    <w:rsid w:val="00C7464C"/>
    <w:rsid w:val="00C82E42"/>
    <w:rsid w:val="00C85588"/>
    <w:rsid w:val="00C93CD6"/>
    <w:rsid w:val="00C95883"/>
    <w:rsid w:val="00CA257A"/>
    <w:rsid w:val="00CC2DFA"/>
    <w:rsid w:val="00CD6755"/>
    <w:rsid w:val="00CD6856"/>
    <w:rsid w:val="00CE0089"/>
    <w:rsid w:val="00CE6BE9"/>
    <w:rsid w:val="00CE793C"/>
    <w:rsid w:val="00CF05A8"/>
    <w:rsid w:val="00CF193C"/>
    <w:rsid w:val="00CF48D6"/>
    <w:rsid w:val="00D173F1"/>
    <w:rsid w:val="00D461A1"/>
    <w:rsid w:val="00D53057"/>
    <w:rsid w:val="00D60930"/>
    <w:rsid w:val="00D74CB0"/>
    <w:rsid w:val="00D77D6D"/>
    <w:rsid w:val="00D8295D"/>
    <w:rsid w:val="00D90C95"/>
    <w:rsid w:val="00D92061"/>
    <w:rsid w:val="00D97166"/>
    <w:rsid w:val="00DB388C"/>
    <w:rsid w:val="00DC2A65"/>
    <w:rsid w:val="00DD53B9"/>
    <w:rsid w:val="00DD6D72"/>
    <w:rsid w:val="00DE15F0"/>
    <w:rsid w:val="00DE5663"/>
    <w:rsid w:val="00DE78AA"/>
    <w:rsid w:val="00E053D0"/>
    <w:rsid w:val="00E15994"/>
    <w:rsid w:val="00E20C6E"/>
    <w:rsid w:val="00E3114E"/>
    <w:rsid w:val="00E31A70"/>
    <w:rsid w:val="00E35B02"/>
    <w:rsid w:val="00E37414"/>
    <w:rsid w:val="00E4541A"/>
    <w:rsid w:val="00E66496"/>
    <w:rsid w:val="00E66B35"/>
    <w:rsid w:val="00E66DBE"/>
    <w:rsid w:val="00E66E10"/>
    <w:rsid w:val="00E769F6"/>
    <w:rsid w:val="00E8407C"/>
    <w:rsid w:val="00E84F3C"/>
    <w:rsid w:val="00E867D8"/>
    <w:rsid w:val="00E93F00"/>
    <w:rsid w:val="00EA012C"/>
    <w:rsid w:val="00EA1F3C"/>
    <w:rsid w:val="00EA3552"/>
    <w:rsid w:val="00EA5C1D"/>
    <w:rsid w:val="00EA6078"/>
    <w:rsid w:val="00EC6A55"/>
    <w:rsid w:val="00ED0288"/>
    <w:rsid w:val="00ED487D"/>
    <w:rsid w:val="00EE52CB"/>
    <w:rsid w:val="00EF581D"/>
    <w:rsid w:val="00EF7FD8"/>
    <w:rsid w:val="00F06F59"/>
    <w:rsid w:val="00F10A7F"/>
    <w:rsid w:val="00F17988"/>
    <w:rsid w:val="00F452ED"/>
    <w:rsid w:val="00F469F0"/>
    <w:rsid w:val="00F5316D"/>
    <w:rsid w:val="00F53273"/>
    <w:rsid w:val="00F65F6D"/>
    <w:rsid w:val="00F755E4"/>
    <w:rsid w:val="00F77D02"/>
    <w:rsid w:val="00F976D2"/>
    <w:rsid w:val="00FA6728"/>
    <w:rsid w:val="00FB3A86"/>
    <w:rsid w:val="00FD36C8"/>
    <w:rsid w:val="00FE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A59CEC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3">
    <w:name w:val="Plain Table 3"/>
    <w:basedOn w:val="TableNormal"/>
    <w:uiPriority w:val="43"/>
    <w:rsid w:val="000D48A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0D48A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0D48A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0D48A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1C1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21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nfpa.org/swp/swpmain.htm" TargetMode="External"/><Relationship Id="rId18" Type="http://schemas.openxmlformats.org/officeDocument/2006/relationships/hyperlink" Target="http://www.fanres.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urnaljsrr.com/index.php/JSRR/article/view/2176" TargetMode="External"/><Relationship Id="rId7" Type="http://schemas.openxmlformats.org/officeDocument/2006/relationships/endnotes" Target="endnotes.xml"/><Relationship Id="rId12" Type="http://schemas.openxmlformats.org/officeDocument/2006/relationships/hyperlink" Target="https://www.scirp.org/reference/ReferencesPapers?ReferenceID=1774630" TargetMode="External"/><Relationship Id="rId17" Type="http://schemas.openxmlformats.org/officeDocument/2006/relationships/hyperlink" Target="http://www.zatac.org"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hdl.handle.net/10568/1697" TargetMode="External"/><Relationship Id="rId20" Type="http://schemas.openxmlformats.org/officeDocument/2006/relationships/hyperlink" Target="https://www.fao.org/4/t0413e/T0413E0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rliament.go.tz/polis/uploads/bills/acts/1566289239-The%20Tanzania%20Livestock%20Development%20Authority%20Act,%201974.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epository.mof.go.tz/bitstream/handle/123456789/23/THE%20ECONOMIC%20SURVEY%202010.pdf?sequence=1" TargetMode="External"/><Relationship Id="rId23" Type="http://schemas.openxmlformats.org/officeDocument/2006/relationships/header" Target="header5.xml"/><Relationship Id="rId10" Type="http://schemas.openxmlformats.org/officeDocument/2006/relationships/header" Target="header3.xml"/><Relationship Id="rId19" Type="http://schemas.openxmlformats.org/officeDocument/2006/relationships/hyperlink" Target="https://www.researchgate.net/publication/22685752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o.org/ag/againfo/projests/en/pplpi/publications.html"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E832C-6A89-46FE-8D57-7EFCCCC2E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263</TotalTime>
  <Pages>12</Pages>
  <Words>5151</Words>
  <Characters>29366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34449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1117</cp:lastModifiedBy>
  <cp:revision>241</cp:revision>
  <cp:lastPrinted>1999-07-06T11:00:00Z</cp:lastPrinted>
  <dcterms:created xsi:type="dcterms:W3CDTF">2025-03-26T14:16:00Z</dcterms:created>
  <dcterms:modified xsi:type="dcterms:W3CDTF">2025-03-28T05:21:00Z</dcterms:modified>
</cp:coreProperties>
</file>