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EE3AA" w14:textId="77777777" w:rsidR="00A854F3" w:rsidRPr="00A854F3" w:rsidRDefault="00A854F3" w:rsidP="00A854F3">
      <w:pPr>
        <w:pStyle w:val="Title"/>
        <w:rPr>
          <w:bCs/>
          <w:i/>
          <w:iCs/>
          <w:u w:val="single"/>
          <w:lang w:val="en-US"/>
        </w:rPr>
      </w:pPr>
      <w:bookmarkStart w:id="0" w:name="_Ref190866687"/>
      <w:r w:rsidRPr="00A854F3">
        <w:rPr>
          <w:bCs/>
          <w:i/>
          <w:iCs/>
          <w:u w:val="single"/>
          <w:lang w:val="en-US"/>
        </w:rPr>
        <w:t>Original Research Article</w:t>
      </w:r>
    </w:p>
    <w:p w14:paraId="50C2B860" w14:textId="43146503" w:rsidR="00D17AD2" w:rsidRPr="00CE5EA9" w:rsidRDefault="00CB3D47" w:rsidP="004038A5">
      <w:pPr>
        <w:pStyle w:val="Title"/>
      </w:pPr>
      <w:r w:rsidRPr="00CE5EA9">
        <w:t xml:space="preserve">Assessing suitable tree species for biochar </w:t>
      </w:r>
      <w:r w:rsidR="00446956">
        <w:t>production</w:t>
      </w:r>
      <w:r w:rsidRPr="00CE5EA9">
        <w:t xml:space="preserve"> and their performance in enriching soil quality and plant growth of Oryza sativa L</w:t>
      </w:r>
      <w:r w:rsidR="00CE5EA9">
        <w:t>.</w:t>
      </w:r>
      <w:r w:rsidR="00CE5EA9" w:rsidRPr="00CE5EA9">
        <w:t xml:space="preserve"> and A</w:t>
      </w:r>
      <w:r w:rsidR="00CE5EA9" w:rsidRPr="00CE5EA9">
        <w:rPr>
          <w:i/>
        </w:rPr>
        <w:t xml:space="preserve">cacia </w:t>
      </w:r>
      <w:proofErr w:type="spellStart"/>
      <w:r w:rsidR="00CE5EA9" w:rsidRPr="00CE5EA9">
        <w:rPr>
          <w:i/>
        </w:rPr>
        <w:t>auriculiformis</w:t>
      </w:r>
      <w:proofErr w:type="spellEnd"/>
      <w:r w:rsidR="00CE5EA9" w:rsidRPr="00CE5EA9">
        <w:t xml:space="preserve"> A. </w:t>
      </w:r>
      <w:proofErr w:type="spellStart"/>
      <w:r w:rsidR="00CE5EA9" w:rsidRPr="00CE5EA9">
        <w:t>Cunn</w:t>
      </w:r>
      <w:proofErr w:type="spellEnd"/>
      <w:r w:rsidR="00CE5EA9" w:rsidRPr="00CE5EA9">
        <w:t>. ex Benth.</w:t>
      </w:r>
      <w:bookmarkEnd w:id="0"/>
    </w:p>
    <w:p w14:paraId="47EC158F" w14:textId="7278C77C" w:rsidR="00E82472" w:rsidRDefault="00E82472" w:rsidP="00E82472">
      <w:pPr>
        <w:pStyle w:val="ListParagraph"/>
        <w:jc w:val="center"/>
        <w:rPr>
          <w:rFonts w:eastAsia="Times New Roman"/>
          <w:i/>
          <w:iCs/>
          <w:szCs w:val="20"/>
        </w:rPr>
      </w:pPr>
    </w:p>
    <w:p w14:paraId="1E89D204" w14:textId="77777777" w:rsidR="00B01BEA" w:rsidRPr="00E82472" w:rsidRDefault="00B01BEA" w:rsidP="00E82472">
      <w:pPr>
        <w:pStyle w:val="ListParagraph"/>
        <w:jc w:val="center"/>
        <w:rPr>
          <w:rFonts w:eastAsia="Times New Roman"/>
          <w:i/>
          <w:iCs/>
          <w:szCs w:val="20"/>
        </w:rPr>
      </w:pPr>
    </w:p>
    <w:p w14:paraId="03893110" w14:textId="61FB0178" w:rsidR="004A1AE4" w:rsidRDefault="004A1AE4" w:rsidP="004A1AE4">
      <w:pPr>
        <w:spacing w:before="240" w:after="240"/>
        <w:rPr>
          <w:rFonts w:eastAsia="Times New Roman"/>
          <w:b/>
          <w:bCs/>
          <w:iCs/>
        </w:rPr>
      </w:pPr>
      <w:r>
        <w:rPr>
          <w:rFonts w:eastAsia="Times New Roman"/>
          <w:b/>
          <w:bCs/>
          <w:iCs/>
          <w:noProof/>
        </w:rPr>
        <mc:AlternateContent>
          <mc:Choice Requires="wps">
            <w:drawing>
              <wp:anchor distT="0" distB="0" distL="114300" distR="114300" simplePos="0" relativeHeight="251652096" behindDoc="0" locked="0" layoutInCell="1" allowOverlap="1" wp14:anchorId="75745652" wp14:editId="03BDC9B7">
                <wp:simplePos x="0" y="0"/>
                <wp:positionH relativeFrom="column">
                  <wp:posOffset>-1</wp:posOffset>
                </wp:positionH>
                <wp:positionV relativeFrom="paragraph">
                  <wp:posOffset>194945</wp:posOffset>
                </wp:positionV>
                <wp:extent cx="5705475" cy="0"/>
                <wp:effectExtent l="38100" t="38100" r="66675" b="95250"/>
                <wp:wrapNone/>
                <wp:docPr id="994580426" name="Straight Connector 1"/>
                <wp:cNvGraphicFramePr/>
                <a:graphic xmlns:a="http://schemas.openxmlformats.org/drawingml/2006/main">
                  <a:graphicData uri="http://schemas.microsoft.com/office/word/2010/wordprocessingShape">
                    <wps:wsp>
                      <wps:cNvCnPr/>
                      <wps:spPr>
                        <a:xfrm>
                          <a:off x="0" y="0"/>
                          <a:ext cx="5705475"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EED630"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15.35pt" to="449.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" strokecolor="black [3213]" strokeweight="2pt">
                <v:shadow on="t" color="black" opacity="24903f" origin=",.5" offset="0,.55556mm"/>
              </v:line>
            </w:pict>
          </mc:Fallback>
        </mc:AlternateContent>
      </w:r>
    </w:p>
    <w:p w14:paraId="1B2C72DC" w14:textId="456D0C99" w:rsidR="00F23466" w:rsidRDefault="00423EE1" w:rsidP="004A1AE4">
      <w:pPr>
        <w:spacing w:before="240" w:after="240"/>
        <w:jc w:val="left"/>
        <w:rPr>
          <w:rFonts w:eastAsia="Times New Roman"/>
          <w:b/>
          <w:bCs/>
          <w:iCs/>
          <w:sz w:val="22"/>
          <w:szCs w:val="24"/>
        </w:rPr>
      </w:pPr>
      <w:r w:rsidRPr="00D5794E">
        <w:rPr>
          <w:rFonts w:eastAsia="Times New Roman"/>
          <w:b/>
          <w:bCs/>
          <w:iCs/>
          <w:sz w:val="22"/>
          <w:szCs w:val="24"/>
        </w:rPr>
        <w:t>ABSTRACT</w:t>
      </w:r>
    </w:p>
    <w:tbl>
      <w:tblPr>
        <w:tblStyle w:val="TableGrid"/>
        <w:tblW w:w="0" w:type="auto"/>
        <w:tblLook w:val="04A0" w:firstRow="1" w:lastRow="0" w:firstColumn="1" w:lastColumn="0" w:noHBand="0" w:noVBand="1"/>
      </w:tblPr>
      <w:tblGrid>
        <w:gridCol w:w="9019"/>
      </w:tblGrid>
      <w:tr w:rsidR="00D5794E" w14:paraId="505A4FA4" w14:textId="77777777" w:rsidTr="00D5794E">
        <w:tc>
          <w:tcPr>
            <w:tcW w:w="9019" w:type="dxa"/>
          </w:tcPr>
          <w:p w14:paraId="1F837AE8" w14:textId="3A47B3CE" w:rsidR="00D5794E" w:rsidRPr="00774668" w:rsidRDefault="00D5794E" w:rsidP="00D5794E">
            <w:r w:rsidRPr="00D5794E">
              <w:rPr>
                <w:rStyle w:val="Strong"/>
                <w:szCs w:val="20"/>
              </w:rPr>
              <w:t>Aims:</w:t>
            </w:r>
            <w:r>
              <w:rPr>
                <w:rStyle w:val="Strong"/>
                <w:b w:val="0"/>
                <w:bCs w:val="0"/>
                <w:szCs w:val="20"/>
              </w:rPr>
              <w:t xml:space="preserve"> </w:t>
            </w:r>
            <w:r w:rsidRPr="00774668">
              <w:t xml:space="preserve">This study aims to identify suitable tree species for biochar production and evaluate their effectiveness in improving soil quality and the growth of </w:t>
            </w:r>
            <w:r w:rsidR="00020441">
              <w:t>Rice (</w:t>
            </w:r>
            <w:r w:rsidRPr="00774668">
              <w:rPr>
                <w:rStyle w:val="Emphasis"/>
                <w:szCs w:val="20"/>
              </w:rPr>
              <w:t>Oryza sativa</w:t>
            </w:r>
            <w:r w:rsidRPr="00774668">
              <w:t xml:space="preserve"> L</w:t>
            </w:r>
            <w:r w:rsidR="00020441">
              <w:t xml:space="preserve">.) </w:t>
            </w:r>
            <w:r w:rsidRPr="00774668">
              <w:t xml:space="preserve">and </w:t>
            </w:r>
            <w:proofErr w:type="spellStart"/>
            <w:r w:rsidR="00020441">
              <w:t>Akshmoni</w:t>
            </w:r>
            <w:proofErr w:type="spellEnd"/>
            <w:r w:rsidR="00020441">
              <w:t xml:space="preserve"> (</w:t>
            </w:r>
            <w:r w:rsidRPr="00774668">
              <w:rPr>
                <w:rStyle w:val="Emphasis"/>
                <w:szCs w:val="20"/>
              </w:rPr>
              <w:t xml:space="preserve">Acacia </w:t>
            </w:r>
            <w:proofErr w:type="spellStart"/>
            <w:r w:rsidRPr="00774668">
              <w:rPr>
                <w:rStyle w:val="Emphasis"/>
                <w:szCs w:val="20"/>
              </w:rPr>
              <w:t>auriculiformis</w:t>
            </w:r>
            <w:proofErr w:type="spellEnd"/>
            <w:r w:rsidRPr="00774668">
              <w:t xml:space="preserve"> A. </w:t>
            </w:r>
            <w:proofErr w:type="spellStart"/>
            <w:r w:rsidRPr="00774668">
              <w:t>Cunn</w:t>
            </w:r>
            <w:proofErr w:type="spellEnd"/>
            <w:r w:rsidRPr="00774668">
              <w:t>. ex Benth</w:t>
            </w:r>
            <w:r w:rsidR="00020441">
              <w:t>)</w:t>
            </w:r>
            <w:r w:rsidRPr="00774668">
              <w:t>. The findings will help determine the most effective biochar feedstock for sustainable agroforestry practices in tropical regions.</w:t>
            </w:r>
          </w:p>
          <w:p w14:paraId="120EC8DC" w14:textId="77777777" w:rsidR="00D5794E" w:rsidRPr="00774668" w:rsidRDefault="00D5794E" w:rsidP="00D5794E">
            <w:r w:rsidRPr="00D5794E">
              <w:rPr>
                <w:rStyle w:val="Strong"/>
                <w:szCs w:val="20"/>
              </w:rPr>
              <w:t>Study Design:</w:t>
            </w:r>
            <w:r>
              <w:rPr>
                <w:rStyle w:val="Strong"/>
                <w:b w:val="0"/>
                <w:bCs w:val="0"/>
                <w:szCs w:val="20"/>
              </w:rPr>
              <w:t xml:space="preserve"> </w:t>
            </w:r>
            <w:r w:rsidRPr="00774668">
              <w:t>The experiment was conducted using a Complete Randomized Block Design (CRBD) with six different tropical tree species as feedstock for biochar production. Biochar was applied as a soil amendment at a rate of 10 t/ha, with a control group for comparison.</w:t>
            </w:r>
          </w:p>
          <w:p w14:paraId="5C3C6AB3" w14:textId="77777777" w:rsidR="00D5794E" w:rsidRPr="00774668" w:rsidRDefault="00D5794E" w:rsidP="00D5794E">
            <w:r w:rsidRPr="00D5794E">
              <w:rPr>
                <w:rStyle w:val="Strong"/>
                <w:szCs w:val="20"/>
              </w:rPr>
              <w:t>Place and Duration of Study:</w:t>
            </w:r>
            <w:r>
              <w:rPr>
                <w:rStyle w:val="Strong"/>
                <w:b w:val="0"/>
                <w:bCs w:val="0"/>
                <w:szCs w:val="20"/>
              </w:rPr>
              <w:t xml:space="preserve"> </w:t>
            </w:r>
            <w:r w:rsidRPr="00774668">
              <w:t>The study was carried out at the nursery of the Department of Forestry and Environmental Science, Shahjalal University of Science and Technology (SUST) in Sylhet, Bangladesh over a specific period, focusing on biochar production and its impact on soil properties and plant growth.</w:t>
            </w:r>
          </w:p>
          <w:p w14:paraId="14D63982" w14:textId="3CEAA25B" w:rsidR="00D5794E" w:rsidRPr="00774668" w:rsidRDefault="00D5794E" w:rsidP="00D5794E">
            <w:r w:rsidRPr="00D5794E">
              <w:rPr>
                <w:rStyle w:val="Strong"/>
                <w:szCs w:val="20"/>
              </w:rPr>
              <w:t>Methodology:</w:t>
            </w:r>
            <w:r>
              <w:rPr>
                <w:rStyle w:val="Strong"/>
                <w:b w:val="0"/>
                <w:bCs w:val="0"/>
                <w:szCs w:val="20"/>
              </w:rPr>
              <w:t xml:space="preserve"> </w:t>
            </w:r>
            <w:r w:rsidRPr="00774668">
              <w:t>Six tropical tree species—Rain tree (</w:t>
            </w:r>
            <w:r w:rsidRPr="00774668">
              <w:rPr>
                <w:rStyle w:val="Emphasis"/>
                <w:szCs w:val="20"/>
              </w:rPr>
              <w:t>Albizia saman</w:t>
            </w:r>
            <w:r w:rsidRPr="00774668">
              <w:t>), Kadam (</w:t>
            </w:r>
            <w:proofErr w:type="spellStart"/>
            <w:r w:rsidRPr="00774668">
              <w:rPr>
                <w:rStyle w:val="Emphasis"/>
                <w:szCs w:val="20"/>
              </w:rPr>
              <w:t>Neolamarckia</w:t>
            </w:r>
            <w:proofErr w:type="spellEnd"/>
            <w:r w:rsidRPr="00774668">
              <w:rPr>
                <w:rStyle w:val="Emphasis"/>
                <w:szCs w:val="20"/>
              </w:rPr>
              <w:t xml:space="preserve"> </w:t>
            </w:r>
            <w:proofErr w:type="spellStart"/>
            <w:r w:rsidRPr="00774668">
              <w:rPr>
                <w:rStyle w:val="Emphasis"/>
                <w:szCs w:val="20"/>
              </w:rPr>
              <w:t>cadamba</w:t>
            </w:r>
            <w:proofErr w:type="spellEnd"/>
            <w:r w:rsidRPr="00774668">
              <w:t>), Kathal (</w:t>
            </w:r>
            <w:r w:rsidRPr="00774668">
              <w:rPr>
                <w:rStyle w:val="Emphasis"/>
                <w:szCs w:val="20"/>
              </w:rPr>
              <w:t>Artocarpus heterophyllus</w:t>
            </w:r>
            <w:r w:rsidRPr="00774668">
              <w:t>), Mango (</w:t>
            </w:r>
            <w:r w:rsidRPr="00774668">
              <w:rPr>
                <w:rStyle w:val="Emphasis"/>
                <w:szCs w:val="20"/>
              </w:rPr>
              <w:t>Mangifera indica</w:t>
            </w:r>
            <w:r w:rsidRPr="00774668">
              <w:t xml:space="preserve">), </w:t>
            </w:r>
            <w:proofErr w:type="spellStart"/>
            <w:r w:rsidRPr="00774668">
              <w:t>Chambul</w:t>
            </w:r>
            <w:proofErr w:type="spellEnd"/>
            <w:r w:rsidRPr="00774668">
              <w:t xml:space="preserve"> (</w:t>
            </w:r>
            <w:r w:rsidRPr="00774668">
              <w:rPr>
                <w:rStyle w:val="Emphasis"/>
                <w:szCs w:val="20"/>
              </w:rPr>
              <w:t>Terminalia arjuna</w:t>
            </w:r>
            <w:r w:rsidRPr="00774668">
              <w:t>), and Mahogany (</w:t>
            </w:r>
            <w:r w:rsidRPr="00774668">
              <w:rPr>
                <w:rStyle w:val="Emphasis"/>
                <w:szCs w:val="20"/>
              </w:rPr>
              <w:t xml:space="preserve">Swietenia </w:t>
            </w:r>
            <w:proofErr w:type="spellStart"/>
            <w:r w:rsidRPr="00774668">
              <w:rPr>
                <w:rStyle w:val="Emphasis"/>
                <w:szCs w:val="20"/>
              </w:rPr>
              <w:t>mahagoni</w:t>
            </w:r>
            <w:proofErr w:type="spellEnd"/>
            <w:r w:rsidRPr="00774668">
              <w:t>)—were selected as feedstock for biochar production. A one-way ANOVA and Tukey HSD Post Hoc Test were used to determine statistical significance (α = 0.05) in evaluating biochar yield, soil quality improvement, and plant growth performance.</w:t>
            </w:r>
          </w:p>
          <w:p w14:paraId="7968F9F4" w14:textId="77777777" w:rsidR="00D5794E" w:rsidRPr="00774668" w:rsidRDefault="00D5794E" w:rsidP="00D5794E">
            <w:r w:rsidRPr="00D5794E">
              <w:rPr>
                <w:rStyle w:val="Strong"/>
                <w:szCs w:val="20"/>
              </w:rPr>
              <w:t>Results:</w:t>
            </w:r>
            <w:r>
              <w:rPr>
                <w:rStyle w:val="Strong"/>
                <w:b w:val="0"/>
                <w:bCs w:val="0"/>
                <w:szCs w:val="20"/>
              </w:rPr>
              <w:t xml:space="preserve"> </w:t>
            </w:r>
            <w:r w:rsidRPr="00774668">
              <w:t xml:space="preserve">Among the six species, </w:t>
            </w:r>
            <w:proofErr w:type="spellStart"/>
            <w:r w:rsidRPr="00774668">
              <w:t>Chambul</w:t>
            </w:r>
            <w:proofErr w:type="spellEnd"/>
            <w:r w:rsidRPr="00774668">
              <w:t xml:space="preserve"> (</w:t>
            </w:r>
            <w:r w:rsidRPr="00774668">
              <w:rPr>
                <w:rStyle w:val="Emphasis"/>
                <w:szCs w:val="20"/>
              </w:rPr>
              <w:t>Terminalia arjuna</w:t>
            </w:r>
            <w:r w:rsidRPr="00774668">
              <w:t>) produced the highest biochar yield (41.6%) and exhibited the highest germination potential (88.3%). It also showed positive effects on plant growth performance. However, certain biochar types had adverse effects on plant growth, indicating that the choice of feedstock significantly influences biochar effectiveness.</w:t>
            </w:r>
          </w:p>
          <w:p w14:paraId="26B3874D" w14:textId="49C323FE" w:rsidR="00D5794E" w:rsidRDefault="00D5794E" w:rsidP="00D5794E">
            <w:r w:rsidRPr="00D5794E">
              <w:rPr>
                <w:rStyle w:val="Strong"/>
                <w:szCs w:val="20"/>
              </w:rPr>
              <w:t>Conclusion:</w:t>
            </w:r>
            <w:r w:rsidRPr="00774668">
              <w:rPr>
                <w:rStyle w:val="Strong"/>
                <w:b w:val="0"/>
                <w:bCs w:val="0"/>
                <w:szCs w:val="20"/>
              </w:rPr>
              <w:t xml:space="preserve"> </w:t>
            </w:r>
            <w:r w:rsidRPr="00774668">
              <w:t xml:space="preserve">The study highlights the importance of selecting appropriate feedstock species for biochar production. </w:t>
            </w:r>
            <w:proofErr w:type="spellStart"/>
            <w:r w:rsidRPr="00774668">
              <w:t>Chambul</w:t>
            </w:r>
            <w:proofErr w:type="spellEnd"/>
            <w:r w:rsidR="00AB62EF">
              <w:t xml:space="preserve"> </w:t>
            </w:r>
            <w:r w:rsidR="00AB62EF" w:rsidRPr="00774668">
              <w:t>(</w:t>
            </w:r>
            <w:r w:rsidR="00AB62EF" w:rsidRPr="00774668">
              <w:rPr>
                <w:rStyle w:val="Emphasis"/>
                <w:szCs w:val="20"/>
              </w:rPr>
              <w:t>Terminalia arjuna</w:t>
            </w:r>
            <w:r w:rsidR="00AB62EF" w:rsidRPr="00774668">
              <w:t xml:space="preserve">) </w:t>
            </w:r>
            <w:r w:rsidRPr="00774668">
              <w:t>biochar demonstrated the most promising results in terms of yield, soil quality enhancement, and plant growth. However, careful selection of tree species is crucial before biochar application to ensure optimal benefits for soil and plant health.</w:t>
            </w:r>
          </w:p>
        </w:tc>
      </w:tr>
    </w:tbl>
    <w:p w14:paraId="2BB4BDEB" w14:textId="5585FCE0" w:rsidR="00D17AD2" w:rsidRPr="00D5794E" w:rsidRDefault="00A55FCB" w:rsidP="00446956">
      <w:pPr>
        <w:spacing w:before="240"/>
        <w:rPr>
          <w:rFonts w:eastAsia="Times New Roman"/>
          <w:i/>
          <w:szCs w:val="20"/>
        </w:rPr>
      </w:pPr>
      <w:r w:rsidRPr="00D5794E">
        <w:rPr>
          <w:rFonts w:eastAsia="Times New Roman"/>
          <w:i/>
          <w:szCs w:val="20"/>
        </w:rPr>
        <w:t xml:space="preserve">Keywords: Biochar, seed germination, plant growth, Oryza sativa, Acacia </w:t>
      </w:r>
      <w:proofErr w:type="spellStart"/>
      <w:r w:rsidRPr="00D5794E">
        <w:rPr>
          <w:rFonts w:eastAsia="Times New Roman"/>
          <w:i/>
          <w:szCs w:val="20"/>
        </w:rPr>
        <w:t>auriculiformis</w:t>
      </w:r>
      <w:proofErr w:type="spellEnd"/>
      <w:r w:rsidR="003945AE">
        <w:rPr>
          <w:rFonts w:eastAsia="Times New Roman"/>
          <w:i/>
          <w:szCs w:val="20"/>
        </w:rPr>
        <w:t>,</w:t>
      </w:r>
      <w:r w:rsidRPr="00D5794E">
        <w:rPr>
          <w:rFonts w:eastAsia="Times New Roman"/>
          <w:i/>
          <w:szCs w:val="20"/>
        </w:rPr>
        <w:t xml:space="preserve"> soil quality</w:t>
      </w:r>
    </w:p>
    <w:p w14:paraId="4FE6B81D" w14:textId="4B48EAB2" w:rsidR="00D17AD2" w:rsidRPr="00774668" w:rsidRDefault="00826E51" w:rsidP="00022F18">
      <w:pPr>
        <w:pStyle w:val="Heading1"/>
      </w:pPr>
      <w:bookmarkStart w:id="1" w:name="_4f3eal3kmqwy" w:colFirst="0" w:colLast="0"/>
      <w:bookmarkEnd w:id="1"/>
      <w:r w:rsidRPr="00774668">
        <w:t>INTRODUCTION</w:t>
      </w:r>
    </w:p>
    <w:p w14:paraId="390E5DEB" w14:textId="56060C6B" w:rsidR="00EC6C36" w:rsidRDefault="00A91024" w:rsidP="00022F18">
      <w:r w:rsidRPr="00774668">
        <w:t>Biomass has received a lot of attention recently as a source of renewable energy, because it is the only renewable source of fixed carbon</w:t>
      </w:r>
      <w:r w:rsidR="001A71C8" w:rsidRPr="00774668">
        <w:t xml:space="preserve"> </w:t>
      </w:r>
      <w:r w:rsidR="001A71C8" w:rsidRPr="00774668">
        <w:rPr>
          <w:vertAlign w:val="superscript"/>
        </w:rPr>
        <w:t>[</w:t>
      </w:r>
      <w:r w:rsidR="001A71C8" w:rsidRPr="00774668">
        <w:rPr>
          <w:vertAlign w:val="superscript"/>
        </w:rPr>
        <w:fldChar w:fldCharType="begin"/>
      </w:r>
      <w:r w:rsidR="001A71C8" w:rsidRPr="00774668">
        <w:rPr>
          <w:vertAlign w:val="superscript"/>
        </w:rPr>
        <w:instrText xml:space="preserve"> REF _Ref190868702 \r \h  \* MERGEFORMAT </w:instrText>
      </w:r>
      <w:r w:rsidR="001A71C8" w:rsidRPr="00774668">
        <w:rPr>
          <w:vertAlign w:val="superscript"/>
        </w:rPr>
      </w:r>
      <w:r w:rsidR="001A71C8" w:rsidRPr="00774668">
        <w:rPr>
          <w:vertAlign w:val="superscript"/>
        </w:rPr>
        <w:fldChar w:fldCharType="separate"/>
      </w:r>
      <w:r w:rsidR="00F11662">
        <w:rPr>
          <w:vertAlign w:val="superscript"/>
        </w:rPr>
        <w:t>1</w:t>
      </w:r>
      <w:r w:rsidR="001A71C8" w:rsidRPr="00774668">
        <w:rPr>
          <w:vertAlign w:val="superscript"/>
        </w:rPr>
        <w:fldChar w:fldCharType="end"/>
      </w:r>
      <w:r w:rsidR="001A71C8" w:rsidRPr="00774668">
        <w:rPr>
          <w:vertAlign w:val="superscript"/>
        </w:rPr>
        <w:t>,</w:t>
      </w:r>
      <w:r w:rsidR="001A71C8" w:rsidRPr="00774668">
        <w:rPr>
          <w:vertAlign w:val="superscript"/>
        </w:rPr>
        <w:fldChar w:fldCharType="begin"/>
      </w:r>
      <w:r w:rsidR="001A71C8" w:rsidRPr="00774668">
        <w:rPr>
          <w:vertAlign w:val="superscript"/>
        </w:rPr>
        <w:instrText xml:space="preserve"> REF _Ref190868705 \r \h  \* MERGEFORMAT </w:instrText>
      </w:r>
      <w:r w:rsidR="001A71C8" w:rsidRPr="00774668">
        <w:rPr>
          <w:vertAlign w:val="superscript"/>
        </w:rPr>
      </w:r>
      <w:r w:rsidR="001A71C8" w:rsidRPr="00774668">
        <w:rPr>
          <w:vertAlign w:val="superscript"/>
        </w:rPr>
        <w:fldChar w:fldCharType="separate"/>
      </w:r>
      <w:r w:rsidR="00F11662">
        <w:rPr>
          <w:vertAlign w:val="superscript"/>
        </w:rPr>
        <w:t>2</w:t>
      </w:r>
      <w:r w:rsidR="001A71C8" w:rsidRPr="00774668">
        <w:rPr>
          <w:vertAlign w:val="superscript"/>
        </w:rPr>
        <w:fldChar w:fldCharType="end"/>
      </w:r>
      <w:r w:rsidR="001A71C8" w:rsidRPr="00774668">
        <w:rPr>
          <w:vertAlign w:val="superscript"/>
        </w:rPr>
        <w:t>]</w:t>
      </w:r>
      <w:r w:rsidR="001A71C8" w:rsidRPr="00774668">
        <w:t xml:space="preserve">. </w:t>
      </w:r>
      <w:r w:rsidRPr="00774668">
        <w:t xml:space="preserve">Biomass has been recognized as a major world renewable energy source to supplement declining fossil fuel resources </w:t>
      </w:r>
      <w:r w:rsidR="001A71C8" w:rsidRPr="00774668">
        <w:rPr>
          <w:vertAlign w:val="superscript"/>
        </w:rPr>
        <w:t>[</w:t>
      </w:r>
      <w:r w:rsidR="001A71C8" w:rsidRPr="00774668">
        <w:rPr>
          <w:vertAlign w:val="superscript"/>
        </w:rPr>
        <w:fldChar w:fldCharType="begin"/>
      </w:r>
      <w:r w:rsidR="001A71C8" w:rsidRPr="00774668">
        <w:rPr>
          <w:vertAlign w:val="superscript"/>
        </w:rPr>
        <w:instrText xml:space="preserve"> REF _Ref190868798 \r \h  \* MERGEFORMAT </w:instrText>
      </w:r>
      <w:r w:rsidR="001A71C8" w:rsidRPr="00774668">
        <w:rPr>
          <w:vertAlign w:val="superscript"/>
        </w:rPr>
      </w:r>
      <w:r w:rsidR="001A71C8" w:rsidRPr="00774668">
        <w:rPr>
          <w:vertAlign w:val="superscript"/>
        </w:rPr>
        <w:fldChar w:fldCharType="separate"/>
      </w:r>
      <w:r w:rsidR="00F11662">
        <w:rPr>
          <w:vertAlign w:val="superscript"/>
        </w:rPr>
        <w:t>3</w:t>
      </w:r>
      <w:r w:rsidR="001A71C8" w:rsidRPr="00774668">
        <w:rPr>
          <w:vertAlign w:val="superscript"/>
        </w:rPr>
        <w:fldChar w:fldCharType="end"/>
      </w:r>
      <w:r w:rsidR="001A71C8" w:rsidRPr="00774668">
        <w:rPr>
          <w:vertAlign w:val="superscript"/>
        </w:rPr>
        <w:t>,</w:t>
      </w:r>
      <w:r w:rsidR="001A71C8" w:rsidRPr="00774668">
        <w:rPr>
          <w:vertAlign w:val="superscript"/>
        </w:rPr>
        <w:fldChar w:fldCharType="begin"/>
      </w:r>
      <w:r w:rsidR="001A71C8" w:rsidRPr="00774668">
        <w:rPr>
          <w:vertAlign w:val="superscript"/>
        </w:rPr>
        <w:instrText xml:space="preserve"> REF _Ref190868801 \r \h  \* MERGEFORMAT </w:instrText>
      </w:r>
      <w:r w:rsidR="001A71C8" w:rsidRPr="00774668">
        <w:rPr>
          <w:vertAlign w:val="superscript"/>
        </w:rPr>
      </w:r>
      <w:r w:rsidR="001A71C8" w:rsidRPr="00774668">
        <w:rPr>
          <w:vertAlign w:val="superscript"/>
        </w:rPr>
        <w:fldChar w:fldCharType="separate"/>
      </w:r>
      <w:r w:rsidR="00F11662">
        <w:rPr>
          <w:vertAlign w:val="superscript"/>
        </w:rPr>
        <w:t>4</w:t>
      </w:r>
      <w:r w:rsidR="001A71C8" w:rsidRPr="00774668">
        <w:rPr>
          <w:vertAlign w:val="superscript"/>
        </w:rPr>
        <w:fldChar w:fldCharType="end"/>
      </w:r>
      <w:r w:rsidR="001A71C8" w:rsidRPr="00774668">
        <w:rPr>
          <w:vertAlign w:val="superscript"/>
        </w:rPr>
        <w:t>]</w:t>
      </w:r>
      <w:r w:rsidR="001A71C8" w:rsidRPr="00774668">
        <w:t xml:space="preserve">. </w:t>
      </w:r>
      <w:r w:rsidR="00E15DCB" w:rsidRPr="00774668">
        <w:t>A lot of study has recently been done on finding suitable biomass species that can replace traditional fossil fuels and provide high-energy outputs.</w:t>
      </w:r>
      <w:r w:rsidR="00F52844" w:rsidRPr="00774668">
        <w:t xml:space="preserve"> </w:t>
      </w:r>
    </w:p>
    <w:p w14:paraId="68B0F98E" w14:textId="38DBA4B8" w:rsidR="008D3D09" w:rsidRPr="008D3D09" w:rsidRDefault="003945AE" w:rsidP="003945AE">
      <w:pPr>
        <w:tabs>
          <w:tab w:val="left" w:pos="2090"/>
        </w:tabs>
      </w:pPr>
      <w:r>
        <w:tab/>
      </w:r>
    </w:p>
    <w:p w14:paraId="4B76DCA3" w14:textId="607EE34A" w:rsidR="00F52844" w:rsidRPr="00774668" w:rsidRDefault="00F52844" w:rsidP="0037386E">
      <w:r w:rsidRPr="00774668">
        <w:t xml:space="preserve">There are three basic reasons why biomass seems to be an attractive feedstock. First, it is a renewable resource that can potentially be developed sustainably in the future. Second, it looks to have extraordinarily good environmental qualities, with no net carbon dioxide emissions and a very low </w:t>
      </w:r>
      <w:r w:rsidR="00FC2061" w:rsidRPr="00774668">
        <w:lastRenderedPageBreak/>
        <w:t>sulphur</w:t>
      </w:r>
      <w:r w:rsidRPr="00774668">
        <w:t xml:space="preserve"> content. Third, assuming future increases in the price of fossil fuels, it appears to have enormous economic </w:t>
      </w:r>
      <w:r w:rsidRPr="00D30BEE">
        <w:t xml:space="preserve">potential </w:t>
      </w:r>
      <w:r w:rsidR="001A71C8" w:rsidRPr="00D30BEE">
        <w:rPr>
          <w:vertAlign w:val="superscript"/>
        </w:rPr>
        <w:t>[</w:t>
      </w:r>
      <w:r w:rsidR="001A71C8" w:rsidRPr="00D30BEE">
        <w:rPr>
          <w:vertAlign w:val="superscript"/>
        </w:rPr>
        <w:fldChar w:fldCharType="begin"/>
      </w:r>
      <w:r w:rsidR="001A71C8" w:rsidRPr="00D30BEE">
        <w:rPr>
          <w:vertAlign w:val="superscript"/>
        </w:rPr>
        <w:instrText xml:space="preserve"> REF _Ref190868856 \r \h  \* MERGEFORMAT </w:instrText>
      </w:r>
      <w:r w:rsidR="001A71C8" w:rsidRPr="00D30BEE">
        <w:rPr>
          <w:vertAlign w:val="superscript"/>
        </w:rPr>
      </w:r>
      <w:r w:rsidR="001A71C8" w:rsidRPr="00D30BEE">
        <w:rPr>
          <w:vertAlign w:val="superscript"/>
        </w:rPr>
        <w:fldChar w:fldCharType="separate"/>
      </w:r>
      <w:r w:rsidR="00F11662" w:rsidRPr="00D30BEE">
        <w:rPr>
          <w:vertAlign w:val="superscript"/>
        </w:rPr>
        <w:t>5</w:t>
      </w:r>
      <w:r w:rsidR="001A71C8" w:rsidRPr="00D30BEE">
        <w:rPr>
          <w:vertAlign w:val="superscript"/>
        </w:rPr>
        <w:fldChar w:fldCharType="end"/>
      </w:r>
      <w:r w:rsidR="001A71C8" w:rsidRPr="00D30BEE">
        <w:rPr>
          <w:vertAlign w:val="superscript"/>
        </w:rPr>
        <w:t>]</w:t>
      </w:r>
      <w:r w:rsidR="001A71C8" w:rsidRPr="00D30BEE">
        <w:t>.</w:t>
      </w:r>
      <w:r w:rsidR="0037386E" w:rsidRPr="00D30BEE">
        <w:t xml:space="preserve"> </w:t>
      </w:r>
      <w:r w:rsidR="0037386E" w:rsidRPr="000D3C26">
        <w:rPr>
          <w:highlight w:val="yellow"/>
        </w:rPr>
        <w:t xml:space="preserve">Biochar has extensive capability and </w:t>
      </w:r>
      <w:r w:rsidR="00E528A2">
        <w:rPr>
          <w:highlight w:val="yellow"/>
        </w:rPr>
        <w:t xml:space="preserve">could be </w:t>
      </w:r>
      <w:r w:rsidR="0037386E" w:rsidRPr="000D3C26">
        <w:rPr>
          <w:highlight w:val="yellow"/>
        </w:rPr>
        <w:t>use</w:t>
      </w:r>
      <w:r w:rsidR="00E528A2">
        <w:rPr>
          <w:highlight w:val="yellow"/>
        </w:rPr>
        <w:t>d</w:t>
      </w:r>
      <w:r w:rsidR="0037386E" w:rsidRPr="000D3C26">
        <w:rPr>
          <w:highlight w:val="yellow"/>
        </w:rPr>
        <w:t xml:space="preserve"> as a stimulus to achieve sustainable development goals (SDGs) for ecological legitimacy. Overall, biochar can be used as a driving force for polluted water remediation, carbon absorption, composting, soil modification and</w:t>
      </w:r>
      <w:r w:rsidR="004C53EA" w:rsidRPr="000D3C26">
        <w:rPr>
          <w:highlight w:val="yellow"/>
        </w:rPr>
        <w:t xml:space="preserve"> </w:t>
      </w:r>
      <w:r w:rsidR="0037386E" w:rsidRPr="000D3C26">
        <w:rPr>
          <w:highlight w:val="yellow"/>
        </w:rPr>
        <w:t>energy production</w:t>
      </w:r>
      <w:r w:rsidR="004C53EA" w:rsidRPr="000D3C26">
        <w:rPr>
          <w:highlight w:val="yellow"/>
        </w:rPr>
        <w:t xml:space="preserve"> </w:t>
      </w:r>
      <w:r w:rsidR="0037386E" w:rsidRPr="000D3C26">
        <w:rPr>
          <w:highlight w:val="yellow"/>
          <w:vertAlign w:val="superscript"/>
        </w:rPr>
        <w:t>[</w:t>
      </w:r>
      <w:r w:rsidR="004C53EA" w:rsidRPr="000D3C26">
        <w:rPr>
          <w:highlight w:val="yellow"/>
          <w:vertAlign w:val="superscript"/>
        </w:rPr>
        <w:fldChar w:fldCharType="begin"/>
      </w:r>
      <w:r w:rsidR="004C53EA" w:rsidRPr="000D3C26">
        <w:rPr>
          <w:highlight w:val="yellow"/>
          <w:vertAlign w:val="superscript"/>
        </w:rPr>
        <w:instrText xml:space="preserve"> REF _Ref193462122 \r \h  \* MERGEFORMAT </w:instrText>
      </w:r>
      <w:r w:rsidR="004C53EA" w:rsidRPr="000D3C26">
        <w:rPr>
          <w:highlight w:val="yellow"/>
          <w:vertAlign w:val="superscript"/>
        </w:rPr>
      </w:r>
      <w:r w:rsidR="004C53EA" w:rsidRPr="000D3C26">
        <w:rPr>
          <w:highlight w:val="yellow"/>
          <w:vertAlign w:val="superscript"/>
        </w:rPr>
        <w:fldChar w:fldCharType="separate"/>
      </w:r>
      <w:r w:rsidR="004C53EA" w:rsidRPr="000D3C26">
        <w:rPr>
          <w:highlight w:val="yellow"/>
          <w:vertAlign w:val="superscript"/>
        </w:rPr>
        <w:t>6</w:t>
      </w:r>
      <w:r w:rsidR="004C53EA" w:rsidRPr="000D3C26">
        <w:rPr>
          <w:highlight w:val="yellow"/>
          <w:vertAlign w:val="superscript"/>
        </w:rPr>
        <w:fldChar w:fldCharType="end"/>
      </w:r>
      <w:r w:rsidR="0037386E" w:rsidRPr="000D3C26">
        <w:rPr>
          <w:highlight w:val="yellow"/>
          <w:vertAlign w:val="superscript"/>
        </w:rPr>
        <w:t>]</w:t>
      </w:r>
      <w:r w:rsidR="0037386E" w:rsidRPr="000D3C26">
        <w:rPr>
          <w:highlight w:val="yellow"/>
        </w:rPr>
        <w:t>.</w:t>
      </w:r>
    </w:p>
    <w:p w14:paraId="4878CA58" w14:textId="73B247FE" w:rsidR="00EC6C36" w:rsidRPr="00774668" w:rsidRDefault="00EC6C36" w:rsidP="00022F18">
      <w:r w:rsidRPr="00774668">
        <w:t xml:space="preserve">The biomass energy potential can be recovered either by direct use in combustion systems or by upgrading into a more valuable and usable fuel or gas or higher-value products for the different industries. </w:t>
      </w:r>
    </w:p>
    <w:p w14:paraId="6131FEE9" w14:textId="006294E7" w:rsidR="00D17AD2" w:rsidRPr="00774668" w:rsidRDefault="00CB3D47" w:rsidP="00022F18">
      <w:pPr>
        <w:rPr>
          <w:rFonts w:eastAsia="Times New Roman"/>
        </w:rPr>
      </w:pPr>
      <w:r w:rsidRPr="00774668">
        <w:rPr>
          <w:rFonts w:eastAsia="Times New Roman"/>
        </w:rPr>
        <w:t xml:space="preserve">Many activities are currently focused on avoiding greenhouse gas emissions through a reduction in the use of fossil fuels, capturing carbon dioxide emitted from fossil fuel combustion and through changes in land-use and agricultural practices. Subsequently approaches to remove carbon dioxide from the air are of increasing interest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_Ref190868891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7</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w:t>
      </w:r>
      <w:r w:rsidRPr="00774668">
        <w:rPr>
          <w:rFonts w:eastAsia="Times New Roman"/>
        </w:rPr>
        <w:t xml:space="preserve"> One such potential measure is the sequestration of carbon in soils in a latent structure through pyrolysis biochar systems. Pyrolysis is a thermo-chemical procedure in which natural material is changed over into a carbon-rich solid (char) and volatile matter (liquids and gases) by heating without oxygen</w:t>
      </w:r>
      <w:r w:rsidRPr="00774668">
        <w:rPr>
          <w:rFonts w:eastAsia="Times New Roman"/>
          <w:highlight w:val="white"/>
        </w:rPr>
        <w:t xml:space="preserve"> </w:t>
      </w:r>
      <w:r w:rsidR="001A71C8" w:rsidRPr="00774668">
        <w:rPr>
          <w:rFonts w:eastAsia="Times New Roman"/>
          <w:vertAlign w:val="superscript"/>
        </w:rPr>
        <w:t>[</w:t>
      </w:r>
      <w:r w:rsidR="001A71C8" w:rsidRPr="00774668">
        <w:rPr>
          <w:rFonts w:eastAsia="Times New Roman"/>
          <w:highlight w:val="white"/>
          <w:vertAlign w:val="superscript"/>
        </w:rPr>
        <w:fldChar w:fldCharType="begin"/>
      </w:r>
      <w:r w:rsidR="001A71C8" w:rsidRPr="00774668">
        <w:rPr>
          <w:rFonts w:eastAsia="Times New Roman"/>
          <w:vertAlign w:val="superscript"/>
        </w:rPr>
        <w:instrText xml:space="preserve"> REF _Ref190868920 \r \h </w:instrText>
      </w:r>
      <w:r w:rsidR="001A71C8" w:rsidRPr="00774668">
        <w:rPr>
          <w:rFonts w:eastAsia="Times New Roman"/>
          <w:highlight w:val="white"/>
          <w:vertAlign w:val="superscript"/>
        </w:rPr>
        <w:instrText xml:space="preserve"> \* MERGEFORMAT </w:instrText>
      </w:r>
      <w:r w:rsidR="001A71C8" w:rsidRPr="00774668">
        <w:rPr>
          <w:rFonts w:eastAsia="Times New Roman"/>
          <w:highlight w:val="white"/>
          <w:vertAlign w:val="superscript"/>
        </w:rPr>
      </w:r>
      <w:r w:rsidR="001A71C8" w:rsidRPr="00774668">
        <w:rPr>
          <w:rFonts w:eastAsia="Times New Roman"/>
          <w:highlight w:val="white"/>
          <w:vertAlign w:val="superscript"/>
        </w:rPr>
        <w:fldChar w:fldCharType="separate"/>
      </w:r>
      <w:r w:rsidR="003A6F82">
        <w:rPr>
          <w:rFonts w:eastAsia="Times New Roman"/>
          <w:vertAlign w:val="superscript"/>
        </w:rPr>
        <w:t>8</w:t>
      </w:r>
      <w:r w:rsidR="001A71C8" w:rsidRPr="00774668">
        <w:rPr>
          <w:rFonts w:eastAsia="Times New Roman"/>
          <w:highlight w:val="white"/>
          <w:vertAlign w:val="superscript"/>
        </w:rPr>
        <w:fldChar w:fldCharType="end"/>
      </w:r>
      <w:r w:rsidR="001A71C8" w:rsidRPr="00774668">
        <w:rPr>
          <w:rFonts w:eastAsia="Times New Roman"/>
          <w:vertAlign w:val="superscript"/>
        </w:rPr>
        <w:t>]</w:t>
      </w:r>
      <w:r w:rsidR="001A71C8" w:rsidRPr="00774668">
        <w:rPr>
          <w:rFonts w:eastAsia="Times New Roman"/>
        </w:rPr>
        <w:t>.</w:t>
      </w:r>
    </w:p>
    <w:p w14:paraId="38595386" w14:textId="21EBCC5B" w:rsidR="001A71C8" w:rsidRPr="00774668" w:rsidRDefault="001910F6" w:rsidP="00022F18">
      <w:pPr>
        <w:rPr>
          <w:rFonts w:eastAsia="Times New Roman"/>
        </w:rPr>
      </w:pPr>
      <w:r w:rsidRPr="00774668">
        <w:rPr>
          <w:rFonts w:eastAsia="Times New Roman"/>
        </w:rPr>
        <w:t xml:space="preserve">Biochar has been heralded as an amendment to rejuvenate debased soils, improve soil carbon sequestration and increase agronomic productivity. </w:t>
      </w:r>
      <w:r w:rsidR="00CB3D47" w:rsidRPr="00774668">
        <w:rPr>
          <w:rFonts w:eastAsia="Times New Roman"/>
        </w:rPr>
        <w:t xml:space="preserve">Biochar has a high stability potential, can remain in the soil for a very long period and contribute </w:t>
      </w:r>
      <w:r w:rsidRPr="00774668">
        <w:rPr>
          <w:rFonts w:eastAsia="Times New Roman"/>
        </w:rPr>
        <w:t>to</w:t>
      </w:r>
      <w:r w:rsidR="00CB3D47" w:rsidRPr="00774668">
        <w:rPr>
          <w:rFonts w:eastAsia="Times New Roman"/>
        </w:rPr>
        <w:t xml:space="preserve"> sequestration of atmospheric carbon. Thus, the longer period of the stability of biochar can play an important role in reducing the emission of CO</w:t>
      </w:r>
      <w:r w:rsidR="00CB3D47" w:rsidRPr="00774668">
        <w:rPr>
          <w:rFonts w:eastAsia="Times New Roman"/>
          <w:vertAlign w:val="subscript"/>
        </w:rPr>
        <w:t>2</w:t>
      </w:r>
      <w:r w:rsidR="00CB3D47" w:rsidRPr="00774668">
        <w:rPr>
          <w:rFonts w:eastAsia="Times New Roman"/>
        </w:rPr>
        <w:t xml:space="preserve"> to the atmosphere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_Ref190868965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9</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 xml:space="preserve">. </w:t>
      </w:r>
      <w:r w:rsidR="00CB3D47" w:rsidRPr="00774668">
        <w:rPr>
          <w:rFonts w:eastAsia="Times New Roman"/>
        </w:rPr>
        <w:t>At the point when biochar applied to the soil, it resists decaying, viably sequestering the applied carbon and mitigating anthropogenic CO</w:t>
      </w:r>
      <w:r w:rsidR="00CB3D47" w:rsidRPr="00774668">
        <w:rPr>
          <w:rFonts w:eastAsia="Times New Roman"/>
          <w:vertAlign w:val="subscript"/>
        </w:rPr>
        <w:t>2</w:t>
      </w:r>
      <w:r w:rsidR="00CB3D47" w:rsidRPr="00774668">
        <w:rPr>
          <w:rFonts w:eastAsia="Times New Roman"/>
        </w:rPr>
        <w:t xml:space="preserve"> emissions. It has been discovered that the use of biochar improves the physical and substance soil quality, upgrades nutrient accessibility and decreases the acidity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_Ref190869164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10</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_Ref190869170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11</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_Ref190869173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12</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w:t>
      </w:r>
      <w:r w:rsidR="00CB3D47" w:rsidRPr="00774668">
        <w:rPr>
          <w:rFonts w:eastAsia="Times New Roman"/>
        </w:rPr>
        <w:t xml:space="preserve"> Thus, biochar shows an extraordinary potential in agrarian use, for example, expanding soil productivity and yield output</w:t>
      </w:r>
      <w:r w:rsidR="001A71C8" w:rsidRPr="00774668">
        <w:rPr>
          <w:rFonts w:eastAsia="Times New Roman"/>
        </w:rPr>
        <w:t xml:space="preserve">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_Ref190875656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13</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_Ref190875659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14</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 xml:space="preserve">. </w:t>
      </w:r>
      <w:r w:rsidR="00CB3D47" w:rsidRPr="00774668">
        <w:rPr>
          <w:rFonts w:eastAsia="Times New Roman"/>
        </w:rPr>
        <w:t xml:space="preserve">Investigation of the effects of biochar on crop growth has increased over the past years but has mainly focused on tropical soil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_Ref190875737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15</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_Ref190875740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16</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_Ref190875743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17</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_Ref190875746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18</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_Ref190875749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19</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_Ref190875753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20</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_Ref190875756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21</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_Ref190875759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3A6F82">
        <w:rPr>
          <w:rFonts w:eastAsia="Times New Roman"/>
          <w:vertAlign w:val="superscript"/>
        </w:rPr>
        <w:t>22</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 xml:space="preserve">. </w:t>
      </w:r>
    </w:p>
    <w:p w14:paraId="4D5248FA" w14:textId="2E9A4DB4" w:rsidR="00D17AD2" w:rsidRPr="00774668" w:rsidRDefault="001A71C8" w:rsidP="00022F18">
      <w:pPr>
        <w:rPr>
          <w:rFonts w:eastAsia="Times New Roman"/>
          <w:vertAlign w:val="superscript"/>
        </w:rPr>
      </w:pPr>
      <w:r w:rsidRPr="00774668">
        <w:rPr>
          <w:rFonts w:eastAsia="Times New Roman"/>
        </w:rPr>
        <w:t>A</w:t>
      </w:r>
      <w:r w:rsidR="00CB3D47" w:rsidRPr="00774668">
        <w:rPr>
          <w:rFonts w:eastAsia="Times New Roman"/>
        </w:rPr>
        <w:t xml:space="preserve">pplication of biochar alone has increased about 81% above-ground dry matter accumulation of the </w:t>
      </w:r>
      <w:r w:rsidR="00CB3D47" w:rsidRPr="00774668">
        <w:rPr>
          <w:rFonts w:eastAsia="Times New Roman"/>
          <w:i/>
        </w:rPr>
        <w:t xml:space="preserve">Hevea </w:t>
      </w:r>
      <w:proofErr w:type="spellStart"/>
      <w:r w:rsidR="00CB3D47" w:rsidRPr="00774668">
        <w:rPr>
          <w:rFonts w:eastAsia="Times New Roman"/>
          <w:i/>
        </w:rPr>
        <w:t>brasiliensis</w:t>
      </w:r>
      <w:proofErr w:type="spellEnd"/>
      <w:r w:rsidR="00CB3D47" w:rsidRPr="00774668">
        <w:rPr>
          <w:rFonts w:eastAsia="Times New Roman"/>
          <w:i/>
        </w:rPr>
        <w:t xml:space="preserve"> </w:t>
      </w:r>
      <w:r w:rsidR="00CB3D47" w:rsidRPr="00774668">
        <w:rPr>
          <w:rFonts w:eastAsia="Times New Roman"/>
        </w:rPr>
        <w:t>rootstock seedlings</w:t>
      </w:r>
      <w:r w:rsidRPr="00774668">
        <w:rPr>
          <w:rFonts w:eastAsia="Times New Roman"/>
        </w:rPr>
        <w:t xml:space="preserve"> </w:t>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_Ref190875830 \r \h  \* MERGEFORMAT </w:instrText>
      </w:r>
      <w:r w:rsidRPr="00774668">
        <w:rPr>
          <w:rFonts w:eastAsia="Times New Roman"/>
          <w:vertAlign w:val="superscript"/>
        </w:rPr>
      </w:r>
      <w:r w:rsidRPr="00774668">
        <w:rPr>
          <w:rFonts w:eastAsia="Times New Roman"/>
          <w:vertAlign w:val="superscript"/>
        </w:rPr>
        <w:fldChar w:fldCharType="separate"/>
      </w:r>
      <w:r w:rsidR="003A6F82">
        <w:rPr>
          <w:rFonts w:eastAsia="Times New Roman"/>
          <w:vertAlign w:val="superscript"/>
        </w:rPr>
        <w:t>23</w:t>
      </w:r>
      <w:r w:rsidRPr="00774668">
        <w:rPr>
          <w:rFonts w:eastAsia="Times New Roman"/>
          <w:vertAlign w:val="superscript"/>
        </w:rPr>
        <w:fldChar w:fldCharType="end"/>
      </w:r>
      <w:r w:rsidRPr="00774668">
        <w:rPr>
          <w:rFonts w:eastAsia="Times New Roman"/>
          <w:vertAlign w:val="superscript"/>
        </w:rPr>
        <w:t>]</w:t>
      </w:r>
      <w:r w:rsidRPr="00774668">
        <w:rPr>
          <w:rFonts w:eastAsia="Times New Roman"/>
        </w:rPr>
        <w:t xml:space="preserve">. </w:t>
      </w:r>
      <w:r w:rsidR="00CB3D47" w:rsidRPr="00774668">
        <w:rPr>
          <w:rFonts w:eastAsia="Times New Roman"/>
        </w:rPr>
        <w:t xml:space="preserve">Again, application of biochar with NPK inorganic fertilizer showed significant correlation with stem diameter, seedling height and dry-matter accumulation </w:t>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_Ref190875866 \r \h  \* MERGEFORMAT </w:instrText>
      </w:r>
      <w:r w:rsidRPr="00774668">
        <w:rPr>
          <w:rFonts w:eastAsia="Times New Roman"/>
          <w:vertAlign w:val="superscript"/>
        </w:rPr>
      </w:r>
      <w:r w:rsidRPr="00774668">
        <w:rPr>
          <w:rFonts w:eastAsia="Times New Roman"/>
          <w:vertAlign w:val="superscript"/>
        </w:rPr>
        <w:fldChar w:fldCharType="separate"/>
      </w:r>
      <w:r w:rsidR="003A6F82">
        <w:rPr>
          <w:rFonts w:eastAsia="Times New Roman"/>
          <w:vertAlign w:val="superscript"/>
        </w:rPr>
        <w:t>24</w:t>
      </w:r>
      <w:r w:rsidRPr="00774668">
        <w:rPr>
          <w:rFonts w:eastAsia="Times New Roman"/>
          <w:vertAlign w:val="superscript"/>
        </w:rPr>
        <w:fldChar w:fldCharType="end"/>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_Ref190875869 \r \h  \* MERGEFORMAT </w:instrText>
      </w:r>
      <w:r w:rsidRPr="00774668">
        <w:rPr>
          <w:rFonts w:eastAsia="Times New Roman"/>
          <w:vertAlign w:val="superscript"/>
        </w:rPr>
      </w:r>
      <w:r w:rsidRPr="00774668">
        <w:rPr>
          <w:rFonts w:eastAsia="Times New Roman"/>
          <w:vertAlign w:val="superscript"/>
        </w:rPr>
        <w:fldChar w:fldCharType="separate"/>
      </w:r>
      <w:r w:rsidR="003A6F82">
        <w:rPr>
          <w:rFonts w:eastAsia="Times New Roman"/>
          <w:vertAlign w:val="superscript"/>
        </w:rPr>
        <w:t>25</w:t>
      </w:r>
      <w:r w:rsidRPr="00774668">
        <w:rPr>
          <w:rFonts w:eastAsia="Times New Roman"/>
          <w:vertAlign w:val="superscript"/>
        </w:rPr>
        <w:fldChar w:fldCharType="end"/>
      </w:r>
      <w:r w:rsidRPr="00774668">
        <w:rPr>
          <w:rFonts w:eastAsia="Times New Roman"/>
          <w:vertAlign w:val="superscript"/>
        </w:rPr>
        <w:t>]</w:t>
      </w:r>
      <w:r w:rsidRPr="00774668">
        <w:rPr>
          <w:rFonts w:eastAsia="Times New Roman"/>
        </w:rPr>
        <w:t xml:space="preserve">. </w:t>
      </w:r>
      <w:r w:rsidR="00CB3D47" w:rsidRPr="00774668">
        <w:rPr>
          <w:rFonts w:eastAsia="Times New Roman"/>
        </w:rPr>
        <w:t>Combination of biochar with compost enhanced foliar N, P and K concentration compared to control plants</w:t>
      </w:r>
      <w:r w:rsidRPr="00774668">
        <w:rPr>
          <w:rFonts w:eastAsia="Times New Roman"/>
        </w:rPr>
        <w:t xml:space="preserve"> </w:t>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_Ref190875905 \r \h  \* MERGEFORMAT </w:instrText>
      </w:r>
      <w:r w:rsidRPr="00774668">
        <w:rPr>
          <w:rFonts w:eastAsia="Times New Roman"/>
          <w:vertAlign w:val="superscript"/>
        </w:rPr>
      </w:r>
      <w:r w:rsidRPr="00774668">
        <w:rPr>
          <w:rFonts w:eastAsia="Times New Roman"/>
          <w:vertAlign w:val="superscript"/>
        </w:rPr>
        <w:fldChar w:fldCharType="separate"/>
      </w:r>
      <w:r w:rsidR="003A6F82">
        <w:rPr>
          <w:rFonts w:eastAsia="Times New Roman"/>
          <w:vertAlign w:val="superscript"/>
        </w:rPr>
        <w:t>26</w:t>
      </w:r>
      <w:r w:rsidRPr="00774668">
        <w:rPr>
          <w:rFonts w:eastAsia="Times New Roman"/>
          <w:vertAlign w:val="superscript"/>
        </w:rPr>
        <w:fldChar w:fldCharType="end"/>
      </w:r>
      <w:r w:rsidRPr="00774668">
        <w:rPr>
          <w:rFonts w:eastAsia="Times New Roman"/>
          <w:vertAlign w:val="superscript"/>
        </w:rPr>
        <w:t>]</w:t>
      </w:r>
      <w:r w:rsidR="00CB3D47" w:rsidRPr="00774668">
        <w:rPr>
          <w:rFonts w:eastAsia="Times New Roman"/>
        </w:rPr>
        <w:t xml:space="preserve">. Biochar is very useful for increasing the diameter of slow-growing species compared with the addition of inorganic NPK fertilizer </w:t>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_Ref190875930 \r \h  \* MERGEFORMAT </w:instrText>
      </w:r>
      <w:r w:rsidRPr="00774668">
        <w:rPr>
          <w:rFonts w:eastAsia="Times New Roman"/>
          <w:vertAlign w:val="superscript"/>
        </w:rPr>
      </w:r>
      <w:r w:rsidRPr="00774668">
        <w:rPr>
          <w:rFonts w:eastAsia="Times New Roman"/>
          <w:vertAlign w:val="superscript"/>
        </w:rPr>
        <w:fldChar w:fldCharType="separate"/>
      </w:r>
      <w:r w:rsidR="003A6F82">
        <w:rPr>
          <w:rFonts w:eastAsia="Times New Roman"/>
          <w:vertAlign w:val="superscript"/>
        </w:rPr>
        <w:t>27</w:t>
      </w:r>
      <w:r w:rsidRPr="00774668">
        <w:rPr>
          <w:rFonts w:eastAsia="Times New Roman"/>
          <w:vertAlign w:val="superscript"/>
        </w:rPr>
        <w:fldChar w:fldCharType="end"/>
      </w:r>
      <w:r w:rsidRPr="00774668">
        <w:rPr>
          <w:rFonts w:eastAsia="Times New Roman"/>
          <w:vertAlign w:val="superscript"/>
        </w:rPr>
        <w:t>]</w:t>
      </w:r>
      <w:r w:rsidR="00CB3D47" w:rsidRPr="00774668">
        <w:rPr>
          <w:rFonts w:eastAsia="Times New Roman"/>
        </w:rPr>
        <w:t>.</w:t>
      </w:r>
    </w:p>
    <w:p w14:paraId="55C8AD6D" w14:textId="06F763F5" w:rsidR="005C16BA" w:rsidRPr="00D30BEE" w:rsidRDefault="00CB3D47" w:rsidP="00595EF3">
      <w:pPr>
        <w:rPr>
          <w:rFonts w:eastAsia="Times New Roman"/>
        </w:rPr>
      </w:pPr>
      <w:r w:rsidRPr="00774668">
        <w:rPr>
          <w:rFonts w:eastAsia="Times New Roman"/>
        </w:rPr>
        <w:t xml:space="preserve">While most </w:t>
      </w:r>
      <w:proofErr w:type="spellStart"/>
      <w:r w:rsidRPr="00774668">
        <w:rPr>
          <w:rFonts w:eastAsia="Times New Roman"/>
        </w:rPr>
        <w:t>biochars</w:t>
      </w:r>
      <w:proofErr w:type="spellEnd"/>
      <w:r w:rsidRPr="00774668">
        <w:rPr>
          <w:rFonts w:eastAsia="Times New Roman"/>
        </w:rPr>
        <w:t xml:space="preserve"> positively affect plant growth, some may have unfriendly impacts because of the presence of phytotoxic compounds. Positive</w:t>
      </w:r>
      <w:r w:rsidRPr="003A6F82">
        <w:rPr>
          <w:rFonts w:eastAsia="Times New Roman"/>
          <w:vertAlign w:val="superscript"/>
        </w:rPr>
        <w:t xml:space="preserve"> </w:t>
      </w:r>
      <w:r w:rsidR="001A71C8" w:rsidRPr="003A6F82">
        <w:rPr>
          <w:rFonts w:eastAsia="Times New Roman"/>
          <w:vertAlign w:val="superscript"/>
        </w:rPr>
        <w:t>[</w:t>
      </w:r>
      <w:r w:rsidR="001A71C8" w:rsidRPr="003A6F82">
        <w:rPr>
          <w:rFonts w:eastAsia="Times New Roman"/>
          <w:vertAlign w:val="superscript"/>
        </w:rPr>
        <w:fldChar w:fldCharType="begin"/>
      </w:r>
      <w:r w:rsidR="001A71C8" w:rsidRPr="003A6F82">
        <w:rPr>
          <w:rFonts w:eastAsia="Times New Roman"/>
          <w:vertAlign w:val="superscript"/>
        </w:rPr>
        <w:instrText xml:space="preserve"> REF _Ref190875963 \r \h  \* MERGEFORMAT </w:instrText>
      </w:r>
      <w:r w:rsidR="001A71C8" w:rsidRPr="003A6F82">
        <w:rPr>
          <w:rFonts w:eastAsia="Times New Roman"/>
          <w:vertAlign w:val="superscript"/>
        </w:rPr>
      </w:r>
      <w:r w:rsidR="001A71C8" w:rsidRPr="003A6F82">
        <w:rPr>
          <w:rFonts w:eastAsia="Times New Roman"/>
          <w:vertAlign w:val="superscript"/>
        </w:rPr>
        <w:fldChar w:fldCharType="separate"/>
      </w:r>
      <w:r w:rsidR="003A6F82" w:rsidRPr="003A6F82">
        <w:rPr>
          <w:rFonts w:eastAsia="Times New Roman"/>
          <w:vertAlign w:val="superscript"/>
        </w:rPr>
        <w:t>28</w:t>
      </w:r>
      <w:r w:rsidR="001A71C8" w:rsidRPr="003A6F82">
        <w:rPr>
          <w:rFonts w:eastAsia="Times New Roman"/>
          <w:vertAlign w:val="superscript"/>
        </w:rPr>
        <w:fldChar w:fldCharType="end"/>
      </w:r>
      <w:r w:rsidR="001A71C8" w:rsidRPr="003A6F82">
        <w:rPr>
          <w:rFonts w:eastAsia="Times New Roman"/>
          <w:vertAlign w:val="superscript"/>
        </w:rPr>
        <w:t>,</w:t>
      </w:r>
      <w:r w:rsidR="001A71C8" w:rsidRPr="003A6F82">
        <w:rPr>
          <w:rFonts w:eastAsia="Times New Roman"/>
          <w:vertAlign w:val="superscript"/>
        </w:rPr>
        <w:fldChar w:fldCharType="begin"/>
      </w:r>
      <w:r w:rsidR="001A71C8" w:rsidRPr="003A6F82">
        <w:rPr>
          <w:rFonts w:eastAsia="Times New Roman"/>
          <w:vertAlign w:val="superscript"/>
        </w:rPr>
        <w:instrText xml:space="preserve"> REF _Ref190875966 \r \h  \* MERGEFORMAT </w:instrText>
      </w:r>
      <w:r w:rsidR="001A71C8" w:rsidRPr="003A6F82">
        <w:rPr>
          <w:rFonts w:eastAsia="Times New Roman"/>
          <w:vertAlign w:val="superscript"/>
        </w:rPr>
      </w:r>
      <w:r w:rsidR="001A71C8" w:rsidRPr="003A6F82">
        <w:rPr>
          <w:rFonts w:eastAsia="Times New Roman"/>
          <w:vertAlign w:val="superscript"/>
        </w:rPr>
        <w:fldChar w:fldCharType="separate"/>
      </w:r>
      <w:r w:rsidR="003A6F82" w:rsidRPr="003A6F82">
        <w:rPr>
          <w:rFonts w:eastAsia="Times New Roman"/>
          <w:vertAlign w:val="superscript"/>
        </w:rPr>
        <w:t>29</w:t>
      </w:r>
      <w:r w:rsidR="001A71C8" w:rsidRPr="003A6F82">
        <w:rPr>
          <w:rFonts w:eastAsia="Times New Roman"/>
          <w:vertAlign w:val="superscript"/>
        </w:rPr>
        <w:fldChar w:fldCharType="end"/>
      </w:r>
      <w:r w:rsidR="001A71C8" w:rsidRPr="003A6F82">
        <w:rPr>
          <w:rFonts w:eastAsia="Times New Roman"/>
          <w:vertAlign w:val="superscript"/>
        </w:rPr>
        <w:t>,</w:t>
      </w:r>
      <w:r w:rsidR="001A71C8" w:rsidRPr="003A6F82">
        <w:rPr>
          <w:rFonts w:eastAsia="Times New Roman"/>
          <w:vertAlign w:val="superscript"/>
        </w:rPr>
        <w:fldChar w:fldCharType="begin"/>
      </w:r>
      <w:r w:rsidR="001A71C8" w:rsidRPr="003A6F82">
        <w:rPr>
          <w:rFonts w:eastAsia="Times New Roman"/>
          <w:vertAlign w:val="superscript"/>
        </w:rPr>
        <w:instrText xml:space="preserve"> REF _Ref190875968 \r \h  \* MERGEFORMAT </w:instrText>
      </w:r>
      <w:r w:rsidR="001A71C8" w:rsidRPr="003A6F82">
        <w:rPr>
          <w:rFonts w:eastAsia="Times New Roman"/>
          <w:vertAlign w:val="superscript"/>
        </w:rPr>
      </w:r>
      <w:r w:rsidR="001A71C8" w:rsidRPr="003A6F82">
        <w:rPr>
          <w:rFonts w:eastAsia="Times New Roman"/>
          <w:vertAlign w:val="superscript"/>
        </w:rPr>
        <w:fldChar w:fldCharType="separate"/>
      </w:r>
      <w:r w:rsidR="003A6F82" w:rsidRPr="003A6F82">
        <w:rPr>
          <w:rFonts w:eastAsia="Times New Roman"/>
          <w:vertAlign w:val="superscript"/>
        </w:rPr>
        <w:t>30</w:t>
      </w:r>
      <w:r w:rsidR="001A71C8" w:rsidRPr="003A6F82">
        <w:rPr>
          <w:rFonts w:eastAsia="Times New Roman"/>
          <w:vertAlign w:val="superscript"/>
        </w:rPr>
        <w:fldChar w:fldCharType="end"/>
      </w:r>
      <w:r w:rsidR="001A71C8" w:rsidRPr="003A6F82">
        <w:rPr>
          <w:rFonts w:eastAsia="Times New Roman"/>
          <w:vertAlign w:val="superscript"/>
        </w:rPr>
        <w:t>]</w:t>
      </w:r>
      <w:r w:rsidRPr="00774668">
        <w:rPr>
          <w:rFonts w:eastAsia="Times New Roman"/>
        </w:rPr>
        <w:t xml:space="preserve"> and impartial </w:t>
      </w:r>
      <w:r w:rsidR="001A71C8" w:rsidRPr="003A6F82">
        <w:rPr>
          <w:rFonts w:eastAsia="Times New Roman"/>
          <w:vertAlign w:val="superscript"/>
        </w:rPr>
        <w:t>[</w:t>
      </w:r>
      <w:r w:rsidR="001A71C8" w:rsidRPr="003A6F82">
        <w:rPr>
          <w:rFonts w:eastAsia="Times New Roman"/>
          <w:vertAlign w:val="superscript"/>
        </w:rPr>
        <w:fldChar w:fldCharType="begin"/>
      </w:r>
      <w:r w:rsidR="001A71C8" w:rsidRPr="003A6F82">
        <w:rPr>
          <w:rFonts w:eastAsia="Times New Roman"/>
          <w:vertAlign w:val="superscript"/>
        </w:rPr>
        <w:instrText xml:space="preserve"> REF _Ref190875994 \r \h  \* MERGEFORMAT </w:instrText>
      </w:r>
      <w:r w:rsidR="001A71C8" w:rsidRPr="003A6F82">
        <w:rPr>
          <w:rFonts w:eastAsia="Times New Roman"/>
          <w:vertAlign w:val="superscript"/>
        </w:rPr>
      </w:r>
      <w:r w:rsidR="001A71C8" w:rsidRPr="003A6F82">
        <w:rPr>
          <w:rFonts w:eastAsia="Times New Roman"/>
          <w:vertAlign w:val="superscript"/>
        </w:rPr>
        <w:fldChar w:fldCharType="separate"/>
      </w:r>
      <w:r w:rsidR="003A6F82" w:rsidRPr="003A6F82">
        <w:rPr>
          <w:rFonts w:eastAsia="Times New Roman"/>
          <w:vertAlign w:val="superscript"/>
        </w:rPr>
        <w:t>31</w:t>
      </w:r>
      <w:r w:rsidR="001A71C8" w:rsidRPr="003A6F82">
        <w:rPr>
          <w:rFonts w:eastAsia="Times New Roman"/>
          <w:vertAlign w:val="superscript"/>
        </w:rPr>
        <w:fldChar w:fldCharType="end"/>
      </w:r>
      <w:r w:rsidR="001A71C8" w:rsidRPr="003A6F82">
        <w:rPr>
          <w:rFonts w:eastAsia="Times New Roman"/>
          <w:vertAlign w:val="superscript"/>
        </w:rPr>
        <w:t>,</w:t>
      </w:r>
      <w:r w:rsidR="001A71C8" w:rsidRPr="003A6F82">
        <w:rPr>
          <w:rFonts w:eastAsia="Times New Roman"/>
          <w:vertAlign w:val="superscript"/>
        </w:rPr>
        <w:fldChar w:fldCharType="begin"/>
      </w:r>
      <w:r w:rsidR="001A71C8" w:rsidRPr="003A6F82">
        <w:rPr>
          <w:rFonts w:eastAsia="Times New Roman"/>
          <w:vertAlign w:val="superscript"/>
        </w:rPr>
        <w:instrText xml:space="preserve"> REF _Ref190875997 \r \h  \* MERGEFORMAT </w:instrText>
      </w:r>
      <w:r w:rsidR="001A71C8" w:rsidRPr="003A6F82">
        <w:rPr>
          <w:rFonts w:eastAsia="Times New Roman"/>
          <w:vertAlign w:val="superscript"/>
        </w:rPr>
      </w:r>
      <w:r w:rsidR="001A71C8" w:rsidRPr="003A6F82">
        <w:rPr>
          <w:rFonts w:eastAsia="Times New Roman"/>
          <w:vertAlign w:val="superscript"/>
        </w:rPr>
        <w:fldChar w:fldCharType="separate"/>
      </w:r>
      <w:r w:rsidR="003A6F82" w:rsidRPr="003A6F82">
        <w:rPr>
          <w:rFonts w:eastAsia="Times New Roman"/>
          <w:vertAlign w:val="superscript"/>
        </w:rPr>
        <w:t>32</w:t>
      </w:r>
      <w:r w:rsidR="001A71C8" w:rsidRPr="003A6F82">
        <w:rPr>
          <w:rFonts w:eastAsia="Times New Roman"/>
          <w:vertAlign w:val="superscript"/>
        </w:rPr>
        <w:fldChar w:fldCharType="end"/>
      </w:r>
      <w:r w:rsidR="001A71C8" w:rsidRPr="003A6F82">
        <w:rPr>
          <w:rFonts w:eastAsia="Times New Roman"/>
          <w:vertAlign w:val="superscript"/>
        </w:rPr>
        <w:t>]</w:t>
      </w:r>
      <w:r w:rsidRPr="004C53EA">
        <w:rPr>
          <w:rFonts w:eastAsia="Times New Roman"/>
        </w:rPr>
        <w:t xml:space="preserve"> </w:t>
      </w:r>
      <w:r w:rsidRPr="00774668">
        <w:rPr>
          <w:rFonts w:eastAsia="Times New Roman"/>
        </w:rPr>
        <w:t xml:space="preserve">impacts of </w:t>
      </w:r>
      <w:proofErr w:type="spellStart"/>
      <w:r w:rsidRPr="00774668">
        <w:rPr>
          <w:rFonts w:eastAsia="Times New Roman"/>
        </w:rPr>
        <w:t>biochars</w:t>
      </w:r>
      <w:proofErr w:type="spellEnd"/>
      <w:r w:rsidRPr="00774668">
        <w:rPr>
          <w:rFonts w:eastAsia="Times New Roman"/>
        </w:rPr>
        <w:t xml:space="preserve"> were</w:t>
      </w:r>
      <w:r w:rsidR="001910F6" w:rsidRPr="00774668">
        <w:rPr>
          <w:rFonts w:eastAsia="Times New Roman"/>
        </w:rPr>
        <w:t xml:space="preserve"> also</w:t>
      </w:r>
      <w:r w:rsidRPr="00774668">
        <w:rPr>
          <w:rFonts w:eastAsia="Times New Roman"/>
        </w:rPr>
        <w:t xml:space="preserve"> found in </w:t>
      </w:r>
      <w:r w:rsidR="001910F6" w:rsidRPr="00774668">
        <w:rPr>
          <w:rFonts w:eastAsia="Times New Roman"/>
        </w:rPr>
        <w:t>different</w:t>
      </w:r>
      <w:r w:rsidRPr="00774668">
        <w:rPr>
          <w:rFonts w:eastAsia="Times New Roman"/>
        </w:rPr>
        <w:t xml:space="preserve"> </w:t>
      </w:r>
      <w:r w:rsidRPr="00D30BEE">
        <w:rPr>
          <w:rFonts w:eastAsia="Times New Roman"/>
        </w:rPr>
        <w:t xml:space="preserve">studies. </w:t>
      </w:r>
      <w:r w:rsidR="004C53EA" w:rsidRPr="000D3C26">
        <w:rPr>
          <w:rFonts w:eastAsia="Times New Roman"/>
          <w:highlight w:val="yellow"/>
        </w:rPr>
        <w:t>To use biochar in a suitable way, it is necessary to have comprehensive knowledge of its properties. The type of raw material needed for biochar production is not limited to one source but rather to any organic waste, such as ecological waste, farming waste, timber, and solid remnants</w:t>
      </w:r>
      <w:r w:rsidR="003A6F82" w:rsidRPr="000D3C26">
        <w:rPr>
          <w:rFonts w:eastAsia="Times New Roman"/>
          <w:highlight w:val="yellow"/>
        </w:rPr>
        <w:t xml:space="preserve"> </w:t>
      </w:r>
      <w:r w:rsidR="003A6F82" w:rsidRPr="000D3C26">
        <w:rPr>
          <w:rFonts w:eastAsia="Times New Roman"/>
          <w:highlight w:val="yellow"/>
          <w:vertAlign w:val="superscript"/>
        </w:rPr>
        <w:t>[</w:t>
      </w:r>
      <w:r w:rsidR="003A6F82" w:rsidRPr="000D3C26">
        <w:rPr>
          <w:rFonts w:eastAsia="Times New Roman"/>
          <w:highlight w:val="yellow"/>
          <w:vertAlign w:val="superscript"/>
        </w:rPr>
        <w:fldChar w:fldCharType="begin"/>
      </w:r>
      <w:r w:rsidR="003A6F82" w:rsidRPr="000D3C26">
        <w:rPr>
          <w:rFonts w:eastAsia="Times New Roman"/>
          <w:highlight w:val="yellow"/>
          <w:vertAlign w:val="superscript"/>
        </w:rPr>
        <w:instrText xml:space="preserve"> REF _Ref193462922 \r \h  \* MERGEFORMAT </w:instrText>
      </w:r>
      <w:r w:rsidR="003A6F82" w:rsidRPr="000D3C26">
        <w:rPr>
          <w:rFonts w:eastAsia="Times New Roman"/>
          <w:highlight w:val="yellow"/>
          <w:vertAlign w:val="superscript"/>
        </w:rPr>
      </w:r>
      <w:r w:rsidR="003A6F82" w:rsidRPr="000D3C26">
        <w:rPr>
          <w:rFonts w:eastAsia="Times New Roman"/>
          <w:highlight w:val="yellow"/>
          <w:vertAlign w:val="superscript"/>
        </w:rPr>
        <w:fldChar w:fldCharType="separate"/>
      </w:r>
      <w:r w:rsidR="003A6F82" w:rsidRPr="000D3C26">
        <w:rPr>
          <w:rFonts w:eastAsia="Times New Roman"/>
          <w:highlight w:val="yellow"/>
          <w:vertAlign w:val="superscript"/>
        </w:rPr>
        <w:t>33</w:t>
      </w:r>
      <w:r w:rsidR="003A6F82" w:rsidRPr="000D3C26">
        <w:rPr>
          <w:rFonts w:eastAsia="Times New Roman"/>
          <w:highlight w:val="yellow"/>
          <w:vertAlign w:val="superscript"/>
        </w:rPr>
        <w:fldChar w:fldCharType="end"/>
      </w:r>
      <w:r w:rsidR="003A6F82" w:rsidRPr="000D3C26">
        <w:rPr>
          <w:rFonts w:eastAsia="Times New Roman"/>
          <w:highlight w:val="yellow"/>
          <w:vertAlign w:val="superscript"/>
        </w:rPr>
        <w:t>]</w:t>
      </w:r>
      <w:r w:rsidR="004C53EA" w:rsidRPr="000D3C26">
        <w:rPr>
          <w:rFonts w:eastAsia="Times New Roman"/>
          <w:highlight w:val="yellow"/>
        </w:rPr>
        <w:t xml:space="preserve">. </w:t>
      </w:r>
      <w:r w:rsidR="005C16BA" w:rsidRPr="000D3C26">
        <w:rPr>
          <w:rFonts w:eastAsia="Times New Roman"/>
          <w:highlight w:val="yellow"/>
        </w:rPr>
        <w:t xml:space="preserve">A biochar classification system related to its use as soil amendment has been proposed which has </w:t>
      </w:r>
      <w:proofErr w:type="spellStart"/>
      <w:r w:rsidR="005C16BA" w:rsidRPr="000D3C26">
        <w:rPr>
          <w:rFonts w:eastAsia="Times New Roman"/>
          <w:highlight w:val="yellow"/>
        </w:rPr>
        <w:t>buildt</w:t>
      </w:r>
      <w:proofErr w:type="spellEnd"/>
      <w:r w:rsidR="005C16BA" w:rsidRPr="000D3C26">
        <w:rPr>
          <w:rFonts w:eastAsia="Times New Roman"/>
          <w:highlight w:val="yellow"/>
        </w:rPr>
        <w:t xml:space="preserve"> upon: “Standardized product definition and product testing guidelines for biochar that is used in soil” </w:t>
      </w:r>
      <w:r w:rsidR="005C16BA" w:rsidRPr="000D3C26">
        <w:rPr>
          <w:rFonts w:eastAsia="Times New Roman"/>
          <w:highlight w:val="yellow"/>
          <w:vertAlign w:val="superscript"/>
        </w:rPr>
        <w:t>[</w:t>
      </w:r>
      <w:r w:rsidR="005C16BA" w:rsidRPr="000D3C26">
        <w:rPr>
          <w:rFonts w:eastAsia="Times New Roman"/>
          <w:highlight w:val="yellow"/>
          <w:vertAlign w:val="superscript"/>
        </w:rPr>
        <w:fldChar w:fldCharType="begin"/>
      </w:r>
      <w:r w:rsidR="005C16BA" w:rsidRPr="000D3C26">
        <w:rPr>
          <w:rFonts w:eastAsia="Times New Roman"/>
          <w:highlight w:val="yellow"/>
          <w:vertAlign w:val="superscript"/>
        </w:rPr>
        <w:instrText xml:space="preserve"> REF _Ref193464990 \r \h  \* MERGEFORMAT </w:instrText>
      </w:r>
      <w:r w:rsidR="005C16BA" w:rsidRPr="000D3C26">
        <w:rPr>
          <w:rFonts w:eastAsia="Times New Roman"/>
          <w:highlight w:val="yellow"/>
          <w:vertAlign w:val="superscript"/>
        </w:rPr>
      </w:r>
      <w:r w:rsidR="005C16BA" w:rsidRPr="000D3C26">
        <w:rPr>
          <w:rFonts w:eastAsia="Times New Roman"/>
          <w:highlight w:val="yellow"/>
          <w:vertAlign w:val="superscript"/>
        </w:rPr>
        <w:fldChar w:fldCharType="separate"/>
      </w:r>
      <w:r w:rsidR="005C16BA" w:rsidRPr="000D3C26">
        <w:rPr>
          <w:rFonts w:eastAsia="Times New Roman"/>
          <w:highlight w:val="yellow"/>
          <w:vertAlign w:val="superscript"/>
        </w:rPr>
        <w:t>34</w:t>
      </w:r>
      <w:r w:rsidR="005C16BA" w:rsidRPr="000D3C26">
        <w:rPr>
          <w:rFonts w:eastAsia="Times New Roman"/>
          <w:highlight w:val="yellow"/>
          <w:vertAlign w:val="superscript"/>
        </w:rPr>
        <w:fldChar w:fldCharType="end"/>
      </w:r>
      <w:r w:rsidR="005C16BA" w:rsidRPr="000D3C26">
        <w:rPr>
          <w:rFonts w:eastAsia="Times New Roman"/>
          <w:highlight w:val="yellow"/>
          <w:vertAlign w:val="superscript"/>
        </w:rPr>
        <w:t>]</w:t>
      </w:r>
      <w:r w:rsidR="005C16BA" w:rsidRPr="000D3C26">
        <w:rPr>
          <w:rFonts w:eastAsia="Times New Roman"/>
          <w:highlight w:val="yellow"/>
        </w:rPr>
        <w:t xml:space="preserve"> (aka IBI Biochar Standards), “Guidelines for biochar production: European Biochar Certificate” </w:t>
      </w:r>
      <w:r w:rsidR="005C16BA" w:rsidRPr="000D3C26">
        <w:rPr>
          <w:rFonts w:eastAsia="Times New Roman"/>
          <w:highlight w:val="yellow"/>
          <w:vertAlign w:val="superscript"/>
        </w:rPr>
        <w:t>[</w:t>
      </w:r>
      <w:r w:rsidR="005C16BA" w:rsidRPr="000D3C26">
        <w:rPr>
          <w:rFonts w:eastAsia="Times New Roman"/>
          <w:highlight w:val="yellow"/>
          <w:vertAlign w:val="superscript"/>
        </w:rPr>
        <w:fldChar w:fldCharType="begin"/>
      </w:r>
      <w:r w:rsidR="005C16BA" w:rsidRPr="000D3C26">
        <w:rPr>
          <w:rFonts w:eastAsia="Times New Roman"/>
          <w:highlight w:val="yellow"/>
          <w:vertAlign w:val="superscript"/>
        </w:rPr>
        <w:instrText xml:space="preserve"> REF _Ref193465000 \r \h  \* MERGEFORMAT </w:instrText>
      </w:r>
      <w:r w:rsidR="005C16BA" w:rsidRPr="000D3C26">
        <w:rPr>
          <w:rFonts w:eastAsia="Times New Roman"/>
          <w:highlight w:val="yellow"/>
          <w:vertAlign w:val="superscript"/>
        </w:rPr>
      </w:r>
      <w:r w:rsidR="005C16BA" w:rsidRPr="000D3C26">
        <w:rPr>
          <w:rFonts w:eastAsia="Times New Roman"/>
          <w:highlight w:val="yellow"/>
          <w:vertAlign w:val="superscript"/>
        </w:rPr>
        <w:fldChar w:fldCharType="separate"/>
      </w:r>
      <w:r w:rsidR="005C16BA" w:rsidRPr="000D3C26">
        <w:rPr>
          <w:rFonts w:eastAsia="Times New Roman"/>
          <w:highlight w:val="yellow"/>
          <w:vertAlign w:val="superscript"/>
        </w:rPr>
        <w:t>35</w:t>
      </w:r>
      <w:r w:rsidR="005C16BA" w:rsidRPr="000D3C26">
        <w:rPr>
          <w:rFonts w:eastAsia="Times New Roman"/>
          <w:highlight w:val="yellow"/>
          <w:vertAlign w:val="superscript"/>
        </w:rPr>
        <w:fldChar w:fldCharType="end"/>
      </w:r>
      <w:r w:rsidR="005C16BA" w:rsidRPr="000D3C26">
        <w:rPr>
          <w:rFonts w:eastAsia="Times New Roman"/>
          <w:highlight w:val="yellow"/>
          <w:vertAlign w:val="superscript"/>
        </w:rPr>
        <w:t>]</w:t>
      </w:r>
      <w:r w:rsidR="005C16BA" w:rsidRPr="000D3C26">
        <w:rPr>
          <w:rFonts w:eastAsia="Times New Roman"/>
          <w:highlight w:val="yellow"/>
        </w:rPr>
        <w:t xml:space="preserve"> (aka EBC Biochar Standards) and the “Biochar C stability test method for C market protocol development” </w:t>
      </w:r>
      <w:r w:rsidR="005C16BA" w:rsidRPr="000D3C26">
        <w:rPr>
          <w:rFonts w:eastAsia="Times New Roman"/>
          <w:highlight w:val="yellow"/>
          <w:vertAlign w:val="superscript"/>
        </w:rPr>
        <w:t>[</w:t>
      </w:r>
      <w:r w:rsidR="005C16BA" w:rsidRPr="000D3C26">
        <w:rPr>
          <w:rFonts w:eastAsia="Times New Roman"/>
          <w:highlight w:val="yellow"/>
          <w:vertAlign w:val="superscript"/>
        </w:rPr>
        <w:fldChar w:fldCharType="begin"/>
      </w:r>
      <w:r w:rsidR="005C16BA" w:rsidRPr="000D3C26">
        <w:rPr>
          <w:rFonts w:eastAsia="Times New Roman"/>
          <w:highlight w:val="yellow"/>
          <w:vertAlign w:val="superscript"/>
        </w:rPr>
        <w:instrText xml:space="preserve"> REF _Ref193465018 \r \h  \* MERGEFORMAT </w:instrText>
      </w:r>
      <w:r w:rsidR="005C16BA" w:rsidRPr="000D3C26">
        <w:rPr>
          <w:rFonts w:eastAsia="Times New Roman"/>
          <w:highlight w:val="yellow"/>
          <w:vertAlign w:val="superscript"/>
        </w:rPr>
      </w:r>
      <w:r w:rsidR="005C16BA" w:rsidRPr="000D3C26">
        <w:rPr>
          <w:rFonts w:eastAsia="Times New Roman"/>
          <w:highlight w:val="yellow"/>
          <w:vertAlign w:val="superscript"/>
        </w:rPr>
        <w:fldChar w:fldCharType="separate"/>
      </w:r>
      <w:r w:rsidR="005C16BA" w:rsidRPr="000D3C26">
        <w:rPr>
          <w:rFonts w:eastAsia="Times New Roman"/>
          <w:highlight w:val="yellow"/>
          <w:vertAlign w:val="superscript"/>
        </w:rPr>
        <w:t>36</w:t>
      </w:r>
      <w:r w:rsidR="005C16BA" w:rsidRPr="000D3C26">
        <w:rPr>
          <w:rFonts w:eastAsia="Times New Roman"/>
          <w:highlight w:val="yellow"/>
          <w:vertAlign w:val="superscript"/>
        </w:rPr>
        <w:fldChar w:fldCharType="end"/>
      </w:r>
      <w:r w:rsidR="005C16BA" w:rsidRPr="000D3C26">
        <w:rPr>
          <w:rFonts w:eastAsia="Times New Roman"/>
          <w:highlight w:val="yellow"/>
          <w:vertAlign w:val="superscript"/>
        </w:rPr>
        <w:t>]</w:t>
      </w:r>
      <w:r w:rsidR="005C16BA" w:rsidRPr="000D3C26">
        <w:rPr>
          <w:rFonts w:eastAsia="Times New Roman"/>
          <w:highlight w:val="yellow"/>
        </w:rPr>
        <w:t xml:space="preserve"> (aka IBI Stable C Protocol).</w:t>
      </w:r>
      <w:r w:rsidR="00E528A2">
        <w:rPr>
          <w:rFonts w:eastAsia="Times New Roman"/>
          <w:highlight w:val="yellow"/>
        </w:rPr>
        <w:t xml:space="preserve"> </w:t>
      </w:r>
      <w:r w:rsidR="005C16BA" w:rsidRPr="000D3C26">
        <w:rPr>
          <w:rFonts w:eastAsia="Times New Roman"/>
          <w:highlight w:val="yellow"/>
        </w:rPr>
        <w:t xml:space="preserve">The main thrust of this classification system is based on the direct or indirect beneficial effects that biochar provides from its application to soil. </w:t>
      </w:r>
      <w:r w:rsidR="00E528A2">
        <w:rPr>
          <w:rFonts w:eastAsia="Times New Roman"/>
          <w:highlight w:val="yellow"/>
        </w:rPr>
        <w:t>T</w:t>
      </w:r>
      <w:r w:rsidR="005C16BA" w:rsidRPr="000D3C26">
        <w:rPr>
          <w:rFonts w:eastAsia="Times New Roman"/>
          <w:highlight w:val="yellow"/>
        </w:rPr>
        <w:t>he potential beneficial effects of biochar application to soils</w:t>
      </w:r>
      <w:r w:rsidR="00E528A2">
        <w:rPr>
          <w:rFonts w:eastAsia="Times New Roman"/>
          <w:highlight w:val="yellow"/>
        </w:rPr>
        <w:t xml:space="preserve"> have been classified</w:t>
      </w:r>
      <w:r w:rsidR="005C16BA" w:rsidRPr="000D3C26">
        <w:rPr>
          <w:rFonts w:eastAsia="Times New Roman"/>
          <w:highlight w:val="yellow"/>
        </w:rPr>
        <w:t xml:space="preserve"> into five categories with their corresponding classes, where applicable: C storage value, fertilizer value, liming value, particle</w:t>
      </w:r>
      <w:r w:rsidR="005C16BA" w:rsidRPr="000D3C26">
        <w:rPr>
          <w:rFonts w:ascii="Cambria Math" w:eastAsia="Times New Roman" w:hAnsi="Cambria Math" w:cs="Cambria Math"/>
          <w:highlight w:val="yellow"/>
        </w:rPr>
        <w:t>‐</w:t>
      </w:r>
      <w:r w:rsidR="005C16BA" w:rsidRPr="000D3C26">
        <w:rPr>
          <w:rFonts w:eastAsia="Times New Roman"/>
          <w:highlight w:val="yellow"/>
        </w:rPr>
        <w:t xml:space="preserve">size, and use in potting mixes and soilless agriculture </w:t>
      </w:r>
      <w:r w:rsidR="005C16BA" w:rsidRPr="000D3C26">
        <w:rPr>
          <w:rFonts w:eastAsia="Times New Roman"/>
          <w:highlight w:val="yellow"/>
          <w:vertAlign w:val="superscript"/>
        </w:rPr>
        <w:t>[</w:t>
      </w:r>
      <w:r w:rsidR="005C16BA" w:rsidRPr="000D3C26">
        <w:rPr>
          <w:rFonts w:eastAsia="Times New Roman"/>
          <w:highlight w:val="yellow"/>
          <w:vertAlign w:val="superscript"/>
        </w:rPr>
        <w:fldChar w:fldCharType="begin"/>
      </w:r>
      <w:r w:rsidR="005C16BA" w:rsidRPr="000D3C26">
        <w:rPr>
          <w:rFonts w:eastAsia="Times New Roman"/>
          <w:highlight w:val="yellow"/>
          <w:vertAlign w:val="superscript"/>
        </w:rPr>
        <w:instrText xml:space="preserve"> REF _Ref193465029 \r \h  \* MERGEFORMAT </w:instrText>
      </w:r>
      <w:r w:rsidR="005C16BA" w:rsidRPr="000D3C26">
        <w:rPr>
          <w:rFonts w:eastAsia="Times New Roman"/>
          <w:highlight w:val="yellow"/>
          <w:vertAlign w:val="superscript"/>
        </w:rPr>
      </w:r>
      <w:r w:rsidR="005C16BA" w:rsidRPr="000D3C26">
        <w:rPr>
          <w:rFonts w:eastAsia="Times New Roman"/>
          <w:highlight w:val="yellow"/>
          <w:vertAlign w:val="superscript"/>
        </w:rPr>
        <w:fldChar w:fldCharType="separate"/>
      </w:r>
      <w:r w:rsidR="005C16BA" w:rsidRPr="000D3C26">
        <w:rPr>
          <w:rFonts w:eastAsia="Times New Roman"/>
          <w:highlight w:val="yellow"/>
          <w:vertAlign w:val="superscript"/>
        </w:rPr>
        <w:t>37</w:t>
      </w:r>
      <w:r w:rsidR="005C16BA" w:rsidRPr="000D3C26">
        <w:rPr>
          <w:rFonts w:eastAsia="Times New Roman"/>
          <w:highlight w:val="yellow"/>
          <w:vertAlign w:val="superscript"/>
        </w:rPr>
        <w:fldChar w:fldCharType="end"/>
      </w:r>
      <w:r w:rsidR="005C16BA" w:rsidRPr="000D3C26">
        <w:rPr>
          <w:rFonts w:eastAsia="Times New Roman"/>
          <w:highlight w:val="yellow"/>
          <w:vertAlign w:val="superscript"/>
        </w:rPr>
        <w:t>]</w:t>
      </w:r>
      <w:r w:rsidR="005C16BA" w:rsidRPr="000D3C26">
        <w:rPr>
          <w:rFonts w:eastAsia="Times New Roman"/>
          <w:highlight w:val="yellow"/>
        </w:rPr>
        <w:t>.</w:t>
      </w:r>
    </w:p>
    <w:p w14:paraId="475C0EBC" w14:textId="5EEA18DD" w:rsidR="00595EF3" w:rsidRDefault="00CB3D47" w:rsidP="00595EF3">
      <w:pPr>
        <w:rPr>
          <w:rFonts w:eastAsia="Times New Roman"/>
        </w:rPr>
      </w:pPr>
      <w:r w:rsidRPr="00D30BEE">
        <w:rPr>
          <w:rFonts w:eastAsia="Times New Roman"/>
        </w:rPr>
        <w:t>From the consequences of these studies, it appears that feedstock of biochar, soil type and biochar concentrations in soil have a critical role in these parameters</w:t>
      </w:r>
      <w:r w:rsidRPr="00774668">
        <w:rPr>
          <w:rFonts w:eastAsia="Times New Roman"/>
        </w:rPr>
        <w:t xml:space="preserve">. Because of these potentially adverse impacts, there is a need to build up a quick and reliable technique to screen </w:t>
      </w:r>
      <w:proofErr w:type="spellStart"/>
      <w:r w:rsidRPr="00774668">
        <w:rPr>
          <w:rFonts w:eastAsia="Times New Roman"/>
        </w:rPr>
        <w:t>biochars</w:t>
      </w:r>
      <w:proofErr w:type="spellEnd"/>
      <w:r w:rsidRPr="00774668">
        <w:rPr>
          <w:rFonts w:eastAsia="Times New Roman"/>
        </w:rPr>
        <w:t xml:space="preserve"> for potential negative consequences for plant growth before large scale application. Specific analytical methods and property ranges for separating </w:t>
      </w:r>
      <w:proofErr w:type="spellStart"/>
      <w:r w:rsidRPr="00774668">
        <w:rPr>
          <w:rFonts w:eastAsia="Times New Roman"/>
        </w:rPr>
        <w:t>biochars</w:t>
      </w:r>
      <w:proofErr w:type="spellEnd"/>
      <w:r w:rsidRPr="00774668">
        <w:rPr>
          <w:rFonts w:eastAsia="Times New Roman"/>
        </w:rPr>
        <w:t xml:space="preserve"> into different classes depending on their effect on soil quality and plant growth are not yet established.</w:t>
      </w:r>
      <w:r w:rsidR="00595EF3" w:rsidRPr="00595EF3">
        <w:rPr>
          <w:rFonts w:eastAsia="Times New Roman"/>
        </w:rPr>
        <w:t xml:space="preserve"> </w:t>
      </w:r>
      <w:r w:rsidR="00595EF3" w:rsidRPr="00774668">
        <w:rPr>
          <w:rFonts w:eastAsia="Times New Roman"/>
        </w:rPr>
        <w:t xml:space="preserve">This is a surprising limitation as the assessment of suitable </w:t>
      </w:r>
      <w:r w:rsidR="00595EF3" w:rsidRPr="00774668">
        <w:rPr>
          <w:rFonts w:eastAsia="Times New Roman"/>
        </w:rPr>
        <w:lastRenderedPageBreak/>
        <w:t>species for biochar is likely to be one of the key factors affecting the performance of plant growth. This limitation spurred the objectives of the present study.</w:t>
      </w:r>
    </w:p>
    <w:p w14:paraId="68C68073" w14:textId="261E9733" w:rsidR="00D17AD2" w:rsidRPr="00774668" w:rsidRDefault="00CB3D47" w:rsidP="00022F18">
      <w:pPr>
        <w:rPr>
          <w:rFonts w:eastAsia="Times New Roman"/>
        </w:rPr>
      </w:pPr>
      <w:r w:rsidRPr="00774668">
        <w:rPr>
          <w:rFonts w:eastAsia="Times New Roman"/>
        </w:rPr>
        <w:t xml:space="preserve">However, as biochar improves the soil nutrients as well as enhance plant growth then it will be effective in any forest plantation programme. Moreover, when the classification system of different biochar quality will be established, it will help to introduce biochar in the National Forest Policy and Forest Management. The main objective of the study is to assess the suitable species for biochar </w:t>
      </w:r>
      <w:r w:rsidR="00393D19" w:rsidRPr="00774668">
        <w:rPr>
          <w:rFonts w:eastAsia="Times New Roman"/>
        </w:rPr>
        <w:t>production</w:t>
      </w:r>
      <w:r w:rsidRPr="00774668">
        <w:rPr>
          <w:rFonts w:eastAsia="Times New Roman"/>
        </w:rPr>
        <w:t xml:space="preserve"> and their performance in germination and growth of</w:t>
      </w:r>
      <w:r w:rsidR="00020441">
        <w:rPr>
          <w:rFonts w:eastAsia="Times New Roman"/>
        </w:rPr>
        <w:t xml:space="preserve"> Rice</w:t>
      </w:r>
      <w:r w:rsidRPr="00774668">
        <w:rPr>
          <w:rFonts w:eastAsia="Times New Roman"/>
        </w:rPr>
        <w:t xml:space="preserve"> and species and to assess the changes in soil properties by the addition of biochar.</w:t>
      </w:r>
    </w:p>
    <w:p w14:paraId="223AAF9E" w14:textId="28DEE606" w:rsidR="00D17AD2" w:rsidRPr="00022F18" w:rsidRDefault="00774668" w:rsidP="00022F18">
      <w:pPr>
        <w:pStyle w:val="Heading1"/>
      </w:pPr>
      <w:bookmarkStart w:id="2" w:name="_q1gucxxa2wux" w:colFirst="0" w:colLast="0"/>
      <w:bookmarkEnd w:id="2"/>
      <w:r w:rsidRPr="00022F18">
        <w:t>MATERIALS AND METHODS</w:t>
      </w:r>
    </w:p>
    <w:p w14:paraId="40701332" w14:textId="6673566D" w:rsidR="00D17AD2" w:rsidRPr="00774668" w:rsidRDefault="00774668" w:rsidP="00022F18">
      <w:pPr>
        <w:pStyle w:val="Heading2"/>
      </w:pPr>
      <w:bookmarkStart w:id="3" w:name="_3ujfibvlmlqa" w:colFirst="0" w:colLast="0"/>
      <w:bookmarkEnd w:id="3"/>
      <w:r w:rsidRPr="00774668">
        <w:t>STUDY AREA</w:t>
      </w:r>
    </w:p>
    <w:p w14:paraId="2C0A0E44" w14:textId="152F0FC9" w:rsidR="003254D2" w:rsidRDefault="003254D2" w:rsidP="00022F18">
      <w:r w:rsidRPr="004B274F">
        <w:rPr>
          <w:highlight w:val="yellow"/>
        </w:rPr>
        <w:t>The experimental study was conducted at the nursery of the Department of Forestry and Environmental Science</w:t>
      </w:r>
      <w:r w:rsidR="00D30BEE" w:rsidRPr="004B274F">
        <w:rPr>
          <w:highlight w:val="yellow"/>
        </w:rPr>
        <w:t xml:space="preserve"> (DFES)</w:t>
      </w:r>
      <w:r w:rsidRPr="004B274F">
        <w:rPr>
          <w:highlight w:val="yellow"/>
        </w:rPr>
        <w:t>, Shahjalal University of Science and Technology (SUST) in Sylhet, Bangladesh.</w:t>
      </w:r>
    </w:p>
    <w:p w14:paraId="6BE8258E" w14:textId="77777777" w:rsidR="002A0FC0" w:rsidRDefault="002A0FC0" w:rsidP="002A0FC0">
      <w:pPr>
        <w:keepNext/>
        <w:jc w:val="center"/>
      </w:pPr>
      <w:r w:rsidRPr="00E960A8">
        <w:rPr>
          <w:b/>
          <w:noProof/>
          <w:sz w:val="28"/>
          <w:szCs w:val="28"/>
        </w:rPr>
        <w:drawing>
          <wp:inline distT="0" distB="0" distL="0" distR="0" wp14:anchorId="5BCC2A15" wp14:editId="64958D5F">
            <wp:extent cx="3576955" cy="4137355"/>
            <wp:effectExtent l="0" t="0" r="4445" b="0"/>
            <wp:docPr id="916866036" name="Picture 1" descr="C:\Users\User\Desktop\36992513_2030507266980345_314767063518281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6992513_2030507266980345_314767063518281728_n.jpg"/>
                    <pic:cNvPicPr>
                      <a:picLocks noChangeAspect="1" noChangeArrowheads="1"/>
                    </pic:cNvPicPr>
                  </pic:nvPicPr>
                  <pic:blipFill rotWithShape="1">
                    <a:blip r:embed="rId8" cstate="print"/>
                    <a:srcRect t="7973"/>
                    <a:stretch/>
                  </pic:blipFill>
                  <pic:spPr bwMode="auto">
                    <a:xfrm>
                      <a:off x="0" y="0"/>
                      <a:ext cx="3587859" cy="4149967"/>
                    </a:xfrm>
                    <a:prstGeom prst="rect">
                      <a:avLst/>
                    </a:prstGeom>
                    <a:noFill/>
                    <a:ln>
                      <a:noFill/>
                    </a:ln>
                    <a:extLst>
                      <a:ext uri="{53640926-AAD7-44D8-BBD7-CCE9431645EC}">
                        <a14:shadowObscured xmlns:a14="http://schemas.microsoft.com/office/drawing/2010/main"/>
                      </a:ext>
                    </a:extLst>
                  </pic:spPr>
                </pic:pic>
              </a:graphicData>
            </a:graphic>
          </wp:inline>
        </w:drawing>
      </w:r>
    </w:p>
    <w:p w14:paraId="570F612B" w14:textId="0E5399A5" w:rsidR="005C16BA" w:rsidRPr="00774668" w:rsidRDefault="002A0FC0" w:rsidP="00496A10">
      <w:pPr>
        <w:pStyle w:val="Caption"/>
      </w:pPr>
      <w:r>
        <w:t xml:space="preserve">Figure </w:t>
      </w:r>
      <w:fldSimple w:instr=" SEQ Figure \* ARABIC ">
        <w:r w:rsidR="008E7553">
          <w:rPr>
            <w:noProof/>
          </w:rPr>
          <w:t>1</w:t>
        </w:r>
      </w:fldSimple>
      <w:r w:rsidRPr="002A0FC0">
        <w:t>: Map of SUST showing the nursery of the DFES, SUST, Sylhet.</w:t>
      </w:r>
    </w:p>
    <w:p w14:paraId="7CFA6D2D" w14:textId="689A725D" w:rsidR="00DB129A" w:rsidRDefault="007F3C55" w:rsidP="00022F18">
      <w:pPr>
        <w:pStyle w:val="Heading2"/>
      </w:pPr>
      <w:bookmarkStart w:id="4" w:name="_Toc8591693"/>
      <w:r w:rsidRPr="00E960A8">
        <w:t>TEST SPECIES AND FEEDSTOCK SPECIES</w:t>
      </w:r>
      <w:bookmarkEnd w:id="4"/>
    </w:p>
    <w:p w14:paraId="18D20C77" w14:textId="022267F2" w:rsidR="003254D2" w:rsidRDefault="003254D2" w:rsidP="00022F18">
      <w:r w:rsidRPr="004B274F">
        <w:rPr>
          <w:highlight w:val="yellow"/>
        </w:rPr>
        <w:t>For the experiment, two test species were purposively selected—one forest tree species and one agricultural species—both of which are widely used across the country for food, timber, and fuel. Additionally, six feedstock species were chosen for the study (Table 1). Healthy and disease-free seeds of all selected species were collected from the SUST campus and the Agricultural Institute (</w:t>
      </w:r>
      <w:proofErr w:type="spellStart"/>
      <w:r w:rsidRPr="004B274F">
        <w:rPr>
          <w:highlight w:val="yellow"/>
        </w:rPr>
        <w:t>Ancholik</w:t>
      </w:r>
      <w:proofErr w:type="spellEnd"/>
      <w:r w:rsidRPr="004B274F">
        <w:rPr>
          <w:highlight w:val="yellow"/>
        </w:rPr>
        <w:t xml:space="preserve"> Beej Bitan, </w:t>
      </w:r>
      <w:proofErr w:type="spellStart"/>
      <w:r w:rsidRPr="004B274F">
        <w:rPr>
          <w:highlight w:val="yellow"/>
        </w:rPr>
        <w:t>Islampur</w:t>
      </w:r>
      <w:proofErr w:type="spellEnd"/>
      <w:r w:rsidRPr="004B274F">
        <w:rPr>
          <w:highlight w:val="yellow"/>
        </w:rPr>
        <w:t>, Sylhet). After collection, the seeds were transported to the nursery in airtight polybags. The fuelwood used as feedstock in this experiment was obtained from a local sawmill and subsequently dried under sunlight for two days to reduce excess moisture.</w:t>
      </w:r>
    </w:p>
    <w:p w14:paraId="0443A8E6" w14:textId="7E1C4CF2" w:rsidR="00DB129A" w:rsidRDefault="00DB129A" w:rsidP="00496A10">
      <w:pPr>
        <w:pStyle w:val="Caption"/>
      </w:pPr>
      <w:r>
        <w:t xml:space="preserve">Table </w:t>
      </w:r>
      <w:fldSimple w:instr=" SEQ Table \* ARABIC ">
        <w:r w:rsidR="00EB4E6C">
          <w:rPr>
            <w:noProof/>
          </w:rPr>
          <w:t>1</w:t>
        </w:r>
      </w:fldSimple>
      <w:r>
        <w:rPr>
          <w:lang w:val="en-US"/>
        </w:rPr>
        <w:t xml:space="preserve"> </w:t>
      </w:r>
      <w:r w:rsidRPr="0089442B">
        <w:rPr>
          <w:lang w:val="en-US"/>
        </w:rPr>
        <w:t>Test species and feedstock species used in the study</w:t>
      </w:r>
    </w:p>
    <w:tbl>
      <w:tblPr>
        <w:tblStyle w:val="a"/>
        <w:tblW w:w="8850" w:type="dxa"/>
        <w:tblBorders>
          <w:top w:val="nil"/>
          <w:left w:val="nil"/>
          <w:bottom w:val="nil"/>
          <w:right w:val="nil"/>
          <w:insideH w:val="nil"/>
          <w:insideV w:val="nil"/>
        </w:tblBorders>
        <w:tblLayout w:type="fixed"/>
        <w:tblLook w:val="0600" w:firstRow="0" w:lastRow="0" w:firstColumn="0" w:lastColumn="0" w:noHBand="1" w:noVBand="1"/>
      </w:tblPr>
      <w:tblGrid>
        <w:gridCol w:w="1800"/>
        <w:gridCol w:w="1695"/>
        <w:gridCol w:w="3885"/>
        <w:gridCol w:w="1470"/>
      </w:tblGrid>
      <w:tr w:rsidR="00DB129A" w:rsidRPr="00BF0A90" w14:paraId="4E016821" w14:textId="77777777" w:rsidTr="00D03373">
        <w:trPr>
          <w:trHeight w:val="20"/>
          <w:tblHeader/>
        </w:trPr>
        <w:tc>
          <w:tcPr>
            <w:tcW w:w="3495"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39B3B561" w14:textId="77777777" w:rsidR="00DB129A" w:rsidRPr="00BF0A90" w:rsidRDefault="00DB129A" w:rsidP="00D03373">
            <w:pPr>
              <w:spacing w:before="0" w:after="0"/>
              <w:rPr>
                <w:rFonts w:eastAsia="Times New Roman"/>
                <w:b/>
                <w:sz w:val="18"/>
                <w:szCs w:val="18"/>
              </w:rPr>
            </w:pPr>
            <w:r w:rsidRPr="00BF0A90">
              <w:rPr>
                <w:rFonts w:eastAsia="Times New Roman"/>
                <w:b/>
                <w:sz w:val="18"/>
                <w:szCs w:val="18"/>
              </w:rPr>
              <w:lastRenderedPageBreak/>
              <w:t>Name</w:t>
            </w:r>
          </w:p>
        </w:tc>
        <w:tc>
          <w:tcPr>
            <w:tcW w:w="388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E421132" w14:textId="77777777" w:rsidR="00DB129A" w:rsidRPr="00BF0A90" w:rsidRDefault="00DB129A" w:rsidP="00D03373">
            <w:pPr>
              <w:spacing w:before="0" w:after="0"/>
              <w:rPr>
                <w:rFonts w:eastAsia="Times New Roman"/>
                <w:b/>
                <w:sz w:val="18"/>
                <w:szCs w:val="18"/>
              </w:rPr>
            </w:pPr>
            <w:r w:rsidRPr="00BF0A90">
              <w:rPr>
                <w:rFonts w:eastAsia="Times New Roman"/>
                <w:b/>
                <w:sz w:val="18"/>
                <w:szCs w:val="18"/>
              </w:rPr>
              <w:t>Scientific name</w:t>
            </w:r>
          </w:p>
        </w:tc>
        <w:tc>
          <w:tcPr>
            <w:tcW w:w="147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79A8588" w14:textId="77777777" w:rsidR="00DB129A" w:rsidRPr="00BF0A90" w:rsidRDefault="00DB129A" w:rsidP="00D03373">
            <w:pPr>
              <w:spacing w:before="0" w:after="0"/>
              <w:rPr>
                <w:rFonts w:eastAsia="Times New Roman"/>
                <w:b/>
                <w:sz w:val="18"/>
                <w:szCs w:val="18"/>
              </w:rPr>
            </w:pPr>
            <w:r w:rsidRPr="00BF0A90">
              <w:rPr>
                <w:rFonts w:eastAsia="Times New Roman"/>
                <w:b/>
                <w:sz w:val="18"/>
                <w:szCs w:val="18"/>
              </w:rPr>
              <w:t>Family</w:t>
            </w:r>
          </w:p>
        </w:tc>
      </w:tr>
      <w:tr w:rsidR="00DB129A" w:rsidRPr="00BF0A90" w14:paraId="3911166D" w14:textId="77777777" w:rsidTr="00D03373">
        <w:trPr>
          <w:trHeight w:val="20"/>
        </w:trPr>
        <w:tc>
          <w:tcPr>
            <w:tcW w:w="1800" w:type="dxa"/>
            <w:vMerge w:val="restart"/>
            <w:tcBorders>
              <w:top w:val="nil"/>
              <w:left w:val="nil"/>
              <w:bottom w:val="single" w:sz="8" w:space="0" w:color="000000"/>
              <w:right w:val="nil"/>
            </w:tcBorders>
            <w:shd w:val="clear" w:color="auto" w:fill="auto"/>
            <w:tcMar>
              <w:top w:w="100" w:type="dxa"/>
              <w:left w:w="100" w:type="dxa"/>
              <w:bottom w:w="100" w:type="dxa"/>
              <w:right w:w="100" w:type="dxa"/>
            </w:tcMar>
          </w:tcPr>
          <w:p w14:paraId="27049CE5"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Test species</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7703CE09"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Amon BR-32</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68042F18" w14:textId="77777777" w:rsidR="00DB129A" w:rsidRPr="00BF0A90" w:rsidRDefault="00DB129A" w:rsidP="00D03373">
            <w:pPr>
              <w:spacing w:before="0" w:after="0"/>
              <w:rPr>
                <w:rFonts w:eastAsia="Times New Roman"/>
                <w:i/>
                <w:sz w:val="18"/>
                <w:szCs w:val="18"/>
              </w:rPr>
            </w:pPr>
            <w:r w:rsidRPr="00BF0A90">
              <w:rPr>
                <w:rFonts w:eastAsia="Times New Roman"/>
                <w:i/>
                <w:sz w:val="18"/>
                <w:szCs w:val="18"/>
              </w:rPr>
              <w:t xml:space="preserve">Oryza sativa </w:t>
            </w:r>
            <w:r w:rsidRPr="00BF0A90">
              <w:rPr>
                <w:rFonts w:eastAsia="Times New Roman"/>
                <w:sz w:val="18"/>
                <w:szCs w:val="18"/>
              </w:rPr>
              <w:t>L</w:t>
            </w:r>
            <w:r w:rsidRPr="00BF0A90">
              <w:rPr>
                <w:rFonts w:eastAsia="Times New Roman"/>
                <w:i/>
                <w:sz w:val="18"/>
                <w:szCs w:val="18"/>
              </w:rPr>
              <w:t>.</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038FA748" w14:textId="77777777" w:rsidR="00DB129A" w:rsidRPr="00BF0A90" w:rsidRDefault="00DB129A" w:rsidP="00D03373">
            <w:pPr>
              <w:spacing w:before="0" w:after="0"/>
              <w:rPr>
                <w:rFonts w:eastAsia="Times New Roman"/>
                <w:sz w:val="18"/>
                <w:szCs w:val="18"/>
              </w:rPr>
            </w:pPr>
            <w:proofErr w:type="spellStart"/>
            <w:r w:rsidRPr="00BF0A90">
              <w:rPr>
                <w:rFonts w:eastAsia="Times New Roman"/>
                <w:sz w:val="18"/>
                <w:szCs w:val="18"/>
              </w:rPr>
              <w:t>Poaceae</w:t>
            </w:r>
            <w:proofErr w:type="spellEnd"/>
          </w:p>
        </w:tc>
      </w:tr>
      <w:tr w:rsidR="00DB129A" w:rsidRPr="00BF0A90" w14:paraId="532008B7" w14:textId="77777777" w:rsidTr="00D03373">
        <w:trPr>
          <w:trHeight w:val="20"/>
        </w:trPr>
        <w:tc>
          <w:tcPr>
            <w:tcW w:w="1800" w:type="dxa"/>
            <w:vMerge/>
            <w:tcBorders>
              <w:bottom w:val="single" w:sz="8" w:space="0" w:color="000000"/>
              <w:right w:val="nil"/>
            </w:tcBorders>
            <w:shd w:val="clear" w:color="auto" w:fill="auto"/>
            <w:tcMar>
              <w:top w:w="100" w:type="dxa"/>
              <w:left w:w="100" w:type="dxa"/>
              <w:bottom w:w="100" w:type="dxa"/>
              <w:right w:w="100" w:type="dxa"/>
            </w:tcMar>
          </w:tcPr>
          <w:p w14:paraId="5F961FF3" w14:textId="77777777" w:rsidR="00DB129A" w:rsidRPr="00BF0A90" w:rsidRDefault="00DB129A" w:rsidP="00D03373">
            <w:pPr>
              <w:spacing w:before="0" w:after="0"/>
              <w:rPr>
                <w:rFonts w:eastAsia="Times New Roman"/>
                <w:sz w:val="18"/>
                <w:szCs w:val="18"/>
              </w:rPr>
            </w:pP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1D548AA4" w14:textId="77777777" w:rsidR="00DB129A" w:rsidRPr="00BF0A90" w:rsidRDefault="00DB129A" w:rsidP="00D03373">
            <w:pPr>
              <w:spacing w:before="0" w:after="0"/>
              <w:rPr>
                <w:rFonts w:eastAsia="Times New Roman"/>
                <w:sz w:val="18"/>
                <w:szCs w:val="18"/>
              </w:rPr>
            </w:pPr>
            <w:proofErr w:type="spellStart"/>
            <w:r w:rsidRPr="00BF0A90">
              <w:rPr>
                <w:rFonts w:eastAsia="Times New Roman"/>
                <w:sz w:val="18"/>
                <w:szCs w:val="18"/>
              </w:rPr>
              <w:t>Akashmoni</w:t>
            </w:r>
            <w:proofErr w:type="spellEnd"/>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4F57757E" w14:textId="77777777" w:rsidR="00DB129A" w:rsidRPr="00BF0A90" w:rsidRDefault="00DB129A" w:rsidP="00D03373">
            <w:pPr>
              <w:spacing w:before="0" w:after="0"/>
              <w:rPr>
                <w:rFonts w:eastAsia="Times New Roman"/>
                <w:sz w:val="18"/>
                <w:szCs w:val="18"/>
              </w:rPr>
            </w:pPr>
            <w:r w:rsidRPr="00BF0A90">
              <w:rPr>
                <w:rFonts w:eastAsia="Times New Roman"/>
                <w:i/>
                <w:sz w:val="18"/>
                <w:szCs w:val="18"/>
              </w:rPr>
              <w:t xml:space="preserve">Acacia </w:t>
            </w:r>
            <w:proofErr w:type="spellStart"/>
            <w:r w:rsidRPr="00BF0A90">
              <w:rPr>
                <w:rFonts w:eastAsia="Times New Roman"/>
                <w:i/>
                <w:sz w:val="18"/>
                <w:szCs w:val="18"/>
              </w:rPr>
              <w:t>auriculiformis</w:t>
            </w:r>
            <w:proofErr w:type="spellEnd"/>
            <w:r w:rsidRPr="00BF0A90">
              <w:rPr>
                <w:rFonts w:eastAsia="Times New Roman"/>
                <w:i/>
                <w:sz w:val="18"/>
                <w:szCs w:val="18"/>
              </w:rPr>
              <w:t xml:space="preserve"> </w:t>
            </w:r>
            <w:r w:rsidRPr="00BF0A90">
              <w:rPr>
                <w:rFonts w:eastAsia="Times New Roman"/>
                <w:sz w:val="18"/>
                <w:szCs w:val="18"/>
              </w:rPr>
              <w:t xml:space="preserve">A. </w:t>
            </w:r>
            <w:proofErr w:type="spellStart"/>
            <w:r w:rsidRPr="00BF0A90">
              <w:rPr>
                <w:rFonts w:eastAsia="Times New Roman"/>
                <w:sz w:val="18"/>
                <w:szCs w:val="18"/>
              </w:rPr>
              <w:t>Cunn</w:t>
            </w:r>
            <w:proofErr w:type="spellEnd"/>
            <w:r w:rsidRPr="00BF0A90">
              <w:rPr>
                <w:rFonts w:eastAsia="Times New Roman"/>
                <w:sz w:val="18"/>
                <w:szCs w:val="18"/>
              </w:rPr>
              <w:t>. ex Benth.</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69433A4A"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Fabaceae</w:t>
            </w:r>
          </w:p>
        </w:tc>
      </w:tr>
      <w:tr w:rsidR="00DB129A" w:rsidRPr="00BF0A90" w14:paraId="46B13ECA" w14:textId="77777777" w:rsidTr="00D03373">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0EFB3A89"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Feedstock</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57015C61"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Raintree</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6A41E16F" w14:textId="77777777" w:rsidR="00DB129A" w:rsidRPr="00BF0A90" w:rsidRDefault="00DB129A" w:rsidP="00D03373">
            <w:pPr>
              <w:spacing w:before="0" w:after="0"/>
              <w:rPr>
                <w:rFonts w:eastAsia="Times New Roman"/>
                <w:sz w:val="18"/>
                <w:szCs w:val="18"/>
              </w:rPr>
            </w:pPr>
            <w:proofErr w:type="spellStart"/>
            <w:r w:rsidRPr="00BF0A90">
              <w:rPr>
                <w:rFonts w:eastAsia="Times New Roman"/>
                <w:i/>
                <w:sz w:val="18"/>
                <w:szCs w:val="18"/>
              </w:rPr>
              <w:t>Samanea</w:t>
            </w:r>
            <w:proofErr w:type="spellEnd"/>
            <w:r w:rsidRPr="00BF0A90">
              <w:rPr>
                <w:rFonts w:eastAsia="Times New Roman"/>
                <w:i/>
                <w:sz w:val="18"/>
                <w:szCs w:val="18"/>
              </w:rPr>
              <w:t xml:space="preserve"> saman </w:t>
            </w:r>
            <w:r w:rsidRPr="00BF0A90">
              <w:rPr>
                <w:rFonts w:eastAsia="Times New Roman"/>
                <w:sz w:val="18"/>
                <w:szCs w:val="18"/>
              </w:rPr>
              <w:t xml:space="preserve">(Jacq.) </w:t>
            </w:r>
            <w:proofErr w:type="spellStart"/>
            <w:r w:rsidRPr="00BF0A90">
              <w:rPr>
                <w:rFonts w:eastAsia="Times New Roman"/>
                <w:sz w:val="18"/>
                <w:szCs w:val="18"/>
              </w:rPr>
              <w:t>Merr</w:t>
            </w:r>
            <w:proofErr w:type="spellEnd"/>
            <w:r w:rsidRPr="00BF0A90">
              <w:rPr>
                <w:rFonts w:eastAsia="Times New Roman"/>
                <w:sz w:val="18"/>
                <w:szCs w:val="18"/>
              </w:rPr>
              <w:t>.</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7C724440"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Fabaceae</w:t>
            </w:r>
          </w:p>
        </w:tc>
      </w:tr>
      <w:tr w:rsidR="00DB129A" w:rsidRPr="00BF0A90" w14:paraId="7440B413" w14:textId="77777777" w:rsidTr="00D03373">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18C2A8AC"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 xml:space="preserve"> </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7ECD876D"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Kadam</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2DD1629A" w14:textId="77777777" w:rsidR="00DB129A" w:rsidRPr="00BF0A90" w:rsidRDefault="00DB129A" w:rsidP="00D03373">
            <w:pPr>
              <w:spacing w:before="0" w:after="0"/>
              <w:rPr>
                <w:rFonts w:eastAsia="Times New Roman"/>
                <w:sz w:val="18"/>
                <w:szCs w:val="18"/>
              </w:rPr>
            </w:pPr>
            <w:proofErr w:type="spellStart"/>
            <w:r w:rsidRPr="00BF0A90">
              <w:rPr>
                <w:rFonts w:eastAsia="Times New Roman"/>
                <w:i/>
                <w:sz w:val="18"/>
                <w:szCs w:val="18"/>
              </w:rPr>
              <w:t>Anthocephaslus</w:t>
            </w:r>
            <w:proofErr w:type="spellEnd"/>
            <w:r w:rsidRPr="00BF0A90">
              <w:rPr>
                <w:rFonts w:eastAsia="Times New Roman"/>
                <w:i/>
                <w:sz w:val="18"/>
                <w:szCs w:val="18"/>
              </w:rPr>
              <w:t xml:space="preserve"> chinensis </w:t>
            </w:r>
            <w:r w:rsidRPr="00BF0A90">
              <w:rPr>
                <w:rFonts w:eastAsia="Times New Roman"/>
                <w:sz w:val="18"/>
                <w:szCs w:val="18"/>
              </w:rPr>
              <w:t>(Lam.) Rich. ex Walp</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54C0671D" w14:textId="77777777" w:rsidR="00DB129A" w:rsidRPr="00BF0A90" w:rsidRDefault="00DB129A" w:rsidP="00D03373">
            <w:pPr>
              <w:spacing w:before="0" w:after="0"/>
              <w:rPr>
                <w:rFonts w:eastAsia="Times New Roman"/>
                <w:sz w:val="18"/>
                <w:szCs w:val="18"/>
              </w:rPr>
            </w:pPr>
            <w:proofErr w:type="spellStart"/>
            <w:r w:rsidRPr="00BF0A90">
              <w:rPr>
                <w:rFonts w:eastAsia="Times New Roman"/>
                <w:sz w:val="18"/>
                <w:szCs w:val="18"/>
              </w:rPr>
              <w:t>Rubiaceae</w:t>
            </w:r>
            <w:proofErr w:type="spellEnd"/>
          </w:p>
        </w:tc>
      </w:tr>
      <w:tr w:rsidR="00DB129A" w:rsidRPr="00BF0A90" w14:paraId="6A9C119F" w14:textId="77777777" w:rsidTr="00D03373">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7149365C"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 xml:space="preserve"> </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20B75232" w14:textId="77777777" w:rsidR="00DB129A" w:rsidRPr="00BF0A90" w:rsidRDefault="00DB129A" w:rsidP="00D03373">
            <w:pPr>
              <w:spacing w:before="0" w:after="0"/>
              <w:rPr>
                <w:rFonts w:eastAsia="Times New Roman"/>
                <w:sz w:val="18"/>
                <w:szCs w:val="18"/>
              </w:rPr>
            </w:pPr>
            <w:proofErr w:type="spellStart"/>
            <w:r w:rsidRPr="00BF0A90">
              <w:rPr>
                <w:rFonts w:eastAsia="Times New Roman"/>
                <w:sz w:val="18"/>
                <w:szCs w:val="18"/>
              </w:rPr>
              <w:t>Chambul</w:t>
            </w:r>
            <w:proofErr w:type="spellEnd"/>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33D91BDC" w14:textId="77777777" w:rsidR="00DB129A" w:rsidRPr="00BF0A90" w:rsidRDefault="00DB129A" w:rsidP="00D03373">
            <w:pPr>
              <w:spacing w:before="0" w:after="0"/>
              <w:rPr>
                <w:rFonts w:eastAsia="Times New Roman"/>
                <w:sz w:val="18"/>
                <w:szCs w:val="18"/>
              </w:rPr>
            </w:pPr>
            <w:r w:rsidRPr="00BF0A90">
              <w:rPr>
                <w:rFonts w:eastAsia="Times New Roman"/>
                <w:i/>
                <w:sz w:val="18"/>
                <w:szCs w:val="18"/>
              </w:rPr>
              <w:t xml:space="preserve">Albizia </w:t>
            </w:r>
            <w:proofErr w:type="spellStart"/>
            <w:r w:rsidRPr="00BF0A90">
              <w:rPr>
                <w:rFonts w:eastAsia="Times New Roman"/>
                <w:i/>
                <w:sz w:val="18"/>
                <w:szCs w:val="18"/>
              </w:rPr>
              <w:t>richardiana</w:t>
            </w:r>
            <w:proofErr w:type="spellEnd"/>
            <w:r w:rsidRPr="00BF0A90">
              <w:rPr>
                <w:rFonts w:eastAsia="Times New Roman"/>
                <w:i/>
                <w:sz w:val="18"/>
                <w:szCs w:val="18"/>
              </w:rPr>
              <w:t xml:space="preserve"> </w:t>
            </w:r>
            <w:r w:rsidRPr="00BF0A90">
              <w:rPr>
                <w:rFonts w:eastAsia="Times New Roman"/>
                <w:sz w:val="18"/>
                <w:szCs w:val="18"/>
              </w:rPr>
              <w:t>(Voigt) King &amp; Prain</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2B0E9CA4"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Fabaceae</w:t>
            </w:r>
          </w:p>
        </w:tc>
      </w:tr>
      <w:tr w:rsidR="00DB129A" w:rsidRPr="00BF0A90" w14:paraId="3CE06E07" w14:textId="77777777" w:rsidTr="00D03373">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005CFCFF"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 xml:space="preserve"> </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0A627C43"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Kathal</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7F45BD9A" w14:textId="77777777" w:rsidR="00DB129A" w:rsidRPr="00BF0A90" w:rsidRDefault="00DB129A" w:rsidP="00D03373">
            <w:pPr>
              <w:spacing w:before="0" w:after="0"/>
              <w:rPr>
                <w:rFonts w:eastAsia="Times New Roman"/>
                <w:sz w:val="18"/>
                <w:szCs w:val="18"/>
              </w:rPr>
            </w:pPr>
            <w:r w:rsidRPr="00BF0A90">
              <w:rPr>
                <w:rFonts w:eastAsia="Times New Roman"/>
                <w:i/>
                <w:sz w:val="18"/>
                <w:szCs w:val="18"/>
              </w:rPr>
              <w:t xml:space="preserve">Artocarpus heterophyllus </w:t>
            </w:r>
            <w:r w:rsidRPr="00BF0A90">
              <w:rPr>
                <w:rFonts w:eastAsia="Times New Roman"/>
                <w:sz w:val="18"/>
                <w:szCs w:val="18"/>
              </w:rPr>
              <w:t>Lam.</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3187AC0E" w14:textId="77777777" w:rsidR="00DB129A" w:rsidRPr="00BF0A90" w:rsidRDefault="00DB129A" w:rsidP="00D03373">
            <w:pPr>
              <w:spacing w:before="0" w:after="0"/>
              <w:rPr>
                <w:rFonts w:eastAsia="Times New Roman"/>
                <w:sz w:val="18"/>
                <w:szCs w:val="18"/>
              </w:rPr>
            </w:pPr>
            <w:proofErr w:type="spellStart"/>
            <w:r w:rsidRPr="00BF0A90">
              <w:rPr>
                <w:rFonts w:eastAsia="Times New Roman"/>
                <w:sz w:val="18"/>
                <w:szCs w:val="18"/>
              </w:rPr>
              <w:t>Moraceae</w:t>
            </w:r>
            <w:proofErr w:type="spellEnd"/>
          </w:p>
        </w:tc>
      </w:tr>
      <w:tr w:rsidR="00DB129A" w:rsidRPr="00BF0A90" w14:paraId="37E38F8A" w14:textId="77777777" w:rsidTr="00D03373">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08E9CD53"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 xml:space="preserve"> </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0C76A745"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Mango</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3EFBCBCC" w14:textId="77777777" w:rsidR="00DB129A" w:rsidRPr="00BF0A90" w:rsidRDefault="00DB129A" w:rsidP="00D03373">
            <w:pPr>
              <w:spacing w:before="0" w:after="0"/>
              <w:rPr>
                <w:rFonts w:eastAsia="Times New Roman"/>
                <w:sz w:val="18"/>
                <w:szCs w:val="18"/>
              </w:rPr>
            </w:pPr>
            <w:r w:rsidRPr="00BF0A90">
              <w:rPr>
                <w:rFonts w:eastAsia="Times New Roman"/>
                <w:i/>
                <w:sz w:val="18"/>
                <w:szCs w:val="18"/>
              </w:rPr>
              <w:t xml:space="preserve">Mangifera indica </w:t>
            </w:r>
            <w:r w:rsidRPr="00BF0A90">
              <w:rPr>
                <w:rFonts w:eastAsia="Times New Roman"/>
                <w:sz w:val="18"/>
                <w:szCs w:val="18"/>
              </w:rPr>
              <w:t>L.</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5CC620C2" w14:textId="77777777" w:rsidR="00DB129A" w:rsidRPr="00BF0A90" w:rsidRDefault="00DB129A" w:rsidP="00D03373">
            <w:pPr>
              <w:spacing w:before="0" w:after="0"/>
              <w:rPr>
                <w:rFonts w:eastAsia="Times New Roman"/>
                <w:sz w:val="18"/>
                <w:szCs w:val="18"/>
              </w:rPr>
            </w:pPr>
            <w:proofErr w:type="spellStart"/>
            <w:r w:rsidRPr="00BF0A90">
              <w:rPr>
                <w:rFonts w:eastAsia="Times New Roman"/>
                <w:sz w:val="18"/>
                <w:szCs w:val="18"/>
              </w:rPr>
              <w:t>Anacardiaceae</w:t>
            </w:r>
            <w:proofErr w:type="spellEnd"/>
          </w:p>
        </w:tc>
      </w:tr>
      <w:tr w:rsidR="00DB129A" w:rsidRPr="00BF0A90" w14:paraId="4F4BA079" w14:textId="77777777" w:rsidTr="00D03373">
        <w:trPr>
          <w:trHeight w:val="20"/>
        </w:trPr>
        <w:tc>
          <w:tcPr>
            <w:tcW w:w="1800" w:type="dxa"/>
            <w:tcBorders>
              <w:top w:val="nil"/>
              <w:left w:val="nil"/>
              <w:bottom w:val="single" w:sz="4" w:space="0" w:color="auto"/>
              <w:right w:val="nil"/>
            </w:tcBorders>
            <w:shd w:val="clear" w:color="auto" w:fill="auto"/>
            <w:tcMar>
              <w:top w:w="100" w:type="dxa"/>
              <w:left w:w="100" w:type="dxa"/>
              <w:bottom w:w="100" w:type="dxa"/>
              <w:right w:w="100" w:type="dxa"/>
            </w:tcMar>
          </w:tcPr>
          <w:p w14:paraId="30066B8A" w14:textId="77777777" w:rsidR="00DB129A" w:rsidRPr="00BF0A90" w:rsidRDefault="00DB129A" w:rsidP="00D03373">
            <w:pPr>
              <w:spacing w:before="0" w:after="0"/>
              <w:rPr>
                <w:rFonts w:eastAsia="Times New Roman"/>
                <w:sz w:val="18"/>
                <w:szCs w:val="18"/>
              </w:rPr>
            </w:pPr>
            <w:r w:rsidRPr="00BF0A90">
              <w:rPr>
                <w:rFonts w:eastAsia="Times New Roman"/>
                <w:sz w:val="18"/>
                <w:szCs w:val="18"/>
              </w:rPr>
              <w:t xml:space="preserve"> </w:t>
            </w:r>
          </w:p>
        </w:tc>
        <w:tc>
          <w:tcPr>
            <w:tcW w:w="1695" w:type="dxa"/>
            <w:tcBorders>
              <w:top w:val="nil"/>
              <w:left w:val="nil"/>
              <w:bottom w:val="single" w:sz="4" w:space="0" w:color="auto"/>
              <w:right w:val="nil"/>
            </w:tcBorders>
            <w:shd w:val="clear" w:color="auto" w:fill="auto"/>
            <w:tcMar>
              <w:top w:w="100" w:type="dxa"/>
              <w:left w:w="100" w:type="dxa"/>
              <w:bottom w:w="100" w:type="dxa"/>
              <w:right w:w="100" w:type="dxa"/>
            </w:tcMar>
          </w:tcPr>
          <w:p w14:paraId="01584EC6" w14:textId="77777777" w:rsidR="00DB129A" w:rsidRPr="00BF0A90" w:rsidRDefault="00DB129A" w:rsidP="00D03373">
            <w:pPr>
              <w:spacing w:before="0" w:after="0"/>
              <w:rPr>
                <w:rFonts w:eastAsia="Times New Roman"/>
                <w:sz w:val="18"/>
                <w:szCs w:val="18"/>
              </w:rPr>
            </w:pPr>
            <w:proofErr w:type="spellStart"/>
            <w:r w:rsidRPr="00BF0A90">
              <w:rPr>
                <w:rFonts w:eastAsia="Times New Roman"/>
                <w:sz w:val="18"/>
                <w:szCs w:val="18"/>
              </w:rPr>
              <w:t>Mahagani</w:t>
            </w:r>
            <w:proofErr w:type="spellEnd"/>
          </w:p>
        </w:tc>
        <w:tc>
          <w:tcPr>
            <w:tcW w:w="3885" w:type="dxa"/>
            <w:tcBorders>
              <w:top w:val="single" w:sz="8" w:space="0" w:color="000000"/>
              <w:left w:val="nil"/>
              <w:bottom w:val="single" w:sz="4" w:space="0" w:color="auto"/>
              <w:right w:val="nil"/>
            </w:tcBorders>
            <w:shd w:val="clear" w:color="auto" w:fill="auto"/>
            <w:tcMar>
              <w:top w:w="100" w:type="dxa"/>
              <w:left w:w="100" w:type="dxa"/>
              <w:bottom w:w="100" w:type="dxa"/>
              <w:right w:w="100" w:type="dxa"/>
            </w:tcMar>
          </w:tcPr>
          <w:p w14:paraId="33D2B9E7" w14:textId="77777777" w:rsidR="00DB129A" w:rsidRPr="00BF0A90" w:rsidRDefault="00DB129A" w:rsidP="00D03373">
            <w:pPr>
              <w:spacing w:before="0" w:after="0"/>
              <w:rPr>
                <w:rFonts w:eastAsia="Times New Roman"/>
                <w:sz w:val="18"/>
                <w:szCs w:val="18"/>
              </w:rPr>
            </w:pPr>
            <w:proofErr w:type="spellStart"/>
            <w:r w:rsidRPr="00BF0A90">
              <w:rPr>
                <w:rFonts w:eastAsia="Times New Roman"/>
                <w:i/>
                <w:sz w:val="18"/>
                <w:szCs w:val="18"/>
              </w:rPr>
              <w:t>Swetenia</w:t>
            </w:r>
            <w:proofErr w:type="spellEnd"/>
            <w:r w:rsidRPr="00BF0A90">
              <w:rPr>
                <w:rFonts w:eastAsia="Times New Roman"/>
                <w:i/>
                <w:sz w:val="18"/>
                <w:szCs w:val="18"/>
              </w:rPr>
              <w:t xml:space="preserve"> </w:t>
            </w:r>
            <w:proofErr w:type="spellStart"/>
            <w:r w:rsidRPr="00BF0A90">
              <w:rPr>
                <w:rFonts w:eastAsia="Times New Roman"/>
                <w:i/>
                <w:sz w:val="18"/>
                <w:szCs w:val="18"/>
              </w:rPr>
              <w:t>mahagoni</w:t>
            </w:r>
            <w:proofErr w:type="spellEnd"/>
            <w:r w:rsidRPr="00BF0A90">
              <w:rPr>
                <w:rFonts w:eastAsia="Times New Roman"/>
                <w:i/>
                <w:sz w:val="18"/>
                <w:szCs w:val="18"/>
              </w:rPr>
              <w:t xml:space="preserve"> </w:t>
            </w:r>
            <w:r w:rsidRPr="00BF0A90">
              <w:rPr>
                <w:rFonts w:eastAsia="Times New Roman"/>
                <w:sz w:val="18"/>
                <w:szCs w:val="18"/>
              </w:rPr>
              <w:t>(L.) Jacq.</w:t>
            </w:r>
          </w:p>
        </w:tc>
        <w:tc>
          <w:tcPr>
            <w:tcW w:w="1470" w:type="dxa"/>
            <w:tcBorders>
              <w:top w:val="nil"/>
              <w:left w:val="nil"/>
              <w:bottom w:val="single" w:sz="4" w:space="0" w:color="auto"/>
              <w:right w:val="nil"/>
            </w:tcBorders>
            <w:shd w:val="clear" w:color="auto" w:fill="auto"/>
            <w:tcMar>
              <w:top w:w="100" w:type="dxa"/>
              <w:left w:w="100" w:type="dxa"/>
              <w:bottom w:w="100" w:type="dxa"/>
              <w:right w:w="100" w:type="dxa"/>
            </w:tcMar>
          </w:tcPr>
          <w:p w14:paraId="3632A0B2" w14:textId="77777777" w:rsidR="00DB129A" w:rsidRPr="00BF0A90" w:rsidRDefault="00DB129A" w:rsidP="00D03373">
            <w:pPr>
              <w:keepNext/>
              <w:spacing w:before="0" w:after="0"/>
              <w:rPr>
                <w:rFonts w:eastAsia="Times New Roman"/>
                <w:sz w:val="18"/>
                <w:szCs w:val="18"/>
              </w:rPr>
            </w:pPr>
            <w:proofErr w:type="spellStart"/>
            <w:r w:rsidRPr="00BF0A90">
              <w:rPr>
                <w:rFonts w:eastAsia="Times New Roman"/>
                <w:sz w:val="18"/>
                <w:szCs w:val="18"/>
              </w:rPr>
              <w:t>Meliaceae</w:t>
            </w:r>
            <w:proofErr w:type="spellEnd"/>
          </w:p>
        </w:tc>
      </w:tr>
    </w:tbl>
    <w:p w14:paraId="6F12A793" w14:textId="77777777" w:rsidR="00DB129A" w:rsidRPr="00774668" w:rsidRDefault="00DB129A" w:rsidP="00022F18"/>
    <w:p w14:paraId="1041C90C" w14:textId="5F9436E2" w:rsidR="00DB129A" w:rsidRDefault="007F3C55" w:rsidP="00DB129A">
      <w:pPr>
        <w:pStyle w:val="Heading2"/>
      </w:pPr>
      <w:bookmarkStart w:id="5" w:name="_Toc8591694"/>
      <w:r w:rsidRPr="00E960A8">
        <w:t>BIOCHAR PREPARATION</w:t>
      </w:r>
      <w:bookmarkEnd w:id="5"/>
    </w:p>
    <w:p w14:paraId="4D34E8D4" w14:textId="7F2D8484" w:rsidR="003254D2" w:rsidRPr="004B274F" w:rsidRDefault="003254D2" w:rsidP="00022F18">
      <w:pPr>
        <w:rPr>
          <w:highlight w:val="yellow"/>
        </w:rPr>
      </w:pPr>
      <w:r w:rsidRPr="004B274F">
        <w:rPr>
          <w:highlight w:val="yellow"/>
        </w:rPr>
        <w:t xml:space="preserve">Biochar was produced using the Kon-Tiki biochar kiln, an invention of the Ithaka Institute. The kiln was constructed by stacking wood in a chimney formation at the center, extending up to approximately 25 cm below the highest point of the kiln. The "stacking wood chimney" was ignited from the top, allowing the fire to spread downward, creating a strong updraft that pulled air along the kiln’s edge walls. As the fire reached approximately one-third of the total stack height, the chimney structure was broken down, and the burning wood was leveled to create the first layer of char. Once the wood surfaces began to ash and the combustion temperature reached approximately 650°C, the first charring layer of wood was added. The kiln was progressively </w:t>
      </w:r>
      <w:r w:rsidR="00913F9B" w:rsidRPr="004B274F">
        <w:rPr>
          <w:highlight w:val="yellow"/>
        </w:rPr>
        <w:t>built-up</w:t>
      </w:r>
      <w:r w:rsidRPr="004B274F">
        <w:rPr>
          <w:highlight w:val="yellow"/>
        </w:rPr>
        <w:t xml:space="preserve"> layer by layer, ensuring that new wood was added each time the top layer began to ash. This process continued, with temperatures inside the blaze zone reaching up to 750°C, depending on the humidity of the feedstock. To extinguish the fire, the kiln was quenched either from the top—requiring additional water but enhancing volatile removal and partial activation of the biochar—or from the bottom using a water hose, as developed by Frank </w:t>
      </w:r>
      <w:proofErr w:type="spellStart"/>
      <w:r w:rsidRPr="004B274F">
        <w:rPr>
          <w:highlight w:val="yellow"/>
        </w:rPr>
        <w:t>Strie</w:t>
      </w:r>
      <w:proofErr w:type="spellEnd"/>
      <w:r w:rsidRPr="004B274F">
        <w:rPr>
          <w:highlight w:val="yellow"/>
        </w:rPr>
        <w:t xml:space="preserve"> from Kon-Tiki Tas.</w:t>
      </w:r>
    </w:p>
    <w:p w14:paraId="39AC23AC" w14:textId="75073C1B" w:rsidR="00DB129A" w:rsidRPr="00774668" w:rsidRDefault="00DB129A" w:rsidP="00DB129A">
      <w:r w:rsidRPr="004B274F">
        <w:rPr>
          <w:highlight w:val="yellow"/>
        </w:rPr>
        <w:t xml:space="preserve">To </w:t>
      </w:r>
      <w:r w:rsidR="007F3C55" w:rsidRPr="004B274F">
        <w:rPr>
          <w:highlight w:val="yellow"/>
        </w:rPr>
        <w:t>analyse</w:t>
      </w:r>
      <w:r w:rsidRPr="004B274F">
        <w:rPr>
          <w:highlight w:val="yellow"/>
        </w:rPr>
        <w:t xml:space="preserve"> biochar yield, the amount of biochar produced from each feedstock species was measured after pyrolysis. Each biochar type was produced using 20 kg of its respective feedstock.</w:t>
      </w:r>
    </w:p>
    <w:p w14:paraId="3F5EFA11" w14:textId="6BD73601" w:rsidR="00DB129A" w:rsidRPr="00774668" w:rsidRDefault="007F3C55" w:rsidP="00022F18">
      <w:pPr>
        <w:pStyle w:val="Heading2"/>
      </w:pPr>
      <w:bookmarkStart w:id="6" w:name="_Toc8591700"/>
      <w:r w:rsidRPr="00E960A8">
        <w:t xml:space="preserve">PRE-SOWING TREATMENT </w:t>
      </w:r>
      <w:r>
        <w:t xml:space="preserve">OF </w:t>
      </w:r>
      <w:r w:rsidRPr="00E960A8">
        <w:t>SEEDS</w:t>
      </w:r>
      <w:bookmarkEnd w:id="6"/>
      <w:r w:rsidRPr="00E960A8">
        <w:t xml:space="preserve"> </w:t>
      </w:r>
    </w:p>
    <w:p w14:paraId="01D4DE51" w14:textId="3199C727" w:rsidR="003254D2" w:rsidRDefault="003254D2" w:rsidP="00022F18">
      <w:r w:rsidRPr="004B274F">
        <w:rPr>
          <w:highlight w:val="yellow"/>
        </w:rPr>
        <w:t>Prior to sowing, all seeds underwent specific pre-treatment procedures. The seeds were separated from their fruit and thoroughly washed to remove any remaining residues.</w:t>
      </w:r>
      <w:r w:rsidR="00020441" w:rsidRPr="004B274F">
        <w:rPr>
          <w:highlight w:val="yellow"/>
        </w:rPr>
        <w:t xml:space="preserve"> </w:t>
      </w:r>
      <w:proofErr w:type="spellStart"/>
      <w:r w:rsidR="00020441" w:rsidRPr="004B274F">
        <w:rPr>
          <w:highlight w:val="yellow"/>
        </w:rPr>
        <w:t>Ak</w:t>
      </w:r>
      <w:r w:rsidR="007F3C55" w:rsidRPr="004B274F">
        <w:rPr>
          <w:highlight w:val="yellow"/>
        </w:rPr>
        <w:t>a</w:t>
      </w:r>
      <w:r w:rsidR="00020441" w:rsidRPr="004B274F">
        <w:rPr>
          <w:highlight w:val="yellow"/>
        </w:rPr>
        <w:t>shmoni</w:t>
      </w:r>
      <w:proofErr w:type="spellEnd"/>
      <w:r w:rsidRPr="004B274F">
        <w:rPr>
          <w:highlight w:val="yellow"/>
        </w:rPr>
        <w:t xml:space="preserve"> seeds underwent a hot water bath treatment, while normal water treatment was applied to rice seeds, both of which were soaked for 24 hours.</w:t>
      </w:r>
    </w:p>
    <w:p w14:paraId="63E83EEF" w14:textId="1732019F" w:rsidR="00DB129A" w:rsidRPr="00DB129A" w:rsidRDefault="007F3C55" w:rsidP="00022F18">
      <w:pPr>
        <w:pStyle w:val="Heading2"/>
        <w:rPr>
          <w:rFonts w:eastAsiaTheme="minorHAnsi"/>
        </w:rPr>
      </w:pPr>
      <w:bookmarkStart w:id="7" w:name="_Toc8591701"/>
      <w:r w:rsidRPr="00E960A8">
        <w:rPr>
          <w:rFonts w:eastAsiaTheme="minorHAnsi"/>
        </w:rPr>
        <w:t>PREPARING PLOT</w:t>
      </w:r>
      <w:bookmarkEnd w:id="7"/>
      <w:r>
        <w:rPr>
          <w:rFonts w:eastAsiaTheme="minorHAnsi"/>
        </w:rPr>
        <w:t xml:space="preserve"> AND EXPERIMENTAL DESIGN</w:t>
      </w:r>
    </w:p>
    <w:p w14:paraId="4F11D6AF" w14:textId="77777777" w:rsidR="00DB129A" w:rsidRPr="004B274F" w:rsidRDefault="003254D2" w:rsidP="00022F18">
      <w:pPr>
        <w:rPr>
          <w:highlight w:val="yellow"/>
        </w:rPr>
      </w:pPr>
      <w:r w:rsidRPr="004B274F">
        <w:rPr>
          <w:highlight w:val="yellow"/>
        </w:rPr>
        <w:t>The soil used in the experiment was collected from agricultural fields on the SUST campus. Each experimental plot measured 2.5 meters, with seven treatment groups: a control group and six biochar treatments consisting of biochar derived from Rain tree (</w:t>
      </w:r>
      <w:r w:rsidRPr="004B274F">
        <w:rPr>
          <w:rStyle w:val="Emphasis"/>
          <w:szCs w:val="20"/>
          <w:highlight w:val="yellow"/>
        </w:rPr>
        <w:t>Albizia saman</w:t>
      </w:r>
      <w:r w:rsidRPr="004B274F">
        <w:rPr>
          <w:highlight w:val="yellow"/>
        </w:rPr>
        <w:t>), Kadam (</w:t>
      </w:r>
      <w:proofErr w:type="spellStart"/>
      <w:r w:rsidRPr="004B274F">
        <w:rPr>
          <w:rStyle w:val="Emphasis"/>
          <w:szCs w:val="20"/>
          <w:highlight w:val="yellow"/>
        </w:rPr>
        <w:t>Neolamarckia</w:t>
      </w:r>
      <w:proofErr w:type="spellEnd"/>
      <w:r w:rsidRPr="004B274F">
        <w:rPr>
          <w:rStyle w:val="Emphasis"/>
          <w:szCs w:val="20"/>
          <w:highlight w:val="yellow"/>
        </w:rPr>
        <w:t xml:space="preserve"> </w:t>
      </w:r>
      <w:proofErr w:type="spellStart"/>
      <w:r w:rsidRPr="004B274F">
        <w:rPr>
          <w:rStyle w:val="Emphasis"/>
          <w:szCs w:val="20"/>
          <w:highlight w:val="yellow"/>
        </w:rPr>
        <w:t>cadamba</w:t>
      </w:r>
      <w:proofErr w:type="spellEnd"/>
      <w:r w:rsidRPr="004B274F">
        <w:rPr>
          <w:highlight w:val="yellow"/>
        </w:rPr>
        <w:t xml:space="preserve">), </w:t>
      </w:r>
      <w:proofErr w:type="spellStart"/>
      <w:r w:rsidRPr="004B274F">
        <w:rPr>
          <w:highlight w:val="yellow"/>
        </w:rPr>
        <w:t>Chambul</w:t>
      </w:r>
      <w:proofErr w:type="spellEnd"/>
      <w:r w:rsidRPr="004B274F">
        <w:rPr>
          <w:highlight w:val="yellow"/>
        </w:rPr>
        <w:t xml:space="preserve"> (</w:t>
      </w:r>
      <w:r w:rsidRPr="004B274F">
        <w:rPr>
          <w:rStyle w:val="Emphasis"/>
          <w:szCs w:val="20"/>
          <w:highlight w:val="yellow"/>
        </w:rPr>
        <w:t>Terminalia arjuna</w:t>
      </w:r>
      <w:r w:rsidRPr="004B274F">
        <w:rPr>
          <w:highlight w:val="yellow"/>
        </w:rPr>
        <w:t>), Mango (</w:t>
      </w:r>
      <w:r w:rsidRPr="004B274F">
        <w:rPr>
          <w:rStyle w:val="Emphasis"/>
          <w:szCs w:val="20"/>
          <w:highlight w:val="yellow"/>
        </w:rPr>
        <w:t>Mangifera indica</w:t>
      </w:r>
      <w:r w:rsidRPr="004B274F">
        <w:rPr>
          <w:highlight w:val="yellow"/>
        </w:rPr>
        <w:t>), Kathal (</w:t>
      </w:r>
      <w:r w:rsidRPr="004B274F">
        <w:rPr>
          <w:rStyle w:val="Emphasis"/>
          <w:szCs w:val="20"/>
          <w:highlight w:val="yellow"/>
        </w:rPr>
        <w:t>Artocarpus heterophyllus</w:t>
      </w:r>
      <w:r w:rsidRPr="004B274F">
        <w:rPr>
          <w:highlight w:val="yellow"/>
        </w:rPr>
        <w:t>), and Mahogany (</w:t>
      </w:r>
      <w:r w:rsidRPr="004B274F">
        <w:rPr>
          <w:rStyle w:val="Emphasis"/>
          <w:szCs w:val="20"/>
          <w:highlight w:val="yellow"/>
        </w:rPr>
        <w:t xml:space="preserve">Swietenia </w:t>
      </w:r>
      <w:proofErr w:type="spellStart"/>
      <w:r w:rsidRPr="004B274F">
        <w:rPr>
          <w:rStyle w:val="Emphasis"/>
          <w:szCs w:val="20"/>
          <w:highlight w:val="yellow"/>
        </w:rPr>
        <w:t>mahagoni</w:t>
      </w:r>
      <w:proofErr w:type="spellEnd"/>
      <w:r w:rsidRPr="004B274F">
        <w:rPr>
          <w:highlight w:val="yellow"/>
        </w:rPr>
        <w:t xml:space="preserve">). Each treatment was replicated four times to enhance data precision. </w:t>
      </w:r>
    </w:p>
    <w:p w14:paraId="5E617FF9" w14:textId="5CDE167E" w:rsidR="003254D2" w:rsidRDefault="003254D2" w:rsidP="00022F18">
      <w:r w:rsidRPr="004B274F">
        <w:rPr>
          <w:highlight w:val="yellow"/>
        </w:rPr>
        <w:t>The experiment followed a Complete Randomized Block Design (CRBD), maintaining four blocks in total. Within each block, all treatments were applied to a single species, resulting in a total of 56 experimental units. Since each species was replicated four times, this approach increased the statistical efficiency of the study.</w:t>
      </w:r>
    </w:p>
    <w:p w14:paraId="0499AAC5" w14:textId="422B77EE" w:rsidR="008A3FA0" w:rsidRPr="00E960A8" w:rsidRDefault="007F3C55" w:rsidP="008A3FA0">
      <w:pPr>
        <w:pStyle w:val="Heading2"/>
      </w:pPr>
      <w:bookmarkStart w:id="8" w:name="_Toc8591702"/>
      <w:r w:rsidRPr="00E960A8">
        <w:lastRenderedPageBreak/>
        <w:t>TREATMENTS</w:t>
      </w:r>
      <w:bookmarkEnd w:id="8"/>
    </w:p>
    <w:p w14:paraId="35BBE700" w14:textId="1638EAC9" w:rsidR="008A3FA0" w:rsidRDefault="008A3FA0" w:rsidP="008A3FA0">
      <w:r w:rsidRPr="004B274F">
        <w:rPr>
          <w:highlight w:val="yellow"/>
        </w:rPr>
        <w:t xml:space="preserve">There were seven treatments, 10t/ha of 6 kinds of different biochar including control used in the study. The treatments were control, 10t/ha biochar of Rain tree, Kadam, </w:t>
      </w:r>
      <w:proofErr w:type="spellStart"/>
      <w:r w:rsidRPr="004B274F">
        <w:rPr>
          <w:highlight w:val="yellow"/>
        </w:rPr>
        <w:t>Chambul</w:t>
      </w:r>
      <w:proofErr w:type="spellEnd"/>
      <w:r w:rsidRPr="004B274F">
        <w:rPr>
          <w:highlight w:val="yellow"/>
        </w:rPr>
        <w:t xml:space="preserve">, Mango, Kathal and </w:t>
      </w:r>
      <w:proofErr w:type="spellStart"/>
      <w:r w:rsidRPr="004B274F">
        <w:rPr>
          <w:highlight w:val="yellow"/>
        </w:rPr>
        <w:t>Mahagoni</w:t>
      </w:r>
      <w:proofErr w:type="spellEnd"/>
      <w:r w:rsidRPr="004B274F">
        <w:rPr>
          <w:highlight w:val="yellow"/>
        </w:rPr>
        <w:t>. Each of the treatment was replicated four times for germination and growth performances. 100gm biochar was added at the surface of each part of a plot containing 3 kg soil for 10t/ha treatment.</w:t>
      </w:r>
    </w:p>
    <w:p w14:paraId="11C794D1" w14:textId="12138672" w:rsidR="008A3FA0" w:rsidRPr="00774668" w:rsidRDefault="007F3C55" w:rsidP="008A3FA0">
      <w:pPr>
        <w:pStyle w:val="Heading2"/>
      </w:pPr>
      <w:r>
        <w:t>GERMINATION AND GROWTH PARAMETERS</w:t>
      </w:r>
    </w:p>
    <w:p w14:paraId="463635C4" w14:textId="3AEDC5F3" w:rsidR="003254D2" w:rsidRPr="004B274F" w:rsidRDefault="003254D2" w:rsidP="00022F18">
      <w:pPr>
        <w:rPr>
          <w:highlight w:val="yellow"/>
        </w:rPr>
      </w:pPr>
      <w:r w:rsidRPr="004B274F">
        <w:rPr>
          <w:highlight w:val="yellow"/>
        </w:rPr>
        <w:t>For germination analysis, 15 rice seeds and 10</w:t>
      </w:r>
      <w:r w:rsidR="00020441" w:rsidRPr="004B274F">
        <w:rPr>
          <w:highlight w:val="yellow"/>
        </w:rPr>
        <w:t xml:space="preserve"> </w:t>
      </w:r>
      <w:proofErr w:type="spellStart"/>
      <w:r w:rsidR="00020441" w:rsidRPr="004B274F">
        <w:rPr>
          <w:highlight w:val="yellow"/>
        </w:rPr>
        <w:t>Akashmoni</w:t>
      </w:r>
      <w:proofErr w:type="spellEnd"/>
      <w:r w:rsidRPr="004B274F">
        <w:rPr>
          <w:highlight w:val="yellow"/>
        </w:rPr>
        <w:t xml:space="preserve"> seeds were planted in each experimental unit</w:t>
      </w:r>
      <w:r w:rsidR="00921215" w:rsidRPr="004B274F">
        <w:rPr>
          <w:highlight w:val="yellow"/>
        </w:rPr>
        <w:t xml:space="preserve">. In Rice, germination was recorded from day 4 to day </w:t>
      </w:r>
      <w:r w:rsidR="00DA6FA3" w:rsidRPr="004B274F">
        <w:rPr>
          <w:highlight w:val="yellow"/>
        </w:rPr>
        <w:t>10,</w:t>
      </w:r>
      <w:r w:rsidR="00921215" w:rsidRPr="004B274F">
        <w:rPr>
          <w:highlight w:val="yellow"/>
        </w:rPr>
        <w:t xml:space="preserve"> whereas in </w:t>
      </w:r>
      <w:proofErr w:type="spellStart"/>
      <w:r w:rsidR="00921215" w:rsidRPr="004B274F">
        <w:rPr>
          <w:highlight w:val="yellow"/>
        </w:rPr>
        <w:t>Akashmoni</w:t>
      </w:r>
      <w:proofErr w:type="spellEnd"/>
      <w:r w:rsidR="00921215" w:rsidRPr="004B274F">
        <w:rPr>
          <w:highlight w:val="yellow"/>
        </w:rPr>
        <w:t>, data collection began on day 7 and continued until day 15.</w:t>
      </w:r>
    </w:p>
    <w:p w14:paraId="7839ECFB" w14:textId="090CB980" w:rsidR="00DA6FA3" w:rsidRPr="004B274F" w:rsidRDefault="00DA6FA3" w:rsidP="00022F18">
      <w:pPr>
        <w:rPr>
          <w:highlight w:val="yellow"/>
        </w:rPr>
      </w:pPr>
      <w:r w:rsidRPr="004B274F">
        <w:rPr>
          <w:highlight w:val="yellow"/>
        </w:rPr>
        <w:t xml:space="preserve">Seedling length was measured at three-day intervals following germination. For Rice, seedling length was recorded for 10 days, while for </w:t>
      </w:r>
      <w:proofErr w:type="spellStart"/>
      <w:r w:rsidRPr="004B274F">
        <w:rPr>
          <w:highlight w:val="yellow"/>
        </w:rPr>
        <w:t>Akashmoni</w:t>
      </w:r>
      <w:proofErr w:type="spellEnd"/>
      <w:r w:rsidRPr="004B274F">
        <w:rPr>
          <w:highlight w:val="yellow"/>
        </w:rPr>
        <w:t>, measurements continued for 30 days.</w:t>
      </w:r>
    </w:p>
    <w:p w14:paraId="2B555ACF" w14:textId="36E209E5" w:rsidR="00D17AD2" w:rsidRDefault="00DA6FA3" w:rsidP="00022F18">
      <w:r w:rsidRPr="004B274F">
        <w:rPr>
          <w:highlight w:val="yellow"/>
        </w:rPr>
        <w:t xml:space="preserve">Additional growth parameters including shoot length, leaf number, leaf area, and collar diameter were recorded at seven-day intervals. Data collection continued for four months in Rice (covering both growth and reproductive development) and eight months in </w:t>
      </w:r>
      <w:proofErr w:type="spellStart"/>
      <w:r w:rsidRPr="004B274F">
        <w:rPr>
          <w:highlight w:val="yellow"/>
        </w:rPr>
        <w:t>Akashmoni</w:t>
      </w:r>
      <w:proofErr w:type="spellEnd"/>
      <w:r w:rsidRPr="004B274F">
        <w:rPr>
          <w:highlight w:val="yellow"/>
        </w:rPr>
        <w:t xml:space="preserve"> (focusing on vegetative growth). At the end of the experiment, fresh and dry weights of both shoots and roots were recorded. In the case of Rice, reproductive traits were also evaluated.</w:t>
      </w:r>
    </w:p>
    <w:p w14:paraId="048984D4" w14:textId="64F43434" w:rsidR="00D17AD2" w:rsidRPr="00774668" w:rsidRDefault="00826E51" w:rsidP="00022F18">
      <w:pPr>
        <w:pStyle w:val="Heading2"/>
      </w:pPr>
      <w:r w:rsidRPr="00774668">
        <w:t>DATA COLLECTION PROCEDURES</w:t>
      </w:r>
    </w:p>
    <w:p w14:paraId="2AB97363" w14:textId="462C0E6E" w:rsidR="00D17AD2" w:rsidRPr="00EA5C79" w:rsidRDefault="00EA5C79" w:rsidP="00022F18">
      <w:pPr>
        <w:pStyle w:val="Heading3"/>
      </w:pPr>
      <w:bookmarkStart w:id="9" w:name="_uwdjqxo6lns2" w:colFirst="0" w:colLast="0"/>
      <w:bookmarkEnd w:id="9"/>
      <w:r w:rsidRPr="00EA5C79">
        <w:t>GERMINATION PERCENTAGE ESTIMATION</w:t>
      </w:r>
    </w:p>
    <w:p w14:paraId="278C638D" w14:textId="77777777" w:rsidR="00D17AD2" w:rsidRPr="004B274F" w:rsidRDefault="00CB3D47" w:rsidP="00022F18">
      <w:pPr>
        <w:rPr>
          <w:highlight w:val="yellow"/>
        </w:rPr>
      </w:pPr>
      <w:r w:rsidRPr="004B274F">
        <w:rPr>
          <w:highlight w:val="yellow"/>
        </w:rPr>
        <w:t>After sowing the seeds, the emergence of seedlings was recorded daily for each test species until the last germination. Following equations were used to measure the rate of germination and germination percentage.</w:t>
      </w:r>
    </w:p>
    <w:p w14:paraId="0BD59CB8" w14:textId="2677E23D" w:rsidR="00D17AD2" w:rsidRPr="004B274F" w:rsidRDefault="00CB3D47" w:rsidP="00022F18">
      <w:pPr>
        <w:pStyle w:val="ListParagraph"/>
        <w:numPr>
          <w:ilvl w:val="0"/>
          <w:numId w:val="25"/>
        </w:numPr>
        <w:rPr>
          <w:highlight w:val="yellow"/>
        </w:rPr>
      </w:pPr>
      <w:r w:rsidRPr="004B274F">
        <w:rPr>
          <w:highlight w:val="yellow"/>
        </w:rPr>
        <w:t xml:space="preserve">Germination potential: The emergence of seedlings was observed every day to calculate the germination potential or germination percentage (GP). It is the estimation of the viability of seeds of a species (plant sciences, </w:t>
      </w:r>
      <w:proofErr w:type="spellStart"/>
      <w:r w:rsidRPr="004B274F">
        <w:rPr>
          <w:highlight w:val="yellow"/>
        </w:rPr>
        <w:t>n.d</w:t>
      </w:r>
      <w:proofErr w:type="spellEnd"/>
      <w:r w:rsidRPr="004B274F">
        <w:rPr>
          <w:highlight w:val="yellow"/>
        </w:rPr>
        <w:t>). the equation used for calculating germination potential is</w:t>
      </w:r>
    </w:p>
    <w:p w14:paraId="66B8A1AF" w14:textId="191EE951" w:rsidR="009B0D62" w:rsidRPr="004B274F" w:rsidRDefault="009B0D62" w:rsidP="00022F18">
      <w:pPr>
        <w:pStyle w:val="ListParagraph"/>
        <w:rPr>
          <w:i/>
          <w:iCs/>
          <w:highlight w:val="yellow"/>
        </w:rPr>
      </w:pPr>
      <w:r w:rsidRPr="004B274F">
        <w:rPr>
          <w:i/>
          <w:iCs/>
          <w:highlight w:val="yellow"/>
        </w:rPr>
        <w:t>GP (%) = (Total number seeds germinated)/ (Total seeds) ×100</w:t>
      </w:r>
    </w:p>
    <w:p w14:paraId="7A431AAA" w14:textId="44AFE29C" w:rsidR="00D17AD2" w:rsidRPr="004B274F" w:rsidRDefault="00CB3D47" w:rsidP="00022F18">
      <w:pPr>
        <w:pStyle w:val="ListParagraph"/>
        <w:numPr>
          <w:ilvl w:val="0"/>
          <w:numId w:val="25"/>
        </w:numPr>
        <w:rPr>
          <w:highlight w:val="yellow"/>
        </w:rPr>
      </w:pPr>
      <w:r w:rsidRPr="004B274F">
        <w:rPr>
          <w:highlight w:val="yellow"/>
        </w:rPr>
        <w:t xml:space="preserve">Seed </w:t>
      </w:r>
      <w:proofErr w:type="spellStart"/>
      <w:r w:rsidRPr="004B274F">
        <w:rPr>
          <w:highlight w:val="yellow"/>
        </w:rPr>
        <w:t>vigor</w:t>
      </w:r>
      <w:proofErr w:type="spellEnd"/>
      <w:r w:rsidRPr="004B274F">
        <w:rPr>
          <w:highlight w:val="yellow"/>
        </w:rPr>
        <w:t xml:space="preserve"> index: Seed </w:t>
      </w:r>
      <w:proofErr w:type="spellStart"/>
      <w:r w:rsidRPr="004B274F">
        <w:rPr>
          <w:highlight w:val="yellow"/>
        </w:rPr>
        <w:t>vigor</w:t>
      </w:r>
      <w:proofErr w:type="spellEnd"/>
      <w:r w:rsidRPr="004B274F">
        <w:rPr>
          <w:highlight w:val="yellow"/>
        </w:rPr>
        <w:t xml:space="preserve"> shows sum up the properties of seed that determines the performance of seed during germination or emergence. Seed </w:t>
      </w:r>
      <w:proofErr w:type="spellStart"/>
      <w:r w:rsidRPr="004B274F">
        <w:rPr>
          <w:highlight w:val="yellow"/>
        </w:rPr>
        <w:t>vigor</w:t>
      </w:r>
      <w:proofErr w:type="spellEnd"/>
      <w:r w:rsidRPr="004B274F">
        <w:rPr>
          <w:highlight w:val="yellow"/>
        </w:rPr>
        <w:t xml:space="preserve"> index was simply calculated by multiplying germination (%) and seedling growth</w:t>
      </w:r>
      <w:r w:rsidR="00BB543C" w:rsidRPr="004B274F">
        <w:rPr>
          <w:highlight w:val="yellow"/>
        </w:rPr>
        <w:t xml:space="preserve"> </w:t>
      </w:r>
      <w:r w:rsidR="00BB543C" w:rsidRPr="004B274F">
        <w:rPr>
          <w:highlight w:val="yellow"/>
          <w:vertAlign w:val="superscript"/>
        </w:rPr>
        <w:t>[</w:t>
      </w:r>
      <w:r w:rsidR="00BB543C" w:rsidRPr="004B274F">
        <w:rPr>
          <w:highlight w:val="yellow"/>
          <w:vertAlign w:val="superscript"/>
        </w:rPr>
        <w:fldChar w:fldCharType="begin"/>
      </w:r>
      <w:r w:rsidR="00BB543C" w:rsidRPr="004B274F">
        <w:rPr>
          <w:highlight w:val="yellow"/>
          <w:vertAlign w:val="superscript"/>
        </w:rPr>
        <w:instrText xml:space="preserve"> REF _Ref190876193 \r \h  \* MERGEFORMAT </w:instrText>
      </w:r>
      <w:r w:rsidR="00BB543C" w:rsidRPr="004B274F">
        <w:rPr>
          <w:highlight w:val="yellow"/>
          <w:vertAlign w:val="superscript"/>
        </w:rPr>
      </w:r>
      <w:r w:rsidR="00BB543C" w:rsidRPr="004B274F">
        <w:rPr>
          <w:highlight w:val="yellow"/>
          <w:vertAlign w:val="superscript"/>
        </w:rPr>
        <w:fldChar w:fldCharType="separate"/>
      </w:r>
      <w:r w:rsidR="003403CC" w:rsidRPr="004B274F">
        <w:rPr>
          <w:highlight w:val="yellow"/>
          <w:vertAlign w:val="superscript"/>
        </w:rPr>
        <w:t>38</w:t>
      </w:r>
      <w:r w:rsidR="00BB543C" w:rsidRPr="004B274F">
        <w:rPr>
          <w:highlight w:val="yellow"/>
          <w:vertAlign w:val="superscript"/>
        </w:rPr>
        <w:fldChar w:fldCharType="end"/>
      </w:r>
      <w:r w:rsidR="00BB543C" w:rsidRPr="004B274F">
        <w:rPr>
          <w:highlight w:val="yellow"/>
          <w:vertAlign w:val="superscript"/>
        </w:rPr>
        <w:t>]</w:t>
      </w:r>
      <w:r w:rsidR="00BB543C" w:rsidRPr="004B274F">
        <w:rPr>
          <w:highlight w:val="yellow"/>
        </w:rPr>
        <w:t xml:space="preserve">. </w:t>
      </w:r>
      <w:r w:rsidRPr="004B274F">
        <w:rPr>
          <w:highlight w:val="yellow"/>
        </w:rPr>
        <w:t xml:space="preserve">The equation used for calculating the seed </w:t>
      </w:r>
      <w:proofErr w:type="spellStart"/>
      <w:r w:rsidRPr="004B274F">
        <w:rPr>
          <w:highlight w:val="yellow"/>
        </w:rPr>
        <w:t>vigor</w:t>
      </w:r>
      <w:proofErr w:type="spellEnd"/>
      <w:r w:rsidRPr="004B274F">
        <w:rPr>
          <w:highlight w:val="yellow"/>
        </w:rPr>
        <w:t xml:space="preserve"> index is</w:t>
      </w:r>
    </w:p>
    <w:p w14:paraId="08201D9E" w14:textId="4DF3812A" w:rsidR="009B0D62" w:rsidRPr="004B274F" w:rsidRDefault="009B0D62" w:rsidP="00022F18">
      <w:pPr>
        <w:pStyle w:val="ListParagraph"/>
        <w:rPr>
          <w:i/>
          <w:iCs/>
          <w:highlight w:val="yellow"/>
        </w:rPr>
      </w:pPr>
      <w:r w:rsidRPr="004B274F">
        <w:rPr>
          <w:i/>
          <w:iCs/>
          <w:highlight w:val="yellow"/>
        </w:rPr>
        <w:t xml:space="preserve">Seed </w:t>
      </w:r>
      <w:proofErr w:type="spellStart"/>
      <w:r w:rsidRPr="004B274F">
        <w:rPr>
          <w:i/>
          <w:iCs/>
          <w:highlight w:val="yellow"/>
        </w:rPr>
        <w:t>vigor</w:t>
      </w:r>
      <w:proofErr w:type="spellEnd"/>
      <w:r w:rsidRPr="004B274F">
        <w:rPr>
          <w:i/>
          <w:iCs/>
          <w:highlight w:val="yellow"/>
        </w:rPr>
        <w:t xml:space="preserve"> index = Germination (%) × Seedling length</w:t>
      </w:r>
    </w:p>
    <w:p w14:paraId="79ADED1C" w14:textId="4771F599" w:rsidR="00D17AD2" w:rsidRPr="004B274F" w:rsidRDefault="00CB3D47" w:rsidP="00022F18">
      <w:pPr>
        <w:pStyle w:val="ListParagraph"/>
        <w:numPr>
          <w:ilvl w:val="0"/>
          <w:numId w:val="25"/>
        </w:numPr>
        <w:rPr>
          <w:highlight w:val="yellow"/>
        </w:rPr>
      </w:pPr>
      <w:r w:rsidRPr="004B274F">
        <w:rPr>
          <w:highlight w:val="yellow"/>
        </w:rPr>
        <w:t>Germination rate index: The seeds having greater germination index usually performs better than those with poor germination rate index (seed net India portal, 2018). The formula used for determining the germination rate index as follows</w:t>
      </w:r>
    </w:p>
    <w:p w14:paraId="14015CA0" w14:textId="62A6BFAD" w:rsidR="009B0D62" w:rsidRPr="00BF53A7" w:rsidRDefault="009B0D62" w:rsidP="00022F18">
      <w:pPr>
        <w:pStyle w:val="ListParagraph"/>
        <w:rPr>
          <w:i/>
          <w:iCs/>
        </w:rPr>
      </w:pPr>
      <w:r w:rsidRPr="004B274F">
        <w:rPr>
          <w:rFonts w:eastAsia="Gungsuh"/>
          <w:i/>
          <w:iCs/>
          <w:highlight w:val="yellow"/>
        </w:rPr>
        <w:t>Germination rate index = (No. of germinated seeds (1st count))/ (Days of 1st count) +</w:t>
      </w:r>
      <w:r w:rsidRPr="004B274F">
        <w:rPr>
          <w:rFonts w:ascii="Cambria Math" w:eastAsia="Gungsuh" w:hAnsi="Cambria Math" w:cs="Cambria Math"/>
          <w:i/>
          <w:iCs/>
          <w:highlight w:val="yellow"/>
        </w:rPr>
        <w:t>⋯</w:t>
      </w:r>
      <w:r w:rsidRPr="004B274F">
        <w:rPr>
          <w:rFonts w:eastAsia="Gungsuh"/>
          <w:i/>
          <w:iCs/>
          <w:highlight w:val="yellow"/>
        </w:rPr>
        <w:t xml:space="preserve"> + (No. of germinated seeds (final count))/ (Days of final count)</w:t>
      </w:r>
    </w:p>
    <w:p w14:paraId="58183EED" w14:textId="5C8BC7DA" w:rsidR="00D17AD2" w:rsidRPr="00EA5C79" w:rsidRDefault="00EA5C79" w:rsidP="00022F18">
      <w:pPr>
        <w:pStyle w:val="Heading3"/>
      </w:pPr>
      <w:bookmarkStart w:id="10" w:name="_525zdktiwtfi" w:colFirst="0" w:colLast="0"/>
      <w:bookmarkEnd w:id="10"/>
      <w:r w:rsidRPr="00EA5C79">
        <w:t>GROWTH SIMULATION</w:t>
      </w:r>
    </w:p>
    <w:p w14:paraId="422574C8" w14:textId="77777777" w:rsidR="00F16278" w:rsidRPr="004B274F" w:rsidRDefault="00F16278" w:rsidP="00022F18">
      <w:pPr>
        <w:rPr>
          <w:highlight w:val="yellow"/>
        </w:rPr>
      </w:pPr>
      <w:r w:rsidRPr="004B274F">
        <w:rPr>
          <w:highlight w:val="yellow"/>
        </w:rPr>
        <w:t>To assess seedling growth, a measuring tape was used to determine the height of shoots and roots. Data were collected at seven-day intervals to track periodic growth in height.</w:t>
      </w:r>
    </w:p>
    <w:p w14:paraId="31FDF6CC" w14:textId="220DFAC1" w:rsidR="00F16278" w:rsidRPr="004B274F" w:rsidRDefault="00F16278" w:rsidP="00022F18">
      <w:pPr>
        <w:rPr>
          <w:highlight w:val="yellow"/>
        </w:rPr>
      </w:pPr>
      <w:r w:rsidRPr="004B274F">
        <w:rPr>
          <w:highlight w:val="yellow"/>
        </w:rPr>
        <w:t>The number of leaves for each individual species was recorded manually on a data sheet. Leaf length and base measurements for rice seedlings were collected periodically, allowing leaf area to be estimated using the length-width method. For</w:t>
      </w:r>
      <w:r w:rsidR="00DA6D37" w:rsidRPr="004B274F">
        <w:rPr>
          <w:highlight w:val="yellow"/>
        </w:rPr>
        <w:t xml:space="preserve"> </w:t>
      </w:r>
      <w:proofErr w:type="spellStart"/>
      <w:r w:rsidR="00DA6D37" w:rsidRPr="004B274F">
        <w:rPr>
          <w:highlight w:val="yellow"/>
        </w:rPr>
        <w:t>Akashmoni</w:t>
      </w:r>
      <w:proofErr w:type="spellEnd"/>
      <w:r w:rsidR="00DA6D37" w:rsidRPr="004B274F">
        <w:rPr>
          <w:highlight w:val="yellow"/>
        </w:rPr>
        <w:t xml:space="preserve"> </w:t>
      </w:r>
      <w:r w:rsidRPr="004B274F">
        <w:rPr>
          <w:highlight w:val="yellow"/>
        </w:rPr>
        <w:t>seedlings, leaf images were captured, and the leaf area was measured using ImageJ software.</w:t>
      </w:r>
    </w:p>
    <w:p w14:paraId="76F1B74A" w14:textId="77777777" w:rsidR="00F16278" w:rsidRPr="004B274F" w:rsidRDefault="00F16278" w:rsidP="00022F18">
      <w:pPr>
        <w:rPr>
          <w:highlight w:val="yellow"/>
        </w:rPr>
      </w:pPr>
      <w:r w:rsidRPr="004B274F">
        <w:rPr>
          <w:highlight w:val="yellow"/>
        </w:rPr>
        <w:t>To evaluate seedling growth, digital slide calipers were used to measure the collar diameter of seedlings. Measurements were taken every fifteen days to assess periodic growth in diameter.</w:t>
      </w:r>
    </w:p>
    <w:p w14:paraId="32118127" w14:textId="77777777" w:rsidR="00F16278" w:rsidRPr="004B274F" w:rsidRDefault="00F16278" w:rsidP="00022F18">
      <w:pPr>
        <w:rPr>
          <w:highlight w:val="yellow"/>
        </w:rPr>
      </w:pPr>
      <w:r w:rsidRPr="004B274F">
        <w:rPr>
          <w:highlight w:val="yellow"/>
        </w:rPr>
        <w:t>Reproductive yield, specifically the number of grains produced by each rice plant, was measured periodically.</w:t>
      </w:r>
    </w:p>
    <w:p w14:paraId="649484F7" w14:textId="77777777" w:rsidR="00F16278" w:rsidRPr="004B274F" w:rsidRDefault="00F16278" w:rsidP="00022F18">
      <w:pPr>
        <w:rPr>
          <w:highlight w:val="yellow"/>
        </w:rPr>
      </w:pPr>
      <w:r w:rsidRPr="004B274F">
        <w:rPr>
          <w:highlight w:val="yellow"/>
        </w:rPr>
        <w:lastRenderedPageBreak/>
        <w:t>The relative water content (RWC) of fresh weight was calculated using the following formula:</w:t>
      </w:r>
    </w:p>
    <w:p w14:paraId="0BE984BA" w14:textId="6A24D9EE" w:rsidR="00D21735" w:rsidRPr="00BF53A7" w:rsidRDefault="00D21735" w:rsidP="00022F18">
      <w:pPr>
        <w:rPr>
          <w:i/>
          <w:iCs/>
        </w:rPr>
      </w:pPr>
      <w:r w:rsidRPr="004B274F">
        <w:rPr>
          <w:i/>
          <w:iCs/>
          <w:highlight w:val="yellow"/>
        </w:rPr>
        <w:t>RWC% = (Fresh Weight-Dry weight)/ (Fresh weight) × 100</w:t>
      </w:r>
    </w:p>
    <w:p w14:paraId="7FAFE217" w14:textId="75D68AF5" w:rsidR="00F16278" w:rsidRPr="00EA5C79" w:rsidRDefault="007F3C55" w:rsidP="005446E5">
      <w:pPr>
        <w:pStyle w:val="Heading3"/>
      </w:pPr>
      <w:r>
        <w:t>DETERMINATION OF ABOVE AND BELOW GROUND BIOMASS</w:t>
      </w:r>
    </w:p>
    <w:p w14:paraId="19819B79" w14:textId="4F937F62" w:rsidR="00F16278" w:rsidRPr="00EA5C79" w:rsidRDefault="00F16278" w:rsidP="00022F18">
      <w:r w:rsidRPr="004B274F">
        <w:rPr>
          <w:highlight w:val="yellow"/>
        </w:rPr>
        <w:t>At the conclusion of the experiment, the above-ground and below-ground parts</w:t>
      </w:r>
      <w:r w:rsidR="007537C7" w:rsidRPr="004B274F">
        <w:rPr>
          <w:highlight w:val="yellow"/>
        </w:rPr>
        <w:t xml:space="preserve"> like leaves, shoots, roots and reproductive parts (Rice)</w:t>
      </w:r>
      <w:r w:rsidRPr="004B274F">
        <w:rPr>
          <w:highlight w:val="yellow"/>
        </w:rPr>
        <w:t xml:space="preserve"> of each seedling were detached, cut into pieces, and stored in paper bags. After recording the fresh weight, these samples were placed in an oven and dried at 65°C for approximately 24 hours. The final dry weight of each part was then measured using a digital weighing scale.</w:t>
      </w:r>
    </w:p>
    <w:p w14:paraId="1C3621E3" w14:textId="2A2CE371" w:rsidR="00F16278" w:rsidRPr="00EA5C79" w:rsidRDefault="007F3C55" w:rsidP="005446E5">
      <w:pPr>
        <w:pStyle w:val="Heading3"/>
      </w:pPr>
      <w:r w:rsidRPr="00EA5C79">
        <w:t>SOIL RESPONSE</w:t>
      </w:r>
    </w:p>
    <w:p w14:paraId="63BECC64" w14:textId="77777777" w:rsidR="00F16278" w:rsidRPr="004B274F" w:rsidRDefault="00F16278" w:rsidP="00022F18">
      <w:pPr>
        <w:rPr>
          <w:highlight w:val="yellow"/>
        </w:rPr>
      </w:pPr>
      <w:r w:rsidRPr="004B274F">
        <w:rPr>
          <w:highlight w:val="yellow"/>
        </w:rPr>
        <w:t>During plot preparation, two initial soil samples were collected for analysis. At the end of the preliminary data collection phase, additional soil samples were taken from the experimental plots and tested in the laboratory.</w:t>
      </w:r>
    </w:p>
    <w:p w14:paraId="6E9A966E" w14:textId="77777777" w:rsidR="004B274F" w:rsidRPr="004B274F" w:rsidRDefault="004B274F" w:rsidP="00022F18">
      <w:pPr>
        <w:rPr>
          <w:highlight w:val="yellow"/>
        </w:rPr>
      </w:pPr>
      <w:r w:rsidRPr="004B274F">
        <w:rPr>
          <w:highlight w:val="yellow"/>
        </w:rPr>
        <w:t>The levels of nitrogen (N), phosphorus (P), and potassium (K) in the soil were assessed to evaluate the effects of each treatment. Soil sample analysis was conducted at the Soil Research Development Institute (SRDI) following its standardized protocols. Measurements were taken at two time points: initially, after the establishment of the experimental plots, and upon completion of the study.</w:t>
      </w:r>
    </w:p>
    <w:p w14:paraId="7B0D02DF" w14:textId="1E09875C" w:rsidR="00F16278" w:rsidRPr="004B274F" w:rsidRDefault="00F16278" w:rsidP="00022F18">
      <w:pPr>
        <w:rPr>
          <w:highlight w:val="yellow"/>
        </w:rPr>
      </w:pPr>
      <w:r w:rsidRPr="004B274F">
        <w:rPr>
          <w:highlight w:val="yellow"/>
        </w:rPr>
        <w:t xml:space="preserve">The soil pH was measured using a </w:t>
      </w:r>
      <w:proofErr w:type="spellStart"/>
      <w:r w:rsidRPr="004B274F">
        <w:rPr>
          <w:highlight w:val="yellow"/>
        </w:rPr>
        <w:t>Kelway</w:t>
      </w:r>
      <w:proofErr w:type="spellEnd"/>
      <w:r w:rsidRPr="004B274F">
        <w:rPr>
          <w:highlight w:val="yellow"/>
        </w:rPr>
        <w:t xml:space="preserve"> Soil pH and Moisture Meter.</w:t>
      </w:r>
    </w:p>
    <w:p w14:paraId="131A5106" w14:textId="77777777" w:rsidR="00F16278" w:rsidRPr="004B274F" w:rsidRDefault="00F16278" w:rsidP="00022F18">
      <w:pPr>
        <w:rPr>
          <w:highlight w:val="yellow"/>
        </w:rPr>
      </w:pPr>
      <w:r w:rsidRPr="004B274F">
        <w:rPr>
          <w:highlight w:val="yellow"/>
        </w:rPr>
        <w:t>Soil moisture content represents the amount of water present in the soil. A 50g soil sample was dried in an oven at 105°C for 24 hours. The formula used for moisture content determination is as follows:</w:t>
      </w:r>
    </w:p>
    <w:p w14:paraId="22EF1F93" w14:textId="366A8507" w:rsidR="00D21735" w:rsidRPr="004B274F" w:rsidRDefault="00D21735" w:rsidP="00022F18">
      <w:pPr>
        <w:rPr>
          <w:rFonts w:eastAsia="Times New Roman"/>
          <w:i/>
          <w:iCs/>
          <w:highlight w:val="yellow"/>
        </w:rPr>
      </w:pPr>
      <w:r w:rsidRPr="004B274F">
        <w:rPr>
          <w:rFonts w:eastAsia="Times New Roman"/>
          <w:i/>
          <w:iCs/>
          <w:highlight w:val="yellow"/>
        </w:rPr>
        <w:t>MC (%) = (Green Weight-Dry weight)/ (Dry weight) ×100</w:t>
      </w:r>
    </w:p>
    <w:p w14:paraId="49900ECF" w14:textId="5EA052AC" w:rsidR="00D17AD2" w:rsidRPr="004B274F" w:rsidRDefault="00EA5C79" w:rsidP="00022F18">
      <w:pPr>
        <w:rPr>
          <w:highlight w:val="yellow"/>
        </w:rPr>
      </w:pPr>
      <w:r w:rsidRPr="004B274F">
        <w:rPr>
          <w:highlight w:val="yellow"/>
        </w:rPr>
        <w:t xml:space="preserve">Organic Matter Content </w:t>
      </w:r>
      <w:r w:rsidR="00CB3D47" w:rsidRPr="004B274F">
        <w:rPr>
          <w:highlight w:val="yellow"/>
        </w:rPr>
        <w:t>was measured by using loss ignition method. Soil OMC is measured by using the following formula:</w:t>
      </w:r>
    </w:p>
    <w:p w14:paraId="3B64F5BA" w14:textId="097C9B43" w:rsidR="00D21735" w:rsidRPr="00BF53A7" w:rsidRDefault="00A07E26" w:rsidP="00022F18">
      <w:pPr>
        <w:rPr>
          <w:i/>
          <w:iCs/>
        </w:rPr>
      </w:pPr>
      <w:r w:rsidRPr="004B274F">
        <w:rPr>
          <w:i/>
          <w:iCs/>
          <w:highlight w:val="yellow"/>
        </w:rPr>
        <w:t>OMC (%) = (Soil weight before combustion – Soil weight after combustion)/ (Soil weight before combustion) ×100</w:t>
      </w:r>
    </w:p>
    <w:p w14:paraId="576E493E" w14:textId="2255ECBE" w:rsidR="00D17AD2" w:rsidRPr="00EA5C79" w:rsidRDefault="00EA5C79" w:rsidP="00B654AC">
      <w:pPr>
        <w:pStyle w:val="Heading2"/>
      </w:pPr>
      <w:bookmarkStart w:id="11" w:name="_q51udfsrhw7i" w:colFirst="0" w:colLast="0"/>
      <w:bookmarkEnd w:id="11"/>
      <w:r w:rsidRPr="00EA5C79">
        <w:t>STATISTICAL ANALYSIS</w:t>
      </w:r>
    </w:p>
    <w:p w14:paraId="4489DFFE" w14:textId="25986595" w:rsidR="00D17AD2" w:rsidRPr="00777EE1" w:rsidRDefault="00CB3D47" w:rsidP="00B654AC">
      <w:r w:rsidRPr="004B274F">
        <w:rPr>
          <w:highlight w:val="yellow"/>
        </w:rPr>
        <w:t xml:space="preserve">The data sets were statistically </w:t>
      </w:r>
      <w:r w:rsidR="00DD1273" w:rsidRPr="004B274F">
        <w:rPr>
          <w:highlight w:val="yellow"/>
        </w:rPr>
        <w:t>organized</w:t>
      </w:r>
      <w:r w:rsidRPr="004B274F">
        <w:rPr>
          <w:highlight w:val="yellow"/>
        </w:rPr>
        <w:t xml:space="preserve"> using </w:t>
      </w:r>
      <w:r w:rsidRPr="004B274F">
        <w:rPr>
          <w:i/>
          <w:iCs/>
          <w:highlight w:val="yellow"/>
        </w:rPr>
        <w:t>Microsoft Office Excel 365</w:t>
      </w:r>
      <w:r w:rsidRPr="004B274F">
        <w:rPr>
          <w:highlight w:val="yellow"/>
        </w:rPr>
        <w:t>.</w:t>
      </w:r>
      <w:r w:rsidRPr="004B274F">
        <w:rPr>
          <w:b/>
          <w:highlight w:val="yellow"/>
        </w:rPr>
        <w:t xml:space="preserve"> </w:t>
      </w:r>
      <w:r w:rsidRPr="004B274F">
        <w:rPr>
          <w:highlight w:val="yellow"/>
        </w:rPr>
        <w:t xml:space="preserve">The statistical software </w:t>
      </w:r>
      <w:r w:rsidR="00DD1273" w:rsidRPr="004B274F">
        <w:rPr>
          <w:i/>
          <w:iCs/>
          <w:highlight w:val="yellow"/>
        </w:rPr>
        <w:t>E</w:t>
      </w:r>
      <w:r w:rsidR="00D5470E" w:rsidRPr="004B274F">
        <w:rPr>
          <w:i/>
          <w:iCs/>
          <w:highlight w:val="yellow"/>
        </w:rPr>
        <w:t>xcel</w:t>
      </w:r>
      <w:r w:rsidRPr="004B274F">
        <w:rPr>
          <w:i/>
          <w:iCs/>
          <w:highlight w:val="yellow"/>
        </w:rPr>
        <w:t xml:space="preserve"> </w:t>
      </w:r>
      <w:r w:rsidR="00DD1273" w:rsidRPr="004B274F">
        <w:rPr>
          <w:i/>
          <w:iCs/>
          <w:highlight w:val="yellow"/>
        </w:rPr>
        <w:t>S</w:t>
      </w:r>
      <w:r w:rsidRPr="004B274F">
        <w:rPr>
          <w:i/>
          <w:iCs/>
          <w:highlight w:val="yellow"/>
        </w:rPr>
        <w:t>tat</w:t>
      </w:r>
      <w:r w:rsidR="00AB4985">
        <w:rPr>
          <w:i/>
          <w:iCs/>
          <w:highlight w:val="yellow"/>
        </w:rPr>
        <w:t xml:space="preserve"> </w:t>
      </w:r>
      <w:r w:rsidR="00AB4985" w:rsidRPr="00AB4985">
        <w:rPr>
          <w:i/>
          <w:iCs/>
          <w:highlight w:val="yellow"/>
        </w:rPr>
        <w:t>and</w:t>
      </w:r>
      <w:r w:rsidRPr="00AB4985">
        <w:rPr>
          <w:i/>
          <w:iCs/>
          <w:highlight w:val="yellow"/>
        </w:rPr>
        <w:t xml:space="preserve"> R</w:t>
      </w:r>
      <w:r w:rsidR="00DD1273" w:rsidRPr="004B274F">
        <w:rPr>
          <w:i/>
          <w:iCs/>
          <w:highlight w:val="yellow"/>
        </w:rPr>
        <w:t xml:space="preserve"> (version</w:t>
      </w:r>
      <w:r w:rsidRPr="004B274F">
        <w:rPr>
          <w:i/>
          <w:iCs/>
          <w:highlight w:val="yellow"/>
        </w:rPr>
        <w:t xml:space="preserve"> 3.5.1</w:t>
      </w:r>
      <w:r w:rsidR="00DD1273" w:rsidRPr="004B274F">
        <w:rPr>
          <w:i/>
          <w:iCs/>
          <w:highlight w:val="yellow"/>
        </w:rPr>
        <w:t>)</w:t>
      </w:r>
      <w:r w:rsidR="00AB4985">
        <w:rPr>
          <w:i/>
          <w:iCs/>
          <w:highlight w:val="yellow"/>
        </w:rPr>
        <w:t xml:space="preserve"> </w:t>
      </w:r>
      <w:r w:rsidR="00DD1273" w:rsidRPr="004B274F">
        <w:rPr>
          <w:highlight w:val="yellow"/>
        </w:rPr>
        <w:t xml:space="preserve">were </w:t>
      </w:r>
      <w:r w:rsidRPr="004B274F">
        <w:rPr>
          <w:highlight w:val="yellow"/>
        </w:rPr>
        <w:t xml:space="preserve">used to </w:t>
      </w:r>
      <w:r w:rsidR="00D5470E" w:rsidRPr="004B274F">
        <w:rPr>
          <w:highlight w:val="yellow"/>
        </w:rPr>
        <w:t>analyse</w:t>
      </w:r>
      <w:r w:rsidRPr="004B274F">
        <w:rPr>
          <w:highlight w:val="yellow"/>
        </w:rPr>
        <w:t xml:space="preserve"> data. </w:t>
      </w:r>
      <w:r w:rsidR="00DD1273" w:rsidRPr="004B274F">
        <w:rPr>
          <w:highlight w:val="yellow"/>
        </w:rPr>
        <w:t xml:space="preserve">Prior to conducting parametric tests, the normality of residuals was assessed using the </w:t>
      </w:r>
      <w:r w:rsidR="00DD1273" w:rsidRPr="004B274F">
        <w:rPr>
          <w:i/>
          <w:iCs/>
          <w:highlight w:val="yellow"/>
        </w:rPr>
        <w:t>Shapiro-Wilk</w:t>
      </w:r>
      <w:r w:rsidR="00DD1273" w:rsidRPr="004B274F">
        <w:rPr>
          <w:highlight w:val="yellow"/>
        </w:rPr>
        <w:t xml:space="preserve"> test in </w:t>
      </w:r>
      <w:r w:rsidR="00DD1273" w:rsidRPr="004B274F">
        <w:rPr>
          <w:i/>
          <w:iCs/>
          <w:highlight w:val="yellow"/>
        </w:rPr>
        <w:t>R</w:t>
      </w:r>
      <w:r w:rsidR="00DD1273" w:rsidRPr="004B274F">
        <w:rPr>
          <w:highlight w:val="yellow"/>
        </w:rPr>
        <w:t xml:space="preserve"> to ensure that the assumptions of ANOVA were met. </w:t>
      </w:r>
      <w:r w:rsidRPr="004B274F">
        <w:rPr>
          <w:highlight w:val="yellow"/>
        </w:rPr>
        <w:t xml:space="preserve">A simple one-way analysis of variance (ANOVA) was conducted </w:t>
      </w:r>
      <w:r w:rsidR="00DD1273" w:rsidRPr="004B274F">
        <w:rPr>
          <w:highlight w:val="yellow"/>
        </w:rPr>
        <w:t xml:space="preserve">to </w:t>
      </w:r>
      <w:r w:rsidRPr="004B274F">
        <w:rPr>
          <w:highlight w:val="yellow"/>
        </w:rPr>
        <w:t>compare treatment means.</w:t>
      </w:r>
      <w:r w:rsidRPr="004B274F">
        <w:rPr>
          <w:b/>
          <w:highlight w:val="yellow"/>
        </w:rPr>
        <w:t xml:space="preserve"> </w:t>
      </w:r>
      <w:r w:rsidRPr="004B274F">
        <w:rPr>
          <w:highlight w:val="yellow"/>
        </w:rPr>
        <w:t xml:space="preserve">Differences among treatments for each of the tested variables were </w:t>
      </w:r>
      <w:r w:rsidR="00DD1273" w:rsidRPr="004B274F">
        <w:rPr>
          <w:highlight w:val="yellow"/>
        </w:rPr>
        <w:t>investigated</w:t>
      </w:r>
      <w:r w:rsidRPr="004B274F">
        <w:rPr>
          <w:highlight w:val="yellow"/>
        </w:rPr>
        <w:t xml:space="preserve"> using </w:t>
      </w:r>
      <w:r w:rsidRPr="004B274F">
        <w:rPr>
          <w:i/>
          <w:iCs/>
          <w:highlight w:val="yellow"/>
        </w:rPr>
        <w:t>Tukey’s HSD post-hoc test</w:t>
      </w:r>
      <w:r w:rsidR="00DD1273" w:rsidRPr="004B274F">
        <w:rPr>
          <w:i/>
          <w:iCs/>
          <w:highlight w:val="yellow"/>
        </w:rPr>
        <w:t xml:space="preserve"> (</w:t>
      </w:r>
      <w:r w:rsidRPr="004B274F">
        <w:rPr>
          <w:i/>
          <w:iCs/>
          <w:highlight w:val="yellow"/>
        </w:rPr>
        <w:t>α= 0.05</w:t>
      </w:r>
      <w:r w:rsidR="00DD1273" w:rsidRPr="004B274F">
        <w:rPr>
          <w:i/>
          <w:iCs/>
          <w:highlight w:val="yellow"/>
        </w:rPr>
        <w:t>)</w:t>
      </w:r>
      <w:r w:rsidR="00DD1273" w:rsidRPr="004B274F">
        <w:rPr>
          <w:highlight w:val="yellow"/>
        </w:rPr>
        <w:t xml:space="preserve"> to identify significant pairwise differences.</w:t>
      </w:r>
      <w:r w:rsidRPr="004B274F">
        <w:rPr>
          <w:highlight w:val="yellow"/>
        </w:rPr>
        <w:t xml:space="preserve"> </w:t>
      </w:r>
      <w:r w:rsidR="00DD1273" w:rsidRPr="004B274F">
        <w:rPr>
          <w:highlight w:val="yellow"/>
        </w:rPr>
        <w:t xml:space="preserve">Both </w:t>
      </w:r>
      <w:r w:rsidRPr="004B274F">
        <w:rPr>
          <w:highlight w:val="yellow"/>
        </w:rPr>
        <w:t xml:space="preserve">ANOVA and Tukey HSD tests were performed </w:t>
      </w:r>
      <w:r w:rsidR="00DD1273" w:rsidRPr="004B274F">
        <w:rPr>
          <w:highlight w:val="yellow"/>
        </w:rPr>
        <w:t>using</w:t>
      </w:r>
      <w:r w:rsidRPr="004B274F">
        <w:rPr>
          <w:highlight w:val="yellow"/>
        </w:rPr>
        <w:t xml:space="preserve"> </w:t>
      </w:r>
      <w:r w:rsidRPr="004B274F">
        <w:rPr>
          <w:i/>
          <w:iCs/>
          <w:highlight w:val="yellow"/>
        </w:rPr>
        <w:t>R</w:t>
      </w:r>
      <w:r w:rsidRPr="004B274F">
        <w:rPr>
          <w:highlight w:val="yellow"/>
        </w:rPr>
        <w:t xml:space="preserve"> </w:t>
      </w:r>
      <w:r w:rsidR="00AB4985">
        <w:rPr>
          <w:highlight w:val="yellow"/>
        </w:rPr>
        <w:t>software</w:t>
      </w:r>
      <w:r w:rsidRPr="004B274F">
        <w:rPr>
          <w:highlight w:val="yellow"/>
        </w:rPr>
        <w:t>.</w:t>
      </w:r>
      <w:r w:rsidR="00DD1273" w:rsidRPr="004B274F">
        <w:rPr>
          <w:highlight w:val="yellow"/>
        </w:rPr>
        <w:t xml:space="preserve"> Additionally,</w:t>
      </w:r>
      <w:r w:rsidRPr="004B274F">
        <w:rPr>
          <w:highlight w:val="yellow"/>
        </w:rPr>
        <w:t xml:space="preserve"> </w:t>
      </w:r>
      <w:r w:rsidRPr="004B274F">
        <w:rPr>
          <w:i/>
          <w:iCs/>
          <w:highlight w:val="yellow"/>
        </w:rPr>
        <w:t>ImageJ software</w:t>
      </w:r>
      <w:r w:rsidRPr="004B274F">
        <w:rPr>
          <w:highlight w:val="yellow"/>
        </w:rPr>
        <w:t xml:space="preserve"> was used for determining the leaf area of </w:t>
      </w:r>
      <w:proofErr w:type="spellStart"/>
      <w:r w:rsidRPr="004B274F">
        <w:rPr>
          <w:highlight w:val="yellow"/>
        </w:rPr>
        <w:t>Akashmoni</w:t>
      </w:r>
      <w:proofErr w:type="spellEnd"/>
      <w:r w:rsidR="00DD1273" w:rsidRPr="004B274F">
        <w:rPr>
          <w:highlight w:val="yellow"/>
        </w:rPr>
        <w:t>, while</w:t>
      </w:r>
      <w:r w:rsidRPr="004B274F">
        <w:rPr>
          <w:highlight w:val="yellow"/>
        </w:rPr>
        <w:t xml:space="preserve"> the length-width method was used for estimating the leaf area of Rice </w:t>
      </w:r>
      <w:r w:rsidRPr="004B274F">
        <w:rPr>
          <w:highlight w:val="yellow"/>
          <w:vertAlign w:val="superscript"/>
        </w:rPr>
        <w:t>[</w:t>
      </w:r>
      <w:r w:rsidR="001A71C8" w:rsidRPr="004B274F">
        <w:rPr>
          <w:highlight w:val="yellow"/>
          <w:vertAlign w:val="superscript"/>
        </w:rPr>
        <w:fldChar w:fldCharType="begin"/>
      </w:r>
      <w:r w:rsidR="001A71C8" w:rsidRPr="004B274F">
        <w:rPr>
          <w:highlight w:val="yellow"/>
          <w:vertAlign w:val="superscript"/>
        </w:rPr>
        <w:instrText xml:space="preserve"> REF _Ref190876193 \r \h  \* MERGEFORMAT </w:instrText>
      </w:r>
      <w:r w:rsidR="001A71C8" w:rsidRPr="004B274F">
        <w:rPr>
          <w:highlight w:val="yellow"/>
          <w:vertAlign w:val="superscript"/>
        </w:rPr>
      </w:r>
      <w:r w:rsidR="001A71C8" w:rsidRPr="004B274F">
        <w:rPr>
          <w:highlight w:val="yellow"/>
          <w:vertAlign w:val="superscript"/>
        </w:rPr>
        <w:fldChar w:fldCharType="separate"/>
      </w:r>
      <w:r w:rsidR="003403CC" w:rsidRPr="004B274F">
        <w:rPr>
          <w:highlight w:val="yellow"/>
          <w:vertAlign w:val="superscript"/>
        </w:rPr>
        <w:t>38</w:t>
      </w:r>
      <w:r w:rsidR="001A71C8" w:rsidRPr="004B274F">
        <w:rPr>
          <w:highlight w:val="yellow"/>
          <w:vertAlign w:val="superscript"/>
        </w:rPr>
        <w:fldChar w:fldCharType="end"/>
      </w:r>
      <w:r w:rsidR="001A71C8" w:rsidRPr="004B274F">
        <w:rPr>
          <w:highlight w:val="yellow"/>
          <w:vertAlign w:val="superscript"/>
        </w:rPr>
        <w:t>]</w:t>
      </w:r>
      <w:r w:rsidRPr="004B274F">
        <w:rPr>
          <w:highlight w:val="yellow"/>
        </w:rPr>
        <w:t>.</w:t>
      </w:r>
    </w:p>
    <w:p w14:paraId="7862DE6C" w14:textId="2B795576" w:rsidR="00D17AD2" w:rsidRPr="00A66894" w:rsidRDefault="00A66894" w:rsidP="00B654AC">
      <w:pPr>
        <w:pStyle w:val="Heading1"/>
      </w:pPr>
      <w:bookmarkStart w:id="12" w:name="_nzwgyb1l6z0v" w:colFirst="0" w:colLast="0"/>
      <w:bookmarkEnd w:id="12"/>
      <w:r w:rsidRPr="00A66894">
        <w:t>RESULTS</w:t>
      </w:r>
    </w:p>
    <w:p w14:paraId="03FBDC8F" w14:textId="24E1B752" w:rsidR="00D17AD2" w:rsidRPr="00A66894" w:rsidRDefault="00A66894" w:rsidP="00B654AC">
      <w:pPr>
        <w:pStyle w:val="Heading2"/>
      </w:pPr>
      <w:bookmarkStart w:id="13" w:name="_jl1kx226dr8u" w:colFirst="0" w:colLast="0"/>
      <w:bookmarkEnd w:id="13"/>
      <w:r w:rsidRPr="00A66894">
        <w:t>BIOCHAR YIELD</w:t>
      </w:r>
    </w:p>
    <w:p w14:paraId="7E421DD1" w14:textId="14BBC89E" w:rsidR="00AB545A" w:rsidRPr="004B274F" w:rsidRDefault="00F16278" w:rsidP="00B654AC">
      <w:pPr>
        <w:rPr>
          <w:highlight w:val="yellow"/>
        </w:rPr>
      </w:pPr>
      <w:r w:rsidRPr="004B274F">
        <w:rPr>
          <w:highlight w:val="yellow"/>
        </w:rPr>
        <w:t>The biochar yield test indicated that</w:t>
      </w:r>
      <w:r w:rsidR="00872ED8" w:rsidRPr="004B274F">
        <w:rPr>
          <w:highlight w:val="yellow"/>
        </w:rPr>
        <w:t xml:space="preserve"> substantial differences among the six feedstocks. Among the feedstocks,</w:t>
      </w:r>
      <w:r w:rsidRPr="004B274F">
        <w:rPr>
          <w:highlight w:val="yellow"/>
        </w:rPr>
        <w:t xml:space="preserve"> </w:t>
      </w:r>
      <w:proofErr w:type="spellStart"/>
      <w:r w:rsidRPr="004B274F">
        <w:rPr>
          <w:highlight w:val="yellow"/>
        </w:rPr>
        <w:t>Chambul</w:t>
      </w:r>
      <w:proofErr w:type="spellEnd"/>
      <w:r w:rsidRPr="004B274F">
        <w:rPr>
          <w:highlight w:val="yellow"/>
        </w:rPr>
        <w:t xml:space="preserve"> biochar produced the highest yield (41.6%), while Raintree biochar yielded the lowest (13%) among all feedstocks</w:t>
      </w:r>
      <w:bookmarkStart w:id="14" w:name="_dtnq8hgbxu6m" w:colFirst="0" w:colLast="0"/>
      <w:bookmarkEnd w:id="14"/>
      <w:r w:rsidR="00B3206A" w:rsidRPr="004B274F">
        <w:rPr>
          <w:highlight w:val="yellow"/>
        </w:rPr>
        <w:t xml:space="preserve"> (</w:t>
      </w:r>
      <w:r w:rsidR="00077C48" w:rsidRPr="004B274F">
        <w:rPr>
          <w:highlight w:val="yellow"/>
        </w:rPr>
        <w:fldChar w:fldCharType="begin"/>
      </w:r>
      <w:r w:rsidR="00077C48" w:rsidRPr="004B274F">
        <w:rPr>
          <w:highlight w:val="yellow"/>
        </w:rPr>
        <w:instrText xml:space="preserve"> REF _Ref193493902 \h </w:instrText>
      </w:r>
      <w:r w:rsidR="004B274F">
        <w:rPr>
          <w:highlight w:val="yellow"/>
        </w:rPr>
        <w:instrText xml:space="preserve"> \* MERGEFORMAT </w:instrText>
      </w:r>
      <w:r w:rsidR="00077C48" w:rsidRPr="004B274F">
        <w:rPr>
          <w:highlight w:val="yellow"/>
        </w:rPr>
      </w:r>
      <w:r w:rsidR="00077C48" w:rsidRPr="004B274F">
        <w:rPr>
          <w:highlight w:val="yellow"/>
        </w:rPr>
        <w:fldChar w:fldCharType="separate"/>
      </w:r>
      <w:r w:rsidR="00EB4E6C" w:rsidRPr="004B274F">
        <w:rPr>
          <w:highlight w:val="yellow"/>
        </w:rPr>
        <w:t xml:space="preserve">Table </w:t>
      </w:r>
      <w:r w:rsidR="00EB4E6C" w:rsidRPr="004B274F">
        <w:rPr>
          <w:noProof/>
          <w:highlight w:val="yellow"/>
        </w:rPr>
        <w:t>2</w:t>
      </w:r>
      <w:r w:rsidR="00077C48" w:rsidRPr="004B274F">
        <w:rPr>
          <w:highlight w:val="yellow"/>
        </w:rPr>
        <w:fldChar w:fldCharType="end"/>
      </w:r>
      <w:r w:rsidR="00B3206A" w:rsidRPr="004B274F">
        <w:rPr>
          <w:highlight w:val="yellow"/>
        </w:rPr>
        <w:t>).</w:t>
      </w:r>
    </w:p>
    <w:p w14:paraId="31456800" w14:textId="3C2E9902" w:rsidR="00BF0A90" w:rsidRPr="004B274F" w:rsidRDefault="00BF0A90" w:rsidP="00496A10">
      <w:pPr>
        <w:pStyle w:val="Caption"/>
        <w:rPr>
          <w:highlight w:val="yellow"/>
        </w:rPr>
      </w:pPr>
      <w:bookmarkStart w:id="15" w:name="_Ref193493902"/>
      <w:r w:rsidRPr="004B274F">
        <w:rPr>
          <w:highlight w:val="yellow"/>
        </w:rPr>
        <w:t xml:space="preserve">Table </w:t>
      </w:r>
      <w:r w:rsidRPr="004B274F">
        <w:rPr>
          <w:highlight w:val="yellow"/>
        </w:rPr>
        <w:fldChar w:fldCharType="begin"/>
      </w:r>
      <w:r w:rsidRPr="004B274F">
        <w:rPr>
          <w:highlight w:val="yellow"/>
        </w:rPr>
        <w:instrText xml:space="preserve"> SEQ Table \* ARABIC </w:instrText>
      </w:r>
      <w:r w:rsidRPr="004B274F">
        <w:rPr>
          <w:highlight w:val="yellow"/>
        </w:rPr>
        <w:fldChar w:fldCharType="separate"/>
      </w:r>
      <w:r w:rsidR="00EB4E6C" w:rsidRPr="004B274F">
        <w:rPr>
          <w:noProof/>
          <w:highlight w:val="yellow"/>
        </w:rPr>
        <w:t>2</w:t>
      </w:r>
      <w:r w:rsidRPr="004B274F">
        <w:rPr>
          <w:highlight w:val="yellow"/>
        </w:rPr>
        <w:fldChar w:fldCharType="end"/>
      </w:r>
      <w:bookmarkEnd w:id="15"/>
      <w:r w:rsidRPr="004B274F">
        <w:rPr>
          <w:highlight w:val="yellow"/>
          <w:lang w:val="en-US"/>
        </w:rPr>
        <w:t xml:space="preserve"> Yield of biochar from different feedstock</w:t>
      </w:r>
    </w:p>
    <w:tbl>
      <w:tblPr>
        <w:tblStyle w:val="a"/>
        <w:tblW w:w="5000" w:type="pct"/>
        <w:tblBorders>
          <w:top w:val="single" w:sz="4" w:space="0" w:color="auto"/>
          <w:bottom w:val="single" w:sz="4" w:space="0" w:color="auto"/>
          <w:insideH w:val="single" w:sz="4" w:space="0" w:color="auto"/>
        </w:tblBorders>
        <w:tblLook w:val="0600" w:firstRow="0" w:lastRow="0" w:firstColumn="0" w:lastColumn="0" w:noHBand="1" w:noVBand="1"/>
      </w:tblPr>
      <w:tblGrid>
        <w:gridCol w:w="4836"/>
        <w:gridCol w:w="4193"/>
      </w:tblGrid>
      <w:tr w:rsidR="00BF0A90" w:rsidRPr="004B274F" w14:paraId="74608895" w14:textId="77777777" w:rsidTr="00077C48">
        <w:trPr>
          <w:trHeight w:val="20"/>
          <w:tblHeader/>
        </w:trPr>
        <w:tc>
          <w:tcPr>
            <w:tcW w:w="2678" w:type="pct"/>
            <w:shd w:val="clear" w:color="auto" w:fill="auto"/>
            <w:tcMar>
              <w:top w:w="100" w:type="dxa"/>
              <w:left w:w="100" w:type="dxa"/>
              <w:bottom w:w="100" w:type="dxa"/>
              <w:right w:w="100" w:type="dxa"/>
            </w:tcMar>
          </w:tcPr>
          <w:p w14:paraId="441C31D8" w14:textId="3B413D92" w:rsidR="00BF0A90" w:rsidRPr="004B274F" w:rsidRDefault="00BF0A90" w:rsidP="005937EC">
            <w:pPr>
              <w:spacing w:before="0" w:after="0"/>
              <w:rPr>
                <w:rFonts w:eastAsia="Times New Roman"/>
                <w:sz w:val="18"/>
                <w:szCs w:val="18"/>
                <w:highlight w:val="yellow"/>
              </w:rPr>
            </w:pPr>
            <w:r w:rsidRPr="004B274F">
              <w:rPr>
                <w:rFonts w:eastAsia="Times New Roman"/>
                <w:b/>
                <w:sz w:val="18"/>
                <w:szCs w:val="18"/>
                <w:highlight w:val="yellow"/>
              </w:rPr>
              <w:t>Selected Feedstock</w:t>
            </w:r>
          </w:p>
        </w:tc>
        <w:tc>
          <w:tcPr>
            <w:tcW w:w="2322" w:type="pct"/>
            <w:shd w:val="clear" w:color="auto" w:fill="auto"/>
            <w:tcMar>
              <w:top w:w="100" w:type="dxa"/>
              <w:left w:w="100" w:type="dxa"/>
              <w:bottom w:w="100" w:type="dxa"/>
              <w:right w:w="100" w:type="dxa"/>
            </w:tcMar>
          </w:tcPr>
          <w:p w14:paraId="0990001A" w14:textId="4CBA37F5" w:rsidR="00BF0A90" w:rsidRPr="004B274F" w:rsidRDefault="00BF0A90" w:rsidP="005937EC">
            <w:pPr>
              <w:spacing w:before="0" w:after="0"/>
              <w:rPr>
                <w:rFonts w:eastAsia="Times New Roman"/>
                <w:sz w:val="18"/>
                <w:szCs w:val="18"/>
                <w:highlight w:val="yellow"/>
              </w:rPr>
            </w:pPr>
            <w:r w:rsidRPr="004B274F">
              <w:rPr>
                <w:rFonts w:eastAsia="Times New Roman"/>
                <w:b/>
                <w:sz w:val="18"/>
                <w:szCs w:val="18"/>
                <w:highlight w:val="yellow"/>
              </w:rPr>
              <w:t>Biochar yield (%) (from per 20KG)</w:t>
            </w:r>
          </w:p>
        </w:tc>
      </w:tr>
      <w:tr w:rsidR="008E7553" w:rsidRPr="004B274F" w14:paraId="72CEE90E" w14:textId="77777777" w:rsidTr="00BF0A90">
        <w:trPr>
          <w:trHeight w:val="20"/>
        </w:trPr>
        <w:tc>
          <w:tcPr>
            <w:tcW w:w="2678" w:type="pct"/>
            <w:shd w:val="clear" w:color="auto" w:fill="auto"/>
            <w:tcMar>
              <w:top w:w="100" w:type="dxa"/>
              <w:left w:w="100" w:type="dxa"/>
              <w:bottom w:w="100" w:type="dxa"/>
              <w:right w:w="100" w:type="dxa"/>
            </w:tcMar>
          </w:tcPr>
          <w:p w14:paraId="03ABBCE6" w14:textId="292AEC17" w:rsidR="008E7553" w:rsidRPr="004B274F" w:rsidRDefault="008E7553" w:rsidP="008E7553">
            <w:pPr>
              <w:spacing w:before="0" w:after="0"/>
              <w:rPr>
                <w:rFonts w:eastAsia="Times New Roman"/>
                <w:sz w:val="18"/>
                <w:szCs w:val="18"/>
                <w:highlight w:val="yellow"/>
              </w:rPr>
            </w:pPr>
            <w:proofErr w:type="spellStart"/>
            <w:r w:rsidRPr="004B274F">
              <w:rPr>
                <w:sz w:val="18"/>
                <w:szCs w:val="18"/>
                <w:highlight w:val="yellow"/>
              </w:rPr>
              <w:t>Chambul</w:t>
            </w:r>
            <w:proofErr w:type="spellEnd"/>
          </w:p>
        </w:tc>
        <w:tc>
          <w:tcPr>
            <w:tcW w:w="2322" w:type="pct"/>
            <w:shd w:val="clear" w:color="auto" w:fill="auto"/>
            <w:tcMar>
              <w:top w:w="100" w:type="dxa"/>
              <w:left w:w="100" w:type="dxa"/>
              <w:bottom w:w="100" w:type="dxa"/>
              <w:right w:w="100" w:type="dxa"/>
            </w:tcMar>
          </w:tcPr>
          <w:p w14:paraId="6B889BD3" w14:textId="6EF87D35" w:rsidR="008E7553" w:rsidRPr="004B274F" w:rsidRDefault="008E7553" w:rsidP="008E7553">
            <w:pPr>
              <w:spacing w:before="0" w:after="0"/>
              <w:rPr>
                <w:rFonts w:eastAsia="Times New Roman"/>
                <w:sz w:val="18"/>
                <w:szCs w:val="18"/>
                <w:highlight w:val="yellow"/>
              </w:rPr>
            </w:pPr>
            <w:r w:rsidRPr="004B274F">
              <w:rPr>
                <w:sz w:val="18"/>
                <w:szCs w:val="18"/>
                <w:highlight w:val="yellow"/>
              </w:rPr>
              <w:t>41.60%</w:t>
            </w:r>
          </w:p>
        </w:tc>
      </w:tr>
      <w:tr w:rsidR="008E7553" w:rsidRPr="004B274F" w14:paraId="53D72A0D" w14:textId="77777777" w:rsidTr="00BF0A90">
        <w:trPr>
          <w:trHeight w:val="20"/>
        </w:trPr>
        <w:tc>
          <w:tcPr>
            <w:tcW w:w="2678" w:type="pct"/>
            <w:shd w:val="clear" w:color="auto" w:fill="auto"/>
            <w:tcMar>
              <w:top w:w="100" w:type="dxa"/>
              <w:left w:w="100" w:type="dxa"/>
              <w:bottom w:w="100" w:type="dxa"/>
              <w:right w:w="100" w:type="dxa"/>
            </w:tcMar>
          </w:tcPr>
          <w:p w14:paraId="6BB563C4" w14:textId="6616C9EC" w:rsidR="008E7553" w:rsidRPr="004B274F" w:rsidRDefault="008E7553" w:rsidP="008E7553">
            <w:pPr>
              <w:spacing w:before="0" w:after="0"/>
              <w:rPr>
                <w:rFonts w:eastAsia="Times New Roman"/>
                <w:sz w:val="18"/>
                <w:szCs w:val="18"/>
                <w:highlight w:val="yellow"/>
              </w:rPr>
            </w:pPr>
            <w:r w:rsidRPr="004B274F">
              <w:rPr>
                <w:sz w:val="18"/>
                <w:szCs w:val="18"/>
                <w:highlight w:val="yellow"/>
              </w:rPr>
              <w:lastRenderedPageBreak/>
              <w:t>Kadam</w:t>
            </w:r>
          </w:p>
        </w:tc>
        <w:tc>
          <w:tcPr>
            <w:tcW w:w="2322" w:type="pct"/>
            <w:shd w:val="clear" w:color="auto" w:fill="auto"/>
            <w:tcMar>
              <w:top w:w="100" w:type="dxa"/>
              <w:left w:w="100" w:type="dxa"/>
              <w:bottom w:w="100" w:type="dxa"/>
              <w:right w:w="100" w:type="dxa"/>
            </w:tcMar>
          </w:tcPr>
          <w:p w14:paraId="17347E1F" w14:textId="1675756E" w:rsidR="008E7553" w:rsidRPr="004B274F" w:rsidRDefault="008E7553" w:rsidP="008E7553">
            <w:pPr>
              <w:spacing w:before="0" w:after="0"/>
              <w:rPr>
                <w:rFonts w:eastAsia="Times New Roman"/>
                <w:sz w:val="18"/>
                <w:szCs w:val="18"/>
                <w:highlight w:val="yellow"/>
              </w:rPr>
            </w:pPr>
            <w:r w:rsidRPr="004B274F">
              <w:rPr>
                <w:sz w:val="18"/>
                <w:szCs w:val="18"/>
                <w:highlight w:val="yellow"/>
              </w:rPr>
              <w:t>23%</w:t>
            </w:r>
          </w:p>
        </w:tc>
      </w:tr>
      <w:tr w:rsidR="008E7553" w:rsidRPr="004B274F" w14:paraId="0D96E900" w14:textId="77777777" w:rsidTr="00BF0A90">
        <w:trPr>
          <w:trHeight w:val="20"/>
        </w:trPr>
        <w:tc>
          <w:tcPr>
            <w:tcW w:w="2678" w:type="pct"/>
            <w:shd w:val="clear" w:color="auto" w:fill="auto"/>
            <w:tcMar>
              <w:top w:w="100" w:type="dxa"/>
              <w:left w:w="100" w:type="dxa"/>
              <w:bottom w:w="100" w:type="dxa"/>
              <w:right w:w="100" w:type="dxa"/>
            </w:tcMar>
          </w:tcPr>
          <w:p w14:paraId="26F8ADC3" w14:textId="6E3D2B01" w:rsidR="008E7553" w:rsidRPr="004B274F" w:rsidRDefault="008E7553" w:rsidP="008E7553">
            <w:pPr>
              <w:spacing w:before="0" w:after="0"/>
              <w:rPr>
                <w:rFonts w:eastAsia="Times New Roman"/>
                <w:sz w:val="18"/>
                <w:szCs w:val="18"/>
                <w:highlight w:val="yellow"/>
              </w:rPr>
            </w:pPr>
            <w:r w:rsidRPr="004B274F">
              <w:rPr>
                <w:sz w:val="18"/>
                <w:szCs w:val="18"/>
                <w:highlight w:val="yellow"/>
              </w:rPr>
              <w:t>Kathal</w:t>
            </w:r>
          </w:p>
        </w:tc>
        <w:tc>
          <w:tcPr>
            <w:tcW w:w="2322" w:type="pct"/>
            <w:shd w:val="clear" w:color="auto" w:fill="auto"/>
            <w:tcMar>
              <w:top w:w="100" w:type="dxa"/>
              <w:left w:w="100" w:type="dxa"/>
              <w:bottom w:w="100" w:type="dxa"/>
              <w:right w:w="100" w:type="dxa"/>
            </w:tcMar>
          </w:tcPr>
          <w:p w14:paraId="77518637" w14:textId="2B989CC6" w:rsidR="008E7553" w:rsidRPr="004B274F" w:rsidRDefault="008E7553" w:rsidP="008E7553">
            <w:pPr>
              <w:spacing w:before="0" w:after="0"/>
              <w:rPr>
                <w:rFonts w:eastAsia="Times New Roman"/>
                <w:sz w:val="18"/>
                <w:szCs w:val="18"/>
                <w:highlight w:val="yellow"/>
              </w:rPr>
            </w:pPr>
            <w:r w:rsidRPr="004B274F">
              <w:rPr>
                <w:sz w:val="18"/>
                <w:szCs w:val="18"/>
                <w:highlight w:val="yellow"/>
              </w:rPr>
              <w:t>34%</w:t>
            </w:r>
          </w:p>
        </w:tc>
      </w:tr>
      <w:tr w:rsidR="008E7553" w:rsidRPr="004B274F" w14:paraId="1FFD1BD4" w14:textId="77777777" w:rsidTr="00BF0A90">
        <w:trPr>
          <w:trHeight w:val="20"/>
        </w:trPr>
        <w:tc>
          <w:tcPr>
            <w:tcW w:w="2678" w:type="pct"/>
            <w:shd w:val="clear" w:color="auto" w:fill="auto"/>
            <w:tcMar>
              <w:top w:w="100" w:type="dxa"/>
              <w:left w:w="100" w:type="dxa"/>
              <w:bottom w:w="100" w:type="dxa"/>
              <w:right w:w="100" w:type="dxa"/>
            </w:tcMar>
          </w:tcPr>
          <w:p w14:paraId="41176C3B" w14:textId="13E03E2A" w:rsidR="008E7553" w:rsidRPr="004B274F" w:rsidRDefault="008E7553" w:rsidP="008E7553">
            <w:pPr>
              <w:spacing w:before="0" w:after="0"/>
              <w:rPr>
                <w:rFonts w:eastAsia="Times New Roman"/>
                <w:sz w:val="18"/>
                <w:szCs w:val="18"/>
                <w:highlight w:val="yellow"/>
              </w:rPr>
            </w:pPr>
            <w:proofErr w:type="spellStart"/>
            <w:r w:rsidRPr="004B274F">
              <w:rPr>
                <w:sz w:val="18"/>
                <w:szCs w:val="18"/>
                <w:highlight w:val="yellow"/>
              </w:rPr>
              <w:t>Mahagoni</w:t>
            </w:r>
            <w:proofErr w:type="spellEnd"/>
          </w:p>
        </w:tc>
        <w:tc>
          <w:tcPr>
            <w:tcW w:w="2322" w:type="pct"/>
            <w:shd w:val="clear" w:color="auto" w:fill="auto"/>
            <w:tcMar>
              <w:top w:w="100" w:type="dxa"/>
              <w:left w:w="100" w:type="dxa"/>
              <w:bottom w:w="100" w:type="dxa"/>
              <w:right w:w="100" w:type="dxa"/>
            </w:tcMar>
          </w:tcPr>
          <w:p w14:paraId="223680EF" w14:textId="2D40D5FB" w:rsidR="008E7553" w:rsidRPr="004B274F" w:rsidRDefault="008E7553" w:rsidP="008E7553">
            <w:pPr>
              <w:spacing w:before="0" w:after="0"/>
              <w:rPr>
                <w:rFonts w:eastAsia="Times New Roman"/>
                <w:sz w:val="18"/>
                <w:szCs w:val="18"/>
                <w:highlight w:val="yellow"/>
              </w:rPr>
            </w:pPr>
            <w:r w:rsidRPr="004B274F">
              <w:rPr>
                <w:sz w:val="18"/>
                <w:szCs w:val="18"/>
                <w:highlight w:val="yellow"/>
              </w:rPr>
              <w:t>32.50%</w:t>
            </w:r>
          </w:p>
        </w:tc>
      </w:tr>
      <w:tr w:rsidR="008E7553" w:rsidRPr="004B274F" w14:paraId="10858CEA" w14:textId="77777777" w:rsidTr="00BF0A90">
        <w:trPr>
          <w:trHeight w:val="20"/>
        </w:trPr>
        <w:tc>
          <w:tcPr>
            <w:tcW w:w="2678" w:type="pct"/>
            <w:shd w:val="clear" w:color="auto" w:fill="auto"/>
            <w:tcMar>
              <w:top w:w="100" w:type="dxa"/>
              <w:left w:w="100" w:type="dxa"/>
              <w:bottom w:w="100" w:type="dxa"/>
              <w:right w:w="100" w:type="dxa"/>
            </w:tcMar>
          </w:tcPr>
          <w:p w14:paraId="387AA800" w14:textId="4649FCFC" w:rsidR="008E7553" w:rsidRPr="004B274F" w:rsidRDefault="008E7553" w:rsidP="008E7553">
            <w:pPr>
              <w:spacing w:before="0" w:after="0"/>
              <w:rPr>
                <w:rFonts w:eastAsia="Times New Roman"/>
                <w:sz w:val="18"/>
                <w:szCs w:val="18"/>
                <w:highlight w:val="yellow"/>
              </w:rPr>
            </w:pPr>
            <w:r w:rsidRPr="004B274F">
              <w:rPr>
                <w:sz w:val="18"/>
                <w:szCs w:val="18"/>
                <w:highlight w:val="yellow"/>
              </w:rPr>
              <w:t>Mango</w:t>
            </w:r>
          </w:p>
        </w:tc>
        <w:tc>
          <w:tcPr>
            <w:tcW w:w="2322" w:type="pct"/>
            <w:shd w:val="clear" w:color="auto" w:fill="auto"/>
            <w:tcMar>
              <w:top w:w="100" w:type="dxa"/>
              <w:left w:w="100" w:type="dxa"/>
              <w:bottom w:w="100" w:type="dxa"/>
              <w:right w:w="100" w:type="dxa"/>
            </w:tcMar>
          </w:tcPr>
          <w:p w14:paraId="1407F66E" w14:textId="55AFCCF3" w:rsidR="008E7553" w:rsidRPr="004B274F" w:rsidRDefault="008E7553" w:rsidP="008E7553">
            <w:pPr>
              <w:spacing w:before="0" w:after="0"/>
              <w:rPr>
                <w:rFonts w:eastAsia="Times New Roman"/>
                <w:sz w:val="18"/>
                <w:szCs w:val="18"/>
                <w:highlight w:val="yellow"/>
              </w:rPr>
            </w:pPr>
            <w:r w:rsidRPr="004B274F">
              <w:rPr>
                <w:sz w:val="18"/>
                <w:szCs w:val="18"/>
                <w:highlight w:val="yellow"/>
              </w:rPr>
              <w:t>26.50%</w:t>
            </w:r>
          </w:p>
        </w:tc>
      </w:tr>
      <w:tr w:rsidR="008E7553" w:rsidRPr="008E7553" w14:paraId="30BF2521" w14:textId="77777777" w:rsidTr="00BF0A90">
        <w:trPr>
          <w:trHeight w:val="20"/>
        </w:trPr>
        <w:tc>
          <w:tcPr>
            <w:tcW w:w="2678" w:type="pct"/>
            <w:shd w:val="clear" w:color="auto" w:fill="auto"/>
            <w:tcMar>
              <w:top w:w="100" w:type="dxa"/>
              <w:left w:w="100" w:type="dxa"/>
              <w:bottom w:w="100" w:type="dxa"/>
              <w:right w:w="100" w:type="dxa"/>
            </w:tcMar>
          </w:tcPr>
          <w:p w14:paraId="1ABF6494" w14:textId="148C2437" w:rsidR="008E7553" w:rsidRPr="004B274F" w:rsidRDefault="008E7553" w:rsidP="008E7553">
            <w:pPr>
              <w:spacing w:before="0" w:after="0"/>
              <w:rPr>
                <w:rFonts w:eastAsia="Times New Roman"/>
                <w:sz w:val="18"/>
                <w:szCs w:val="18"/>
                <w:highlight w:val="yellow"/>
              </w:rPr>
            </w:pPr>
            <w:r w:rsidRPr="004B274F">
              <w:rPr>
                <w:sz w:val="18"/>
                <w:szCs w:val="18"/>
                <w:highlight w:val="yellow"/>
              </w:rPr>
              <w:t>Rain tree</w:t>
            </w:r>
          </w:p>
        </w:tc>
        <w:tc>
          <w:tcPr>
            <w:tcW w:w="2322" w:type="pct"/>
            <w:shd w:val="clear" w:color="auto" w:fill="auto"/>
            <w:tcMar>
              <w:top w:w="100" w:type="dxa"/>
              <w:left w:w="100" w:type="dxa"/>
              <w:bottom w:w="100" w:type="dxa"/>
              <w:right w:w="100" w:type="dxa"/>
            </w:tcMar>
          </w:tcPr>
          <w:p w14:paraId="10E4B34C" w14:textId="02EE01BD" w:rsidR="008E7553" w:rsidRPr="008E7553" w:rsidRDefault="008E7553" w:rsidP="008E7553">
            <w:pPr>
              <w:keepNext/>
              <w:spacing w:before="0" w:after="0"/>
              <w:rPr>
                <w:rFonts w:eastAsia="Times New Roman"/>
                <w:sz w:val="18"/>
                <w:szCs w:val="18"/>
              </w:rPr>
            </w:pPr>
            <w:r w:rsidRPr="004B274F">
              <w:rPr>
                <w:sz w:val="18"/>
                <w:szCs w:val="18"/>
                <w:highlight w:val="yellow"/>
              </w:rPr>
              <w:t>13%</w:t>
            </w:r>
          </w:p>
        </w:tc>
      </w:tr>
    </w:tbl>
    <w:p w14:paraId="05D0B6AB" w14:textId="4E768232" w:rsidR="00F16278" w:rsidRPr="00A66894" w:rsidRDefault="00A66894" w:rsidP="00B654AC">
      <w:pPr>
        <w:pStyle w:val="Heading2"/>
      </w:pPr>
      <w:r w:rsidRPr="00A66894">
        <w:t>EFFECT OF BIOCHAR ON GERMINATION</w:t>
      </w:r>
    </w:p>
    <w:p w14:paraId="3AC5B6C3" w14:textId="030C0FC6" w:rsidR="00496A10" w:rsidRPr="004B274F" w:rsidRDefault="00872ED8" w:rsidP="00B654AC">
      <w:pPr>
        <w:rPr>
          <w:highlight w:val="yellow"/>
        </w:rPr>
      </w:pPr>
      <w:r w:rsidRPr="004B274F">
        <w:rPr>
          <w:highlight w:val="yellow"/>
        </w:rPr>
        <w:t xml:space="preserve">The application of biochar significantly influenced seed germination parameters across treatments. </w:t>
      </w:r>
      <w:r w:rsidR="00F16278" w:rsidRPr="004B274F">
        <w:rPr>
          <w:highlight w:val="yellow"/>
        </w:rPr>
        <w:t xml:space="preserve">According to Tukey’s HSD post-hoc test, the application of </w:t>
      </w:r>
      <w:proofErr w:type="spellStart"/>
      <w:r w:rsidR="00F16278" w:rsidRPr="004B274F">
        <w:rPr>
          <w:highlight w:val="yellow"/>
        </w:rPr>
        <w:t>Chambul</w:t>
      </w:r>
      <w:proofErr w:type="spellEnd"/>
      <w:r w:rsidR="00F16278" w:rsidRPr="004B274F">
        <w:rPr>
          <w:highlight w:val="yellow"/>
        </w:rPr>
        <w:t xml:space="preserve"> biochar (p &lt; 0.05) significantly improved germination</w:t>
      </w:r>
      <w:r w:rsidR="00496A10" w:rsidRPr="004B274F">
        <w:rPr>
          <w:highlight w:val="yellow"/>
        </w:rPr>
        <w:t xml:space="preserve"> potential</w:t>
      </w:r>
      <w:r w:rsidR="00F16278" w:rsidRPr="004B274F">
        <w:rPr>
          <w:highlight w:val="yellow"/>
        </w:rPr>
        <w:t xml:space="preserve"> in both species compared to</w:t>
      </w:r>
      <w:r w:rsidR="00496A10" w:rsidRPr="004B274F">
        <w:rPr>
          <w:highlight w:val="yellow"/>
        </w:rPr>
        <w:t xml:space="preserve"> control and</w:t>
      </w:r>
      <w:r w:rsidR="00F16278" w:rsidRPr="004B274F">
        <w:rPr>
          <w:highlight w:val="yellow"/>
        </w:rPr>
        <w:t xml:space="preserve"> other treatments. In rice, the use of </w:t>
      </w:r>
      <w:proofErr w:type="spellStart"/>
      <w:r w:rsidR="00F16278" w:rsidRPr="004B274F">
        <w:rPr>
          <w:highlight w:val="yellow"/>
        </w:rPr>
        <w:t>Chambul</w:t>
      </w:r>
      <w:proofErr w:type="spellEnd"/>
      <w:r w:rsidR="00F16278" w:rsidRPr="004B274F">
        <w:rPr>
          <w:highlight w:val="yellow"/>
        </w:rPr>
        <w:t xml:space="preserve"> and Kadam biochar (p ≤ 0.001 for both) resulted in a highly significant increase in germination potential compared to the control and the Kadam treatment in</w:t>
      </w:r>
      <w:r w:rsidR="00DA6D37" w:rsidRPr="004B274F">
        <w:rPr>
          <w:highlight w:val="yellow"/>
        </w:rPr>
        <w:t xml:space="preserve"> </w:t>
      </w:r>
      <w:proofErr w:type="spellStart"/>
      <w:r w:rsidR="00F16278" w:rsidRPr="004B274F">
        <w:rPr>
          <w:highlight w:val="yellow"/>
        </w:rPr>
        <w:t>Akashmoni</w:t>
      </w:r>
      <w:proofErr w:type="spellEnd"/>
      <w:r w:rsidR="00F16278" w:rsidRPr="004B274F">
        <w:rPr>
          <w:highlight w:val="yellow"/>
        </w:rPr>
        <w:t xml:space="preserve"> (</w:t>
      </w:r>
      <w:r w:rsidR="00F93111" w:rsidRPr="004B274F">
        <w:rPr>
          <w:highlight w:val="yellow"/>
        </w:rPr>
        <w:fldChar w:fldCharType="begin"/>
      </w:r>
      <w:r w:rsidR="00F93111" w:rsidRPr="004B274F">
        <w:rPr>
          <w:highlight w:val="yellow"/>
        </w:rPr>
        <w:instrText xml:space="preserve"> REF _Ref192636124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2</w:t>
      </w:r>
      <w:r w:rsidR="00F93111" w:rsidRPr="004B274F">
        <w:rPr>
          <w:highlight w:val="yellow"/>
        </w:rPr>
        <w:fldChar w:fldCharType="end"/>
      </w:r>
      <w:r w:rsidR="00F16278" w:rsidRPr="004B274F">
        <w:rPr>
          <w:highlight w:val="yellow"/>
        </w:rPr>
        <w:t xml:space="preserve">). </w:t>
      </w:r>
    </w:p>
    <w:p w14:paraId="1A6DC2F2" w14:textId="3D42F2B1" w:rsidR="00F16278" w:rsidRDefault="00F16278" w:rsidP="00B654AC">
      <w:r w:rsidRPr="004B274F">
        <w:rPr>
          <w:highlight w:val="yellow"/>
        </w:rPr>
        <w:t xml:space="preserve">For the seed </w:t>
      </w:r>
      <w:proofErr w:type="spellStart"/>
      <w:r w:rsidRPr="004B274F">
        <w:rPr>
          <w:highlight w:val="yellow"/>
        </w:rPr>
        <w:t>vigor</w:t>
      </w:r>
      <w:proofErr w:type="spellEnd"/>
      <w:r w:rsidRPr="004B274F">
        <w:rPr>
          <w:highlight w:val="yellow"/>
        </w:rPr>
        <w:t xml:space="preserve"> index (</w:t>
      </w:r>
      <w:r w:rsidR="00F93111" w:rsidRPr="004B274F">
        <w:rPr>
          <w:highlight w:val="yellow"/>
        </w:rPr>
        <w:fldChar w:fldCharType="begin"/>
      </w:r>
      <w:r w:rsidR="00F93111" w:rsidRPr="004B274F">
        <w:rPr>
          <w:highlight w:val="yellow"/>
        </w:rPr>
        <w:instrText xml:space="preserve"> REF _Ref192636136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3</w:t>
      </w:r>
      <w:r w:rsidR="00F93111" w:rsidRPr="004B274F">
        <w:rPr>
          <w:highlight w:val="yellow"/>
        </w:rPr>
        <w:fldChar w:fldCharType="end"/>
      </w:r>
      <w:r w:rsidRPr="004B274F">
        <w:rPr>
          <w:highlight w:val="yellow"/>
        </w:rPr>
        <w:t>) and germination rate index (</w:t>
      </w:r>
      <w:r w:rsidR="00F93111" w:rsidRPr="004B274F">
        <w:rPr>
          <w:highlight w:val="yellow"/>
        </w:rPr>
        <w:fldChar w:fldCharType="begin"/>
      </w:r>
      <w:r w:rsidR="00F93111" w:rsidRPr="004B274F">
        <w:rPr>
          <w:highlight w:val="yellow"/>
        </w:rPr>
        <w:instrText xml:space="preserve"> REF _Ref192636149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4</w:t>
      </w:r>
      <w:r w:rsidR="00F93111" w:rsidRPr="004B274F">
        <w:rPr>
          <w:highlight w:val="yellow"/>
        </w:rPr>
        <w:fldChar w:fldCharType="end"/>
      </w:r>
      <w:r w:rsidRPr="004B274F">
        <w:rPr>
          <w:highlight w:val="yellow"/>
        </w:rPr>
        <w:t xml:space="preserve">), </w:t>
      </w:r>
      <w:proofErr w:type="spellStart"/>
      <w:r w:rsidRPr="004B274F">
        <w:rPr>
          <w:highlight w:val="yellow"/>
        </w:rPr>
        <w:t>Chambul</w:t>
      </w:r>
      <w:proofErr w:type="spellEnd"/>
      <w:r w:rsidRPr="004B274F">
        <w:rPr>
          <w:highlight w:val="yellow"/>
        </w:rPr>
        <w:t xml:space="preserve"> biochar (p &lt; 0.001) and Kadam biochar (p &lt; 0.01) in rice showed significantly higher results compared to</w:t>
      </w:r>
      <w:r w:rsidR="00496A10" w:rsidRPr="004B274F">
        <w:rPr>
          <w:highlight w:val="yellow"/>
        </w:rPr>
        <w:t xml:space="preserve"> control. The results indicate that application of biochar influenced the germination metrics compared to control and reinforcing the potential role of biochar improving seed performance</w:t>
      </w:r>
      <w:r w:rsidR="00DA6D37" w:rsidRPr="004B274F">
        <w:rPr>
          <w:highlight w:val="yellow"/>
        </w:rPr>
        <w:t>.</w:t>
      </w:r>
    </w:p>
    <w:p w14:paraId="7710A29D" w14:textId="77777777" w:rsidR="00F93111" w:rsidRDefault="00F93111" w:rsidP="00F93111">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035386D4" wp14:editId="2DAE1749">
            <wp:extent cx="3952875" cy="2345207"/>
            <wp:effectExtent l="0" t="0" r="0" b="0"/>
            <wp:docPr id="3" name="image12.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2.png" descr="A graph of different colored bars&#10;&#10;AI-generated content may be incorrect."/>
                    <pic:cNvPicPr preferRelativeResize="0"/>
                  </pic:nvPicPr>
                  <pic:blipFill>
                    <a:blip r:embed="rId9"/>
                    <a:srcRect/>
                    <a:stretch>
                      <a:fillRect/>
                    </a:stretch>
                  </pic:blipFill>
                  <pic:spPr>
                    <a:xfrm>
                      <a:off x="0" y="0"/>
                      <a:ext cx="3959194" cy="2348956"/>
                    </a:xfrm>
                    <a:prstGeom prst="rect">
                      <a:avLst/>
                    </a:prstGeom>
                    <a:ln/>
                  </pic:spPr>
                </pic:pic>
              </a:graphicData>
            </a:graphic>
          </wp:inline>
        </w:drawing>
      </w:r>
    </w:p>
    <w:p w14:paraId="543B55B3" w14:textId="33C074D9" w:rsidR="00F93111" w:rsidRDefault="00F93111" w:rsidP="00496A10">
      <w:pPr>
        <w:pStyle w:val="Caption"/>
        <w:rPr>
          <w:rFonts w:ascii="Times New Roman" w:eastAsia="Times New Roman" w:hAnsi="Times New Roman" w:cs="Times New Roman"/>
          <w:sz w:val="20"/>
          <w:szCs w:val="20"/>
        </w:rPr>
      </w:pPr>
      <w:bookmarkStart w:id="16" w:name="_Ref192636124"/>
      <w:r>
        <w:t xml:space="preserve">Figure </w:t>
      </w:r>
      <w:fldSimple w:instr=" SEQ Figure \* ARABIC ">
        <w:r w:rsidR="00315CD1">
          <w:rPr>
            <w:noProof/>
          </w:rPr>
          <w:t>2</w:t>
        </w:r>
      </w:fldSimple>
      <w:bookmarkEnd w:id="16"/>
      <w:r>
        <w:rPr>
          <w:lang w:val="en-US"/>
        </w:rPr>
        <w:t xml:space="preserve">: </w:t>
      </w:r>
      <w:r w:rsidRPr="00A74864">
        <w:rPr>
          <w:lang w:val="en-US"/>
        </w:rPr>
        <w:t>Effect of different biochar on the germination potential of two different species</w:t>
      </w:r>
    </w:p>
    <w:p w14:paraId="05885B4D" w14:textId="77777777" w:rsidR="00F93111" w:rsidRDefault="00F93111" w:rsidP="00F93111">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72E85894" wp14:editId="422EFF75">
            <wp:extent cx="3950208" cy="2350008"/>
            <wp:effectExtent l="0" t="0" r="0" b="0"/>
            <wp:docPr id="18" name="image15.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15.png" descr="A graph of different colored bars&#10;&#10;AI-generated content may be incorrect."/>
                    <pic:cNvPicPr preferRelativeResize="0"/>
                  </pic:nvPicPr>
                  <pic:blipFill>
                    <a:blip r:embed="rId10"/>
                    <a:srcRect/>
                    <a:stretch>
                      <a:fillRect/>
                    </a:stretch>
                  </pic:blipFill>
                  <pic:spPr>
                    <a:xfrm>
                      <a:off x="0" y="0"/>
                      <a:ext cx="3950208" cy="2350008"/>
                    </a:xfrm>
                    <a:prstGeom prst="rect">
                      <a:avLst/>
                    </a:prstGeom>
                    <a:ln/>
                  </pic:spPr>
                </pic:pic>
              </a:graphicData>
            </a:graphic>
          </wp:inline>
        </w:drawing>
      </w:r>
    </w:p>
    <w:p w14:paraId="5B2343AE" w14:textId="41CE8CDE" w:rsidR="00F93111" w:rsidRDefault="00F93111" w:rsidP="00496A10">
      <w:pPr>
        <w:pStyle w:val="Caption"/>
        <w:rPr>
          <w:rFonts w:ascii="Times New Roman" w:eastAsia="Times New Roman" w:hAnsi="Times New Roman" w:cs="Times New Roman"/>
          <w:sz w:val="20"/>
          <w:szCs w:val="20"/>
        </w:rPr>
      </w:pPr>
      <w:bookmarkStart w:id="17" w:name="_Ref192636136"/>
      <w:r>
        <w:t xml:space="preserve">Figure </w:t>
      </w:r>
      <w:fldSimple w:instr=" SEQ Figure \* ARABIC ">
        <w:r w:rsidR="00315CD1">
          <w:rPr>
            <w:noProof/>
          </w:rPr>
          <w:t>3</w:t>
        </w:r>
      </w:fldSimple>
      <w:bookmarkEnd w:id="17"/>
      <w:r>
        <w:rPr>
          <w:lang w:val="en-US"/>
        </w:rPr>
        <w:t xml:space="preserve">: </w:t>
      </w:r>
      <w:r w:rsidRPr="002C31DA">
        <w:rPr>
          <w:lang w:val="en-US"/>
        </w:rPr>
        <w:t>Effect of different biochar on seed vigor index of two different species</w:t>
      </w:r>
    </w:p>
    <w:p w14:paraId="5A64582C" w14:textId="77777777" w:rsidR="00F93111" w:rsidRDefault="00F93111" w:rsidP="00F93111">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0AD1C92C" wp14:editId="33362283">
            <wp:extent cx="3950208" cy="2350008"/>
            <wp:effectExtent l="0" t="0" r="0" b="0"/>
            <wp:docPr id="17" name="image13.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13.png" descr="A graph of different colored bars&#10;&#10;AI-generated content may be incorrect."/>
                    <pic:cNvPicPr preferRelativeResize="0"/>
                  </pic:nvPicPr>
                  <pic:blipFill>
                    <a:blip r:embed="rId11"/>
                    <a:srcRect/>
                    <a:stretch>
                      <a:fillRect/>
                    </a:stretch>
                  </pic:blipFill>
                  <pic:spPr>
                    <a:xfrm>
                      <a:off x="0" y="0"/>
                      <a:ext cx="3950208" cy="2350008"/>
                    </a:xfrm>
                    <a:prstGeom prst="rect">
                      <a:avLst/>
                    </a:prstGeom>
                    <a:ln/>
                  </pic:spPr>
                </pic:pic>
              </a:graphicData>
            </a:graphic>
          </wp:inline>
        </w:drawing>
      </w:r>
    </w:p>
    <w:p w14:paraId="569770DE" w14:textId="13D9C5A1" w:rsidR="00F93111" w:rsidRDefault="00F93111" w:rsidP="00496A10">
      <w:pPr>
        <w:pStyle w:val="Caption"/>
      </w:pPr>
      <w:bookmarkStart w:id="18" w:name="_Ref192636149"/>
      <w:r>
        <w:t xml:space="preserve">Figure </w:t>
      </w:r>
      <w:fldSimple w:instr=" SEQ Figure \* ARABIC ">
        <w:r w:rsidR="00315CD1">
          <w:rPr>
            <w:noProof/>
          </w:rPr>
          <w:t>4</w:t>
        </w:r>
      </w:fldSimple>
      <w:bookmarkEnd w:id="18"/>
      <w:r>
        <w:rPr>
          <w:lang w:val="en-US"/>
        </w:rPr>
        <w:t xml:space="preserve">: </w:t>
      </w:r>
      <w:r w:rsidRPr="00500D28">
        <w:rPr>
          <w:lang w:val="en-US"/>
        </w:rPr>
        <w:t>Effect of different biochar on germination rate index of two different species</w:t>
      </w:r>
    </w:p>
    <w:p w14:paraId="7FDC7B20" w14:textId="0FCD5FDE" w:rsidR="00F16278" w:rsidRPr="00A66894" w:rsidRDefault="00F16278" w:rsidP="00B654AC">
      <w:pPr>
        <w:pStyle w:val="Heading2"/>
      </w:pPr>
      <w:r w:rsidRPr="00A66894">
        <w:t>Effect of Biochar on Growth Parameters</w:t>
      </w:r>
    </w:p>
    <w:p w14:paraId="486C8A30" w14:textId="7C571E4D" w:rsidR="00F16278" w:rsidRPr="00A66894" w:rsidRDefault="00F16278" w:rsidP="00B654AC">
      <w:pPr>
        <w:pStyle w:val="Heading3"/>
      </w:pPr>
      <w:r w:rsidRPr="00A66894">
        <w:t>Shoot and Root Length (cm)</w:t>
      </w:r>
    </w:p>
    <w:p w14:paraId="06FE2E2E" w14:textId="65F95258" w:rsidR="00F16278" w:rsidRDefault="003A0CE6" w:rsidP="00B654AC">
      <w:r w:rsidRPr="004B274F">
        <w:rPr>
          <w:highlight w:val="yellow"/>
        </w:rPr>
        <w:t xml:space="preserve">The impact of biochar application on shoot and root length was statistically significant. </w:t>
      </w:r>
      <w:r w:rsidR="00F16278" w:rsidRPr="004B274F">
        <w:rPr>
          <w:highlight w:val="yellow"/>
        </w:rPr>
        <w:t xml:space="preserve">Based on Tukey’s HSD post-hoc test, all biochar treatments (p &lt; 0.001) significantly increased shoot length </w:t>
      </w:r>
      <w:r w:rsidRPr="004B274F">
        <w:rPr>
          <w:highlight w:val="yellow"/>
        </w:rPr>
        <w:t xml:space="preserve">compared to the control </w:t>
      </w:r>
      <w:r w:rsidR="00F16278" w:rsidRPr="004B274F">
        <w:rPr>
          <w:highlight w:val="yellow"/>
        </w:rPr>
        <w:t xml:space="preserve">in </w:t>
      </w:r>
      <w:proofErr w:type="spellStart"/>
      <w:r w:rsidR="00DA6D37" w:rsidRPr="004B274F">
        <w:rPr>
          <w:highlight w:val="yellow"/>
        </w:rPr>
        <w:t>Akashmoni</w:t>
      </w:r>
      <w:proofErr w:type="spellEnd"/>
      <w:r w:rsidR="00F16278" w:rsidRPr="004B274F">
        <w:rPr>
          <w:highlight w:val="yellow"/>
        </w:rPr>
        <w:t xml:space="preserve"> (</w:t>
      </w:r>
      <w:r w:rsidR="00F93111" w:rsidRPr="004B274F">
        <w:rPr>
          <w:highlight w:val="yellow"/>
        </w:rPr>
        <w:fldChar w:fldCharType="begin"/>
      </w:r>
      <w:r w:rsidR="00F93111" w:rsidRPr="004B274F">
        <w:rPr>
          <w:highlight w:val="yellow"/>
        </w:rPr>
        <w:instrText xml:space="preserve"> REF _Ref192636179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5</w:t>
      </w:r>
      <w:r w:rsidR="00F93111" w:rsidRPr="004B274F">
        <w:rPr>
          <w:highlight w:val="yellow"/>
        </w:rPr>
        <w:fldChar w:fldCharType="end"/>
      </w:r>
      <w:r w:rsidR="00F16278" w:rsidRPr="004B274F">
        <w:rPr>
          <w:highlight w:val="yellow"/>
        </w:rPr>
        <w:t xml:space="preserve">). For root length, Kathal biochar (p &lt; 0.05) and Mango biochar (p &lt; 0.001) showed significantly greater effects than most rice treatments. Additionally, Raintree biochar (p &lt; 0.05) in </w:t>
      </w:r>
      <w:proofErr w:type="spellStart"/>
      <w:r w:rsidR="00DA6D37" w:rsidRPr="004B274F">
        <w:rPr>
          <w:highlight w:val="yellow"/>
        </w:rPr>
        <w:t>Akashmoni</w:t>
      </w:r>
      <w:proofErr w:type="spellEnd"/>
      <w:r w:rsidR="00DA6D37" w:rsidRPr="004B274F">
        <w:rPr>
          <w:highlight w:val="yellow"/>
        </w:rPr>
        <w:t xml:space="preserve"> </w:t>
      </w:r>
      <w:r w:rsidR="00F16278" w:rsidRPr="004B274F">
        <w:rPr>
          <w:highlight w:val="yellow"/>
        </w:rPr>
        <w:t>led to a significant increase compared to the control, Kadam, and Raintree biochar in rice (</w:t>
      </w:r>
      <w:r w:rsidR="00F93111" w:rsidRPr="004B274F">
        <w:rPr>
          <w:highlight w:val="yellow"/>
        </w:rPr>
        <w:fldChar w:fldCharType="begin"/>
      </w:r>
      <w:r w:rsidR="00F93111" w:rsidRPr="004B274F">
        <w:rPr>
          <w:highlight w:val="yellow"/>
        </w:rPr>
        <w:instrText xml:space="preserve"> REF _Ref192636188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6</w:t>
      </w:r>
      <w:r w:rsidR="00F93111" w:rsidRPr="004B274F">
        <w:rPr>
          <w:highlight w:val="yellow"/>
        </w:rPr>
        <w:fldChar w:fldCharType="end"/>
      </w:r>
      <w:r w:rsidR="00F16278" w:rsidRPr="004B274F">
        <w:rPr>
          <w:highlight w:val="yellow"/>
        </w:rPr>
        <w:t>).</w:t>
      </w:r>
    </w:p>
    <w:p w14:paraId="725DD48F"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16C8AFF8" wp14:editId="74720BD4">
            <wp:extent cx="3950208" cy="2350008"/>
            <wp:effectExtent l="0" t="0" r="0" b="0"/>
            <wp:docPr id="11" name="image1.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1.png" descr="A graph of different colored bars&#10;&#10;AI-generated content may be incorrect."/>
                    <pic:cNvPicPr preferRelativeResize="0"/>
                  </pic:nvPicPr>
                  <pic:blipFill>
                    <a:blip r:embed="rId12"/>
                    <a:srcRect/>
                    <a:stretch>
                      <a:fillRect/>
                    </a:stretch>
                  </pic:blipFill>
                  <pic:spPr>
                    <a:xfrm>
                      <a:off x="0" y="0"/>
                      <a:ext cx="3950208" cy="2350008"/>
                    </a:xfrm>
                    <a:prstGeom prst="rect">
                      <a:avLst/>
                    </a:prstGeom>
                    <a:ln/>
                  </pic:spPr>
                </pic:pic>
              </a:graphicData>
            </a:graphic>
          </wp:inline>
        </w:drawing>
      </w:r>
    </w:p>
    <w:p w14:paraId="14B06CD6" w14:textId="0DC18E83" w:rsidR="004A3707" w:rsidRDefault="004A3707" w:rsidP="00496A10">
      <w:pPr>
        <w:pStyle w:val="Caption"/>
        <w:rPr>
          <w:rFonts w:ascii="Times New Roman" w:eastAsia="Times New Roman" w:hAnsi="Times New Roman" w:cs="Times New Roman"/>
          <w:sz w:val="20"/>
          <w:szCs w:val="20"/>
        </w:rPr>
      </w:pPr>
      <w:bookmarkStart w:id="19" w:name="_Ref192636179"/>
      <w:r>
        <w:t xml:space="preserve">Figure </w:t>
      </w:r>
      <w:fldSimple w:instr=" SEQ Figure \* ARABIC ">
        <w:r w:rsidR="00315CD1">
          <w:rPr>
            <w:noProof/>
          </w:rPr>
          <w:t>5</w:t>
        </w:r>
      </w:fldSimple>
      <w:bookmarkEnd w:id="19"/>
      <w:r>
        <w:rPr>
          <w:lang w:val="en-US"/>
        </w:rPr>
        <w:t xml:space="preserve">: </w:t>
      </w:r>
      <w:r w:rsidRPr="000F799A">
        <w:rPr>
          <w:lang w:val="en-US"/>
        </w:rPr>
        <w:t>Effect of different biochar on shoot length of two different species</w:t>
      </w:r>
    </w:p>
    <w:p w14:paraId="4F4BFD05"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01AFB8C2" wp14:editId="090D7ECB">
            <wp:extent cx="3950208" cy="2350008"/>
            <wp:effectExtent l="0" t="0" r="0" b="0"/>
            <wp:docPr id="1" name="image4.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4.png" descr="A graph of different colored bars&#10;&#10;AI-generated content may be incorrect."/>
                    <pic:cNvPicPr preferRelativeResize="0"/>
                  </pic:nvPicPr>
                  <pic:blipFill>
                    <a:blip r:embed="rId13"/>
                    <a:srcRect/>
                    <a:stretch>
                      <a:fillRect/>
                    </a:stretch>
                  </pic:blipFill>
                  <pic:spPr>
                    <a:xfrm>
                      <a:off x="0" y="0"/>
                      <a:ext cx="3950208" cy="2350008"/>
                    </a:xfrm>
                    <a:prstGeom prst="rect">
                      <a:avLst/>
                    </a:prstGeom>
                    <a:ln/>
                  </pic:spPr>
                </pic:pic>
              </a:graphicData>
            </a:graphic>
          </wp:inline>
        </w:drawing>
      </w:r>
    </w:p>
    <w:p w14:paraId="31369A42" w14:textId="1F2B86AD" w:rsidR="004A3707" w:rsidRDefault="004A3707" w:rsidP="00496A10">
      <w:pPr>
        <w:pStyle w:val="Caption"/>
        <w:rPr>
          <w:rFonts w:ascii="Times New Roman" w:eastAsia="Times New Roman" w:hAnsi="Times New Roman" w:cs="Times New Roman"/>
          <w:sz w:val="20"/>
          <w:szCs w:val="20"/>
        </w:rPr>
      </w:pPr>
      <w:bookmarkStart w:id="20" w:name="_Ref192636188"/>
      <w:r>
        <w:t xml:space="preserve">Figure </w:t>
      </w:r>
      <w:fldSimple w:instr=" SEQ Figure \* ARABIC ">
        <w:r w:rsidR="00315CD1">
          <w:rPr>
            <w:noProof/>
          </w:rPr>
          <w:t>6</w:t>
        </w:r>
      </w:fldSimple>
      <w:bookmarkEnd w:id="20"/>
      <w:r>
        <w:rPr>
          <w:lang w:val="en-US"/>
        </w:rPr>
        <w:t xml:space="preserve">: </w:t>
      </w:r>
      <w:r w:rsidRPr="00A24387">
        <w:rPr>
          <w:lang w:val="en-US"/>
        </w:rPr>
        <w:t>Effect of different biochar on root length of two different species</w:t>
      </w:r>
    </w:p>
    <w:p w14:paraId="603E4CE9" w14:textId="01E3C2E8" w:rsidR="00F16278" w:rsidRPr="00A66894" w:rsidRDefault="00F16278" w:rsidP="00B654AC">
      <w:pPr>
        <w:pStyle w:val="Heading3"/>
      </w:pPr>
      <w:r w:rsidRPr="00A66894">
        <w:t>Leaf Number and Leaf Area</w:t>
      </w:r>
    </w:p>
    <w:p w14:paraId="51197B4F" w14:textId="2697E071" w:rsidR="00F16278" w:rsidRDefault="00F16278" w:rsidP="00B654AC">
      <w:r w:rsidRPr="004B274F">
        <w:rPr>
          <w:highlight w:val="yellow"/>
        </w:rPr>
        <w:t xml:space="preserve">All </w:t>
      </w:r>
      <w:proofErr w:type="spellStart"/>
      <w:r w:rsidR="00DA6D37" w:rsidRPr="004B274F">
        <w:rPr>
          <w:highlight w:val="yellow"/>
        </w:rPr>
        <w:t>Akashmoni</w:t>
      </w:r>
      <w:proofErr w:type="spellEnd"/>
      <w:r w:rsidR="00DA6D37" w:rsidRPr="004B274F">
        <w:rPr>
          <w:highlight w:val="yellow"/>
        </w:rPr>
        <w:t xml:space="preserve"> </w:t>
      </w:r>
      <w:r w:rsidRPr="004B274F">
        <w:rPr>
          <w:highlight w:val="yellow"/>
        </w:rPr>
        <w:t xml:space="preserve">treatments showed a significantly higher leaf number (p &lt; 0.001) compared to </w:t>
      </w:r>
      <w:r w:rsidR="003A0CE6" w:rsidRPr="004B274F">
        <w:rPr>
          <w:highlight w:val="yellow"/>
        </w:rPr>
        <w:t>the control</w:t>
      </w:r>
      <w:r w:rsidRPr="004B274F">
        <w:rPr>
          <w:highlight w:val="yellow"/>
        </w:rPr>
        <w:t xml:space="preserve"> (</w:t>
      </w:r>
      <w:r w:rsidR="00F93111" w:rsidRPr="004B274F">
        <w:rPr>
          <w:highlight w:val="yellow"/>
        </w:rPr>
        <w:fldChar w:fldCharType="begin"/>
      </w:r>
      <w:r w:rsidR="00F93111" w:rsidRPr="004B274F">
        <w:rPr>
          <w:highlight w:val="yellow"/>
        </w:rPr>
        <w:instrText xml:space="preserve"> REF _Ref192636200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7</w:t>
      </w:r>
      <w:r w:rsidR="00F93111" w:rsidRPr="004B274F">
        <w:rPr>
          <w:highlight w:val="yellow"/>
        </w:rPr>
        <w:fldChar w:fldCharType="end"/>
      </w:r>
      <w:r w:rsidRPr="004B274F">
        <w:rPr>
          <w:highlight w:val="yellow"/>
        </w:rPr>
        <w:t xml:space="preserve">). Furthermore, in </w:t>
      </w:r>
      <w:proofErr w:type="spellStart"/>
      <w:r w:rsidR="00DA6D37" w:rsidRPr="004B274F">
        <w:rPr>
          <w:highlight w:val="yellow"/>
        </w:rPr>
        <w:t>Akashmoni</w:t>
      </w:r>
      <w:proofErr w:type="spellEnd"/>
      <w:r w:rsidRPr="004B274F">
        <w:rPr>
          <w:highlight w:val="yellow"/>
        </w:rPr>
        <w:t xml:space="preserve">, all treatments except Kadam (p &lt; 0.01) resulted in a highly significant increase in leaf area (p &lt; 0.001) compared to </w:t>
      </w:r>
      <w:r w:rsidR="003A0CE6" w:rsidRPr="004B274F">
        <w:rPr>
          <w:highlight w:val="yellow"/>
        </w:rPr>
        <w:t>control</w:t>
      </w:r>
      <w:r w:rsidR="00622C88" w:rsidRPr="004B274F">
        <w:rPr>
          <w:highlight w:val="yellow"/>
        </w:rPr>
        <w:t>, indicating a positive effect on canopy development</w:t>
      </w:r>
      <w:r w:rsidRPr="004B274F">
        <w:rPr>
          <w:highlight w:val="yellow"/>
        </w:rPr>
        <w:t xml:space="preserve"> (</w:t>
      </w:r>
      <w:r w:rsidR="00F93111" w:rsidRPr="004B274F">
        <w:rPr>
          <w:highlight w:val="yellow"/>
        </w:rPr>
        <w:fldChar w:fldCharType="begin"/>
      </w:r>
      <w:r w:rsidR="00F93111" w:rsidRPr="004B274F">
        <w:rPr>
          <w:highlight w:val="yellow"/>
        </w:rPr>
        <w:instrText xml:space="preserve"> REF _Ref192636208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8</w:t>
      </w:r>
      <w:r w:rsidR="00F93111" w:rsidRPr="004B274F">
        <w:rPr>
          <w:highlight w:val="yellow"/>
        </w:rPr>
        <w:fldChar w:fldCharType="end"/>
      </w:r>
      <w:r w:rsidRPr="004B274F">
        <w:rPr>
          <w:highlight w:val="yellow"/>
        </w:rPr>
        <w:t>).</w:t>
      </w:r>
    </w:p>
    <w:p w14:paraId="4455D1D0"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4547FCA0" wp14:editId="27097F5B">
            <wp:extent cx="3950208" cy="2350008"/>
            <wp:effectExtent l="0" t="0" r="0" b="0"/>
            <wp:docPr id="6" name="image16.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6.png" descr="A graph of different colored bars&#10;&#10;AI-generated content may be incorrect."/>
                    <pic:cNvPicPr preferRelativeResize="0"/>
                  </pic:nvPicPr>
                  <pic:blipFill>
                    <a:blip r:embed="rId14"/>
                    <a:srcRect/>
                    <a:stretch>
                      <a:fillRect/>
                    </a:stretch>
                  </pic:blipFill>
                  <pic:spPr>
                    <a:xfrm>
                      <a:off x="0" y="0"/>
                      <a:ext cx="3950208" cy="2350008"/>
                    </a:xfrm>
                    <a:prstGeom prst="rect">
                      <a:avLst/>
                    </a:prstGeom>
                    <a:ln/>
                  </pic:spPr>
                </pic:pic>
              </a:graphicData>
            </a:graphic>
          </wp:inline>
        </w:drawing>
      </w:r>
    </w:p>
    <w:p w14:paraId="2B5EEB5C" w14:textId="7B988569" w:rsidR="004A3707" w:rsidRDefault="004A3707" w:rsidP="00496A10">
      <w:pPr>
        <w:pStyle w:val="Caption"/>
        <w:rPr>
          <w:rFonts w:ascii="Times New Roman" w:eastAsia="Times New Roman" w:hAnsi="Times New Roman" w:cs="Times New Roman"/>
          <w:sz w:val="20"/>
          <w:szCs w:val="20"/>
        </w:rPr>
      </w:pPr>
      <w:bookmarkStart w:id="21" w:name="_Ref192636200"/>
      <w:r>
        <w:t xml:space="preserve">Figure </w:t>
      </w:r>
      <w:fldSimple w:instr=" SEQ Figure \* ARABIC ">
        <w:r w:rsidR="00315CD1">
          <w:rPr>
            <w:noProof/>
          </w:rPr>
          <w:t>7</w:t>
        </w:r>
      </w:fldSimple>
      <w:bookmarkEnd w:id="21"/>
      <w:r>
        <w:rPr>
          <w:lang w:val="en-US"/>
        </w:rPr>
        <w:t xml:space="preserve">: </w:t>
      </w:r>
      <w:r w:rsidRPr="00424AD8">
        <w:rPr>
          <w:lang w:val="en-US"/>
        </w:rPr>
        <w:t>Effect of different biochar on leaf number of two different species</w:t>
      </w:r>
    </w:p>
    <w:p w14:paraId="7377F73E"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0001DB0D" wp14:editId="0808A699">
            <wp:extent cx="3950208" cy="2350008"/>
            <wp:effectExtent l="0" t="0" r="0" b="0"/>
            <wp:docPr id="12" name="image7.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7.png" descr="A graph of different colored bars&#10;&#10;AI-generated content may be incorrect."/>
                    <pic:cNvPicPr preferRelativeResize="0"/>
                  </pic:nvPicPr>
                  <pic:blipFill>
                    <a:blip r:embed="rId15"/>
                    <a:srcRect/>
                    <a:stretch>
                      <a:fillRect/>
                    </a:stretch>
                  </pic:blipFill>
                  <pic:spPr>
                    <a:xfrm>
                      <a:off x="0" y="0"/>
                      <a:ext cx="3950208" cy="2350008"/>
                    </a:xfrm>
                    <a:prstGeom prst="rect">
                      <a:avLst/>
                    </a:prstGeom>
                    <a:ln/>
                  </pic:spPr>
                </pic:pic>
              </a:graphicData>
            </a:graphic>
          </wp:inline>
        </w:drawing>
      </w:r>
    </w:p>
    <w:p w14:paraId="5C550905" w14:textId="60A3E7ED" w:rsidR="004A3707" w:rsidRDefault="004A3707" w:rsidP="00496A10">
      <w:pPr>
        <w:pStyle w:val="Caption"/>
        <w:rPr>
          <w:rFonts w:ascii="Times New Roman" w:eastAsia="Times New Roman" w:hAnsi="Times New Roman" w:cs="Times New Roman"/>
          <w:sz w:val="20"/>
          <w:szCs w:val="20"/>
        </w:rPr>
      </w:pPr>
      <w:bookmarkStart w:id="22" w:name="_Ref192636208"/>
      <w:r>
        <w:t xml:space="preserve">Figure </w:t>
      </w:r>
      <w:fldSimple w:instr=" SEQ Figure \* ARABIC ">
        <w:r w:rsidR="00315CD1">
          <w:rPr>
            <w:noProof/>
          </w:rPr>
          <w:t>8</w:t>
        </w:r>
      </w:fldSimple>
      <w:bookmarkEnd w:id="22"/>
      <w:r>
        <w:rPr>
          <w:lang w:val="en-US"/>
        </w:rPr>
        <w:t xml:space="preserve">: </w:t>
      </w:r>
      <w:r w:rsidRPr="000409A0">
        <w:rPr>
          <w:lang w:val="en-US"/>
        </w:rPr>
        <w:t>Effect of different biochar on leaf area of two different species</w:t>
      </w:r>
    </w:p>
    <w:p w14:paraId="599C586B" w14:textId="6BEF88A9" w:rsidR="00F16278" w:rsidRPr="00777EE1" w:rsidRDefault="00F16278" w:rsidP="00B654AC">
      <w:pPr>
        <w:pStyle w:val="Heading3"/>
      </w:pPr>
      <w:r w:rsidRPr="00777EE1">
        <w:t>Reproductive Number of Rice</w:t>
      </w:r>
    </w:p>
    <w:p w14:paraId="5DF8EF17" w14:textId="2B8A2778" w:rsidR="00F16278" w:rsidRPr="004B274F" w:rsidRDefault="00F16278" w:rsidP="00B654AC">
      <w:pPr>
        <w:rPr>
          <w:highlight w:val="yellow"/>
        </w:rPr>
      </w:pPr>
      <w:r w:rsidRPr="004B274F">
        <w:rPr>
          <w:highlight w:val="yellow"/>
        </w:rPr>
        <w:t xml:space="preserve">An ANOVA test confirmed that biochar treatments had a highly significant effect (p &lt; 0.001) on the reproductive number. Tukey’s HSD post-hoc test showed that </w:t>
      </w:r>
      <w:proofErr w:type="spellStart"/>
      <w:r w:rsidRPr="004B274F">
        <w:rPr>
          <w:highlight w:val="yellow"/>
        </w:rPr>
        <w:t>Chambul</w:t>
      </w:r>
      <w:proofErr w:type="spellEnd"/>
      <w:r w:rsidRPr="004B274F">
        <w:rPr>
          <w:highlight w:val="yellow"/>
        </w:rPr>
        <w:t xml:space="preserve"> biochar (p &lt; 0.001) significantly differed from the control, Kadam, and Raintree biochar, </w:t>
      </w:r>
      <w:proofErr w:type="gramStart"/>
      <w:r w:rsidRPr="004B274F">
        <w:rPr>
          <w:highlight w:val="yellow"/>
        </w:rPr>
        <w:t>and also</w:t>
      </w:r>
      <w:proofErr w:type="gramEnd"/>
      <w:r w:rsidRPr="004B274F">
        <w:rPr>
          <w:highlight w:val="yellow"/>
        </w:rPr>
        <w:t xml:space="preserve"> from </w:t>
      </w:r>
      <w:proofErr w:type="spellStart"/>
      <w:r w:rsidRPr="004B274F">
        <w:rPr>
          <w:highlight w:val="yellow"/>
        </w:rPr>
        <w:t>Mahagoni</w:t>
      </w:r>
      <w:proofErr w:type="spellEnd"/>
      <w:r w:rsidRPr="004B274F">
        <w:rPr>
          <w:highlight w:val="yellow"/>
        </w:rPr>
        <w:t xml:space="preserve"> biochar (p &lt; 0.05). Similarly, Kathal biochar (p &lt; 0.05) exhibited significant differences comparable to </w:t>
      </w:r>
      <w:proofErr w:type="spellStart"/>
      <w:r w:rsidRPr="004B274F">
        <w:rPr>
          <w:highlight w:val="yellow"/>
        </w:rPr>
        <w:t>Chambul</w:t>
      </w:r>
      <w:proofErr w:type="spellEnd"/>
      <w:r w:rsidRPr="004B274F">
        <w:rPr>
          <w:highlight w:val="yellow"/>
        </w:rPr>
        <w:t xml:space="preserve"> biochar (</w:t>
      </w:r>
      <w:r w:rsidR="00EB4E6C" w:rsidRPr="004B274F">
        <w:rPr>
          <w:highlight w:val="yellow"/>
        </w:rPr>
        <w:fldChar w:fldCharType="begin"/>
      </w:r>
      <w:r w:rsidR="00EB4E6C" w:rsidRPr="004B274F">
        <w:rPr>
          <w:highlight w:val="yellow"/>
        </w:rPr>
        <w:instrText xml:space="preserve"> REF _Ref193502042 \h </w:instrText>
      </w:r>
      <w:r w:rsidR="004B274F">
        <w:rPr>
          <w:highlight w:val="yellow"/>
        </w:rPr>
        <w:instrText xml:space="preserve"> \* MERGEFORMAT </w:instrText>
      </w:r>
      <w:r w:rsidR="00EB4E6C" w:rsidRPr="004B274F">
        <w:rPr>
          <w:highlight w:val="yellow"/>
        </w:rPr>
      </w:r>
      <w:r w:rsidR="00EB4E6C" w:rsidRPr="004B274F">
        <w:rPr>
          <w:highlight w:val="yellow"/>
        </w:rPr>
        <w:fldChar w:fldCharType="separate"/>
      </w:r>
      <w:r w:rsidR="00EB4E6C" w:rsidRPr="004B274F">
        <w:rPr>
          <w:highlight w:val="yellow"/>
        </w:rPr>
        <w:t xml:space="preserve">Table </w:t>
      </w:r>
      <w:r w:rsidR="00EB4E6C" w:rsidRPr="004B274F">
        <w:rPr>
          <w:noProof/>
          <w:highlight w:val="yellow"/>
        </w:rPr>
        <w:t>3</w:t>
      </w:r>
      <w:r w:rsidR="00EB4E6C" w:rsidRPr="004B274F">
        <w:rPr>
          <w:highlight w:val="yellow"/>
        </w:rPr>
        <w:fldChar w:fldCharType="end"/>
      </w:r>
      <w:r w:rsidRPr="004B274F">
        <w:rPr>
          <w:highlight w:val="yellow"/>
        </w:rPr>
        <w:t>).</w:t>
      </w:r>
    </w:p>
    <w:p w14:paraId="6E11A7EB" w14:textId="57ADA8F5" w:rsidR="00EB4E6C" w:rsidRPr="004B274F" w:rsidRDefault="00EB4E6C" w:rsidP="00496A10">
      <w:pPr>
        <w:pStyle w:val="Caption"/>
        <w:rPr>
          <w:highlight w:val="yellow"/>
        </w:rPr>
      </w:pPr>
      <w:bookmarkStart w:id="23" w:name="_Ref193502042"/>
      <w:r w:rsidRPr="004B274F">
        <w:rPr>
          <w:highlight w:val="yellow"/>
        </w:rPr>
        <w:t xml:space="preserve">Table </w:t>
      </w:r>
      <w:r w:rsidRPr="004B274F">
        <w:rPr>
          <w:highlight w:val="yellow"/>
        </w:rPr>
        <w:fldChar w:fldCharType="begin"/>
      </w:r>
      <w:r w:rsidRPr="004B274F">
        <w:rPr>
          <w:highlight w:val="yellow"/>
        </w:rPr>
        <w:instrText xml:space="preserve"> SEQ Table \* ARABIC </w:instrText>
      </w:r>
      <w:r w:rsidRPr="004B274F">
        <w:rPr>
          <w:highlight w:val="yellow"/>
        </w:rPr>
        <w:fldChar w:fldCharType="separate"/>
      </w:r>
      <w:r w:rsidRPr="004B274F">
        <w:rPr>
          <w:noProof/>
          <w:highlight w:val="yellow"/>
        </w:rPr>
        <w:t>3</w:t>
      </w:r>
      <w:r w:rsidRPr="004B274F">
        <w:rPr>
          <w:highlight w:val="yellow"/>
        </w:rPr>
        <w:fldChar w:fldCharType="end"/>
      </w:r>
      <w:bookmarkEnd w:id="23"/>
      <w:r w:rsidRPr="004B274F">
        <w:rPr>
          <w:highlight w:val="yellow"/>
          <w:lang w:val="en-US"/>
        </w:rPr>
        <w:t xml:space="preserve"> Effect of different biochar on reproductive number of Rice</w:t>
      </w:r>
    </w:p>
    <w:tbl>
      <w:tblPr>
        <w:tblStyle w:val="a"/>
        <w:tblW w:w="5000" w:type="pct"/>
        <w:tblBorders>
          <w:top w:val="single" w:sz="4" w:space="0" w:color="auto"/>
          <w:bottom w:val="single" w:sz="4" w:space="0" w:color="auto"/>
          <w:insideH w:val="single" w:sz="4" w:space="0" w:color="auto"/>
        </w:tblBorders>
        <w:tblLook w:val="0600" w:firstRow="0" w:lastRow="0" w:firstColumn="0" w:lastColumn="0" w:noHBand="1" w:noVBand="1"/>
      </w:tblPr>
      <w:tblGrid>
        <w:gridCol w:w="3303"/>
        <w:gridCol w:w="2864"/>
        <w:gridCol w:w="2862"/>
      </w:tblGrid>
      <w:tr w:rsidR="00EB4E6C" w:rsidRPr="004B274F" w14:paraId="0975365E" w14:textId="0FD57890" w:rsidTr="00EB4E6C">
        <w:trPr>
          <w:trHeight w:val="20"/>
          <w:tblHeader/>
        </w:trPr>
        <w:tc>
          <w:tcPr>
            <w:tcW w:w="1829" w:type="pct"/>
            <w:shd w:val="clear" w:color="auto" w:fill="auto"/>
            <w:tcMar>
              <w:top w:w="100" w:type="dxa"/>
              <w:left w:w="100" w:type="dxa"/>
              <w:bottom w:w="100" w:type="dxa"/>
              <w:right w:w="100" w:type="dxa"/>
            </w:tcMar>
          </w:tcPr>
          <w:p w14:paraId="7F6EC0A1" w14:textId="64BCAC75" w:rsidR="00EB4E6C" w:rsidRPr="004B274F" w:rsidRDefault="00EB4E6C" w:rsidP="005937EC">
            <w:pPr>
              <w:spacing w:before="0" w:after="0"/>
              <w:rPr>
                <w:rFonts w:eastAsia="Times New Roman"/>
                <w:sz w:val="18"/>
                <w:szCs w:val="18"/>
                <w:highlight w:val="yellow"/>
              </w:rPr>
            </w:pPr>
            <w:r w:rsidRPr="004B274F">
              <w:rPr>
                <w:rFonts w:eastAsia="Times New Roman"/>
                <w:b/>
                <w:sz w:val="18"/>
                <w:szCs w:val="18"/>
                <w:highlight w:val="yellow"/>
              </w:rPr>
              <w:t>Treatments</w:t>
            </w:r>
          </w:p>
        </w:tc>
        <w:tc>
          <w:tcPr>
            <w:tcW w:w="1586" w:type="pct"/>
            <w:shd w:val="clear" w:color="auto" w:fill="auto"/>
            <w:tcMar>
              <w:top w:w="100" w:type="dxa"/>
              <w:left w:w="100" w:type="dxa"/>
              <w:bottom w:w="100" w:type="dxa"/>
              <w:right w:w="100" w:type="dxa"/>
            </w:tcMar>
          </w:tcPr>
          <w:p w14:paraId="56E0CF15" w14:textId="3DFF1202" w:rsidR="00EB4E6C" w:rsidRPr="004B274F" w:rsidRDefault="00EB4E6C" w:rsidP="00EB4E6C">
            <w:pPr>
              <w:spacing w:before="0" w:after="0"/>
              <w:jc w:val="center"/>
              <w:rPr>
                <w:rFonts w:eastAsia="Times New Roman"/>
                <w:sz w:val="18"/>
                <w:szCs w:val="18"/>
                <w:highlight w:val="yellow"/>
              </w:rPr>
            </w:pPr>
            <w:r w:rsidRPr="004B274F">
              <w:rPr>
                <w:rFonts w:eastAsia="Times New Roman"/>
                <w:b/>
                <w:sz w:val="18"/>
                <w:szCs w:val="18"/>
                <w:highlight w:val="yellow"/>
              </w:rPr>
              <w:t>Reproductive number of Rice</w:t>
            </w:r>
          </w:p>
        </w:tc>
        <w:tc>
          <w:tcPr>
            <w:tcW w:w="1585" w:type="pct"/>
          </w:tcPr>
          <w:p w14:paraId="0B7EEEB4" w14:textId="68C7AB60" w:rsidR="00EB4E6C" w:rsidRPr="004B274F" w:rsidRDefault="00EB4E6C" w:rsidP="00EB4E6C">
            <w:pPr>
              <w:spacing w:before="0" w:after="0"/>
              <w:jc w:val="center"/>
              <w:rPr>
                <w:rFonts w:eastAsia="Times New Roman"/>
                <w:b/>
                <w:sz w:val="18"/>
                <w:szCs w:val="18"/>
                <w:highlight w:val="yellow"/>
              </w:rPr>
            </w:pPr>
            <w:r w:rsidRPr="004B274F">
              <w:rPr>
                <w:rFonts w:eastAsia="Times New Roman"/>
                <w:b/>
                <w:sz w:val="18"/>
                <w:szCs w:val="18"/>
                <w:highlight w:val="yellow"/>
              </w:rPr>
              <w:t>STD (+/-)</w:t>
            </w:r>
          </w:p>
        </w:tc>
      </w:tr>
      <w:tr w:rsidR="00EB4E6C" w:rsidRPr="004B274F" w14:paraId="794D428F" w14:textId="1F982052" w:rsidTr="00EB4E6C">
        <w:trPr>
          <w:trHeight w:val="20"/>
        </w:trPr>
        <w:tc>
          <w:tcPr>
            <w:tcW w:w="1829" w:type="pct"/>
            <w:shd w:val="clear" w:color="auto" w:fill="auto"/>
            <w:tcMar>
              <w:top w:w="100" w:type="dxa"/>
              <w:left w:w="100" w:type="dxa"/>
              <w:bottom w:w="100" w:type="dxa"/>
              <w:right w:w="100" w:type="dxa"/>
            </w:tcMar>
          </w:tcPr>
          <w:p w14:paraId="70B3708A" w14:textId="34BFC21B" w:rsidR="00EB4E6C" w:rsidRPr="004B274F" w:rsidRDefault="00EB4E6C" w:rsidP="00EB4E6C">
            <w:pPr>
              <w:spacing w:before="0" w:after="0"/>
              <w:rPr>
                <w:rFonts w:eastAsia="Times New Roman"/>
                <w:sz w:val="18"/>
                <w:szCs w:val="18"/>
                <w:highlight w:val="yellow"/>
              </w:rPr>
            </w:pPr>
            <w:proofErr w:type="spellStart"/>
            <w:r w:rsidRPr="004B274F">
              <w:rPr>
                <w:sz w:val="18"/>
                <w:szCs w:val="18"/>
                <w:highlight w:val="yellow"/>
              </w:rPr>
              <w:t>Chambul</w:t>
            </w:r>
            <w:proofErr w:type="spellEnd"/>
          </w:p>
        </w:tc>
        <w:tc>
          <w:tcPr>
            <w:tcW w:w="1586" w:type="pct"/>
            <w:shd w:val="clear" w:color="auto" w:fill="auto"/>
            <w:tcMar>
              <w:top w:w="100" w:type="dxa"/>
              <w:left w:w="100" w:type="dxa"/>
              <w:bottom w:w="100" w:type="dxa"/>
              <w:right w:w="100" w:type="dxa"/>
            </w:tcMar>
          </w:tcPr>
          <w:p w14:paraId="2EF14769" w14:textId="2C13405C"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13</w:t>
            </w:r>
          </w:p>
        </w:tc>
        <w:tc>
          <w:tcPr>
            <w:tcW w:w="1585" w:type="pct"/>
          </w:tcPr>
          <w:p w14:paraId="2A1CB4B8" w14:textId="7998CDD4" w:rsidR="00EB4E6C" w:rsidRPr="004B274F" w:rsidRDefault="00EB4E6C" w:rsidP="00EB4E6C">
            <w:pPr>
              <w:spacing w:before="0" w:after="0"/>
              <w:jc w:val="center"/>
              <w:rPr>
                <w:sz w:val="18"/>
                <w:szCs w:val="18"/>
                <w:highlight w:val="yellow"/>
              </w:rPr>
            </w:pPr>
            <w:r w:rsidRPr="004B274F">
              <w:rPr>
                <w:sz w:val="18"/>
                <w:szCs w:val="18"/>
                <w:highlight w:val="yellow"/>
              </w:rPr>
              <w:t>0.96</w:t>
            </w:r>
          </w:p>
        </w:tc>
      </w:tr>
      <w:tr w:rsidR="00EB4E6C" w:rsidRPr="004B274F" w14:paraId="2D21CE33" w14:textId="2A4DC2E6" w:rsidTr="00EB4E6C">
        <w:trPr>
          <w:trHeight w:val="20"/>
        </w:trPr>
        <w:tc>
          <w:tcPr>
            <w:tcW w:w="1829" w:type="pct"/>
            <w:shd w:val="clear" w:color="auto" w:fill="auto"/>
            <w:tcMar>
              <w:top w:w="100" w:type="dxa"/>
              <w:left w:w="100" w:type="dxa"/>
              <w:bottom w:w="100" w:type="dxa"/>
              <w:right w:w="100" w:type="dxa"/>
            </w:tcMar>
          </w:tcPr>
          <w:p w14:paraId="23FF69BA" w14:textId="59FA26C0" w:rsidR="00EB4E6C" w:rsidRPr="004B274F" w:rsidRDefault="00EB4E6C" w:rsidP="00EB4E6C">
            <w:pPr>
              <w:spacing w:before="0" w:after="0"/>
              <w:rPr>
                <w:rFonts w:eastAsia="Times New Roman"/>
                <w:sz w:val="18"/>
                <w:szCs w:val="18"/>
                <w:highlight w:val="yellow"/>
              </w:rPr>
            </w:pPr>
            <w:r w:rsidRPr="004B274F">
              <w:rPr>
                <w:sz w:val="18"/>
                <w:szCs w:val="18"/>
                <w:highlight w:val="yellow"/>
              </w:rPr>
              <w:t>Control</w:t>
            </w:r>
          </w:p>
        </w:tc>
        <w:tc>
          <w:tcPr>
            <w:tcW w:w="1586" w:type="pct"/>
            <w:shd w:val="clear" w:color="auto" w:fill="auto"/>
            <w:tcMar>
              <w:top w:w="100" w:type="dxa"/>
              <w:left w:w="100" w:type="dxa"/>
              <w:bottom w:w="100" w:type="dxa"/>
              <w:right w:w="100" w:type="dxa"/>
            </w:tcMar>
          </w:tcPr>
          <w:p w14:paraId="1887CF20" w14:textId="53C811BC"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7</w:t>
            </w:r>
          </w:p>
        </w:tc>
        <w:tc>
          <w:tcPr>
            <w:tcW w:w="1585" w:type="pct"/>
          </w:tcPr>
          <w:p w14:paraId="043AB30C" w14:textId="3D5D38D5" w:rsidR="00EB4E6C" w:rsidRPr="004B274F" w:rsidRDefault="00EB4E6C" w:rsidP="00EB4E6C">
            <w:pPr>
              <w:spacing w:before="0" w:after="0"/>
              <w:jc w:val="center"/>
              <w:rPr>
                <w:sz w:val="18"/>
                <w:szCs w:val="18"/>
                <w:highlight w:val="yellow"/>
              </w:rPr>
            </w:pPr>
            <w:r w:rsidRPr="004B274F">
              <w:rPr>
                <w:sz w:val="18"/>
                <w:szCs w:val="18"/>
                <w:highlight w:val="yellow"/>
              </w:rPr>
              <w:t>1.29</w:t>
            </w:r>
          </w:p>
        </w:tc>
      </w:tr>
      <w:tr w:rsidR="00EB4E6C" w:rsidRPr="004B274F" w14:paraId="63318225" w14:textId="5AF37D65" w:rsidTr="00EB4E6C">
        <w:trPr>
          <w:trHeight w:val="20"/>
        </w:trPr>
        <w:tc>
          <w:tcPr>
            <w:tcW w:w="1829" w:type="pct"/>
            <w:shd w:val="clear" w:color="auto" w:fill="auto"/>
            <w:tcMar>
              <w:top w:w="100" w:type="dxa"/>
              <w:left w:w="100" w:type="dxa"/>
              <w:bottom w:w="100" w:type="dxa"/>
              <w:right w:w="100" w:type="dxa"/>
            </w:tcMar>
          </w:tcPr>
          <w:p w14:paraId="04F050A0" w14:textId="65C6FA0B" w:rsidR="00EB4E6C" w:rsidRPr="004B274F" w:rsidRDefault="00EB4E6C" w:rsidP="00EB4E6C">
            <w:pPr>
              <w:spacing w:before="0" w:after="0"/>
              <w:rPr>
                <w:rFonts w:eastAsia="Times New Roman"/>
                <w:sz w:val="18"/>
                <w:szCs w:val="18"/>
                <w:highlight w:val="yellow"/>
              </w:rPr>
            </w:pPr>
            <w:r w:rsidRPr="004B274F">
              <w:rPr>
                <w:sz w:val="18"/>
                <w:szCs w:val="18"/>
                <w:highlight w:val="yellow"/>
              </w:rPr>
              <w:t>Kadam</w:t>
            </w:r>
          </w:p>
        </w:tc>
        <w:tc>
          <w:tcPr>
            <w:tcW w:w="1586" w:type="pct"/>
            <w:shd w:val="clear" w:color="auto" w:fill="auto"/>
            <w:tcMar>
              <w:top w:w="100" w:type="dxa"/>
              <w:left w:w="100" w:type="dxa"/>
              <w:bottom w:w="100" w:type="dxa"/>
              <w:right w:w="100" w:type="dxa"/>
            </w:tcMar>
          </w:tcPr>
          <w:p w14:paraId="1251B24A" w14:textId="6E9E1350"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7</w:t>
            </w:r>
          </w:p>
        </w:tc>
        <w:tc>
          <w:tcPr>
            <w:tcW w:w="1585" w:type="pct"/>
          </w:tcPr>
          <w:p w14:paraId="4A1E61B5" w14:textId="4157DD4C" w:rsidR="00EB4E6C" w:rsidRPr="004B274F" w:rsidRDefault="00EB4E6C" w:rsidP="00EB4E6C">
            <w:pPr>
              <w:spacing w:before="0" w:after="0"/>
              <w:jc w:val="center"/>
              <w:rPr>
                <w:sz w:val="18"/>
                <w:szCs w:val="18"/>
                <w:highlight w:val="yellow"/>
              </w:rPr>
            </w:pPr>
            <w:r w:rsidRPr="004B274F">
              <w:rPr>
                <w:sz w:val="18"/>
                <w:szCs w:val="18"/>
                <w:highlight w:val="yellow"/>
              </w:rPr>
              <w:t>2.16</w:t>
            </w:r>
          </w:p>
        </w:tc>
      </w:tr>
      <w:tr w:rsidR="00EB4E6C" w:rsidRPr="004B274F" w14:paraId="7FBA06C7" w14:textId="0A974AAD" w:rsidTr="00EB4E6C">
        <w:trPr>
          <w:trHeight w:val="20"/>
        </w:trPr>
        <w:tc>
          <w:tcPr>
            <w:tcW w:w="1829" w:type="pct"/>
            <w:shd w:val="clear" w:color="auto" w:fill="auto"/>
            <w:tcMar>
              <w:top w:w="100" w:type="dxa"/>
              <w:left w:w="100" w:type="dxa"/>
              <w:bottom w:w="100" w:type="dxa"/>
              <w:right w:w="100" w:type="dxa"/>
            </w:tcMar>
          </w:tcPr>
          <w:p w14:paraId="7D5AA74B" w14:textId="1A8A422D" w:rsidR="00EB4E6C" w:rsidRPr="004B274F" w:rsidRDefault="00EB4E6C" w:rsidP="00EB4E6C">
            <w:pPr>
              <w:spacing w:before="0" w:after="0"/>
              <w:rPr>
                <w:rFonts w:eastAsia="Times New Roman"/>
                <w:sz w:val="18"/>
                <w:szCs w:val="18"/>
                <w:highlight w:val="yellow"/>
              </w:rPr>
            </w:pPr>
            <w:r w:rsidRPr="004B274F">
              <w:rPr>
                <w:sz w:val="18"/>
                <w:szCs w:val="18"/>
                <w:highlight w:val="yellow"/>
              </w:rPr>
              <w:t>Kathal</w:t>
            </w:r>
          </w:p>
        </w:tc>
        <w:tc>
          <w:tcPr>
            <w:tcW w:w="1586" w:type="pct"/>
            <w:shd w:val="clear" w:color="auto" w:fill="auto"/>
            <w:tcMar>
              <w:top w:w="100" w:type="dxa"/>
              <w:left w:w="100" w:type="dxa"/>
              <w:bottom w:w="100" w:type="dxa"/>
              <w:right w:w="100" w:type="dxa"/>
            </w:tcMar>
          </w:tcPr>
          <w:p w14:paraId="19D0F0FE" w14:textId="7E97694D"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12</w:t>
            </w:r>
          </w:p>
        </w:tc>
        <w:tc>
          <w:tcPr>
            <w:tcW w:w="1585" w:type="pct"/>
          </w:tcPr>
          <w:p w14:paraId="6918943B" w14:textId="11AF9866" w:rsidR="00EB4E6C" w:rsidRPr="004B274F" w:rsidRDefault="00EB4E6C" w:rsidP="00EB4E6C">
            <w:pPr>
              <w:spacing w:before="0" w:after="0"/>
              <w:jc w:val="center"/>
              <w:rPr>
                <w:sz w:val="18"/>
                <w:szCs w:val="18"/>
                <w:highlight w:val="yellow"/>
              </w:rPr>
            </w:pPr>
            <w:r w:rsidRPr="004B274F">
              <w:rPr>
                <w:sz w:val="18"/>
                <w:szCs w:val="18"/>
                <w:highlight w:val="yellow"/>
              </w:rPr>
              <w:t>1.29</w:t>
            </w:r>
          </w:p>
        </w:tc>
      </w:tr>
      <w:tr w:rsidR="00EB4E6C" w:rsidRPr="004B274F" w14:paraId="483491DA" w14:textId="6EFB7CEA" w:rsidTr="00EB4E6C">
        <w:trPr>
          <w:trHeight w:val="20"/>
        </w:trPr>
        <w:tc>
          <w:tcPr>
            <w:tcW w:w="1829" w:type="pct"/>
            <w:shd w:val="clear" w:color="auto" w:fill="auto"/>
            <w:tcMar>
              <w:top w:w="100" w:type="dxa"/>
              <w:left w:w="100" w:type="dxa"/>
              <w:bottom w:w="100" w:type="dxa"/>
              <w:right w:w="100" w:type="dxa"/>
            </w:tcMar>
          </w:tcPr>
          <w:p w14:paraId="1EA2FD93" w14:textId="0D117152" w:rsidR="00EB4E6C" w:rsidRPr="004B274F" w:rsidRDefault="00EB4E6C" w:rsidP="00EB4E6C">
            <w:pPr>
              <w:spacing w:before="0" w:after="0"/>
              <w:rPr>
                <w:rFonts w:eastAsia="Times New Roman"/>
                <w:sz w:val="18"/>
                <w:szCs w:val="18"/>
                <w:highlight w:val="yellow"/>
              </w:rPr>
            </w:pPr>
            <w:proofErr w:type="spellStart"/>
            <w:r w:rsidRPr="004B274F">
              <w:rPr>
                <w:sz w:val="18"/>
                <w:szCs w:val="18"/>
                <w:highlight w:val="yellow"/>
              </w:rPr>
              <w:t>Mahagoni</w:t>
            </w:r>
            <w:proofErr w:type="spellEnd"/>
          </w:p>
        </w:tc>
        <w:tc>
          <w:tcPr>
            <w:tcW w:w="1586" w:type="pct"/>
            <w:shd w:val="clear" w:color="auto" w:fill="auto"/>
            <w:tcMar>
              <w:top w:w="100" w:type="dxa"/>
              <w:left w:w="100" w:type="dxa"/>
              <w:bottom w:w="100" w:type="dxa"/>
              <w:right w:w="100" w:type="dxa"/>
            </w:tcMar>
          </w:tcPr>
          <w:p w14:paraId="6DE6BEDA" w14:textId="18A9FD78"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8</w:t>
            </w:r>
          </w:p>
        </w:tc>
        <w:tc>
          <w:tcPr>
            <w:tcW w:w="1585" w:type="pct"/>
          </w:tcPr>
          <w:p w14:paraId="40F402E9" w14:textId="4C6D917A" w:rsidR="00EB4E6C" w:rsidRPr="004B274F" w:rsidRDefault="00EB4E6C" w:rsidP="00EB4E6C">
            <w:pPr>
              <w:spacing w:before="0" w:after="0"/>
              <w:jc w:val="center"/>
              <w:rPr>
                <w:sz w:val="18"/>
                <w:szCs w:val="18"/>
                <w:highlight w:val="yellow"/>
              </w:rPr>
            </w:pPr>
            <w:r w:rsidRPr="004B274F">
              <w:rPr>
                <w:sz w:val="18"/>
                <w:szCs w:val="18"/>
                <w:highlight w:val="yellow"/>
              </w:rPr>
              <w:t>1.29</w:t>
            </w:r>
          </w:p>
        </w:tc>
      </w:tr>
      <w:tr w:rsidR="00EB4E6C" w:rsidRPr="004B274F" w14:paraId="58EB5102" w14:textId="6C207FAE" w:rsidTr="00EB4E6C">
        <w:trPr>
          <w:trHeight w:val="20"/>
        </w:trPr>
        <w:tc>
          <w:tcPr>
            <w:tcW w:w="1829" w:type="pct"/>
            <w:shd w:val="clear" w:color="auto" w:fill="auto"/>
            <w:tcMar>
              <w:top w:w="100" w:type="dxa"/>
              <w:left w:w="100" w:type="dxa"/>
              <w:bottom w:w="100" w:type="dxa"/>
              <w:right w:w="100" w:type="dxa"/>
            </w:tcMar>
          </w:tcPr>
          <w:p w14:paraId="23CC3E53" w14:textId="285FD6A1" w:rsidR="00EB4E6C" w:rsidRPr="004B274F" w:rsidRDefault="00EB4E6C" w:rsidP="00EB4E6C">
            <w:pPr>
              <w:spacing w:before="0" w:after="0"/>
              <w:rPr>
                <w:rFonts w:eastAsia="Times New Roman"/>
                <w:sz w:val="18"/>
                <w:szCs w:val="18"/>
                <w:highlight w:val="yellow"/>
              </w:rPr>
            </w:pPr>
            <w:r w:rsidRPr="004B274F">
              <w:rPr>
                <w:sz w:val="18"/>
                <w:szCs w:val="18"/>
                <w:highlight w:val="yellow"/>
              </w:rPr>
              <w:lastRenderedPageBreak/>
              <w:t>Mango</w:t>
            </w:r>
          </w:p>
        </w:tc>
        <w:tc>
          <w:tcPr>
            <w:tcW w:w="1586" w:type="pct"/>
            <w:shd w:val="clear" w:color="auto" w:fill="auto"/>
            <w:tcMar>
              <w:top w:w="100" w:type="dxa"/>
              <w:left w:w="100" w:type="dxa"/>
              <w:bottom w:w="100" w:type="dxa"/>
              <w:right w:w="100" w:type="dxa"/>
            </w:tcMar>
          </w:tcPr>
          <w:p w14:paraId="6D7FBFBB" w14:textId="11F2AAED" w:rsidR="00EB4E6C" w:rsidRPr="004B274F" w:rsidRDefault="00EB4E6C" w:rsidP="00EB4E6C">
            <w:pPr>
              <w:keepNext/>
              <w:spacing w:before="0" w:after="0"/>
              <w:jc w:val="center"/>
              <w:rPr>
                <w:rFonts w:eastAsia="Times New Roman"/>
                <w:sz w:val="18"/>
                <w:szCs w:val="18"/>
                <w:highlight w:val="yellow"/>
              </w:rPr>
            </w:pPr>
            <w:r w:rsidRPr="004B274F">
              <w:rPr>
                <w:sz w:val="18"/>
                <w:szCs w:val="18"/>
                <w:highlight w:val="yellow"/>
              </w:rPr>
              <w:t>9</w:t>
            </w:r>
          </w:p>
        </w:tc>
        <w:tc>
          <w:tcPr>
            <w:tcW w:w="1585" w:type="pct"/>
          </w:tcPr>
          <w:p w14:paraId="35CF2AA7" w14:textId="2593F5FB" w:rsidR="00EB4E6C" w:rsidRPr="004B274F" w:rsidRDefault="00EB4E6C" w:rsidP="00EB4E6C">
            <w:pPr>
              <w:keepNext/>
              <w:spacing w:before="0" w:after="0"/>
              <w:jc w:val="center"/>
              <w:rPr>
                <w:sz w:val="18"/>
                <w:szCs w:val="18"/>
                <w:highlight w:val="yellow"/>
              </w:rPr>
            </w:pPr>
            <w:r w:rsidRPr="004B274F">
              <w:rPr>
                <w:sz w:val="18"/>
                <w:szCs w:val="18"/>
                <w:highlight w:val="yellow"/>
              </w:rPr>
              <w:t>2.38</w:t>
            </w:r>
          </w:p>
        </w:tc>
      </w:tr>
      <w:tr w:rsidR="00EB4E6C" w:rsidRPr="00EB4E6C" w14:paraId="5F4CADE7" w14:textId="67A406A2" w:rsidTr="00EB4E6C">
        <w:trPr>
          <w:trHeight w:val="20"/>
        </w:trPr>
        <w:tc>
          <w:tcPr>
            <w:tcW w:w="1829" w:type="pct"/>
            <w:shd w:val="clear" w:color="auto" w:fill="auto"/>
            <w:tcMar>
              <w:top w:w="100" w:type="dxa"/>
              <w:left w:w="100" w:type="dxa"/>
              <w:bottom w:w="100" w:type="dxa"/>
              <w:right w:w="100" w:type="dxa"/>
            </w:tcMar>
          </w:tcPr>
          <w:p w14:paraId="110C29E3" w14:textId="38505448" w:rsidR="00EB4E6C" w:rsidRPr="004B274F" w:rsidRDefault="00EB4E6C" w:rsidP="00EB4E6C">
            <w:pPr>
              <w:spacing w:before="0" w:after="0"/>
              <w:rPr>
                <w:sz w:val="18"/>
                <w:szCs w:val="18"/>
                <w:highlight w:val="yellow"/>
              </w:rPr>
            </w:pPr>
            <w:r w:rsidRPr="004B274F">
              <w:rPr>
                <w:sz w:val="18"/>
                <w:szCs w:val="18"/>
                <w:highlight w:val="yellow"/>
              </w:rPr>
              <w:t>Rain tree</w:t>
            </w:r>
          </w:p>
        </w:tc>
        <w:tc>
          <w:tcPr>
            <w:tcW w:w="1586" w:type="pct"/>
            <w:shd w:val="clear" w:color="auto" w:fill="auto"/>
            <w:tcMar>
              <w:top w:w="100" w:type="dxa"/>
              <w:left w:w="100" w:type="dxa"/>
              <w:bottom w:w="100" w:type="dxa"/>
              <w:right w:w="100" w:type="dxa"/>
            </w:tcMar>
          </w:tcPr>
          <w:p w14:paraId="1AAFA4A9" w14:textId="7CBE2D89" w:rsidR="00EB4E6C" w:rsidRPr="004B274F" w:rsidRDefault="00EB4E6C" w:rsidP="00EB4E6C">
            <w:pPr>
              <w:keepNext/>
              <w:spacing w:before="0" w:after="0"/>
              <w:jc w:val="center"/>
              <w:rPr>
                <w:sz w:val="18"/>
                <w:szCs w:val="18"/>
                <w:highlight w:val="yellow"/>
              </w:rPr>
            </w:pPr>
            <w:r w:rsidRPr="004B274F">
              <w:rPr>
                <w:sz w:val="18"/>
                <w:szCs w:val="18"/>
                <w:highlight w:val="yellow"/>
              </w:rPr>
              <w:t>7</w:t>
            </w:r>
          </w:p>
        </w:tc>
        <w:tc>
          <w:tcPr>
            <w:tcW w:w="1585" w:type="pct"/>
          </w:tcPr>
          <w:p w14:paraId="1A9F5703" w14:textId="26E5E9BE" w:rsidR="00EB4E6C" w:rsidRPr="00EB4E6C" w:rsidRDefault="00EB4E6C" w:rsidP="00EB4E6C">
            <w:pPr>
              <w:keepNext/>
              <w:spacing w:before="0" w:after="0"/>
              <w:jc w:val="center"/>
              <w:rPr>
                <w:sz w:val="18"/>
                <w:szCs w:val="18"/>
              </w:rPr>
            </w:pPr>
            <w:r w:rsidRPr="004B274F">
              <w:rPr>
                <w:sz w:val="18"/>
                <w:szCs w:val="18"/>
                <w:highlight w:val="yellow"/>
              </w:rPr>
              <w:t>1.29</w:t>
            </w:r>
          </w:p>
        </w:tc>
      </w:tr>
    </w:tbl>
    <w:p w14:paraId="66A15C22" w14:textId="77777777" w:rsidR="00EB4E6C" w:rsidRDefault="00EB4E6C" w:rsidP="00B654AC"/>
    <w:p w14:paraId="31F9269D" w14:textId="52CCE4B5" w:rsidR="00F16278" w:rsidRPr="00777EE1" w:rsidRDefault="00F16278" w:rsidP="00B654AC">
      <w:pPr>
        <w:pStyle w:val="Heading3"/>
      </w:pPr>
      <w:r w:rsidRPr="00777EE1">
        <w:t>Relative Water Content (RWC%) of Leaf, Shoot, Root, and Reproductive Parts in Rice</w:t>
      </w:r>
    </w:p>
    <w:p w14:paraId="3E4B2608" w14:textId="6E18E6F4" w:rsidR="00F16278" w:rsidRDefault="00F16278" w:rsidP="00B654AC">
      <w:r w:rsidRPr="004B274F">
        <w:rPr>
          <w:highlight w:val="yellow"/>
        </w:rPr>
        <w:t>For RWC% of leaves (</w:t>
      </w:r>
      <w:r w:rsidR="00F93111" w:rsidRPr="004B274F">
        <w:rPr>
          <w:highlight w:val="yellow"/>
        </w:rPr>
        <w:fldChar w:fldCharType="begin"/>
      </w:r>
      <w:r w:rsidR="00F93111" w:rsidRPr="004B274F">
        <w:rPr>
          <w:highlight w:val="yellow"/>
        </w:rPr>
        <w:instrText xml:space="preserve"> REF _Ref192636230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9</w:t>
      </w:r>
      <w:r w:rsidR="00F93111" w:rsidRPr="004B274F">
        <w:rPr>
          <w:highlight w:val="yellow"/>
        </w:rPr>
        <w:fldChar w:fldCharType="end"/>
      </w:r>
      <w:r w:rsidRPr="004B274F">
        <w:rPr>
          <w:highlight w:val="yellow"/>
        </w:rPr>
        <w:t xml:space="preserve">), the application of </w:t>
      </w:r>
      <w:proofErr w:type="spellStart"/>
      <w:r w:rsidRPr="004B274F">
        <w:rPr>
          <w:highlight w:val="yellow"/>
        </w:rPr>
        <w:t>Chambul</w:t>
      </w:r>
      <w:proofErr w:type="spellEnd"/>
      <w:r w:rsidRPr="004B274F">
        <w:rPr>
          <w:highlight w:val="yellow"/>
        </w:rPr>
        <w:t xml:space="preserve"> biochar (p &lt; 0.001) in </w:t>
      </w:r>
      <w:proofErr w:type="spellStart"/>
      <w:r w:rsidR="00DA6D37" w:rsidRPr="004B274F">
        <w:rPr>
          <w:highlight w:val="yellow"/>
        </w:rPr>
        <w:t>Akashmoni</w:t>
      </w:r>
      <w:proofErr w:type="spellEnd"/>
      <w:r w:rsidRPr="004B274F">
        <w:rPr>
          <w:highlight w:val="yellow"/>
        </w:rPr>
        <w:t xml:space="preserve"> demonstrated significantly higher results than the control, Kadam, and </w:t>
      </w:r>
      <w:proofErr w:type="spellStart"/>
      <w:r w:rsidRPr="004B274F">
        <w:rPr>
          <w:highlight w:val="yellow"/>
        </w:rPr>
        <w:t>Mahagoni</w:t>
      </w:r>
      <w:proofErr w:type="spellEnd"/>
      <w:r w:rsidRPr="004B274F">
        <w:rPr>
          <w:highlight w:val="yellow"/>
        </w:rPr>
        <w:t xml:space="preserve"> treatments, as well as all rice treatments. Kathal and Mango biochar (p &lt; 0.001 for both) also showed significantly increased RWC% compared to Kadam and </w:t>
      </w:r>
      <w:proofErr w:type="spellStart"/>
      <w:r w:rsidRPr="004B274F">
        <w:rPr>
          <w:highlight w:val="yellow"/>
        </w:rPr>
        <w:t>Mahagoni</w:t>
      </w:r>
      <w:proofErr w:type="spellEnd"/>
      <w:r w:rsidRPr="004B274F">
        <w:rPr>
          <w:highlight w:val="yellow"/>
        </w:rPr>
        <w:t xml:space="preserve"> in </w:t>
      </w:r>
      <w:proofErr w:type="spellStart"/>
      <w:r w:rsidR="00DA6D37" w:rsidRPr="004B274F">
        <w:rPr>
          <w:highlight w:val="yellow"/>
        </w:rPr>
        <w:t>Akashmoni</w:t>
      </w:r>
      <w:proofErr w:type="spellEnd"/>
      <w:r w:rsidRPr="004B274F">
        <w:rPr>
          <w:highlight w:val="yellow"/>
        </w:rPr>
        <w:t>.</w:t>
      </w:r>
    </w:p>
    <w:p w14:paraId="57CB07A7"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235FC445" wp14:editId="78C2AF1C">
            <wp:extent cx="3950208" cy="2350008"/>
            <wp:effectExtent l="0" t="0" r="0" b="0"/>
            <wp:docPr id="4" name="image6.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6.png" descr="A graph of different colored bars&#10;&#10;AI-generated content may be incorrect."/>
                    <pic:cNvPicPr preferRelativeResize="0"/>
                  </pic:nvPicPr>
                  <pic:blipFill>
                    <a:blip r:embed="rId16"/>
                    <a:srcRect/>
                    <a:stretch>
                      <a:fillRect/>
                    </a:stretch>
                  </pic:blipFill>
                  <pic:spPr>
                    <a:xfrm>
                      <a:off x="0" y="0"/>
                      <a:ext cx="3950208" cy="2350008"/>
                    </a:xfrm>
                    <a:prstGeom prst="rect">
                      <a:avLst/>
                    </a:prstGeom>
                    <a:ln/>
                  </pic:spPr>
                </pic:pic>
              </a:graphicData>
            </a:graphic>
          </wp:inline>
        </w:drawing>
      </w:r>
    </w:p>
    <w:p w14:paraId="22F16FEE" w14:textId="173888B7" w:rsidR="004A3707" w:rsidRDefault="004A3707" w:rsidP="00496A10">
      <w:pPr>
        <w:pStyle w:val="Caption"/>
        <w:rPr>
          <w:rFonts w:ascii="Times New Roman" w:eastAsia="Times New Roman" w:hAnsi="Times New Roman" w:cs="Times New Roman"/>
          <w:sz w:val="20"/>
          <w:szCs w:val="20"/>
        </w:rPr>
      </w:pPr>
      <w:bookmarkStart w:id="24" w:name="_Ref192636230"/>
      <w:r>
        <w:t xml:space="preserve">Figure </w:t>
      </w:r>
      <w:fldSimple w:instr=" SEQ Figure \* ARABIC ">
        <w:r w:rsidR="00315CD1">
          <w:rPr>
            <w:noProof/>
          </w:rPr>
          <w:t>9</w:t>
        </w:r>
      </w:fldSimple>
      <w:bookmarkEnd w:id="24"/>
      <w:r>
        <w:rPr>
          <w:lang w:val="en-US"/>
        </w:rPr>
        <w:t xml:space="preserve">: </w:t>
      </w:r>
      <w:r w:rsidRPr="00144CEC">
        <w:rPr>
          <w:lang w:val="en-US"/>
        </w:rPr>
        <w:t>Effect of different biochar on RWC (%) of the leaf of two different species</w:t>
      </w:r>
    </w:p>
    <w:p w14:paraId="63FEE84E" w14:textId="4C611FF7" w:rsidR="00F16278" w:rsidRDefault="00F93111" w:rsidP="00B654AC">
      <w:r w:rsidRPr="004B274F">
        <w:rPr>
          <w:highlight w:val="yellow"/>
        </w:rPr>
        <w:fldChar w:fldCharType="begin"/>
      </w:r>
      <w:r w:rsidRPr="004B274F">
        <w:rPr>
          <w:highlight w:val="yellow"/>
        </w:rPr>
        <w:instrText xml:space="preserve"> REF _Ref192636243 \h </w:instrText>
      </w:r>
      <w:r w:rsidR="004B274F">
        <w:rPr>
          <w:highlight w:val="yellow"/>
        </w:rPr>
        <w:instrText xml:space="preserve"> \* MERGEFORMAT </w:instrText>
      </w:r>
      <w:r w:rsidRPr="004B274F">
        <w:rPr>
          <w:highlight w:val="yellow"/>
        </w:rPr>
      </w:r>
      <w:r w:rsidRPr="004B274F">
        <w:rPr>
          <w:highlight w:val="yellow"/>
        </w:rPr>
        <w:fldChar w:fldCharType="separate"/>
      </w:r>
      <w:r w:rsidR="00315CD1" w:rsidRPr="004B274F">
        <w:rPr>
          <w:highlight w:val="yellow"/>
        </w:rPr>
        <w:t xml:space="preserve">Figure </w:t>
      </w:r>
      <w:r w:rsidR="00315CD1" w:rsidRPr="004B274F">
        <w:rPr>
          <w:noProof/>
          <w:highlight w:val="yellow"/>
        </w:rPr>
        <w:t>10</w:t>
      </w:r>
      <w:r w:rsidRPr="004B274F">
        <w:rPr>
          <w:highlight w:val="yellow"/>
        </w:rPr>
        <w:fldChar w:fldCharType="end"/>
      </w:r>
      <w:r w:rsidR="00F16278" w:rsidRPr="004B274F">
        <w:rPr>
          <w:highlight w:val="yellow"/>
        </w:rPr>
        <w:t xml:space="preserve"> illustrates that ANOVA results clearly indicated a significant impact of biochar treatments (p &lt; 0.001) and species (p &lt; 0.001) on shoot RWC (%). All </w:t>
      </w:r>
      <w:proofErr w:type="spellStart"/>
      <w:r w:rsidR="00DA6D37" w:rsidRPr="004B274F">
        <w:rPr>
          <w:highlight w:val="yellow"/>
        </w:rPr>
        <w:t>Akashmoni</w:t>
      </w:r>
      <w:proofErr w:type="spellEnd"/>
      <w:r w:rsidR="00F16278" w:rsidRPr="004B274F">
        <w:rPr>
          <w:highlight w:val="yellow"/>
        </w:rPr>
        <w:t xml:space="preserve"> treatments (p &lt; 0.001), except </w:t>
      </w:r>
      <w:proofErr w:type="spellStart"/>
      <w:r w:rsidR="00F16278" w:rsidRPr="004B274F">
        <w:rPr>
          <w:highlight w:val="yellow"/>
        </w:rPr>
        <w:t>Mahagoni</w:t>
      </w:r>
      <w:proofErr w:type="spellEnd"/>
      <w:r w:rsidR="00F16278" w:rsidRPr="004B274F">
        <w:rPr>
          <w:highlight w:val="yellow"/>
        </w:rPr>
        <w:t xml:space="preserve">, exhibited significantly higher results compared to the control of </w:t>
      </w:r>
      <w:proofErr w:type="spellStart"/>
      <w:r w:rsidR="00DA6D37" w:rsidRPr="004B274F">
        <w:rPr>
          <w:highlight w:val="yellow"/>
        </w:rPr>
        <w:t>Akashmoni</w:t>
      </w:r>
      <w:proofErr w:type="spellEnd"/>
      <w:r w:rsidR="00F16278" w:rsidRPr="004B274F">
        <w:rPr>
          <w:highlight w:val="yellow"/>
        </w:rPr>
        <w:t>.</w:t>
      </w:r>
    </w:p>
    <w:p w14:paraId="5C41D5AA"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20586078" wp14:editId="73BCDE5F">
            <wp:extent cx="3950208" cy="2350008"/>
            <wp:effectExtent l="0" t="0" r="0" b="0"/>
            <wp:docPr id="9" name="image19.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19.png" descr="A graph of different colored bars&#10;&#10;AI-generated content may be incorrect."/>
                    <pic:cNvPicPr preferRelativeResize="0"/>
                  </pic:nvPicPr>
                  <pic:blipFill>
                    <a:blip r:embed="rId17"/>
                    <a:srcRect/>
                    <a:stretch>
                      <a:fillRect/>
                    </a:stretch>
                  </pic:blipFill>
                  <pic:spPr>
                    <a:xfrm>
                      <a:off x="0" y="0"/>
                      <a:ext cx="3950208" cy="2350008"/>
                    </a:xfrm>
                    <a:prstGeom prst="rect">
                      <a:avLst/>
                    </a:prstGeom>
                    <a:ln/>
                  </pic:spPr>
                </pic:pic>
              </a:graphicData>
            </a:graphic>
          </wp:inline>
        </w:drawing>
      </w:r>
    </w:p>
    <w:p w14:paraId="64AEC8C0" w14:textId="0AD9CFBD" w:rsidR="004A3707" w:rsidRDefault="004A3707" w:rsidP="00496A10">
      <w:pPr>
        <w:pStyle w:val="Caption"/>
        <w:rPr>
          <w:rFonts w:ascii="Times New Roman" w:eastAsia="Times New Roman" w:hAnsi="Times New Roman" w:cs="Times New Roman"/>
          <w:sz w:val="20"/>
          <w:szCs w:val="20"/>
        </w:rPr>
      </w:pPr>
      <w:bookmarkStart w:id="25" w:name="_Ref192636243"/>
      <w:r>
        <w:t xml:space="preserve">Figure </w:t>
      </w:r>
      <w:fldSimple w:instr=" SEQ Figure \* ARABIC ">
        <w:r w:rsidR="00315CD1">
          <w:rPr>
            <w:noProof/>
          </w:rPr>
          <w:t>10</w:t>
        </w:r>
      </w:fldSimple>
      <w:bookmarkEnd w:id="25"/>
      <w:r>
        <w:rPr>
          <w:lang w:val="en-US"/>
        </w:rPr>
        <w:t xml:space="preserve">: </w:t>
      </w:r>
      <w:r w:rsidRPr="000A7D73">
        <w:rPr>
          <w:lang w:val="en-US"/>
        </w:rPr>
        <w:t>Effect of different biochar on RWC (%) of the shoot of two different species</w:t>
      </w:r>
    </w:p>
    <w:p w14:paraId="4522EBA7" w14:textId="4514345A" w:rsidR="00F16278" w:rsidRDefault="00F16278" w:rsidP="00B654AC">
      <w:r w:rsidRPr="004B274F">
        <w:rPr>
          <w:highlight w:val="yellow"/>
        </w:rPr>
        <w:t>According to Tukey’s HSD post-hoc test, all treatments (p &lt; 0.001) except Raintree (p &lt; 0.05) significantly increased root RWC% compared to the control (</w:t>
      </w:r>
      <w:r w:rsidR="00F93111" w:rsidRPr="004B274F">
        <w:rPr>
          <w:highlight w:val="yellow"/>
        </w:rPr>
        <w:fldChar w:fldCharType="begin"/>
      </w:r>
      <w:r w:rsidR="00F93111" w:rsidRPr="004B274F">
        <w:rPr>
          <w:highlight w:val="yellow"/>
        </w:rPr>
        <w:instrText xml:space="preserve"> REF _Ref192636256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11</w:t>
      </w:r>
      <w:r w:rsidR="00F93111" w:rsidRPr="004B274F">
        <w:rPr>
          <w:highlight w:val="yellow"/>
        </w:rPr>
        <w:fldChar w:fldCharType="end"/>
      </w:r>
      <w:r w:rsidRPr="004B274F">
        <w:rPr>
          <w:highlight w:val="yellow"/>
        </w:rPr>
        <w:t xml:space="preserve">). Additionally, all biochar </w:t>
      </w:r>
      <w:r w:rsidRPr="004B274F">
        <w:rPr>
          <w:highlight w:val="yellow"/>
        </w:rPr>
        <w:lastRenderedPageBreak/>
        <w:t xml:space="preserve">treatments in </w:t>
      </w:r>
      <w:proofErr w:type="spellStart"/>
      <w:r w:rsidR="00DA6D37" w:rsidRPr="004B274F">
        <w:rPr>
          <w:highlight w:val="yellow"/>
        </w:rPr>
        <w:t>Akashmoni</w:t>
      </w:r>
      <w:proofErr w:type="spellEnd"/>
      <w:r w:rsidR="00DA6D37" w:rsidRPr="004B274F">
        <w:rPr>
          <w:highlight w:val="yellow"/>
        </w:rPr>
        <w:t xml:space="preserve"> </w:t>
      </w:r>
      <w:r w:rsidRPr="004B274F">
        <w:rPr>
          <w:highlight w:val="yellow"/>
        </w:rPr>
        <w:t xml:space="preserve">(p &lt; 0.001) showed significantly higher results compared to the control. In rice, </w:t>
      </w:r>
      <w:proofErr w:type="spellStart"/>
      <w:r w:rsidRPr="004B274F">
        <w:rPr>
          <w:highlight w:val="yellow"/>
        </w:rPr>
        <w:t>Chambul</w:t>
      </w:r>
      <w:proofErr w:type="spellEnd"/>
      <w:r w:rsidRPr="004B274F">
        <w:rPr>
          <w:highlight w:val="yellow"/>
        </w:rPr>
        <w:t xml:space="preserve"> biochar (p &lt; 0.05) demonstrated significantly higher results compared to the control, while Kadam biochar (p &lt; 0.001) significantly outperformed the control, Mango, Raintree, and Kathal biochar treatments.</w:t>
      </w:r>
    </w:p>
    <w:p w14:paraId="062AEB2E"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36E5333F" wp14:editId="5E21B734">
            <wp:extent cx="3950208" cy="2350008"/>
            <wp:effectExtent l="0" t="0" r="0" b="0"/>
            <wp:docPr id="5" name="image18.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8.png" descr="A graph of different colored bars&#10;&#10;AI-generated content may be incorrect."/>
                    <pic:cNvPicPr preferRelativeResize="0"/>
                  </pic:nvPicPr>
                  <pic:blipFill>
                    <a:blip r:embed="rId18"/>
                    <a:srcRect/>
                    <a:stretch>
                      <a:fillRect/>
                    </a:stretch>
                  </pic:blipFill>
                  <pic:spPr>
                    <a:xfrm>
                      <a:off x="0" y="0"/>
                      <a:ext cx="3950208" cy="2350008"/>
                    </a:xfrm>
                    <a:prstGeom prst="rect">
                      <a:avLst/>
                    </a:prstGeom>
                    <a:ln/>
                  </pic:spPr>
                </pic:pic>
              </a:graphicData>
            </a:graphic>
          </wp:inline>
        </w:drawing>
      </w:r>
    </w:p>
    <w:p w14:paraId="378CFD7B" w14:textId="287A6BA5" w:rsidR="004A3707" w:rsidRDefault="004A3707" w:rsidP="00496A10">
      <w:pPr>
        <w:pStyle w:val="Caption"/>
        <w:rPr>
          <w:rFonts w:ascii="Times New Roman" w:eastAsia="Times New Roman" w:hAnsi="Times New Roman" w:cs="Times New Roman"/>
          <w:sz w:val="20"/>
          <w:szCs w:val="20"/>
        </w:rPr>
      </w:pPr>
      <w:bookmarkStart w:id="26" w:name="_Ref192636256"/>
      <w:r>
        <w:t xml:space="preserve">Figure </w:t>
      </w:r>
      <w:fldSimple w:instr=" SEQ Figure \* ARABIC ">
        <w:r w:rsidR="00315CD1">
          <w:rPr>
            <w:noProof/>
          </w:rPr>
          <w:t>11</w:t>
        </w:r>
      </w:fldSimple>
      <w:bookmarkEnd w:id="26"/>
      <w:r>
        <w:rPr>
          <w:lang w:val="en-US"/>
        </w:rPr>
        <w:t xml:space="preserve">: </w:t>
      </w:r>
      <w:r w:rsidRPr="00AD7453">
        <w:rPr>
          <w:lang w:val="en-US"/>
        </w:rPr>
        <w:t>Effect of different biochar on RWC (%) of root of two different species</w:t>
      </w:r>
    </w:p>
    <w:p w14:paraId="67B72E0C" w14:textId="33293092" w:rsidR="00F16278" w:rsidRDefault="00F16278" w:rsidP="00B654AC">
      <w:r w:rsidRPr="004B274F">
        <w:rPr>
          <w:highlight w:val="yellow"/>
        </w:rPr>
        <w:t xml:space="preserve">For RWC% of reproductive parts in rice, </w:t>
      </w:r>
      <w:proofErr w:type="spellStart"/>
      <w:r w:rsidRPr="004B274F">
        <w:rPr>
          <w:highlight w:val="yellow"/>
        </w:rPr>
        <w:t>Mahagoni</w:t>
      </w:r>
      <w:proofErr w:type="spellEnd"/>
      <w:r w:rsidRPr="004B274F">
        <w:rPr>
          <w:highlight w:val="yellow"/>
        </w:rPr>
        <w:t xml:space="preserve"> (p &lt; 0.001) and Mango biochar (p &lt; 0.01) significantly increased results compared to the control, Raintree, and </w:t>
      </w:r>
      <w:proofErr w:type="spellStart"/>
      <w:r w:rsidRPr="004B274F">
        <w:rPr>
          <w:highlight w:val="yellow"/>
        </w:rPr>
        <w:t>Chambul</w:t>
      </w:r>
      <w:proofErr w:type="spellEnd"/>
      <w:r w:rsidRPr="004B274F">
        <w:rPr>
          <w:highlight w:val="yellow"/>
        </w:rPr>
        <w:t xml:space="preserve"> treatments. These treatments also showed significant differences (p &lt; 0.05) compared to Kathal and Kadam biochar (</w:t>
      </w:r>
      <w:r w:rsidR="00EB4E6C" w:rsidRPr="004B274F">
        <w:rPr>
          <w:highlight w:val="yellow"/>
        </w:rPr>
        <w:fldChar w:fldCharType="begin"/>
      </w:r>
      <w:r w:rsidR="00EB4E6C" w:rsidRPr="004B274F">
        <w:rPr>
          <w:highlight w:val="yellow"/>
        </w:rPr>
        <w:instrText xml:space="preserve"> REF _Ref193502154 \h </w:instrText>
      </w:r>
      <w:r w:rsidR="004B274F">
        <w:rPr>
          <w:highlight w:val="yellow"/>
        </w:rPr>
        <w:instrText xml:space="preserve"> \* MERGEFORMAT </w:instrText>
      </w:r>
      <w:r w:rsidR="00EB4E6C" w:rsidRPr="004B274F">
        <w:rPr>
          <w:highlight w:val="yellow"/>
        </w:rPr>
      </w:r>
      <w:r w:rsidR="00EB4E6C" w:rsidRPr="004B274F">
        <w:rPr>
          <w:highlight w:val="yellow"/>
        </w:rPr>
        <w:fldChar w:fldCharType="separate"/>
      </w:r>
      <w:r w:rsidR="00315CD1" w:rsidRPr="004B274F">
        <w:rPr>
          <w:highlight w:val="yellow"/>
        </w:rPr>
        <w:t xml:space="preserve">Table </w:t>
      </w:r>
      <w:r w:rsidR="00315CD1" w:rsidRPr="004B274F">
        <w:rPr>
          <w:noProof/>
          <w:highlight w:val="yellow"/>
        </w:rPr>
        <w:t>4</w:t>
      </w:r>
      <w:r w:rsidR="00EB4E6C" w:rsidRPr="004B274F">
        <w:rPr>
          <w:highlight w:val="yellow"/>
        </w:rPr>
        <w:fldChar w:fldCharType="end"/>
      </w:r>
      <w:r w:rsidRPr="004B274F">
        <w:rPr>
          <w:highlight w:val="yellow"/>
        </w:rPr>
        <w:t>).</w:t>
      </w:r>
    </w:p>
    <w:p w14:paraId="255EEA21" w14:textId="07515FFE" w:rsidR="00EB4E6C" w:rsidRPr="004B274F" w:rsidRDefault="00EB4E6C" w:rsidP="00496A10">
      <w:pPr>
        <w:pStyle w:val="Caption"/>
        <w:rPr>
          <w:highlight w:val="yellow"/>
        </w:rPr>
      </w:pPr>
      <w:bookmarkStart w:id="27" w:name="_Ref193502154"/>
      <w:r w:rsidRPr="004B274F">
        <w:rPr>
          <w:highlight w:val="yellow"/>
        </w:rPr>
        <w:t xml:space="preserve">Table </w:t>
      </w:r>
      <w:r w:rsidRPr="004B274F">
        <w:rPr>
          <w:highlight w:val="yellow"/>
        </w:rPr>
        <w:fldChar w:fldCharType="begin"/>
      </w:r>
      <w:r w:rsidRPr="004B274F">
        <w:rPr>
          <w:highlight w:val="yellow"/>
        </w:rPr>
        <w:instrText xml:space="preserve"> SEQ Table \* ARABIC </w:instrText>
      </w:r>
      <w:r w:rsidRPr="004B274F">
        <w:rPr>
          <w:highlight w:val="yellow"/>
        </w:rPr>
        <w:fldChar w:fldCharType="separate"/>
      </w:r>
      <w:r w:rsidR="00315CD1" w:rsidRPr="004B274F">
        <w:rPr>
          <w:noProof/>
          <w:highlight w:val="yellow"/>
        </w:rPr>
        <w:t>4</w:t>
      </w:r>
      <w:r w:rsidRPr="004B274F">
        <w:rPr>
          <w:highlight w:val="yellow"/>
        </w:rPr>
        <w:fldChar w:fldCharType="end"/>
      </w:r>
      <w:bookmarkEnd w:id="27"/>
      <w:r w:rsidRPr="004B274F">
        <w:rPr>
          <w:highlight w:val="yellow"/>
          <w:lang w:val="en-US"/>
        </w:rPr>
        <w:t xml:space="preserve"> Effect of different biochar on RWC% of reproductive parts of Rice</w:t>
      </w:r>
    </w:p>
    <w:tbl>
      <w:tblPr>
        <w:tblStyle w:val="a"/>
        <w:tblW w:w="5000" w:type="pct"/>
        <w:tblBorders>
          <w:top w:val="single" w:sz="4" w:space="0" w:color="auto"/>
          <w:bottom w:val="single" w:sz="4" w:space="0" w:color="auto"/>
          <w:insideH w:val="single" w:sz="4" w:space="0" w:color="auto"/>
        </w:tblBorders>
        <w:tblLook w:val="0600" w:firstRow="0" w:lastRow="0" w:firstColumn="0" w:lastColumn="0" w:noHBand="1" w:noVBand="1"/>
      </w:tblPr>
      <w:tblGrid>
        <w:gridCol w:w="3303"/>
        <w:gridCol w:w="2864"/>
        <w:gridCol w:w="2862"/>
      </w:tblGrid>
      <w:tr w:rsidR="00EB4E6C" w:rsidRPr="004B274F" w14:paraId="425FBC34" w14:textId="77777777" w:rsidTr="005937EC">
        <w:trPr>
          <w:trHeight w:val="20"/>
          <w:tblHeader/>
        </w:trPr>
        <w:tc>
          <w:tcPr>
            <w:tcW w:w="1829" w:type="pct"/>
            <w:shd w:val="clear" w:color="auto" w:fill="auto"/>
            <w:tcMar>
              <w:top w:w="100" w:type="dxa"/>
              <w:left w:w="100" w:type="dxa"/>
              <w:bottom w:w="100" w:type="dxa"/>
              <w:right w:w="100" w:type="dxa"/>
            </w:tcMar>
          </w:tcPr>
          <w:p w14:paraId="60DF78DF" w14:textId="77777777" w:rsidR="00EB4E6C" w:rsidRPr="004B274F" w:rsidRDefault="00EB4E6C" w:rsidP="005937EC">
            <w:pPr>
              <w:spacing w:before="0" w:after="0"/>
              <w:rPr>
                <w:rFonts w:eastAsia="Times New Roman"/>
                <w:sz w:val="18"/>
                <w:szCs w:val="18"/>
                <w:highlight w:val="yellow"/>
              </w:rPr>
            </w:pPr>
            <w:r w:rsidRPr="004B274F">
              <w:rPr>
                <w:rFonts w:eastAsia="Times New Roman"/>
                <w:b/>
                <w:sz w:val="18"/>
                <w:szCs w:val="18"/>
                <w:highlight w:val="yellow"/>
              </w:rPr>
              <w:t>Treatments</w:t>
            </w:r>
          </w:p>
        </w:tc>
        <w:tc>
          <w:tcPr>
            <w:tcW w:w="1586" w:type="pct"/>
            <w:shd w:val="clear" w:color="auto" w:fill="auto"/>
            <w:tcMar>
              <w:top w:w="100" w:type="dxa"/>
              <w:left w:w="100" w:type="dxa"/>
              <w:bottom w:w="100" w:type="dxa"/>
              <w:right w:w="100" w:type="dxa"/>
            </w:tcMar>
          </w:tcPr>
          <w:p w14:paraId="782CF99F" w14:textId="09AA26E3" w:rsidR="00EB4E6C" w:rsidRPr="004B274F" w:rsidRDefault="00EB4E6C" w:rsidP="005937EC">
            <w:pPr>
              <w:spacing w:before="0" w:after="0"/>
              <w:jc w:val="center"/>
              <w:rPr>
                <w:rFonts w:eastAsia="Times New Roman"/>
                <w:sz w:val="18"/>
                <w:szCs w:val="18"/>
                <w:highlight w:val="yellow"/>
              </w:rPr>
            </w:pPr>
            <w:r w:rsidRPr="004B274F">
              <w:rPr>
                <w:rFonts w:eastAsia="Times New Roman"/>
                <w:b/>
                <w:sz w:val="18"/>
                <w:szCs w:val="18"/>
                <w:highlight w:val="yellow"/>
              </w:rPr>
              <w:t>RWC% of Reproductive parts of Rice</w:t>
            </w:r>
          </w:p>
        </w:tc>
        <w:tc>
          <w:tcPr>
            <w:tcW w:w="1585" w:type="pct"/>
          </w:tcPr>
          <w:p w14:paraId="70713734" w14:textId="77777777" w:rsidR="00EB4E6C" w:rsidRPr="004B274F" w:rsidRDefault="00EB4E6C" w:rsidP="005937EC">
            <w:pPr>
              <w:spacing w:before="0" w:after="0"/>
              <w:jc w:val="center"/>
              <w:rPr>
                <w:rFonts w:eastAsia="Times New Roman"/>
                <w:b/>
                <w:sz w:val="18"/>
                <w:szCs w:val="18"/>
                <w:highlight w:val="yellow"/>
              </w:rPr>
            </w:pPr>
            <w:r w:rsidRPr="004B274F">
              <w:rPr>
                <w:rFonts w:eastAsia="Times New Roman"/>
                <w:b/>
                <w:sz w:val="18"/>
                <w:szCs w:val="18"/>
                <w:highlight w:val="yellow"/>
              </w:rPr>
              <w:t>STD (+/-)</w:t>
            </w:r>
          </w:p>
        </w:tc>
      </w:tr>
      <w:tr w:rsidR="00EB4E6C" w:rsidRPr="004B274F" w14:paraId="009BB388" w14:textId="77777777" w:rsidTr="005937EC">
        <w:trPr>
          <w:trHeight w:val="20"/>
        </w:trPr>
        <w:tc>
          <w:tcPr>
            <w:tcW w:w="1829" w:type="pct"/>
            <w:shd w:val="clear" w:color="auto" w:fill="auto"/>
            <w:tcMar>
              <w:top w:w="100" w:type="dxa"/>
              <w:left w:w="100" w:type="dxa"/>
              <w:bottom w:w="100" w:type="dxa"/>
              <w:right w:w="100" w:type="dxa"/>
            </w:tcMar>
          </w:tcPr>
          <w:p w14:paraId="6DC3E989" w14:textId="77777777" w:rsidR="00EB4E6C" w:rsidRPr="004B274F" w:rsidRDefault="00EB4E6C" w:rsidP="00EB4E6C">
            <w:pPr>
              <w:spacing w:before="0" w:after="0"/>
              <w:rPr>
                <w:rFonts w:eastAsia="Times New Roman"/>
                <w:sz w:val="18"/>
                <w:szCs w:val="18"/>
                <w:highlight w:val="yellow"/>
              </w:rPr>
            </w:pPr>
            <w:proofErr w:type="spellStart"/>
            <w:r w:rsidRPr="004B274F">
              <w:rPr>
                <w:sz w:val="18"/>
                <w:szCs w:val="18"/>
                <w:highlight w:val="yellow"/>
              </w:rPr>
              <w:t>Chambul</w:t>
            </w:r>
            <w:proofErr w:type="spellEnd"/>
          </w:p>
        </w:tc>
        <w:tc>
          <w:tcPr>
            <w:tcW w:w="1586" w:type="pct"/>
            <w:shd w:val="clear" w:color="auto" w:fill="auto"/>
            <w:tcMar>
              <w:top w:w="100" w:type="dxa"/>
              <w:left w:w="100" w:type="dxa"/>
              <w:bottom w:w="100" w:type="dxa"/>
              <w:right w:w="100" w:type="dxa"/>
            </w:tcMar>
          </w:tcPr>
          <w:p w14:paraId="0FE31406" w14:textId="6B15C130"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25.3</w:t>
            </w:r>
          </w:p>
        </w:tc>
        <w:tc>
          <w:tcPr>
            <w:tcW w:w="1585" w:type="pct"/>
          </w:tcPr>
          <w:p w14:paraId="1583E959" w14:textId="126CC5AD" w:rsidR="00EB4E6C" w:rsidRPr="004B274F" w:rsidRDefault="00EB4E6C" w:rsidP="00EB4E6C">
            <w:pPr>
              <w:spacing w:before="0" w:after="0"/>
              <w:jc w:val="center"/>
              <w:rPr>
                <w:sz w:val="18"/>
                <w:szCs w:val="18"/>
                <w:highlight w:val="yellow"/>
              </w:rPr>
            </w:pPr>
            <w:r w:rsidRPr="004B274F">
              <w:rPr>
                <w:sz w:val="18"/>
                <w:szCs w:val="18"/>
                <w:highlight w:val="yellow"/>
              </w:rPr>
              <w:t>7.21</w:t>
            </w:r>
          </w:p>
        </w:tc>
      </w:tr>
      <w:tr w:rsidR="00EB4E6C" w:rsidRPr="004B274F" w14:paraId="0F72FB07" w14:textId="77777777" w:rsidTr="005937EC">
        <w:trPr>
          <w:trHeight w:val="20"/>
        </w:trPr>
        <w:tc>
          <w:tcPr>
            <w:tcW w:w="1829" w:type="pct"/>
            <w:shd w:val="clear" w:color="auto" w:fill="auto"/>
            <w:tcMar>
              <w:top w:w="100" w:type="dxa"/>
              <w:left w:w="100" w:type="dxa"/>
              <w:bottom w:w="100" w:type="dxa"/>
              <w:right w:w="100" w:type="dxa"/>
            </w:tcMar>
          </w:tcPr>
          <w:p w14:paraId="704324B9" w14:textId="77777777" w:rsidR="00EB4E6C" w:rsidRPr="004B274F" w:rsidRDefault="00EB4E6C" w:rsidP="00EB4E6C">
            <w:pPr>
              <w:spacing w:before="0" w:after="0"/>
              <w:rPr>
                <w:rFonts w:eastAsia="Times New Roman"/>
                <w:sz w:val="18"/>
                <w:szCs w:val="18"/>
                <w:highlight w:val="yellow"/>
              </w:rPr>
            </w:pPr>
            <w:r w:rsidRPr="004B274F">
              <w:rPr>
                <w:sz w:val="18"/>
                <w:szCs w:val="18"/>
                <w:highlight w:val="yellow"/>
              </w:rPr>
              <w:t>Control</w:t>
            </w:r>
          </w:p>
        </w:tc>
        <w:tc>
          <w:tcPr>
            <w:tcW w:w="1586" w:type="pct"/>
            <w:shd w:val="clear" w:color="auto" w:fill="auto"/>
            <w:tcMar>
              <w:top w:w="100" w:type="dxa"/>
              <w:left w:w="100" w:type="dxa"/>
              <w:bottom w:w="100" w:type="dxa"/>
              <w:right w:w="100" w:type="dxa"/>
            </w:tcMar>
          </w:tcPr>
          <w:p w14:paraId="5AE4AF83" w14:textId="725D3E78"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28.6</w:t>
            </w:r>
          </w:p>
        </w:tc>
        <w:tc>
          <w:tcPr>
            <w:tcW w:w="1585" w:type="pct"/>
          </w:tcPr>
          <w:p w14:paraId="122E25F6" w14:textId="729901A1" w:rsidR="00EB4E6C" w:rsidRPr="004B274F" w:rsidRDefault="00EB4E6C" w:rsidP="00EB4E6C">
            <w:pPr>
              <w:spacing w:before="0" w:after="0"/>
              <w:jc w:val="center"/>
              <w:rPr>
                <w:sz w:val="18"/>
                <w:szCs w:val="18"/>
                <w:highlight w:val="yellow"/>
              </w:rPr>
            </w:pPr>
            <w:r w:rsidRPr="004B274F">
              <w:rPr>
                <w:sz w:val="18"/>
                <w:szCs w:val="18"/>
                <w:highlight w:val="yellow"/>
              </w:rPr>
              <w:t>5.86</w:t>
            </w:r>
          </w:p>
        </w:tc>
      </w:tr>
      <w:tr w:rsidR="00EB4E6C" w:rsidRPr="004B274F" w14:paraId="0ECA2977" w14:textId="77777777" w:rsidTr="005937EC">
        <w:trPr>
          <w:trHeight w:val="20"/>
        </w:trPr>
        <w:tc>
          <w:tcPr>
            <w:tcW w:w="1829" w:type="pct"/>
            <w:shd w:val="clear" w:color="auto" w:fill="auto"/>
            <w:tcMar>
              <w:top w:w="100" w:type="dxa"/>
              <w:left w:w="100" w:type="dxa"/>
              <w:bottom w:w="100" w:type="dxa"/>
              <w:right w:w="100" w:type="dxa"/>
            </w:tcMar>
          </w:tcPr>
          <w:p w14:paraId="4914F8E9" w14:textId="77777777" w:rsidR="00EB4E6C" w:rsidRPr="004B274F" w:rsidRDefault="00EB4E6C" w:rsidP="00EB4E6C">
            <w:pPr>
              <w:spacing w:before="0" w:after="0"/>
              <w:rPr>
                <w:rFonts w:eastAsia="Times New Roman"/>
                <w:sz w:val="18"/>
                <w:szCs w:val="18"/>
                <w:highlight w:val="yellow"/>
              </w:rPr>
            </w:pPr>
            <w:r w:rsidRPr="004B274F">
              <w:rPr>
                <w:sz w:val="18"/>
                <w:szCs w:val="18"/>
                <w:highlight w:val="yellow"/>
              </w:rPr>
              <w:t>Kadam</w:t>
            </w:r>
          </w:p>
        </w:tc>
        <w:tc>
          <w:tcPr>
            <w:tcW w:w="1586" w:type="pct"/>
            <w:shd w:val="clear" w:color="auto" w:fill="auto"/>
            <w:tcMar>
              <w:top w:w="100" w:type="dxa"/>
              <w:left w:w="100" w:type="dxa"/>
              <w:bottom w:w="100" w:type="dxa"/>
              <w:right w:w="100" w:type="dxa"/>
            </w:tcMar>
          </w:tcPr>
          <w:p w14:paraId="449DD36B" w14:textId="28348D35"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35.6</w:t>
            </w:r>
          </w:p>
        </w:tc>
        <w:tc>
          <w:tcPr>
            <w:tcW w:w="1585" w:type="pct"/>
          </w:tcPr>
          <w:p w14:paraId="75C4825D" w14:textId="13E8CEC3" w:rsidR="00EB4E6C" w:rsidRPr="004B274F" w:rsidRDefault="00EB4E6C" w:rsidP="00EB4E6C">
            <w:pPr>
              <w:spacing w:before="0" w:after="0"/>
              <w:jc w:val="center"/>
              <w:rPr>
                <w:sz w:val="18"/>
                <w:szCs w:val="18"/>
                <w:highlight w:val="yellow"/>
              </w:rPr>
            </w:pPr>
            <w:r w:rsidRPr="004B274F">
              <w:rPr>
                <w:sz w:val="18"/>
                <w:szCs w:val="18"/>
                <w:highlight w:val="yellow"/>
              </w:rPr>
              <w:t>8.58</w:t>
            </w:r>
          </w:p>
        </w:tc>
      </w:tr>
      <w:tr w:rsidR="00EB4E6C" w:rsidRPr="004B274F" w14:paraId="52053D7B" w14:textId="77777777" w:rsidTr="005937EC">
        <w:trPr>
          <w:trHeight w:val="20"/>
        </w:trPr>
        <w:tc>
          <w:tcPr>
            <w:tcW w:w="1829" w:type="pct"/>
            <w:shd w:val="clear" w:color="auto" w:fill="auto"/>
            <w:tcMar>
              <w:top w:w="100" w:type="dxa"/>
              <w:left w:w="100" w:type="dxa"/>
              <w:bottom w:w="100" w:type="dxa"/>
              <w:right w:w="100" w:type="dxa"/>
            </w:tcMar>
          </w:tcPr>
          <w:p w14:paraId="7CA5817C" w14:textId="77777777" w:rsidR="00EB4E6C" w:rsidRPr="004B274F" w:rsidRDefault="00EB4E6C" w:rsidP="00EB4E6C">
            <w:pPr>
              <w:spacing w:before="0" w:after="0"/>
              <w:rPr>
                <w:rFonts w:eastAsia="Times New Roman"/>
                <w:sz w:val="18"/>
                <w:szCs w:val="18"/>
                <w:highlight w:val="yellow"/>
              </w:rPr>
            </w:pPr>
            <w:r w:rsidRPr="004B274F">
              <w:rPr>
                <w:sz w:val="18"/>
                <w:szCs w:val="18"/>
                <w:highlight w:val="yellow"/>
              </w:rPr>
              <w:t>Kathal</w:t>
            </w:r>
          </w:p>
        </w:tc>
        <w:tc>
          <w:tcPr>
            <w:tcW w:w="1586" w:type="pct"/>
            <w:shd w:val="clear" w:color="auto" w:fill="auto"/>
            <w:tcMar>
              <w:top w:w="100" w:type="dxa"/>
              <w:left w:w="100" w:type="dxa"/>
              <w:bottom w:w="100" w:type="dxa"/>
              <w:right w:w="100" w:type="dxa"/>
            </w:tcMar>
          </w:tcPr>
          <w:p w14:paraId="74656848" w14:textId="672CFB3C"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31.5</w:t>
            </w:r>
          </w:p>
        </w:tc>
        <w:tc>
          <w:tcPr>
            <w:tcW w:w="1585" w:type="pct"/>
          </w:tcPr>
          <w:p w14:paraId="715E8445" w14:textId="30CE9CA6" w:rsidR="00EB4E6C" w:rsidRPr="004B274F" w:rsidRDefault="00EB4E6C" w:rsidP="00EB4E6C">
            <w:pPr>
              <w:spacing w:before="0" w:after="0"/>
              <w:jc w:val="center"/>
              <w:rPr>
                <w:sz w:val="18"/>
                <w:szCs w:val="18"/>
                <w:highlight w:val="yellow"/>
              </w:rPr>
            </w:pPr>
            <w:r w:rsidRPr="004B274F">
              <w:rPr>
                <w:sz w:val="18"/>
                <w:szCs w:val="18"/>
                <w:highlight w:val="yellow"/>
              </w:rPr>
              <w:t>8.61</w:t>
            </w:r>
          </w:p>
        </w:tc>
      </w:tr>
      <w:tr w:rsidR="00EB4E6C" w:rsidRPr="004B274F" w14:paraId="7AC10956" w14:textId="77777777" w:rsidTr="005937EC">
        <w:trPr>
          <w:trHeight w:val="20"/>
        </w:trPr>
        <w:tc>
          <w:tcPr>
            <w:tcW w:w="1829" w:type="pct"/>
            <w:shd w:val="clear" w:color="auto" w:fill="auto"/>
            <w:tcMar>
              <w:top w:w="100" w:type="dxa"/>
              <w:left w:w="100" w:type="dxa"/>
              <w:bottom w:w="100" w:type="dxa"/>
              <w:right w:w="100" w:type="dxa"/>
            </w:tcMar>
          </w:tcPr>
          <w:p w14:paraId="2E147F9C" w14:textId="77777777" w:rsidR="00EB4E6C" w:rsidRPr="004B274F" w:rsidRDefault="00EB4E6C" w:rsidP="00EB4E6C">
            <w:pPr>
              <w:spacing w:before="0" w:after="0"/>
              <w:rPr>
                <w:rFonts w:eastAsia="Times New Roman"/>
                <w:sz w:val="18"/>
                <w:szCs w:val="18"/>
                <w:highlight w:val="yellow"/>
              </w:rPr>
            </w:pPr>
            <w:proofErr w:type="spellStart"/>
            <w:r w:rsidRPr="004B274F">
              <w:rPr>
                <w:sz w:val="18"/>
                <w:szCs w:val="18"/>
                <w:highlight w:val="yellow"/>
              </w:rPr>
              <w:t>Mahagoni</w:t>
            </w:r>
            <w:proofErr w:type="spellEnd"/>
          </w:p>
        </w:tc>
        <w:tc>
          <w:tcPr>
            <w:tcW w:w="1586" w:type="pct"/>
            <w:shd w:val="clear" w:color="auto" w:fill="auto"/>
            <w:tcMar>
              <w:top w:w="100" w:type="dxa"/>
              <w:left w:w="100" w:type="dxa"/>
              <w:bottom w:w="100" w:type="dxa"/>
              <w:right w:w="100" w:type="dxa"/>
            </w:tcMar>
          </w:tcPr>
          <w:p w14:paraId="63705B09" w14:textId="5051906A"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57.3</w:t>
            </w:r>
          </w:p>
        </w:tc>
        <w:tc>
          <w:tcPr>
            <w:tcW w:w="1585" w:type="pct"/>
          </w:tcPr>
          <w:p w14:paraId="68616087" w14:textId="720E5578" w:rsidR="00EB4E6C" w:rsidRPr="004B274F" w:rsidRDefault="00EB4E6C" w:rsidP="00EB4E6C">
            <w:pPr>
              <w:spacing w:before="0" w:after="0"/>
              <w:jc w:val="center"/>
              <w:rPr>
                <w:sz w:val="18"/>
                <w:szCs w:val="18"/>
                <w:highlight w:val="yellow"/>
              </w:rPr>
            </w:pPr>
            <w:r w:rsidRPr="004B274F">
              <w:rPr>
                <w:sz w:val="18"/>
                <w:szCs w:val="18"/>
                <w:highlight w:val="yellow"/>
              </w:rPr>
              <w:t>9.52</w:t>
            </w:r>
          </w:p>
        </w:tc>
      </w:tr>
      <w:tr w:rsidR="00EB4E6C" w:rsidRPr="004B274F" w14:paraId="376F3ED5" w14:textId="77777777" w:rsidTr="005937EC">
        <w:trPr>
          <w:trHeight w:val="20"/>
        </w:trPr>
        <w:tc>
          <w:tcPr>
            <w:tcW w:w="1829" w:type="pct"/>
            <w:shd w:val="clear" w:color="auto" w:fill="auto"/>
            <w:tcMar>
              <w:top w:w="100" w:type="dxa"/>
              <w:left w:w="100" w:type="dxa"/>
              <w:bottom w:w="100" w:type="dxa"/>
              <w:right w:w="100" w:type="dxa"/>
            </w:tcMar>
          </w:tcPr>
          <w:p w14:paraId="5A901077" w14:textId="77777777" w:rsidR="00EB4E6C" w:rsidRPr="004B274F" w:rsidRDefault="00EB4E6C" w:rsidP="00EB4E6C">
            <w:pPr>
              <w:spacing w:before="0" w:after="0"/>
              <w:rPr>
                <w:rFonts w:eastAsia="Times New Roman"/>
                <w:sz w:val="18"/>
                <w:szCs w:val="18"/>
                <w:highlight w:val="yellow"/>
              </w:rPr>
            </w:pPr>
            <w:r w:rsidRPr="004B274F">
              <w:rPr>
                <w:sz w:val="18"/>
                <w:szCs w:val="18"/>
                <w:highlight w:val="yellow"/>
              </w:rPr>
              <w:t>Mango</w:t>
            </w:r>
          </w:p>
        </w:tc>
        <w:tc>
          <w:tcPr>
            <w:tcW w:w="1586" w:type="pct"/>
            <w:shd w:val="clear" w:color="auto" w:fill="auto"/>
            <w:tcMar>
              <w:top w:w="100" w:type="dxa"/>
              <w:left w:w="100" w:type="dxa"/>
              <w:bottom w:w="100" w:type="dxa"/>
              <w:right w:w="100" w:type="dxa"/>
            </w:tcMar>
          </w:tcPr>
          <w:p w14:paraId="63D4988B" w14:textId="1CC44371" w:rsidR="00EB4E6C" w:rsidRPr="004B274F" w:rsidRDefault="00EB4E6C" w:rsidP="00EB4E6C">
            <w:pPr>
              <w:keepNext/>
              <w:spacing w:before="0" w:after="0"/>
              <w:jc w:val="center"/>
              <w:rPr>
                <w:rFonts w:eastAsia="Times New Roman"/>
                <w:sz w:val="18"/>
                <w:szCs w:val="18"/>
                <w:highlight w:val="yellow"/>
              </w:rPr>
            </w:pPr>
            <w:r w:rsidRPr="004B274F">
              <w:rPr>
                <w:sz w:val="18"/>
                <w:szCs w:val="18"/>
                <w:highlight w:val="yellow"/>
              </w:rPr>
              <w:t>52.6</w:t>
            </w:r>
          </w:p>
        </w:tc>
        <w:tc>
          <w:tcPr>
            <w:tcW w:w="1585" w:type="pct"/>
          </w:tcPr>
          <w:p w14:paraId="6DECFB3D" w14:textId="586E68F1" w:rsidR="00EB4E6C" w:rsidRPr="004B274F" w:rsidRDefault="00EB4E6C" w:rsidP="00EB4E6C">
            <w:pPr>
              <w:keepNext/>
              <w:spacing w:before="0" w:after="0"/>
              <w:jc w:val="center"/>
              <w:rPr>
                <w:sz w:val="18"/>
                <w:szCs w:val="18"/>
                <w:highlight w:val="yellow"/>
              </w:rPr>
            </w:pPr>
            <w:r w:rsidRPr="004B274F">
              <w:rPr>
                <w:sz w:val="18"/>
                <w:szCs w:val="18"/>
                <w:highlight w:val="yellow"/>
              </w:rPr>
              <w:t>5.31</w:t>
            </w:r>
          </w:p>
        </w:tc>
      </w:tr>
      <w:tr w:rsidR="00EB4E6C" w:rsidRPr="00EB4E6C" w14:paraId="6A0795B8" w14:textId="77777777" w:rsidTr="005937EC">
        <w:trPr>
          <w:trHeight w:val="20"/>
        </w:trPr>
        <w:tc>
          <w:tcPr>
            <w:tcW w:w="1829" w:type="pct"/>
            <w:shd w:val="clear" w:color="auto" w:fill="auto"/>
            <w:tcMar>
              <w:top w:w="100" w:type="dxa"/>
              <w:left w:w="100" w:type="dxa"/>
              <w:bottom w:w="100" w:type="dxa"/>
              <w:right w:w="100" w:type="dxa"/>
            </w:tcMar>
          </w:tcPr>
          <w:p w14:paraId="41CA4BF8" w14:textId="77777777" w:rsidR="00EB4E6C" w:rsidRPr="004B274F" w:rsidRDefault="00EB4E6C" w:rsidP="00EB4E6C">
            <w:pPr>
              <w:spacing w:before="0" w:after="0"/>
              <w:rPr>
                <w:sz w:val="18"/>
                <w:szCs w:val="18"/>
                <w:highlight w:val="yellow"/>
              </w:rPr>
            </w:pPr>
            <w:r w:rsidRPr="004B274F">
              <w:rPr>
                <w:sz w:val="18"/>
                <w:szCs w:val="18"/>
                <w:highlight w:val="yellow"/>
              </w:rPr>
              <w:t>Rain tree</w:t>
            </w:r>
          </w:p>
        </w:tc>
        <w:tc>
          <w:tcPr>
            <w:tcW w:w="1586" w:type="pct"/>
            <w:shd w:val="clear" w:color="auto" w:fill="auto"/>
            <w:tcMar>
              <w:top w:w="100" w:type="dxa"/>
              <w:left w:w="100" w:type="dxa"/>
              <w:bottom w:w="100" w:type="dxa"/>
              <w:right w:w="100" w:type="dxa"/>
            </w:tcMar>
          </w:tcPr>
          <w:p w14:paraId="08D133BA" w14:textId="490D1C40" w:rsidR="00EB4E6C" w:rsidRPr="004B274F" w:rsidRDefault="00EB4E6C" w:rsidP="00EB4E6C">
            <w:pPr>
              <w:keepNext/>
              <w:spacing w:before="0" w:after="0"/>
              <w:jc w:val="center"/>
              <w:rPr>
                <w:sz w:val="18"/>
                <w:szCs w:val="18"/>
                <w:highlight w:val="yellow"/>
              </w:rPr>
            </w:pPr>
            <w:r w:rsidRPr="004B274F">
              <w:rPr>
                <w:sz w:val="18"/>
                <w:szCs w:val="18"/>
                <w:highlight w:val="yellow"/>
              </w:rPr>
              <w:t>30.3</w:t>
            </w:r>
          </w:p>
        </w:tc>
        <w:tc>
          <w:tcPr>
            <w:tcW w:w="1585" w:type="pct"/>
          </w:tcPr>
          <w:p w14:paraId="5CBA16BF" w14:textId="35DFD6EA" w:rsidR="00EB4E6C" w:rsidRPr="00EB4E6C" w:rsidRDefault="00EB4E6C" w:rsidP="00EB4E6C">
            <w:pPr>
              <w:keepNext/>
              <w:spacing w:before="0" w:after="0"/>
              <w:jc w:val="center"/>
              <w:rPr>
                <w:sz w:val="18"/>
                <w:szCs w:val="18"/>
              </w:rPr>
            </w:pPr>
            <w:r w:rsidRPr="004B274F">
              <w:rPr>
                <w:sz w:val="18"/>
                <w:szCs w:val="18"/>
                <w:highlight w:val="yellow"/>
              </w:rPr>
              <w:t>8.72</w:t>
            </w:r>
          </w:p>
        </w:tc>
      </w:tr>
    </w:tbl>
    <w:p w14:paraId="37F5B7A2" w14:textId="77777777" w:rsidR="00EB4E6C" w:rsidRDefault="00EB4E6C" w:rsidP="00EB4E6C"/>
    <w:p w14:paraId="796E6E07" w14:textId="53D54645" w:rsidR="00F16278" w:rsidRPr="00777EE1" w:rsidRDefault="00F16278" w:rsidP="00B654AC">
      <w:pPr>
        <w:pStyle w:val="Heading3"/>
      </w:pPr>
      <w:r w:rsidRPr="00777EE1">
        <w:t>Dry Weight of Shoot, Leaf, Root, and Reproductive Parts in Rice</w:t>
      </w:r>
    </w:p>
    <w:p w14:paraId="1C80036C" w14:textId="4E391CA4" w:rsidR="00F16278" w:rsidRDefault="00F16278" w:rsidP="00B654AC">
      <w:r w:rsidRPr="004B274F">
        <w:rPr>
          <w:highlight w:val="yellow"/>
        </w:rPr>
        <w:t xml:space="preserve">Tukey’s HSD post-hoc test indicated that </w:t>
      </w:r>
      <w:proofErr w:type="spellStart"/>
      <w:r w:rsidRPr="004B274F">
        <w:rPr>
          <w:highlight w:val="yellow"/>
        </w:rPr>
        <w:t>Chambul</w:t>
      </w:r>
      <w:proofErr w:type="spellEnd"/>
      <w:r w:rsidRPr="004B274F">
        <w:rPr>
          <w:highlight w:val="yellow"/>
        </w:rPr>
        <w:t xml:space="preserve"> biochar (p &lt; 0.05) significantly increased shoot weight compared to Mango biochar. In </w:t>
      </w:r>
      <w:proofErr w:type="spellStart"/>
      <w:r w:rsidR="00DA6D37" w:rsidRPr="004B274F">
        <w:rPr>
          <w:highlight w:val="yellow"/>
        </w:rPr>
        <w:t>Akashmoni</w:t>
      </w:r>
      <w:proofErr w:type="spellEnd"/>
      <w:r w:rsidRPr="004B274F">
        <w:rPr>
          <w:highlight w:val="yellow"/>
        </w:rPr>
        <w:t xml:space="preserve">, both </w:t>
      </w:r>
      <w:proofErr w:type="spellStart"/>
      <w:r w:rsidRPr="004B274F">
        <w:rPr>
          <w:highlight w:val="yellow"/>
        </w:rPr>
        <w:t>Chambul</w:t>
      </w:r>
      <w:proofErr w:type="spellEnd"/>
      <w:r w:rsidRPr="004B274F">
        <w:rPr>
          <w:highlight w:val="yellow"/>
        </w:rPr>
        <w:t xml:space="preserve"> and </w:t>
      </w:r>
      <w:proofErr w:type="spellStart"/>
      <w:r w:rsidRPr="004B274F">
        <w:rPr>
          <w:highlight w:val="yellow"/>
        </w:rPr>
        <w:t>Mahagoni</w:t>
      </w:r>
      <w:proofErr w:type="spellEnd"/>
      <w:r w:rsidRPr="004B274F">
        <w:rPr>
          <w:highlight w:val="yellow"/>
        </w:rPr>
        <w:t xml:space="preserve"> biochar (p &lt; 0.05 for both) resulted in significantly higher shoot weights than the Kadam and </w:t>
      </w:r>
      <w:proofErr w:type="spellStart"/>
      <w:r w:rsidRPr="004B274F">
        <w:rPr>
          <w:highlight w:val="yellow"/>
        </w:rPr>
        <w:t>Mahagoni</w:t>
      </w:r>
      <w:proofErr w:type="spellEnd"/>
      <w:r w:rsidRPr="004B274F">
        <w:rPr>
          <w:highlight w:val="yellow"/>
        </w:rPr>
        <w:t xml:space="preserve"> treatments in rice (</w:t>
      </w:r>
      <w:r w:rsidR="00F93111" w:rsidRPr="004B274F">
        <w:rPr>
          <w:highlight w:val="yellow"/>
        </w:rPr>
        <w:fldChar w:fldCharType="begin"/>
      </w:r>
      <w:r w:rsidR="00F93111" w:rsidRPr="004B274F">
        <w:rPr>
          <w:highlight w:val="yellow"/>
        </w:rPr>
        <w:instrText xml:space="preserve"> REF _Ref192636282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12</w:t>
      </w:r>
      <w:r w:rsidR="00F93111" w:rsidRPr="004B274F">
        <w:rPr>
          <w:highlight w:val="yellow"/>
        </w:rPr>
        <w:fldChar w:fldCharType="end"/>
      </w:r>
      <w:r w:rsidRPr="004B274F">
        <w:rPr>
          <w:highlight w:val="yellow"/>
        </w:rPr>
        <w:t>).</w:t>
      </w:r>
    </w:p>
    <w:p w14:paraId="208EC180"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295A1978" wp14:editId="068884EE">
            <wp:extent cx="3950208" cy="2350008"/>
            <wp:effectExtent l="0" t="0" r="0" b="0"/>
            <wp:docPr id="7" name="image23.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23.png" descr="A graph of different colored bars&#10;&#10;AI-generated content may be incorrect."/>
                    <pic:cNvPicPr preferRelativeResize="0"/>
                  </pic:nvPicPr>
                  <pic:blipFill>
                    <a:blip r:embed="rId19"/>
                    <a:srcRect/>
                    <a:stretch>
                      <a:fillRect/>
                    </a:stretch>
                  </pic:blipFill>
                  <pic:spPr>
                    <a:xfrm>
                      <a:off x="0" y="0"/>
                      <a:ext cx="3950208" cy="2350008"/>
                    </a:xfrm>
                    <a:prstGeom prst="rect">
                      <a:avLst/>
                    </a:prstGeom>
                    <a:ln/>
                  </pic:spPr>
                </pic:pic>
              </a:graphicData>
            </a:graphic>
          </wp:inline>
        </w:drawing>
      </w:r>
    </w:p>
    <w:p w14:paraId="1FA21DB3" w14:textId="184B7A48" w:rsidR="004A3707" w:rsidRDefault="004A3707" w:rsidP="00496A10">
      <w:pPr>
        <w:pStyle w:val="Caption"/>
        <w:rPr>
          <w:rFonts w:ascii="Times New Roman" w:eastAsia="Times New Roman" w:hAnsi="Times New Roman" w:cs="Times New Roman"/>
          <w:sz w:val="20"/>
          <w:szCs w:val="20"/>
        </w:rPr>
      </w:pPr>
      <w:bookmarkStart w:id="28" w:name="_Ref192636282"/>
      <w:r>
        <w:t xml:space="preserve">Figure </w:t>
      </w:r>
      <w:fldSimple w:instr=" SEQ Figure \* ARABIC ">
        <w:r w:rsidR="00315CD1">
          <w:rPr>
            <w:noProof/>
          </w:rPr>
          <w:t>12</w:t>
        </w:r>
      </w:fldSimple>
      <w:bookmarkEnd w:id="28"/>
      <w:r>
        <w:rPr>
          <w:lang w:val="en-US"/>
        </w:rPr>
        <w:t xml:space="preserve">: </w:t>
      </w:r>
      <w:r w:rsidRPr="00203FAE">
        <w:rPr>
          <w:lang w:val="en-US"/>
        </w:rPr>
        <w:t>Effect of different biochar on shoot dry weight of two different species</w:t>
      </w:r>
    </w:p>
    <w:p w14:paraId="761009E4" w14:textId="000CA3FC" w:rsidR="00F16278" w:rsidRDefault="00F16278" w:rsidP="00B654AC">
      <w:r w:rsidRPr="004B274F">
        <w:rPr>
          <w:highlight w:val="yellow"/>
        </w:rPr>
        <w:t xml:space="preserve">For leaf dry weight, all biochar treatments (p &lt; 0.001) significantly increased results compared to the control. Kadam (p &lt; 0.001) and Raintree biochar (p &lt; 0.05) also exhibited significantly higher results compared to </w:t>
      </w:r>
      <w:proofErr w:type="spellStart"/>
      <w:r w:rsidRPr="004B274F">
        <w:rPr>
          <w:highlight w:val="yellow"/>
        </w:rPr>
        <w:t>Mahagoni</w:t>
      </w:r>
      <w:proofErr w:type="spellEnd"/>
      <w:r w:rsidRPr="004B274F">
        <w:rPr>
          <w:highlight w:val="yellow"/>
        </w:rPr>
        <w:t xml:space="preserve"> and Mango biochar. In </w:t>
      </w:r>
      <w:proofErr w:type="spellStart"/>
      <w:r w:rsidR="00DA6D37" w:rsidRPr="004B274F">
        <w:rPr>
          <w:highlight w:val="yellow"/>
        </w:rPr>
        <w:t>Akashmoni</w:t>
      </w:r>
      <w:proofErr w:type="spellEnd"/>
      <w:r w:rsidRPr="004B274F">
        <w:rPr>
          <w:highlight w:val="yellow"/>
        </w:rPr>
        <w:t xml:space="preserve">, the application of </w:t>
      </w:r>
      <w:proofErr w:type="spellStart"/>
      <w:r w:rsidRPr="004B274F">
        <w:rPr>
          <w:highlight w:val="yellow"/>
        </w:rPr>
        <w:t>Chambul</w:t>
      </w:r>
      <w:proofErr w:type="spellEnd"/>
      <w:r w:rsidRPr="004B274F">
        <w:rPr>
          <w:highlight w:val="yellow"/>
        </w:rPr>
        <w:t xml:space="preserve"> biochar (p &lt; 0.001) resulted in significantly higher leaf dry weight compared to the control and Mango biochar. Moreover, all </w:t>
      </w:r>
      <w:proofErr w:type="spellStart"/>
      <w:r w:rsidR="00DA6D37" w:rsidRPr="004B274F">
        <w:rPr>
          <w:highlight w:val="yellow"/>
        </w:rPr>
        <w:t>Akashmoni</w:t>
      </w:r>
      <w:proofErr w:type="spellEnd"/>
      <w:r w:rsidRPr="004B274F">
        <w:rPr>
          <w:highlight w:val="yellow"/>
        </w:rPr>
        <w:t xml:space="preserve"> treatments (p &lt; 0.001) showed significantly higher results compared to the control and other rice treatments (</w:t>
      </w:r>
      <w:r w:rsidR="00F93111" w:rsidRPr="004B274F">
        <w:rPr>
          <w:highlight w:val="yellow"/>
        </w:rPr>
        <w:fldChar w:fldCharType="begin"/>
      </w:r>
      <w:r w:rsidR="00F93111" w:rsidRPr="004B274F">
        <w:rPr>
          <w:highlight w:val="yellow"/>
        </w:rPr>
        <w:instrText xml:space="preserve"> REF _Ref192636290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13</w:t>
      </w:r>
      <w:r w:rsidR="00F93111" w:rsidRPr="004B274F">
        <w:rPr>
          <w:highlight w:val="yellow"/>
        </w:rPr>
        <w:fldChar w:fldCharType="end"/>
      </w:r>
      <w:r w:rsidRPr="004B274F">
        <w:rPr>
          <w:highlight w:val="yellow"/>
        </w:rPr>
        <w:t>).</w:t>
      </w:r>
    </w:p>
    <w:p w14:paraId="386865E4"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2A83F384" wp14:editId="2A0BFE99">
            <wp:extent cx="3950208" cy="2350008"/>
            <wp:effectExtent l="0" t="0" r="0" b="0"/>
            <wp:docPr id="2" name="image17.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7.png" descr="A graph of different colored bars&#10;&#10;AI-generated content may be incorrect."/>
                    <pic:cNvPicPr preferRelativeResize="0"/>
                  </pic:nvPicPr>
                  <pic:blipFill>
                    <a:blip r:embed="rId20"/>
                    <a:srcRect/>
                    <a:stretch>
                      <a:fillRect/>
                    </a:stretch>
                  </pic:blipFill>
                  <pic:spPr>
                    <a:xfrm>
                      <a:off x="0" y="0"/>
                      <a:ext cx="3950208" cy="2350008"/>
                    </a:xfrm>
                    <a:prstGeom prst="rect">
                      <a:avLst/>
                    </a:prstGeom>
                    <a:ln/>
                  </pic:spPr>
                </pic:pic>
              </a:graphicData>
            </a:graphic>
          </wp:inline>
        </w:drawing>
      </w:r>
    </w:p>
    <w:p w14:paraId="1819A2B7" w14:textId="637749A7" w:rsidR="004A3707" w:rsidRDefault="004A3707" w:rsidP="00496A10">
      <w:pPr>
        <w:pStyle w:val="Caption"/>
        <w:rPr>
          <w:rFonts w:ascii="Times New Roman" w:eastAsia="Times New Roman" w:hAnsi="Times New Roman" w:cs="Times New Roman"/>
          <w:sz w:val="20"/>
          <w:szCs w:val="20"/>
        </w:rPr>
      </w:pPr>
      <w:bookmarkStart w:id="29" w:name="_Ref192636290"/>
      <w:r>
        <w:t xml:space="preserve">Figure </w:t>
      </w:r>
      <w:fldSimple w:instr=" SEQ Figure \* ARABIC ">
        <w:r w:rsidR="00315CD1">
          <w:rPr>
            <w:noProof/>
          </w:rPr>
          <w:t>13</w:t>
        </w:r>
      </w:fldSimple>
      <w:bookmarkEnd w:id="29"/>
      <w:r>
        <w:rPr>
          <w:lang w:val="en-US"/>
        </w:rPr>
        <w:t xml:space="preserve">: </w:t>
      </w:r>
      <w:r w:rsidRPr="008F4852">
        <w:rPr>
          <w:lang w:val="en-US"/>
        </w:rPr>
        <w:t>Effect of different biochar on leaf dry weight of two different species</w:t>
      </w:r>
    </w:p>
    <w:p w14:paraId="605870DA" w14:textId="7FFBBD4E" w:rsidR="00F16278" w:rsidRDefault="00F16278" w:rsidP="00B654AC">
      <w:r w:rsidRPr="004B274F">
        <w:rPr>
          <w:highlight w:val="yellow"/>
        </w:rPr>
        <w:t xml:space="preserve">According to </w:t>
      </w:r>
      <w:r w:rsidR="00F93111" w:rsidRPr="004B274F">
        <w:rPr>
          <w:highlight w:val="yellow"/>
        </w:rPr>
        <w:fldChar w:fldCharType="begin"/>
      </w:r>
      <w:r w:rsidR="00F93111" w:rsidRPr="004B274F">
        <w:rPr>
          <w:highlight w:val="yellow"/>
        </w:rPr>
        <w:instrText xml:space="preserve"> REF _Ref192636299 \h </w:instrText>
      </w:r>
      <w:r w:rsidR="004B274F">
        <w:rPr>
          <w:highlight w:val="yellow"/>
        </w:rPr>
        <w:instrText xml:space="preserve"> \* MERGEFORMAT </w:instrText>
      </w:r>
      <w:r w:rsidR="00F93111" w:rsidRPr="004B274F">
        <w:rPr>
          <w:highlight w:val="yellow"/>
        </w:rPr>
      </w:r>
      <w:r w:rsidR="00F93111" w:rsidRPr="004B274F">
        <w:rPr>
          <w:highlight w:val="yellow"/>
        </w:rPr>
        <w:fldChar w:fldCharType="separate"/>
      </w:r>
      <w:r w:rsidR="00315CD1" w:rsidRPr="004B274F">
        <w:rPr>
          <w:highlight w:val="yellow"/>
        </w:rPr>
        <w:t xml:space="preserve">Figure </w:t>
      </w:r>
      <w:r w:rsidR="00315CD1" w:rsidRPr="004B274F">
        <w:rPr>
          <w:noProof/>
          <w:highlight w:val="yellow"/>
        </w:rPr>
        <w:t>14</w:t>
      </w:r>
      <w:r w:rsidR="00F93111" w:rsidRPr="004B274F">
        <w:rPr>
          <w:highlight w:val="yellow"/>
        </w:rPr>
        <w:fldChar w:fldCharType="end"/>
      </w:r>
      <w:r w:rsidRPr="004B274F">
        <w:rPr>
          <w:highlight w:val="yellow"/>
        </w:rPr>
        <w:t xml:space="preserve">, Tukey’s HSD post-hoc test revealed that Kathal, </w:t>
      </w:r>
      <w:proofErr w:type="spellStart"/>
      <w:r w:rsidRPr="004B274F">
        <w:rPr>
          <w:highlight w:val="yellow"/>
        </w:rPr>
        <w:t>Mahagoni</w:t>
      </w:r>
      <w:proofErr w:type="spellEnd"/>
      <w:r w:rsidRPr="004B274F">
        <w:rPr>
          <w:highlight w:val="yellow"/>
        </w:rPr>
        <w:t xml:space="preserve">, Mango, and Raintree biochar (p &lt; 0.001) in rice significantly increased root dry weight compared to </w:t>
      </w:r>
      <w:r w:rsidR="003D4355" w:rsidRPr="004B274F">
        <w:rPr>
          <w:highlight w:val="yellow"/>
        </w:rPr>
        <w:t>control</w:t>
      </w:r>
      <w:r w:rsidRPr="004B274F">
        <w:rPr>
          <w:highlight w:val="yellow"/>
        </w:rPr>
        <w:t xml:space="preserve">. Additionally, </w:t>
      </w:r>
      <w:proofErr w:type="spellStart"/>
      <w:r w:rsidRPr="004B274F">
        <w:rPr>
          <w:highlight w:val="yellow"/>
        </w:rPr>
        <w:t>Chambul</w:t>
      </w:r>
      <w:proofErr w:type="spellEnd"/>
      <w:r w:rsidRPr="004B274F">
        <w:rPr>
          <w:highlight w:val="yellow"/>
        </w:rPr>
        <w:t xml:space="preserve"> biochar (p &lt; 0.05) in rice demonstrated significantly higher results than the control, Kadam, and Mango biochar in </w:t>
      </w:r>
      <w:proofErr w:type="spellStart"/>
      <w:r w:rsidR="00DA6D37" w:rsidRPr="004B274F">
        <w:rPr>
          <w:highlight w:val="yellow"/>
        </w:rPr>
        <w:t>Akashmoni</w:t>
      </w:r>
      <w:proofErr w:type="spellEnd"/>
      <w:r w:rsidRPr="004B274F">
        <w:rPr>
          <w:highlight w:val="yellow"/>
        </w:rPr>
        <w:t>.</w:t>
      </w:r>
    </w:p>
    <w:p w14:paraId="6725D474"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0ACAD378" wp14:editId="6C1AABA1">
            <wp:extent cx="3950208" cy="2350008"/>
            <wp:effectExtent l="0" t="0" r="0" b="0"/>
            <wp:docPr id="8" name="image10.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0.png" descr="A graph of different colored bars&#10;&#10;AI-generated content may be incorrect."/>
                    <pic:cNvPicPr preferRelativeResize="0"/>
                  </pic:nvPicPr>
                  <pic:blipFill>
                    <a:blip r:embed="rId21"/>
                    <a:srcRect/>
                    <a:stretch>
                      <a:fillRect/>
                    </a:stretch>
                  </pic:blipFill>
                  <pic:spPr>
                    <a:xfrm>
                      <a:off x="0" y="0"/>
                      <a:ext cx="3950208" cy="2350008"/>
                    </a:xfrm>
                    <a:prstGeom prst="rect">
                      <a:avLst/>
                    </a:prstGeom>
                    <a:ln/>
                  </pic:spPr>
                </pic:pic>
              </a:graphicData>
            </a:graphic>
          </wp:inline>
        </w:drawing>
      </w:r>
    </w:p>
    <w:p w14:paraId="31545197" w14:textId="7C2A5765" w:rsidR="004A3707" w:rsidRDefault="004A3707" w:rsidP="00496A10">
      <w:pPr>
        <w:pStyle w:val="Caption"/>
        <w:rPr>
          <w:rFonts w:ascii="Times New Roman" w:eastAsia="Times New Roman" w:hAnsi="Times New Roman" w:cs="Times New Roman"/>
          <w:sz w:val="20"/>
          <w:szCs w:val="20"/>
        </w:rPr>
      </w:pPr>
      <w:bookmarkStart w:id="30" w:name="_Ref192636299"/>
      <w:r>
        <w:t xml:space="preserve">Figure </w:t>
      </w:r>
      <w:fldSimple w:instr=" SEQ Figure \* ARABIC ">
        <w:r w:rsidR="00315CD1">
          <w:rPr>
            <w:noProof/>
          </w:rPr>
          <w:t>14</w:t>
        </w:r>
      </w:fldSimple>
      <w:bookmarkEnd w:id="30"/>
      <w:r>
        <w:rPr>
          <w:lang w:val="en-US"/>
        </w:rPr>
        <w:t xml:space="preserve">: </w:t>
      </w:r>
      <w:r w:rsidRPr="003602AD">
        <w:rPr>
          <w:lang w:val="en-US"/>
        </w:rPr>
        <w:t>Effect of different biochar on Root dry weight of two different species</w:t>
      </w:r>
    </w:p>
    <w:p w14:paraId="3BEE5328" w14:textId="779A5378" w:rsidR="00F16278" w:rsidRPr="004B274F" w:rsidRDefault="00F16278" w:rsidP="00B654AC">
      <w:pPr>
        <w:rPr>
          <w:highlight w:val="yellow"/>
        </w:rPr>
      </w:pPr>
      <w:r w:rsidRPr="004B274F">
        <w:rPr>
          <w:highlight w:val="yellow"/>
        </w:rPr>
        <w:t xml:space="preserve">A one-way ANOVA test confirmed that biochar treatments had a highly significant effect (p &lt; 0.001) on the dry weight of reproductive parts in rice. Based on Tukey’s HSD post-hoc test, </w:t>
      </w:r>
      <w:proofErr w:type="spellStart"/>
      <w:r w:rsidRPr="004B274F">
        <w:rPr>
          <w:highlight w:val="yellow"/>
        </w:rPr>
        <w:t>Chambul</w:t>
      </w:r>
      <w:proofErr w:type="spellEnd"/>
      <w:r w:rsidRPr="004B274F">
        <w:rPr>
          <w:highlight w:val="yellow"/>
        </w:rPr>
        <w:t xml:space="preserve"> biochar (p &lt; 0.001) resulted in significantly higher dry weight compared to the control, Mango, and </w:t>
      </w:r>
      <w:proofErr w:type="spellStart"/>
      <w:r w:rsidRPr="004B274F">
        <w:rPr>
          <w:highlight w:val="yellow"/>
        </w:rPr>
        <w:t>Mahagoni</w:t>
      </w:r>
      <w:proofErr w:type="spellEnd"/>
      <w:r w:rsidRPr="004B274F">
        <w:rPr>
          <w:highlight w:val="yellow"/>
        </w:rPr>
        <w:t xml:space="preserve"> biochar treatments, as well as significantly higher results (p &lt; 0.01) compared to Raintree and Kadam biochar. Additionally, Kathal biochar showed significantly higher results (p &lt; 0.05) than </w:t>
      </w:r>
      <w:proofErr w:type="spellStart"/>
      <w:r w:rsidRPr="004B274F">
        <w:rPr>
          <w:highlight w:val="yellow"/>
        </w:rPr>
        <w:t>Mahagoni</w:t>
      </w:r>
      <w:proofErr w:type="spellEnd"/>
      <w:r w:rsidRPr="004B274F">
        <w:rPr>
          <w:highlight w:val="yellow"/>
        </w:rPr>
        <w:t xml:space="preserve"> biochar (</w:t>
      </w:r>
      <w:r w:rsidR="00EB4E6C" w:rsidRPr="004B274F">
        <w:rPr>
          <w:highlight w:val="yellow"/>
        </w:rPr>
        <w:fldChar w:fldCharType="begin"/>
      </w:r>
      <w:r w:rsidR="00EB4E6C" w:rsidRPr="004B274F">
        <w:rPr>
          <w:highlight w:val="yellow"/>
        </w:rPr>
        <w:instrText xml:space="preserve"> REF _Ref193502288 \h </w:instrText>
      </w:r>
      <w:r w:rsidR="004B274F">
        <w:rPr>
          <w:highlight w:val="yellow"/>
        </w:rPr>
        <w:instrText xml:space="preserve"> \* MERGEFORMAT </w:instrText>
      </w:r>
      <w:r w:rsidR="00EB4E6C" w:rsidRPr="004B274F">
        <w:rPr>
          <w:highlight w:val="yellow"/>
        </w:rPr>
      </w:r>
      <w:r w:rsidR="00EB4E6C" w:rsidRPr="004B274F">
        <w:rPr>
          <w:highlight w:val="yellow"/>
        </w:rPr>
        <w:fldChar w:fldCharType="separate"/>
      </w:r>
      <w:r w:rsidR="00315CD1" w:rsidRPr="004B274F">
        <w:rPr>
          <w:highlight w:val="yellow"/>
        </w:rPr>
        <w:t xml:space="preserve">Table </w:t>
      </w:r>
      <w:r w:rsidR="00315CD1" w:rsidRPr="004B274F">
        <w:rPr>
          <w:noProof/>
          <w:highlight w:val="yellow"/>
        </w:rPr>
        <w:t>5</w:t>
      </w:r>
      <w:r w:rsidR="00EB4E6C" w:rsidRPr="004B274F">
        <w:rPr>
          <w:highlight w:val="yellow"/>
        </w:rPr>
        <w:fldChar w:fldCharType="end"/>
      </w:r>
      <w:r w:rsidRPr="004B274F">
        <w:rPr>
          <w:highlight w:val="yellow"/>
        </w:rPr>
        <w:t>).</w:t>
      </w:r>
    </w:p>
    <w:p w14:paraId="7E64FECF" w14:textId="0A1076BF" w:rsidR="00EB4E6C" w:rsidRPr="004B274F" w:rsidRDefault="00EB4E6C" w:rsidP="00496A10">
      <w:pPr>
        <w:pStyle w:val="Caption"/>
        <w:rPr>
          <w:highlight w:val="yellow"/>
        </w:rPr>
      </w:pPr>
      <w:bookmarkStart w:id="31" w:name="_Ref193502288"/>
      <w:r w:rsidRPr="004B274F">
        <w:rPr>
          <w:highlight w:val="yellow"/>
        </w:rPr>
        <w:t xml:space="preserve">Table </w:t>
      </w:r>
      <w:r w:rsidRPr="004B274F">
        <w:rPr>
          <w:highlight w:val="yellow"/>
        </w:rPr>
        <w:fldChar w:fldCharType="begin"/>
      </w:r>
      <w:r w:rsidRPr="004B274F">
        <w:rPr>
          <w:highlight w:val="yellow"/>
        </w:rPr>
        <w:instrText xml:space="preserve"> SEQ Table \* ARABIC </w:instrText>
      </w:r>
      <w:r w:rsidRPr="004B274F">
        <w:rPr>
          <w:highlight w:val="yellow"/>
        </w:rPr>
        <w:fldChar w:fldCharType="separate"/>
      </w:r>
      <w:r w:rsidR="00315CD1" w:rsidRPr="004B274F">
        <w:rPr>
          <w:noProof/>
          <w:highlight w:val="yellow"/>
        </w:rPr>
        <w:t>5</w:t>
      </w:r>
      <w:r w:rsidRPr="004B274F">
        <w:rPr>
          <w:highlight w:val="yellow"/>
        </w:rPr>
        <w:fldChar w:fldCharType="end"/>
      </w:r>
      <w:bookmarkEnd w:id="31"/>
      <w:r w:rsidRPr="004B274F">
        <w:rPr>
          <w:highlight w:val="yellow"/>
          <w:lang w:val="en-US"/>
        </w:rPr>
        <w:t xml:space="preserve"> Effect of different biochar on the dry weight of reproductive parts of Rice</w:t>
      </w:r>
    </w:p>
    <w:tbl>
      <w:tblPr>
        <w:tblStyle w:val="a"/>
        <w:tblW w:w="5000" w:type="pct"/>
        <w:tblBorders>
          <w:top w:val="single" w:sz="4" w:space="0" w:color="auto"/>
          <w:bottom w:val="single" w:sz="4" w:space="0" w:color="auto"/>
          <w:insideH w:val="single" w:sz="4" w:space="0" w:color="auto"/>
        </w:tblBorders>
        <w:tblLook w:val="0600" w:firstRow="0" w:lastRow="0" w:firstColumn="0" w:lastColumn="0" w:noHBand="1" w:noVBand="1"/>
      </w:tblPr>
      <w:tblGrid>
        <w:gridCol w:w="3303"/>
        <w:gridCol w:w="2864"/>
        <w:gridCol w:w="2862"/>
      </w:tblGrid>
      <w:tr w:rsidR="00EB4E6C" w:rsidRPr="004B274F" w14:paraId="413DE7C9" w14:textId="77777777" w:rsidTr="005937EC">
        <w:trPr>
          <w:trHeight w:val="20"/>
          <w:tblHeader/>
        </w:trPr>
        <w:tc>
          <w:tcPr>
            <w:tcW w:w="1829" w:type="pct"/>
            <w:shd w:val="clear" w:color="auto" w:fill="auto"/>
            <w:tcMar>
              <w:top w:w="100" w:type="dxa"/>
              <w:left w:w="100" w:type="dxa"/>
              <w:bottom w:w="100" w:type="dxa"/>
              <w:right w:w="100" w:type="dxa"/>
            </w:tcMar>
          </w:tcPr>
          <w:p w14:paraId="4BD19166" w14:textId="77777777" w:rsidR="00EB4E6C" w:rsidRPr="004B274F" w:rsidRDefault="00EB4E6C" w:rsidP="005937EC">
            <w:pPr>
              <w:spacing w:before="0" w:after="0"/>
              <w:rPr>
                <w:rFonts w:eastAsia="Times New Roman"/>
                <w:sz w:val="18"/>
                <w:szCs w:val="18"/>
                <w:highlight w:val="yellow"/>
              </w:rPr>
            </w:pPr>
            <w:r w:rsidRPr="004B274F">
              <w:rPr>
                <w:rFonts w:eastAsia="Times New Roman"/>
                <w:b/>
                <w:sz w:val="18"/>
                <w:szCs w:val="18"/>
                <w:highlight w:val="yellow"/>
              </w:rPr>
              <w:t>Treatments</w:t>
            </w:r>
          </w:p>
        </w:tc>
        <w:tc>
          <w:tcPr>
            <w:tcW w:w="1586" w:type="pct"/>
            <w:shd w:val="clear" w:color="auto" w:fill="auto"/>
            <w:tcMar>
              <w:top w:w="100" w:type="dxa"/>
              <w:left w:w="100" w:type="dxa"/>
              <w:bottom w:w="100" w:type="dxa"/>
              <w:right w:w="100" w:type="dxa"/>
            </w:tcMar>
          </w:tcPr>
          <w:p w14:paraId="41C3D49D" w14:textId="209602CD" w:rsidR="00EB4E6C" w:rsidRPr="004B274F" w:rsidRDefault="00EB4E6C" w:rsidP="005937EC">
            <w:pPr>
              <w:spacing w:before="0" w:after="0"/>
              <w:jc w:val="center"/>
              <w:rPr>
                <w:rFonts w:eastAsia="Times New Roman"/>
                <w:sz w:val="18"/>
                <w:szCs w:val="18"/>
                <w:highlight w:val="yellow"/>
              </w:rPr>
            </w:pPr>
            <w:r w:rsidRPr="004B274F">
              <w:rPr>
                <w:rFonts w:eastAsia="Times New Roman"/>
                <w:b/>
                <w:sz w:val="18"/>
                <w:szCs w:val="18"/>
                <w:highlight w:val="yellow"/>
              </w:rPr>
              <w:t>Dry weight of reproductive parts of Rice</w:t>
            </w:r>
          </w:p>
        </w:tc>
        <w:tc>
          <w:tcPr>
            <w:tcW w:w="1585" w:type="pct"/>
          </w:tcPr>
          <w:p w14:paraId="10C06DB8" w14:textId="77777777" w:rsidR="00EB4E6C" w:rsidRPr="004B274F" w:rsidRDefault="00EB4E6C" w:rsidP="005937EC">
            <w:pPr>
              <w:spacing w:before="0" w:after="0"/>
              <w:jc w:val="center"/>
              <w:rPr>
                <w:rFonts w:eastAsia="Times New Roman"/>
                <w:b/>
                <w:sz w:val="18"/>
                <w:szCs w:val="18"/>
                <w:highlight w:val="yellow"/>
              </w:rPr>
            </w:pPr>
            <w:r w:rsidRPr="004B274F">
              <w:rPr>
                <w:rFonts w:eastAsia="Times New Roman"/>
                <w:b/>
                <w:sz w:val="18"/>
                <w:szCs w:val="18"/>
                <w:highlight w:val="yellow"/>
              </w:rPr>
              <w:t>STD (+/-)</w:t>
            </w:r>
          </w:p>
        </w:tc>
      </w:tr>
      <w:tr w:rsidR="00EB4E6C" w:rsidRPr="004B274F" w14:paraId="78F66F14" w14:textId="77777777" w:rsidTr="005937EC">
        <w:trPr>
          <w:trHeight w:val="20"/>
        </w:trPr>
        <w:tc>
          <w:tcPr>
            <w:tcW w:w="1829" w:type="pct"/>
            <w:shd w:val="clear" w:color="auto" w:fill="auto"/>
            <w:tcMar>
              <w:top w:w="100" w:type="dxa"/>
              <w:left w:w="100" w:type="dxa"/>
              <w:bottom w:w="100" w:type="dxa"/>
              <w:right w:w="100" w:type="dxa"/>
            </w:tcMar>
          </w:tcPr>
          <w:p w14:paraId="7EF1EFD8" w14:textId="77777777" w:rsidR="00EB4E6C" w:rsidRPr="004B274F" w:rsidRDefault="00EB4E6C" w:rsidP="00EB4E6C">
            <w:pPr>
              <w:spacing w:before="0" w:after="0"/>
              <w:rPr>
                <w:rFonts w:eastAsia="Times New Roman"/>
                <w:sz w:val="18"/>
                <w:szCs w:val="18"/>
                <w:highlight w:val="yellow"/>
              </w:rPr>
            </w:pPr>
            <w:proofErr w:type="spellStart"/>
            <w:r w:rsidRPr="004B274F">
              <w:rPr>
                <w:sz w:val="18"/>
                <w:szCs w:val="18"/>
                <w:highlight w:val="yellow"/>
              </w:rPr>
              <w:t>Chambul</w:t>
            </w:r>
            <w:proofErr w:type="spellEnd"/>
          </w:p>
        </w:tc>
        <w:tc>
          <w:tcPr>
            <w:tcW w:w="1586" w:type="pct"/>
            <w:shd w:val="clear" w:color="auto" w:fill="auto"/>
            <w:tcMar>
              <w:top w:w="100" w:type="dxa"/>
              <w:left w:w="100" w:type="dxa"/>
              <w:bottom w:w="100" w:type="dxa"/>
              <w:right w:w="100" w:type="dxa"/>
            </w:tcMar>
          </w:tcPr>
          <w:p w14:paraId="228B2BE7" w14:textId="257B915F"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21.2</w:t>
            </w:r>
          </w:p>
        </w:tc>
        <w:tc>
          <w:tcPr>
            <w:tcW w:w="1585" w:type="pct"/>
          </w:tcPr>
          <w:p w14:paraId="50200F43" w14:textId="4F83AE29" w:rsidR="00EB4E6C" w:rsidRPr="004B274F" w:rsidRDefault="00EB4E6C" w:rsidP="00EB4E6C">
            <w:pPr>
              <w:spacing w:before="0" w:after="0"/>
              <w:jc w:val="center"/>
              <w:rPr>
                <w:sz w:val="18"/>
                <w:szCs w:val="18"/>
                <w:highlight w:val="yellow"/>
              </w:rPr>
            </w:pPr>
            <w:r w:rsidRPr="004B274F">
              <w:rPr>
                <w:sz w:val="18"/>
                <w:szCs w:val="18"/>
                <w:highlight w:val="yellow"/>
              </w:rPr>
              <w:t>5.75</w:t>
            </w:r>
          </w:p>
        </w:tc>
      </w:tr>
      <w:tr w:rsidR="00EB4E6C" w:rsidRPr="004B274F" w14:paraId="7BF7C5D9" w14:textId="77777777" w:rsidTr="005937EC">
        <w:trPr>
          <w:trHeight w:val="20"/>
        </w:trPr>
        <w:tc>
          <w:tcPr>
            <w:tcW w:w="1829" w:type="pct"/>
            <w:shd w:val="clear" w:color="auto" w:fill="auto"/>
            <w:tcMar>
              <w:top w:w="100" w:type="dxa"/>
              <w:left w:w="100" w:type="dxa"/>
              <w:bottom w:w="100" w:type="dxa"/>
              <w:right w:w="100" w:type="dxa"/>
            </w:tcMar>
          </w:tcPr>
          <w:p w14:paraId="21104821" w14:textId="77777777" w:rsidR="00EB4E6C" w:rsidRPr="004B274F" w:rsidRDefault="00EB4E6C" w:rsidP="00EB4E6C">
            <w:pPr>
              <w:spacing w:before="0" w:after="0"/>
              <w:rPr>
                <w:rFonts w:eastAsia="Times New Roman"/>
                <w:sz w:val="18"/>
                <w:szCs w:val="18"/>
                <w:highlight w:val="yellow"/>
              </w:rPr>
            </w:pPr>
            <w:r w:rsidRPr="004B274F">
              <w:rPr>
                <w:sz w:val="18"/>
                <w:szCs w:val="18"/>
                <w:highlight w:val="yellow"/>
              </w:rPr>
              <w:t>Control</w:t>
            </w:r>
          </w:p>
        </w:tc>
        <w:tc>
          <w:tcPr>
            <w:tcW w:w="1586" w:type="pct"/>
            <w:shd w:val="clear" w:color="auto" w:fill="auto"/>
            <w:tcMar>
              <w:top w:w="100" w:type="dxa"/>
              <w:left w:w="100" w:type="dxa"/>
              <w:bottom w:w="100" w:type="dxa"/>
              <w:right w:w="100" w:type="dxa"/>
            </w:tcMar>
          </w:tcPr>
          <w:p w14:paraId="08ABE931" w14:textId="3C4C0E92"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7.9</w:t>
            </w:r>
          </w:p>
        </w:tc>
        <w:tc>
          <w:tcPr>
            <w:tcW w:w="1585" w:type="pct"/>
          </w:tcPr>
          <w:p w14:paraId="461DB00D" w14:textId="0DBD21B1" w:rsidR="00EB4E6C" w:rsidRPr="004B274F" w:rsidRDefault="00EB4E6C" w:rsidP="00EB4E6C">
            <w:pPr>
              <w:spacing w:before="0" w:after="0"/>
              <w:jc w:val="center"/>
              <w:rPr>
                <w:sz w:val="18"/>
                <w:szCs w:val="18"/>
                <w:highlight w:val="yellow"/>
              </w:rPr>
            </w:pPr>
            <w:r w:rsidRPr="004B274F">
              <w:rPr>
                <w:sz w:val="18"/>
                <w:szCs w:val="18"/>
                <w:highlight w:val="yellow"/>
              </w:rPr>
              <w:t>1.35</w:t>
            </w:r>
          </w:p>
        </w:tc>
      </w:tr>
      <w:tr w:rsidR="00EB4E6C" w:rsidRPr="004B274F" w14:paraId="6EEB35BD" w14:textId="77777777" w:rsidTr="005937EC">
        <w:trPr>
          <w:trHeight w:val="20"/>
        </w:trPr>
        <w:tc>
          <w:tcPr>
            <w:tcW w:w="1829" w:type="pct"/>
            <w:shd w:val="clear" w:color="auto" w:fill="auto"/>
            <w:tcMar>
              <w:top w:w="100" w:type="dxa"/>
              <w:left w:w="100" w:type="dxa"/>
              <w:bottom w:w="100" w:type="dxa"/>
              <w:right w:w="100" w:type="dxa"/>
            </w:tcMar>
          </w:tcPr>
          <w:p w14:paraId="6B6E21F2" w14:textId="77777777" w:rsidR="00EB4E6C" w:rsidRPr="004B274F" w:rsidRDefault="00EB4E6C" w:rsidP="00EB4E6C">
            <w:pPr>
              <w:spacing w:before="0" w:after="0"/>
              <w:rPr>
                <w:rFonts w:eastAsia="Times New Roman"/>
                <w:sz w:val="18"/>
                <w:szCs w:val="18"/>
                <w:highlight w:val="yellow"/>
              </w:rPr>
            </w:pPr>
            <w:r w:rsidRPr="004B274F">
              <w:rPr>
                <w:sz w:val="18"/>
                <w:szCs w:val="18"/>
                <w:highlight w:val="yellow"/>
              </w:rPr>
              <w:t>Kadam</w:t>
            </w:r>
          </w:p>
        </w:tc>
        <w:tc>
          <w:tcPr>
            <w:tcW w:w="1586" w:type="pct"/>
            <w:shd w:val="clear" w:color="auto" w:fill="auto"/>
            <w:tcMar>
              <w:top w:w="100" w:type="dxa"/>
              <w:left w:w="100" w:type="dxa"/>
              <w:bottom w:w="100" w:type="dxa"/>
              <w:right w:w="100" w:type="dxa"/>
            </w:tcMar>
          </w:tcPr>
          <w:p w14:paraId="7B193486" w14:textId="53F30B04"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9.025</w:t>
            </w:r>
          </w:p>
        </w:tc>
        <w:tc>
          <w:tcPr>
            <w:tcW w:w="1585" w:type="pct"/>
          </w:tcPr>
          <w:p w14:paraId="11010360" w14:textId="7EEAD74A" w:rsidR="00EB4E6C" w:rsidRPr="004B274F" w:rsidRDefault="00EB4E6C" w:rsidP="00EB4E6C">
            <w:pPr>
              <w:spacing w:before="0" w:after="0"/>
              <w:jc w:val="center"/>
              <w:rPr>
                <w:sz w:val="18"/>
                <w:szCs w:val="18"/>
                <w:highlight w:val="yellow"/>
              </w:rPr>
            </w:pPr>
            <w:r w:rsidRPr="004B274F">
              <w:rPr>
                <w:sz w:val="18"/>
                <w:szCs w:val="18"/>
                <w:highlight w:val="yellow"/>
              </w:rPr>
              <w:t>4.26</w:t>
            </w:r>
          </w:p>
        </w:tc>
      </w:tr>
      <w:tr w:rsidR="00EB4E6C" w:rsidRPr="004B274F" w14:paraId="58BE9848" w14:textId="77777777" w:rsidTr="005937EC">
        <w:trPr>
          <w:trHeight w:val="20"/>
        </w:trPr>
        <w:tc>
          <w:tcPr>
            <w:tcW w:w="1829" w:type="pct"/>
            <w:shd w:val="clear" w:color="auto" w:fill="auto"/>
            <w:tcMar>
              <w:top w:w="100" w:type="dxa"/>
              <w:left w:w="100" w:type="dxa"/>
              <w:bottom w:w="100" w:type="dxa"/>
              <w:right w:w="100" w:type="dxa"/>
            </w:tcMar>
          </w:tcPr>
          <w:p w14:paraId="507998E2" w14:textId="77777777" w:rsidR="00EB4E6C" w:rsidRPr="004B274F" w:rsidRDefault="00EB4E6C" w:rsidP="00EB4E6C">
            <w:pPr>
              <w:spacing w:before="0" w:after="0"/>
              <w:rPr>
                <w:rFonts w:eastAsia="Times New Roman"/>
                <w:sz w:val="18"/>
                <w:szCs w:val="18"/>
                <w:highlight w:val="yellow"/>
              </w:rPr>
            </w:pPr>
            <w:r w:rsidRPr="004B274F">
              <w:rPr>
                <w:sz w:val="18"/>
                <w:szCs w:val="18"/>
                <w:highlight w:val="yellow"/>
              </w:rPr>
              <w:t>Kathal</w:t>
            </w:r>
          </w:p>
        </w:tc>
        <w:tc>
          <w:tcPr>
            <w:tcW w:w="1586" w:type="pct"/>
            <w:shd w:val="clear" w:color="auto" w:fill="auto"/>
            <w:tcMar>
              <w:top w:w="100" w:type="dxa"/>
              <w:left w:w="100" w:type="dxa"/>
              <w:bottom w:w="100" w:type="dxa"/>
              <w:right w:w="100" w:type="dxa"/>
            </w:tcMar>
          </w:tcPr>
          <w:p w14:paraId="63EAEE71" w14:textId="76AE83DB"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14.5</w:t>
            </w:r>
          </w:p>
        </w:tc>
        <w:tc>
          <w:tcPr>
            <w:tcW w:w="1585" w:type="pct"/>
          </w:tcPr>
          <w:p w14:paraId="46CA44CF" w14:textId="0A433602" w:rsidR="00EB4E6C" w:rsidRPr="004B274F" w:rsidRDefault="00EB4E6C" w:rsidP="00EB4E6C">
            <w:pPr>
              <w:spacing w:before="0" w:after="0"/>
              <w:jc w:val="center"/>
              <w:rPr>
                <w:sz w:val="18"/>
                <w:szCs w:val="18"/>
                <w:highlight w:val="yellow"/>
              </w:rPr>
            </w:pPr>
            <w:r w:rsidRPr="004B274F">
              <w:rPr>
                <w:sz w:val="18"/>
                <w:szCs w:val="18"/>
                <w:highlight w:val="yellow"/>
              </w:rPr>
              <w:t>4.99</w:t>
            </w:r>
          </w:p>
        </w:tc>
      </w:tr>
      <w:tr w:rsidR="00EB4E6C" w:rsidRPr="004B274F" w14:paraId="674E43B1" w14:textId="77777777" w:rsidTr="005937EC">
        <w:trPr>
          <w:trHeight w:val="20"/>
        </w:trPr>
        <w:tc>
          <w:tcPr>
            <w:tcW w:w="1829" w:type="pct"/>
            <w:shd w:val="clear" w:color="auto" w:fill="auto"/>
            <w:tcMar>
              <w:top w:w="100" w:type="dxa"/>
              <w:left w:w="100" w:type="dxa"/>
              <w:bottom w:w="100" w:type="dxa"/>
              <w:right w:w="100" w:type="dxa"/>
            </w:tcMar>
          </w:tcPr>
          <w:p w14:paraId="22E4EF41" w14:textId="77777777" w:rsidR="00EB4E6C" w:rsidRPr="004B274F" w:rsidRDefault="00EB4E6C" w:rsidP="00EB4E6C">
            <w:pPr>
              <w:spacing w:before="0" w:after="0"/>
              <w:rPr>
                <w:rFonts w:eastAsia="Times New Roman"/>
                <w:sz w:val="18"/>
                <w:szCs w:val="18"/>
                <w:highlight w:val="yellow"/>
              </w:rPr>
            </w:pPr>
            <w:proofErr w:type="spellStart"/>
            <w:r w:rsidRPr="004B274F">
              <w:rPr>
                <w:sz w:val="18"/>
                <w:szCs w:val="18"/>
                <w:highlight w:val="yellow"/>
              </w:rPr>
              <w:t>Mahagoni</w:t>
            </w:r>
            <w:proofErr w:type="spellEnd"/>
          </w:p>
        </w:tc>
        <w:tc>
          <w:tcPr>
            <w:tcW w:w="1586" w:type="pct"/>
            <w:shd w:val="clear" w:color="auto" w:fill="auto"/>
            <w:tcMar>
              <w:top w:w="100" w:type="dxa"/>
              <w:left w:w="100" w:type="dxa"/>
              <w:bottom w:w="100" w:type="dxa"/>
              <w:right w:w="100" w:type="dxa"/>
            </w:tcMar>
          </w:tcPr>
          <w:p w14:paraId="43BB5612" w14:textId="53CD29EF" w:rsidR="00EB4E6C" w:rsidRPr="004B274F" w:rsidRDefault="00EB4E6C" w:rsidP="00EB4E6C">
            <w:pPr>
              <w:spacing w:before="0" w:after="0"/>
              <w:jc w:val="center"/>
              <w:rPr>
                <w:rFonts w:eastAsia="Times New Roman"/>
                <w:sz w:val="18"/>
                <w:szCs w:val="18"/>
                <w:highlight w:val="yellow"/>
              </w:rPr>
            </w:pPr>
            <w:r w:rsidRPr="004B274F">
              <w:rPr>
                <w:sz w:val="18"/>
                <w:szCs w:val="18"/>
                <w:highlight w:val="yellow"/>
              </w:rPr>
              <w:t>4.65</w:t>
            </w:r>
          </w:p>
        </w:tc>
        <w:tc>
          <w:tcPr>
            <w:tcW w:w="1585" w:type="pct"/>
          </w:tcPr>
          <w:p w14:paraId="04E1D8FE" w14:textId="100E1710" w:rsidR="00EB4E6C" w:rsidRPr="004B274F" w:rsidRDefault="00EB4E6C" w:rsidP="00EB4E6C">
            <w:pPr>
              <w:spacing w:before="0" w:after="0"/>
              <w:jc w:val="center"/>
              <w:rPr>
                <w:sz w:val="18"/>
                <w:szCs w:val="18"/>
                <w:highlight w:val="yellow"/>
              </w:rPr>
            </w:pPr>
            <w:r w:rsidRPr="004B274F">
              <w:rPr>
                <w:sz w:val="18"/>
                <w:szCs w:val="18"/>
                <w:highlight w:val="yellow"/>
              </w:rPr>
              <w:t>2.27</w:t>
            </w:r>
          </w:p>
        </w:tc>
      </w:tr>
      <w:tr w:rsidR="00EB4E6C" w:rsidRPr="004B274F" w14:paraId="07D68391" w14:textId="77777777" w:rsidTr="005937EC">
        <w:trPr>
          <w:trHeight w:val="20"/>
        </w:trPr>
        <w:tc>
          <w:tcPr>
            <w:tcW w:w="1829" w:type="pct"/>
            <w:shd w:val="clear" w:color="auto" w:fill="auto"/>
            <w:tcMar>
              <w:top w:w="100" w:type="dxa"/>
              <w:left w:w="100" w:type="dxa"/>
              <w:bottom w:w="100" w:type="dxa"/>
              <w:right w:w="100" w:type="dxa"/>
            </w:tcMar>
          </w:tcPr>
          <w:p w14:paraId="4087B8B7" w14:textId="77777777" w:rsidR="00EB4E6C" w:rsidRPr="004B274F" w:rsidRDefault="00EB4E6C" w:rsidP="00EB4E6C">
            <w:pPr>
              <w:spacing w:before="0" w:after="0"/>
              <w:rPr>
                <w:rFonts w:eastAsia="Times New Roman"/>
                <w:sz w:val="18"/>
                <w:szCs w:val="18"/>
                <w:highlight w:val="yellow"/>
              </w:rPr>
            </w:pPr>
            <w:r w:rsidRPr="004B274F">
              <w:rPr>
                <w:sz w:val="18"/>
                <w:szCs w:val="18"/>
                <w:highlight w:val="yellow"/>
              </w:rPr>
              <w:t>Mango</w:t>
            </w:r>
          </w:p>
        </w:tc>
        <w:tc>
          <w:tcPr>
            <w:tcW w:w="1586" w:type="pct"/>
            <w:shd w:val="clear" w:color="auto" w:fill="auto"/>
            <w:tcMar>
              <w:top w:w="100" w:type="dxa"/>
              <w:left w:w="100" w:type="dxa"/>
              <w:bottom w:w="100" w:type="dxa"/>
              <w:right w:w="100" w:type="dxa"/>
            </w:tcMar>
          </w:tcPr>
          <w:p w14:paraId="31C60F09" w14:textId="578EC0FB" w:rsidR="00EB4E6C" w:rsidRPr="004B274F" w:rsidRDefault="00EB4E6C" w:rsidP="00EB4E6C">
            <w:pPr>
              <w:keepNext/>
              <w:spacing w:before="0" w:after="0"/>
              <w:jc w:val="center"/>
              <w:rPr>
                <w:rFonts w:eastAsia="Times New Roman"/>
                <w:sz w:val="18"/>
                <w:szCs w:val="18"/>
                <w:highlight w:val="yellow"/>
              </w:rPr>
            </w:pPr>
            <w:r w:rsidRPr="004B274F">
              <w:rPr>
                <w:sz w:val="18"/>
                <w:szCs w:val="18"/>
                <w:highlight w:val="yellow"/>
              </w:rPr>
              <w:t>7.55</w:t>
            </w:r>
          </w:p>
        </w:tc>
        <w:tc>
          <w:tcPr>
            <w:tcW w:w="1585" w:type="pct"/>
          </w:tcPr>
          <w:p w14:paraId="163B9BD9" w14:textId="5BA1313C" w:rsidR="00EB4E6C" w:rsidRPr="004B274F" w:rsidRDefault="00EB4E6C" w:rsidP="00EB4E6C">
            <w:pPr>
              <w:keepNext/>
              <w:spacing w:before="0" w:after="0"/>
              <w:jc w:val="center"/>
              <w:rPr>
                <w:sz w:val="18"/>
                <w:szCs w:val="18"/>
                <w:highlight w:val="yellow"/>
              </w:rPr>
            </w:pPr>
            <w:r w:rsidRPr="004B274F">
              <w:rPr>
                <w:sz w:val="18"/>
                <w:szCs w:val="18"/>
                <w:highlight w:val="yellow"/>
              </w:rPr>
              <w:t>2.85</w:t>
            </w:r>
          </w:p>
        </w:tc>
      </w:tr>
      <w:tr w:rsidR="00EB4E6C" w:rsidRPr="00EB4E6C" w14:paraId="04DF7EC0" w14:textId="77777777" w:rsidTr="005937EC">
        <w:trPr>
          <w:trHeight w:val="20"/>
        </w:trPr>
        <w:tc>
          <w:tcPr>
            <w:tcW w:w="1829" w:type="pct"/>
            <w:shd w:val="clear" w:color="auto" w:fill="auto"/>
            <w:tcMar>
              <w:top w:w="100" w:type="dxa"/>
              <w:left w:w="100" w:type="dxa"/>
              <w:bottom w:w="100" w:type="dxa"/>
              <w:right w:w="100" w:type="dxa"/>
            </w:tcMar>
          </w:tcPr>
          <w:p w14:paraId="4B81F9D6" w14:textId="77777777" w:rsidR="00EB4E6C" w:rsidRPr="004B274F" w:rsidRDefault="00EB4E6C" w:rsidP="00EB4E6C">
            <w:pPr>
              <w:spacing w:before="0" w:after="0"/>
              <w:rPr>
                <w:sz w:val="18"/>
                <w:szCs w:val="18"/>
                <w:highlight w:val="yellow"/>
              </w:rPr>
            </w:pPr>
            <w:r w:rsidRPr="004B274F">
              <w:rPr>
                <w:sz w:val="18"/>
                <w:szCs w:val="18"/>
                <w:highlight w:val="yellow"/>
              </w:rPr>
              <w:t>Rain tree</w:t>
            </w:r>
          </w:p>
        </w:tc>
        <w:tc>
          <w:tcPr>
            <w:tcW w:w="1586" w:type="pct"/>
            <w:shd w:val="clear" w:color="auto" w:fill="auto"/>
            <w:tcMar>
              <w:top w:w="100" w:type="dxa"/>
              <w:left w:w="100" w:type="dxa"/>
              <w:bottom w:w="100" w:type="dxa"/>
              <w:right w:w="100" w:type="dxa"/>
            </w:tcMar>
          </w:tcPr>
          <w:p w14:paraId="545A6E5E" w14:textId="3102DB2A" w:rsidR="00EB4E6C" w:rsidRPr="004B274F" w:rsidRDefault="00EB4E6C" w:rsidP="00EB4E6C">
            <w:pPr>
              <w:keepNext/>
              <w:spacing w:before="0" w:after="0"/>
              <w:jc w:val="center"/>
              <w:rPr>
                <w:sz w:val="18"/>
                <w:szCs w:val="18"/>
                <w:highlight w:val="yellow"/>
              </w:rPr>
            </w:pPr>
            <w:r w:rsidRPr="004B274F">
              <w:rPr>
                <w:sz w:val="18"/>
                <w:szCs w:val="18"/>
                <w:highlight w:val="yellow"/>
              </w:rPr>
              <w:t>8.8</w:t>
            </w:r>
          </w:p>
        </w:tc>
        <w:tc>
          <w:tcPr>
            <w:tcW w:w="1585" w:type="pct"/>
          </w:tcPr>
          <w:p w14:paraId="2C48EE02" w14:textId="43A6BDCF" w:rsidR="00EB4E6C" w:rsidRPr="00EB4E6C" w:rsidRDefault="00EB4E6C" w:rsidP="00EB4E6C">
            <w:pPr>
              <w:keepNext/>
              <w:spacing w:before="0" w:after="0"/>
              <w:jc w:val="center"/>
              <w:rPr>
                <w:sz w:val="18"/>
                <w:szCs w:val="18"/>
              </w:rPr>
            </w:pPr>
            <w:r w:rsidRPr="004B274F">
              <w:rPr>
                <w:sz w:val="18"/>
                <w:szCs w:val="18"/>
                <w:highlight w:val="yellow"/>
              </w:rPr>
              <w:t>3.35</w:t>
            </w:r>
          </w:p>
        </w:tc>
      </w:tr>
    </w:tbl>
    <w:p w14:paraId="000788A9" w14:textId="77777777" w:rsidR="00EB4E6C" w:rsidRDefault="00EB4E6C" w:rsidP="00B654AC"/>
    <w:p w14:paraId="16D27457" w14:textId="71EF99C8" w:rsidR="00F16278" w:rsidRPr="00777EE1" w:rsidRDefault="00F16278" w:rsidP="00B654AC">
      <w:pPr>
        <w:pStyle w:val="Heading2"/>
      </w:pPr>
      <w:bookmarkStart w:id="32" w:name="_bn54ywjhyveg" w:colFirst="0" w:colLast="0"/>
      <w:bookmarkEnd w:id="32"/>
      <w:r w:rsidRPr="00777EE1">
        <w:t>Effect of Biochar on Soil Properties</w:t>
      </w:r>
    </w:p>
    <w:p w14:paraId="22C5F9A9" w14:textId="05976230" w:rsidR="00F16278" w:rsidRDefault="00F16278" w:rsidP="00B654AC">
      <w:r w:rsidRPr="00392844">
        <w:rPr>
          <w:highlight w:val="yellow"/>
        </w:rPr>
        <w:t>ANOVA analysis of soil moisture content indicated a highly significant impact of biochar treatment (</w:t>
      </w:r>
      <w:r w:rsidRPr="00392844">
        <w:rPr>
          <w:rStyle w:val="Strong"/>
          <w:szCs w:val="20"/>
          <w:highlight w:val="yellow"/>
        </w:rPr>
        <w:t>p</w:t>
      </w:r>
      <w:r w:rsidRPr="00392844">
        <w:rPr>
          <w:highlight w:val="yellow"/>
        </w:rPr>
        <w:t xml:space="preserve"> &lt; 0.001) and </w:t>
      </w:r>
      <w:r w:rsidR="00392844" w:rsidRPr="00392844">
        <w:rPr>
          <w:highlight w:val="yellow"/>
        </w:rPr>
        <w:t>test</w:t>
      </w:r>
      <w:r w:rsidRPr="00392844">
        <w:rPr>
          <w:highlight w:val="yellow"/>
        </w:rPr>
        <w:t xml:space="preserve"> species (</w:t>
      </w:r>
      <w:r w:rsidRPr="00392844">
        <w:rPr>
          <w:rStyle w:val="Strong"/>
          <w:szCs w:val="20"/>
          <w:highlight w:val="yellow"/>
        </w:rPr>
        <w:t>p</w:t>
      </w:r>
      <w:r w:rsidRPr="00392844">
        <w:rPr>
          <w:highlight w:val="yellow"/>
        </w:rPr>
        <w:t xml:space="preserve"> &lt; 0.001). According to Tukey’s HSD post-hoc test, all biochar treatments, except for </w:t>
      </w:r>
      <w:proofErr w:type="spellStart"/>
      <w:r w:rsidRPr="00392844">
        <w:rPr>
          <w:highlight w:val="yellow"/>
        </w:rPr>
        <w:t>Mahagoni</w:t>
      </w:r>
      <w:proofErr w:type="spellEnd"/>
      <w:r w:rsidRPr="00392844">
        <w:rPr>
          <w:highlight w:val="yellow"/>
        </w:rPr>
        <w:t xml:space="preserve"> and Raintree (</w:t>
      </w:r>
      <w:r w:rsidRPr="00392844">
        <w:rPr>
          <w:rStyle w:val="Strong"/>
          <w:szCs w:val="20"/>
          <w:highlight w:val="yellow"/>
        </w:rPr>
        <w:t>p</w:t>
      </w:r>
      <w:r w:rsidRPr="00392844">
        <w:rPr>
          <w:highlight w:val="yellow"/>
        </w:rPr>
        <w:t xml:space="preserve"> &lt; 0.05), significantly increased soil moisture content compared to the </w:t>
      </w:r>
      <w:r w:rsidR="00004E21" w:rsidRPr="00392844">
        <w:rPr>
          <w:highlight w:val="yellow"/>
        </w:rPr>
        <w:t>c</w:t>
      </w:r>
      <w:r w:rsidRPr="00392844">
        <w:rPr>
          <w:highlight w:val="yellow"/>
        </w:rPr>
        <w:t>ontrol. Additionally, Mango biochar (</w:t>
      </w:r>
      <w:r w:rsidRPr="00392844">
        <w:rPr>
          <w:rStyle w:val="Strong"/>
          <w:szCs w:val="20"/>
          <w:highlight w:val="yellow"/>
        </w:rPr>
        <w:t>p</w:t>
      </w:r>
      <w:r w:rsidRPr="00392844">
        <w:rPr>
          <w:highlight w:val="yellow"/>
        </w:rPr>
        <w:t xml:space="preserve"> &lt; 0.05) showed a significant increase in soil moisture compared to </w:t>
      </w:r>
      <w:proofErr w:type="spellStart"/>
      <w:r w:rsidRPr="00392844">
        <w:rPr>
          <w:highlight w:val="yellow"/>
        </w:rPr>
        <w:t>Mahagoni</w:t>
      </w:r>
      <w:proofErr w:type="spellEnd"/>
      <w:r w:rsidRPr="00392844">
        <w:rPr>
          <w:highlight w:val="yellow"/>
        </w:rPr>
        <w:t xml:space="preserve"> and Raintree. In </w:t>
      </w:r>
      <w:proofErr w:type="spellStart"/>
      <w:r w:rsidRPr="00392844">
        <w:rPr>
          <w:highlight w:val="yellow"/>
        </w:rPr>
        <w:t>Akashmoni</w:t>
      </w:r>
      <w:proofErr w:type="spellEnd"/>
      <w:r w:rsidRPr="00392844">
        <w:rPr>
          <w:highlight w:val="yellow"/>
        </w:rPr>
        <w:t xml:space="preserve">, </w:t>
      </w:r>
      <w:proofErr w:type="spellStart"/>
      <w:r w:rsidRPr="00392844">
        <w:rPr>
          <w:highlight w:val="yellow"/>
        </w:rPr>
        <w:t>Chambul</w:t>
      </w:r>
      <w:proofErr w:type="spellEnd"/>
      <w:r w:rsidRPr="00392844">
        <w:rPr>
          <w:highlight w:val="yellow"/>
        </w:rPr>
        <w:t xml:space="preserve"> and Kathal biochar (</w:t>
      </w:r>
      <w:r w:rsidRPr="00392844">
        <w:rPr>
          <w:rStyle w:val="Strong"/>
          <w:szCs w:val="20"/>
          <w:highlight w:val="yellow"/>
        </w:rPr>
        <w:t>p</w:t>
      </w:r>
      <w:r w:rsidRPr="00392844">
        <w:rPr>
          <w:highlight w:val="yellow"/>
        </w:rPr>
        <w:t xml:space="preserve"> &lt; 0.05) demonstrated significant improvements over the </w:t>
      </w:r>
      <w:r w:rsidR="00004E21" w:rsidRPr="00392844">
        <w:rPr>
          <w:highlight w:val="yellow"/>
        </w:rPr>
        <w:t>c</w:t>
      </w:r>
      <w:r w:rsidRPr="00392844">
        <w:rPr>
          <w:highlight w:val="yellow"/>
        </w:rPr>
        <w:t>ontrol, while all biochar treatments in Rice (</w:t>
      </w:r>
      <w:r w:rsidRPr="00392844">
        <w:rPr>
          <w:rStyle w:val="Strong"/>
          <w:szCs w:val="20"/>
          <w:highlight w:val="yellow"/>
        </w:rPr>
        <w:t>p</w:t>
      </w:r>
      <w:r w:rsidRPr="00392844">
        <w:rPr>
          <w:highlight w:val="yellow"/>
        </w:rPr>
        <w:t xml:space="preserve"> &lt; 0.05) significantly outperformed the </w:t>
      </w:r>
      <w:r w:rsidR="00004E21" w:rsidRPr="00392844">
        <w:rPr>
          <w:highlight w:val="yellow"/>
        </w:rPr>
        <w:t>c</w:t>
      </w:r>
      <w:r w:rsidRPr="00392844">
        <w:rPr>
          <w:highlight w:val="yellow"/>
        </w:rPr>
        <w:t>ontrol. Furthermore, Kadam biochar in Rice exhibited a significant (</w:t>
      </w:r>
      <w:r w:rsidRPr="00392844">
        <w:rPr>
          <w:rStyle w:val="Strong"/>
          <w:szCs w:val="20"/>
          <w:highlight w:val="yellow"/>
        </w:rPr>
        <w:t>p</w:t>
      </w:r>
      <w:r w:rsidRPr="00392844">
        <w:rPr>
          <w:highlight w:val="yellow"/>
        </w:rPr>
        <w:t xml:space="preserve"> &lt; 0.05) increase in soil moisture compared to </w:t>
      </w:r>
      <w:proofErr w:type="spellStart"/>
      <w:r w:rsidRPr="00392844">
        <w:rPr>
          <w:highlight w:val="yellow"/>
        </w:rPr>
        <w:t>Mahagoni</w:t>
      </w:r>
      <w:proofErr w:type="spellEnd"/>
      <w:r w:rsidRPr="00392844">
        <w:rPr>
          <w:highlight w:val="yellow"/>
        </w:rPr>
        <w:t>, Kadam, and Raintree (</w:t>
      </w:r>
      <w:r w:rsidR="004A3707" w:rsidRPr="00392844">
        <w:rPr>
          <w:highlight w:val="yellow"/>
        </w:rPr>
        <w:fldChar w:fldCharType="begin"/>
      </w:r>
      <w:r w:rsidR="004A3707" w:rsidRPr="00392844">
        <w:rPr>
          <w:highlight w:val="yellow"/>
        </w:rPr>
        <w:instrText xml:space="preserve"> REF _Ref192636321 \h </w:instrText>
      </w:r>
      <w:r w:rsidR="00392844">
        <w:rPr>
          <w:highlight w:val="yellow"/>
        </w:rPr>
        <w:instrText xml:space="preserve"> \* MERGEFORMAT </w:instrText>
      </w:r>
      <w:r w:rsidR="004A3707" w:rsidRPr="00392844">
        <w:rPr>
          <w:highlight w:val="yellow"/>
        </w:rPr>
      </w:r>
      <w:r w:rsidR="004A3707" w:rsidRPr="00392844">
        <w:rPr>
          <w:highlight w:val="yellow"/>
        </w:rPr>
        <w:fldChar w:fldCharType="separate"/>
      </w:r>
      <w:r w:rsidR="00315CD1" w:rsidRPr="00392844">
        <w:rPr>
          <w:highlight w:val="yellow"/>
        </w:rPr>
        <w:t xml:space="preserve">Figure </w:t>
      </w:r>
      <w:r w:rsidR="00315CD1" w:rsidRPr="00392844">
        <w:rPr>
          <w:noProof/>
          <w:highlight w:val="yellow"/>
        </w:rPr>
        <w:t>15</w:t>
      </w:r>
      <w:r w:rsidR="004A3707" w:rsidRPr="00392844">
        <w:rPr>
          <w:highlight w:val="yellow"/>
        </w:rPr>
        <w:fldChar w:fldCharType="end"/>
      </w:r>
      <w:r w:rsidRPr="00392844">
        <w:rPr>
          <w:highlight w:val="yellow"/>
        </w:rPr>
        <w:t>).</w:t>
      </w:r>
    </w:p>
    <w:p w14:paraId="797EB4E8"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4F6F3D85" wp14:editId="363F79AA">
            <wp:extent cx="3950208" cy="2350008"/>
            <wp:effectExtent l="0" t="0" r="0" b="0"/>
            <wp:docPr id="16" name="image11.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11.png" descr="A graph of different colored bars&#10;&#10;AI-generated content may be incorrect."/>
                    <pic:cNvPicPr preferRelativeResize="0"/>
                  </pic:nvPicPr>
                  <pic:blipFill>
                    <a:blip r:embed="rId22"/>
                    <a:srcRect/>
                    <a:stretch>
                      <a:fillRect/>
                    </a:stretch>
                  </pic:blipFill>
                  <pic:spPr>
                    <a:xfrm>
                      <a:off x="0" y="0"/>
                      <a:ext cx="3950208" cy="2350008"/>
                    </a:xfrm>
                    <a:prstGeom prst="rect">
                      <a:avLst/>
                    </a:prstGeom>
                    <a:ln/>
                  </pic:spPr>
                </pic:pic>
              </a:graphicData>
            </a:graphic>
          </wp:inline>
        </w:drawing>
      </w:r>
    </w:p>
    <w:p w14:paraId="0CEF3274" w14:textId="29654CF0" w:rsidR="004A3707" w:rsidRDefault="004A3707" w:rsidP="00496A10">
      <w:pPr>
        <w:pStyle w:val="Caption"/>
        <w:rPr>
          <w:rFonts w:ascii="Times New Roman" w:eastAsia="Times New Roman" w:hAnsi="Times New Roman" w:cs="Times New Roman"/>
          <w:sz w:val="20"/>
          <w:szCs w:val="20"/>
        </w:rPr>
      </w:pPr>
      <w:bookmarkStart w:id="33" w:name="_Ref192636321"/>
      <w:r>
        <w:t xml:space="preserve">Figure </w:t>
      </w:r>
      <w:fldSimple w:instr=" SEQ Figure \* ARABIC ">
        <w:r w:rsidR="00315CD1">
          <w:rPr>
            <w:noProof/>
          </w:rPr>
          <w:t>15</w:t>
        </w:r>
      </w:fldSimple>
      <w:bookmarkEnd w:id="33"/>
      <w:r>
        <w:rPr>
          <w:lang w:val="en-US"/>
        </w:rPr>
        <w:t xml:space="preserve">: </w:t>
      </w:r>
      <w:r w:rsidRPr="00652795">
        <w:rPr>
          <w:lang w:val="en-US"/>
        </w:rPr>
        <w:t>Effect of different biochar on the dry weight of reproductive parts of Rice</w:t>
      </w:r>
    </w:p>
    <w:p w14:paraId="200789E2" w14:textId="1B9E6DD5" w:rsidR="00F16278" w:rsidRDefault="00F16278" w:rsidP="00B654AC">
      <w:r w:rsidRPr="00392844">
        <w:rPr>
          <w:highlight w:val="yellow"/>
        </w:rPr>
        <w:t xml:space="preserve">Tukey’s HSD post-hoc test also revealed that </w:t>
      </w:r>
      <w:proofErr w:type="spellStart"/>
      <w:r w:rsidRPr="00392844">
        <w:rPr>
          <w:highlight w:val="yellow"/>
        </w:rPr>
        <w:t>Chambul</w:t>
      </w:r>
      <w:proofErr w:type="spellEnd"/>
      <w:r w:rsidRPr="00392844">
        <w:rPr>
          <w:highlight w:val="yellow"/>
        </w:rPr>
        <w:t xml:space="preserve"> and Mango biochar significantly (</w:t>
      </w:r>
      <w:r w:rsidRPr="00392844">
        <w:rPr>
          <w:rStyle w:val="Strong"/>
          <w:szCs w:val="20"/>
          <w:highlight w:val="yellow"/>
        </w:rPr>
        <w:t>p</w:t>
      </w:r>
      <w:r w:rsidRPr="00392844">
        <w:rPr>
          <w:highlight w:val="yellow"/>
        </w:rPr>
        <w:t xml:space="preserve"> &lt; 0.05) increased soil organic matter content compared to the </w:t>
      </w:r>
      <w:r w:rsidR="00004E21" w:rsidRPr="00392844">
        <w:rPr>
          <w:highlight w:val="yellow"/>
        </w:rPr>
        <w:t>c</w:t>
      </w:r>
      <w:r w:rsidRPr="00392844">
        <w:rPr>
          <w:highlight w:val="yellow"/>
        </w:rPr>
        <w:t>ontrol, Kadam, and Raintree. Additionally, Kathal (</w:t>
      </w:r>
      <w:r w:rsidRPr="00392844">
        <w:rPr>
          <w:rStyle w:val="Strong"/>
          <w:szCs w:val="20"/>
          <w:highlight w:val="yellow"/>
        </w:rPr>
        <w:t>p</w:t>
      </w:r>
      <w:r w:rsidRPr="00392844">
        <w:rPr>
          <w:highlight w:val="yellow"/>
        </w:rPr>
        <w:t xml:space="preserve"> &lt; 0.05) and </w:t>
      </w:r>
      <w:proofErr w:type="spellStart"/>
      <w:r w:rsidRPr="00392844">
        <w:rPr>
          <w:highlight w:val="yellow"/>
        </w:rPr>
        <w:t>Mahagoni</w:t>
      </w:r>
      <w:proofErr w:type="spellEnd"/>
      <w:r w:rsidRPr="00392844">
        <w:rPr>
          <w:highlight w:val="yellow"/>
        </w:rPr>
        <w:t xml:space="preserve"> (</w:t>
      </w:r>
      <w:r w:rsidRPr="00392844">
        <w:rPr>
          <w:rStyle w:val="Strong"/>
          <w:szCs w:val="20"/>
          <w:highlight w:val="yellow"/>
        </w:rPr>
        <w:t>p</w:t>
      </w:r>
      <w:r w:rsidRPr="00392844">
        <w:rPr>
          <w:highlight w:val="yellow"/>
        </w:rPr>
        <w:t xml:space="preserve"> &lt; 0.01) showed higher soil organic matter levels than all other treatments. </w:t>
      </w:r>
      <w:proofErr w:type="spellStart"/>
      <w:r w:rsidRPr="00392844">
        <w:rPr>
          <w:highlight w:val="yellow"/>
        </w:rPr>
        <w:t>Mahagoni</w:t>
      </w:r>
      <w:proofErr w:type="spellEnd"/>
      <w:r w:rsidRPr="00392844">
        <w:rPr>
          <w:highlight w:val="yellow"/>
        </w:rPr>
        <w:t xml:space="preserve"> exhibited a significantly higher (</w:t>
      </w:r>
      <w:r w:rsidRPr="00392844">
        <w:rPr>
          <w:rStyle w:val="Strong"/>
          <w:szCs w:val="20"/>
          <w:highlight w:val="yellow"/>
        </w:rPr>
        <w:t>p</w:t>
      </w:r>
      <w:r w:rsidRPr="00392844">
        <w:rPr>
          <w:highlight w:val="yellow"/>
        </w:rPr>
        <w:t xml:space="preserve"> &lt; 0.001) soil organic matter content than Kadam and Kathal in </w:t>
      </w:r>
      <w:proofErr w:type="spellStart"/>
      <w:r w:rsidRPr="00392844">
        <w:rPr>
          <w:highlight w:val="yellow"/>
        </w:rPr>
        <w:t>Akashmoni</w:t>
      </w:r>
      <w:proofErr w:type="spellEnd"/>
      <w:r w:rsidRPr="00392844">
        <w:rPr>
          <w:highlight w:val="yellow"/>
        </w:rPr>
        <w:t>, while Mango and Raintree (</w:t>
      </w:r>
      <w:r w:rsidRPr="00392844">
        <w:rPr>
          <w:rStyle w:val="Strong"/>
          <w:szCs w:val="20"/>
          <w:highlight w:val="yellow"/>
        </w:rPr>
        <w:t>p</w:t>
      </w:r>
      <w:r w:rsidRPr="00392844">
        <w:rPr>
          <w:highlight w:val="yellow"/>
        </w:rPr>
        <w:t xml:space="preserve"> &lt; 0.001) outperformed </w:t>
      </w:r>
      <w:proofErr w:type="spellStart"/>
      <w:r w:rsidRPr="00392844">
        <w:rPr>
          <w:highlight w:val="yellow"/>
        </w:rPr>
        <w:t>Mahagoni</w:t>
      </w:r>
      <w:proofErr w:type="spellEnd"/>
      <w:r w:rsidRPr="00392844">
        <w:rPr>
          <w:highlight w:val="yellow"/>
        </w:rPr>
        <w:t>. In Rice, all treatments (</w:t>
      </w:r>
      <w:r w:rsidRPr="00392844">
        <w:rPr>
          <w:rStyle w:val="Strong"/>
          <w:szCs w:val="20"/>
          <w:highlight w:val="yellow"/>
        </w:rPr>
        <w:t>p</w:t>
      </w:r>
      <w:r w:rsidRPr="00392844">
        <w:rPr>
          <w:highlight w:val="yellow"/>
        </w:rPr>
        <w:t xml:space="preserve"> &lt; 0.001) significantly increased soil organic matter compared to </w:t>
      </w:r>
      <w:proofErr w:type="spellStart"/>
      <w:r w:rsidRPr="00392844">
        <w:rPr>
          <w:highlight w:val="yellow"/>
        </w:rPr>
        <w:t>Mahagoni</w:t>
      </w:r>
      <w:proofErr w:type="spellEnd"/>
      <w:r w:rsidRPr="00392844">
        <w:rPr>
          <w:highlight w:val="yellow"/>
        </w:rPr>
        <w:t xml:space="preserve"> (</w:t>
      </w:r>
      <w:r w:rsidR="004A3707" w:rsidRPr="00392844">
        <w:rPr>
          <w:highlight w:val="yellow"/>
        </w:rPr>
        <w:fldChar w:fldCharType="begin"/>
      </w:r>
      <w:r w:rsidR="004A3707" w:rsidRPr="00392844">
        <w:rPr>
          <w:highlight w:val="yellow"/>
        </w:rPr>
        <w:instrText xml:space="preserve"> REF _Ref192636332 \h </w:instrText>
      </w:r>
      <w:r w:rsidR="00392844">
        <w:rPr>
          <w:highlight w:val="yellow"/>
        </w:rPr>
        <w:instrText xml:space="preserve"> \* MERGEFORMAT </w:instrText>
      </w:r>
      <w:r w:rsidR="004A3707" w:rsidRPr="00392844">
        <w:rPr>
          <w:highlight w:val="yellow"/>
        </w:rPr>
      </w:r>
      <w:r w:rsidR="004A3707" w:rsidRPr="00392844">
        <w:rPr>
          <w:highlight w:val="yellow"/>
        </w:rPr>
        <w:fldChar w:fldCharType="separate"/>
      </w:r>
      <w:r w:rsidR="00315CD1" w:rsidRPr="00392844">
        <w:rPr>
          <w:highlight w:val="yellow"/>
        </w:rPr>
        <w:t xml:space="preserve">Figure </w:t>
      </w:r>
      <w:r w:rsidR="00315CD1" w:rsidRPr="00392844">
        <w:rPr>
          <w:noProof/>
          <w:highlight w:val="yellow"/>
        </w:rPr>
        <w:t>16</w:t>
      </w:r>
      <w:r w:rsidR="004A3707" w:rsidRPr="00392844">
        <w:rPr>
          <w:highlight w:val="yellow"/>
        </w:rPr>
        <w:fldChar w:fldCharType="end"/>
      </w:r>
      <w:r w:rsidRPr="00392844">
        <w:rPr>
          <w:highlight w:val="yellow"/>
        </w:rPr>
        <w:t>).</w:t>
      </w:r>
    </w:p>
    <w:p w14:paraId="783FEA31"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25AE32E8" wp14:editId="71D1915A">
            <wp:extent cx="3950208" cy="2350008"/>
            <wp:effectExtent l="0" t="0" r="0" b="0"/>
            <wp:docPr id="23" name="image22.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23" name="image22.png" descr="A graph of different colored bars&#10;&#10;AI-generated content may be incorrect."/>
                    <pic:cNvPicPr preferRelativeResize="0"/>
                  </pic:nvPicPr>
                  <pic:blipFill>
                    <a:blip r:embed="rId23"/>
                    <a:srcRect/>
                    <a:stretch>
                      <a:fillRect/>
                    </a:stretch>
                  </pic:blipFill>
                  <pic:spPr>
                    <a:xfrm>
                      <a:off x="0" y="0"/>
                      <a:ext cx="3950208" cy="2350008"/>
                    </a:xfrm>
                    <a:prstGeom prst="rect">
                      <a:avLst/>
                    </a:prstGeom>
                    <a:ln/>
                  </pic:spPr>
                </pic:pic>
              </a:graphicData>
            </a:graphic>
          </wp:inline>
        </w:drawing>
      </w:r>
    </w:p>
    <w:p w14:paraId="470854E8" w14:textId="096A7B8F" w:rsidR="004A3707" w:rsidRDefault="004A3707" w:rsidP="00496A10">
      <w:pPr>
        <w:pStyle w:val="Caption"/>
        <w:rPr>
          <w:rFonts w:ascii="Times New Roman" w:eastAsia="Times New Roman" w:hAnsi="Times New Roman" w:cs="Times New Roman"/>
          <w:sz w:val="20"/>
          <w:szCs w:val="20"/>
        </w:rPr>
      </w:pPr>
      <w:bookmarkStart w:id="34" w:name="_Ref192636332"/>
      <w:r>
        <w:t xml:space="preserve">Figure </w:t>
      </w:r>
      <w:fldSimple w:instr=" SEQ Figure \* ARABIC ">
        <w:r w:rsidR="00315CD1">
          <w:rPr>
            <w:noProof/>
          </w:rPr>
          <w:t>16</w:t>
        </w:r>
      </w:fldSimple>
      <w:bookmarkEnd w:id="34"/>
      <w:r>
        <w:rPr>
          <w:lang w:val="en-US"/>
        </w:rPr>
        <w:t xml:space="preserve">: </w:t>
      </w:r>
      <w:r w:rsidRPr="003E35A7">
        <w:rPr>
          <w:lang w:val="en-US"/>
        </w:rPr>
        <w:t>Effect of different biochar on Soil organic matter content (%) of two different species</w:t>
      </w:r>
    </w:p>
    <w:p w14:paraId="5C417380" w14:textId="4551036B" w:rsidR="00F16278" w:rsidRDefault="00F16278" w:rsidP="00B654AC">
      <w:r w:rsidRPr="00392844">
        <w:rPr>
          <w:highlight w:val="yellow"/>
        </w:rPr>
        <w:t>ANOVA results further demonstrated that biochar treatment (</w:t>
      </w:r>
      <w:r w:rsidRPr="00392844">
        <w:rPr>
          <w:rStyle w:val="Strong"/>
          <w:szCs w:val="20"/>
          <w:highlight w:val="yellow"/>
        </w:rPr>
        <w:t>p</w:t>
      </w:r>
      <w:r w:rsidRPr="00392844">
        <w:rPr>
          <w:highlight w:val="yellow"/>
        </w:rPr>
        <w:t xml:space="preserve"> &lt; 0.001) and </w:t>
      </w:r>
      <w:r w:rsidR="00392844" w:rsidRPr="00392844">
        <w:rPr>
          <w:highlight w:val="yellow"/>
        </w:rPr>
        <w:t>test</w:t>
      </w:r>
      <w:r w:rsidRPr="00392844">
        <w:rPr>
          <w:highlight w:val="yellow"/>
        </w:rPr>
        <w:t xml:space="preserve"> species (</w:t>
      </w:r>
      <w:r w:rsidRPr="00392844">
        <w:rPr>
          <w:rStyle w:val="Strong"/>
          <w:szCs w:val="20"/>
          <w:highlight w:val="yellow"/>
        </w:rPr>
        <w:t>p</w:t>
      </w:r>
      <w:r w:rsidRPr="00392844">
        <w:rPr>
          <w:highlight w:val="yellow"/>
        </w:rPr>
        <w:t xml:space="preserve"> &lt; 0.01) both had a significant effect on soil </w:t>
      </w:r>
      <w:proofErr w:type="spellStart"/>
      <w:r w:rsidRPr="00392844">
        <w:rPr>
          <w:highlight w:val="yellow"/>
        </w:rPr>
        <w:t>pH.</w:t>
      </w:r>
      <w:proofErr w:type="spellEnd"/>
      <w:r w:rsidRPr="00392844">
        <w:rPr>
          <w:highlight w:val="yellow"/>
        </w:rPr>
        <w:t xml:space="preserve"> According to Tukey’s HSD post-hoc test, the application of </w:t>
      </w:r>
      <w:proofErr w:type="spellStart"/>
      <w:r w:rsidRPr="00392844">
        <w:rPr>
          <w:highlight w:val="yellow"/>
        </w:rPr>
        <w:t>Chambul</w:t>
      </w:r>
      <w:proofErr w:type="spellEnd"/>
      <w:r w:rsidRPr="00392844">
        <w:rPr>
          <w:highlight w:val="yellow"/>
        </w:rPr>
        <w:t xml:space="preserve"> biochar (</w:t>
      </w:r>
      <w:r w:rsidRPr="00392844">
        <w:rPr>
          <w:rStyle w:val="Strong"/>
          <w:szCs w:val="20"/>
          <w:highlight w:val="yellow"/>
        </w:rPr>
        <w:t>p</w:t>
      </w:r>
      <w:r w:rsidRPr="00392844">
        <w:rPr>
          <w:highlight w:val="yellow"/>
        </w:rPr>
        <w:t xml:space="preserve"> &lt; 0.05) in </w:t>
      </w:r>
      <w:proofErr w:type="spellStart"/>
      <w:r w:rsidRPr="00392844">
        <w:rPr>
          <w:highlight w:val="yellow"/>
        </w:rPr>
        <w:t>Akashmoni</w:t>
      </w:r>
      <w:proofErr w:type="spellEnd"/>
      <w:r w:rsidRPr="00392844">
        <w:rPr>
          <w:highlight w:val="yellow"/>
        </w:rPr>
        <w:t xml:space="preserve"> significantly increased soil pH compared to other treatments in Rice, except for Raintree. Similarly, Raintree biochar (</w:t>
      </w:r>
      <w:r w:rsidRPr="00392844">
        <w:rPr>
          <w:rStyle w:val="Strong"/>
          <w:szCs w:val="20"/>
          <w:highlight w:val="yellow"/>
        </w:rPr>
        <w:t>p</w:t>
      </w:r>
      <w:r w:rsidRPr="00392844">
        <w:rPr>
          <w:highlight w:val="yellow"/>
        </w:rPr>
        <w:t xml:space="preserve"> &lt; 0.05) exhibited significant effects compared to other treatments, except for Kadam. Across both plant species, Raintree biochar (</w:t>
      </w:r>
      <w:r w:rsidRPr="00392844">
        <w:rPr>
          <w:rStyle w:val="Strong"/>
          <w:szCs w:val="20"/>
          <w:highlight w:val="yellow"/>
        </w:rPr>
        <w:t>p</w:t>
      </w:r>
      <w:r w:rsidRPr="00392844">
        <w:rPr>
          <w:highlight w:val="yellow"/>
        </w:rPr>
        <w:t xml:space="preserve"> &lt; 0.05) significantly increased soil pH compared to the Control, Mango, and Kathal (</w:t>
      </w:r>
      <w:r w:rsidR="004A3707" w:rsidRPr="00392844">
        <w:rPr>
          <w:highlight w:val="yellow"/>
        </w:rPr>
        <w:fldChar w:fldCharType="begin"/>
      </w:r>
      <w:r w:rsidR="004A3707" w:rsidRPr="00392844">
        <w:rPr>
          <w:highlight w:val="yellow"/>
        </w:rPr>
        <w:instrText xml:space="preserve"> REF _Ref192636340 \h </w:instrText>
      </w:r>
      <w:r w:rsidR="00392844" w:rsidRPr="00392844">
        <w:rPr>
          <w:highlight w:val="yellow"/>
        </w:rPr>
        <w:instrText xml:space="preserve"> \* MERGEFORMAT </w:instrText>
      </w:r>
      <w:r w:rsidR="004A3707" w:rsidRPr="00392844">
        <w:rPr>
          <w:highlight w:val="yellow"/>
        </w:rPr>
      </w:r>
      <w:r w:rsidR="004A3707" w:rsidRPr="00392844">
        <w:rPr>
          <w:highlight w:val="yellow"/>
        </w:rPr>
        <w:fldChar w:fldCharType="separate"/>
      </w:r>
      <w:r w:rsidR="00315CD1" w:rsidRPr="00392844">
        <w:rPr>
          <w:highlight w:val="yellow"/>
        </w:rPr>
        <w:t xml:space="preserve">Figure </w:t>
      </w:r>
      <w:r w:rsidR="00315CD1" w:rsidRPr="00392844">
        <w:rPr>
          <w:noProof/>
          <w:highlight w:val="yellow"/>
        </w:rPr>
        <w:t>17</w:t>
      </w:r>
      <w:r w:rsidR="004A3707" w:rsidRPr="00392844">
        <w:rPr>
          <w:highlight w:val="yellow"/>
        </w:rPr>
        <w:fldChar w:fldCharType="end"/>
      </w:r>
      <w:r w:rsidRPr="00392844">
        <w:rPr>
          <w:highlight w:val="yellow"/>
        </w:rPr>
        <w:t>).</w:t>
      </w:r>
    </w:p>
    <w:p w14:paraId="3786E2E6"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4DBD7732" wp14:editId="542CC412">
            <wp:extent cx="3950208" cy="2350008"/>
            <wp:effectExtent l="0" t="0" r="0" b="0"/>
            <wp:docPr id="15" name="image14.png" descr="A chart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14.png" descr="A chart of different colored bars&#10;&#10;AI-generated content may be incorrect."/>
                    <pic:cNvPicPr preferRelativeResize="0"/>
                  </pic:nvPicPr>
                  <pic:blipFill>
                    <a:blip r:embed="rId24"/>
                    <a:srcRect/>
                    <a:stretch>
                      <a:fillRect/>
                    </a:stretch>
                  </pic:blipFill>
                  <pic:spPr>
                    <a:xfrm>
                      <a:off x="0" y="0"/>
                      <a:ext cx="3950208" cy="2350008"/>
                    </a:xfrm>
                    <a:prstGeom prst="rect">
                      <a:avLst/>
                    </a:prstGeom>
                    <a:ln/>
                  </pic:spPr>
                </pic:pic>
              </a:graphicData>
            </a:graphic>
          </wp:inline>
        </w:drawing>
      </w:r>
    </w:p>
    <w:p w14:paraId="4CBB6FD1" w14:textId="0C1B6C13" w:rsidR="004A3707" w:rsidRDefault="004A3707" w:rsidP="00496A10">
      <w:pPr>
        <w:pStyle w:val="Caption"/>
        <w:rPr>
          <w:rFonts w:ascii="Times New Roman" w:eastAsia="Times New Roman" w:hAnsi="Times New Roman" w:cs="Times New Roman"/>
          <w:sz w:val="20"/>
          <w:szCs w:val="20"/>
        </w:rPr>
      </w:pPr>
      <w:bookmarkStart w:id="35" w:name="_Ref192636340"/>
      <w:r>
        <w:t xml:space="preserve">Figure </w:t>
      </w:r>
      <w:fldSimple w:instr=" SEQ Figure \* ARABIC ">
        <w:r w:rsidR="00315CD1">
          <w:rPr>
            <w:noProof/>
          </w:rPr>
          <w:t>17</w:t>
        </w:r>
      </w:fldSimple>
      <w:bookmarkEnd w:id="35"/>
      <w:r>
        <w:rPr>
          <w:lang w:val="en-US"/>
        </w:rPr>
        <w:t xml:space="preserve">: </w:t>
      </w:r>
      <w:r w:rsidRPr="00253566">
        <w:rPr>
          <w:lang w:val="en-US"/>
        </w:rPr>
        <w:t>Effect of different biochar on soil pH of two different species</w:t>
      </w:r>
    </w:p>
    <w:p w14:paraId="55F8CB84" w14:textId="77777777" w:rsidR="00F16278" w:rsidRPr="00777EE1" w:rsidRDefault="00F16278" w:rsidP="00B654AC">
      <w:pPr>
        <w:pStyle w:val="Heading3"/>
      </w:pPr>
      <w:r w:rsidRPr="00777EE1">
        <w:t>Effect of Time and Treatment on Soil Nitrogen (N), Phosphorus (P), and Potassium (K)</w:t>
      </w:r>
    </w:p>
    <w:p w14:paraId="44A474DF" w14:textId="4FFCE93A" w:rsidR="00F16278" w:rsidRDefault="00F16278" w:rsidP="00B654AC">
      <w:r w:rsidRPr="00392844">
        <w:rPr>
          <w:highlight w:val="yellow"/>
        </w:rPr>
        <w:t>ANOVA analysis revealed that biochar treatment had a highly significant (</w:t>
      </w:r>
      <w:r w:rsidRPr="00392844">
        <w:rPr>
          <w:rStyle w:val="Strong"/>
          <w:szCs w:val="20"/>
          <w:highlight w:val="yellow"/>
        </w:rPr>
        <w:t>p</w:t>
      </w:r>
      <w:r w:rsidRPr="00392844">
        <w:rPr>
          <w:highlight w:val="yellow"/>
        </w:rPr>
        <w:t xml:space="preserve"> &lt; 0.001) effect on soil nitrogen (N), phosphorus (P), and potassium (K) both before and after application. Tukey’s HSD post-hoc test showed that </w:t>
      </w:r>
      <w:proofErr w:type="spellStart"/>
      <w:r w:rsidRPr="00392844">
        <w:rPr>
          <w:highlight w:val="yellow"/>
        </w:rPr>
        <w:t>Chambul</w:t>
      </w:r>
      <w:proofErr w:type="spellEnd"/>
      <w:r w:rsidRPr="00392844">
        <w:rPr>
          <w:highlight w:val="yellow"/>
        </w:rPr>
        <w:t xml:space="preserve"> biochar (</w:t>
      </w:r>
      <w:r w:rsidRPr="00392844">
        <w:rPr>
          <w:rStyle w:val="Strong"/>
          <w:szCs w:val="20"/>
          <w:highlight w:val="yellow"/>
        </w:rPr>
        <w:t>p</w:t>
      </w:r>
      <w:r w:rsidRPr="00392844">
        <w:rPr>
          <w:highlight w:val="yellow"/>
        </w:rPr>
        <w:t xml:space="preserve"> &lt; 0.001) significantly increased soil nitrogen compared to Kadam at the beginning of the treatment. Additionally, Kathal, </w:t>
      </w:r>
      <w:proofErr w:type="spellStart"/>
      <w:r w:rsidRPr="00392844">
        <w:rPr>
          <w:highlight w:val="yellow"/>
        </w:rPr>
        <w:t>Mahagoni</w:t>
      </w:r>
      <w:proofErr w:type="spellEnd"/>
      <w:r w:rsidRPr="00392844">
        <w:rPr>
          <w:highlight w:val="yellow"/>
        </w:rPr>
        <w:t>, and Raintree (</w:t>
      </w:r>
      <w:r w:rsidRPr="00392844">
        <w:rPr>
          <w:rStyle w:val="Strong"/>
          <w:szCs w:val="20"/>
          <w:highlight w:val="yellow"/>
        </w:rPr>
        <w:t>p</w:t>
      </w:r>
      <w:r w:rsidRPr="00392844">
        <w:rPr>
          <w:highlight w:val="yellow"/>
        </w:rPr>
        <w:t xml:space="preserve"> &lt; 0.05) exhibited significantly higher soil nitrogen levels than Kadam. Over time, all biochar treatments resulted in increased soil nitrogen levels, with </w:t>
      </w:r>
      <w:proofErr w:type="spellStart"/>
      <w:r w:rsidRPr="00392844">
        <w:rPr>
          <w:highlight w:val="yellow"/>
        </w:rPr>
        <w:t>Chambul</w:t>
      </w:r>
      <w:proofErr w:type="spellEnd"/>
      <w:r w:rsidRPr="00392844">
        <w:rPr>
          <w:highlight w:val="yellow"/>
        </w:rPr>
        <w:t xml:space="preserve"> biochar (</w:t>
      </w:r>
      <w:r w:rsidRPr="00392844">
        <w:rPr>
          <w:rStyle w:val="Strong"/>
          <w:szCs w:val="20"/>
          <w:highlight w:val="yellow"/>
        </w:rPr>
        <w:t>p</w:t>
      </w:r>
      <w:r w:rsidRPr="00392844">
        <w:rPr>
          <w:highlight w:val="yellow"/>
        </w:rPr>
        <w:t xml:space="preserve"> &lt; 0.001) showing the most significant improvement across both plant species (</w:t>
      </w:r>
      <w:r w:rsidR="008E7553" w:rsidRPr="00392844">
        <w:rPr>
          <w:highlight w:val="yellow"/>
        </w:rPr>
        <w:fldChar w:fldCharType="begin"/>
      </w:r>
      <w:r w:rsidR="008E7553" w:rsidRPr="00392844">
        <w:rPr>
          <w:highlight w:val="yellow"/>
        </w:rPr>
        <w:instrText xml:space="preserve"> REF _Ref193501110 \h </w:instrText>
      </w:r>
      <w:r w:rsidR="00392844">
        <w:rPr>
          <w:highlight w:val="yellow"/>
        </w:rPr>
        <w:instrText xml:space="preserve"> \* MERGEFORMAT </w:instrText>
      </w:r>
      <w:r w:rsidR="008E7553" w:rsidRPr="00392844">
        <w:rPr>
          <w:highlight w:val="yellow"/>
        </w:rPr>
      </w:r>
      <w:r w:rsidR="008E7553" w:rsidRPr="00392844">
        <w:rPr>
          <w:highlight w:val="yellow"/>
        </w:rPr>
        <w:fldChar w:fldCharType="separate"/>
      </w:r>
      <w:r w:rsidR="00315CD1" w:rsidRPr="00392844">
        <w:rPr>
          <w:highlight w:val="yellow"/>
        </w:rPr>
        <w:t xml:space="preserve">Figure </w:t>
      </w:r>
      <w:r w:rsidR="00315CD1" w:rsidRPr="00392844">
        <w:rPr>
          <w:noProof/>
          <w:highlight w:val="yellow"/>
        </w:rPr>
        <w:t>18</w:t>
      </w:r>
      <w:r w:rsidR="008E7553" w:rsidRPr="00392844">
        <w:rPr>
          <w:highlight w:val="yellow"/>
        </w:rPr>
        <w:fldChar w:fldCharType="end"/>
      </w:r>
      <w:r w:rsidRPr="00392844">
        <w:rPr>
          <w:highlight w:val="yellow"/>
        </w:rPr>
        <w:t>).</w:t>
      </w:r>
    </w:p>
    <w:p w14:paraId="4C20E959" w14:textId="77777777" w:rsidR="008E7553" w:rsidRDefault="008E7553" w:rsidP="008E7553">
      <w:pPr>
        <w:keepNext/>
        <w:spacing w:before="240" w:after="240" w:line="360" w:lineRule="auto"/>
        <w:jc w:val="center"/>
      </w:pPr>
      <w:r w:rsidRPr="00392844">
        <w:rPr>
          <w:noProof/>
          <w:highlight w:val="yellow"/>
        </w:rPr>
        <w:drawing>
          <wp:inline distT="0" distB="0" distL="0" distR="0" wp14:anchorId="5094107E" wp14:editId="11AB6ECE">
            <wp:extent cx="4544386" cy="2350008"/>
            <wp:effectExtent l="0" t="0" r="0" b="0"/>
            <wp:docPr id="1844756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4386" cy="2350008"/>
                    </a:xfrm>
                    <a:prstGeom prst="rect">
                      <a:avLst/>
                    </a:prstGeom>
                    <a:noFill/>
                  </pic:spPr>
                </pic:pic>
              </a:graphicData>
            </a:graphic>
          </wp:inline>
        </w:drawing>
      </w:r>
    </w:p>
    <w:p w14:paraId="15301B49" w14:textId="62B5F0BD" w:rsidR="004A3707" w:rsidRPr="008E7553" w:rsidRDefault="008E7553" w:rsidP="00496A10">
      <w:pPr>
        <w:pStyle w:val="Caption"/>
        <w:rPr>
          <w:sz w:val="20"/>
          <w:szCs w:val="22"/>
        </w:rPr>
      </w:pPr>
      <w:bookmarkStart w:id="36" w:name="_Ref193501110"/>
      <w:r>
        <w:t xml:space="preserve">Figure </w:t>
      </w:r>
      <w:fldSimple w:instr=" SEQ Figure \* ARABIC ">
        <w:r w:rsidR="00315CD1">
          <w:rPr>
            <w:noProof/>
          </w:rPr>
          <w:t>18</w:t>
        </w:r>
      </w:fldSimple>
      <w:bookmarkEnd w:id="36"/>
      <w:r>
        <w:rPr>
          <w:lang w:val="en-US"/>
        </w:rPr>
        <w:t xml:space="preserve"> </w:t>
      </w:r>
      <w:r w:rsidRPr="00C443D1">
        <w:rPr>
          <w:lang w:val="en-US"/>
        </w:rPr>
        <w:t>Impact of time and treatment on soil N; Here T=0 means beginning of the experiment and T=1 means the end of the experiment</w:t>
      </w:r>
    </w:p>
    <w:p w14:paraId="74247AC1" w14:textId="348C293E" w:rsidR="00F16278" w:rsidRDefault="00F16278" w:rsidP="00B654AC">
      <w:r w:rsidRPr="00392844">
        <w:rPr>
          <w:highlight w:val="yellow"/>
        </w:rPr>
        <w:t>Regarding soil phosphorus, Tukey’s HSD post-hoc test indicated that at the beginning of the biochar application, Kathal biochar (</w:t>
      </w:r>
      <w:r w:rsidRPr="00392844">
        <w:rPr>
          <w:rStyle w:val="Strong"/>
          <w:szCs w:val="20"/>
          <w:highlight w:val="yellow"/>
        </w:rPr>
        <w:t>p</w:t>
      </w:r>
      <w:r w:rsidRPr="00392844">
        <w:rPr>
          <w:highlight w:val="yellow"/>
        </w:rPr>
        <w:t xml:space="preserve"> &lt; 0.05) significantly increased available soil phosphorus compared to all other treatments. Over time, Kathal biochar (</w:t>
      </w:r>
      <w:r w:rsidRPr="00392844">
        <w:rPr>
          <w:rStyle w:val="Strong"/>
          <w:szCs w:val="20"/>
          <w:highlight w:val="yellow"/>
        </w:rPr>
        <w:t>p</w:t>
      </w:r>
      <w:r w:rsidRPr="00392844">
        <w:rPr>
          <w:highlight w:val="yellow"/>
        </w:rPr>
        <w:t xml:space="preserve"> &lt; 0.01) continued to show significantly higher phosphorus levels compared to most treatments, except for </w:t>
      </w:r>
      <w:proofErr w:type="spellStart"/>
      <w:r w:rsidRPr="00392844">
        <w:rPr>
          <w:highlight w:val="yellow"/>
        </w:rPr>
        <w:t>Mahagoni</w:t>
      </w:r>
      <w:proofErr w:type="spellEnd"/>
      <w:r w:rsidRPr="00392844">
        <w:rPr>
          <w:highlight w:val="yellow"/>
        </w:rPr>
        <w:t xml:space="preserve"> biochar. Additionally, </w:t>
      </w:r>
      <w:proofErr w:type="spellStart"/>
      <w:r w:rsidRPr="00392844">
        <w:rPr>
          <w:highlight w:val="yellow"/>
        </w:rPr>
        <w:t>Mahagoni</w:t>
      </w:r>
      <w:proofErr w:type="spellEnd"/>
      <w:r w:rsidRPr="00392844">
        <w:rPr>
          <w:highlight w:val="yellow"/>
        </w:rPr>
        <w:t xml:space="preserve"> (</w:t>
      </w:r>
      <w:r w:rsidRPr="00392844">
        <w:rPr>
          <w:rStyle w:val="Strong"/>
          <w:szCs w:val="20"/>
          <w:highlight w:val="yellow"/>
        </w:rPr>
        <w:t>p</w:t>
      </w:r>
      <w:r w:rsidRPr="00392844">
        <w:rPr>
          <w:highlight w:val="yellow"/>
        </w:rPr>
        <w:t xml:space="preserve"> &lt; 0.01) exhibited significantly higher phosphorus levels than Raintree and Kadam (</w:t>
      </w:r>
      <w:r w:rsidR="008E7553" w:rsidRPr="00392844">
        <w:rPr>
          <w:highlight w:val="yellow"/>
        </w:rPr>
        <w:fldChar w:fldCharType="begin"/>
      </w:r>
      <w:r w:rsidR="008E7553" w:rsidRPr="00392844">
        <w:rPr>
          <w:highlight w:val="yellow"/>
        </w:rPr>
        <w:instrText xml:space="preserve"> REF _Ref193501040 \h </w:instrText>
      </w:r>
      <w:r w:rsidR="00392844">
        <w:rPr>
          <w:highlight w:val="yellow"/>
        </w:rPr>
        <w:instrText xml:space="preserve"> \* MERGEFORMAT </w:instrText>
      </w:r>
      <w:r w:rsidR="008E7553" w:rsidRPr="00392844">
        <w:rPr>
          <w:highlight w:val="yellow"/>
        </w:rPr>
      </w:r>
      <w:r w:rsidR="008E7553" w:rsidRPr="00392844">
        <w:rPr>
          <w:highlight w:val="yellow"/>
        </w:rPr>
        <w:fldChar w:fldCharType="separate"/>
      </w:r>
      <w:r w:rsidR="00315CD1" w:rsidRPr="00392844">
        <w:rPr>
          <w:highlight w:val="yellow"/>
        </w:rPr>
        <w:t xml:space="preserve">Figure </w:t>
      </w:r>
      <w:r w:rsidR="00315CD1" w:rsidRPr="00392844">
        <w:rPr>
          <w:noProof/>
          <w:highlight w:val="yellow"/>
        </w:rPr>
        <w:t>19</w:t>
      </w:r>
      <w:r w:rsidR="008E7553" w:rsidRPr="00392844">
        <w:rPr>
          <w:highlight w:val="yellow"/>
        </w:rPr>
        <w:fldChar w:fldCharType="end"/>
      </w:r>
      <w:r w:rsidRPr="00392844">
        <w:rPr>
          <w:highlight w:val="yellow"/>
        </w:rPr>
        <w:t>).</w:t>
      </w:r>
    </w:p>
    <w:p w14:paraId="071290F9" w14:textId="77777777" w:rsidR="008E7553" w:rsidRDefault="008E7553" w:rsidP="008E7553">
      <w:pPr>
        <w:keepNext/>
        <w:spacing w:before="240" w:after="240" w:line="360" w:lineRule="auto"/>
        <w:jc w:val="center"/>
      </w:pPr>
      <w:r w:rsidRPr="00392844">
        <w:rPr>
          <w:noProof/>
          <w:highlight w:val="yellow"/>
        </w:rPr>
        <w:lastRenderedPageBreak/>
        <w:drawing>
          <wp:inline distT="0" distB="0" distL="0" distR="0" wp14:anchorId="33A40CF0" wp14:editId="0746DCB3">
            <wp:extent cx="4534127" cy="2350008"/>
            <wp:effectExtent l="0" t="0" r="0" b="0"/>
            <wp:docPr id="975859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4127" cy="2350008"/>
                    </a:xfrm>
                    <a:prstGeom prst="rect">
                      <a:avLst/>
                    </a:prstGeom>
                    <a:noFill/>
                  </pic:spPr>
                </pic:pic>
              </a:graphicData>
            </a:graphic>
          </wp:inline>
        </w:drawing>
      </w:r>
    </w:p>
    <w:p w14:paraId="2ED73AEB" w14:textId="15681AF4" w:rsidR="004A3707" w:rsidRPr="008E7553" w:rsidRDefault="008E7553" w:rsidP="00496A10">
      <w:pPr>
        <w:pStyle w:val="Caption"/>
        <w:rPr>
          <w:sz w:val="20"/>
          <w:szCs w:val="22"/>
        </w:rPr>
      </w:pPr>
      <w:bookmarkStart w:id="37" w:name="_Ref193501040"/>
      <w:r>
        <w:t xml:space="preserve">Figure </w:t>
      </w:r>
      <w:fldSimple w:instr=" SEQ Figure \* ARABIC ">
        <w:r w:rsidR="00315CD1">
          <w:rPr>
            <w:noProof/>
          </w:rPr>
          <w:t>19</w:t>
        </w:r>
      </w:fldSimple>
      <w:bookmarkEnd w:id="37"/>
      <w:r>
        <w:rPr>
          <w:lang w:val="en-US"/>
        </w:rPr>
        <w:t xml:space="preserve"> </w:t>
      </w:r>
      <w:r w:rsidRPr="006D4D86">
        <w:rPr>
          <w:lang w:val="en-US"/>
        </w:rPr>
        <w:t>Impact of time and treatment on soil P; Here T=0 means beginning of the experiment and T=1 means end of the experiment</w:t>
      </w:r>
    </w:p>
    <w:p w14:paraId="368645F6" w14:textId="0016FAD5" w:rsidR="00F16278" w:rsidRDefault="00F16278" w:rsidP="00B654AC">
      <w:r w:rsidRPr="00392844">
        <w:rPr>
          <w:highlight w:val="yellow"/>
        </w:rPr>
        <w:t xml:space="preserve">For soil potassium, initial treatment results showed that </w:t>
      </w:r>
      <w:proofErr w:type="spellStart"/>
      <w:r w:rsidRPr="00392844">
        <w:rPr>
          <w:highlight w:val="yellow"/>
        </w:rPr>
        <w:t>Chambul</w:t>
      </w:r>
      <w:proofErr w:type="spellEnd"/>
      <w:r w:rsidRPr="00392844">
        <w:rPr>
          <w:highlight w:val="yellow"/>
        </w:rPr>
        <w:t xml:space="preserve"> (</w:t>
      </w:r>
      <w:r w:rsidRPr="00392844">
        <w:rPr>
          <w:rStyle w:val="Strong"/>
          <w:szCs w:val="20"/>
          <w:highlight w:val="yellow"/>
        </w:rPr>
        <w:t>p</w:t>
      </w:r>
      <w:r w:rsidRPr="00392844">
        <w:rPr>
          <w:highlight w:val="yellow"/>
        </w:rPr>
        <w:t xml:space="preserve"> &lt; 0.05) and Kadam (</w:t>
      </w:r>
      <w:r w:rsidRPr="00392844">
        <w:rPr>
          <w:rStyle w:val="Strong"/>
          <w:szCs w:val="20"/>
          <w:highlight w:val="yellow"/>
        </w:rPr>
        <w:t>p</w:t>
      </w:r>
      <w:r w:rsidRPr="00392844">
        <w:rPr>
          <w:highlight w:val="yellow"/>
        </w:rPr>
        <w:t xml:space="preserve"> &lt; 0.01) significantly increased soil potassium levels compared to the Control and Kathal. Raintree (</w:t>
      </w:r>
      <w:r w:rsidRPr="00392844">
        <w:rPr>
          <w:rStyle w:val="Strong"/>
          <w:szCs w:val="20"/>
          <w:highlight w:val="yellow"/>
        </w:rPr>
        <w:t>p</w:t>
      </w:r>
      <w:r w:rsidRPr="00392844">
        <w:rPr>
          <w:highlight w:val="yellow"/>
        </w:rPr>
        <w:t xml:space="preserve"> &lt; 0.001) demonstrated a highly significant increase in soil potassium levels compared to all other treatments, except for Kadam. Over time, all biochar treatments (</w:t>
      </w:r>
      <w:r w:rsidRPr="00392844">
        <w:rPr>
          <w:rStyle w:val="Strong"/>
          <w:szCs w:val="20"/>
          <w:highlight w:val="yellow"/>
        </w:rPr>
        <w:t>p</w:t>
      </w:r>
      <w:r w:rsidRPr="00392844">
        <w:rPr>
          <w:highlight w:val="yellow"/>
        </w:rPr>
        <w:t xml:space="preserve"> &lt; 0.01), except for Kadam, exhibited significantly higher soil potassium levels than the Control. </w:t>
      </w:r>
      <w:proofErr w:type="spellStart"/>
      <w:r w:rsidRPr="00392844">
        <w:rPr>
          <w:highlight w:val="yellow"/>
        </w:rPr>
        <w:t>Chambul</w:t>
      </w:r>
      <w:proofErr w:type="spellEnd"/>
      <w:r w:rsidRPr="00392844">
        <w:rPr>
          <w:highlight w:val="yellow"/>
        </w:rPr>
        <w:t xml:space="preserve"> (</w:t>
      </w:r>
      <w:r w:rsidRPr="00392844">
        <w:rPr>
          <w:rStyle w:val="Strong"/>
          <w:szCs w:val="20"/>
          <w:highlight w:val="yellow"/>
        </w:rPr>
        <w:t>p</w:t>
      </w:r>
      <w:r w:rsidRPr="00392844">
        <w:rPr>
          <w:highlight w:val="yellow"/>
        </w:rPr>
        <w:t xml:space="preserve"> &lt; 0.001) also significantly outperformed the Control and Kadam, while Kathal (</w:t>
      </w:r>
      <w:r w:rsidRPr="00392844">
        <w:rPr>
          <w:rStyle w:val="Strong"/>
          <w:szCs w:val="20"/>
          <w:highlight w:val="yellow"/>
        </w:rPr>
        <w:t>p</w:t>
      </w:r>
      <w:r w:rsidRPr="00392844">
        <w:rPr>
          <w:highlight w:val="yellow"/>
        </w:rPr>
        <w:t xml:space="preserve"> &lt; 0.01) showed significant improvements compared to all other treatments, except for Raintree and </w:t>
      </w:r>
      <w:proofErr w:type="spellStart"/>
      <w:r w:rsidRPr="00392844">
        <w:rPr>
          <w:highlight w:val="yellow"/>
        </w:rPr>
        <w:t>Chambul</w:t>
      </w:r>
      <w:proofErr w:type="spellEnd"/>
      <w:r w:rsidRPr="00392844">
        <w:rPr>
          <w:highlight w:val="yellow"/>
        </w:rPr>
        <w:t>. Notably, Raintree (</w:t>
      </w:r>
      <w:r w:rsidRPr="00392844">
        <w:rPr>
          <w:rStyle w:val="Strong"/>
          <w:szCs w:val="20"/>
          <w:highlight w:val="yellow"/>
        </w:rPr>
        <w:t>p</w:t>
      </w:r>
      <w:r w:rsidRPr="00392844">
        <w:rPr>
          <w:highlight w:val="yellow"/>
        </w:rPr>
        <w:t xml:space="preserve"> &lt; 0.001) exhibited the most substantial increase in soil potassium levels compared to the Control, </w:t>
      </w:r>
      <w:proofErr w:type="spellStart"/>
      <w:r w:rsidRPr="00392844">
        <w:rPr>
          <w:highlight w:val="yellow"/>
        </w:rPr>
        <w:t>Mahagoni</w:t>
      </w:r>
      <w:proofErr w:type="spellEnd"/>
      <w:r w:rsidRPr="00392844">
        <w:rPr>
          <w:highlight w:val="yellow"/>
        </w:rPr>
        <w:t>, and Kadam (</w:t>
      </w:r>
      <w:r w:rsidR="008E7553" w:rsidRPr="00392844">
        <w:rPr>
          <w:highlight w:val="yellow"/>
        </w:rPr>
        <w:fldChar w:fldCharType="begin"/>
      </w:r>
      <w:r w:rsidR="008E7553" w:rsidRPr="00392844">
        <w:rPr>
          <w:highlight w:val="yellow"/>
        </w:rPr>
        <w:instrText xml:space="preserve"> REF _Ref193500958 \h </w:instrText>
      </w:r>
      <w:r w:rsidR="00392844">
        <w:rPr>
          <w:highlight w:val="yellow"/>
        </w:rPr>
        <w:instrText xml:space="preserve"> \* MERGEFORMAT </w:instrText>
      </w:r>
      <w:r w:rsidR="008E7553" w:rsidRPr="00392844">
        <w:rPr>
          <w:highlight w:val="yellow"/>
        </w:rPr>
      </w:r>
      <w:r w:rsidR="008E7553" w:rsidRPr="00392844">
        <w:rPr>
          <w:highlight w:val="yellow"/>
        </w:rPr>
        <w:fldChar w:fldCharType="separate"/>
      </w:r>
      <w:r w:rsidR="00315CD1" w:rsidRPr="00392844">
        <w:rPr>
          <w:highlight w:val="yellow"/>
        </w:rPr>
        <w:t xml:space="preserve">Figure </w:t>
      </w:r>
      <w:r w:rsidR="00315CD1" w:rsidRPr="00392844">
        <w:rPr>
          <w:noProof/>
          <w:highlight w:val="yellow"/>
        </w:rPr>
        <w:t>20</w:t>
      </w:r>
      <w:r w:rsidR="008E7553" w:rsidRPr="00392844">
        <w:rPr>
          <w:highlight w:val="yellow"/>
        </w:rPr>
        <w:fldChar w:fldCharType="end"/>
      </w:r>
      <w:r w:rsidRPr="00392844">
        <w:rPr>
          <w:highlight w:val="yellow"/>
        </w:rPr>
        <w:t>).</w:t>
      </w:r>
    </w:p>
    <w:p w14:paraId="12DB3EA6" w14:textId="77777777" w:rsidR="008E7553" w:rsidRDefault="008E7553" w:rsidP="008E7553">
      <w:pPr>
        <w:keepNext/>
        <w:spacing w:before="240" w:after="240" w:line="360" w:lineRule="auto"/>
        <w:jc w:val="center"/>
      </w:pPr>
      <w:r w:rsidRPr="00392844">
        <w:rPr>
          <w:noProof/>
          <w:highlight w:val="yellow"/>
        </w:rPr>
        <w:drawing>
          <wp:inline distT="0" distB="0" distL="0" distR="0" wp14:anchorId="686BF903" wp14:editId="40A03A72">
            <wp:extent cx="4575734" cy="2350008"/>
            <wp:effectExtent l="0" t="0" r="0" b="0"/>
            <wp:docPr id="1453815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5734" cy="2350008"/>
                    </a:xfrm>
                    <a:prstGeom prst="rect">
                      <a:avLst/>
                    </a:prstGeom>
                    <a:noFill/>
                  </pic:spPr>
                </pic:pic>
              </a:graphicData>
            </a:graphic>
          </wp:inline>
        </w:drawing>
      </w:r>
    </w:p>
    <w:p w14:paraId="43E567C6" w14:textId="488A5EA1" w:rsidR="004A3707" w:rsidRDefault="008E7553" w:rsidP="00496A10">
      <w:pPr>
        <w:pStyle w:val="Caption"/>
      </w:pPr>
      <w:bookmarkStart w:id="38" w:name="_Ref193500958"/>
      <w:r>
        <w:t xml:space="preserve">Figure </w:t>
      </w:r>
      <w:fldSimple w:instr=" SEQ Figure \* ARABIC ">
        <w:r w:rsidR="00315CD1">
          <w:rPr>
            <w:noProof/>
          </w:rPr>
          <w:t>20</w:t>
        </w:r>
      </w:fldSimple>
      <w:bookmarkEnd w:id="38"/>
      <w:r>
        <w:rPr>
          <w:lang w:val="en-US"/>
        </w:rPr>
        <w:t xml:space="preserve"> </w:t>
      </w:r>
      <w:r w:rsidRPr="00685EC0">
        <w:rPr>
          <w:lang w:val="en-US"/>
        </w:rPr>
        <w:t>Impact of time and treatment on soil K; Here T=0 means beginning of the experiment and T=1 means end of the experiment</w:t>
      </w:r>
    </w:p>
    <w:p w14:paraId="331B3382" w14:textId="0EF0C590" w:rsidR="00D17AD2" w:rsidRPr="00777EE1" w:rsidRDefault="008C51D7" w:rsidP="00B654AC">
      <w:pPr>
        <w:pStyle w:val="Heading1"/>
      </w:pPr>
      <w:r w:rsidRPr="00777EE1">
        <w:t>DISCUSSION</w:t>
      </w:r>
    </w:p>
    <w:p w14:paraId="7448DC54" w14:textId="330B72D8" w:rsidR="00616737" w:rsidRPr="00777EE1" w:rsidRDefault="00616737" w:rsidP="00B654AC">
      <w:pPr>
        <w:pStyle w:val="Heading2"/>
      </w:pPr>
      <w:bookmarkStart w:id="39" w:name="_3oahu1m1t8zd" w:colFirst="0" w:colLast="0"/>
      <w:bookmarkEnd w:id="39"/>
      <w:r w:rsidRPr="00777EE1">
        <w:t>Estimation of Biochar Yield and Suitability</w:t>
      </w:r>
    </w:p>
    <w:p w14:paraId="2A3984AB" w14:textId="77777777" w:rsidR="00616737" w:rsidRPr="00777EE1" w:rsidRDefault="00616737" w:rsidP="00B654AC">
      <w:r w:rsidRPr="00777EE1">
        <w:t xml:space="preserve">The estimation of biochar yield is crucial for assessing its suitability. In this study, six different feedstock species were selected for biochar production: Kathal, Mango, </w:t>
      </w:r>
      <w:proofErr w:type="spellStart"/>
      <w:r w:rsidRPr="00777EE1">
        <w:t>Mahagoni</w:t>
      </w:r>
      <w:proofErr w:type="spellEnd"/>
      <w:r w:rsidRPr="00777EE1">
        <w:t xml:space="preserve">, </w:t>
      </w:r>
      <w:proofErr w:type="spellStart"/>
      <w:r w:rsidRPr="00777EE1">
        <w:t>Chambul</w:t>
      </w:r>
      <w:proofErr w:type="spellEnd"/>
      <w:r w:rsidRPr="00777EE1">
        <w:t xml:space="preserve">, Raintree, and Kadam. Among these species, the highest biochar yield was obtained from </w:t>
      </w:r>
      <w:proofErr w:type="spellStart"/>
      <w:r w:rsidRPr="00777EE1">
        <w:t>Chambul</w:t>
      </w:r>
      <w:proofErr w:type="spellEnd"/>
      <w:r w:rsidRPr="00777EE1">
        <w:t xml:space="preserve"> (41.6%), while the </w:t>
      </w:r>
      <w:r w:rsidRPr="00777EE1">
        <w:lastRenderedPageBreak/>
        <w:t>lowest yield was recorded for Raintree (13%). The remaining species produced biochar yields ranging from 23% to 34%.</w:t>
      </w:r>
    </w:p>
    <w:p w14:paraId="5CE75B68" w14:textId="566076DC" w:rsidR="00616737" w:rsidRPr="00777EE1" w:rsidRDefault="00616737" w:rsidP="00B654AC">
      <w:r w:rsidRPr="00777EE1">
        <w:t>The variability in biochar yield is influenced by the feedstock species, as well as the speed and temperature of thermal degradation. Research has shown that biochar derived from Chinese pine exhibited the best water retention capacity after being heated for three hours at 45–50°C, retaining approximately 0.78 grams of water per gram of biochar. Additionally, it was observed that as the Ethylene Blue Adsorption Value (</w:t>
      </w:r>
      <w:proofErr w:type="spellStart"/>
      <w:proofErr w:type="gramStart"/>
      <w:r w:rsidRPr="00777EE1">
        <w:t>ab.EBAV</w:t>
      </w:r>
      <w:proofErr w:type="spellEnd"/>
      <w:proofErr w:type="gramEnd"/>
      <w:r w:rsidRPr="00777EE1">
        <w:t xml:space="preserve">) increased, the biochar yield decreased. However, at the same time, both water absorption and water retention capacities improved </w:t>
      </w:r>
      <w:r w:rsidR="00105618" w:rsidRPr="00777EE1">
        <w:rPr>
          <w:vertAlign w:val="superscript"/>
        </w:rPr>
        <w:t>[</w:t>
      </w:r>
      <w:r w:rsidR="001A71C8" w:rsidRPr="00777EE1">
        <w:rPr>
          <w:vertAlign w:val="superscript"/>
        </w:rPr>
        <w:fldChar w:fldCharType="begin"/>
      </w:r>
      <w:r w:rsidR="001A71C8" w:rsidRPr="00777EE1">
        <w:rPr>
          <w:vertAlign w:val="superscript"/>
        </w:rPr>
        <w:instrText xml:space="preserve"> REF _Ref190876233 \r \h </w:instrText>
      </w:r>
      <w:r w:rsidR="00105618" w:rsidRPr="00777EE1">
        <w:rPr>
          <w:vertAlign w:val="superscript"/>
        </w:rPr>
        <w:instrText xml:space="preserve"> \* MERGEFORMAT </w:instrText>
      </w:r>
      <w:r w:rsidR="001A71C8" w:rsidRPr="00777EE1">
        <w:rPr>
          <w:vertAlign w:val="superscript"/>
        </w:rPr>
      </w:r>
      <w:r w:rsidR="001A71C8" w:rsidRPr="00777EE1">
        <w:rPr>
          <w:vertAlign w:val="superscript"/>
        </w:rPr>
        <w:fldChar w:fldCharType="separate"/>
      </w:r>
      <w:r w:rsidR="003403CC">
        <w:rPr>
          <w:vertAlign w:val="superscript"/>
        </w:rPr>
        <w:t>41</w:t>
      </w:r>
      <w:r w:rsidR="001A71C8" w:rsidRPr="00777EE1">
        <w:rPr>
          <w:vertAlign w:val="superscript"/>
        </w:rPr>
        <w:fldChar w:fldCharType="end"/>
      </w:r>
      <w:r w:rsidR="001A71C8" w:rsidRPr="00777EE1">
        <w:rPr>
          <w:vertAlign w:val="superscript"/>
        </w:rPr>
        <w:t>]</w:t>
      </w:r>
      <w:r w:rsidR="00CB3D47" w:rsidRPr="00777EE1">
        <w:t>.</w:t>
      </w:r>
    </w:p>
    <w:p w14:paraId="13E8AF0D" w14:textId="314C5F79" w:rsidR="00616737" w:rsidRPr="00616737" w:rsidRDefault="00616737" w:rsidP="00B654AC">
      <w:pPr>
        <w:pStyle w:val="Heading2"/>
      </w:pPr>
      <w:bookmarkStart w:id="40" w:name="_jpn7k6fmfglt" w:colFirst="0" w:colLast="0"/>
      <w:bookmarkEnd w:id="40"/>
      <w:r w:rsidRPr="00616737">
        <w:t>Effect of Biochar on Germination</w:t>
      </w:r>
    </w:p>
    <w:p w14:paraId="609034D0" w14:textId="77777777" w:rsidR="00616737" w:rsidRPr="00616737" w:rsidRDefault="00616737" w:rsidP="00B654AC">
      <w:pPr>
        <w:rPr>
          <w:lang w:val="en-US" w:bidi="bn-IN"/>
        </w:rPr>
      </w:pPr>
      <w:r w:rsidRPr="00616737">
        <w:rPr>
          <w:lang w:val="en-US" w:bidi="bn-IN"/>
        </w:rPr>
        <w:t xml:space="preserve">Germination is a crucial stage in crop production. Three key parameters were used to assess the effects of biochar treatments: germination potential (GP), germination rate index, and seed vigor index. In terms of GP, </w:t>
      </w:r>
      <w:proofErr w:type="spellStart"/>
      <w:r w:rsidRPr="00616737">
        <w:rPr>
          <w:lang w:val="en-US" w:bidi="bn-IN"/>
        </w:rPr>
        <w:t>Chambul</w:t>
      </w:r>
      <w:proofErr w:type="spellEnd"/>
      <w:r w:rsidRPr="00616737">
        <w:rPr>
          <w:lang w:val="en-US" w:bidi="bn-IN"/>
        </w:rPr>
        <w:t xml:space="preserve"> biochar demonstrated significant effects (p&lt; 0.05) for both species. In Rice, </w:t>
      </w:r>
      <w:proofErr w:type="spellStart"/>
      <w:r w:rsidRPr="00616737">
        <w:rPr>
          <w:lang w:val="en-US" w:bidi="bn-IN"/>
        </w:rPr>
        <w:t>Chambul</w:t>
      </w:r>
      <w:proofErr w:type="spellEnd"/>
      <w:r w:rsidRPr="00616737">
        <w:rPr>
          <w:lang w:val="en-US" w:bidi="bn-IN"/>
        </w:rPr>
        <w:t xml:space="preserve"> (88.3%) and Kadam (80%) biochar showed a highly significant increase (p≤ 0.001) in GP compared to the Control and Kadam biochar in the </w:t>
      </w:r>
      <w:proofErr w:type="spellStart"/>
      <w:r w:rsidRPr="00616737">
        <w:rPr>
          <w:lang w:val="en-US" w:bidi="bn-IN"/>
        </w:rPr>
        <w:t>Akashmoni</w:t>
      </w:r>
      <w:proofErr w:type="spellEnd"/>
      <w:r w:rsidRPr="00616737">
        <w:rPr>
          <w:lang w:val="en-US" w:bidi="bn-IN"/>
        </w:rPr>
        <w:t xml:space="preserve"> species. For seed vigor index and germination rate index, Kadam and </w:t>
      </w:r>
      <w:proofErr w:type="spellStart"/>
      <w:r w:rsidRPr="00616737">
        <w:rPr>
          <w:lang w:val="en-US" w:bidi="bn-IN"/>
        </w:rPr>
        <w:t>Chambul</w:t>
      </w:r>
      <w:proofErr w:type="spellEnd"/>
      <w:r w:rsidRPr="00616737">
        <w:rPr>
          <w:lang w:val="en-US" w:bidi="bn-IN"/>
        </w:rPr>
        <w:t xml:space="preserve"> biochar in Rice exhibited significant improvements (p&lt; 0.001) over the Control and other treatments in </w:t>
      </w:r>
      <w:proofErr w:type="spellStart"/>
      <w:r w:rsidRPr="00616737">
        <w:rPr>
          <w:lang w:val="en-US" w:bidi="bn-IN"/>
        </w:rPr>
        <w:t>Akashmoni</w:t>
      </w:r>
      <w:proofErr w:type="spellEnd"/>
      <w:r w:rsidRPr="00616737">
        <w:rPr>
          <w:lang w:val="en-US" w:bidi="bn-IN"/>
        </w:rPr>
        <w:t xml:space="preserve"> species. These findings indicate that biochar derived from </w:t>
      </w:r>
      <w:proofErr w:type="spellStart"/>
      <w:r w:rsidRPr="00616737">
        <w:rPr>
          <w:lang w:val="en-US" w:bidi="bn-IN"/>
        </w:rPr>
        <w:t>Chambul</w:t>
      </w:r>
      <w:proofErr w:type="spellEnd"/>
      <w:r w:rsidRPr="00616737">
        <w:rPr>
          <w:lang w:val="en-US" w:bidi="bn-IN"/>
        </w:rPr>
        <w:t xml:space="preserve"> and Kadam enhanced germination parameters in Rice.</w:t>
      </w:r>
    </w:p>
    <w:p w14:paraId="17E8D40D" w14:textId="2196BF86" w:rsidR="00616737" w:rsidRPr="00777EE1" w:rsidRDefault="00616737" w:rsidP="00BF62D4">
      <w:pPr>
        <w:rPr>
          <w:lang w:val="en-US" w:bidi="bn-IN"/>
        </w:rPr>
      </w:pPr>
      <w:r w:rsidRPr="00616737">
        <w:rPr>
          <w:lang w:val="en-US" w:bidi="bn-IN"/>
        </w:rPr>
        <w:t xml:space="preserve">Previous research has reported no negative impact of biochar on </w:t>
      </w:r>
      <w:r w:rsidR="008D3D09">
        <w:rPr>
          <w:lang w:val="en-US" w:bidi="bn-IN"/>
        </w:rPr>
        <w:t xml:space="preserve">Rice </w:t>
      </w:r>
      <w:r w:rsidRPr="00616737">
        <w:rPr>
          <w:lang w:val="en-US" w:bidi="bn-IN"/>
        </w:rPr>
        <w:t>seed germination</w:t>
      </w:r>
      <w:r w:rsidRPr="00777EE1">
        <w:rPr>
          <w:lang w:val="en-US" w:bidi="bn-IN"/>
        </w:rPr>
        <w:t xml:space="preserve"> </w:t>
      </w:r>
      <w:r w:rsidRPr="00777EE1">
        <w:rPr>
          <w:vertAlign w:val="superscript"/>
        </w:rPr>
        <w:t>[</w:t>
      </w:r>
      <w:r w:rsidRPr="00777EE1">
        <w:rPr>
          <w:vertAlign w:val="superscript"/>
        </w:rPr>
        <w:fldChar w:fldCharType="begin"/>
      </w:r>
      <w:r w:rsidRPr="00777EE1">
        <w:rPr>
          <w:vertAlign w:val="superscript"/>
        </w:rPr>
        <w:instrText xml:space="preserve"> REF _Ref190876260 \r \h  \* MERGEFORMAT </w:instrText>
      </w:r>
      <w:r w:rsidRPr="00777EE1">
        <w:rPr>
          <w:vertAlign w:val="superscript"/>
        </w:rPr>
      </w:r>
      <w:r w:rsidRPr="00777EE1">
        <w:rPr>
          <w:vertAlign w:val="superscript"/>
        </w:rPr>
        <w:fldChar w:fldCharType="separate"/>
      </w:r>
      <w:r w:rsidR="003403CC">
        <w:rPr>
          <w:vertAlign w:val="superscript"/>
        </w:rPr>
        <w:t>42</w:t>
      </w:r>
      <w:r w:rsidRPr="00777EE1">
        <w:rPr>
          <w:vertAlign w:val="superscript"/>
        </w:rPr>
        <w:fldChar w:fldCharType="end"/>
      </w:r>
      <w:r w:rsidRPr="00777EE1">
        <w:rPr>
          <w:vertAlign w:val="superscript"/>
        </w:rPr>
        <w:t>]</w:t>
      </w:r>
      <w:r w:rsidRPr="00777EE1">
        <w:t>.</w:t>
      </w:r>
      <w:r w:rsidRPr="00616737">
        <w:rPr>
          <w:lang w:val="en-US" w:bidi="bn-IN"/>
        </w:rPr>
        <w:t xml:space="preserve"> </w:t>
      </w:r>
      <w:r w:rsidR="00BF62D4" w:rsidRPr="00AB4985">
        <w:rPr>
          <w:highlight w:val="yellow"/>
          <w:lang w:val="en-US" w:bidi="bn-IN"/>
        </w:rPr>
        <w:t xml:space="preserve">Other study has reported that the germination percentage of paddy increased in case of Raintree and </w:t>
      </w:r>
      <w:proofErr w:type="spellStart"/>
      <w:r w:rsidR="00BF62D4" w:rsidRPr="00AB4985">
        <w:rPr>
          <w:highlight w:val="yellow"/>
          <w:lang w:val="en-US" w:bidi="bn-IN"/>
        </w:rPr>
        <w:t>Chambul</w:t>
      </w:r>
      <w:proofErr w:type="spellEnd"/>
      <w:r w:rsidR="00BF62D4" w:rsidRPr="00AB4985">
        <w:rPr>
          <w:highlight w:val="yellow"/>
          <w:lang w:val="en-US" w:bidi="bn-IN"/>
        </w:rPr>
        <w:t xml:space="preserve"> biochar. On the other hand, Kadam biochar shows decrease in germination percentage and the study revealed that Raintree and </w:t>
      </w:r>
      <w:proofErr w:type="spellStart"/>
      <w:r w:rsidR="00BF62D4" w:rsidRPr="00AB4985">
        <w:rPr>
          <w:highlight w:val="yellow"/>
          <w:lang w:val="en-US" w:bidi="bn-IN"/>
        </w:rPr>
        <w:t>Chambul</w:t>
      </w:r>
      <w:proofErr w:type="spellEnd"/>
      <w:r w:rsidR="00BF62D4" w:rsidRPr="00AB4985">
        <w:rPr>
          <w:highlight w:val="yellow"/>
          <w:lang w:val="en-US" w:bidi="bn-IN"/>
        </w:rPr>
        <w:t xml:space="preserve"> biochar did not show any negative impact on seed germination while Kadam biochar caused a decrease in germination of paddy seeds </w:t>
      </w:r>
      <w:r w:rsidR="00BF62D4" w:rsidRPr="00AB4985">
        <w:rPr>
          <w:highlight w:val="yellow"/>
          <w:vertAlign w:val="superscript"/>
          <w:lang w:val="en-US" w:bidi="bn-IN"/>
        </w:rPr>
        <w:t>[</w:t>
      </w:r>
      <w:r w:rsidR="00BF62D4" w:rsidRPr="00AB4985">
        <w:rPr>
          <w:highlight w:val="yellow"/>
          <w:vertAlign w:val="superscript"/>
          <w:lang w:val="en-US" w:bidi="bn-IN"/>
        </w:rPr>
        <w:fldChar w:fldCharType="begin"/>
      </w:r>
      <w:r w:rsidR="00BF62D4" w:rsidRPr="00AB4985">
        <w:rPr>
          <w:highlight w:val="yellow"/>
          <w:vertAlign w:val="superscript"/>
          <w:lang w:val="en-US" w:bidi="bn-IN"/>
        </w:rPr>
        <w:instrText xml:space="preserve"> REF _Ref193532932 \r \h  \* MERGEFORMAT </w:instrText>
      </w:r>
      <w:r w:rsidR="00BF62D4" w:rsidRPr="00AB4985">
        <w:rPr>
          <w:highlight w:val="yellow"/>
          <w:vertAlign w:val="superscript"/>
          <w:lang w:val="en-US" w:bidi="bn-IN"/>
        </w:rPr>
      </w:r>
      <w:r w:rsidR="00BF62D4" w:rsidRPr="00AB4985">
        <w:rPr>
          <w:highlight w:val="yellow"/>
          <w:vertAlign w:val="superscript"/>
          <w:lang w:val="en-US" w:bidi="bn-IN"/>
        </w:rPr>
        <w:fldChar w:fldCharType="separate"/>
      </w:r>
      <w:r w:rsidR="00BF62D4" w:rsidRPr="00AB4985">
        <w:rPr>
          <w:highlight w:val="yellow"/>
          <w:vertAlign w:val="superscript"/>
          <w:lang w:val="en-US" w:bidi="bn-IN"/>
        </w:rPr>
        <w:t>43</w:t>
      </w:r>
      <w:r w:rsidR="00BF62D4" w:rsidRPr="00AB4985">
        <w:rPr>
          <w:highlight w:val="yellow"/>
          <w:vertAlign w:val="superscript"/>
          <w:lang w:val="en-US" w:bidi="bn-IN"/>
        </w:rPr>
        <w:fldChar w:fldCharType="end"/>
      </w:r>
      <w:r w:rsidR="00BF62D4" w:rsidRPr="00AB4985">
        <w:rPr>
          <w:highlight w:val="yellow"/>
          <w:vertAlign w:val="superscript"/>
          <w:lang w:val="en-US" w:bidi="bn-IN"/>
        </w:rPr>
        <w:t>]</w:t>
      </w:r>
      <w:r w:rsidR="00BF62D4" w:rsidRPr="00AB4985">
        <w:rPr>
          <w:highlight w:val="yellow"/>
          <w:lang w:val="en-US" w:bidi="bn-IN"/>
        </w:rPr>
        <w:t>.</w:t>
      </w:r>
      <w:r w:rsidR="00BF62D4">
        <w:rPr>
          <w:lang w:val="en-US" w:bidi="bn-IN"/>
        </w:rPr>
        <w:t xml:space="preserve"> </w:t>
      </w:r>
      <w:r w:rsidRPr="00616737">
        <w:rPr>
          <w:lang w:val="en-US" w:bidi="bn-IN"/>
        </w:rPr>
        <w:t>Another study on forest seeds concluded that biochar application increases seed germination rates</w:t>
      </w:r>
      <w:r w:rsidRPr="00777EE1">
        <w:rPr>
          <w:lang w:val="en-US" w:bidi="bn-IN"/>
        </w:rPr>
        <w:t xml:space="preserve"> </w:t>
      </w:r>
      <w:r w:rsidRPr="00777EE1">
        <w:rPr>
          <w:vertAlign w:val="superscript"/>
        </w:rPr>
        <w:t>[</w:t>
      </w:r>
      <w:r w:rsidRPr="00777EE1">
        <w:rPr>
          <w:vertAlign w:val="superscript"/>
        </w:rPr>
        <w:fldChar w:fldCharType="begin"/>
      </w:r>
      <w:r w:rsidRPr="00777EE1">
        <w:rPr>
          <w:vertAlign w:val="superscript"/>
        </w:rPr>
        <w:instrText xml:space="preserve"> REF _Ref190876280 \r \h  \* MERGEFORMAT </w:instrText>
      </w:r>
      <w:r w:rsidRPr="00777EE1">
        <w:rPr>
          <w:vertAlign w:val="superscript"/>
        </w:rPr>
      </w:r>
      <w:r w:rsidRPr="00777EE1">
        <w:rPr>
          <w:vertAlign w:val="superscript"/>
        </w:rPr>
        <w:fldChar w:fldCharType="separate"/>
      </w:r>
      <w:r w:rsidR="00BF62D4">
        <w:rPr>
          <w:vertAlign w:val="superscript"/>
        </w:rPr>
        <w:t>44</w:t>
      </w:r>
      <w:r w:rsidRPr="00777EE1">
        <w:rPr>
          <w:vertAlign w:val="superscript"/>
        </w:rPr>
        <w:fldChar w:fldCharType="end"/>
      </w:r>
      <w:r w:rsidRPr="00777EE1">
        <w:rPr>
          <w:vertAlign w:val="superscript"/>
        </w:rPr>
        <w:t>]</w:t>
      </w:r>
      <w:r w:rsidRPr="00616737">
        <w:rPr>
          <w:lang w:val="en-US" w:bidi="bn-IN"/>
        </w:rPr>
        <w:t>.</w:t>
      </w:r>
    </w:p>
    <w:p w14:paraId="1A41EA5A" w14:textId="245B6557" w:rsidR="00616737" w:rsidRPr="00616737" w:rsidRDefault="00616737" w:rsidP="00B654AC">
      <w:pPr>
        <w:pStyle w:val="Heading2"/>
      </w:pPr>
      <w:r w:rsidRPr="00616737">
        <w:t>Effect of Biochar on Growth Parameters</w:t>
      </w:r>
    </w:p>
    <w:p w14:paraId="6DC84DAB" w14:textId="77777777" w:rsidR="00616737" w:rsidRPr="00616737" w:rsidRDefault="00616737" w:rsidP="00B654AC">
      <w:pPr>
        <w:rPr>
          <w:lang w:val="en-US" w:bidi="bn-IN"/>
        </w:rPr>
      </w:pPr>
      <w:r w:rsidRPr="00616737">
        <w:rPr>
          <w:lang w:val="en-US" w:bidi="bn-IN"/>
        </w:rPr>
        <w:t xml:space="preserve">Biochar application significantly affected various growth parameters, including shoot length, leaf number, leaf area, collar diameter in </w:t>
      </w:r>
      <w:proofErr w:type="spellStart"/>
      <w:r w:rsidRPr="00616737">
        <w:rPr>
          <w:lang w:val="en-US" w:bidi="bn-IN"/>
        </w:rPr>
        <w:t>Akashmoni</w:t>
      </w:r>
      <w:proofErr w:type="spellEnd"/>
      <w:r w:rsidRPr="00616737">
        <w:rPr>
          <w:lang w:val="en-US" w:bidi="bn-IN"/>
        </w:rPr>
        <w:t xml:space="preserve">, root length, reproductive structures in Rice, relative water content (RWC%), and the dry weight of leaves, shoots, roots, and reproductive parts. In </w:t>
      </w:r>
      <w:proofErr w:type="spellStart"/>
      <w:r w:rsidRPr="00616737">
        <w:rPr>
          <w:lang w:val="en-US" w:bidi="bn-IN"/>
        </w:rPr>
        <w:t>Akashmoni</w:t>
      </w:r>
      <w:proofErr w:type="spellEnd"/>
      <w:r w:rsidRPr="00616737">
        <w:rPr>
          <w:lang w:val="en-US" w:bidi="bn-IN"/>
        </w:rPr>
        <w:t>, all biochar treatments significantly (p&lt; 0.001) influenced shoot length, leaf number, leaf area, and leaf dry weight.</w:t>
      </w:r>
    </w:p>
    <w:p w14:paraId="38588432" w14:textId="77777777" w:rsidR="00616737" w:rsidRPr="00616737" w:rsidRDefault="00616737" w:rsidP="00B654AC">
      <w:pPr>
        <w:rPr>
          <w:lang w:val="en-US" w:bidi="bn-IN"/>
        </w:rPr>
      </w:pPr>
      <w:r w:rsidRPr="00616737">
        <w:rPr>
          <w:lang w:val="en-US" w:bidi="bn-IN"/>
        </w:rPr>
        <w:t xml:space="preserve">For root length, all biochar treatments, except </w:t>
      </w:r>
      <w:proofErr w:type="spellStart"/>
      <w:r w:rsidRPr="00616737">
        <w:rPr>
          <w:lang w:val="en-US" w:bidi="bn-IN"/>
        </w:rPr>
        <w:t>Chambul</w:t>
      </w:r>
      <w:proofErr w:type="spellEnd"/>
      <w:r w:rsidRPr="00616737">
        <w:rPr>
          <w:lang w:val="en-US" w:bidi="bn-IN"/>
        </w:rPr>
        <w:t xml:space="preserve"> and Kadam, significantly (p&lt; 0.001) increased root length in </w:t>
      </w:r>
      <w:proofErr w:type="spellStart"/>
      <w:r w:rsidRPr="00616737">
        <w:rPr>
          <w:lang w:val="en-US" w:bidi="bn-IN"/>
        </w:rPr>
        <w:t>Akashmoni</w:t>
      </w:r>
      <w:proofErr w:type="spellEnd"/>
      <w:r w:rsidRPr="00616737">
        <w:rPr>
          <w:lang w:val="en-US" w:bidi="bn-IN"/>
        </w:rPr>
        <w:t xml:space="preserve"> and root dry weight in Rice. </w:t>
      </w:r>
      <w:proofErr w:type="spellStart"/>
      <w:r w:rsidRPr="00616737">
        <w:rPr>
          <w:lang w:val="en-US" w:bidi="bn-IN"/>
        </w:rPr>
        <w:t>Chambul</w:t>
      </w:r>
      <w:proofErr w:type="spellEnd"/>
      <w:r w:rsidRPr="00616737">
        <w:rPr>
          <w:lang w:val="en-US" w:bidi="bn-IN"/>
        </w:rPr>
        <w:t xml:space="preserve"> biochar demonstrated a significant increase (p&lt; 0.001) in the reproductive number of Rice, with a 10% improvement over the Control. It also resulted in a highly significant (p&lt; 0.001) increase in leaf RWC% in </w:t>
      </w:r>
      <w:proofErr w:type="spellStart"/>
      <w:r w:rsidRPr="00616737">
        <w:rPr>
          <w:lang w:val="en-US" w:bidi="bn-IN"/>
        </w:rPr>
        <w:t>Akashmoni</w:t>
      </w:r>
      <w:proofErr w:type="spellEnd"/>
      <w:r w:rsidRPr="00616737">
        <w:rPr>
          <w:lang w:val="en-US" w:bidi="bn-IN"/>
        </w:rPr>
        <w:t xml:space="preserve"> compared to the Control and most Rice treatments.</w:t>
      </w:r>
    </w:p>
    <w:p w14:paraId="36D43B5F" w14:textId="77777777" w:rsidR="00616737" w:rsidRPr="00616737" w:rsidRDefault="00616737" w:rsidP="00B654AC">
      <w:pPr>
        <w:rPr>
          <w:lang w:val="en-US" w:bidi="bn-IN"/>
        </w:rPr>
      </w:pPr>
      <w:r w:rsidRPr="00616737">
        <w:rPr>
          <w:lang w:val="en-US" w:bidi="bn-IN"/>
        </w:rPr>
        <w:t xml:space="preserve">Regarding RWC% in shoots and roots, most </w:t>
      </w:r>
      <w:proofErr w:type="spellStart"/>
      <w:r w:rsidRPr="00616737">
        <w:rPr>
          <w:lang w:val="en-US" w:bidi="bn-IN"/>
        </w:rPr>
        <w:t>Akashmoni</w:t>
      </w:r>
      <w:proofErr w:type="spellEnd"/>
      <w:r w:rsidRPr="00616737">
        <w:rPr>
          <w:lang w:val="en-US" w:bidi="bn-IN"/>
        </w:rPr>
        <w:t xml:space="preserve"> treatments showed a significant (p&lt; 0.001) increase compared to most Rice treatments, while </w:t>
      </w:r>
      <w:proofErr w:type="spellStart"/>
      <w:r w:rsidRPr="00616737">
        <w:rPr>
          <w:lang w:val="en-US" w:bidi="bn-IN"/>
        </w:rPr>
        <w:t>Mahagoni</w:t>
      </w:r>
      <w:proofErr w:type="spellEnd"/>
      <w:r w:rsidRPr="00616737">
        <w:rPr>
          <w:lang w:val="en-US" w:bidi="bn-IN"/>
        </w:rPr>
        <w:t xml:space="preserve"> biochar demonstrated significant effects on the RWC% of reproductive parts in Rice. Above-ground biomass analysis revealed that </w:t>
      </w:r>
      <w:proofErr w:type="spellStart"/>
      <w:r w:rsidRPr="00616737">
        <w:rPr>
          <w:lang w:val="en-US" w:bidi="bn-IN"/>
        </w:rPr>
        <w:t>Chambul</w:t>
      </w:r>
      <w:proofErr w:type="spellEnd"/>
      <w:r w:rsidRPr="00616737">
        <w:rPr>
          <w:lang w:val="en-US" w:bidi="bn-IN"/>
        </w:rPr>
        <w:t xml:space="preserve"> and </w:t>
      </w:r>
      <w:proofErr w:type="spellStart"/>
      <w:r w:rsidRPr="00616737">
        <w:rPr>
          <w:lang w:val="en-US" w:bidi="bn-IN"/>
        </w:rPr>
        <w:t>Mahagoni</w:t>
      </w:r>
      <w:proofErr w:type="spellEnd"/>
      <w:r w:rsidRPr="00616737">
        <w:rPr>
          <w:lang w:val="en-US" w:bidi="bn-IN"/>
        </w:rPr>
        <w:t xml:space="preserve"> biochar treatments in </w:t>
      </w:r>
      <w:proofErr w:type="spellStart"/>
      <w:r w:rsidRPr="00616737">
        <w:rPr>
          <w:lang w:val="en-US" w:bidi="bn-IN"/>
        </w:rPr>
        <w:t>Akashmoni</w:t>
      </w:r>
      <w:proofErr w:type="spellEnd"/>
      <w:r w:rsidRPr="00616737">
        <w:rPr>
          <w:lang w:val="en-US" w:bidi="bn-IN"/>
        </w:rPr>
        <w:t xml:space="preserve"> led to significantly higher (p&lt; 0.05) shoot dry weight compared to Kadam and </w:t>
      </w:r>
      <w:proofErr w:type="spellStart"/>
      <w:r w:rsidRPr="00616737">
        <w:rPr>
          <w:lang w:val="en-US" w:bidi="bn-IN"/>
        </w:rPr>
        <w:t>Mahagoni</w:t>
      </w:r>
      <w:proofErr w:type="spellEnd"/>
      <w:r w:rsidRPr="00616737">
        <w:rPr>
          <w:lang w:val="en-US" w:bidi="bn-IN"/>
        </w:rPr>
        <w:t xml:space="preserve"> biochar in Rice, showing a 7% increase over the Control. In terms of the dry weight of Rice's reproductive parts, </w:t>
      </w:r>
      <w:proofErr w:type="spellStart"/>
      <w:r w:rsidRPr="00616737">
        <w:rPr>
          <w:lang w:val="en-US" w:bidi="bn-IN"/>
        </w:rPr>
        <w:t>Chambul</w:t>
      </w:r>
      <w:proofErr w:type="spellEnd"/>
      <w:r w:rsidRPr="00616737">
        <w:rPr>
          <w:lang w:val="en-US" w:bidi="bn-IN"/>
        </w:rPr>
        <w:t xml:space="preserve"> biochar resulted in significantly (p&lt; 0.01) higher values than all other treatments, with an 18% increase over the Control. However, no significant increase was observed in the collar diameter of the </w:t>
      </w:r>
      <w:proofErr w:type="spellStart"/>
      <w:r w:rsidRPr="00616737">
        <w:rPr>
          <w:lang w:val="en-US" w:bidi="bn-IN"/>
        </w:rPr>
        <w:t>Akashmoni</w:t>
      </w:r>
      <w:proofErr w:type="spellEnd"/>
      <w:r w:rsidRPr="00616737">
        <w:rPr>
          <w:lang w:val="en-US" w:bidi="bn-IN"/>
        </w:rPr>
        <w:t xml:space="preserve"> species.</w:t>
      </w:r>
    </w:p>
    <w:p w14:paraId="06F670C0" w14:textId="6A82BDC8" w:rsidR="00616737" w:rsidRPr="00777EE1" w:rsidRDefault="00616737" w:rsidP="00B654AC">
      <w:pPr>
        <w:rPr>
          <w:lang w:val="en-US" w:bidi="bn-IN"/>
        </w:rPr>
      </w:pPr>
      <w:r w:rsidRPr="00616737">
        <w:rPr>
          <w:lang w:val="en-US" w:bidi="bn-IN"/>
        </w:rPr>
        <w:t>These findings suggest that biochar application positively influenced growth parameters in both species. Previous studies have also demonstrated that biochar enhances plant growth, with maize production increasing by 198% and 98% compared to the Control, and soybean biomass increasing by 51% with the addition of 0.5 t/ha biochar</w:t>
      </w:r>
      <w:r w:rsidRPr="00777EE1">
        <w:rPr>
          <w:lang w:val="en-US" w:bidi="bn-IN"/>
        </w:rPr>
        <w:t xml:space="preserve"> </w:t>
      </w:r>
      <w:r w:rsidRPr="00777EE1">
        <w:rPr>
          <w:vertAlign w:val="superscript"/>
        </w:rPr>
        <w:t>[</w:t>
      </w:r>
      <w:r w:rsidRPr="00777EE1">
        <w:rPr>
          <w:vertAlign w:val="superscript"/>
        </w:rPr>
        <w:fldChar w:fldCharType="begin"/>
      </w:r>
      <w:r w:rsidRPr="00777EE1">
        <w:rPr>
          <w:vertAlign w:val="superscript"/>
        </w:rPr>
        <w:instrText xml:space="preserve"> REF _Ref190876302 \r \h  \* MERGEFORMAT </w:instrText>
      </w:r>
      <w:r w:rsidRPr="00777EE1">
        <w:rPr>
          <w:vertAlign w:val="superscript"/>
        </w:rPr>
      </w:r>
      <w:r w:rsidRPr="00777EE1">
        <w:rPr>
          <w:vertAlign w:val="superscript"/>
        </w:rPr>
        <w:fldChar w:fldCharType="separate"/>
      </w:r>
      <w:r w:rsidR="00BF62D4">
        <w:rPr>
          <w:vertAlign w:val="superscript"/>
        </w:rPr>
        <w:t>45</w:t>
      </w:r>
      <w:r w:rsidRPr="00777EE1">
        <w:rPr>
          <w:vertAlign w:val="superscript"/>
        </w:rPr>
        <w:fldChar w:fldCharType="end"/>
      </w:r>
      <w:r w:rsidRPr="00777EE1">
        <w:rPr>
          <w:vertAlign w:val="superscript"/>
        </w:rPr>
        <w:t>][</w:t>
      </w:r>
      <w:r w:rsidRPr="00777EE1">
        <w:rPr>
          <w:vertAlign w:val="superscript"/>
        </w:rPr>
        <w:fldChar w:fldCharType="begin"/>
      </w:r>
      <w:r w:rsidRPr="00777EE1">
        <w:rPr>
          <w:vertAlign w:val="superscript"/>
        </w:rPr>
        <w:instrText xml:space="preserve"> REF _Ref190876346 \r \h  \* MERGEFORMAT </w:instrText>
      </w:r>
      <w:r w:rsidRPr="00777EE1">
        <w:rPr>
          <w:vertAlign w:val="superscript"/>
        </w:rPr>
      </w:r>
      <w:r w:rsidRPr="00777EE1">
        <w:rPr>
          <w:vertAlign w:val="superscript"/>
        </w:rPr>
        <w:fldChar w:fldCharType="separate"/>
      </w:r>
      <w:r w:rsidR="00BF62D4">
        <w:rPr>
          <w:vertAlign w:val="superscript"/>
        </w:rPr>
        <w:t>46</w:t>
      </w:r>
      <w:r w:rsidRPr="00777EE1">
        <w:rPr>
          <w:vertAlign w:val="superscript"/>
        </w:rPr>
        <w:fldChar w:fldCharType="end"/>
      </w:r>
      <w:r w:rsidRPr="00777EE1">
        <w:rPr>
          <w:vertAlign w:val="superscript"/>
        </w:rPr>
        <w:t>]</w:t>
      </w:r>
      <w:r w:rsidRPr="00616737">
        <w:rPr>
          <w:lang w:val="en-US" w:bidi="bn-IN"/>
        </w:rPr>
        <w:t>. While biochar additions to degraded soils have been highlighted for their agronomic benefits, some studies have reported negligible or negative effects</w:t>
      </w:r>
      <w:r w:rsidRPr="00777EE1">
        <w:t xml:space="preserve"> </w:t>
      </w:r>
      <w:r w:rsidRPr="00777EE1">
        <w:rPr>
          <w:vertAlign w:val="superscript"/>
        </w:rPr>
        <w:t>[</w:t>
      </w:r>
      <w:r w:rsidRPr="00777EE1">
        <w:rPr>
          <w:vertAlign w:val="superscript"/>
        </w:rPr>
        <w:fldChar w:fldCharType="begin"/>
      </w:r>
      <w:r w:rsidRPr="00777EE1">
        <w:rPr>
          <w:vertAlign w:val="superscript"/>
        </w:rPr>
        <w:instrText xml:space="preserve"> REF _Ref190876360 \r \h  \* MERGEFORMAT </w:instrText>
      </w:r>
      <w:r w:rsidRPr="00777EE1">
        <w:rPr>
          <w:vertAlign w:val="superscript"/>
        </w:rPr>
      </w:r>
      <w:r w:rsidRPr="00777EE1">
        <w:rPr>
          <w:vertAlign w:val="superscript"/>
        </w:rPr>
        <w:fldChar w:fldCharType="separate"/>
      </w:r>
      <w:r w:rsidR="00BF62D4">
        <w:rPr>
          <w:vertAlign w:val="superscript"/>
        </w:rPr>
        <w:t>47</w:t>
      </w:r>
      <w:r w:rsidRPr="00777EE1">
        <w:rPr>
          <w:vertAlign w:val="superscript"/>
        </w:rPr>
        <w:fldChar w:fldCharType="end"/>
      </w:r>
      <w:r w:rsidRPr="00777EE1">
        <w:rPr>
          <w:vertAlign w:val="superscript"/>
        </w:rPr>
        <w:t>]</w:t>
      </w:r>
      <w:r w:rsidRPr="00616737">
        <w:rPr>
          <w:lang w:val="en-US" w:bidi="bn-IN"/>
        </w:rPr>
        <w:t>.</w:t>
      </w:r>
    </w:p>
    <w:p w14:paraId="375022EF" w14:textId="77777777" w:rsidR="00616737" w:rsidRPr="00616737" w:rsidRDefault="00616737" w:rsidP="00B654AC">
      <w:pPr>
        <w:pStyle w:val="Heading2"/>
      </w:pPr>
      <w:r w:rsidRPr="00616737">
        <w:lastRenderedPageBreak/>
        <w:t>Effect of Biochar on Soil Properties</w:t>
      </w:r>
    </w:p>
    <w:p w14:paraId="1858F29C" w14:textId="77777777" w:rsidR="00616737" w:rsidRPr="00616737" w:rsidRDefault="00616737" w:rsidP="00B654AC">
      <w:pPr>
        <w:rPr>
          <w:lang w:val="en-US" w:bidi="bn-IN"/>
        </w:rPr>
      </w:pPr>
      <w:r w:rsidRPr="00616737">
        <w:rPr>
          <w:lang w:val="en-US" w:bidi="bn-IN"/>
        </w:rPr>
        <w:t xml:space="preserve">Biochar treatments had a significant impact on soil properties, including soil moisture content, organic matter content, pH, potassium (K), phosphorus (P), and nitrogen (N). Soil moisture content increased significantly (p&lt; 0.05) in all biochar treatments except </w:t>
      </w:r>
      <w:proofErr w:type="spellStart"/>
      <w:r w:rsidRPr="00616737">
        <w:rPr>
          <w:lang w:val="en-US" w:bidi="bn-IN"/>
        </w:rPr>
        <w:t>Mahagoni</w:t>
      </w:r>
      <w:proofErr w:type="spellEnd"/>
      <w:r w:rsidRPr="00616737">
        <w:rPr>
          <w:lang w:val="en-US" w:bidi="bn-IN"/>
        </w:rPr>
        <w:t xml:space="preserve"> and Raintree, compared to the Control. For organic matter content, all treatments, except Kadam and Raintree, demonstrated significantly (p&lt; 0.05) higher results than the Control. Raintree biochar resulted in a significant (p&lt; 0.05) increase in soil pH compared to other treatments, except Kadam.</w:t>
      </w:r>
    </w:p>
    <w:p w14:paraId="275FFE99" w14:textId="77777777" w:rsidR="00616737" w:rsidRPr="00616737" w:rsidRDefault="00616737" w:rsidP="00B654AC">
      <w:pPr>
        <w:rPr>
          <w:lang w:val="en-US" w:bidi="bn-IN"/>
        </w:rPr>
      </w:pPr>
      <w:r w:rsidRPr="00616737">
        <w:rPr>
          <w:lang w:val="en-US" w:bidi="bn-IN"/>
        </w:rPr>
        <w:t xml:space="preserve">Regarding soil nitrogen, </w:t>
      </w:r>
      <w:proofErr w:type="spellStart"/>
      <w:r w:rsidRPr="00616737">
        <w:rPr>
          <w:lang w:val="en-US" w:bidi="bn-IN"/>
        </w:rPr>
        <w:t>Chambul</w:t>
      </w:r>
      <w:proofErr w:type="spellEnd"/>
      <w:r w:rsidRPr="00616737">
        <w:rPr>
          <w:lang w:val="en-US" w:bidi="bn-IN"/>
        </w:rPr>
        <w:t xml:space="preserve"> biochar exhibited highly significant changes (p&lt; 0.001) compared to other treatments in both species. In soil phosphorus, Kathal biochar application led to significant increases (p&lt; 0.01) compared to all treatments except </w:t>
      </w:r>
      <w:proofErr w:type="spellStart"/>
      <w:r w:rsidRPr="00616737">
        <w:rPr>
          <w:lang w:val="en-US" w:bidi="bn-IN"/>
        </w:rPr>
        <w:t>Mahagoni</w:t>
      </w:r>
      <w:proofErr w:type="spellEnd"/>
      <w:r w:rsidRPr="00616737">
        <w:rPr>
          <w:lang w:val="en-US" w:bidi="bn-IN"/>
        </w:rPr>
        <w:t>. Over time, all treatments, except Kadam, showed significantly (p&lt; 0.01) higher potassium levels compared to the Control. By the end of the experiment, biochar treatments had significantly improved soil properties compared to the Control.</w:t>
      </w:r>
    </w:p>
    <w:p w14:paraId="28B708B4" w14:textId="3A522985" w:rsidR="00616737" w:rsidRPr="00616737" w:rsidRDefault="00616737" w:rsidP="00B654AC">
      <w:pPr>
        <w:rPr>
          <w:lang w:val="en-US" w:bidi="bn-IN"/>
        </w:rPr>
      </w:pPr>
      <w:r w:rsidRPr="00616737">
        <w:rPr>
          <w:lang w:val="en-US" w:bidi="bn-IN"/>
        </w:rPr>
        <w:t>A related study reported that biochar application increased soil NPK levels compared to the Control</w:t>
      </w:r>
      <w:r w:rsidR="008C51D7" w:rsidRPr="00777EE1">
        <w:rPr>
          <w:lang w:val="en-US" w:bidi="bn-IN"/>
        </w:rPr>
        <w:t xml:space="preserve"> </w:t>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_Ref190876415 \r \h  \* MERGEFORMAT </w:instrText>
      </w:r>
      <w:r w:rsidR="008C51D7" w:rsidRPr="00777EE1">
        <w:rPr>
          <w:vertAlign w:val="superscript"/>
        </w:rPr>
      </w:r>
      <w:r w:rsidR="008C51D7" w:rsidRPr="00777EE1">
        <w:rPr>
          <w:vertAlign w:val="superscript"/>
        </w:rPr>
        <w:fldChar w:fldCharType="separate"/>
      </w:r>
      <w:r w:rsidR="00BF62D4">
        <w:rPr>
          <w:vertAlign w:val="superscript"/>
        </w:rPr>
        <w:t>48</w:t>
      </w:r>
      <w:r w:rsidR="008C51D7" w:rsidRPr="00777EE1">
        <w:rPr>
          <w:vertAlign w:val="superscript"/>
        </w:rPr>
        <w:fldChar w:fldCharType="end"/>
      </w:r>
      <w:r w:rsidR="008C51D7" w:rsidRPr="00777EE1">
        <w:rPr>
          <w:vertAlign w:val="superscript"/>
        </w:rPr>
        <w:t>]</w:t>
      </w:r>
      <w:r w:rsidRPr="00616737">
        <w:rPr>
          <w:lang w:val="en-US" w:bidi="bn-IN"/>
        </w:rPr>
        <w:t>. Biochar has also been found to enhance soil cation exchange capacity (CEC)</w:t>
      </w:r>
      <w:r w:rsidR="008C51D7" w:rsidRPr="00777EE1">
        <w:rPr>
          <w:lang w:val="en-US" w:bidi="bn-IN"/>
        </w:rPr>
        <w:t xml:space="preserve"> </w:t>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_Ref190876434 \r \h  \* MERGEFORMAT </w:instrText>
      </w:r>
      <w:r w:rsidR="008C51D7" w:rsidRPr="00777EE1">
        <w:rPr>
          <w:vertAlign w:val="superscript"/>
        </w:rPr>
      </w:r>
      <w:r w:rsidR="008C51D7" w:rsidRPr="00777EE1">
        <w:rPr>
          <w:vertAlign w:val="superscript"/>
        </w:rPr>
        <w:fldChar w:fldCharType="separate"/>
      </w:r>
      <w:r w:rsidR="00BF62D4">
        <w:rPr>
          <w:vertAlign w:val="superscript"/>
        </w:rPr>
        <w:t>49</w:t>
      </w:r>
      <w:r w:rsidR="008C51D7" w:rsidRPr="00777EE1">
        <w:rPr>
          <w:vertAlign w:val="superscript"/>
        </w:rPr>
        <w:fldChar w:fldCharType="end"/>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_Ref190876437 \r \h  \* MERGEFORMAT </w:instrText>
      </w:r>
      <w:r w:rsidR="008C51D7" w:rsidRPr="00777EE1">
        <w:rPr>
          <w:vertAlign w:val="superscript"/>
        </w:rPr>
      </w:r>
      <w:r w:rsidR="008C51D7" w:rsidRPr="00777EE1">
        <w:rPr>
          <w:vertAlign w:val="superscript"/>
        </w:rPr>
        <w:fldChar w:fldCharType="separate"/>
      </w:r>
      <w:r w:rsidR="00BF62D4">
        <w:rPr>
          <w:vertAlign w:val="superscript"/>
        </w:rPr>
        <w:t>50</w:t>
      </w:r>
      <w:r w:rsidR="008C51D7" w:rsidRPr="00777EE1">
        <w:rPr>
          <w:vertAlign w:val="superscript"/>
        </w:rPr>
        <w:fldChar w:fldCharType="end"/>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_Ref190876439 \r \h  \* MERGEFORMAT </w:instrText>
      </w:r>
      <w:r w:rsidR="008C51D7" w:rsidRPr="00777EE1">
        <w:rPr>
          <w:vertAlign w:val="superscript"/>
        </w:rPr>
      </w:r>
      <w:r w:rsidR="008C51D7" w:rsidRPr="00777EE1">
        <w:rPr>
          <w:vertAlign w:val="superscript"/>
        </w:rPr>
        <w:fldChar w:fldCharType="separate"/>
      </w:r>
      <w:r w:rsidR="00BF62D4">
        <w:rPr>
          <w:vertAlign w:val="superscript"/>
        </w:rPr>
        <w:t>51</w:t>
      </w:r>
      <w:r w:rsidR="008C51D7" w:rsidRPr="00777EE1">
        <w:rPr>
          <w:vertAlign w:val="superscript"/>
        </w:rPr>
        <w:fldChar w:fldCharType="end"/>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_Ref190876441 \r \h  \* MERGEFORMAT </w:instrText>
      </w:r>
      <w:r w:rsidR="008C51D7" w:rsidRPr="00777EE1">
        <w:rPr>
          <w:vertAlign w:val="superscript"/>
        </w:rPr>
      </w:r>
      <w:r w:rsidR="008C51D7" w:rsidRPr="00777EE1">
        <w:rPr>
          <w:vertAlign w:val="superscript"/>
        </w:rPr>
        <w:fldChar w:fldCharType="separate"/>
      </w:r>
      <w:r w:rsidR="00BF62D4">
        <w:rPr>
          <w:vertAlign w:val="superscript"/>
        </w:rPr>
        <w:t>52</w:t>
      </w:r>
      <w:r w:rsidR="008C51D7" w:rsidRPr="00777EE1">
        <w:rPr>
          <w:vertAlign w:val="superscript"/>
        </w:rPr>
        <w:fldChar w:fldCharType="end"/>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_Ref190876443 \r \h  \* MERGEFORMAT </w:instrText>
      </w:r>
      <w:r w:rsidR="008C51D7" w:rsidRPr="00777EE1">
        <w:rPr>
          <w:vertAlign w:val="superscript"/>
        </w:rPr>
      </w:r>
      <w:r w:rsidR="008C51D7" w:rsidRPr="00777EE1">
        <w:rPr>
          <w:vertAlign w:val="superscript"/>
        </w:rPr>
        <w:fldChar w:fldCharType="separate"/>
      </w:r>
      <w:r w:rsidR="00BF62D4">
        <w:rPr>
          <w:vertAlign w:val="superscript"/>
        </w:rPr>
        <w:t>53</w:t>
      </w:r>
      <w:r w:rsidR="008C51D7" w:rsidRPr="00777EE1">
        <w:rPr>
          <w:vertAlign w:val="superscript"/>
        </w:rPr>
        <w:fldChar w:fldCharType="end"/>
      </w:r>
      <w:r w:rsidR="008C51D7" w:rsidRPr="00777EE1">
        <w:rPr>
          <w:vertAlign w:val="superscript"/>
        </w:rPr>
        <w:t>]</w:t>
      </w:r>
      <w:r w:rsidRPr="00616737">
        <w:rPr>
          <w:lang w:val="en-US" w:bidi="bn-IN"/>
        </w:rPr>
        <w:t>. However, some studies suggest that biochar application may alter pH levels and influence the availability of essential soil nutrients such as calcium (Ca) and magnesium (Mg), which could limit maize growth in highly weathered tropical soils</w:t>
      </w:r>
      <w:r w:rsidR="008C51D7" w:rsidRPr="00777EE1">
        <w:rPr>
          <w:lang w:val="en-US" w:bidi="bn-IN"/>
        </w:rPr>
        <w:t xml:space="preserve"> </w:t>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_Ref190876471 \r \h  \* MERGEFORMAT </w:instrText>
      </w:r>
      <w:r w:rsidR="008C51D7" w:rsidRPr="00777EE1">
        <w:rPr>
          <w:vertAlign w:val="superscript"/>
        </w:rPr>
      </w:r>
      <w:r w:rsidR="008C51D7" w:rsidRPr="00777EE1">
        <w:rPr>
          <w:vertAlign w:val="superscript"/>
        </w:rPr>
        <w:fldChar w:fldCharType="separate"/>
      </w:r>
      <w:r w:rsidR="00BF62D4">
        <w:rPr>
          <w:vertAlign w:val="superscript"/>
        </w:rPr>
        <w:t>54</w:t>
      </w:r>
      <w:r w:rsidR="008C51D7" w:rsidRPr="00777EE1">
        <w:rPr>
          <w:vertAlign w:val="superscript"/>
        </w:rPr>
        <w:fldChar w:fldCharType="end"/>
      </w:r>
      <w:r w:rsidR="008C51D7" w:rsidRPr="00777EE1">
        <w:rPr>
          <w:vertAlign w:val="superscript"/>
        </w:rPr>
        <w:t>]</w:t>
      </w:r>
      <w:r w:rsidRPr="00616737">
        <w:rPr>
          <w:lang w:val="en-US" w:bidi="bn-IN"/>
        </w:rPr>
        <w:t xml:space="preserve">. Additionally, biochar has been reported to impact the availability of boron (B) and molybdenum (Mo), which are crucial cofactors in biological nitrogen </w:t>
      </w:r>
      <w:r w:rsidR="00BF53A7" w:rsidRPr="00616737">
        <w:rPr>
          <w:lang w:val="en-US" w:bidi="bn-IN"/>
        </w:rPr>
        <w:t>fixation</w:t>
      </w:r>
      <w:r w:rsidR="00BF53A7" w:rsidRPr="00777EE1">
        <w:rPr>
          <w:vertAlign w:val="superscript"/>
        </w:rPr>
        <w:t xml:space="preserve"> [</w:t>
      </w:r>
      <w:r w:rsidR="008C51D7" w:rsidRPr="00777EE1">
        <w:rPr>
          <w:vertAlign w:val="superscript"/>
        </w:rPr>
        <w:fldChar w:fldCharType="begin"/>
      </w:r>
      <w:r w:rsidR="008C51D7" w:rsidRPr="00777EE1">
        <w:rPr>
          <w:vertAlign w:val="superscript"/>
        </w:rPr>
        <w:instrText xml:space="preserve"> REF _Ref190876485 \r \h  \* MERGEFORMAT </w:instrText>
      </w:r>
      <w:r w:rsidR="008C51D7" w:rsidRPr="00777EE1">
        <w:rPr>
          <w:vertAlign w:val="superscript"/>
        </w:rPr>
      </w:r>
      <w:r w:rsidR="008C51D7" w:rsidRPr="00777EE1">
        <w:rPr>
          <w:vertAlign w:val="superscript"/>
        </w:rPr>
        <w:fldChar w:fldCharType="separate"/>
      </w:r>
      <w:r w:rsidR="00BF62D4">
        <w:rPr>
          <w:vertAlign w:val="superscript"/>
        </w:rPr>
        <w:t>55</w:t>
      </w:r>
      <w:r w:rsidR="008C51D7" w:rsidRPr="00777EE1">
        <w:rPr>
          <w:vertAlign w:val="superscript"/>
        </w:rPr>
        <w:fldChar w:fldCharType="end"/>
      </w:r>
      <w:r w:rsidR="008C51D7" w:rsidRPr="00777EE1">
        <w:rPr>
          <w:vertAlign w:val="superscript"/>
        </w:rPr>
        <w:t>]</w:t>
      </w:r>
      <w:r w:rsidRPr="00616737">
        <w:rPr>
          <w:lang w:val="en-US" w:bidi="bn-IN"/>
        </w:rPr>
        <w:t>.</w:t>
      </w:r>
    </w:p>
    <w:p w14:paraId="10D5A20F" w14:textId="13625048" w:rsidR="00616737" w:rsidRPr="00616737" w:rsidRDefault="008C51D7" w:rsidP="00B654AC">
      <w:pPr>
        <w:pStyle w:val="Heading1"/>
      </w:pPr>
      <w:r w:rsidRPr="00777EE1">
        <w:t>CONCLUSION</w:t>
      </w:r>
    </w:p>
    <w:p w14:paraId="3AF064AC" w14:textId="06F74CE7" w:rsidR="00AB24FF" w:rsidRPr="00A82965" w:rsidRDefault="00AB24FF" w:rsidP="00B654AC">
      <w:pPr>
        <w:rPr>
          <w:highlight w:val="yellow"/>
          <w:lang w:val="en-US" w:bidi="bn-IN"/>
        </w:rPr>
      </w:pPr>
      <w:r w:rsidRPr="00A82965">
        <w:rPr>
          <w:highlight w:val="yellow"/>
          <w:lang w:val="en-US" w:bidi="bn-IN"/>
        </w:rPr>
        <w:t xml:space="preserve">Based on this study, it can be concluded that applying an appropriate amount of biochar can enhance seed germination, plant growth and soil nutrient availability, with notable variations depending on the feedstock species. Among the six selected feedstocks species, </w:t>
      </w:r>
      <w:proofErr w:type="spellStart"/>
      <w:r w:rsidRPr="00A82965">
        <w:rPr>
          <w:highlight w:val="yellow"/>
          <w:lang w:val="en-US" w:bidi="bn-IN"/>
        </w:rPr>
        <w:t>Chambul</w:t>
      </w:r>
      <w:proofErr w:type="spellEnd"/>
      <w:r w:rsidRPr="00A82965">
        <w:rPr>
          <w:highlight w:val="yellow"/>
          <w:lang w:val="en-US" w:bidi="bn-IN"/>
        </w:rPr>
        <w:t xml:space="preserve"> biochar exhibited the highest biochar yield (41.6%), significantly improved soil fertility and contributed to better plant growth. In contrast, Raintree biochar had the lowest yield (13%) and showed comparatively weaker effects.</w:t>
      </w:r>
    </w:p>
    <w:p w14:paraId="0BFC6429" w14:textId="25EB738F" w:rsidR="00131DA3" w:rsidRPr="00A82965" w:rsidRDefault="00AB24FF" w:rsidP="00131DA3">
      <w:pPr>
        <w:rPr>
          <w:highlight w:val="yellow"/>
          <w:lang w:val="en-US" w:bidi="bn-IN"/>
        </w:rPr>
      </w:pPr>
      <w:r w:rsidRPr="00A82965">
        <w:rPr>
          <w:highlight w:val="yellow"/>
          <w:lang w:val="en-US" w:bidi="bn-IN"/>
        </w:rPr>
        <w:t xml:space="preserve">The results indicate that </w:t>
      </w:r>
      <w:proofErr w:type="spellStart"/>
      <w:r w:rsidRPr="00A82965">
        <w:rPr>
          <w:highlight w:val="yellow"/>
          <w:lang w:val="en-US" w:bidi="bn-IN"/>
        </w:rPr>
        <w:t>Chambul</w:t>
      </w:r>
      <w:proofErr w:type="spellEnd"/>
      <w:r w:rsidRPr="00A82965">
        <w:rPr>
          <w:highlight w:val="yellow"/>
          <w:lang w:val="en-US" w:bidi="bn-IN"/>
        </w:rPr>
        <w:t xml:space="preserve"> and Kadam biochar significantly enhanced germination potential in Rice, with </w:t>
      </w:r>
      <w:proofErr w:type="spellStart"/>
      <w:r w:rsidRPr="00A82965">
        <w:rPr>
          <w:highlight w:val="yellow"/>
          <w:lang w:val="en-US" w:bidi="bn-IN"/>
        </w:rPr>
        <w:t>Chambul</w:t>
      </w:r>
      <w:proofErr w:type="spellEnd"/>
      <w:r w:rsidRPr="00A82965">
        <w:rPr>
          <w:highlight w:val="yellow"/>
          <w:lang w:val="en-US" w:bidi="bn-IN"/>
        </w:rPr>
        <w:t xml:space="preserve"> achieving an 88.3% germination rate. Growth parameters such as shoot length, leaf number, and dry weight were notably improved with </w:t>
      </w:r>
      <w:proofErr w:type="spellStart"/>
      <w:r w:rsidRPr="00A82965">
        <w:rPr>
          <w:highlight w:val="yellow"/>
          <w:lang w:val="en-US" w:bidi="bn-IN"/>
        </w:rPr>
        <w:t>Chambul</w:t>
      </w:r>
      <w:proofErr w:type="spellEnd"/>
      <w:r w:rsidRPr="00A82965">
        <w:rPr>
          <w:highlight w:val="yellow"/>
          <w:lang w:val="en-US" w:bidi="bn-IN"/>
        </w:rPr>
        <w:t xml:space="preserve"> biochar in </w:t>
      </w:r>
      <w:proofErr w:type="spellStart"/>
      <w:r w:rsidRPr="00A82965">
        <w:rPr>
          <w:highlight w:val="yellow"/>
          <w:lang w:val="en-US" w:bidi="bn-IN"/>
        </w:rPr>
        <w:t>Akashmoni</w:t>
      </w:r>
      <w:proofErr w:type="spellEnd"/>
      <w:r w:rsidRPr="00A82965">
        <w:rPr>
          <w:highlight w:val="yellow"/>
          <w:lang w:val="en-US" w:bidi="bn-IN"/>
        </w:rPr>
        <w:t xml:space="preserve">, while </w:t>
      </w:r>
      <w:proofErr w:type="spellStart"/>
      <w:r w:rsidRPr="00A82965">
        <w:rPr>
          <w:highlight w:val="yellow"/>
          <w:lang w:val="en-US" w:bidi="bn-IN"/>
        </w:rPr>
        <w:t>Mahagoni</w:t>
      </w:r>
      <w:proofErr w:type="spellEnd"/>
      <w:r w:rsidRPr="00A82965">
        <w:rPr>
          <w:highlight w:val="yellow"/>
          <w:lang w:val="en-US" w:bidi="bn-IN"/>
        </w:rPr>
        <w:t xml:space="preserve"> and Kathal biochar contributed to enhanced soil nutrient levels. Soil properties were significantly influenced by biochar application, particularly with </w:t>
      </w:r>
      <w:proofErr w:type="spellStart"/>
      <w:r w:rsidRPr="00A82965">
        <w:rPr>
          <w:highlight w:val="yellow"/>
          <w:lang w:val="en-US" w:bidi="bn-IN"/>
        </w:rPr>
        <w:t>Chambul</w:t>
      </w:r>
      <w:proofErr w:type="spellEnd"/>
      <w:r w:rsidRPr="00A82965">
        <w:rPr>
          <w:highlight w:val="yellow"/>
          <w:lang w:val="en-US" w:bidi="bn-IN"/>
        </w:rPr>
        <w:t xml:space="preserve"> biochar increasing soil nitrogen levels (p &lt; 0.001) and Kathal biochar improving phosphorus availability (p &lt; 0.01).</w:t>
      </w:r>
      <w:r w:rsidR="00131DA3" w:rsidRPr="00A82965">
        <w:rPr>
          <w:highlight w:val="yellow"/>
          <w:lang w:val="en-US" w:bidi="bn-IN"/>
        </w:rPr>
        <w:t xml:space="preserve"> </w:t>
      </w:r>
    </w:p>
    <w:p w14:paraId="6F7DC023" w14:textId="424AE133" w:rsidR="00131DA3" w:rsidRPr="00A82965" w:rsidRDefault="00AB24FF" w:rsidP="00131DA3">
      <w:pPr>
        <w:rPr>
          <w:highlight w:val="yellow"/>
          <w:lang w:val="en-US" w:bidi="bn-IN"/>
        </w:rPr>
      </w:pPr>
      <w:r w:rsidRPr="00A82965">
        <w:rPr>
          <w:highlight w:val="yellow"/>
          <w:lang w:val="en-US" w:bidi="bn-IN"/>
        </w:rPr>
        <w:t xml:space="preserve">This study also </w:t>
      </w:r>
      <w:r w:rsidR="00131DA3" w:rsidRPr="00A82965">
        <w:rPr>
          <w:highlight w:val="yellow"/>
          <w:lang w:val="en-US" w:bidi="bn-IN"/>
        </w:rPr>
        <w:t>emphasizes</w:t>
      </w:r>
      <w:r w:rsidRPr="00A82965">
        <w:rPr>
          <w:highlight w:val="yellow"/>
          <w:lang w:val="en-US" w:bidi="bn-IN"/>
        </w:rPr>
        <w:t xml:space="preserve"> the economic and practical feasibility of biochar production using a rustic method, </w:t>
      </w:r>
      <w:r w:rsidR="00131DA3" w:rsidRPr="00A82965">
        <w:rPr>
          <w:highlight w:val="yellow"/>
          <w:lang w:val="en-US" w:bidi="bn-IN"/>
        </w:rPr>
        <w:t>comparing</w:t>
      </w:r>
      <w:r w:rsidRPr="00A82965">
        <w:rPr>
          <w:highlight w:val="yellow"/>
          <w:lang w:val="en-US" w:bidi="bn-IN"/>
        </w:rPr>
        <w:t xml:space="preserve"> with technologically advanced approaches. </w:t>
      </w:r>
      <w:r w:rsidR="00131DA3" w:rsidRPr="00A82965">
        <w:rPr>
          <w:highlight w:val="yellow"/>
          <w:lang w:val="en-US" w:bidi="bn-IN"/>
        </w:rPr>
        <w:t>The findings emphasize that biochar characteristics are influenced by both feedstock selection and production techniques, making this study a crucial reference</w:t>
      </w:r>
      <w:r w:rsidRPr="00A82965">
        <w:rPr>
          <w:highlight w:val="yellow"/>
          <w:lang w:val="en-US" w:bidi="bn-IN"/>
        </w:rPr>
        <w:t xml:space="preserve"> in optimizing biochar’s agronomic benefits. </w:t>
      </w:r>
      <w:r w:rsidR="00131DA3" w:rsidRPr="00A82965">
        <w:rPr>
          <w:highlight w:val="yellow"/>
          <w:lang w:val="en-US" w:bidi="bn-IN"/>
        </w:rPr>
        <w:t xml:space="preserve">Therefore, </w:t>
      </w:r>
      <w:proofErr w:type="spellStart"/>
      <w:r w:rsidR="00131DA3" w:rsidRPr="00A82965">
        <w:rPr>
          <w:highlight w:val="yellow"/>
          <w:lang w:val="en-US" w:bidi="bn-IN"/>
        </w:rPr>
        <w:t>Chambul</w:t>
      </w:r>
      <w:proofErr w:type="spellEnd"/>
      <w:r w:rsidR="00131DA3" w:rsidRPr="00A82965">
        <w:rPr>
          <w:highlight w:val="yellow"/>
          <w:lang w:val="en-US" w:bidi="bn-IN"/>
        </w:rPr>
        <w:t xml:space="preserve"> biochar emerges as a promising soil amendment for improving soil fertility and plant growth and potentially incorporated into forest management and agricultural practices.</w:t>
      </w:r>
    </w:p>
    <w:p w14:paraId="4FAA6C0F" w14:textId="77777777" w:rsidR="00131DA3" w:rsidRDefault="00131DA3" w:rsidP="00131DA3">
      <w:pPr>
        <w:rPr>
          <w:lang w:val="en-US" w:bidi="bn-IN"/>
        </w:rPr>
      </w:pPr>
      <w:r w:rsidRPr="00A82965">
        <w:rPr>
          <w:highlight w:val="yellow"/>
          <w:lang w:val="en-US" w:bidi="bn-IN"/>
        </w:rPr>
        <w:t>Further research is necessary to investigate the chemical properties of biochar that contribute to beneficial and harmful effects on soil and different plant species. Additionally, understanding how biochar application rates influence soil properties is essential for optimizing its agricultural and environmental benefits.</w:t>
      </w:r>
    </w:p>
    <w:p w14:paraId="303BFF60" w14:textId="4BB85650" w:rsidR="00B654AC" w:rsidRDefault="00B654AC" w:rsidP="00B654AC">
      <w:pPr>
        <w:pStyle w:val="Otherheads"/>
      </w:pPr>
      <w:bookmarkStart w:id="41" w:name="_kyh1etc9u8st" w:colFirst="0" w:colLast="0"/>
      <w:bookmarkEnd w:id="41"/>
      <w:r>
        <w:t>CONSENT</w:t>
      </w:r>
    </w:p>
    <w:p w14:paraId="1C4DBBC9" w14:textId="77777777" w:rsidR="00770C94" w:rsidRDefault="00770C94" w:rsidP="00F77F77">
      <w:pPr>
        <w:rPr>
          <w:b/>
          <w:shd w:val="clear" w:color="auto" w:fill="FFFFFF"/>
        </w:rPr>
      </w:pPr>
      <w:r w:rsidRPr="00770C94">
        <w:rPr>
          <w:shd w:val="clear" w:color="auto" w:fill="FFFFFF"/>
        </w:rPr>
        <w:t>All authors confirm that this case report has not been previously published or submitted for publication in any other peer-reviewed journal. This ensures that the content is original and has not been considered or reviewed elsewhere before being submitted to this journal.</w:t>
      </w:r>
    </w:p>
    <w:p w14:paraId="17FE5E36" w14:textId="35767405" w:rsidR="00B654AC" w:rsidRPr="00770C94" w:rsidRDefault="00B654AC" w:rsidP="00B654AC">
      <w:pPr>
        <w:pStyle w:val="Otherheads"/>
      </w:pPr>
      <w:r w:rsidRPr="00770C94">
        <w:lastRenderedPageBreak/>
        <w:t>ETHICAL APPROVAL</w:t>
      </w:r>
    </w:p>
    <w:p w14:paraId="68884136" w14:textId="587E91D7" w:rsidR="00191846" w:rsidRPr="00EA5216" w:rsidRDefault="00D30BEE" w:rsidP="00191846">
      <w:pPr>
        <w:rPr>
          <w:shd w:val="clear" w:color="auto" w:fill="FFFFFF"/>
        </w:rPr>
      </w:pPr>
      <w:r w:rsidRPr="00A82965">
        <w:rPr>
          <w:highlight w:val="yellow"/>
          <w:shd w:val="clear" w:color="auto" w:fill="FFFFFF"/>
        </w:rPr>
        <w:t>This study did not involve human participants, animals, or sensitive biological materials; therefore, ethical approval was not required. All experimental procedures adhered to standard scientific guidelines and best practices for plant-based research.</w:t>
      </w:r>
    </w:p>
    <w:p w14:paraId="63B2AA25" w14:textId="77777777" w:rsidR="00A854F3" w:rsidRPr="003A29C6" w:rsidRDefault="00A854F3" w:rsidP="00EA5216">
      <w:pPr>
        <w:pStyle w:val="Otherheads"/>
      </w:pPr>
      <w:r w:rsidRPr="00EA5216">
        <w:t>COMPETING INTERESTS DISCLAIMER:</w:t>
      </w:r>
    </w:p>
    <w:p w14:paraId="58363AFC" w14:textId="7D51357C" w:rsidR="00A854F3" w:rsidRDefault="00A854F3" w:rsidP="00A854F3">
      <w:r w:rsidRPr="00A10EDE">
        <w:t>Authors have declared that they have no known competing financial interests OR non-financial interests OR personal relationships that could have appeared to influence the work reported in this paper.</w:t>
      </w:r>
    </w:p>
    <w:p w14:paraId="09B0C5A7" w14:textId="6EA05FC7" w:rsidR="00553488" w:rsidRPr="00004E21" w:rsidRDefault="00553488" w:rsidP="00EA5216">
      <w:pPr>
        <w:pStyle w:val="Otherheads"/>
      </w:pPr>
      <w:bookmarkStart w:id="42" w:name="_Hlk180402183"/>
      <w:bookmarkStart w:id="43" w:name="_Hlk183680988"/>
      <w:r w:rsidRPr="00004E21">
        <w:t>Disclaimer (Artificial intelligence)</w:t>
      </w:r>
      <w:r w:rsidR="00EA5216" w:rsidRPr="00004E21">
        <w:t>:</w:t>
      </w:r>
    </w:p>
    <w:bookmarkEnd w:id="42"/>
    <w:bookmarkEnd w:id="43"/>
    <w:p w14:paraId="2F7DD713" w14:textId="53D5B082" w:rsidR="00553488" w:rsidRDefault="00F67A4D" w:rsidP="00A854F3">
      <w:r w:rsidRPr="00A82965">
        <w:rPr>
          <w:highlight w:val="yellow"/>
        </w:rPr>
        <w:t>The author(s) declare that generative AI technologies were utilized during the writing and editing process of this manuscript. Specifically, ChatGPT (Academic Researcher, based on OpenAI’s GPT-4-turbo model) was used for paraphrasing and refining the text while ensuring clarity and coherence. All input prompts provided to the AI were designed to enhance readability without altering the original meaning or integrity of the content. The final manuscript has been reviewed and approved by the author(s) to ensure accuracy and alignment with the research objectives.</w:t>
      </w:r>
    </w:p>
    <w:p w14:paraId="25AC9982" w14:textId="6530CC17" w:rsidR="00D17AD2" w:rsidRPr="006644C7" w:rsidRDefault="006644C7" w:rsidP="00332A82">
      <w:pPr>
        <w:pStyle w:val="Otherheads"/>
      </w:pPr>
      <w:bookmarkStart w:id="44" w:name="_7bdk7zlhci6" w:colFirst="0" w:colLast="0"/>
      <w:bookmarkEnd w:id="44"/>
      <w:r w:rsidRPr="006644C7">
        <w:t>REFERENCES</w:t>
      </w:r>
    </w:p>
    <w:p w14:paraId="3FCEA92A" w14:textId="319E7211" w:rsidR="00DC0ECB" w:rsidRPr="008105BE" w:rsidRDefault="00DC0ECB" w:rsidP="00CC50DD">
      <w:pPr>
        <w:pStyle w:val="ListParagraph"/>
        <w:numPr>
          <w:ilvl w:val="0"/>
          <w:numId w:val="3"/>
        </w:numPr>
        <w:rPr>
          <w:szCs w:val="20"/>
        </w:rPr>
      </w:pPr>
      <w:bookmarkStart w:id="45" w:name="_Ref190868702"/>
      <w:r w:rsidRPr="008105BE">
        <w:rPr>
          <w:szCs w:val="20"/>
        </w:rPr>
        <w:t>Bridgwater, A.V.; Grassi, G.</w:t>
      </w:r>
      <w:r w:rsidR="008B294F">
        <w:rPr>
          <w:szCs w:val="20"/>
        </w:rPr>
        <w:t xml:space="preserve"> (</w:t>
      </w:r>
      <w:r w:rsidR="008B294F" w:rsidRPr="008105BE">
        <w:rPr>
          <w:szCs w:val="20"/>
        </w:rPr>
        <w:t>1991</w:t>
      </w:r>
      <w:r w:rsidR="008B294F">
        <w:rPr>
          <w:szCs w:val="20"/>
        </w:rPr>
        <w:t xml:space="preserve">). </w:t>
      </w:r>
      <w:r w:rsidRPr="008105BE">
        <w:rPr>
          <w:szCs w:val="20"/>
        </w:rPr>
        <w:t>Biomass pyrolysis liquids upgrading and utilisation, London, Elsevier</w:t>
      </w:r>
      <w:bookmarkEnd w:id="45"/>
      <w:r w:rsidR="008B294F">
        <w:rPr>
          <w:szCs w:val="20"/>
        </w:rPr>
        <w:t>.</w:t>
      </w:r>
    </w:p>
    <w:p w14:paraId="763C9961" w14:textId="607AA533" w:rsidR="00DC0ECB" w:rsidRPr="008105BE" w:rsidRDefault="00DC0ECB" w:rsidP="00CC50DD">
      <w:pPr>
        <w:pStyle w:val="ListParagraph"/>
        <w:numPr>
          <w:ilvl w:val="0"/>
          <w:numId w:val="3"/>
        </w:numPr>
        <w:rPr>
          <w:szCs w:val="20"/>
        </w:rPr>
      </w:pPr>
      <w:bookmarkStart w:id="46" w:name="_Ref190868705"/>
      <w:r w:rsidRPr="008105BE">
        <w:rPr>
          <w:szCs w:val="20"/>
        </w:rPr>
        <w:t>Bhatia, V.K.; Padmaja, K.V.; Kamra, S.; Singh, J.; Badoni, R.P.</w:t>
      </w:r>
      <w:r w:rsidR="008B294F">
        <w:rPr>
          <w:szCs w:val="20"/>
        </w:rPr>
        <w:t xml:space="preserve"> </w:t>
      </w:r>
      <w:r w:rsidR="008B294F" w:rsidRPr="008105BE">
        <w:rPr>
          <w:szCs w:val="20"/>
        </w:rPr>
        <w:t>(1993)</w:t>
      </w:r>
      <w:r w:rsidR="008B294F">
        <w:rPr>
          <w:szCs w:val="20"/>
        </w:rPr>
        <w:t>.</w:t>
      </w:r>
      <w:r w:rsidRPr="008105BE">
        <w:rPr>
          <w:szCs w:val="20"/>
        </w:rPr>
        <w:t xml:space="preserve"> Upgrading of biomass to liquid fuels, Fuel 72, pp. 101/104</w:t>
      </w:r>
      <w:bookmarkEnd w:id="46"/>
    </w:p>
    <w:p w14:paraId="0DD51860" w14:textId="5E7E8007" w:rsidR="00DC0ECB" w:rsidRPr="008105BE" w:rsidRDefault="00DC0ECB" w:rsidP="00CC50DD">
      <w:pPr>
        <w:pStyle w:val="ListParagraph"/>
        <w:numPr>
          <w:ilvl w:val="0"/>
          <w:numId w:val="3"/>
        </w:numPr>
        <w:rPr>
          <w:szCs w:val="20"/>
        </w:rPr>
      </w:pPr>
      <w:bookmarkStart w:id="47" w:name="_Ref190868798"/>
      <w:proofErr w:type="spellStart"/>
      <w:r w:rsidRPr="008105BE">
        <w:rPr>
          <w:szCs w:val="20"/>
        </w:rPr>
        <w:t>Ozcimen</w:t>
      </w:r>
      <w:proofErr w:type="spellEnd"/>
      <w:r w:rsidRPr="008105BE">
        <w:rPr>
          <w:szCs w:val="20"/>
        </w:rPr>
        <w:t xml:space="preserve">, D.; </w:t>
      </w:r>
      <w:proofErr w:type="spellStart"/>
      <w:r w:rsidRPr="008105BE">
        <w:rPr>
          <w:szCs w:val="20"/>
        </w:rPr>
        <w:t>Karaosmanoglu</w:t>
      </w:r>
      <w:proofErr w:type="spellEnd"/>
      <w:r w:rsidRPr="008105BE">
        <w:rPr>
          <w:szCs w:val="20"/>
        </w:rPr>
        <w:t>, F.</w:t>
      </w:r>
      <w:r w:rsidR="008B294F">
        <w:rPr>
          <w:szCs w:val="20"/>
        </w:rPr>
        <w:t xml:space="preserve"> </w:t>
      </w:r>
      <w:r w:rsidR="008B294F" w:rsidRPr="008105BE">
        <w:rPr>
          <w:szCs w:val="20"/>
        </w:rPr>
        <w:t>(2004)</w:t>
      </w:r>
      <w:r w:rsidR="008B294F">
        <w:rPr>
          <w:szCs w:val="20"/>
        </w:rPr>
        <w:t>.</w:t>
      </w:r>
      <w:r w:rsidRPr="008105BE">
        <w:rPr>
          <w:szCs w:val="20"/>
        </w:rPr>
        <w:t xml:space="preserve"> Production and characterization of bio-oil and </w:t>
      </w:r>
      <w:proofErr w:type="gramStart"/>
      <w:r w:rsidRPr="008105BE">
        <w:rPr>
          <w:szCs w:val="20"/>
        </w:rPr>
        <w:t>bio-char</w:t>
      </w:r>
      <w:proofErr w:type="gramEnd"/>
      <w:r w:rsidRPr="008105BE">
        <w:rPr>
          <w:szCs w:val="20"/>
        </w:rPr>
        <w:t xml:space="preserve"> from rapeseed cake. Renew Energy 29, pp. 779-787</w:t>
      </w:r>
      <w:bookmarkEnd w:id="47"/>
      <w:r w:rsidRPr="008105BE">
        <w:rPr>
          <w:szCs w:val="20"/>
        </w:rPr>
        <w:t xml:space="preserve"> </w:t>
      </w:r>
    </w:p>
    <w:p w14:paraId="4314D159" w14:textId="032D9967" w:rsidR="00DC0ECB" w:rsidRPr="008105BE" w:rsidRDefault="00DC0ECB" w:rsidP="00CC50DD">
      <w:pPr>
        <w:pStyle w:val="ListParagraph"/>
        <w:numPr>
          <w:ilvl w:val="0"/>
          <w:numId w:val="3"/>
        </w:numPr>
        <w:rPr>
          <w:szCs w:val="20"/>
        </w:rPr>
      </w:pPr>
      <w:bookmarkStart w:id="48" w:name="_Ref190868801"/>
      <w:r w:rsidRPr="008105BE">
        <w:rPr>
          <w:szCs w:val="20"/>
        </w:rPr>
        <w:t>Jefferson, M.</w:t>
      </w:r>
      <w:r w:rsidR="008B294F">
        <w:rPr>
          <w:szCs w:val="20"/>
        </w:rPr>
        <w:t xml:space="preserve"> </w:t>
      </w:r>
      <w:r w:rsidR="008B294F" w:rsidRPr="008105BE">
        <w:rPr>
          <w:szCs w:val="20"/>
        </w:rPr>
        <w:t>(2006)</w:t>
      </w:r>
      <w:r w:rsidR="008B294F">
        <w:rPr>
          <w:szCs w:val="20"/>
        </w:rPr>
        <w:t>.</w:t>
      </w:r>
      <w:r w:rsidRPr="008105BE">
        <w:rPr>
          <w:szCs w:val="20"/>
        </w:rPr>
        <w:t xml:space="preserve"> Sustainable energy development: performance and prospects. Renew Energy 31, pp. 571-582</w:t>
      </w:r>
      <w:bookmarkEnd w:id="48"/>
    </w:p>
    <w:p w14:paraId="10B01F33" w14:textId="55545F68" w:rsidR="00DC0ECB" w:rsidRDefault="00DC0ECB" w:rsidP="00CC50DD">
      <w:pPr>
        <w:pStyle w:val="ListParagraph"/>
        <w:numPr>
          <w:ilvl w:val="0"/>
          <w:numId w:val="3"/>
        </w:numPr>
        <w:rPr>
          <w:szCs w:val="20"/>
        </w:rPr>
      </w:pPr>
      <w:bookmarkStart w:id="49" w:name="_Ref190868856"/>
      <w:r w:rsidRPr="008105BE">
        <w:rPr>
          <w:szCs w:val="20"/>
        </w:rPr>
        <w:t>Cadenas, A.; Cabezudo, S.</w:t>
      </w:r>
      <w:r w:rsidR="008B294F" w:rsidRPr="008B294F">
        <w:rPr>
          <w:szCs w:val="20"/>
        </w:rPr>
        <w:t xml:space="preserve"> </w:t>
      </w:r>
      <w:r w:rsidR="008B294F" w:rsidRPr="008105BE">
        <w:rPr>
          <w:szCs w:val="20"/>
        </w:rPr>
        <w:t>(1998)</w:t>
      </w:r>
      <w:r w:rsidR="008B294F">
        <w:rPr>
          <w:szCs w:val="20"/>
        </w:rPr>
        <w:t>.</w:t>
      </w:r>
      <w:r w:rsidRPr="008105BE">
        <w:rPr>
          <w:szCs w:val="20"/>
        </w:rPr>
        <w:t xml:space="preserve"> Biofuels as sustainable technologies: perspectives for less developed countries. </w:t>
      </w:r>
      <w:proofErr w:type="spellStart"/>
      <w:r w:rsidRPr="008105BE">
        <w:rPr>
          <w:szCs w:val="20"/>
        </w:rPr>
        <w:t>Technol</w:t>
      </w:r>
      <w:proofErr w:type="spellEnd"/>
      <w:r w:rsidRPr="008105BE">
        <w:rPr>
          <w:szCs w:val="20"/>
        </w:rPr>
        <w:t xml:space="preserve"> Forecast Social Change 58, pp. 83-103</w:t>
      </w:r>
      <w:bookmarkEnd w:id="49"/>
      <w:r w:rsidRPr="008105BE">
        <w:rPr>
          <w:szCs w:val="20"/>
        </w:rPr>
        <w:t xml:space="preserve"> </w:t>
      </w:r>
    </w:p>
    <w:p w14:paraId="0CAA979F" w14:textId="09879385" w:rsidR="0037386E" w:rsidRPr="004C53EA" w:rsidRDefault="0037386E" w:rsidP="004C53EA">
      <w:pPr>
        <w:pStyle w:val="ListParagraph"/>
        <w:numPr>
          <w:ilvl w:val="0"/>
          <w:numId w:val="3"/>
        </w:numPr>
        <w:rPr>
          <w:szCs w:val="20"/>
        </w:rPr>
      </w:pPr>
      <w:bookmarkStart w:id="50" w:name="_Ref193462122"/>
      <w:r w:rsidRPr="0037386E">
        <w:rPr>
          <w:szCs w:val="20"/>
        </w:rPr>
        <w:t>Ha JH, Lee I-G</w:t>
      </w:r>
      <w:r w:rsidR="004C53EA">
        <w:rPr>
          <w:szCs w:val="20"/>
        </w:rPr>
        <w:t xml:space="preserve"> (</w:t>
      </w:r>
      <w:r w:rsidR="004C53EA" w:rsidRPr="004C53EA">
        <w:rPr>
          <w:szCs w:val="20"/>
        </w:rPr>
        <w:t>2020</w:t>
      </w:r>
      <w:r w:rsidR="004C53EA">
        <w:rPr>
          <w:szCs w:val="20"/>
        </w:rPr>
        <w:t>)</w:t>
      </w:r>
      <w:r w:rsidRPr="0037386E">
        <w:rPr>
          <w:szCs w:val="20"/>
        </w:rPr>
        <w:t>. Study of a method to effectively remove char byproduct generated from fast</w:t>
      </w:r>
      <w:r w:rsidR="004C53EA">
        <w:rPr>
          <w:szCs w:val="20"/>
        </w:rPr>
        <w:t xml:space="preserve"> </w:t>
      </w:r>
      <w:r w:rsidRPr="0037386E">
        <w:rPr>
          <w:szCs w:val="20"/>
        </w:rPr>
        <w:t>pyrolysis of lignocellulosic biomass in a</w:t>
      </w:r>
      <w:r w:rsidR="004C53EA">
        <w:rPr>
          <w:szCs w:val="20"/>
        </w:rPr>
        <w:t xml:space="preserve"> </w:t>
      </w:r>
      <w:r w:rsidRPr="004C53EA">
        <w:rPr>
          <w:szCs w:val="20"/>
        </w:rPr>
        <w:t>bubbling fluidized bed reactor. Processes.;8(11):1–14.</w:t>
      </w:r>
      <w:bookmarkEnd w:id="50"/>
    </w:p>
    <w:p w14:paraId="4FA98F2A" w14:textId="39F4723E" w:rsidR="00DC0ECB" w:rsidRPr="008105BE" w:rsidRDefault="00DC0ECB" w:rsidP="00CC50DD">
      <w:pPr>
        <w:pStyle w:val="ListParagraph"/>
        <w:numPr>
          <w:ilvl w:val="0"/>
          <w:numId w:val="3"/>
        </w:numPr>
        <w:rPr>
          <w:szCs w:val="20"/>
        </w:rPr>
      </w:pPr>
      <w:bookmarkStart w:id="51" w:name="_Ref190868891"/>
      <w:r w:rsidRPr="008105BE">
        <w:rPr>
          <w:szCs w:val="20"/>
        </w:rPr>
        <w:t>Abdul, R. N. F., &amp; Abdul, R. N. S. (2017). The effect of biochar application on nutrient availability of soil planted with MR219. Journal of Microbial and Biochemical Technology, 9(2), 583-586</w:t>
      </w:r>
      <w:bookmarkEnd w:id="51"/>
    </w:p>
    <w:p w14:paraId="36E61B78" w14:textId="4F62905D" w:rsidR="00DC0ECB" w:rsidRPr="008105BE" w:rsidRDefault="00DC0ECB" w:rsidP="00CC50DD">
      <w:pPr>
        <w:pStyle w:val="ListParagraph"/>
        <w:numPr>
          <w:ilvl w:val="0"/>
          <w:numId w:val="3"/>
        </w:numPr>
        <w:rPr>
          <w:szCs w:val="20"/>
        </w:rPr>
      </w:pPr>
      <w:bookmarkStart w:id="52" w:name="_Ref190868920"/>
      <w:r w:rsidRPr="008105BE">
        <w:rPr>
          <w:szCs w:val="20"/>
        </w:rPr>
        <w:t>Ahmad, M., Rajapaksha, A. U., Lim, J. E., Zhang, M., Bolan, N., Mohan, D., ... &amp; Ok, Y. S. (2014). Biochar as a sorbent for contaminant management in soil and water: a review. Chemosphere, 99, 19-33.</w:t>
      </w:r>
      <w:bookmarkEnd w:id="52"/>
    </w:p>
    <w:p w14:paraId="34B8A2EF" w14:textId="5A346480" w:rsidR="00DC0ECB" w:rsidRPr="008105BE" w:rsidRDefault="00DC0ECB" w:rsidP="00CC50DD">
      <w:pPr>
        <w:pStyle w:val="ListParagraph"/>
        <w:numPr>
          <w:ilvl w:val="0"/>
          <w:numId w:val="3"/>
        </w:numPr>
        <w:rPr>
          <w:szCs w:val="20"/>
        </w:rPr>
      </w:pPr>
      <w:bookmarkStart w:id="53" w:name="_Ref190868965"/>
      <w:r w:rsidRPr="004038A5">
        <w:rPr>
          <w:szCs w:val="20"/>
          <w:lang w:val="de-DE"/>
        </w:rPr>
        <w:t xml:space="preserve">Cheng, C. H., Lehmann, J., Thies, J. E., Burton, S. D., &amp; Engelhard, M. H. (2006). </w:t>
      </w:r>
      <w:r w:rsidRPr="008105BE">
        <w:rPr>
          <w:szCs w:val="20"/>
        </w:rPr>
        <w:t>Oxidation of black carbon by biotic and abiotic processes. Organic geochemistry, 37(11), 1477-1488.</w:t>
      </w:r>
      <w:bookmarkEnd w:id="53"/>
    </w:p>
    <w:p w14:paraId="2A4F8A96" w14:textId="287AFC61" w:rsidR="00DC0ECB" w:rsidRPr="008105BE" w:rsidRDefault="00DC0ECB" w:rsidP="00CC50DD">
      <w:pPr>
        <w:pStyle w:val="ListParagraph"/>
        <w:numPr>
          <w:ilvl w:val="0"/>
          <w:numId w:val="3"/>
        </w:numPr>
        <w:rPr>
          <w:szCs w:val="20"/>
        </w:rPr>
      </w:pPr>
      <w:bookmarkStart w:id="54" w:name="_Ref190869164"/>
      <w:proofErr w:type="spellStart"/>
      <w:r w:rsidRPr="008105BE">
        <w:rPr>
          <w:szCs w:val="20"/>
        </w:rPr>
        <w:t>Demirbas</w:t>
      </w:r>
      <w:proofErr w:type="spellEnd"/>
      <w:r w:rsidRPr="008105BE">
        <w:rPr>
          <w:szCs w:val="20"/>
        </w:rPr>
        <w:t>, A., &amp; Arin, G. (2002). An overview of biomass pyrolysis. Energy sources, 24(5), 471-482.</w:t>
      </w:r>
      <w:bookmarkEnd w:id="54"/>
    </w:p>
    <w:p w14:paraId="48845536" w14:textId="1E464E47" w:rsidR="00DC0ECB" w:rsidRPr="002C3F1F" w:rsidRDefault="00DC0ECB" w:rsidP="00CC50DD">
      <w:pPr>
        <w:pStyle w:val="ListParagraph"/>
        <w:numPr>
          <w:ilvl w:val="0"/>
          <w:numId w:val="3"/>
        </w:numPr>
        <w:rPr>
          <w:szCs w:val="20"/>
          <w:highlight w:val="yellow"/>
        </w:rPr>
      </w:pPr>
      <w:bookmarkStart w:id="55" w:name="_Ref190869170"/>
      <w:proofErr w:type="spellStart"/>
      <w:r w:rsidRPr="002C3F1F">
        <w:rPr>
          <w:szCs w:val="20"/>
          <w:highlight w:val="yellow"/>
        </w:rPr>
        <w:t>Dharmakeerthi</w:t>
      </w:r>
      <w:proofErr w:type="spellEnd"/>
      <w:r w:rsidRPr="002C3F1F">
        <w:rPr>
          <w:szCs w:val="20"/>
          <w:highlight w:val="yellow"/>
        </w:rPr>
        <w:t xml:space="preserve">, R. S., Chandrasiri, J. A. S., &amp; </w:t>
      </w:r>
      <w:proofErr w:type="spellStart"/>
      <w:r w:rsidRPr="002C3F1F">
        <w:rPr>
          <w:szCs w:val="20"/>
          <w:highlight w:val="yellow"/>
        </w:rPr>
        <w:t>Edirimanne</w:t>
      </w:r>
      <w:proofErr w:type="spellEnd"/>
      <w:r w:rsidRPr="002C3F1F">
        <w:rPr>
          <w:szCs w:val="20"/>
          <w:highlight w:val="yellow"/>
        </w:rPr>
        <w:t xml:space="preserve">, V. U. (2012). Effect of rubber wood biochar on nutrition and growth of nursery plants of </w:t>
      </w:r>
      <w:r w:rsidRPr="002C3F1F">
        <w:rPr>
          <w:i/>
          <w:iCs/>
          <w:szCs w:val="20"/>
          <w:highlight w:val="yellow"/>
        </w:rPr>
        <w:t xml:space="preserve">Hevea </w:t>
      </w:r>
      <w:proofErr w:type="spellStart"/>
      <w:r w:rsidRPr="002C3F1F">
        <w:rPr>
          <w:i/>
          <w:iCs/>
          <w:szCs w:val="20"/>
          <w:highlight w:val="yellow"/>
        </w:rPr>
        <w:t>brasiliensis</w:t>
      </w:r>
      <w:proofErr w:type="spellEnd"/>
      <w:r w:rsidRPr="002C3F1F">
        <w:rPr>
          <w:szCs w:val="20"/>
          <w:highlight w:val="yellow"/>
        </w:rPr>
        <w:t xml:space="preserve"> established in an </w:t>
      </w:r>
      <w:proofErr w:type="spellStart"/>
      <w:r w:rsidRPr="002C3F1F">
        <w:rPr>
          <w:szCs w:val="20"/>
          <w:highlight w:val="yellow"/>
        </w:rPr>
        <w:t>Ultisol</w:t>
      </w:r>
      <w:proofErr w:type="spellEnd"/>
      <w:r w:rsidRPr="002C3F1F">
        <w:rPr>
          <w:szCs w:val="20"/>
          <w:highlight w:val="yellow"/>
        </w:rPr>
        <w:t xml:space="preserve">. </w:t>
      </w:r>
      <w:proofErr w:type="spellStart"/>
      <w:r w:rsidRPr="002C3F1F">
        <w:rPr>
          <w:szCs w:val="20"/>
          <w:highlight w:val="yellow"/>
        </w:rPr>
        <w:t>SpringerPlus</w:t>
      </w:r>
      <w:proofErr w:type="spellEnd"/>
      <w:r w:rsidRPr="002C3F1F">
        <w:rPr>
          <w:szCs w:val="20"/>
          <w:highlight w:val="yellow"/>
        </w:rPr>
        <w:t>, 1(1), 84.</w:t>
      </w:r>
      <w:bookmarkEnd w:id="55"/>
    </w:p>
    <w:p w14:paraId="17C5E5B7" w14:textId="34FFA7A6" w:rsidR="00DC0ECB" w:rsidRPr="002C3F1F" w:rsidRDefault="00DC0ECB" w:rsidP="00CC50DD">
      <w:pPr>
        <w:pStyle w:val="ListParagraph"/>
        <w:numPr>
          <w:ilvl w:val="0"/>
          <w:numId w:val="3"/>
        </w:numPr>
        <w:rPr>
          <w:szCs w:val="20"/>
          <w:highlight w:val="yellow"/>
        </w:rPr>
      </w:pPr>
      <w:bookmarkStart w:id="56" w:name="_Ref190869173"/>
      <w:r w:rsidRPr="002C3F1F">
        <w:rPr>
          <w:szCs w:val="20"/>
          <w:highlight w:val="yellow"/>
        </w:rPr>
        <w:t>Du Shin, J. (2015). Carbon Sequestration and Nitrogen Transformation in Soil Cooperated with Organic Composts and Biochar during Corn (</w:t>
      </w:r>
      <w:proofErr w:type="spellStart"/>
      <w:r w:rsidRPr="002C3F1F">
        <w:rPr>
          <w:i/>
          <w:iCs/>
          <w:szCs w:val="20"/>
          <w:highlight w:val="yellow"/>
        </w:rPr>
        <w:t>Zea</w:t>
      </w:r>
      <w:proofErr w:type="spellEnd"/>
      <w:r w:rsidRPr="002C3F1F">
        <w:rPr>
          <w:i/>
          <w:iCs/>
          <w:szCs w:val="20"/>
          <w:highlight w:val="yellow"/>
        </w:rPr>
        <w:t xml:space="preserve"> mays)</w:t>
      </w:r>
      <w:r w:rsidRPr="002C3F1F">
        <w:rPr>
          <w:szCs w:val="20"/>
          <w:highlight w:val="yellow"/>
        </w:rPr>
        <w:t xml:space="preserve"> Cultivation. Journal of Agricultural Chemistry and Environment, 4(04), 96.</w:t>
      </w:r>
      <w:bookmarkEnd w:id="56"/>
    </w:p>
    <w:p w14:paraId="1E0A62F1" w14:textId="459E29E0" w:rsidR="00DC0ECB" w:rsidRPr="008105BE" w:rsidRDefault="00DC0ECB" w:rsidP="00CC50DD">
      <w:pPr>
        <w:pStyle w:val="ListParagraph"/>
        <w:numPr>
          <w:ilvl w:val="0"/>
          <w:numId w:val="3"/>
        </w:numPr>
        <w:rPr>
          <w:szCs w:val="20"/>
        </w:rPr>
      </w:pPr>
      <w:bookmarkStart w:id="57" w:name="_Ref190875656"/>
      <w:r w:rsidRPr="008105BE">
        <w:rPr>
          <w:szCs w:val="20"/>
        </w:rPr>
        <w:t xml:space="preserve">Enders, A., Hanley, K., Whitman, T., Joseph, S., &amp; Lehmann, J. (2012). Characterization of </w:t>
      </w:r>
      <w:proofErr w:type="spellStart"/>
      <w:r w:rsidRPr="008105BE">
        <w:rPr>
          <w:szCs w:val="20"/>
        </w:rPr>
        <w:t>biochars</w:t>
      </w:r>
      <w:proofErr w:type="spellEnd"/>
      <w:r w:rsidRPr="008105BE">
        <w:rPr>
          <w:szCs w:val="20"/>
        </w:rPr>
        <w:t xml:space="preserve"> to evaluate recalcitrance and agronomic performance. Bioresource technology, 114, 644-653.</w:t>
      </w:r>
      <w:bookmarkEnd w:id="57"/>
    </w:p>
    <w:p w14:paraId="0F8279A4" w14:textId="528EABE4" w:rsidR="00DC0ECB" w:rsidRPr="008105BE" w:rsidRDefault="00DC0ECB" w:rsidP="00CC50DD">
      <w:pPr>
        <w:pStyle w:val="ListParagraph"/>
        <w:numPr>
          <w:ilvl w:val="0"/>
          <w:numId w:val="3"/>
        </w:numPr>
        <w:rPr>
          <w:szCs w:val="20"/>
        </w:rPr>
      </w:pPr>
      <w:bookmarkStart w:id="58" w:name="_Ref190875659"/>
      <w:proofErr w:type="spellStart"/>
      <w:r w:rsidRPr="008105BE">
        <w:rPr>
          <w:szCs w:val="20"/>
        </w:rPr>
        <w:lastRenderedPageBreak/>
        <w:t>Fagbenro</w:t>
      </w:r>
      <w:proofErr w:type="spellEnd"/>
      <w:r w:rsidRPr="008105BE">
        <w:rPr>
          <w:szCs w:val="20"/>
        </w:rPr>
        <w:t xml:space="preserve">, J. A., </w:t>
      </w:r>
      <w:proofErr w:type="spellStart"/>
      <w:r w:rsidRPr="008105BE">
        <w:rPr>
          <w:szCs w:val="20"/>
        </w:rPr>
        <w:t>Oshunsanya</w:t>
      </w:r>
      <w:proofErr w:type="spellEnd"/>
      <w:r w:rsidRPr="008105BE">
        <w:rPr>
          <w:szCs w:val="20"/>
        </w:rPr>
        <w:t xml:space="preserve">, S. O., &amp; </w:t>
      </w:r>
      <w:proofErr w:type="spellStart"/>
      <w:r w:rsidRPr="008105BE">
        <w:rPr>
          <w:szCs w:val="20"/>
        </w:rPr>
        <w:t>Onawumi</w:t>
      </w:r>
      <w:proofErr w:type="spellEnd"/>
      <w:r w:rsidRPr="008105BE">
        <w:rPr>
          <w:szCs w:val="20"/>
        </w:rPr>
        <w:t xml:space="preserve">, O. A. (2013). Effect of Saw Dust Biochar and NPK 15: 15: 15 Inorganic Fertilizer on Moringa oleifera Seedlings Grown in an </w:t>
      </w:r>
      <w:proofErr w:type="spellStart"/>
      <w:r w:rsidRPr="008105BE">
        <w:rPr>
          <w:szCs w:val="20"/>
        </w:rPr>
        <w:t>Oxisol</w:t>
      </w:r>
      <w:proofErr w:type="spellEnd"/>
      <w:r w:rsidRPr="008105BE">
        <w:rPr>
          <w:szCs w:val="20"/>
        </w:rPr>
        <w:t xml:space="preserve">. </w:t>
      </w:r>
      <w:proofErr w:type="spellStart"/>
      <w:r w:rsidRPr="008105BE">
        <w:rPr>
          <w:szCs w:val="20"/>
        </w:rPr>
        <w:t>Agrosearch</w:t>
      </w:r>
      <w:proofErr w:type="spellEnd"/>
      <w:r w:rsidRPr="008105BE">
        <w:rPr>
          <w:szCs w:val="20"/>
        </w:rPr>
        <w:t>, 13(1), 57-68.</w:t>
      </w:r>
      <w:bookmarkEnd w:id="58"/>
    </w:p>
    <w:p w14:paraId="1B814400" w14:textId="7A7ACC17" w:rsidR="00DC0ECB" w:rsidRPr="008105BE" w:rsidRDefault="00DC0ECB" w:rsidP="00CC50DD">
      <w:pPr>
        <w:pStyle w:val="ListParagraph"/>
        <w:numPr>
          <w:ilvl w:val="0"/>
          <w:numId w:val="3"/>
        </w:numPr>
        <w:rPr>
          <w:szCs w:val="20"/>
        </w:rPr>
      </w:pPr>
      <w:bookmarkStart w:id="59" w:name="_Ref190875737"/>
      <w:proofErr w:type="spellStart"/>
      <w:r w:rsidRPr="008105BE">
        <w:rPr>
          <w:szCs w:val="20"/>
        </w:rPr>
        <w:t>Fagbenro</w:t>
      </w:r>
      <w:proofErr w:type="spellEnd"/>
      <w:r w:rsidRPr="008105BE">
        <w:rPr>
          <w:szCs w:val="20"/>
        </w:rPr>
        <w:t xml:space="preserve">, J. A., </w:t>
      </w:r>
      <w:proofErr w:type="spellStart"/>
      <w:r w:rsidRPr="008105BE">
        <w:rPr>
          <w:szCs w:val="20"/>
        </w:rPr>
        <w:t>Oshunsanya</w:t>
      </w:r>
      <w:proofErr w:type="spellEnd"/>
      <w:r w:rsidRPr="008105BE">
        <w:rPr>
          <w:szCs w:val="20"/>
        </w:rPr>
        <w:t xml:space="preserve">, S. O., &amp; </w:t>
      </w:r>
      <w:proofErr w:type="spellStart"/>
      <w:r w:rsidRPr="008105BE">
        <w:rPr>
          <w:szCs w:val="20"/>
        </w:rPr>
        <w:t>Oyeleye</w:t>
      </w:r>
      <w:proofErr w:type="spellEnd"/>
      <w:r w:rsidRPr="008105BE">
        <w:rPr>
          <w:szCs w:val="20"/>
        </w:rPr>
        <w:t xml:space="preserve">, B. A. (2015). Effects of </w:t>
      </w:r>
      <w:proofErr w:type="spellStart"/>
      <w:r w:rsidRPr="008105BE">
        <w:rPr>
          <w:szCs w:val="20"/>
        </w:rPr>
        <w:t>gliricidia</w:t>
      </w:r>
      <w:proofErr w:type="spellEnd"/>
      <w:r w:rsidRPr="008105BE">
        <w:rPr>
          <w:szCs w:val="20"/>
        </w:rPr>
        <w:t xml:space="preserve"> biochar and inorganic fertilizer on moringa plant grown in an </w:t>
      </w:r>
      <w:proofErr w:type="spellStart"/>
      <w:r w:rsidRPr="008105BE">
        <w:rPr>
          <w:szCs w:val="20"/>
        </w:rPr>
        <w:t>oxisol</w:t>
      </w:r>
      <w:proofErr w:type="spellEnd"/>
      <w:r w:rsidRPr="008105BE">
        <w:rPr>
          <w:szCs w:val="20"/>
        </w:rPr>
        <w:t>. Communications in Soil Science and Plant Analysis, 46(5), 619-626.</w:t>
      </w:r>
      <w:bookmarkEnd w:id="59"/>
    </w:p>
    <w:p w14:paraId="491A690D" w14:textId="392EB988" w:rsidR="00DC0ECB" w:rsidRPr="002C3F1F" w:rsidRDefault="00DC0ECB" w:rsidP="00CC50DD">
      <w:pPr>
        <w:pStyle w:val="ListParagraph"/>
        <w:numPr>
          <w:ilvl w:val="0"/>
          <w:numId w:val="3"/>
        </w:numPr>
        <w:rPr>
          <w:szCs w:val="20"/>
          <w:highlight w:val="yellow"/>
        </w:rPr>
      </w:pPr>
      <w:bookmarkStart w:id="60" w:name="_Ref190875740"/>
      <w:r w:rsidRPr="002C3F1F">
        <w:rPr>
          <w:szCs w:val="20"/>
          <w:highlight w:val="yellow"/>
        </w:rPr>
        <w:t xml:space="preserve">Free, H. F., McGill, C. R., Rowarth, J. S., &amp; Hedley, M. J. (2010). The effect of </w:t>
      </w:r>
      <w:proofErr w:type="spellStart"/>
      <w:r w:rsidRPr="002C3F1F">
        <w:rPr>
          <w:szCs w:val="20"/>
          <w:highlight w:val="yellow"/>
        </w:rPr>
        <w:t>biochars</w:t>
      </w:r>
      <w:proofErr w:type="spellEnd"/>
      <w:r w:rsidRPr="002C3F1F">
        <w:rPr>
          <w:szCs w:val="20"/>
          <w:highlight w:val="yellow"/>
        </w:rPr>
        <w:t xml:space="preserve"> on maize (</w:t>
      </w:r>
      <w:proofErr w:type="spellStart"/>
      <w:r w:rsidRPr="002C3F1F">
        <w:rPr>
          <w:i/>
          <w:iCs/>
          <w:szCs w:val="20"/>
          <w:highlight w:val="yellow"/>
        </w:rPr>
        <w:t>Zea</w:t>
      </w:r>
      <w:proofErr w:type="spellEnd"/>
      <w:r w:rsidRPr="002C3F1F">
        <w:rPr>
          <w:i/>
          <w:iCs/>
          <w:szCs w:val="20"/>
          <w:highlight w:val="yellow"/>
        </w:rPr>
        <w:t xml:space="preserve"> mays</w:t>
      </w:r>
      <w:r w:rsidRPr="002C3F1F">
        <w:rPr>
          <w:szCs w:val="20"/>
          <w:highlight w:val="yellow"/>
        </w:rPr>
        <w:t>) germination. New Zealand journal of agricultural research, 53(1), 1-4.</w:t>
      </w:r>
      <w:bookmarkEnd w:id="60"/>
    </w:p>
    <w:p w14:paraId="153CE247" w14:textId="7CE415AE" w:rsidR="00DC0ECB" w:rsidRPr="008105BE" w:rsidRDefault="00DC0ECB" w:rsidP="00CC50DD">
      <w:pPr>
        <w:pStyle w:val="ListParagraph"/>
        <w:numPr>
          <w:ilvl w:val="0"/>
          <w:numId w:val="3"/>
        </w:numPr>
        <w:rPr>
          <w:szCs w:val="20"/>
        </w:rPr>
      </w:pPr>
      <w:bookmarkStart w:id="61" w:name="_Ref190875743"/>
      <w:r w:rsidRPr="008105BE">
        <w:rPr>
          <w:szCs w:val="20"/>
        </w:rPr>
        <w:t>Gaskin, J. W., Speir, R. A., Harris, K., Das, K. C., Lee, R. D., Morris, L. A., &amp; Fisher, D. S. (2010). Effect of peanut hull and pine chip biochar on soil nutrients, corn nutrient status, and yield. Agronomy Journal, 102(2), 623-633.</w:t>
      </w:r>
      <w:bookmarkEnd w:id="61"/>
    </w:p>
    <w:p w14:paraId="5BC18D5E" w14:textId="51139E4E" w:rsidR="00DC0ECB" w:rsidRPr="008105BE" w:rsidRDefault="00DC0ECB" w:rsidP="00CC50DD">
      <w:pPr>
        <w:pStyle w:val="ListParagraph"/>
        <w:numPr>
          <w:ilvl w:val="0"/>
          <w:numId w:val="3"/>
        </w:numPr>
        <w:rPr>
          <w:szCs w:val="20"/>
        </w:rPr>
      </w:pPr>
      <w:bookmarkStart w:id="62" w:name="_Ref190875746"/>
      <w:r w:rsidRPr="008105BE">
        <w:rPr>
          <w:szCs w:val="20"/>
        </w:rPr>
        <w:t>Ghosh, S., Ow, L. F., &amp; Wilson, B. (2015). Influence of biochar and compost on soil properties and tree growth in a tropical urban environment. International journal of environmental science and technology, 12(4), 1303-1310.</w:t>
      </w:r>
      <w:bookmarkEnd w:id="62"/>
    </w:p>
    <w:p w14:paraId="2B59253E" w14:textId="380543AF" w:rsidR="00DC0ECB" w:rsidRPr="008105BE" w:rsidRDefault="00DC0ECB" w:rsidP="00CC50DD">
      <w:pPr>
        <w:pStyle w:val="ListParagraph"/>
        <w:numPr>
          <w:ilvl w:val="0"/>
          <w:numId w:val="3"/>
        </w:numPr>
        <w:rPr>
          <w:szCs w:val="20"/>
        </w:rPr>
      </w:pPr>
      <w:bookmarkStart w:id="63" w:name="_Ref190875749"/>
      <w:r w:rsidRPr="008105BE">
        <w:rPr>
          <w:szCs w:val="20"/>
        </w:rPr>
        <w:t xml:space="preserve">Grossman, J. M., O’Neill, B. E., Tsai, S. M., Liang, B., Neves, E., Lehmann, J., &amp; Thies, J. E. (2010). Amazonian </w:t>
      </w:r>
      <w:proofErr w:type="spellStart"/>
      <w:r w:rsidRPr="008105BE">
        <w:rPr>
          <w:szCs w:val="20"/>
        </w:rPr>
        <w:t>anthrosols</w:t>
      </w:r>
      <w:proofErr w:type="spellEnd"/>
      <w:r w:rsidRPr="008105BE">
        <w:rPr>
          <w:szCs w:val="20"/>
        </w:rPr>
        <w:t xml:space="preserve"> support similar microbial communities that differ distinctly from those extant in adjacent, unmodified soils of the same mineralogy. Microbial ecology, 60(1), 192-205.</w:t>
      </w:r>
      <w:bookmarkEnd w:id="63"/>
    </w:p>
    <w:p w14:paraId="15F68A0D" w14:textId="6123DC19" w:rsidR="00DC0ECB" w:rsidRPr="008105BE" w:rsidRDefault="00DC0ECB" w:rsidP="00CC50DD">
      <w:pPr>
        <w:pStyle w:val="ListParagraph"/>
        <w:numPr>
          <w:ilvl w:val="0"/>
          <w:numId w:val="3"/>
        </w:numPr>
        <w:rPr>
          <w:szCs w:val="20"/>
        </w:rPr>
      </w:pPr>
      <w:bookmarkStart w:id="64" w:name="_Ref190875753"/>
      <w:r w:rsidRPr="004038A5">
        <w:rPr>
          <w:szCs w:val="20"/>
          <w:lang w:val="de-DE"/>
        </w:rPr>
        <w:t xml:space="preserve">Gupta, A. K., &amp; Nagar, D. K. (2018). </w:t>
      </w:r>
      <w:r w:rsidRPr="008105BE">
        <w:rPr>
          <w:szCs w:val="20"/>
        </w:rPr>
        <w:t>Matrix variate distributions (Vol. 104). CRC Press.</w:t>
      </w:r>
      <w:bookmarkEnd w:id="64"/>
    </w:p>
    <w:p w14:paraId="2E1AD5FD" w14:textId="046801E8" w:rsidR="00DC0ECB" w:rsidRPr="008105BE" w:rsidRDefault="00DC0ECB" w:rsidP="00CC50DD">
      <w:pPr>
        <w:pStyle w:val="ListParagraph"/>
        <w:numPr>
          <w:ilvl w:val="0"/>
          <w:numId w:val="3"/>
        </w:numPr>
        <w:rPr>
          <w:szCs w:val="20"/>
        </w:rPr>
      </w:pPr>
      <w:bookmarkStart w:id="65" w:name="_Ref190875756"/>
      <w:r w:rsidRPr="008105BE">
        <w:rPr>
          <w:szCs w:val="20"/>
        </w:rPr>
        <w:t>Inyang, M., &amp; Dickenson, E. (2015). The potential role of biochar in the removal of organic and microbial contaminants from potable and reuse water: a review. Chemosphere, 134, 232-240.</w:t>
      </w:r>
      <w:bookmarkEnd w:id="65"/>
    </w:p>
    <w:p w14:paraId="56900667" w14:textId="3D116E93" w:rsidR="00DC0ECB" w:rsidRPr="008105BE" w:rsidRDefault="00DC0ECB" w:rsidP="00CC50DD">
      <w:pPr>
        <w:pStyle w:val="ListParagraph"/>
        <w:numPr>
          <w:ilvl w:val="0"/>
          <w:numId w:val="3"/>
        </w:numPr>
        <w:rPr>
          <w:szCs w:val="20"/>
        </w:rPr>
      </w:pPr>
      <w:bookmarkStart w:id="66" w:name="_Ref190875759"/>
      <w:r w:rsidRPr="004038A5">
        <w:rPr>
          <w:szCs w:val="20"/>
          <w:lang w:val="de-DE"/>
        </w:rPr>
        <w:t xml:space="preserve">Inyang, M., Gao, B., Pullammanappallil, P., Ding, W., &amp; Zimmerman, A. R. (2010). </w:t>
      </w:r>
      <w:r w:rsidRPr="008105BE">
        <w:rPr>
          <w:szCs w:val="20"/>
        </w:rPr>
        <w:t>Biochar from anaerobically digested sugarcane bagasse. Bioresource technology, 101(22), 8868-8872.</w:t>
      </w:r>
      <w:bookmarkEnd w:id="66"/>
    </w:p>
    <w:p w14:paraId="6E527FCC" w14:textId="7443156E" w:rsidR="00DC0ECB" w:rsidRPr="008105BE" w:rsidRDefault="00DC0ECB" w:rsidP="00CC50DD">
      <w:pPr>
        <w:pStyle w:val="ListParagraph"/>
        <w:numPr>
          <w:ilvl w:val="0"/>
          <w:numId w:val="3"/>
        </w:numPr>
        <w:rPr>
          <w:szCs w:val="20"/>
        </w:rPr>
      </w:pPr>
      <w:bookmarkStart w:id="67" w:name="_Ref190875830"/>
      <w:r w:rsidRPr="004038A5">
        <w:rPr>
          <w:szCs w:val="20"/>
          <w:lang w:val="de-DE"/>
        </w:rPr>
        <w:t xml:space="preserve">Jeffery, S., Verheijen, F. G., van der Velde, M., &amp; Bastos, A. C. (2011). </w:t>
      </w:r>
      <w:r w:rsidRPr="008105BE">
        <w:rPr>
          <w:szCs w:val="20"/>
        </w:rPr>
        <w:t>A quantitative review of the effects of biochar application to soils on crop productivity using meta-analysis. Agriculture, ecosystems &amp; environment, 144(1), 175-187.</w:t>
      </w:r>
      <w:bookmarkEnd w:id="67"/>
    </w:p>
    <w:p w14:paraId="6DFDA1E7" w14:textId="2A175006" w:rsidR="00DC0ECB" w:rsidRPr="008105BE" w:rsidRDefault="00DC0ECB" w:rsidP="00CC50DD">
      <w:pPr>
        <w:pStyle w:val="ListParagraph"/>
        <w:numPr>
          <w:ilvl w:val="0"/>
          <w:numId w:val="3"/>
        </w:numPr>
        <w:rPr>
          <w:szCs w:val="20"/>
        </w:rPr>
      </w:pPr>
      <w:bookmarkStart w:id="68" w:name="_Ref190875866"/>
      <w:r w:rsidRPr="008105BE">
        <w:rPr>
          <w:szCs w:val="20"/>
        </w:rPr>
        <w:t>Kamara, A., Mansaray, M. M., Kamara, A., &amp; Sawyerr, P. A. (2014). Effects of biochar derived from maize stover and rice straw on the early growth of their seedlings. American Journal of Agriculture and Forestry, 2(5), 232-236.</w:t>
      </w:r>
      <w:bookmarkEnd w:id="68"/>
    </w:p>
    <w:p w14:paraId="3639113B" w14:textId="2D970DEA" w:rsidR="00DC0ECB" w:rsidRPr="008105BE" w:rsidRDefault="00DC0ECB" w:rsidP="00CC50DD">
      <w:pPr>
        <w:pStyle w:val="ListParagraph"/>
        <w:numPr>
          <w:ilvl w:val="0"/>
          <w:numId w:val="3"/>
        </w:numPr>
        <w:rPr>
          <w:szCs w:val="20"/>
        </w:rPr>
      </w:pPr>
      <w:bookmarkStart w:id="69" w:name="_Ref190875869"/>
      <w:r w:rsidRPr="004038A5">
        <w:rPr>
          <w:szCs w:val="20"/>
          <w:lang w:val="de-DE"/>
        </w:rPr>
        <w:t xml:space="preserve">Karhu, K., Mattila, T., Bergström, I., &amp; Regina, K. (2011). </w:t>
      </w:r>
      <w:r w:rsidRPr="008105BE">
        <w:rPr>
          <w:szCs w:val="20"/>
        </w:rPr>
        <w:t>Biochar addition to agricultural soil increased CH4 uptake and water holding capacity–Results from a short-term pilot field study. Agriculture, ecosystems &amp; environment, 140(1-2), 309-313.</w:t>
      </w:r>
      <w:bookmarkEnd w:id="69"/>
    </w:p>
    <w:p w14:paraId="4656D714" w14:textId="3AED96A4" w:rsidR="00DC0ECB" w:rsidRPr="008105BE" w:rsidRDefault="00DC0ECB" w:rsidP="00CC50DD">
      <w:pPr>
        <w:pStyle w:val="ListParagraph"/>
        <w:numPr>
          <w:ilvl w:val="0"/>
          <w:numId w:val="3"/>
        </w:numPr>
        <w:rPr>
          <w:szCs w:val="20"/>
        </w:rPr>
      </w:pPr>
      <w:bookmarkStart w:id="70" w:name="_Ref190875905"/>
      <w:proofErr w:type="spellStart"/>
      <w:r w:rsidRPr="008105BE">
        <w:rPr>
          <w:szCs w:val="20"/>
        </w:rPr>
        <w:t>Kimetu</w:t>
      </w:r>
      <w:proofErr w:type="spellEnd"/>
      <w:r w:rsidRPr="008105BE">
        <w:rPr>
          <w:szCs w:val="20"/>
        </w:rPr>
        <w:t xml:space="preserve">, J. M., Lehmann, J., </w:t>
      </w:r>
      <w:proofErr w:type="spellStart"/>
      <w:r w:rsidRPr="008105BE">
        <w:rPr>
          <w:szCs w:val="20"/>
        </w:rPr>
        <w:t>Ngoze</w:t>
      </w:r>
      <w:proofErr w:type="spellEnd"/>
      <w:r w:rsidRPr="008105BE">
        <w:rPr>
          <w:szCs w:val="20"/>
        </w:rPr>
        <w:t xml:space="preserve">, S. O., Mugendi, D. N., </w:t>
      </w:r>
      <w:proofErr w:type="spellStart"/>
      <w:r w:rsidRPr="008105BE">
        <w:rPr>
          <w:szCs w:val="20"/>
        </w:rPr>
        <w:t>Kinyangi</w:t>
      </w:r>
      <w:proofErr w:type="spellEnd"/>
      <w:r w:rsidRPr="008105BE">
        <w:rPr>
          <w:szCs w:val="20"/>
        </w:rPr>
        <w:t>, J. M., Riha, S., ... &amp; Pell, A. N. (2008). Reversibility of soil productivity decline with organic matter of differing quality along a degradation gradient. Ecosystems, 11(5), 726.</w:t>
      </w:r>
      <w:bookmarkEnd w:id="70"/>
    </w:p>
    <w:p w14:paraId="0C860185" w14:textId="0261055B" w:rsidR="00DC0ECB" w:rsidRPr="008105BE" w:rsidRDefault="00DC0ECB" w:rsidP="00CC50DD">
      <w:pPr>
        <w:pStyle w:val="ListParagraph"/>
        <w:numPr>
          <w:ilvl w:val="0"/>
          <w:numId w:val="3"/>
        </w:numPr>
        <w:rPr>
          <w:szCs w:val="20"/>
        </w:rPr>
      </w:pPr>
      <w:bookmarkStart w:id="71" w:name="_Ref190875930"/>
      <w:r w:rsidRPr="008105BE">
        <w:rPr>
          <w:szCs w:val="20"/>
        </w:rPr>
        <w:t xml:space="preserve">Lee, J. W., Kidder, M., Evans, B. R., Paik, S., Buchanan Iii, A. C., Garten, C. T., &amp; Brown, R. C. (2010). Characterization of </w:t>
      </w:r>
      <w:proofErr w:type="spellStart"/>
      <w:r w:rsidRPr="008105BE">
        <w:rPr>
          <w:szCs w:val="20"/>
        </w:rPr>
        <w:t>biochars</w:t>
      </w:r>
      <w:proofErr w:type="spellEnd"/>
      <w:r w:rsidRPr="008105BE">
        <w:rPr>
          <w:szCs w:val="20"/>
        </w:rPr>
        <w:t xml:space="preserve"> produced from </w:t>
      </w:r>
      <w:proofErr w:type="spellStart"/>
      <w:r w:rsidRPr="008105BE">
        <w:rPr>
          <w:szCs w:val="20"/>
        </w:rPr>
        <w:t>cornstovers</w:t>
      </w:r>
      <w:proofErr w:type="spellEnd"/>
      <w:r w:rsidRPr="008105BE">
        <w:rPr>
          <w:szCs w:val="20"/>
        </w:rPr>
        <w:t xml:space="preserve"> for soil amendment. Environmental science &amp; technology, 44(20), 7970-7974.</w:t>
      </w:r>
      <w:bookmarkEnd w:id="71"/>
    </w:p>
    <w:p w14:paraId="0BF50A56" w14:textId="1E7D5539" w:rsidR="00DC0ECB" w:rsidRPr="008105BE" w:rsidRDefault="00DC0ECB" w:rsidP="00CC50DD">
      <w:pPr>
        <w:pStyle w:val="ListParagraph"/>
        <w:numPr>
          <w:ilvl w:val="0"/>
          <w:numId w:val="3"/>
        </w:numPr>
        <w:rPr>
          <w:szCs w:val="20"/>
        </w:rPr>
      </w:pPr>
      <w:bookmarkStart w:id="72" w:name="_Ref190875963"/>
      <w:r w:rsidRPr="004038A5">
        <w:rPr>
          <w:szCs w:val="20"/>
          <w:lang w:val="de-DE"/>
        </w:rPr>
        <w:t xml:space="preserve">Lehmann, J., da Silva, J. P., Steiner, C., Nehls, T., Zech, W., &amp; Glaser, B. (2003). </w:t>
      </w:r>
      <w:r w:rsidRPr="008105BE">
        <w:rPr>
          <w:szCs w:val="20"/>
        </w:rPr>
        <w:t xml:space="preserve">Nutrient availability and leaching in an archaeological </w:t>
      </w:r>
      <w:proofErr w:type="spellStart"/>
      <w:r w:rsidRPr="008105BE">
        <w:rPr>
          <w:szCs w:val="20"/>
        </w:rPr>
        <w:t>Anthrosol</w:t>
      </w:r>
      <w:proofErr w:type="spellEnd"/>
      <w:r w:rsidRPr="008105BE">
        <w:rPr>
          <w:szCs w:val="20"/>
        </w:rPr>
        <w:t xml:space="preserve"> and a </w:t>
      </w:r>
      <w:proofErr w:type="spellStart"/>
      <w:r w:rsidRPr="008105BE">
        <w:rPr>
          <w:szCs w:val="20"/>
        </w:rPr>
        <w:t>Ferralsol</w:t>
      </w:r>
      <w:proofErr w:type="spellEnd"/>
      <w:r w:rsidRPr="008105BE">
        <w:rPr>
          <w:szCs w:val="20"/>
        </w:rPr>
        <w:t xml:space="preserve"> of the Central Amazon basin: fertilizer, manure and charcoal amendments. Plant and soil, 249(2), 343-357.</w:t>
      </w:r>
      <w:bookmarkEnd w:id="72"/>
    </w:p>
    <w:p w14:paraId="529A2F80" w14:textId="385D7D06" w:rsidR="00DC0ECB" w:rsidRPr="008105BE" w:rsidRDefault="00DC0ECB" w:rsidP="00CC50DD">
      <w:pPr>
        <w:pStyle w:val="ListParagraph"/>
        <w:numPr>
          <w:ilvl w:val="0"/>
          <w:numId w:val="3"/>
        </w:numPr>
        <w:rPr>
          <w:szCs w:val="20"/>
        </w:rPr>
      </w:pPr>
      <w:bookmarkStart w:id="73" w:name="_Ref190875966"/>
      <w:r w:rsidRPr="004038A5">
        <w:rPr>
          <w:szCs w:val="20"/>
          <w:lang w:val="de-DE"/>
        </w:rPr>
        <w:t xml:space="preserve">Lehmann, J., Kern, D., German, L., Mccann, J., Martins, G. C., &amp; Moreira, A. (2003). </w:t>
      </w:r>
      <w:r w:rsidRPr="008105BE">
        <w:rPr>
          <w:szCs w:val="20"/>
        </w:rPr>
        <w:t>Soil fertility and production potential. In Amazonian dark earths (pp. 105-124). Springer, Dordrecht.</w:t>
      </w:r>
      <w:bookmarkEnd w:id="73"/>
    </w:p>
    <w:p w14:paraId="001D2C6D" w14:textId="65521C34" w:rsidR="00DC0ECB" w:rsidRPr="008105BE" w:rsidRDefault="00DC0ECB" w:rsidP="00CC50DD">
      <w:pPr>
        <w:pStyle w:val="ListParagraph"/>
        <w:numPr>
          <w:ilvl w:val="0"/>
          <w:numId w:val="3"/>
        </w:numPr>
        <w:rPr>
          <w:szCs w:val="20"/>
        </w:rPr>
      </w:pPr>
      <w:bookmarkStart w:id="74" w:name="_Ref190875968"/>
      <w:r w:rsidRPr="004038A5">
        <w:rPr>
          <w:szCs w:val="20"/>
          <w:lang w:val="de-DE"/>
        </w:rPr>
        <w:t xml:space="preserve">Liang, C., Dang, Z., Xiao, B., Huang, W., &amp; Liu, C. (2006). </w:t>
      </w:r>
      <w:r w:rsidRPr="008105BE">
        <w:rPr>
          <w:szCs w:val="20"/>
        </w:rPr>
        <w:t>Equilibrium sorption of phenanthrene by soil humic acids. Chemosphere, 63(11), 1961-1968.</w:t>
      </w:r>
      <w:bookmarkEnd w:id="74"/>
    </w:p>
    <w:p w14:paraId="7A3E0CCA" w14:textId="3EB14370" w:rsidR="00DC0ECB" w:rsidRPr="008105BE" w:rsidRDefault="00DC0ECB" w:rsidP="00CC50DD">
      <w:pPr>
        <w:pStyle w:val="ListParagraph"/>
        <w:numPr>
          <w:ilvl w:val="0"/>
          <w:numId w:val="3"/>
        </w:numPr>
        <w:rPr>
          <w:szCs w:val="20"/>
        </w:rPr>
      </w:pPr>
      <w:bookmarkStart w:id="75" w:name="_Ref190875994"/>
      <w:r w:rsidRPr="004038A5">
        <w:rPr>
          <w:szCs w:val="20"/>
          <w:lang w:val="de-DE"/>
        </w:rPr>
        <w:t xml:space="preserve">Liang, X., Yu, Z., Ma, J., Zhu, W., Zhao, C., &amp; Chen, L. (2013). </w:t>
      </w:r>
      <w:r w:rsidRPr="008105BE">
        <w:rPr>
          <w:szCs w:val="20"/>
        </w:rPr>
        <w:t xml:space="preserve">Preparation and characterization of activated </w:t>
      </w:r>
      <w:proofErr w:type="spellStart"/>
      <w:r w:rsidRPr="008105BE">
        <w:rPr>
          <w:szCs w:val="20"/>
        </w:rPr>
        <w:t>biocharcoal</w:t>
      </w:r>
      <w:proofErr w:type="spellEnd"/>
      <w:r w:rsidRPr="008105BE">
        <w:rPr>
          <w:szCs w:val="20"/>
        </w:rPr>
        <w:t xml:space="preserve"> from different tree species. Chemistry and Industry of Forest Products, 33(3), 125-130.</w:t>
      </w:r>
      <w:bookmarkEnd w:id="75"/>
    </w:p>
    <w:p w14:paraId="397D8E41" w14:textId="00FCF8DD" w:rsidR="00DC0ECB" w:rsidRDefault="00DC0ECB" w:rsidP="00CC50DD">
      <w:pPr>
        <w:pStyle w:val="ListParagraph"/>
        <w:numPr>
          <w:ilvl w:val="0"/>
          <w:numId w:val="3"/>
        </w:numPr>
        <w:rPr>
          <w:szCs w:val="20"/>
        </w:rPr>
      </w:pPr>
      <w:bookmarkStart w:id="76" w:name="_Ref190875997"/>
      <w:r w:rsidRPr="008105BE">
        <w:rPr>
          <w:szCs w:val="20"/>
        </w:rPr>
        <w:t xml:space="preserve">Major, J., Rondon, M., Molina, D., Riha, S. J., &amp; Lehmann, J. (2010). Maize yield and nutrition during 4 years after biochar application to a Colombian savanna </w:t>
      </w:r>
      <w:proofErr w:type="spellStart"/>
      <w:r w:rsidRPr="008105BE">
        <w:rPr>
          <w:szCs w:val="20"/>
        </w:rPr>
        <w:t>oxisol</w:t>
      </w:r>
      <w:proofErr w:type="spellEnd"/>
      <w:r w:rsidRPr="008105BE">
        <w:rPr>
          <w:szCs w:val="20"/>
        </w:rPr>
        <w:t>. Plant and soil, 333(1-2), 117-128.</w:t>
      </w:r>
      <w:bookmarkEnd w:id="76"/>
    </w:p>
    <w:p w14:paraId="07D0D441" w14:textId="47DDEE75" w:rsidR="003A6F82" w:rsidRPr="00AB4985" w:rsidRDefault="003A6F82" w:rsidP="00CC50DD">
      <w:pPr>
        <w:pStyle w:val="ListParagraph"/>
        <w:numPr>
          <w:ilvl w:val="0"/>
          <w:numId w:val="3"/>
        </w:numPr>
        <w:rPr>
          <w:szCs w:val="20"/>
          <w:highlight w:val="yellow"/>
        </w:rPr>
      </w:pPr>
      <w:bookmarkStart w:id="77" w:name="_Ref193462922"/>
      <w:r w:rsidRPr="00AB4985">
        <w:rPr>
          <w:color w:val="222222"/>
          <w:szCs w:val="20"/>
          <w:highlight w:val="yellow"/>
          <w:shd w:val="clear" w:color="auto" w:fill="FFFFFF"/>
        </w:rPr>
        <w:lastRenderedPageBreak/>
        <w:t>Rajput, V., Saini, I., Parmar, S., Pundir, V., Kumar, V., Kumar, V., Naik, B. and Rustagi, S. (2024). Biochar production methods and their transformative potential for environmental remediation. </w:t>
      </w:r>
      <w:r w:rsidRPr="00AB4985">
        <w:rPr>
          <w:i/>
          <w:iCs/>
          <w:color w:val="222222"/>
          <w:szCs w:val="20"/>
          <w:highlight w:val="yellow"/>
          <w:shd w:val="clear" w:color="auto" w:fill="FFFFFF"/>
        </w:rPr>
        <w:t>Discover Applied Sciences</w:t>
      </w:r>
      <w:r w:rsidRPr="00AB4985">
        <w:rPr>
          <w:color w:val="222222"/>
          <w:szCs w:val="20"/>
          <w:highlight w:val="yellow"/>
          <w:shd w:val="clear" w:color="auto" w:fill="FFFFFF"/>
        </w:rPr>
        <w:t>, </w:t>
      </w:r>
      <w:r w:rsidRPr="00AB4985">
        <w:rPr>
          <w:i/>
          <w:iCs/>
          <w:color w:val="222222"/>
          <w:szCs w:val="20"/>
          <w:highlight w:val="yellow"/>
          <w:shd w:val="clear" w:color="auto" w:fill="FFFFFF"/>
        </w:rPr>
        <w:t>6</w:t>
      </w:r>
      <w:r w:rsidRPr="00AB4985">
        <w:rPr>
          <w:color w:val="222222"/>
          <w:szCs w:val="20"/>
          <w:highlight w:val="yellow"/>
          <w:shd w:val="clear" w:color="auto" w:fill="FFFFFF"/>
        </w:rPr>
        <w:t>(8), p.408.</w:t>
      </w:r>
      <w:bookmarkEnd w:id="77"/>
    </w:p>
    <w:p w14:paraId="1A816C36" w14:textId="3F59E8F4" w:rsidR="005C16BA" w:rsidRPr="00AB4985" w:rsidRDefault="005C16BA" w:rsidP="005C16BA">
      <w:pPr>
        <w:pStyle w:val="ListParagraph"/>
        <w:numPr>
          <w:ilvl w:val="0"/>
          <w:numId w:val="3"/>
        </w:numPr>
        <w:rPr>
          <w:color w:val="222222"/>
          <w:szCs w:val="20"/>
          <w:highlight w:val="yellow"/>
          <w:shd w:val="clear" w:color="auto" w:fill="FFFFFF"/>
        </w:rPr>
      </w:pPr>
      <w:bookmarkStart w:id="78" w:name="_Ref193464990"/>
      <w:r w:rsidRPr="00AB4985">
        <w:rPr>
          <w:color w:val="222222"/>
          <w:szCs w:val="20"/>
          <w:highlight w:val="yellow"/>
          <w:shd w:val="clear" w:color="auto" w:fill="FFFFFF"/>
        </w:rPr>
        <w:t xml:space="preserve">IBI (2012). Standardized Product Definition and Product Testing Guidelines for Biochar that Is Used in Soil. International Biochar Initiative. </w:t>
      </w:r>
      <w:hyperlink r:id="rId28" w:history="1">
        <w:r w:rsidRPr="00AB4985">
          <w:rPr>
            <w:color w:val="222222"/>
            <w:szCs w:val="20"/>
            <w:highlight w:val="yellow"/>
            <w:shd w:val="clear" w:color="auto" w:fill="FFFFFF"/>
          </w:rPr>
          <w:t>www.biochar</w:t>
        </w:r>
        <w:r w:rsidRPr="00AB4985">
          <w:rPr>
            <w:rFonts w:ascii="Cambria Math" w:hAnsi="Cambria Math" w:cs="Cambria Math"/>
            <w:color w:val="222222"/>
            <w:szCs w:val="20"/>
            <w:highlight w:val="yellow"/>
            <w:shd w:val="clear" w:color="auto" w:fill="FFFFFF"/>
          </w:rPr>
          <w:t>‐</w:t>
        </w:r>
        <w:r w:rsidRPr="00AB4985">
          <w:rPr>
            <w:color w:val="222222"/>
            <w:szCs w:val="20"/>
            <w:highlight w:val="yellow"/>
            <w:shd w:val="clear" w:color="auto" w:fill="FFFFFF"/>
          </w:rPr>
          <w:t>international.org</w:t>
        </w:r>
      </w:hyperlink>
      <w:r w:rsidRPr="00AB4985">
        <w:rPr>
          <w:color w:val="222222"/>
          <w:szCs w:val="20"/>
          <w:highlight w:val="yellow"/>
          <w:shd w:val="clear" w:color="auto" w:fill="FFFFFF"/>
        </w:rPr>
        <w:t>, accessed 2 December 2013</w:t>
      </w:r>
      <w:bookmarkEnd w:id="78"/>
    </w:p>
    <w:p w14:paraId="42D74AC8" w14:textId="774ABD31" w:rsidR="005C16BA" w:rsidRPr="00AB4985" w:rsidRDefault="005C16BA" w:rsidP="005C16BA">
      <w:pPr>
        <w:pStyle w:val="ListParagraph"/>
        <w:numPr>
          <w:ilvl w:val="0"/>
          <w:numId w:val="3"/>
        </w:numPr>
        <w:rPr>
          <w:color w:val="222222"/>
          <w:szCs w:val="20"/>
          <w:highlight w:val="yellow"/>
          <w:shd w:val="clear" w:color="auto" w:fill="FFFFFF"/>
        </w:rPr>
      </w:pPr>
      <w:bookmarkStart w:id="79" w:name="_Ref193465000"/>
      <w:r w:rsidRPr="00AB4985">
        <w:rPr>
          <w:color w:val="222222"/>
          <w:szCs w:val="20"/>
          <w:highlight w:val="yellow"/>
          <w:shd w:val="clear" w:color="auto" w:fill="FFFFFF"/>
        </w:rPr>
        <w:t>EBC (2012). Guidelines for a Sustainable Production of Biochar, European Biochar Certificate. European Biochar Foundation, www.european</w:t>
      </w:r>
      <w:r w:rsidRPr="00AB4985">
        <w:rPr>
          <w:rFonts w:ascii="Cambria Math" w:hAnsi="Cambria Math" w:cs="Cambria Math"/>
          <w:color w:val="222222"/>
          <w:szCs w:val="20"/>
          <w:highlight w:val="yellow"/>
          <w:shd w:val="clear" w:color="auto" w:fill="FFFFFF"/>
        </w:rPr>
        <w:t>‐</w:t>
      </w:r>
      <w:r w:rsidRPr="00AB4985">
        <w:rPr>
          <w:color w:val="222222"/>
          <w:szCs w:val="20"/>
          <w:highlight w:val="yellow"/>
          <w:shd w:val="clear" w:color="auto" w:fill="FFFFFF"/>
        </w:rPr>
        <w:t>biochar.org, accessed 1 December 2013</w:t>
      </w:r>
      <w:bookmarkEnd w:id="79"/>
    </w:p>
    <w:p w14:paraId="3D2A8CD6" w14:textId="2E3DC08E" w:rsidR="005C16BA" w:rsidRPr="00AB4985" w:rsidRDefault="005C16BA" w:rsidP="005C16BA">
      <w:pPr>
        <w:pStyle w:val="ListParagraph"/>
        <w:numPr>
          <w:ilvl w:val="0"/>
          <w:numId w:val="3"/>
        </w:numPr>
        <w:rPr>
          <w:color w:val="222222"/>
          <w:szCs w:val="20"/>
          <w:highlight w:val="yellow"/>
          <w:shd w:val="clear" w:color="auto" w:fill="FFFFFF"/>
        </w:rPr>
      </w:pPr>
      <w:bookmarkStart w:id="80" w:name="_Ref193465018"/>
      <w:r w:rsidRPr="00AB4985">
        <w:rPr>
          <w:color w:val="222222"/>
          <w:szCs w:val="20"/>
          <w:highlight w:val="yellow"/>
          <w:shd w:val="clear" w:color="auto" w:fill="FFFFFF"/>
        </w:rPr>
        <w:t xml:space="preserve">Budai, A., Zimmerman, A. R., Cowie, A. L., Webber, J. B. W., Singh, B. P., Glaser, B., Masiello, C. A., Andersson, D., Shields, F., Lehmann, J., Camps </w:t>
      </w:r>
      <w:proofErr w:type="spellStart"/>
      <w:r w:rsidRPr="00AB4985">
        <w:rPr>
          <w:color w:val="222222"/>
          <w:szCs w:val="20"/>
          <w:highlight w:val="yellow"/>
          <w:shd w:val="clear" w:color="auto" w:fill="FFFFFF"/>
        </w:rPr>
        <w:t>Arbestain</w:t>
      </w:r>
      <w:proofErr w:type="spellEnd"/>
      <w:r w:rsidRPr="00AB4985">
        <w:rPr>
          <w:color w:val="222222"/>
          <w:szCs w:val="20"/>
          <w:highlight w:val="yellow"/>
          <w:shd w:val="clear" w:color="auto" w:fill="FFFFFF"/>
        </w:rPr>
        <w:t xml:space="preserve">, M., Williams, M., Sohi, S. and Joseph, S. (2013). 'Biochar Carbon Stability Test Method: An assessment of methods to determine biochar carbon stability', IBI Document, Carbon Methodology. International Biochar Initiative. </w:t>
      </w:r>
      <w:hyperlink r:id="rId29" w:history="1">
        <w:r w:rsidRPr="00AB4985">
          <w:rPr>
            <w:color w:val="222222"/>
            <w:szCs w:val="20"/>
            <w:highlight w:val="yellow"/>
            <w:shd w:val="clear" w:color="auto" w:fill="FFFFFF"/>
          </w:rPr>
          <w:t>www.biochar</w:t>
        </w:r>
        <w:r w:rsidRPr="00AB4985">
          <w:rPr>
            <w:rFonts w:ascii="Cambria Math" w:hAnsi="Cambria Math" w:cs="Cambria Math"/>
            <w:color w:val="222222"/>
            <w:szCs w:val="20"/>
            <w:highlight w:val="yellow"/>
            <w:shd w:val="clear" w:color="auto" w:fill="FFFFFF"/>
          </w:rPr>
          <w:t>‐</w:t>
        </w:r>
        <w:r w:rsidRPr="00AB4985">
          <w:rPr>
            <w:color w:val="222222"/>
            <w:szCs w:val="20"/>
            <w:highlight w:val="yellow"/>
            <w:shd w:val="clear" w:color="auto" w:fill="FFFFFF"/>
          </w:rPr>
          <w:t>international.org</w:t>
        </w:r>
      </w:hyperlink>
      <w:r w:rsidRPr="00AB4985">
        <w:rPr>
          <w:color w:val="222222"/>
          <w:szCs w:val="20"/>
          <w:highlight w:val="yellow"/>
          <w:shd w:val="clear" w:color="auto" w:fill="FFFFFF"/>
        </w:rPr>
        <w:t>, accessed 15 February 2014</w:t>
      </w:r>
      <w:bookmarkEnd w:id="80"/>
    </w:p>
    <w:p w14:paraId="68FC9B4F" w14:textId="707C80A2" w:rsidR="005C16BA" w:rsidRPr="008105BE" w:rsidRDefault="005C16BA" w:rsidP="00CC50DD">
      <w:pPr>
        <w:pStyle w:val="ListParagraph"/>
        <w:numPr>
          <w:ilvl w:val="0"/>
          <w:numId w:val="3"/>
        </w:numPr>
        <w:rPr>
          <w:szCs w:val="20"/>
        </w:rPr>
      </w:pPr>
      <w:bookmarkStart w:id="81" w:name="_Ref193465029"/>
      <w:r>
        <w:rPr>
          <w:color w:val="222222"/>
          <w:szCs w:val="20"/>
          <w:shd w:val="clear" w:color="auto" w:fill="FFFFFF"/>
        </w:rPr>
        <w:t>Camps-</w:t>
      </w:r>
      <w:proofErr w:type="spellStart"/>
      <w:r>
        <w:rPr>
          <w:color w:val="222222"/>
          <w:szCs w:val="20"/>
          <w:shd w:val="clear" w:color="auto" w:fill="FFFFFF"/>
        </w:rPr>
        <w:t>Arbestain</w:t>
      </w:r>
      <w:proofErr w:type="spellEnd"/>
      <w:r>
        <w:rPr>
          <w:color w:val="222222"/>
          <w:szCs w:val="20"/>
          <w:shd w:val="clear" w:color="auto" w:fill="FFFFFF"/>
        </w:rPr>
        <w:t>, M., Amonette, J.E., Singh, B., Wang, T. and Schmidt, H.P., (2015). A biochar classification system and associated test methods. In </w:t>
      </w:r>
      <w:r>
        <w:rPr>
          <w:i/>
          <w:iCs/>
          <w:color w:val="222222"/>
          <w:szCs w:val="20"/>
          <w:shd w:val="clear" w:color="auto" w:fill="FFFFFF"/>
        </w:rPr>
        <w:t>Biochar for environmental management</w:t>
      </w:r>
      <w:r>
        <w:rPr>
          <w:color w:val="222222"/>
          <w:szCs w:val="20"/>
          <w:shd w:val="clear" w:color="auto" w:fill="FFFFFF"/>
        </w:rPr>
        <w:t xml:space="preserve"> (pp. 165-193). </w:t>
      </w:r>
      <w:proofErr w:type="spellStart"/>
      <w:r>
        <w:rPr>
          <w:color w:val="222222"/>
          <w:szCs w:val="20"/>
          <w:shd w:val="clear" w:color="auto" w:fill="FFFFFF"/>
        </w:rPr>
        <w:t>routledge</w:t>
      </w:r>
      <w:proofErr w:type="spellEnd"/>
      <w:r>
        <w:rPr>
          <w:color w:val="222222"/>
          <w:szCs w:val="20"/>
          <w:shd w:val="clear" w:color="auto" w:fill="FFFFFF"/>
        </w:rPr>
        <w:t>.</w:t>
      </w:r>
      <w:bookmarkEnd w:id="81"/>
    </w:p>
    <w:p w14:paraId="20C738FE" w14:textId="243378A4" w:rsidR="00DC0ECB" w:rsidRPr="008105BE" w:rsidRDefault="00DC0ECB" w:rsidP="00CC50DD">
      <w:pPr>
        <w:pStyle w:val="ListParagraph"/>
        <w:numPr>
          <w:ilvl w:val="0"/>
          <w:numId w:val="3"/>
        </w:numPr>
        <w:rPr>
          <w:szCs w:val="20"/>
        </w:rPr>
      </w:pPr>
      <w:bookmarkStart w:id="82" w:name="_Ref190876193"/>
      <w:r w:rsidRPr="008105BE">
        <w:rPr>
          <w:szCs w:val="20"/>
        </w:rPr>
        <w:t>Palaniswamy, K. M., &amp; Gomez, K. A. (1974). Length</w:t>
      </w:r>
      <w:r w:rsidRPr="008105BE">
        <w:rPr>
          <w:rFonts w:ascii="Cambria Math" w:hAnsi="Cambria Math" w:cs="Cambria Math"/>
          <w:szCs w:val="20"/>
        </w:rPr>
        <w:t>‐</w:t>
      </w:r>
      <w:r w:rsidRPr="008105BE">
        <w:rPr>
          <w:szCs w:val="20"/>
        </w:rPr>
        <w:t>Width Method for Estimating Leaf Area of Rice 1. Agronomy Journal, 66(3), 430-433.</w:t>
      </w:r>
      <w:bookmarkEnd w:id="82"/>
    </w:p>
    <w:p w14:paraId="15E238E6" w14:textId="7B5D2548" w:rsidR="00DC0ECB" w:rsidRPr="008105BE" w:rsidRDefault="00DC0ECB" w:rsidP="00CC50DD">
      <w:pPr>
        <w:pStyle w:val="ListParagraph"/>
        <w:numPr>
          <w:ilvl w:val="0"/>
          <w:numId w:val="3"/>
        </w:numPr>
        <w:rPr>
          <w:szCs w:val="20"/>
        </w:rPr>
      </w:pPr>
      <w:bookmarkStart w:id="83" w:name="_Ref190876163"/>
      <w:r w:rsidRPr="008105BE">
        <w:rPr>
          <w:szCs w:val="20"/>
        </w:rPr>
        <w:t>Robertson, S. J., Rutherford, P. M., Lopez-Gutierrez, J. C., &amp; Massicotte, H. B. (2012). Biochar enhances seedling growth and alters root symbioses and properties of sub-boreal forest soils. Canadian Journal of Soil Science, 92(2), 329-340.</w:t>
      </w:r>
      <w:bookmarkEnd w:id="83"/>
    </w:p>
    <w:p w14:paraId="22AD941E" w14:textId="27BF238D" w:rsidR="00DC0ECB" w:rsidRPr="002C3F1F" w:rsidRDefault="00DC0ECB" w:rsidP="00CC50DD">
      <w:pPr>
        <w:pStyle w:val="ListParagraph"/>
        <w:numPr>
          <w:ilvl w:val="0"/>
          <w:numId w:val="3"/>
        </w:numPr>
        <w:rPr>
          <w:szCs w:val="20"/>
          <w:highlight w:val="yellow"/>
        </w:rPr>
      </w:pPr>
      <w:r w:rsidRPr="002C3F1F">
        <w:rPr>
          <w:szCs w:val="20"/>
          <w:highlight w:val="yellow"/>
        </w:rPr>
        <w:t>Rondon, M. A., Lehmann, J., Ramírez, J., &amp; Hurtado, M. (2007). Biological nitrogen fixation by common beans (</w:t>
      </w:r>
      <w:r w:rsidRPr="002C3F1F">
        <w:rPr>
          <w:i/>
          <w:iCs/>
          <w:szCs w:val="20"/>
          <w:highlight w:val="yellow"/>
        </w:rPr>
        <w:t>Phaseolus vulgaris L</w:t>
      </w:r>
      <w:r w:rsidRPr="002C3F1F">
        <w:rPr>
          <w:szCs w:val="20"/>
          <w:highlight w:val="yellow"/>
        </w:rPr>
        <w:t>.) increases with bio-char additions. Biology and fertility of soils, 43(6), 699-708.</w:t>
      </w:r>
    </w:p>
    <w:p w14:paraId="7817FE17" w14:textId="22797D9D" w:rsidR="00DC0ECB" w:rsidRPr="008105BE" w:rsidRDefault="00DC0ECB" w:rsidP="00CC50DD">
      <w:pPr>
        <w:pStyle w:val="ListParagraph"/>
        <w:numPr>
          <w:ilvl w:val="0"/>
          <w:numId w:val="3"/>
        </w:numPr>
        <w:rPr>
          <w:szCs w:val="20"/>
        </w:rPr>
      </w:pPr>
      <w:bookmarkStart w:id="84" w:name="_Ref190876233"/>
      <w:r w:rsidRPr="008105BE">
        <w:rPr>
          <w:szCs w:val="20"/>
        </w:rPr>
        <w:t xml:space="preserve">Saxena, J., Rana, G., &amp; Pandey, M. (2013). Impact of addition of biochar along with Bacillus sp. on growth and yield of French beans. Scientia </w:t>
      </w:r>
      <w:proofErr w:type="spellStart"/>
      <w:r w:rsidRPr="008105BE">
        <w:rPr>
          <w:szCs w:val="20"/>
        </w:rPr>
        <w:t>Horticulturae</w:t>
      </w:r>
      <w:proofErr w:type="spellEnd"/>
      <w:r w:rsidRPr="008105BE">
        <w:rPr>
          <w:szCs w:val="20"/>
        </w:rPr>
        <w:t>, 162, 351-356.</w:t>
      </w:r>
      <w:bookmarkEnd w:id="84"/>
    </w:p>
    <w:p w14:paraId="4B7BA53A" w14:textId="67C50B54" w:rsidR="00DC0ECB" w:rsidRDefault="00DC0ECB" w:rsidP="00CC50DD">
      <w:pPr>
        <w:pStyle w:val="ListParagraph"/>
        <w:numPr>
          <w:ilvl w:val="0"/>
          <w:numId w:val="3"/>
        </w:numPr>
        <w:rPr>
          <w:szCs w:val="20"/>
        </w:rPr>
      </w:pPr>
      <w:bookmarkStart w:id="85" w:name="_Ref190876260"/>
      <w:r w:rsidRPr="008105BE">
        <w:rPr>
          <w:szCs w:val="20"/>
        </w:rPr>
        <w:t>Sohi, S. P., Krull, E., Lopez-Capel, E., &amp; Bol, R. (2010). A review of biochar and its use and function in soil. In Advances in agronomy (Vol. 105, pp. 47-82). Academic Press.</w:t>
      </w:r>
      <w:bookmarkEnd w:id="85"/>
    </w:p>
    <w:p w14:paraId="0541AF65" w14:textId="67064469" w:rsidR="00BF62D4" w:rsidRPr="00AB4985" w:rsidRDefault="00BF62D4" w:rsidP="00CC50DD">
      <w:pPr>
        <w:pStyle w:val="ListParagraph"/>
        <w:numPr>
          <w:ilvl w:val="0"/>
          <w:numId w:val="3"/>
        </w:numPr>
        <w:rPr>
          <w:szCs w:val="20"/>
          <w:highlight w:val="yellow"/>
        </w:rPr>
      </w:pPr>
      <w:bookmarkStart w:id="86" w:name="_Ref193532932"/>
      <w:r w:rsidRPr="00AB4985">
        <w:rPr>
          <w:color w:val="222222"/>
          <w:szCs w:val="20"/>
          <w:highlight w:val="yellow"/>
          <w:shd w:val="clear" w:color="auto" w:fill="FFFFFF"/>
        </w:rPr>
        <w:t>Shamim, M., Saha, N. and Hye, F.B., (2018). Effect of biochar on seed germination, early growth of Oryza sativa L. and soil nutrients. </w:t>
      </w:r>
      <w:r w:rsidRPr="00AB4985">
        <w:rPr>
          <w:i/>
          <w:iCs/>
          <w:color w:val="222222"/>
          <w:szCs w:val="20"/>
          <w:highlight w:val="yellow"/>
          <w:shd w:val="clear" w:color="auto" w:fill="FFFFFF"/>
        </w:rPr>
        <w:t>Trop. Plant Res</w:t>
      </w:r>
      <w:r w:rsidRPr="00AB4985">
        <w:rPr>
          <w:color w:val="222222"/>
          <w:szCs w:val="20"/>
          <w:highlight w:val="yellow"/>
          <w:shd w:val="clear" w:color="auto" w:fill="FFFFFF"/>
        </w:rPr>
        <w:t>, </w:t>
      </w:r>
      <w:r w:rsidRPr="00AB4985">
        <w:rPr>
          <w:i/>
          <w:iCs/>
          <w:color w:val="222222"/>
          <w:szCs w:val="20"/>
          <w:highlight w:val="yellow"/>
          <w:shd w:val="clear" w:color="auto" w:fill="FFFFFF"/>
        </w:rPr>
        <w:t>5</w:t>
      </w:r>
      <w:r w:rsidRPr="00AB4985">
        <w:rPr>
          <w:color w:val="222222"/>
          <w:szCs w:val="20"/>
          <w:highlight w:val="yellow"/>
          <w:shd w:val="clear" w:color="auto" w:fill="FFFFFF"/>
        </w:rPr>
        <w:t>(3), pp.336-342.</w:t>
      </w:r>
      <w:bookmarkEnd w:id="86"/>
    </w:p>
    <w:p w14:paraId="617E790F" w14:textId="29BEA8C3" w:rsidR="00DC0ECB" w:rsidRPr="008105BE" w:rsidRDefault="00DC0ECB" w:rsidP="00CC50DD">
      <w:pPr>
        <w:pStyle w:val="ListParagraph"/>
        <w:numPr>
          <w:ilvl w:val="0"/>
          <w:numId w:val="3"/>
        </w:numPr>
        <w:rPr>
          <w:szCs w:val="20"/>
        </w:rPr>
      </w:pPr>
      <w:bookmarkStart w:id="87" w:name="_Ref190876280"/>
      <w:r w:rsidRPr="008105BE">
        <w:rPr>
          <w:szCs w:val="20"/>
        </w:rPr>
        <w:t xml:space="preserve">Solaiman, Z. M., Murphy, D. V., &amp; Abbott, L. K. (2012). </w:t>
      </w:r>
      <w:proofErr w:type="spellStart"/>
      <w:r w:rsidRPr="008105BE">
        <w:rPr>
          <w:szCs w:val="20"/>
        </w:rPr>
        <w:t>Biochars</w:t>
      </w:r>
      <w:proofErr w:type="spellEnd"/>
      <w:r w:rsidRPr="008105BE">
        <w:rPr>
          <w:szCs w:val="20"/>
        </w:rPr>
        <w:t xml:space="preserve"> influence seed germination and early growth of seedlings. Plant and soil, 353(1-2), 273-287.</w:t>
      </w:r>
      <w:bookmarkEnd w:id="87"/>
    </w:p>
    <w:p w14:paraId="4BF7303B" w14:textId="4FD684AA" w:rsidR="00DC0ECB" w:rsidRPr="008105BE" w:rsidRDefault="00DC0ECB" w:rsidP="00CC50DD">
      <w:pPr>
        <w:pStyle w:val="ListParagraph"/>
        <w:numPr>
          <w:ilvl w:val="0"/>
          <w:numId w:val="3"/>
        </w:numPr>
        <w:rPr>
          <w:szCs w:val="20"/>
        </w:rPr>
      </w:pPr>
      <w:bookmarkStart w:id="88" w:name="_Ref190876302"/>
      <w:proofErr w:type="spellStart"/>
      <w:r w:rsidRPr="008105BE">
        <w:rPr>
          <w:szCs w:val="20"/>
        </w:rPr>
        <w:t>Sovu</w:t>
      </w:r>
      <w:proofErr w:type="spellEnd"/>
      <w:r w:rsidRPr="008105BE">
        <w:rPr>
          <w:szCs w:val="20"/>
        </w:rPr>
        <w:t xml:space="preserve">, M. T., Savadogo, P., &amp; Odén, P. C. (2012). Facilitation of forest landscape restoration on abandoned swidden fallows in Laos using </w:t>
      </w:r>
      <w:proofErr w:type="gramStart"/>
      <w:r w:rsidRPr="008105BE">
        <w:rPr>
          <w:szCs w:val="20"/>
        </w:rPr>
        <w:t>mixed-species</w:t>
      </w:r>
      <w:proofErr w:type="gramEnd"/>
      <w:r w:rsidRPr="008105BE">
        <w:rPr>
          <w:szCs w:val="20"/>
        </w:rPr>
        <w:t xml:space="preserve"> planting and biochar application. Silva </w:t>
      </w:r>
      <w:proofErr w:type="spellStart"/>
      <w:r w:rsidRPr="008105BE">
        <w:rPr>
          <w:szCs w:val="20"/>
        </w:rPr>
        <w:t>Fennica</w:t>
      </w:r>
      <w:proofErr w:type="spellEnd"/>
      <w:r w:rsidRPr="008105BE">
        <w:rPr>
          <w:szCs w:val="20"/>
        </w:rPr>
        <w:t>, 46(1), 39-51.</w:t>
      </w:r>
      <w:bookmarkEnd w:id="88"/>
    </w:p>
    <w:p w14:paraId="650223F8" w14:textId="4292FCCD" w:rsidR="00DC0ECB" w:rsidRPr="008105BE" w:rsidRDefault="00DC0ECB" w:rsidP="00CC50DD">
      <w:pPr>
        <w:pStyle w:val="ListParagraph"/>
        <w:numPr>
          <w:ilvl w:val="0"/>
          <w:numId w:val="3"/>
        </w:numPr>
        <w:rPr>
          <w:szCs w:val="20"/>
        </w:rPr>
      </w:pPr>
      <w:bookmarkStart w:id="89" w:name="_Ref190876346"/>
      <w:r w:rsidRPr="008105BE">
        <w:rPr>
          <w:szCs w:val="20"/>
        </w:rPr>
        <w:t>Spokas, K. A., Cantrell, K. B., Novak, J. M., Archer, D. W., Ippolito, J. A., Collins, H. P., ... &amp; Lentz, R. D. (2012). Biochar: a synthesis of its agronomic impact beyond carbon sequestration. Journal of environmental quality, 41(4), 973-989.</w:t>
      </w:r>
      <w:bookmarkEnd w:id="89"/>
    </w:p>
    <w:p w14:paraId="1E2AC773" w14:textId="2D20558F" w:rsidR="00DC0ECB" w:rsidRPr="008105BE" w:rsidRDefault="00DC0ECB" w:rsidP="00CC50DD">
      <w:pPr>
        <w:pStyle w:val="ListParagraph"/>
        <w:numPr>
          <w:ilvl w:val="0"/>
          <w:numId w:val="3"/>
        </w:numPr>
        <w:rPr>
          <w:szCs w:val="20"/>
        </w:rPr>
      </w:pPr>
      <w:bookmarkStart w:id="90" w:name="_Ref190876360"/>
      <w:r w:rsidRPr="004038A5">
        <w:rPr>
          <w:szCs w:val="20"/>
          <w:lang w:val="de-DE"/>
        </w:rPr>
        <w:t xml:space="preserve">Steiner, C., Teixeira, W. G., Lehmann, J., Nehls, T., de Macêdo, J. L. V., Blum, W. E., &amp; Zech, W. (2007). </w:t>
      </w:r>
      <w:r w:rsidRPr="008105BE">
        <w:rPr>
          <w:szCs w:val="20"/>
        </w:rPr>
        <w:t>Long term effects of manure, charcoal and mineral fertilization on crop production and fertility on a highly weathered Central Amazonian upland soil. Plant and soil, 291(1-2), 275-290.</w:t>
      </w:r>
      <w:bookmarkEnd w:id="90"/>
    </w:p>
    <w:p w14:paraId="6A323EE5" w14:textId="0012E8AA" w:rsidR="00DC0ECB" w:rsidRPr="002C3F1F" w:rsidRDefault="00DC0ECB" w:rsidP="00CC50DD">
      <w:pPr>
        <w:pStyle w:val="ListParagraph"/>
        <w:numPr>
          <w:ilvl w:val="0"/>
          <w:numId w:val="3"/>
        </w:numPr>
        <w:rPr>
          <w:szCs w:val="20"/>
          <w:highlight w:val="yellow"/>
        </w:rPr>
      </w:pPr>
      <w:bookmarkStart w:id="91" w:name="_Ref190876415"/>
      <w:r w:rsidRPr="002C3F1F">
        <w:rPr>
          <w:szCs w:val="20"/>
          <w:highlight w:val="yellow"/>
        </w:rPr>
        <w:t xml:space="preserve">Sumithra, K., </w:t>
      </w:r>
      <w:proofErr w:type="spellStart"/>
      <w:r w:rsidRPr="002C3F1F">
        <w:rPr>
          <w:szCs w:val="20"/>
          <w:highlight w:val="yellow"/>
        </w:rPr>
        <w:t>Jutur</w:t>
      </w:r>
      <w:proofErr w:type="spellEnd"/>
      <w:r w:rsidRPr="002C3F1F">
        <w:rPr>
          <w:szCs w:val="20"/>
          <w:highlight w:val="yellow"/>
        </w:rPr>
        <w:t xml:space="preserve">, P. P., Carmel, B. D., &amp; Reddy, A. R. (2006). Salinity-induced changes in two cultivars of </w:t>
      </w:r>
      <w:r w:rsidRPr="002C3F1F">
        <w:rPr>
          <w:i/>
          <w:iCs/>
          <w:szCs w:val="20"/>
          <w:highlight w:val="yellow"/>
        </w:rPr>
        <w:t>Vigna radiata</w:t>
      </w:r>
      <w:r w:rsidRPr="002C3F1F">
        <w:rPr>
          <w:szCs w:val="20"/>
          <w:highlight w:val="yellow"/>
        </w:rPr>
        <w:t>: responses of antioxidative and proline metabolism. Plant Growth Regulation, 50(1), 11-22.</w:t>
      </w:r>
      <w:bookmarkEnd w:id="91"/>
    </w:p>
    <w:p w14:paraId="24A3D945" w14:textId="47ADB380" w:rsidR="00DC0ECB" w:rsidRPr="008105BE" w:rsidRDefault="00DC0ECB" w:rsidP="00CC50DD">
      <w:pPr>
        <w:pStyle w:val="ListParagraph"/>
        <w:numPr>
          <w:ilvl w:val="0"/>
          <w:numId w:val="3"/>
        </w:numPr>
        <w:rPr>
          <w:szCs w:val="20"/>
        </w:rPr>
      </w:pPr>
      <w:bookmarkStart w:id="92" w:name="_Ref190876434"/>
      <w:r w:rsidRPr="004038A5">
        <w:rPr>
          <w:szCs w:val="20"/>
          <w:lang w:val="de-DE"/>
        </w:rPr>
        <w:t xml:space="preserve">Sun, Y., Gao, B., Yao, Y., Fang, J., Zhang, M., Zhou, Y., ... </w:t>
      </w:r>
      <w:r w:rsidRPr="008105BE">
        <w:rPr>
          <w:szCs w:val="20"/>
        </w:rPr>
        <w:t xml:space="preserve">&amp; Yang, L. (2014). Effects of feedstock type, production method, and pyrolysis temperature on biochar and </w:t>
      </w:r>
      <w:proofErr w:type="spellStart"/>
      <w:r w:rsidRPr="008105BE">
        <w:rPr>
          <w:szCs w:val="20"/>
        </w:rPr>
        <w:t>hydrochar</w:t>
      </w:r>
      <w:proofErr w:type="spellEnd"/>
      <w:r w:rsidRPr="008105BE">
        <w:rPr>
          <w:szCs w:val="20"/>
        </w:rPr>
        <w:t xml:space="preserve"> properties. Chemical Engineering Journal, 240, 574-578.</w:t>
      </w:r>
      <w:bookmarkEnd w:id="92"/>
    </w:p>
    <w:p w14:paraId="3CD2EC21" w14:textId="11DAB31C" w:rsidR="00DC0ECB" w:rsidRPr="002C3F1F" w:rsidRDefault="00DC0ECB" w:rsidP="00CC50DD">
      <w:pPr>
        <w:pStyle w:val="ListParagraph"/>
        <w:numPr>
          <w:ilvl w:val="0"/>
          <w:numId w:val="3"/>
        </w:numPr>
        <w:rPr>
          <w:szCs w:val="20"/>
          <w:highlight w:val="yellow"/>
        </w:rPr>
      </w:pPr>
      <w:bookmarkStart w:id="93" w:name="_Ref190876437"/>
      <w:proofErr w:type="spellStart"/>
      <w:r w:rsidRPr="002C3F1F">
        <w:rPr>
          <w:szCs w:val="20"/>
          <w:highlight w:val="yellow"/>
        </w:rPr>
        <w:t>Taek</w:t>
      </w:r>
      <w:proofErr w:type="spellEnd"/>
      <w:r w:rsidRPr="002C3F1F">
        <w:rPr>
          <w:szCs w:val="20"/>
          <w:highlight w:val="yellow"/>
        </w:rPr>
        <w:t xml:space="preserve">–Keun, O., </w:t>
      </w:r>
      <w:proofErr w:type="spellStart"/>
      <w:r w:rsidRPr="002C3F1F">
        <w:rPr>
          <w:szCs w:val="20"/>
          <w:highlight w:val="yellow"/>
        </w:rPr>
        <w:t>Shinogi</w:t>
      </w:r>
      <w:proofErr w:type="spellEnd"/>
      <w:r w:rsidRPr="002C3F1F">
        <w:rPr>
          <w:szCs w:val="20"/>
          <w:highlight w:val="yellow"/>
        </w:rPr>
        <w:t xml:space="preserve">, Y., </w:t>
      </w:r>
      <w:proofErr w:type="spellStart"/>
      <w:r w:rsidRPr="002C3F1F">
        <w:rPr>
          <w:szCs w:val="20"/>
          <w:highlight w:val="yellow"/>
        </w:rPr>
        <w:t>Chikushi</w:t>
      </w:r>
      <w:proofErr w:type="spellEnd"/>
      <w:r w:rsidRPr="002C3F1F">
        <w:rPr>
          <w:szCs w:val="20"/>
          <w:highlight w:val="yellow"/>
        </w:rPr>
        <w:t>, J., Yong–Hwan, L. E., &amp; Choi, B. (2012). Effect of aqueous extract of biochar on germination and seedling growth of lettuce (</w:t>
      </w:r>
      <w:r w:rsidRPr="002C3F1F">
        <w:rPr>
          <w:i/>
          <w:iCs/>
          <w:szCs w:val="20"/>
          <w:highlight w:val="yellow"/>
        </w:rPr>
        <w:t>Lactuca sativa L</w:t>
      </w:r>
      <w:r w:rsidRPr="002C3F1F">
        <w:rPr>
          <w:szCs w:val="20"/>
          <w:highlight w:val="yellow"/>
        </w:rPr>
        <w:t xml:space="preserve">.). J </w:t>
      </w:r>
      <w:proofErr w:type="spellStart"/>
      <w:r w:rsidRPr="002C3F1F">
        <w:rPr>
          <w:szCs w:val="20"/>
          <w:highlight w:val="yellow"/>
        </w:rPr>
        <w:t>Fac</w:t>
      </w:r>
      <w:proofErr w:type="spellEnd"/>
      <w:r w:rsidRPr="002C3F1F">
        <w:rPr>
          <w:szCs w:val="20"/>
          <w:highlight w:val="yellow"/>
        </w:rPr>
        <w:t xml:space="preserve"> </w:t>
      </w:r>
      <w:proofErr w:type="spellStart"/>
      <w:r w:rsidRPr="002C3F1F">
        <w:rPr>
          <w:szCs w:val="20"/>
          <w:highlight w:val="yellow"/>
        </w:rPr>
        <w:t>Agr</w:t>
      </w:r>
      <w:proofErr w:type="spellEnd"/>
      <w:r w:rsidRPr="002C3F1F">
        <w:rPr>
          <w:szCs w:val="20"/>
          <w:highlight w:val="yellow"/>
        </w:rPr>
        <w:t xml:space="preserve"> Kyushu </w:t>
      </w:r>
      <w:proofErr w:type="spellStart"/>
      <w:r w:rsidRPr="002C3F1F">
        <w:rPr>
          <w:szCs w:val="20"/>
          <w:highlight w:val="yellow"/>
        </w:rPr>
        <w:t>Univ</w:t>
      </w:r>
      <w:proofErr w:type="spellEnd"/>
      <w:r w:rsidRPr="002C3F1F">
        <w:rPr>
          <w:szCs w:val="20"/>
          <w:highlight w:val="yellow"/>
        </w:rPr>
        <w:t>, 57(1), 55-60.</w:t>
      </w:r>
      <w:bookmarkEnd w:id="93"/>
    </w:p>
    <w:p w14:paraId="02B99372" w14:textId="7E56A2BE" w:rsidR="00DC0ECB" w:rsidRPr="008105BE" w:rsidRDefault="00DC0ECB" w:rsidP="00CC50DD">
      <w:pPr>
        <w:pStyle w:val="ListParagraph"/>
        <w:numPr>
          <w:ilvl w:val="0"/>
          <w:numId w:val="3"/>
        </w:numPr>
        <w:rPr>
          <w:szCs w:val="20"/>
        </w:rPr>
      </w:pPr>
      <w:bookmarkStart w:id="94" w:name="_Ref190876439"/>
      <w:r w:rsidRPr="008105BE">
        <w:rPr>
          <w:szCs w:val="20"/>
        </w:rPr>
        <w:lastRenderedPageBreak/>
        <w:t xml:space="preserve">Van </w:t>
      </w:r>
      <w:proofErr w:type="spellStart"/>
      <w:r w:rsidRPr="008105BE">
        <w:rPr>
          <w:szCs w:val="20"/>
        </w:rPr>
        <w:t>Zwieten</w:t>
      </w:r>
      <w:proofErr w:type="spellEnd"/>
      <w:r w:rsidRPr="008105BE">
        <w:rPr>
          <w:szCs w:val="20"/>
        </w:rPr>
        <w:t>, L., Kimber, S., Downie, A., Morris, S., Petty, S., Rust, J., &amp; Chan, K. Y. (2010). A glasshouse study on the interaction of low mineral ash biochar with nitrogen in a sandy soil. Soil Research, 48(7), 569-576.</w:t>
      </w:r>
      <w:bookmarkEnd w:id="94"/>
    </w:p>
    <w:p w14:paraId="245A2DA5" w14:textId="5E8B7D9B" w:rsidR="00DC0ECB" w:rsidRPr="008105BE" w:rsidRDefault="00DC0ECB" w:rsidP="00CC50DD">
      <w:pPr>
        <w:pStyle w:val="ListParagraph"/>
        <w:numPr>
          <w:ilvl w:val="0"/>
          <w:numId w:val="3"/>
        </w:numPr>
        <w:rPr>
          <w:szCs w:val="20"/>
        </w:rPr>
      </w:pPr>
      <w:bookmarkStart w:id="95" w:name="_Ref190876441"/>
      <w:r w:rsidRPr="004038A5">
        <w:rPr>
          <w:szCs w:val="20"/>
          <w:lang w:val="de-DE"/>
        </w:rPr>
        <w:t xml:space="preserve">Van Zwieten, L., Kimber, S., Morris, S., Downie, A., Berger, E., Rust, J., &amp; Scheer, C. (2010). </w:t>
      </w:r>
      <w:r w:rsidRPr="008105BE">
        <w:rPr>
          <w:szCs w:val="20"/>
        </w:rPr>
        <w:t xml:space="preserve">Influence of </w:t>
      </w:r>
      <w:proofErr w:type="spellStart"/>
      <w:r w:rsidRPr="008105BE">
        <w:rPr>
          <w:szCs w:val="20"/>
        </w:rPr>
        <w:t>biochars</w:t>
      </w:r>
      <w:proofErr w:type="spellEnd"/>
      <w:r w:rsidRPr="008105BE">
        <w:rPr>
          <w:szCs w:val="20"/>
        </w:rPr>
        <w:t xml:space="preserve"> on flux of N2O and CO2 from Ferrosol. Soil Research, 48(7), 555-568.</w:t>
      </w:r>
      <w:bookmarkEnd w:id="95"/>
    </w:p>
    <w:p w14:paraId="3295D362" w14:textId="5726ABC4" w:rsidR="00DC0ECB" w:rsidRPr="008105BE" w:rsidRDefault="00DC0ECB" w:rsidP="00CC50DD">
      <w:pPr>
        <w:pStyle w:val="ListParagraph"/>
        <w:numPr>
          <w:ilvl w:val="0"/>
          <w:numId w:val="3"/>
        </w:numPr>
        <w:rPr>
          <w:szCs w:val="20"/>
        </w:rPr>
      </w:pPr>
      <w:bookmarkStart w:id="96" w:name="_Ref190876443"/>
      <w:r w:rsidRPr="008105BE">
        <w:rPr>
          <w:szCs w:val="20"/>
        </w:rPr>
        <w:t>Vaughan, N. E., Lenton, T. M., &amp; Shepherd, J. G. (2009). Climate change mitigation: trade-offs between delay and strength of action required. Climatic Change, 96(1-2), 29-43.</w:t>
      </w:r>
      <w:bookmarkEnd w:id="96"/>
    </w:p>
    <w:p w14:paraId="38DB292C" w14:textId="60F4FA43" w:rsidR="00DC0ECB" w:rsidRPr="008105BE" w:rsidRDefault="00DC0ECB" w:rsidP="00CC50DD">
      <w:pPr>
        <w:pStyle w:val="ListParagraph"/>
        <w:numPr>
          <w:ilvl w:val="0"/>
          <w:numId w:val="3"/>
        </w:numPr>
        <w:rPr>
          <w:szCs w:val="20"/>
        </w:rPr>
      </w:pPr>
      <w:bookmarkStart w:id="97" w:name="_Ref190876471"/>
      <w:r w:rsidRPr="004038A5">
        <w:rPr>
          <w:szCs w:val="20"/>
          <w:lang w:val="de-DE"/>
        </w:rPr>
        <w:t xml:space="preserve">Gupta, A. K., &amp; Nagar, D. K. (2018). </w:t>
      </w:r>
      <w:r w:rsidRPr="008105BE">
        <w:rPr>
          <w:szCs w:val="20"/>
        </w:rPr>
        <w:t>Matrix variate distributions (Vol. 104). CRC Press.</w:t>
      </w:r>
      <w:bookmarkEnd w:id="97"/>
    </w:p>
    <w:p w14:paraId="12AABEB6" w14:textId="564E0278" w:rsidR="00332A82" w:rsidRPr="002C3F1F" w:rsidRDefault="00DC0ECB" w:rsidP="00332A82">
      <w:pPr>
        <w:pStyle w:val="ListParagraph"/>
        <w:numPr>
          <w:ilvl w:val="0"/>
          <w:numId w:val="3"/>
        </w:numPr>
        <w:rPr>
          <w:szCs w:val="20"/>
          <w:highlight w:val="yellow"/>
        </w:rPr>
      </w:pPr>
      <w:bookmarkStart w:id="98" w:name="_Ref190876485"/>
      <w:r w:rsidRPr="002C3F1F">
        <w:rPr>
          <w:szCs w:val="20"/>
          <w:highlight w:val="yellow"/>
        </w:rPr>
        <w:t xml:space="preserve">Yamato, M., </w:t>
      </w:r>
      <w:proofErr w:type="spellStart"/>
      <w:r w:rsidRPr="002C3F1F">
        <w:rPr>
          <w:szCs w:val="20"/>
          <w:highlight w:val="yellow"/>
        </w:rPr>
        <w:t>Okimori</w:t>
      </w:r>
      <w:proofErr w:type="spellEnd"/>
      <w:r w:rsidRPr="002C3F1F">
        <w:rPr>
          <w:szCs w:val="20"/>
          <w:highlight w:val="yellow"/>
        </w:rPr>
        <w:t xml:space="preserve">, Y., Wibowo, I. F., </w:t>
      </w:r>
      <w:proofErr w:type="spellStart"/>
      <w:r w:rsidRPr="002C3F1F">
        <w:rPr>
          <w:szCs w:val="20"/>
          <w:highlight w:val="yellow"/>
        </w:rPr>
        <w:t>Anshori</w:t>
      </w:r>
      <w:proofErr w:type="spellEnd"/>
      <w:r w:rsidRPr="002C3F1F">
        <w:rPr>
          <w:szCs w:val="20"/>
          <w:highlight w:val="yellow"/>
        </w:rPr>
        <w:t xml:space="preserve">, S., &amp; Ogawa, M. (2006). Effects of the application of charred bark of </w:t>
      </w:r>
      <w:r w:rsidRPr="002C3F1F">
        <w:rPr>
          <w:i/>
          <w:iCs/>
          <w:szCs w:val="20"/>
          <w:highlight w:val="yellow"/>
        </w:rPr>
        <w:t xml:space="preserve">Acacia </w:t>
      </w:r>
      <w:proofErr w:type="spellStart"/>
      <w:r w:rsidRPr="002C3F1F">
        <w:rPr>
          <w:i/>
          <w:iCs/>
          <w:szCs w:val="20"/>
          <w:highlight w:val="yellow"/>
        </w:rPr>
        <w:t>mangium</w:t>
      </w:r>
      <w:proofErr w:type="spellEnd"/>
      <w:r w:rsidRPr="002C3F1F">
        <w:rPr>
          <w:szCs w:val="20"/>
          <w:highlight w:val="yellow"/>
        </w:rPr>
        <w:t xml:space="preserve"> on the yield of maize [</w:t>
      </w:r>
      <w:proofErr w:type="spellStart"/>
      <w:r w:rsidRPr="002C3F1F">
        <w:rPr>
          <w:i/>
          <w:iCs/>
          <w:szCs w:val="20"/>
          <w:highlight w:val="yellow"/>
        </w:rPr>
        <w:t>Zea</w:t>
      </w:r>
      <w:proofErr w:type="spellEnd"/>
      <w:r w:rsidRPr="002C3F1F">
        <w:rPr>
          <w:i/>
          <w:iCs/>
          <w:szCs w:val="20"/>
          <w:highlight w:val="yellow"/>
        </w:rPr>
        <w:t xml:space="preserve"> mays</w:t>
      </w:r>
      <w:r w:rsidRPr="002C3F1F">
        <w:rPr>
          <w:szCs w:val="20"/>
          <w:highlight w:val="yellow"/>
        </w:rPr>
        <w:t>], cowpea [</w:t>
      </w:r>
      <w:r w:rsidRPr="002C3F1F">
        <w:rPr>
          <w:i/>
          <w:iCs/>
          <w:szCs w:val="20"/>
          <w:highlight w:val="yellow"/>
        </w:rPr>
        <w:t>Vigna unguiculata</w:t>
      </w:r>
      <w:r w:rsidRPr="002C3F1F">
        <w:rPr>
          <w:szCs w:val="20"/>
          <w:highlight w:val="yellow"/>
        </w:rPr>
        <w:t>] and peanut [</w:t>
      </w:r>
      <w:r w:rsidRPr="002C3F1F">
        <w:rPr>
          <w:i/>
          <w:iCs/>
          <w:szCs w:val="20"/>
          <w:highlight w:val="yellow"/>
        </w:rPr>
        <w:t>Arachis hypogaea</w:t>
      </w:r>
      <w:r w:rsidRPr="002C3F1F">
        <w:rPr>
          <w:szCs w:val="20"/>
          <w:highlight w:val="yellow"/>
        </w:rPr>
        <w:t>], and soil chemical properties in South Sumatra, Indonesia. Soil Science and Plant Nutrition (Japan).</w:t>
      </w:r>
      <w:bookmarkEnd w:id="98"/>
    </w:p>
    <w:sectPr w:rsidR="00332A82" w:rsidRPr="002C3F1F" w:rsidSect="00B01BEA">
      <w:headerReference w:type="even" r:id="rId30"/>
      <w:headerReference w:type="default" r:id="rId31"/>
      <w:footerReference w:type="even" r:id="rId32"/>
      <w:footerReference w:type="default" r:id="rId33"/>
      <w:headerReference w:type="first" r:id="rId34"/>
      <w:footerReference w:type="first" r:id="rId35"/>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B3859" w14:textId="77777777" w:rsidR="00CE677A" w:rsidRDefault="00CE677A">
      <w:pPr>
        <w:spacing w:line="240" w:lineRule="auto"/>
      </w:pPr>
      <w:r>
        <w:separator/>
      </w:r>
    </w:p>
  </w:endnote>
  <w:endnote w:type="continuationSeparator" w:id="0">
    <w:p w14:paraId="50D13E75" w14:textId="77777777" w:rsidR="00CE677A" w:rsidRDefault="00CE6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5544C" w14:textId="77777777" w:rsidR="00B01BEA" w:rsidRDefault="00B01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D11B" w14:textId="21C46319" w:rsidR="00D17AD2" w:rsidRPr="0091433F" w:rsidRDefault="00D17AD2" w:rsidP="004A1AE4">
    <w:pPr>
      <w:tabs>
        <w:tab w:val="left" w:pos="1380"/>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88F0" w14:textId="77777777" w:rsidR="00B01BEA" w:rsidRDefault="00B01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1E9D3" w14:textId="77777777" w:rsidR="00CE677A" w:rsidRDefault="00CE677A">
      <w:pPr>
        <w:spacing w:line="240" w:lineRule="auto"/>
      </w:pPr>
      <w:r>
        <w:separator/>
      </w:r>
    </w:p>
  </w:footnote>
  <w:footnote w:type="continuationSeparator" w:id="0">
    <w:p w14:paraId="7E0B8A0D" w14:textId="77777777" w:rsidR="00CE677A" w:rsidRDefault="00CE6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F4EB" w14:textId="484D2CA5" w:rsidR="00B01BEA" w:rsidRDefault="00CE677A">
    <w:pPr>
      <w:pStyle w:val="Header"/>
    </w:pPr>
    <w:r>
      <w:rPr>
        <w:noProof/>
      </w:rPr>
      <w:pict w14:anchorId="0802F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72.8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D344F" w14:textId="092F065C" w:rsidR="00B01BEA" w:rsidRDefault="00CE677A">
    <w:pPr>
      <w:pStyle w:val="Header"/>
    </w:pPr>
    <w:r>
      <w:rPr>
        <w:noProof/>
      </w:rPr>
      <w:pict w14:anchorId="56EF5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72.8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5635" w14:textId="7AB075B4" w:rsidR="00B01BEA" w:rsidRDefault="00CE677A">
    <w:pPr>
      <w:pStyle w:val="Header"/>
    </w:pPr>
    <w:r>
      <w:rPr>
        <w:noProof/>
      </w:rPr>
      <w:pict w14:anchorId="68A9B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left:0;text-align:left;margin-left:0;margin-top:0;width:572.8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0607"/>
    <w:multiLevelType w:val="multilevel"/>
    <w:tmpl w:val="C1CADDA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5AA7BF8"/>
    <w:multiLevelType w:val="hybridMultilevel"/>
    <w:tmpl w:val="55540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D116B"/>
    <w:multiLevelType w:val="hybridMultilevel"/>
    <w:tmpl w:val="BCB61B1A"/>
    <w:lvl w:ilvl="0" w:tplc="199E1F42">
      <w:start w:val="1"/>
      <w:numFmt w:val="decimal"/>
      <w:lvlText w:val="%1"/>
      <w:lvlJc w:val="left"/>
      <w:pPr>
        <w:ind w:left="720" w:hanging="360"/>
      </w:pPr>
      <w:rPr>
        <w:rFonts w:ascii="Symbol" w:hAnsi="Symbo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A2840"/>
    <w:multiLevelType w:val="multilevel"/>
    <w:tmpl w:val="04B86630"/>
    <w:styleLink w:val="CurrentList3"/>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none"/>
      <w:isLgl/>
      <w:lvlText w:val="3.3.1"/>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9812960"/>
    <w:multiLevelType w:val="multilevel"/>
    <w:tmpl w:val="B378AB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0766E9"/>
    <w:multiLevelType w:val="hybridMultilevel"/>
    <w:tmpl w:val="A6767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E40AE"/>
    <w:multiLevelType w:val="multilevel"/>
    <w:tmpl w:val="F67473E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u w:val="singl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5980455"/>
    <w:multiLevelType w:val="multilevel"/>
    <w:tmpl w:val="2FB81C86"/>
    <w:styleLink w:val="CurrentList1"/>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26751683"/>
    <w:multiLevelType w:val="hybridMultilevel"/>
    <w:tmpl w:val="A6FCB908"/>
    <w:lvl w:ilvl="0" w:tplc="ED0475BE">
      <w:start w:val="1"/>
      <w:numFmt w:val="bullet"/>
      <w:lvlText w:val=""/>
      <w:lvlJc w:val="left"/>
      <w:pPr>
        <w:ind w:left="720" w:hanging="360"/>
      </w:pPr>
      <w:rPr>
        <w:rFonts w:ascii="Symbol" w:hAnsi="Symbol"/>
      </w:rPr>
    </w:lvl>
    <w:lvl w:ilvl="1" w:tplc="78B40DF2">
      <w:start w:val="1"/>
      <w:numFmt w:val="bullet"/>
      <w:lvlText w:val=""/>
      <w:lvlJc w:val="left"/>
      <w:pPr>
        <w:ind w:left="720" w:hanging="360"/>
      </w:pPr>
      <w:rPr>
        <w:rFonts w:ascii="Symbol" w:hAnsi="Symbol"/>
      </w:rPr>
    </w:lvl>
    <w:lvl w:ilvl="2" w:tplc="5BC8A11A">
      <w:start w:val="1"/>
      <w:numFmt w:val="bullet"/>
      <w:lvlText w:val=""/>
      <w:lvlJc w:val="left"/>
      <w:pPr>
        <w:ind w:left="720" w:hanging="360"/>
      </w:pPr>
      <w:rPr>
        <w:rFonts w:ascii="Symbol" w:hAnsi="Symbol"/>
      </w:rPr>
    </w:lvl>
    <w:lvl w:ilvl="3" w:tplc="DC64A13C">
      <w:start w:val="1"/>
      <w:numFmt w:val="bullet"/>
      <w:lvlText w:val=""/>
      <w:lvlJc w:val="left"/>
      <w:pPr>
        <w:ind w:left="720" w:hanging="360"/>
      </w:pPr>
      <w:rPr>
        <w:rFonts w:ascii="Symbol" w:hAnsi="Symbol"/>
      </w:rPr>
    </w:lvl>
    <w:lvl w:ilvl="4" w:tplc="2DB60292">
      <w:start w:val="1"/>
      <w:numFmt w:val="bullet"/>
      <w:lvlText w:val=""/>
      <w:lvlJc w:val="left"/>
      <w:pPr>
        <w:ind w:left="720" w:hanging="360"/>
      </w:pPr>
      <w:rPr>
        <w:rFonts w:ascii="Symbol" w:hAnsi="Symbol"/>
      </w:rPr>
    </w:lvl>
    <w:lvl w:ilvl="5" w:tplc="D826E094">
      <w:start w:val="1"/>
      <w:numFmt w:val="bullet"/>
      <w:lvlText w:val=""/>
      <w:lvlJc w:val="left"/>
      <w:pPr>
        <w:ind w:left="720" w:hanging="360"/>
      </w:pPr>
      <w:rPr>
        <w:rFonts w:ascii="Symbol" w:hAnsi="Symbol"/>
      </w:rPr>
    </w:lvl>
    <w:lvl w:ilvl="6" w:tplc="23CCB75E">
      <w:start w:val="1"/>
      <w:numFmt w:val="bullet"/>
      <w:lvlText w:val=""/>
      <w:lvlJc w:val="left"/>
      <w:pPr>
        <w:ind w:left="720" w:hanging="360"/>
      </w:pPr>
      <w:rPr>
        <w:rFonts w:ascii="Symbol" w:hAnsi="Symbol"/>
      </w:rPr>
    </w:lvl>
    <w:lvl w:ilvl="7" w:tplc="1BE47CFC">
      <w:start w:val="1"/>
      <w:numFmt w:val="bullet"/>
      <w:lvlText w:val=""/>
      <w:lvlJc w:val="left"/>
      <w:pPr>
        <w:ind w:left="720" w:hanging="360"/>
      </w:pPr>
      <w:rPr>
        <w:rFonts w:ascii="Symbol" w:hAnsi="Symbol"/>
      </w:rPr>
    </w:lvl>
    <w:lvl w:ilvl="8" w:tplc="44A4DA0A">
      <w:start w:val="1"/>
      <w:numFmt w:val="bullet"/>
      <w:lvlText w:val=""/>
      <w:lvlJc w:val="left"/>
      <w:pPr>
        <w:ind w:left="720" w:hanging="360"/>
      </w:pPr>
      <w:rPr>
        <w:rFonts w:ascii="Symbol" w:hAnsi="Symbol"/>
      </w:rPr>
    </w:lvl>
  </w:abstractNum>
  <w:abstractNum w:abstractNumId="9" w15:restartNumberingAfterBreak="0">
    <w:nsid w:val="28C65E6C"/>
    <w:multiLevelType w:val="multilevel"/>
    <w:tmpl w:val="C75477B2"/>
    <w:styleLink w:val="CurrentList7"/>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2E1B0E31"/>
    <w:multiLevelType w:val="hybridMultilevel"/>
    <w:tmpl w:val="51CA0B1C"/>
    <w:lvl w:ilvl="0" w:tplc="8D32289A">
      <w:start w:val="1"/>
      <w:numFmt w:val="bullet"/>
      <w:lvlText w:val=""/>
      <w:lvlJc w:val="left"/>
      <w:pPr>
        <w:ind w:left="720" w:hanging="360"/>
      </w:pPr>
      <w:rPr>
        <w:rFonts w:ascii="Symbol" w:hAnsi="Symbol"/>
      </w:rPr>
    </w:lvl>
    <w:lvl w:ilvl="1" w:tplc="225A1FBE">
      <w:start w:val="1"/>
      <w:numFmt w:val="bullet"/>
      <w:lvlText w:val=""/>
      <w:lvlJc w:val="left"/>
      <w:pPr>
        <w:ind w:left="720" w:hanging="360"/>
      </w:pPr>
      <w:rPr>
        <w:rFonts w:ascii="Symbol" w:hAnsi="Symbol"/>
      </w:rPr>
    </w:lvl>
    <w:lvl w:ilvl="2" w:tplc="FFFC2D70">
      <w:start w:val="1"/>
      <w:numFmt w:val="bullet"/>
      <w:lvlText w:val=""/>
      <w:lvlJc w:val="left"/>
      <w:pPr>
        <w:ind w:left="720" w:hanging="360"/>
      </w:pPr>
      <w:rPr>
        <w:rFonts w:ascii="Symbol" w:hAnsi="Symbol"/>
      </w:rPr>
    </w:lvl>
    <w:lvl w:ilvl="3" w:tplc="8CB81256">
      <w:start w:val="1"/>
      <w:numFmt w:val="bullet"/>
      <w:lvlText w:val=""/>
      <w:lvlJc w:val="left"/>
      <w:pPr>
        <w:ind w:left="720" w:hanging="360"/>
      </w:pPr>
      <w:rPr>
        <w:rFonts w:ascii="Symbol" w:hAnsi="Symbol"/>
      </w:rPr>
    </w:lvl>
    <w:lvl w:ilvl="4" w:tplc="CC4AB05A">
      <w:start w:val="1"/>
      <w:numFmt w:val="bullet"/>
      <w:lvlText w:val=""/>
      <w:lvlJc w:val="left"/>
      <w:pPr>
        <w:ind w:left="720" w:hanging="360"/>
      </w:pPr>
      <w:rPr>
        <w:rFonts w:ascii="Symbol" w:hAnsi="Symbol"/>
      </w:rPr>
    </w:lvl>
    <w:lvl w:ilvl="5" w:tplc="E1621E6C">
      <w:start w:val="1"/>
      <w:numFmt w:val="bullet"/>
      <w:lvlText w:val=""/>
      <w:lvlJc w:val="left"/>
      <w:pPr>
        <w:ind w:left="720" w:hanging="360"/>
      </w:pPr>
      <w:rPr>
        <w:rFonts w:ascii="Symbol" w:hAnsi="Symbol"/>
      </w:rPr>
    </w:lvl>
    <w:lvl w:ilvl="6" w:tplc="6894895C">
      <w:start w:val="1"/>
      <w:numFmt w:val="bullet"/>
      <w:lvlText w:val=""/>
      <w:lvlJc w:val="left"/>
      <w:pPr>
        <w:ind w:left="720" w:hanging="360"/>
      </w:pPr>
      <w:rPr>
        <w:rFonts w:ascii="Symbol" w:hAnsi="Symbol"/>
      </w:rPr>
    </w:lvl>
    <w:lvl w:ilvl="7" w:tplc="199E1268">
      <w:start w:val="1"/>
      <w:numFmt w:val="bullet"/>
      <w:lvlText w:val=""/>
      <w:lvlJc w:val="left"/>
      <w:pPr>
        <w:ind w:left="720" w:hanging="360"/>
      </w:pPr>
      <w:rPr>
        <w:rFonts w:ascii="Symbol" w:hAnsi="Symbol"/>
      </w:rPr>
    </w:lvl>
    <w:lvl w:ilvl="8" w:tplc="6838BC92">
      <w:start w:val="1"/>
      <w:numFmt w:val="bullet"/>
      <w:lvlText w:val=""/>
      <w:lvlJc w:val="left"/>
      <w:pPr>
        <w:ind w:left="720" w:hanging="360"/>
      </w:pPr>
      <w:rPr>
        <w:rFonts w:ascii="Symbol" w:hAnsi="Symbol"/>
      </w:rPr>
    </w:lvl>
  </w:abstractNum>
  <w:abstractNum w:abstractNumId="11" w15:restartNumberingAfterBreak="0">
    <w:nsid w:val="3154137A"/>
    <w:multiLevelType w:val="hybridMultilevel"/>
    <w:tmpl w:val="C7324A0E"/>
    <w:lvl w:ilvl="0" w:tplc="70AE316C">
      <w:start w:val="1"/>
      <w:numFmt w:val="bullet"/>
      <w:lvlText w:val=""/>
      <w:lvlJc w:val="left"/>
      <w:pPr>
        <w:ind w:left="720" w:hanging="360"/>
      </w:pPr>
      <w:rPr>
        <w:rFonts w:ascii="Symbol" w:hAnsi="Symbol"/>
      </w:rPr>
    </w:lvl>
    <w:lvl w:ilvl="1" w:tplc="4A3EC0BA">
      <w:start w:val="1"/>
      <w:numFmt w:val="bullet"/>
      <w:lvlText w:val=""/>
      <w:lvlJc w:val="left"/>
      <w:pPr>
        <w:ind w:left="720" w:hanging="360"/>
      </w:pPr>
      <w:rPr>
        <w:rFonts w:ascii="Symbol" w:hAnsi="Symbol"/>
      </w:rPr>
    </w:lvl>
    <w:lvl w:ilvl="2" w:tplc="14FC69C2">
      <w:start w:val="1"/>
      <w:numFmt w:val="bullet"/>
      <w:lvlText w:val=""/>
      <w:lvlJc w:val="left"/>
      <w:pPr>
        <w:ind w:left="720" w:hanging="360"/>
      </w:pPr>
      <w:rPr>
        <w:rFonts w:ascii="Symbol" w:hAnsi="Symbol"/>
      </w:rPr>
    </w:lvl>
    <w:lvl w:ilvl="3" w:tplc="A9604E62">
      <w:start w:val="1"/>
      <w:numFmt w:val="bullet"/>
      <w:lvlText w:val=""/>
      <w:lvlJc w:val="left"/>
      <w:pPr>
        <w:ind w:left="720" w:hanging="360"/>
      </w:pPr>
      <w:rPr>
        <w:rFonts w:ascii="Symbol" w:hAnsi="Symbol"/>
      </w:rPr>
    </w:lvl>
    <w:lvl w:ilvl="4" w:tplc="5B3A1974">
      <w:start w:val="1"/>
      <w:numFmt w:val="bullet"/>
      <w:lvlText w:val=""/>
      <w:lvlJc w:val="left"/>
      <w:pPr>
        <w:ind w:left="720" w:hanging="360"/>
      </w:pPr>
      <w:rPr>
        <w:rFonts w:ascii="Symbol" w:hAnsi="Symbol"/>
      </w:rPr>
    </w:lvl>
    <w:lvl w:ilvl="5" w:tplc="D7AA2FA2">
      <w:start w:val="1"/>
      <w:numFmt w:val="bullet"/>
      <w:lvlText w:val=""/>
      <w:lvlJc w:val="left"/>
      <w:pPr>
        <w:ind w:left="720" w:hanging="360"/>
      </w:pPr>
      <w:rPr>
        <w:rFonts w:ascii="Symbol" w:hAnsi="Symbol"/>
      </w:rPr>
    </w:lvl>
    <w:lvl w:ilvl="6" w:tplc="E1C011CC">
      <w:start w:val="1"/>
      <w:numFmt w:val="bullet"/>
      <w:lvlText w:val=""/>
      <w:lvlJc w:val="left"/>
      <w:pPr>
        <w:ind w:left="720" w:hanging="360"/>
      </w:pPr>
      <w:rPr>
        <w:rFonts w:ascii="Symbol" w:hAnsi="Symbol"/>
      </w:rPr>
    </w:lvl>
    <w:lvl w:ilvl="7" w:tplc="3D66DA9E">
      <w:start w:val="1"/>
      <w:numFmt w:val="bullet"/>
      <w:lvlText w:val=""/>
      <w:lvlJc w:val="left"/>
      <w:pPr>
        <w:ind w:left="720" w:hanging="360"/>
      </w:pPr>
      <w:rPr>
        <w:rFonts w:ascii="Symbol" w:hAnsi="Symbol"/>
      </w:rPr>
    </w:lvl>
    <w:lvl w:ilvl="8" w:tplc="77C40F7C">
      <w:start w:val="1"/>
      <w:numFmt w:val="bullet"/>
      <w:lvlText w:val=""/>
      <w:lvlJc w:val="left"/>
      <w:pPr>
        <w:ind w:left="720" w:hanging="360"/>
      </w:pPr>
      <w:rPr>
        <w:rFonts w:ascii="Symbol" w:hAnsi="Symbol"/>
      </w:rPr>
    </w:lvl>
  </w:abstractNum>
  <w:abstractNum w:abstractNumId="12" w15:restartNumberingAfterBreak="0">
    <w:nsid w:val="32B91DEE"/>
    <w:multiLevelType w:val="hybridMultilevel"/>
    <w:tmpl w:val="B1C43A9E"/>
    <w:lvl w:ilvl="0" w:tplc="2430CB0C">
      <w:start w:val="1"/>
      <w:numFmt w:val="bullet"/>
      <w:lvlText w:val=""/>
      <w:lvlJc w:val="left"/>
      <w:pPr>
        <w:ind w:left="1440" w:hanging="360"/>
      </w:pPr>
      <w:rPr>
        <w:rFonts w:ascii="Symbol" w:hAnsi="Symbol"/>
      </w:rPr>
    </w:lvl>
    <w:lvl w:ilvl="1" w:tplc="368CED9C">
      <w:start w:val="1"/>
      <w:numFmt w:val="bullet"/>
      <w:lvlText w:val=""/>
      <w:lvlJc w:val="left"/>
      <w:pPr>
        <w:ind w:left="1440" w:hanging="360"/>
      </w:pPr>
      <w:rPr>
        <w:rFonts w:ascii="Symbol" w:hAnsi="Symbol"/>
      </w:rPr>
    </w:lvl>
    <w:lvl w:ilvl="2" w:tplc="1D98BB14">
      <w:start w:val="1"/>
      <w:numFmt w:val="bullet"/>
      <w:lvlText w:val=""/>
      <w:lvlJc w:val="left"/>
      <w:pPr>
        <w:ind w:left="1440" w:hanging="360"/>
      </w:pPr>
      <w:rPr>
        <w:rFonts w:ascii="Symbol" w:hAnsi="Symbol"/>
      </w:rPr>
    </w:lvl>
    <w:lvl w:ilvl="3" w:tplc="665AF8F4">
      <w:start w:val="1"/>
      <w:numFmt w:val="bullet"/>
      <w:lvlText w:val=""/>
      <w:lvlJc w:val="left"/>
      <w:pPr>
        <w:ind w:left="1440" w:hanging="360"/>
      </w:pPr>
      <w:rPr>
        <w:rFonts w:ascii="Symbol" w:hAnsi="Symbol"/>
      </w:rPr>
    </w:lvl>
    <w:lvl w:ilvl="4" w:tplc="4F5E2F32">
      <w:start w:val="1"/>
      <w:numFmt w:val="bullet"/>
      <w:lvlText w:val=""/>
      <w:lvlJc w:val="left"/>
      <w:pPr>
        <w:ind w:left="1440" w:hanging="360"/>
      </w:pPr>
      <w:rPr>
        <w:rFonts w:ascii="Symbol" w:hAnsi="Symbol"/>
      </w:rPr>
    </w:lvl>
    <w:lvl w:ilvl="5" w:tplc="D77AFE4A">
      <w:start w:val="1"/>
      <w:numFmt w:val="bullet"/>
      <w:lvlText w:val=""/>
      <w:lvlJc w:val="left"/>
      <w:pPr>
        <w:ind w:left="1440" w:hanging="360"/>
      </w:pPr>
      <w:rPr>
        <w:rFonts w:ascii="Symbol" w:hAnsi="Symbol"/>
      </w:rPr>
    </w:lvl>
    <w:lvl w:ilvl="6" w:tplc="E1E00BB8">
      <w:start w:val="1"/>
      <w:numFmt w:val="bullet"/>
      <w:lvlText w:val=""/>
      <w:lvlJc w:val="left"/>
      <w:pPr>
        <w:ind w:left="1440" w:hanging="360"/>
      </w:pPr>
      <w:rPr>
        <w:rFonts w:ascii="Symbol" w:hAnsi="Symbol"/>
      </w:rPr>
    </w:lvl>
    <w:lvl w:ilvl="7" w:tplc="D8D2AED4">
      <w:start w:val="1"/>
      <w:numFmt w:val="bullet"/>
      <w:lvlText w:val=""/>
      <w:lvlJc w:val="left"/>
      <w:pPr>
        <w:ind w:left="1440" w:hanging="360"/>
      </w:pPr>
      <w:rPr>
        <w:rFonts w:ascii="Symbol" w:hAnsi="Symbol"/>
      </w:rPr>
    </w:lvl>
    <w:lvl w:ilvl="8" w:tplc="88DAA7CE">
      <w:start w:val="1"/>
      <w:numFmt w:val="bullet"/>
      <w:lvlText w:val=""/>
      <w:lvlJc w:val="left"/>
      <w:pPr>
        <w:ind w:left="1440" w:hanging="360"/>
      </w:pPr>
      <w:rPr>
        <w:rFonts w:ascii="Symbol" w:hAnsi="Symbol"/>
      </w:rPr>
    </w:lvl>
  </w:abstractNum>
  <w:abstractNum w:abstractNumId="13" w15:restartNumberingAfterBreak="0">
    <w:nsid w:val="37EA4817"/>
    <w:multiLevelType w:val="hybridMultilevel"/>
    <w:tmpl w:val="045A44EC"/>
    <w:lvl w:ilvl="0" w:tplc="199E1F42">
      <w:start w:val="1"/>
      <w:numFmt w:val="decimal"/>
      <w:lvlText w:val="%1"/>
      <w:lvlJc w:val="left"/>
      <w:pPr>
        <w:ind w:left="720" w:hanging="360"/>
      </w:pPr>
      <w:rPr>
        <w:rFonts w:ascii="Symbol" w:hAnsi="Symbo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5D70FD"/>
    <w:multiLevelType w:val="hybridMultilevel"/>
    <w:tmpl w:val="7654FDE0"/>
    <w:lvl w:ilvl="0" w:tplc="642C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05D9E"/>
    <w:multiLevelType w:val="hybridMultilevel"/>
    <w:tmpl w:val="5CD0EF08"/>
    <w:lvl w:ilvl="0" w:tplc="A06AABEA">
      <w:start w:val="1"/>
      <w:numFmt w:val="bullet"/>
      <w:lvlText w:val=""/>
      <w:lvlJc w:val="left"/>
      <w:pPr>
        <w:ind w:left="1440" w:hanging="360"/>
      </w:pPr>
      <w:rPr>
        <w:rFonts w:ascii="Symbol" w:hAnsi="Symbol"/>
      </w:rPr>
    </w:lvl>
    <w:lvl w:ilvl="1" w:tplc="DB480342">
      <w:start w:val="1"/>
      <w:numFmt w:val="bullet"/>
      <w:lvlText w:val=""/>
      <w:lvlJc w:val="left"/>
      <w:pPr>
        <w:ind w:left="1440" w:hanging="360"/>
      </w:pPr>
      <w:rPr>
        <w:rFonts w:ascii="Symbol" w:hAnsi="Symbol"/>
      </w:rPr>
    </w:lvl>
    <w:lvl w:ilvl="2" w:tplc="62FCECC8">
      <w:start w:val="1"/>
      <w:numFmt w:val="bullet"/>
      <w:lvlText w:val=""/>
      <w:lvlJc w:val="left"/>
      <w:pPr>
        <w:ind w:left="1440" w:hanging="360"/>
      </w:pPr>
      <w:rPr>
        <w:rFonts w:ascii="Symbol" w:hAnsi="Symbol"/>
      </w:rPr>
    </w:lvl>
    <w:lvl w:ilvl="3" w:tplc="6D2491B4">
      <w:start w:val="1"/>
      <w:numFmt w:val="bullet"/>
      <w:lvlText w:val=""/>
      <w:lvlJc w:val="left"/>
      <w:pPr>
        <w:ind w:left="1440" w:hanging="360"/>
      </w:pPr>
      <w:rPr>
        <w:rFonts w:ascii="Symbol" w:hAnsi="Symbol"/>
      </w:rPr>
    </w:lvl>
    <w:lvl w:ilvl="4" w:tplc="377AD3A4">
      <w:start w:val="1"/>
      <w:numFmt w:val="bullet"/>
      <w:lvlText w:val=""/>
      <w:lvlJc w:val="left"/>
      <w:pPr>
        <w:ind w:left="1440" w:hanging="360"/>
      </w:pPr>
      <w:rPr>
        <w:rFonts w:ascii="Symbol" w:hAnsi="Symbol"/>
      </w:rPr>
    </w:lvl>
    <w:lvl w:ilvl="5" w:tplc="F83800B0">
      <w:start w:val="1"/>
      <w:numFmt w:val="bullet"/>
      <w:lvlText w:val=""/>
      <w:lvlJc w:val="left"/>
      <w:pPr>
        <w:ind w:left="1440" w:hanging="360"/>
      </w:pPr>
      <w:rPr>
        <w:rFonts w:ascii="Symbol" w:hAnsi="Symbol"/>
      </w:rPr>
    </w:lvl>
    <w:lvl w:ilvl="6" w:tplc="B7689516">
      <w:start w:val="1"/>
      <w:numFmt w:val="bullet"/>
      <w:lvlText w:val=""/>
      <w:lvlJc w:val="left"/>
      <w:pPr>
        <w:ind w:left="1440" w:hanging="360"/>
      </w:pPr>
      <w:rPr>
        <w:rFonts w:ascii="Symbol" w:hAnsi="Symbol"/>
      </w:rPr>
    </w:lvl>
    <w:lvl w:ilvl="7" w:tplc="D33C4DD0">
      <w:start w:val="1"/>
      <w:numFmt w:val="bullet"/>
      <w:lvlText w:val=""/>
      <w:lvlJc w:val="left"/>
      <w:pPr>
        <w:ind w:left="1440" w:hanging="360"/>
      </w:pPr>
      <w:rPr>
        <w:rFonts w:ascii="Symbol" w:hAnsi="Symbol"/>
      </w:rPr>
    </w:lvl>
    <w:lvl w:ilvl="8" w:tplc="8FF4E99A">
      <w:start w:val="1"/>
      <w:numFmt w:val="bullet"/>
      <w:lvlText w:val=""/>
      <w:lvlJc w:val="left"/>
      <w:pPr>
        <w:ind w:left="1440" w:hanging="360"/>
      </w:pPr>
      <w:rPr>
        <w:rFonts w:ascii="Symbol" w:hAnsi="Symbol"/>
      </w:rPr>
    </w:lvl>
  </w:abstractNum>
  <w:abstractNum w:abstractNumId="16" w15:restartNumberingAfterBreak="0">
    <w:nsid w:val="47F66696"/>
    <w:multiLevelType w:val="hybridMultilevel"/>
    <w:tmpl w:val="CA5A89B6"/>
    <w:lvl w:ilvl="0" w:tplc="AF4215FC">
      <w:start w:val="1"/>
      <w:numFmt w:val="bullet"/>
      <w:lvlText w:val=""/>
      <w:lvlJc w:val="left"/>
      <w:pPr>
        <w:ind w:left="720" w:hanging="360"/>
      </w:pPr>
      <w:rPr>
        <w:rFonts w:ascii="Symbol" w:hAnsi="Symbol"/>
      </w:rPr>
    </w:lvl>
    <w:lvl w:ilvl="1" w:tplc="E61EC93E">
      <w:start w:val="1"/>
      <w:numFmt w:val="bullet"/>
      <w:lvlText w:val=""/>
      <w:lvlJc w:val="left"/>
      <w:pPr>
        <w:ind w:left="720" w:hanging="360"/>
      </w:pPr>
      <w:rPr>
        <w:rFonts w:ascii="Symbol" w:hAnsi="Symbol"/>
      </w:rPr>
    </w:lvl>
    <w:lvl w:ilvl="2" w:tplc="009EFBF4">
      <w:start w:val="1"/>
      <w:numFmt w:val="bullet"/>
      <w:lvlText w:val=""/>
      <w:lvlJc w:val="left"/>
      <w:pPr>
        <w:ind w:left="720" w:hanging="360"/>
      </w:pPr>
      <w:rPr>
        <w:rFonts w:ascii="Symbol" w:hAnsi="Symbol"/>
      </w:rPr>
    </w:lvl>
    <w:lvl w:ilvl="3" w:tplc="666493EC">
      <w:start w:val="1"/>
      <w:numFmt w:val="bullet"/>
      <w:lvlText w:val=""/>
      <w:lvlJc w:val="left"/>
      <w:pPr>
        <w:ind w:left="720" w:hanging="360"/>
      </w:pPr>
      <w:rPr>
        <w:rFonts w:ascii="Symbol" w:hAnsi="Symbol"/>
      </w:rPr>
    </w:lvl>
    <w:lvl w:ilvl="4" w:tplc="542EE32A">
      <w:start w:val="1"/>
      <w:numFmt w:val="bullet"/>
      <w:lvlText w:val=""/>
      <w:lvlJc w:val="left"/>
      <w:pPr>
        <w:ind w:left="720" w:hanging="360"/>
      </w:pPr>
      <w:rPr>
        <w:rFonts w:ascii="Symbol" w:hAnsi="Symbol"/>
      </w:rPr>
    </w:lvl>
    <w:lvl w:ilvl="5" w:tplc="55C83848">
      <w:start w:val="1"/>
      <w:numFmt w:val="bullet"/>
      <w:lvlText w:val=""/>
      <w:lvlJc w:val="left"/>
      <w:pPr>
        <w:ind w:left="720" w:hanging="360"/>
      </w:pPr>
      <w:rPr>
        <w:rFonts w:ascii="Symbol" w:hAnsi="Symbol"/>
      </w:rPr>
    </w:lvl>
    <w:lvl w:ilvl="6" w:tplc="882466C0">
      <w:start w:val="1"/>
      <w:numFmt w:val="bullet"/>
      <w:lvlText w:val=""/>
      <w:lvlJc w:val="left"/>
      <w:pPr>
        <w:ind w:left="720" w:hanging="360"/>
      </w:pPr>
      <w:rPr>
        <w:rFonts w:ascii="Symbol" w:hAnsi="Symbol"/>
      </w:rPr>
    </w:lvl>
    <w:lvl w:ilvl="7" w:tplc="4CCC8E22">
      <w:start w:val="1"/>
      <w:numFmt w:val="bullet"/>
      <w:lvlText w:val=""/>
      <w:lvlJc w:val="left"/>
      <w:pPr>
        <w:ind w:left="720" w:hanging="360"/>
      </w:pPr>
      <w:rPr>
        <w:rFonts w:ascii="Symbol" w:hAnsi="Symbol"/>
      </w:rPr>
    </w:lvl>
    <w:lvl w:ilvl="8" w:tplc="56D453E4">
      <w:start w:val="1"/>
      <w:numFmt w:val="bullet"/>
      <w:lvlText w:val=""/>
      <w:lvlJc w:val="left"/>
      <w:pPr>
        <w:ind w:left="720" w:hanging="360"/>
      </w:pPr>
      <w:rPr>
        <w:rFonts w:ascii="Symbol" w:hAnsi="Symbol"/>
      </w:rPr>
    </w:lvl>
  </w:abstractNum>
  <w:abstractNum w:abstractNumId="17" w15:restartNumberingAfterBreak="0">
    <w:nsid w:val="4C2F76AF"/>
    <w:multiLevelType w:val="hybridMultilevel"/>
    <w:tmpl w:val="AF70F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D77F72"/>
    <w:multiLevelType w:val="hybridMultilevel"/>
    <w:tmpl w:val="330234CA"/>
    <w:lvl w:ilvl="0" w:tplc="15443A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12BD8"/>
    <w:multiLevelType w:val="hybridMultilevel"/>
    <w:tmpl w:val="64E8789E"/>
    <w:lvl w:ilvl="0" w:tplc="B75253FE">
      <w:start w:val="1"/>
      <w:numFmt w:val="bullet"/>
      <w:lvlText w:val=""/>
      <w:lvlJc w:val="left"/>
      <w:pPr>
        <w:ind w:left="720" w:hanging="360"/>
      </w:pPr>
      <w:rPr>
        <w:rFonts w:ascii="Symbol" w:hAnsi="Symbol"/>
      </w:rPr>
    </w:lvl>
    <w:lvl w:ilvl="1" w:tplc="8D00D2D0">
      <w:start w:val="1"/>
      <w:numFmt w:val="bullet"/>
      <w:lvlText w:val=""/>
      <w:lvlJc w:val="left"/>
      <w:pPr>
        <w:ind w:left="720" w:hanging="360"/>
      </w:pPr>
      <w:rPr>
        <w:rFonts w:ascii="Symbol" w:hAnsi="Symbol"/>
      </w:rPr>
    </w:lvl>
    <w:lvl w:ilvl="2" w:tplc="FB80E532">
      <w:start w:val="1"/>
      <w:numFmt w:val="bullet"/>
      <w:lvlText w:val=""/>
      <w:lvlJc w:val="left"/>
      <w:pPr>
        <w:ind w:left="720" w:hanging="360"/>
      </w:pPr>
      <w:rPr>
        <w:rFonts w:ascii="Symbol" w:hAnsi="Symbol"/>
      </w:rPr>
    </w:lvl>
    <w:lvl w:ilvl="3" w:tplc="3836BECA">
      <w:start w:val="1"/>
      <w:numFmt w:val="bullet"/>
      <w:lvlText w:val=""/>
      <w:lvlJc w:val="left"/>
      <w:pPr>
        <w:ind w:left="720" w:hanging="360"/>
      </w:pPr>
      <w:rPr>
        <w:rFonts w:ascii="Symbol" w:hAnsi="Symbol"/>
      </w:rPr>
    </w:lvl>
    <w:lvl w:ilvl="4" w:tplc="DA3A8462">
      <w:start w:val="1"/>
      <w:numFmt w:val="bullet"/>
      <w:lvlText w:val=""/>
      <w:lvlJc w:val="left"/>
      <w:pPr>
        <w:ind w:left="720" w:hanging="360"/>
      </w:pPr>
      <w:rPr>
        <w:rFonts w:ascii="Symbol" w:hAnsi="Symbol"/>
      </w:rPr>
    </w:lvl>
    <w:lvl w:ilvl="5" w:tplc="12E08A7E">
      <w:start w:val="1"/>
      <w:numFmt w:val="bullet"/>
      <w:lvlText w:val=""/>
      <w:lvlJc w:val="left"/>
      <w:pPr>
        <w:ind w:left="720" w:hanging="360"/>
      </w:pPr>
      <w:rPr>
        <w:rFonts w:ascii="Symbol" w:hAnsi="Symbol"/>
      </w:rPr>
    </w:lvl>
    <w:lvl w:ilvl="6" w:tplc="997E21B6">
      <w:start w:val="1"/>
      <w:numFmt w:val="bullet"/>
      <w:lvlText w:val=""/>
      <w:lvlJc w:val="left"/>
      <w:pPr>
        <w:ind w:left="720" w:hanging="360"/>
      </w:pPr>
      <w:rPr>
        <w:rFonts w:ascii="Symbol" w:hAnsi="Symbol"/>
      </w:rPr>
    </w:lvl>
    <w:lvl w:ilvl="7" w:tplc="C810C6A6">
      <w:start w:val="1"/>
      <w:numFmt w:val="bullet"/>
      <w:lvlText w:val=""/>
      <w:lvlJc w:val="left"/>
      <w:pPr>
        <w:ind w:left="720" w:hanging="360"/>
      </w:pPr>
      <w:rPr>
        <w:rFonts w:ascii="Symbol" w:hAnsi="Symbol"/>
      </w:rPr>
    </w:lvl>
    <w:lvl w:ilvl="8" w:tplc="5EB6D422">
      <w:start w:val="1"/>
      <w:numFmt w:val="bullet"/>
      <w:lvlText w:val=""/>
      <w:lvlJc w:val="left"/>
      <w:pPr>
        <w:ind w:left="720" w:hanging="360"/>
      </w:pPr>
      <w:rPr>
        <w:rFonts w:ascii="Symbol" w:hAnsi="Symbol"/>
      </w:rPr>
    </w:lvl>
  </w:abstractNum>
  <w:abstractNum w:abstractNumId="20" w15:restartNumberingAfterBreak="0">
    <w:nsid w:val="4FCE5385"/>
    <w:multiLevelType w:val="hybridMultilevel"/>
    <w:tmpl w:val="A16E8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771FCB"/>
    <w:multiLevelType w:val="hybridMultilevel"/>
    <w:tmpl w:val="374A6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A87595"/>
    <w:multiLevelType w:val="multilevel"/>
    <w:tmpl w:val="039A773A"/>
    <w:styleLink w:val="CurrentList5"/>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3FE71E7"/>
    <w:multiLevelType w:val="hybridMultilevel"/>
    <w:tmpl w:val="DA963C7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ED524C"/>
    <w:multiLevelType w:val="hybridMultilevel"/>
    <w:tmpl w:val="33B64B2E"/>
    <w:lvl w:ilvl="0" w:tplc="B0F42A8E">
      <w:start w:val="1"/>
      <w:numFmt w:val="none"/>
      <w:lvlText w:val="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604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87F4BFD"/>
    <w:multiLevelType w:val="hybridMultilevel"/>
    <w:tmpl w:val="F65E0B96"/>
    <w:lvl w:ilvl="0" w:tplc="E1A4D81E">
      <w:start w:val="1"/>
      <w:numFmt w:val="bullet"/>
      <w:lvlText w:val=""/>
      <w:lvlJc w:val="left"/>
      <w:pPr>
        <w:ind w:left="720" w:hanging="360"/>
      </w:pPr>
      <w:rPr>
        <w:rFonts w:ascii="Symbol" w:hAnsi="Symbol"/>
      </w:rPr>
    </w:lvl>
    <w:lvl w:ilvl="1" w:tplc="9118EBE4">
      <w:start w:val="1"/>
      <w:numFmt w:val="bullet"/>
      <w:lvlText w:val=""/>
      <w:lvlJc w:val="left"/>
      <w:pPr>
        <w:ind w:left="720" w:hanging="360"/>
      </w:pPr>
      <w:rPr>
        <w:rFonts w:ascii="Symbol" w:hAnsi="Symbol"/>
      </w:rPr>
    </w:lvl>
    <w:lvl w:ilvl="2" w:tplc="3DBE1B9E">
      <w:start w:val="1"/>
      <w:numFmt w:val="bullet"/>
      <w:lvlText w:val=""/>
      <w:lvlJc w:val="left"/>
      <w:pPr>
        <w:ind w:left="720" w:hanging="360"/>
      </w:pPr>
      <w:rPr>
        <w:rFonts w:ascii="Symbol" w:hAnsi="Symbol"/>
      </w:rPr>
    </w:lvl>
    <w:lvl w:ilvl="3" w:tplc="EF38D6CC">
      <w:start w:val="1"/>
      <w:numFmt w:val="bullet"/>
      <w:lvlText w:val=""/>
      <w:lvlJc w:val="left"/>
      <w:pPr>
        <w:ind w:left="720" w:hanging="360"/>
      </w:pPr>
      <w:rPr>
        <w:rFonts w:ascii="Symbol" w:hAnsi="Symbol"/>
      </w:rPr>
    </w:lvl>
    <w:lvl w:ilvl="4" w:tplc="F41466E2">
      <w:start w:val="1"/>
      <w:numFmt w:val="bullet"/>
      <w:lvlText w:val=""/>
      <w:lvlJc w:val="left"/>
      <w:pPr>
        <w:ind w:left="720" w:hanging="360"/>
      </w:pPr>
      <w:rPr>
        <w:rFonts w:ascii="Symbol" w:hAnsi="Symbol"/>
      </w:rPr>
    </w:lvl>
    <w:lvl w:ilvl="5" w:tplc="6F7EB364">
      <w:start w:val="1"/>
      <w:numFmt w:val="bullet"/>
      <w:lvlText w:val=""/>
      <w:lvlJc w:val="left"/>
      <w:pPr>
        <w:ind w:left="720" w:hanging="360"/>
      </w:pPr>
      <w:rPr>
        <w:rFonts w:ascii="Symbol" w:hAnsi="Symbol"/>
      </w:rPr>
    </w:lvl>
    <w:lvl w:ilvl="6" w:tplc="83108A96">
      <w:start w:val="1"/>
      <w:numFmt w:val="bullet"/>
      <w:lvlText w:val=""/>
      <w:lvlJc w:val="left"/>
      <w:pPr>
        <w:ind w:left="720" w:hanging="360"/>
      </w:pPr>
      <w:rPr>
        <w:rFonts w:ascii="Symbol" w:hAnsi="Symbol"/>
      </w:rPr>
    </w:lvl>
    <w:lvl w:ilvl="7" w:tplc="29A407B0">
      <w:start w:val="1"/>
      <w:numFmt w:val="bullet"/>
      <w:lvlText w:val=""/>
      <w:lvlJc w:val="left"/>
      <w:pPr>
        <w:ind w:left="720" w:hanging="360"/>
      </w:pPr>
      <w:rPr>
        <w:rFonts w:ascii="Symbol" w:hAnsi="Symbol"/>
      </w:rPr>
    </w:lvl>
    <w:lvl w:ilvl="8" w:tplc="39A4D86A">
      <w:start w:val="1"/>
      <w:numFmt w:val="bullet"/>
      <w:lvlText w:val=""/>
      <w:lvlJc w:val="left"/>
      <w:pPr>
        <w:ind w:left="720" w:hanging="360"/>
      </w:pPr>
      <w:rPr>
        <w:rFonts w:ascii="Symbol" w:hAnsi="Symbol"/>
      </w:rPr>
    </w:lvl>
  </w:abstractNum>
  <w:abstractNum w:abstractNumId="27" w15:restartNumberingAfterBreak="0">
    <w:nsid w:val="5F5E74A5"/>
    <w:multiLevelType w:val="hybridMultilevel"/>
    <w:tmpl w:val="656EBCD2"/>
    <w:lvl w:ilvl="0" w:tplc="5EFA0404">
      <w:start w:val="1"/>
      <w:numFmt w:val="bullet"/>
      <w:lvlText w:val=""/>
      <w:lvlJc w:val="left"/>
      <w:pPr>
        <w:ind w:left="1440" w:hanging="360"/>
      </w:pPr>
      <w:rPr>
        <w:rFonts w:ascii="Symbol" w:hAnsi="Symbol"/>
      </w:rPr>
    </w:lvl>
    <w:lvl w:ilvl="1" w:tplc="526A38D6">
      <w:start w:val="1"/>
      <w:numFmt w:val="bullet"/>
      <w:lvlText w:val=""/>
      <w:lvlJc w:val="left"/>
      <w:pPr>
        <w:ind w:left="1440" w:hanging="360"/>
      </w:pPr>
      <w:rPr>
        <w:rFonts w:ascii="Symbol" w:hAnsi="Symbol"/>
      </w:rPr>
    </w:lvl>
    <w:lvl w:ilvl="2" w:tplc="C2C0B79A">
      <w:start w:val="1"/>
      <w:numFmt w:val="bullet"/>
      <w:lvlText w:val=""/>
      <w:lvlJc w:val="left"/>
      <w:pPr>
        <w:ind w:left="1440" w:hanging="360"/>
      </w:pPr>
      <w:rPr>
        <w:rFonts w:ascii="Symbol" w:hAnsi="Symbol"/>
      </w:rPr>
    </w:lvl>
    <w:lvl w:ilvl="3" w:tplc="2F6CBAF0">
      <w:start w:val="1"/>
      <w:numFmt w:val="bullet"/>
      <w:lvlText w:val=""/>
      <w:lvlJc w:val="left"/>
      <w:pPr>
        <w:ind w:left="1440" w:hanging="360"/>
      </w:pPr>
      <w:rPr>
        <w:rFonts w:ascii="Symbol" w:hAnsi="Symbol"/>
      </w:rPr>
    </w:lvl>
    <w:lvl w:ilvl="4" w:tplc="42A65732">
      <w:start w:val="1"/>
      <w:numFmt w:val="bullet"/>
      <w:lvlText w:val=""/>
      <w:lvlJc w:val="left"/>
      <w:pPr>
        <w:ind w:left="1440" w:hanging="360"/>
      </w:pPr>
      <w:rPr>
        <w:rFonts w:ascii="Symbol" w:hAnsi="Symbol"/>
      </w:rPr>
    </w:lvl>
    <w:lvl w:ilvl="5" w:tplc="7FFC87EA">
      <w:start w:val="1"/>
      <w:numFmt w:val="bullet"/>
      <w:lvlText w:val=""/>
      <w:lvlJc w:val="left"/>
      <w:pPr>
        <w:ind w:left="1440" w:hanging="360"/>
      </w:pPr>
      <w:rPr>
        <w:rFonts w:ascii="Symbol" w:hAnsi="Symbol"/>
      </w:rPr>
    </w:lvl>
    <w:lvl w:ilvl="6" w:tplc="A9CA5B34">
      <w:start w:val="1"/>
      <w:numFmt w:val="bullet"/>
      <w:lvlText w:val=""/>
      <w:lvlJc w:val="left"/>
      <w:pPr>
        <w:ind w:left="1440" w:hanging="360"/>
      </w:pPr>
      <w:rPr>
        <w:rFonts w:ascii="Symbol" w:hAnsi="Symbol"/>
      </w:rPr>
    </w:lvl>
    <w:lvl w:ilvl="7" w:tplc="5D3ADB96">
      <w:start w:val="1"/>
      <w:numFmt w:val="bullet"/>
      <w:lvlText w:val=""/>
      <w:lvlJc w:val="left"/>
      <w:pPr>
        <w:ind w:left="1440" w:hanging="360"/>
      </w:pPr>
      <w:rPr>
        <w:rFonts w:ascii="Symbol" w:hAnsi="Symbol"/>
      </w:rPr>
    </w:lvl>
    <w:lvl w:ilvl="8" w:tplc="9B606034">
      <w:start w:val="1"/>
      <w:numFmt w:val="bullet"/>
      <w:lvlText w:val=""/>
      <w:lvlJc w:val="left"/>
      <w:pPr>
        <w:ind w:left="1440" w:hanging="360"/>
      </w:pPr>
      <w:rPr>
        <w:rFonts w:ascii="Symbol" w:hAnsi="Symbol"/>
      </w:rPr>
    </w:lvl>
  </w:abstractNum>
  <w:abstractNum w:abstractNumId="28" w15:restartNumberingAfterBreak="0">
    <w:nsid w:val="6195687F"/>
    <w:multiLevelType w:val="hybridMultilevel"/>
    <w:tmpl w:val="8AB27414"/>
    <w:lvl w:ilvl="0" w:tplc="A1B04AE0">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0C776F"/>
    <w:multiLevelType w:val="multilevel"/>
    <w:tmpl w:val="DEAAE190"/>
    <w:styleLink w:val="CurrentList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66F92E7D"/>
    <w:multiLevelType w:val="multilevel"/>
    <w:tmpl w:val="A88C8C6E"/>
    <w:styleLink w:val="CurrentList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3.%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677656DE"/>
    <w:multiLevelType w:val="multilevel"/>
    <w:tmpl w:val="2FB81C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693E362F"/>
    <w:multiLevelType w:val="hybridMultilevel"/>
    <w:tmpl w:val="3D02C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3A5765"/>
    <w:multiLevelType w:val="hybridMultilevel"/>
    <w:tmpl w:val="288AB816"/>
    <w:lvl w:ilvl="0" w:tplc="A4086756">
      <w:start w:val="1"/>
      <w:numFmt w:val="bullet"/>
      <w:lvlText w:val=""/>
      <w:lvlJc w:val="left"/>
      <w:pPr>
        <w:ind w:left="720" w:hanging="360"/>
      </w:pPr>
      <w:rPr>
        <w:rFonts w:ascii="Symbol" w:hAnsi="Symbol"/>
      </w:rPr>
    </w:lvl>
    <w:lvl w:ilvl="1" w:tplc="B64C2FFC">
      <w:start w:val="1"/>
      <w:numFmt w:val="bullet"/>
      <w:lvlText w:val=""/>
      <w:lvlJc w:val="left"/>
      <w:pPr>
        <w:ind w:left="720" w:hanging="360"/>
      </w:pPr>
      <w:rPr>
        <w:rFonts w:ascii="Symbol" w:hAnsi="Symbol"/>
      </w:rPr>
    </w:lvl>
    <w:lvl w:ilvl="2" w:tplc="512A3AF8">
      <w:start w:val="1"/>
      <w:numFmt w:val="bullet"/>
      <w:lvlText w:val=""/>
      <w:lvlJc w:val="left"/>
      <w:pPr>
        <w:ind w:left="720" w:hanging="360"/>
      </w:pPr>
      <w:rPr>
        <w:rFonts w:ascii="Symbol" w:hAnsi="Symbol"/>
      </w:rPr>
    </w:lvl>
    <w:lvl w:ilvl="3" w:tplc="A4DE475A">
      <w:start w:val="1"/>
      <w:numFmt w:val="bullet"/>
      <w:lvlText w:val=""/>
      <w:lvlJc w:val="left"/>
      <w:pPr>
        <w:ind w:left="720" w:hanging="360"/>
      </w:pPr>
      <w:rPr>
        <w:rFonts w:ascii="Symbol" w:hAnsi="Symbol"/>
      </w:rPr>
    </w:lvl>
    <w:lvl w:ilvl="4" w:tplc="CD1C3702">
      <w:start w:val="1"/>
      <w:numFmt w:val="bullet"/>
      <w:lvlText w:val=""/>
      <w:lvlJc w:val="left"/>
      <w:pPr>
        <w:ind w:left="720" w:hanging="360"/>
      </w:pPr>
      <w:rPr>
        <w:rFonts w:ascii="Symbol" w:hAnsi="Symbol"/>
      </w:rPr>
    </w:lvl>
    <w:lvl w:ilvl="5" w:tplc="AE22EA5E">
      <w:start w:val="1"/>
      <w:numFmt w:val="bullet"/>
      <w:lvlText w:val=""/>
      <w:lvlJc w:val="left"/>
      <w:pPr>
        <w:ind w:left="720" w:hanging="360"/>
      </w:pPr>
      <w:rPr>
        <w:rFonts w:ascii="Symbol" w:hAnsi="Symbol"/>
      </w:rPr>
    </w:lvl>
    <w:lvl w:ilvl="6" w:tplc="C0A4DAA8">
      <w:start w:val="1"/>
      <w:numFmt w:val="bullet"/>
      <w:lvlText w:val=""/>
      <w:lvlJc w:val="left"/>
      <w:pPr>
        <w:ind w:left="720" w:hanging="360"/>
      </w:pPr>
      <w:rPr>
        <w:rFonts w:ascii="Symbol" w:hAnsi="Symbol"/>
      </w:rPr>
    </w:lvl>
    <w:lvl w:ilvl="7" w:tplc="09985974">
      <w:start w:val="1"/>
      <w:numFmt w:val="bullet"/>
      <w:lvlText w:val=""/>
      <w:lvlJc w:val="left"/>
      <w:pPr>
        <w:ind w:left="720" w:hanging="360"/>
      </w:pPr>
      <w:rPr>
        <w:rFonts w:ascii="Symbol" w:hAnsi="Symbol"/>
      </w:rPr>
    </w:lvl>
    <w:lvl w:ilvl="8" w:tplc="17D6EE36">
      <w:start w:val="1"/>
      <w:numFmt w:val="bullet"/>
      <w:lvlText w:val=""/>
      <w:lvlJc w:val="left"/>
      <w:pPr>
        <w:ind w:left="720" w:hanging="360"/>
      </w:pPr>
      <w:rPr>
        <w:rFonts w:ascii="Symbol" w:hAnsi="Symbol"/>
      </w:rPr>
    </w:lvl>
  </w:abstractNum>
  <w:abstractNum w:abstractNumId="34" w15:restartNumberingAfterBreak="0">
    <w:nsid w:val="78134EF9"/>
    <w:multiLevelType w:val="multilevel"/>
    <w:tmpl w:val="8D58EB18"/>
    <w:styleLink w:val="CurrentList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78FC2036"/>
    <w:multiLevelType w:val="hybridMultilevel"/>
    <w:tmpl w:val="C0366C1C"/>
    <w:lvl w:ilvl="0" w:tplc="E2D6B69C">
      <w:start w:val="1"/>
      <w:numFmt w:val="bullet"/>
      <w:lvlText w:val=""/>
      <w:lvlJc w:val="left"/>
      <w:pPr>
        <w:ind w:left="720" w:hanging="360"/>
      </w:pPr>
      <w:rPr>
        <w:rFonts w:ascii="Symbol" w:hAnsi="Symbol"/>
      </w:rPr>
    </w:lvl>
    <w:lvl w:ilvl="1" w:tplc="22E617EA">
      <w:start w:val="1"/>
      <w:numFmt w:val="bullet"/>
      <w:lvlText w:val=""/>
      <w:lvlJc w:val="left"/>
      <w:pPr>
        <w:ind w:left="720" w:hanging="360"/>
      </w:pPr>
      <w:rPr>
        <w:rFonts w:ascii="Symbol" w:hAnsi="Symbol"/>
      </w:rPr>
    </w:lvl>
    <w:lvl w:ilvl="2" w:tplc="D172A220">
      <w:start w:val="1"/>
      <w:numFmt w:val="bullet"/>
      <w:lvlText w:val=""/>
      <w:lvlJc w:val="left"/>
      <w:pPr>
        <w:ind w:left="720" w:hanging="360"/>
      </w:pPr>
      <w:rPr>
        <w:rFonts w:ascii="Symbol" w:hAnsi="Symbol"/>
      </w:rPr>
    </w:lvl>
    <w:lvl w:ilvl="3" w:tplc="365CE5F6">
      <w:start w:val="1"/>
      <w:numFmt w:val="bullet"/>
      <w:lvlText w:val=""/>
      <w:lvlJc w:val="left"/>
      <w:pPr>
        <w:ind w:left="720" w:hanging="360"/>
      </w:pPr>
      <w:rPr>
        <w:rFonts w:ascii="Symbol" w:hAnsi="Symbol"/>
      </w:rPr>
    </w:lvl>
    <w:lvl w:ilvl="4" w:tplc="A16AF312">
      <w:start w:val="1"/>
      <w:numFmt w:val="bullet"/>
      <w:lvlText w:val=""/>
      <w:lvlJc w:val="left"/>
      <w:pPr>
        <w:ind w:left="720" w:hanging="360"/>
      </w:pPr>
      <w:rPr>
        <w:rFonts w:ascii="Symbol" w:hAnsi="Symbol"/>
      </w:rPr>
    </w:lvl>
    <w:lvl w:ilvl="5" w:tplc="A9F2545A">
      <w:start w:val="1"/>
      <w:numFmt w:val="bullet"/>
      <w:lvlText w:val=""/>
      <w:lvlJc w:val="left"/>
      <w:pPr>
        <w:ind w:left="720" w:hanging="360"/>
      </w:pPr>
      <w:rPr>
        <w:rFonts w:ascii="Symbol" w:hAnsi="Symbol"/>
      </w:rPr>
    </w:lvl>
    <w:lvl w:ilvl="6" w:tplc="7B32A482">
      <w:start w:val="1"/>
      <w:numFmt w:val="bullet"/>
      <w:lvlText w:val=""/>
      <w:lvlJc w:val="left"/>
      <w:pPr>
        <w:ind w:left="720" w:hanging="360"/>
      </w:pPr>
      <w:rPr>
        <w:rFonts w:ascii="Symbol" w:hAnsi="Symbol"/>
      </w:rPr>
    </w:lvl>
    <w:lvl w:ilvl="7" w:tplc="9FF03FE4">
      <w:start w:val="1"/>
      <w:numFmt w:val="bullet"/>
      <w:lvlText w:val=""/>
      <w:lvlJc w:val="left"/>
      <w:pPr>
        <w:ind w:left="720" w:hanging="360"/>
      </w:pPr>
      <w:rPr>
        <w:rFonts w:ascii="Symbol" w:hAnsi="Symbol"/>
      </w:rPr>
    </w:lvl>
    <w:lvl w:ilvl="8" w:tplc="7238703E">
      <w:start w:val="1"/>
      <w:numFmt w:val="bullet"/>
      <w:lvlText w:val=""/>
      <w:lvlJc w:val="left"/>
      <w:pPr>
        <w:ind w:left="720" w:hanging="360"/>
      </w:pPr>
      <w:rPr>
        <w:rFonts w:ascii="Symbol" w:hAnsi="Symbol"/>
      </w:rPr>
    </w:lvl>
  </w:abstractNum>
  <w:abstractNum w:abstractNumId="36" w15:restartNumberingAfterBreak="0">
    <w:nsid w:val="79F80108"/>
    <w:multiLevelType w:val="multilevel"/>
    <w:tmpl w:val="943A1E64"/>
    <w:styleLink w:val="CurrentList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965887340">
    <w:abstractNumId w:val="23"/>
  </w:num>
  <w:num w:numId="2" w16cid:durableId="274676525">
    <w:abstractNumId w:val="18"/>
  </w:num>
  <w:num w:numId="3" w16cid:durableId="1807817744">
    <w:abstractNumId w:val="17"/>
  </w:num>
  <w:num w:numId="4" w16cid:durableId="1918126074">
    <w:abstractNumId w:val="21"/>
  </w:num>
  <w:num w:numId="5" w16cid:durableId="8920215">
    <w:abstractNumId w:val="31"/>
  </w:num>
  <w:num w:numId="6" w16cid:durableId="1789735311">
    <w:abstractNumId w:val="25"/>
  </w:num>
  <w:num w:numId="7" w16cid:durableId="2127195213">
    <w:abstractNumId w:val="0"/>
  </w:num>
  <w:num w:numId="8" w16cid:durableId="1128428585">
    <w:abstractNumId w:val="20"/>
  </w:num>
  <w:num w:numId="9" w16cid:durableId="1615206781">
    <w:abstractNumId w:val="5"/>
  </w:num>
  <w:num w:numId="10" w16cid:durableId="1342390283">
    <w:abstractNumId w:val="28"/>
  </w:num>
  <w:num w:numId="11" w16cid:durableId="688873395">
    <w:abstractNumId w:val="2"/>
  </w:num>
  <w:num w:numId="12" w16cid:durableId="1826237510">
    <w:abstractNumId w:val="13"/>
  </w:num>
  <w:num w:numId="13" w16cid:durableId="1734739714">
    <w:abstractNumId w:val="24"/>
  </w:num>
  <w:num w:numId="14" w16cid:durableId="372314136">
    <w:abstractNumId w:val="14"/>
  </w:num>
  <w:num w:numId="15" w16cid:durableId="238759517">
    <w:abstractNumId w:val="7"/>
  </w:num>
  <w:num w:numId="16" w16cid:durableId="1299651466">
    <w:abstractNumId w:val="30"/>
  </w:num>
  <w:num w:numId="17" w16cid:durableId="1721053726">
    <w:abstractNumId w:val="3"/>
  </w:num>
  <w:num w:numId="18" w16cid:durableId="146479483">
    <w:abstractNumId w:val="29"/>
  </w:num>
  <w:num w:numId="19" w16cid:durableId="505751154">
    <w:abstractNumId w:val="22"/>
  </w:num>
  <w:num w:numId="20" w16cid:durableId="532546310">
    <w:abstractNumId w:val="36"/>
  </w:num>
  <w:num w:numId="21" w16cid:durableId="1726488277">
    <w:abstractNumId w:val="9"/>
  </w:num>
  <w:num w:numId="22" w16cid:durableId="397094275">
    <w:abstractNumId w:val="34"/>
  </w:num>
  <w:num w:numId="23" w16cid:durableId="106895890">
    <w:abstractNumId w:val="4"/>
  </w:num>
  <w:num w:numId="24" w16cid:durableId="1618563908">
    <w:abstractNumId w:val="6"/>
  </w:num>
  <w:num w:numId="25" w16cid:durableId="1889413932">
    <w:abstractNumId w:val="1"/>
  </w:num>
  <w:num w:numId="26" w16cid:durableId="1277298765">
    <w:abstractNumId w:val="32"/>
  </w:num>
  <w:num w:numId="27" w16cid:durableId="35860055">
    <w:abstractNumId w:val="6"/>
  </w:num>
  <w:num w:numId="28" w16cid:durableId="1817993025">
    <w:abstractNumId w:val="6"/>
  </w:num>
  <w:num w:numId="29" w16cid:durableId="1919167762">
    <w:abstractNumId w:val="6"/>
  </w:num>
  <w:num w:numId="30" w16cid:durableId="1120227549">
    <w:abstractNumId w:val="6"/>
  </w:num>
  <w:num w:numId="31" w16cid:durableId="761223828">
    <w:abstractNumId w:val="11"/>
  </w:num>
  <w:num w:numId="32" w16cid:durableId="837310712">
    <w:abstractNumId w:val="15"/>
  </w:num>
  <w:num w:numId="33" w16cid:durableId="405566549">
    <w:abstractNumId w:val="33"/>
  </w:num>
  <w:num w:numId="34" w16cid:durableId="7371001">
    <w:abstractNumId w:val="27"/>
  </w:num>
  <w:num w:numId="35" w16cid:durableId="1792161782">
    <w:abstractNumId w:val="19"/>
  </w:num>
  <w:num w:numId="36" w16cid:durableId="1238438570">
    <w:abstractNumId w:val="35"/>
  </w:num>
  <w:num w:numId="37" w16cid:durableId="1814713803">
    <w:abstractNumId w:val="26"/>
  </w:num>
  <w:num w:numId="38" w16cid:durableId="1825006704">
    <w:abstractNumId w:val="16"/>
  </w:num>
  <w:num w:numId="39" w16cid:durableId="1587349141">
    <w:abstractNumId w:val="10"/>
  </w:num>
  <w:num w:numId="40" w16cid:durableId="144396859">
    <w:abstractNumId w:val="12"/>
  </w:num>
  <w:num w:numId="41" w16cid:durableId="4142053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AD2"/>
    <w:rsid w:val="00004E21"/>
    <w:rsid w:val="00020441"/>
    <w:rsid w:val="00022F18"/>
    <w:rsid w:val="00032642"/>
    <w:rsid w:val="0004576A"/>
    <w:rsid w:val="00060C41"/>
    <w:rsid w:val="00077C48"/>
    <w:rsid w:val="00086C76"/>
    <w:rsid w:val="000934EC"/>
    <w:rsid w:val="00094D55"/>
    <w:rsid w:val="000B40AD"/>
    <w:rsid w:val="000C42AC"/>
    <w:rsid w:val="000D05D5"/>
    <w:rsid w:val="000D3C26"/>
    <w:rsid w:val="000D3F41"/>
    <w:rsid w:val="000F244A"/>
    <w:rsid w:val="00105618"/>
    <w:rsid w:val="00107D8E"/>
    <w:rsid w:val="001110C0"/>
    <w:rsid w:val="0012300F"/>
    <w:rsid w:val="001230F6"/>
    <w:rsid w:val="00126D78"/>
    <w:rsid w:val="00131DA3"/>
    <w:rsid w:val="001910F6"/>
    <w:rsid w:val="00191846"/>
    <w:rsid w:val="00193200"/>
    <w:rsid w:val="001A71C8"/>
    <w:rsid w:val="001E4150"/>
    <w:rsid w:val="00212EFC"/>
    <w:rsid w:val="00241B80"/>
    <w:rsid w:val="00255A37"/>
    <w:rsid w:val="00261649"/>
    <w:rsid w:val="002A0FC0"/>
    <w:rsid w:val="002B0F80"/>
    <w:rsid w:val="002C3F1F"/>
    <w:rsid w:val="002D7000"/>
    <w:rsid w:val="002E3D78"/>
    <w:rsid w:val="002F49A6"/>
    <w:rsid w:val="0031328A"/>
    <w:rsid w:val="00315CD1"/>
    <w:rsid w:val="003254D2"/>
    <w:rsid w:val="00332A82"/>
    <w:rsid w:val="003403CC"/>
    <w:rsid w:val="00370CF9"/>
    <w:rsid w:val="0037386E"/>
    <w:rsid w:val="00380D5D"/>
    <w:rsid w:val="00392844"/>
    <w:rsid w:val="00393D19"/>
    <w:rsid w:val="003945AE"/>
    <w:rsid w:val="003A0AB1"/>
    <w:rsid w:val="003A0CE6"/>
    <w:rsid w:val="003A5DFC"/>
    <w:rsid w:val="003A6F82"/>
    <w:rsid w:val="003D4355"/>
    <w:rsid w:val="003E73FF"/>
    <w:rsid w:val="003E7800"/>
    <w:rsid w:val="004038A5"/>
    <w:rsid w:val="00423EE1"/>
    <w:rsid w:val="00432166"/>
    <w:rsid w:val="0044296B"/>
    <w:rsid w:val="00446956"/>
    <w:rsid w:val="0045689D"/>
    <w:rsid w:val="00496A10"/>
    <w:rsid w:val="004A06AC"/>
    <w:rsid w:val="004A1AE4"/>
    <w:rsid w:val="004A3707"/>
    <w:rsid w:val="004B274F"/>
    <w:rsid w:val="004C53EA"/>
    <w:rsid w:val="004E4284"/>
    <w:rsid w:val="00506E2A"/>
    <w:rsid w:val="00535BEF"/>
    <w:rsid w:val="005446E5"/>
    <w:rsid w:val="00546A38"/>
    <w:rsid w:val="00553488"/>
    <w:rsid w:val="00595EF3"/>
    <w:rsid w:val="005B08EF"/>
    <w:rsid w:val="005B4B14"/>
    <w:rsid w:val="005C16BA"/>
    <w:rsid w:val="005D7397"/>
    <w:rsid w:val="005E1070"/>
    <w:rsid w:val="005E1314"/>
    <w:rsid w:val="00616737"/>
    <w:rsid w:val="00621BC1"/>
    <w:rsid w:val="00622C88"/>
    <w:rsid w:val="00625CF0"/>
    <w:rsid w:val="006503C1"/>
    <w:rsid w:val="006644C7"/>
    <w:rsid w:val="00684EE7"/>
    <w:rsid w:val="006A2D7A"/>
    <w:rsid w:val="006C61F7"/>
    <w:rsid w:val="00701B5A"/>
    <w:rsid w:val="007537C7"/>
    <w:rsid w:val="00770C94"/>
    <w:rsid w:val="00773F60"/>
    <w:rsid w:val="00774668"/>
    <w:rsid w:val="00777EE1"/>
    <w:rsid w:val="00790C47"/>
    <w:rsid w:val="007942E2"/>
    <w:rsid w:val="007B27FA"/>
    <w:rsid w:val="007D78C4"/>
    <w:rsid w:val="007E3EB9"/>
    <w:rsid w:val="007E466D"/>
    <w:rsid w:val="007E4865"/>
    <w:rsid w:val="007F3C55"/>
    <w:rsid w:val="00803E38"/>
    <w:rsid w:val="008105BE"/>
    <w:rsid w:val="00826E51"/>
    <w:rsid w:val="00872ED8"/>
    <w:rsid w:val="008925F5"/>
    <w:rsid w:val="00894AFF"/>
    <w:rsid w:val="008A3FA0"/>
    <w:rsid w:val="008B294F"/>
    <w:rsid w:val="008B7656"/>
    <w:rsid w:val="008C3F5F"/>
    <w:rsid w:val="008C51D7"/>
    <w:rsid w:val="008D3D09"/>
    <w:rsid w:val="008D5E9E"/>
    <w:rsid w:val="008E7553"/>
    <w:rsid w:val="00913F9B"/>
    <w:rsid w:val="0091433F"/>
    <w:rsid w:val="00921215"/>
    <w:rsid w:val="009243DB"/>
    <w:rsid w:val="009B0D62"/>
    <w:rsid w:val="009B355D"/>
    <w:rsid w:val="009B3DEE"/>
    <w:rsid w:val="00A05B67"/>
    <w:rsid w:val="00A07E26"/>
    <w:rsid w:val="00A218C5"/>
    <w:rsid w:val="00A55FCB"/>
    <w:rsid w:val="00A66894"/>
    <w:rsid w:val="00A82965"/>
    <w:rsid w:val="00A854F3"/>
    <w:rsid w:val="00A91024"/>
    <w:rsid w:val="00A92F14"/>
    <w:rsid w:val="00AB24FF"/>
    <w:rsid w:val="00AB4985"/>
    <w:rsid w:val="00AB545A"/>
    <w:rsid w:val="00AB62EF"/>
    <w:rsid w:val="00AE72B5"/>
    <w:rsid w:val="00AF2F06"/>
    <w:rsid w:val="00B01BEA"/>
    <w:rsid w:val="00B3206A"/>
    <w:rsid w:val="00B54047"/>
    <w:rsid w:val="00B654AC"/>
    <w:rsid w:val="00B66231"/>
    <w:rsid w:val="00B80B97"/>
    <w:rsid w:val="00B968E2"/>
    <w:rsid w:val="00BB32C9"/>
    <w:rsid w:val="00BB50E1"/>
    <w:rsid w:val="00BB543C"/>
    <w:rsid w:val="00BC6557"/>
    <w:rsid w:val="00BF0A90"/>
    <w:rsid w:val="00BF33F8"/>
    <w:rsid w:val="00BF53A7"/>
    <w:rsid w:val="00BF62D4"/>
    <w:rsid w:val="00C26886"/>
    <w:rsid w:val="00C7640A"/>
    <w:rsid w:val="00C82FED"/>
    <w:rsid w:val="00C85825"/>
    <w:rsid w:val="00C962B3"/>
    <w:rsid w:val="00CB3D47"/>
    <w:rsid w:val="00CC50DD"/>
    <w:rsid w:val="00CE5EA9"/>
    <w:rsid w:val="00CE677A"/>
    <w:rsid w:val="00D120C4"/>
    <w:rsid w:val="00D17AD2"/>
    <w:rsid w:val="00D21735"/>
    <w:rsid w:val="00D30BEE"/>
    <w:rsid w:val="00D414B6"/>
    <w:rsid w:val="00D5470E"/>
    <w:rsid w:val="00D5794E"/>
    <w:rsid w:val="00D60AD9"/>
    <w:rsid w:val="00DA6D37"/>
    <w:rsid w:val="00DA6FA3"/>
    <w:rsid w:val="00DB129A"/>
    <w:rsid w:val="00DB5458"/>
    <w:rsid w:val="00DB5E72"/>
    <w:rsid w:val="00DB7348"/>
    <w:rsid w:val="00DC0ECB"/>
    <w:rsid w:val="00DD1273"/>
    <w:rsid w:val="00DF0485"/>
    <w:rsid w:val="00DF502C"/>
    <w:rsid w:val="00DF56CF"/>
    <w:rsid w:val="00E035A7"/>
    <w:rsid w:val="00E15DCB"/>
    <w:rsid w:val="00E478E8"/>
    <w:rsid w:val="00E513F8"/>
    <w:rsid w:val="00E528A2"/>
    <w:rsid w:val="00E55509"/>
    <w:rsid w:val="00E82472"/>
    <w:rsid w:val="00EA5216"/>
    <w:rsid w:val="00EA5C79"/>
    <w:rsid w:val="00EB4E6C"/>
    <w:rsid w:val="00EC6C36"/>
    <w:rsid w:val="00ED48E5"/>
    <w:rsid w:val="00EF4D6D"/>
    <w:rsid w:val="00F07679"/>
    <w:rsid w:val="00F11662"/>
    <w:rsid w:val="00F16278"/>
    <w:rsid w:val="00F23466"/>
    <w:rsid w:val="00F45BF8"/>
    <w:rsid w:val="00F52844"/>
    <w:rsid w:val="00F67A4D"/>
    <w:rsid w:val="00F77F77"/>
    <w:rsid w:val="00F82A0A"/>
    <w:rsid w:val="00F93111"/>
    <w:rsid w:val="00FB37ED"/>
    <w:rsid w:val="00FC2061"/>
    <w:rsid w:val="00FC3549"/>
    <w:rsid w:val="00FC469D"/>
    <w:rsid w:val="00FE5710"/>
    <w:rsid w:val="00FE7719"/>
    <w:rsid w:val="00FF2D9B"/>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D031C"/>
  <w15:docId w15:val="{EB50173F-C147-469A-AF49-A24A5B08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F18"/>
    <w:pPr>
      <w:spacing w:before="40" w:after="80"/>
      <w:jc w:val="both"/>
    </w:pPr>
    <w:rPr>
      <w:color w:val="000000" w:themeColor="text1"/>
      <w:sz w:val="20"/>
    </w:rPr>
  </w:style>
  <w:style w:type="paragraph" w:styleId="Heading1">
    <w:name w:val="heading 1"/>
    <w:basedOn w:val="Normal"/>
    <w:next w:val="Normal"/>
    <w:link w:val="Heading1Char"/>
    <w:autoRedefine/>
    <w:uiPriority w:val="9"/>
    <w:qFormat/>
    <w:rsid w:val="00022F18"/>
    <w:pPr>
      <w:keepNext/>
      <w:keepLines/>
      <w:numPr>
        <w:numId w:val="24"/>
      </w:numPr>
      <w:spacing w:before="240" w:after="240"/>
      <w:jc w:val="left"/>
      <w:outlineLvl w:val="0"/>
    </w:pPr>
    <w:rPr>
      <w:b/>
      <w:sz w:val="22"/>
      <w:szCs w:val="40"/>
    </w:rPr>
  </w:style>
  <w:style w:type="paragraph" w:styleId="Heading2">
    <w:name w:val="heading 2"/>
    <w:basedOn w:val="Normal"/>
    <w:next w:val="Normal"/>
    <w:autoRedefine/>
    <w:uiPriority w:val="9"/>
    <w:unhideWhenUsed/>
    <w:qFormat/>
    <w:rsid w:val="00022F18"/>
    <w:pPr>
      <w:keepNext/>
      <w:keepLines/>
      <w:numPr>
        <w:ilvl w:val="1"/>
        <w:numId w:val="24"/>
      </w:numPr>
      <w:spacing w:before="120" w:after="120"/>
      <w:jc w:val="left"/>
      <w:outlineLvl w:val="1"/>
    </w:pPr>
    <w:rPr>
      <w:b/>
      <w:sz w:val="22"/>
      <w:szCs w:val="32"/>
    </w:rPr>
  </w:style>
  <w:style w:type="paragraph" w:styleId="Heading3">
    <w:name w:val="heading 3"/>
    <w:basedOn w:val="Normal"/>
    <w:next w:val="Normal"/>
    <w:link w:val="Heading3Char"/>
    <w:autoRedefine/>
    <w:uiPriority w:val="9"/>
    <w:unhideWhenUsed/>
    <w:qFormat/>
    <w:rsid w:val="00022F18"/>
    <w:pPr>
      <w:keepNext/>
      <w:keepLines/>
      <w:numPr>
        <w:ilvl w:val="2"/>
        <w:numId w:val="24"/>
      </w:numPr>
      <w:spacing w:before="80"/>
      <w:jc w:val="left"/>
      <w:outlineLvl w:val="2"/>
    </w:pPr>
    <w:rPr>
      <w:b/>
      <w:szCs w:val="28"/>
      <w:u w:val="single"/>
    </w:rPr>
  </w:style>
  <w:style w:type="paragraph" w:styleId="Heading4">
    <w:name w:val="heading 4"/>
    <w:basedOn w:val="Normal"/>
    <w:next w:val="Normal"/>
    <w:autoRedefine/>
    <w:uiPriority w:val="9"/>
    <w:unhideWhenUsed/>
    <w:qFormat/>
    <w:rsid w:val="00022F18"/>
    <w:pPr>
      <w:keepNext/>
      <w:keepLines/>
      <w:numPr>
        <w:ilvl w:val="3"/>
        <w:numId w:val="24"/>
      </w:numPr>
      <w:spacing w:before="80"/>
      <w:jc w:val="left"/>
      <w:outlineLvl w:val="3"/>
    </w:pPr>
    <w:rPr>
      <w:b/>
      <w:i/>
      <w:iCs/>
      <w:szCs w:val="20"/>
    </w:rPr>
  </w:style>
  <w:style w:type="paragraph" w:styleId="Heading5">
    <w:name w:val="heading 5"/>
    <w:basedOn w:val="Normal"/>
    <w:next w:val="Normal"/>
    <w:uiPriority w:val="9"/>
    <w:unhideWhenUsed/>
    <w:qFormat/>
    <w:pPr>
      <w:keepNext/>
      <w:keepLines/>
      <w:numPr>
        <w:ilvl w:val="4"/>
        <w:numId w:val="24"/>
      </w:numPr>
      <w:spacing w:before="240"/>
      <w:outlineLvl w:val="4"/>
    </w:pPr>
    <w:rPr>
      <w:color w:val="666666"/>
    </w:rPr>
  </w:style>
  <w:style w:type="paragraph" w:styleId="Heading6">
    <w:name w:val="heading 6"/>
    <w:basedOn w:val="Normal"/>
    <w:next w:val="Normal"/>
    <w:uiPriority w:val="9"/>
    <w:semiHidden/>
    <w:unhideWhenUsed/>
    <w:qFormat/>
    <w:pPr>
      <w:keepNext/>
      <w:keepLines/>
      <w:numPr>
        <w:ilvl w:val="5"/>
        <w:numId w:val="24"/>
      </w:numPr>
      <w:spacing w:before="240"/>
      <w:outlineLvl w:val="5"/>
    </w:pPr>
    <w:rPr>
      <w:i/>
      <w:color w:val="666666"/>
    </w:rPr>
  </w:style>
  <w:style w:type="paragraph" w:styleId="Heading7">
    <w:name w:val="heading 7"/>
    <w:basedOn w:val="Normal"/>
    <w:next w:val="Normal"/>
    <w:link w:val="Heading7Char"/>
    <w:uiPriority w:val="9"/>
    <w:semiHidden/>
    <w:unhideWhenUsed/>
    <w:qFormat/>
    <w:rsid w:val="00022F18"/>
    <w:pPr>
      <w:keepNext/>
      <w:keepLines/>
      <w:numPr>
        <w:ilvl w:val="6"/>
        <w:numId w:val="24"/>
      </w:numPr>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22F18"/>
    <w:pPr>
      <w:keepNext/>
      <w:keepLines/>
      <w:numPr>
        <w:ilvl w:val="7"/>
        <w:numId w:val="24"/>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22F18"/>
    <w:pPr>
      <w:keepNext/>
      <w:keepLines/>
      <w:numPr>
        <w:ilvl w:val="8"/>
        <w:numId w:val="24"/>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autoRedefine/>
    <w:uiPriority w:val="10"/>
    <w:qFormat/>
    <w:rsid w:val="004038A5"/>
    <w:pPr>
      <w:keepNext/>
      <w:keepLines/>
      <w:spacing w:after="60"/>
      <w:jc w:val="right"/>
    </w:pPr>
    <w:rPr>
      <w:b/>
      <w:sz w:val="36"/>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5470E"/>
    <w:pPr>
      <w:tabs>
        <w:tab w:val="center" w:pos="4680"/>
        <w:tab w:val="right" w:pos="9360"/>
      </w:tabs>
      <w:spacing w:line="240" w:lineRule="auto"/>
    </w:pPr>
  </w:style>
  <w:style w:type="character" w:customStyle="1" w:styleId="HeaderChar">
    <w:name w:val="Header Char"/>
    <w:basedOn w:val="DefaultParagraphFont"/>
    <w:link w:val="Header"/>
    <w:uiPriority w:val="99"/>
    <w:rsid w:val="00D5470E"/>
  </w:style>
  <w:style w:type="paragraph" w:styleId="Footer">
    <w:name w:val="footer"/>
    <w:basedOn w:val="Normal"/>
    <w:link w:val="FooterChar"/>
    <w:uiPriority w:val="99"/>
    <w:unhideWhenUsed/>
    <w:rsid w:val="00D5470E"/>
    <w:pPr>
      <w:tabs>
        <w:tab w:val="center" w:pos="4680"/>
        <w:tab w:val="right" w:pos="9360"/>
      </w:tabs>
      <w:spacing w:line="240" w:lineRule="auto"/>
    </w:pPr>
  </w:style>
  <w:style w:type="character" w:customStyle="1" w:styleId="FooterChar">
    <w:name w:val="Footer Char"/>
    <w:basedOn w:val="DefaultParagraphFont"/>
    <w:link w:val="Footer"/>
    <w:uiPriority w:val="99"/>
    <w:rsid w:val="00D5470E"/>
  </w:style>
  <w:style w:type="character" w:styleId="LineNumber">
    <w:name w:val="line number"/>
    <w:basedOn w:val="DefaultParagraphFont"/>
    <w:uiPriority w:val="99"/>
    <w:semiHidden/>
    <w:unhideWhenUsed/>
    <w:rsid w:val="00255A37"/>
  </w:style>
  <w:style w:type="character" w:styleId="Emphasis">
    <w:name w:val="Emphasis"/>
    <w:basedOn w:val="DefaultParagraphFont"/>
    <w:uiPriority w:val="20"/>
    <w:qFormat/>
    <w:rsid w:val="00773F60"/>
    <w:rPr>
      <w:i/>
      <w:iCs/>
    </w:rPr>
  </w:style>
  <w:style w:type="paragraph" w:styleId="ListParagraph">
    <w:name w:val="List Paragraph"/>
    <w:basedOn w:val="Normal"/>
    <w:uiPriority w:val="34"/>
    <w:qFormat/>
    <w:rsid w:val="00B968E2"/>
    <w:pPr>
      <w:ind w:left="720"/>
      <w:contextualSpacing/>
    </w:pPr>
  </w:style>
  <w:style w:type="paragraph" w:styleId="NormalWeb">
    <w:name w:val="Normal (Web)"/>
    <w:basedOn w:val="Normal"/>
    <w:uiPriority w:val="99"/>
    <w:unhideWhenUsed/>
    <w:rsid w:val="00DF0485"/>
    <w:pPr>
      <w:spacing w:before="100" w:beforeAutospacing="1" w:after="100" w:afterAutospacing="1" w:line="240" w:lineRule="auto"/>
    </w:pPr>
    <w:rPr>
      <w:rFonts w:ascii="Times New Roman" w:eastAsia="Times New Roman" w:hAnsi="Times New Roman" w:cs="Times New Roman"/>
      <w:sz w:val="24"/>
      <w:szCs w:val="24"/>
      <w:lang w:val="en-US" w:bidi="bn-IN"/>
    </w:rPr>
  </w:style>
  <w:style w:type="character" w:customStyle="1" w:styleId="katex-mathml">
    <w:name w:val="katex-mathml"/>
    <w:basedOn w:val="DefaultParagraphFont"/>
    <w:rsid w:val="00F16278"/>
  </w:style>
  <w:style w:type="character" w:customStyle="1" w:styleId="mord">
    <w:name w:val="mord"/>
    <w:basedOn w:val="DefaultParagraphFont"/>
    <w:rsid w:val="00F16278"/>
  </w:style>
  <w:style w:type="character" w:customStyle="1" w:styleId="mspace">
    <w:name w:val="mspace"/>
    <w:basedOn w:val="DefaultParagraphFont"/>
    <w:rsid w:val="00F16278"/>
  </w:style>
  <w:style w:type="character" w:customStyle="1" w:styleId="mrel">
    <w:name w:val="mrel"/>
    <w:basedOn w:val="DefaultParagraphFont"/>
    <w:rsid w:val="00F16278"/>
  </w:style>
  <w:style w:type="character" w:customStyle="1" w:styleId="mopen">
    <w:name w:val="mopen"/>
    <w:basedOn w:val="DefaultParagraphFont"/>
    <w:rsid w:val="00F16278"/>
  </w:style>
  <w:style w:type="character" w:customStyle="1" w:styleId="mbin">
    <w:name w:val="mbin"/>
    <w:basedOn w:val="DefaultParagraphFont"/>
    <w:rsid w:val="00F16278"/>
  </w:style>
  <w:style w:type="character" w:customStyle="1" w:styleId="mclose">
    <w:name w:val="mclose"/>
    <w:basedOn w:val="DefaultParagraphFont"/>
    <w:rsid w:val="00F16278"/>
  </w:style>
  <w:style w:type="character" w:customStyle="1" w:styleId="vlist-s">
    <w:name w:val="vlist-s"/>
    <w:basedOn w:val="DefaultParagraphFont"/>
    <w:rsid w:val="00F16278"/>
  </w:style>
  <w:style w:type="character" w:styleId="Strong">
    <w:name w:val="Strong"/>
    <w:basedOn w:val="DefaultParagraphFont"/>
    <w:uiPriority w:val="22"/>
    <w:qFormat/>
    <w:rsid w:val="00F16278"/>
    <w:rPr>
      <w:b/>
      <w:bCs/>
    </w:rPr>
  </w:style>
  <w:style w:type="character" w:customStyle="1" w:styleId="Heading3Char">
    <w:name w:val="Heading 3 Char"/>
    <w:basedOn w:val="DefaultParagraphFont"/>
    <w:link w:val="Heading3"/>
    <w:uiPriority w:val="9"/>
    <w:rsid w:val="00022F18"/>
    <w:rPr>
      <w:b/>
      <w:color w:val="000000" w:themeColor="text1"/>
      <w:sz w:val="20"/>
      <w:szCs w:val="28"/>
      <w:u w:val="single"/>
    </w:rPr>
  </w:style>
  <w:style w:type="paragraph" w:customStyle="1" w:styleId="ReferHead">
    <w:name w:val="Refer Head"/>
    <w:basedOn w:val="Normal"/>
    <w:rsid w:val="008C51D7"/>
    <w:pPr>
      <w:keepNext/>
      <w:spacing w:after="240" w:line="240" w:lineRule="auto"/>
    </w:pPr>
    <w:rPr>
      <w:rFonts w:ascii="Helvetica" w:eastAsia="Times New Roman" w:hAnsi="Helvetica" w:cs="Times New Roman"/>
      <w:b/>
      <w:caps/>
      <w:szCs w:val="20"/>
      <w:lang w:val="en-US"/>
    </w:rPr>
  </w:style>
  <w:style w:type="paragraph" w:customStyle="1" w:styleId="DefAcrHead">
    <w:name w:val="DefAcrHead"/>
    <w:basedOn w:val="Normal"/>
    <w:rsid w:val="006644C7"/>
    <w:pPr>
      <w:keepNext/>
      <w:spacing w:after="240" w:line="240" w:lineRule="auto"/>
    </w:pPr>
    <w:rPr>
      <w:rFonts w:ascii="Helvetica" w:eastAsia="Times New Roman" w:hAnsi="Helvetica" w:cs="Times New Roman"/>
      <w:b/>
      <w:caps/>
      <w:szCs w:val="20"/>
      <w:lang w:val="en-US"/>
    </w:rPr>
  </w:style>
  <w:style w:type="numbering" w:customStyle="1" w:styleId="CurrentList1">
    <w:name w:val="Current List1"/>
    <w:uiPriority w:val="99"/>
    <w:rsid w:val="00A66894"/>
    <w:pPr>
      <w:numPr>
        <w:numId w:val="15"/>
      </w:numPr>
    </w:pPr>
  </w:style>
  <w:style w:type="numbering" w:customStyle="1" w:styleId="CurrentList2">
    <w:name w:val="Current List2"/>
    <w:uiPriority w:val="99"/>
    <w:rsid w:val="00A66894"/>
    <w:pPr>
      <w:numPr>
        <w:numId w:val="16"/>
      </w:numPr>
    </w:pPr>
  </w:style>
  <w:style w:type="numbering" w:customStyle="1" w:styleId="CurrentList3">
    <w:name w:val="Current List3"/>
    <w:uiPriority w:val="99"/>
    <w:rsid w:val="00777EE1"/>
    <w:pPr>
      <w:numPr>
        <w:numId w:val="17"/>
      </w:numPr>
    </w:pPr>
  </w:style>
  <w:style w:type="numbering" w:customStyle="1" w:styleId="CurrentList4">
    <w:name w:val="Current List4"/>
    <w:uiPriority w:val="99"/>
    <w:rsid w:val="00777EE1"/>
    <w:pPr>
      <w:numPr>
        <w:numId w:val="18"/>
      </w:numPr>
    </w:pPr>
  </w:style>
  <w:style w:type="numbering" w:customStyle="1" w:styleId="CurrentList5">
    <w:name w:val="Current List5"/>
    <w:uiPriority w:val="99"/>
    <w:rsid w:val="00777EE1"/>
    <w:pPr>
      <w:numPr>
        <w:numId w:val="19"/>
      </w:numPr>
    </w:pPr>
  </w:style>
  <w:style w:type="numbering" w:customStyle="1" w:styleId="CurrentList6">
    <w:name w:val="Current List6"/>
    <w:uiPriority w:val="99"/>
    <w:rsid w:val="00777EE1"/>
    <w:pPr>
      <w:numPr>
        <w:numId w:val="20"/>
      </w:numPr>
    </w:pPr>
  </w:style>
  <w:style w:type="numbering" w:customStyle="1" w:styleId="CurrentList7">
    <w:name w:val="Current List7"/>
    <w:uiPriority w:val="99"/>
    <w:rsid w:val="00777EE1"/>
    <w:pPr>
      <w:numPr>
        <w:numId w:val="21"/>
      </w:numPr>
    </w:pPr>
  </w:style>
  <w:style w:type="numbering" w:customStyle="1" w:styleId="CurrentList8">
    <w:name w:val="Current List8"/>
    <w:uiPriority w:val="99"/>
    <w:rsid w:val="00777EE1"/>
    <w:pPr>
      <w:numPr>
        <w:numId w:val="22"/>
      </w:numPr>
    </w:pPr>
  </w:style>
  <w:style w:type="paragraph" w:styleId="Caption">
    <w:name w:val="caption"/>
    <w:basedOn w:val="Normal"/>
    <w:next w:val="Normal"/>
    <w:autoRedefine/>
    <w:uiPriority w:val="35"/>
    <w:unhideWhenUsed/>
    <w:qFormat/>
    <w:rsid w:val="00496A10"/>
    <w:pPr>
      <w:spacing w:after="200" w:line="240" w:lineRule="auto"/>
      <w:jc w:val="center"/>
    </w:pPr>
    <w:rPr>
      <w:i/>
      <w:iCs/>
      <w:sz w:val="18"/>
      <w:szCs w:val="18"/>
    </w:rPr>
  </w:style>
  <w:style w:type="character" w:styleId="PlaceholderText">
    <w:name w:val="Placeholder Text"/>
    <w:basedOn w:val="DefaultParagraphFont"/>
    <w:uiPriority w:val="99"/>
    <w:semiHidden/>
    <w:rsid w:val="009B0D62"/>
    <w:rPr>
      <w:color w:val="666666"/>
    </w:rPr>
  </w:style>
  <w:style w:type="character" w:styleId="Hyperlink">
    <w:name w:val="Hyperlink"/>
    <w:basedOn w:val="DefaultParagraphFont"/>
    <w:uiPriority w:val="99"/>
    <w:unhideWhenUsed/>
    <w:rsid w:val="004038A5"/>
    <w:rPr>
      <w:color w:val="0000FF" w:themeColor="hyperlink"/>
      <w:u w:val="single"/>
    </w:rPr>
  </w:style>
  <w:style w:type="character" w:styleId="UnresolvedMention">
    <w:name w:val="Unresolved Mention"/>
    <w:basedOn w:val="DefaultParagraphFont"/>
    <w:uiPriority w:val="99"/>
    <w:semiHidden/>
    <w:unhideWhenUsed/>
    <w:rsid w:val="004038A5"/>
    <w:rPr>
      <w:color w:val="605E5C"/>
      <w:shd w:val="clear" w:color="auto" w:fill="E1DFDD"/>
    </w:rPr>
  </w:style>
  <w:style w:type="paragraph" w:styleId="NoSpacing">
    <w:name w:val="No Spacing"/>
    <w:uiPriority w:val="1"/>
    <w:qFormat/>
    <w:rsid w:val="004A1AE4"/>
    <w:pPr>
      <w:spacing w:line="240" w:lineRule="auto"/>
      <w:jc w:val="both"/>
    </w:pPr>
    <w:rPr>
      <w:sz w:val="20"/>
    </w:rPr>
  </w:style>
  <w:style w:type="table" w:styleId="TableGrid">
    <w:name w:val="Table Grid"/>
    <w:basedOn w:val="TableNormal"/>
    <w:uiPriority w:val="39"/>
    <w:rsid w:val="00D579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022F18"/>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022F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22F18"/>
    <w:rPr>
      <w:rFonts w:asciiTheme="majorHAnsi" w:eastAsiaTheme="majorEastAsia" w:hAnsiTheme="majorHAnsi" w:cstheme="majorBidi"/>
      <w:i/>
      <w:iCs/>
      <w:color w:val="272727" w:themeColor="text1" w:themeTint="D8"/>
      <w:sz w:val="21"/>
      <w:szCs w:val="21"/>
    </w:rPr>
  </w:style>
  <w:style w:type="paragraph" w:customStyle="1" w:styleId="Otherheads">
    <w:name w:val="Other heads"/>
    <w:basedOn w:val="Heading1"/>
    <w:link w:val="OtherheadsChar"/>
    <w:autoRedefine/>
    <w:qFormat/>
    <w:rsid w:val="00B654AC"/>
    <w:pPr>
      <w:numPr>
        <w:numId w:val="0"/>
      </w:numPr>
    </w:pPr>
  </w:style>
  <w:style w:type="character" w:customStyle="1" w:styleId="Heading1Char">
    <w:name w:val="Heading 1 Char"/>
    <w:basedOn w:val="DefaultParagraphFont"/>
    <w:link w:val="Heading1"/>
    <w:uiPriority w:val="9"/>
    <w:rsid w:val="00B654AC"/>
    <w:rPr>
      <w:b/>
      <w:color w:val="000000" w:themeColor="text1"/>
      <w:szCs w:val="40"/>
    </w:rPr>
  </w:style>
  <w:style w:type="character" w:customStyle="1" w:styleId="OtherheadsChar">
    <w:name w:val="Other heads Char"/>
    <w:basedOn w:val="Heading1Char"/>
    <w:link w:val="Otherheads"/>
    <w:rsid w:val="00B654AC"/>
    <w:rPr>
      <w:b/>
      <w:color w:val="000000" w:themeColor="text1"/>
      <w:szCs w:val="40"/>
    </w:rPr>
  </w:style>
  <w:style w:type="paragraph" w:customStyle="1" w:styleId="p1">
    <w:name w:val="p1"/>
    <w:basedOn w:val="Normal"/>
    <w:rsid w:val="008D3D09"/>
    <w:pPr>
      <w:spacing w:before="0" w:after="0" w:line="240" w:lineRule="auto"/>
      <w:jc w:val="left"/>
    </w:pPr>
    <w:rPr>
      <w:rFonts w:eastAsia="Times New Roman"/>
      <w:color w:val="000000"/>
      <w:sz w:val="11"/>
      <w:szCs w:val="11"/>
      <w:lang w:val="en-US" w:bidi="bn-IN"/>
    </w:rPr>
  </w:style>
  <w:style w:type="character" w:styleId="CommentReference">
    <w:name w:val="annotation reference"/>
    <w:basedOn w:val="DefaultParagraphFont"/>
    <w:uiPriority w:val="99"/>
    <w:semiHidden/>
    <w:unhideWhenUsed/>
    <w:rsid w:val="008E7553"/>
    <w:rPr>
      <w:sz w:val="16"/>
      <w:szCs w:val="16"/>
    </w:rPr>
  </w:style>
  <w:style w:type="paragraph" w:styleId="CommentText">
    <w:name w:val="annotation text"/>
    <w:basedOn w:val="Normal"/>
    <w:link w:val="CommentTextChar"/>
    <w:uiPriority w:val="99"/>
    <w:unhideWhenUsed/>
    <w:rsid w:val="008E7553"/>
    <w:pPr>
      <w:spacing w:line="240" w:lineRule="auto"/>
    </w:pPr>
    <w:rPr>
      <w:szCs w:val="20"/>
    </w:rPr>
  </w:style>
  <w:style w:type="character" w:customStyle="1" w:styleId="CommentTextChar">
    <w:name w:val="Comment Text Char"/>
    <w:basedOn w:val="DefaultParagraphFont"/>
    <w:link w:val="CommentText"/>
    <w:uiPriority w:val="99"/>
    <w:rsid w:val="008E755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E7553"/>
    <w:rPr>
      <w:b/>
      <w:bCs/>
    </w:rPr>
  </w:style>
  <w:style w:type="character" w:customStyle="1" w:styleId="CommentSubjectChar">
    <w:name w:val="Comment Subject Char"/>
    <w:basedOn w:val="CommentTextChar"/>
    <w:link w:val="CommentSubject"/>
    <w:uiPriority w:val="99"/>
    <w:semiHidden/>
    <w:rsid w:val="008E7553"/>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188">
      <w:bodyDiv w:val="1"/>
      <w:marLeft w:val="0"/>
      <w:marRight w:val="0"/>
      <w:marTop w:val="0"/>
      <w:marBottom w:val="0"/>
      <w:divBdr>
        <w:top w:val="none" w:sz="0" w:space="0" w:color="auto"/>
        <w:left w:val="none" w:sz="0" w:space="0" w:color="auto"/>
        <w:bottom w:val="none" w:sz="0" w:space="0" w:color="auto"/>
        <w:right w:val="none" w:sz="0" w:space="0" w:color="auto"/>
      </w:divBdr>
    </w:div>
    <w:div w:id="99447812">
      <w:bodyDiv w:val="1"/>
      <w:marLeft w:val="0"/>
      <w:marRight w:val="0"/>
      <w:marTop w:val="0"/>
      <w:marBottom w:val="0"/>
      <w:divBdr>
        <w:top w:val="none" w:sz="0" w:space="0" w:color="auto"/>
        <w:left w:val="none" w:sz="0" w:space="0" w:color="auto"/>
        <w:bottom w:val="none" w:sz="0" w:space="0" w:color="auto"/>
        <w:right w:val="none" w:sz="0" w:space="0" w:color="auto"/>
      </w:divBdr>
    </w:div>
    <w:div w:id="164635830">
      <w:bodyDiv w:val="1"/>
      <w:marLeft w:val="0"/>
      <w:marRight w:val="0"/>
      <w:marTop w:val="0"/>
      <w:marBottom w:val="0"/>
      <w:divBdr>
        <w:top w:val="none" w:sz="0" w:space="0" w:color="auto"/>
        <w:left w:val="none" w:sz="0" w:space="0" w:color="auto"/>
        <w:bottom w:val="none" w:sz="0" w:space="0" w:color="auto"/>
        <w:right w:val="none" w:sz="0" w:space="0" w:color="auto"/>
      </w:divBdr>
    </w:div>
    <w:div w:id="459225280">
      <w:bodyDiv w:val="1"/>
      <w:marLeft w:val="0"/>
      <w:marRight w:val="0"/>
      <w:marTop w:val="0"/>
      <w:marBottom w:val="0"/>
      <w:divBdr>
        <w:top w:val="none" w:sz="0" w:space="0" w:color="auto"/>
        <w:left w:val="none" w:sz="0" w:space="0" w:color="auto"/>
        <w:bottom w:val="none" w:sz="0" w:space="0" w:color="auto"/>
        <w:right w:val="none" w:sz="0" w:space="0" w:color="auto"/>
      </w:divBdr>
    </w:div>
    <w:div w:id="519204579">
      <w:bodyDiv w:val="1"/>
      <w:marLeft w:val="0"/>
      <w:marRight w:val="0"/>
      <w:marTop w:val="0"/>
      <w:marBottom w:val="0"/>
      <w:divBdr>
        <w:top w:val="none" w:sz="0" w:space="0" w:color="auto"/>
        <w:left w:val="none" w:sz="0" w:space="0" w:color="auto"/>
        <w:bottom w:val="none" w:sz="0" w:space="0" w:color="auto"/>
        <w:right w:val="none" w:sz="0" w:space="0" w:color="auto"/>
      </w:divBdr>
    </w:div>
    <w:div w:id="606892898">
      <w:bodyDiv w:val="1"/>
      <w:marLeft w:val="0"/>
      <w:marRight w:val="0"/>
      <w:marTop w:val="0"/>
      <w:marBottom w:val="0"/>
      <w:divBdr>
        <w:top w:val="none" w:sz="0" w:space="0" w:color="auto"/>
        <w:left w:val="none" w:sz="0" w:space="0" w:color="auto"/>
        <w:bottom w:val="none" w:sz="0" w:space="0" w:color="auto"/>
        <w:right w:val="none" w:sz="0" w:space="0" w:color="auto"/>
      </w:divBdr>
    </w:div>
    <w:div w:id="668483383">
      <w:bodyDiv w:val="1"/>
      <w:marLeft w:val="0"/>
      <w:marRight w:val="0"/>
      <w:marTop w:val="0"/>
      <w:marBottom w:val="0"/>
      <w:divBdr>
        <w:top w:val="none" w:sz="0" w:space="0" w:color="auto"/>
        <w:left w:val="none" w:sz="0" w:space="0" w:color="auto"/>
        <w:bottom w:val="none" w:sz="0" w:space="0" w:color="auto"/>
        <w:right w:val="none" w:sz="0" w:space="0" w:color="auto"/>
      </w:divBdr>
    </w:div>
    <w:div w:id="731973219">
      <w:bodyDiv w:val="1"/>
      <w:marLeft w:val="0"/>
      <w:marRight w:val="0"/>
      <w:marTop w:val="0"/>
      <w:marBottom w:val="0"/>
      <w:divBdr>
        <w:top w:val="none" w:sz="0" w:space="0" w:color="auto"/>
        <w:left w:val="none" w:sz="0" w:space="0" w:color="auto"/>
        <w:bottom w:val="none" w:sz="0" w:space="0" w:color="auto"/>
        <w:right w:val="none" w:sz="0" w:space="0" w:color="auto"/>
      </w:divBdr>
    </w:div>
    <w:div w:id="816728785">
      <w:bodyDiv w:val="1"/>
      <w:marLeft w:val="0"/>
      <w:marRight w:val="0"/>
      <w:marTop w:val="0"/>
      <w:marBottom w:val="0"/>
      <w:divBdr>
        <w:top w:val="none" w:sz="0" w:space="0" w:color="auto"/>
        <w:left w:val="none" w:sz="0" w:space="0" w:color="auto"/>
        <w:bottom w:val="none" w:sz="0" w:space="0" w:color="auto"/>
        <w:right w:val="none" w:sz="0" w:space="0" w:color="auto"/>
      </w:divBdr>
    </w:div>
    <w:div w:id="878861790">
      <w:bodyDiv w:val="1"/>
      <w:marLeft w:val="0"/>
      <w:marRight w:val="0"/>
      <w:marTop w:val="0"/>
      <w:marBottom w:val="0"/>
      <w:divBdr>
        <w:top w:val="none" w:sz="0" w:space="0" w:color="auto"/>
        <w:left w:val="none" w:sz="0" w:space="0" w:color="auto"/>
        <w:bottom w:val="none" w:sz="0" w:space="0" w:color="auto"/>
        <w:right w:val="none" w:sz="0" w:space="0" w:color="auto"/>
      </w:divBdr>
    </w:div>
    <w:div w:id="1021778465">
      <w:bodyDiv w:val="1"/>
      <w:marLeft w:val="0"/>
      <w:marRight w:val="0"/>
      <w:marTop w:val="0"/>
      <w:marBottom w:val="0"/>
      <w:divBdr>
        <w:top w:val="none" w:sz="0" w:space="0" w:color="auto"/>
        <w:left w:val="none" w:sz="0" w:space="0" w:color="auto"/>
        <w:bottom w:val="none" w:sz="0" w:space="0" w:color="auto"/>
        <w:right w:val="none" w:sz="0" w:space="0" w:color="auto"/>
      </w:divBdr>
    </w:div>
    <w:div w:id="1024936222">
      <w:bodyDiv w:val="1"/>
      <w:marLeft w:val="0"/>
      <w:marRight w:val="0"/>
      <w:marTop w:val="0"/>
      <w:marBottom w:val="0"/>
      <w:divBdr>
        <w:top w:val="none" w:sz="0" w:space="0" w:color="auto"/>
        <w:left w:val="none" w:sz="0" w:space="0" w:color="auto"/>
        <w:bottom w:val="none" w:sz="0" w:space="0" w:color="auto"/>
        <w:right w:val="none" w:sz="0" w:space="0" w:color="auto"/>
      </w:divBdr>
    </w:div>
    <w:div w:id="1164785378">
      <w:bodyDiv w:val="1"/>
      <w:marLeft w:val="0"/>
      <w:marRight w:val="0"/>
      <w:marTop w:val="0"/>
      <w:marBottom w:val="0"/>
      <w:divBdr>
        <w:top w:val="none" w:sz="0" w:space="0" w:color="auto"/>
        <w:left w:val="none" w:sz="0" w:space="0" w:color="auto"/>
        <w:bottom w:val="none" w:sz="0" w:space="0" w:color="auto"/>
        <w:right w:val="none" w:sz="0" w:space="0" w:color="auto"/>
      </w:divBdr>
    </w:div>
    <w:div w:id="1730417987">
      <w:bodyDiv w:val="1"/>
      <w:marLeft w:val="0"/>
      <w:marRight w:val="0"/>
      <w:marTop w:val="0"/>
      <w:marBottom w:val="0"/>
      <w:divBdr>
        <w:top w:val="none" w:sz="0" w:space="0" w:color="auto"/>
        <w:left w:val="none" w:sz="0" w:space="0" w:color="auto"/>
        <w:bottom w:val="none" w:sz="0" w:space="0" w:color="auto"/>
        <w:right w:val="none" w:sz="0" w:space="0" w:color="auto"/>
      </w:divBdr>
    </w:div>
    <w:div w:id="1734500386">
      <w:bodyDiv w:val="1"/>
      <w:marLeft w:val="0"/>
      <w:marRight w:val="0"/>
      <w:marTop w:val="0"/>
      <w:marBottom w:val="0"/>
      <w:divBdr>
        <w:top w:val="none" w:sz="0" w:space="0" w:color="auto"/>
        <w:left w:val="none" w:sz="0" w:space="0" w:color="auto"/>
        <w:bottom w:val="none" w:sz="0" w:space="0" w:color="auto"/>
        <w:right w:val="none" w:sz="0" w:space="0" w:color="auto"/>
      </w:divBdr>
    </w:div>
    <w:div w:id="1766924691">
      <w:bodyDiv w:val="1"/>
      <w:marLeft w:val="0"/>
      <w:marRight w:val="0"/>
      <w:marTop w:val="0"/>
      <w:marBottom w:val="0"/>
      <w:divBdr>
        <w:top w:val="none" w:sz="0" w:space="0" w:color="auto"/>
        <w:left w:val="none" w:sz="0" w:space="0" w:color="auto"/>
        <w:bottom w:val="none" w:sz="0" w:space="0" w:color="auto"/>
        <w:right w:val="none" w:sz="0" w:space="0" w:color="auto"/>
      </w:divBdr>
    </w:div>
    <w:div w:id="1845583054">
      <w:bodyDiv w:val="1"/>
      <w:marLeft w:val="0"/>
      <w:marRight w:val="0"/>
      <w:marTop w:val="0"/>
      <w:marBottom w:val="0"/>
      <w:divBdr>
        <w:top w:val="none" w:sz="0" w:space="0" w:color="auto"/>
        <w:left w:val="none" w:sz="0" w:space="0" w:color="auto"/>
        <w:bottom w:val="none" w:sz="0" w:space="0" w:color="auto"/>
        <w:right w:val="none" w:sz="0" w:space="0" w:color="auto"/>
      </w:divBdr>
    </w:div>
    <w:div w:id="1855340406">
      <w:bodyDiv w:val="1"/>
      <w:marLeft w:val="0"/>
      <w:marRight w:val="0"/>
      <w:marTop w:val="0"/>
      <w:marBottom w:val="0"/>
      <w:divBdr>
        <w:top w:val="none" w:sz="0" w:space="0" w:color="auto"/>
        <w:left w:val="none" w:sz="0" w:space="0" w:color="auto"/>
        <w:bottom w:val="none" w:sz="0" w:space="0" w:color="auto"/>
        <w:right w:val="none" w:sz="0" w:space="0" w:color="auto"/>
      </w:divBdr>
    </w:div>
    <w:div w:id="2006929249">
      <w:bodyDiv w:val="1"/>
      <w:marLeft w:val="0"/>
      <w:marRight w:val="0"/>
      <w:marTop w:val="0"/>
      <w:marBottom w:val="0"/>
      <w:divBdr>
        <w:top w:val="none" w:sz="0" w:space="0" w:color="auto"/>
        <w:left w:val="none" w:sz="0" w:space="0" w:color="auto"/>
        <w:bottom w:val="none" w:sz="0" w:space="0" w:color="auto"/>
        <w:right w:val="none" w:sz="0" w:space="0" w:color="auto"/>
      </w:divBdr>
    </w:div>
    <w:div w:id="2091269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biochar&#8208;internationa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biochar&#8208;international.org"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A1932-CAB3-4E9F-B5DC-FDE7A1C7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23</Pages>
  <Words>8463</Words>
  <Characters>48241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Orchisman</dc:creator>
  <cp:lastModifiedBy>Orchisman</cp:lastModifiedBy>
  <cp:revision>14</cp:revision>
  <cp:lastPrinted>2025-03-11T04:49:00Z</cp:lastPrinted>
  <dcterms:created xsi:type="dcterms:W3CDTF">2025-03-21T20:06:00Z</dcterms:created>
  <dcterms:modified xsi:type="dcterms:W3CDTF">2025-03-22T07:54:00Z</dcterms:modified>
</cp:coreProperties>
</file>