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A0F19" w14:textId="67025030" w:rsidR="00D23D29" w:rsidRDefault="00D23D29">
      <w:pPr>
        <w:rPr>
          <w:rFonts w:ascii="Arial" w:hAnsi="Arial" w:cs="Arial"/>
          <w:sz w:val="36"/>
          <w:szCs w:val="36"/>
          <w:lang w:val="en-US"/>
        </w:rPr>
      </w:pPr>
      <w:r w:rsidRPr="00D23D29">
        <w:rPr>
          <w:rFonts w:ascii="Arial" w:hAnsi="Arial" w:cs="Arial"/>
          <w:sz w:val="36"/>
          <w:szCs w:val="36"/>
          <w:lang w:val="en-US"/>
        </w:rPr>
        <w:t>Case report</w:t>
      </w:r>
    </w:p>
    <w:p w14:paraId="2CB25196" w14:textId="77777777" w:rsidR="00D23D29" w:rsidRDefault="00D23D29">
      <w:pPr>
        <w:rPr>
          <w:rFonts w:ascii="Arial" w:hAnsi="Arial" w:cs="Arial"/>
          <w:sz w:val="36"/>
          <w:szCs w:val="36"/>
          <w:lang w:val="en-US"/>
        </w:rPr>
      </w:pPr>
    </w:p>
    <w:p w14:paraId="499999B3" w14:textId="54B762F2" w:rsidR="004B6A58" w:rsidRDefault="00642F21">
      <w:pPr>
        <w:rPr>
          <w:rFonts w:ascii="Arial" w:hAnsi="Arial" w:cs="Arial"/>
          <w:sz w:val="36"/>
          <w:szCs w:val="36"/>
          <w:lang w:val="en-US"/>
        </w:rPr>
      </w:pPr>
      <w:r>
        <w:rPr>
          <w:rFonts w:ascii="Arial" w:hAnsi="Arial" w:cs="Arial"/>
          <w:sz w:val="36"/>
          <w:szCs w:val="36"/>
          <w:lang w:val="en-US"/>
        </w:rPr>
        <w:t xml:space="preserve">Multisystem involvement in a rare case of </w:t>
      </w:r>
      <w:proofErr w:type="spellStart"/>
      <w:r>
        <w:rPr>
          <w:rFonts w:ascii="Arial" w:hAnsi="Arial" w:cs="Arial"/>
          <w:sz w:val="36"/>
          <w:szCs w:val="36"/>
          <w:lang w:val="en-US"/>
        </w:rPr>
        <w:t>Histiocytosi</w:t>
      </w:r>
      <w:r w:rsidR="00980929">
        <w:rPr>
          <w:rFonts w:ascii="Arial" w:hAnsi="Arial" w:cs="Arial"/>
          <w:sz w:val="36"/>
          <w:szCs w:val="36"/>
          <w:lang w:val="en-US"/>
        </w:rPr>
        <w:t>s</w:t>
      </w:r>
      <w:proofErr w:type="spellEnd"/>
      <w:r w:rsidR="00980929">
        <w:rPr>
          <w:rFonts w:ascii="Arial" w:hAnsi="Arial" w:cs="Arial"/>
          <w:sz w:val="36"/>
          <w:szCs w:val="36"/>
          <w:lang w:val="en-US"/>
        </w:rPr>
        <w:t xml:space="preserve"> lymphadenopathy plus syndrome</w:t>
      </w:r>
      <w:bookmarkStart w:id="0" w:name="_GoBack"/>
      <w:bookmarkEnd w:id="0"/>
    </w:p>
    <w:p w14:paraId="24AA4EFB" w14:textId="77777777" w:rsidR="00642F21" w:rsidRDefault="00642F21">
      <w:pPr>
        <w:rPr>
          <w:rFonts w:ascii="Arial" w:hAnsi="Arial" w:cs="Arial"/>
          <w:sz w:val="36"/>
          <w:szCs w:val="36"/>
          <w:lang w:val="en-US"/>
        </w:rPr>
      </w:pPr>
    </w:p>
    <w:p w14:paraId="11C6D47F" w14:textId="7CD12DAA" w:rsidR="003A29F3" w:rsidRPr="00A334FD" w:rsidRDefault="00642F21" w:rsidP="005D103F">
      <w:pPr>
        <w:rPr>
          <w:rFonts w:ascii="Arial" w:hAnsi="Arial" w:cs="Arial"/>
        </w:rPr>
      </w:pPr>
      <w:r>
        <w:rPr>
          <w:rFonts w:ascii="Arial" w:hAnsi="Arial" w:cs="Arial"/>
          <w:sz w:val="36"/>
          <w:szCs w:val="36"/>
          <w:lang w:val="en-US"/>
        </w:rPr>
        <w:tab/>
      </w:r>
      <w:r>
        <w:rPr>
          <w:rFonts w:ascii="Arial" w:hAnsi="Arial" w:cs="Arial"/>
          <w:sz w:val="36"/>
          <w:szCs w:val="36"/>
          <w:lang w:val="en-US"/>
        </w:rPr>
        <w:tab/>
      </w:r>
      <w:r>
        <w:rPr>
          <w:rFonts w:ascii="Arial" w:hAnsi="Arial" w:cs="Arial"/>
          <w:sz w:val="24"/>
          <w:szCs w:val="24"/>
          <w:lang w:val="en-US"/>
        </w:rPr>
        <w:tab/>
      </w:r>
    </w:p>
    <w:p w14:paraId="7867173D" w14:textId="77777777" w:rsidR="00A334FD" w:rsidRPr="00A334FD" w:rsidRDefault="00A334FD" w:rsidP="00A334FD">
      <w:pPr>
        <w:spacing w:line="240" w:lineRule="auto"/>
        <w:ind w:left="360"/>
        <w:rPr>
          <w:rFonts w:ascii="Times New Roman" w:eastAsia="Times New Roman" w:hAnsi="Times New Roman" w:cs="Times New Roman"/>
          <w:sz w:val="20"/>
          <w:szCs w:val="20"/>
        </w:rPr>
      </w:pPr>
    </w:p>
    <w:p w14:paraId="7825B427" w14:textId="77777777" w:rsidR="0013523C" w:rsidRDefault="0013523C" w:rsidP="0013523C">
      <w:pPr>
        <w:spacing w:line="276" w:lineRule="auto"/>
        <w:rPr>
          <w:rFonts w:ascii="Times New Roman" w:eastAsia="Times New Roman" w:hAnsi="Times New Roman" w:cs="Times New Roman"/>
          <w:sz w:val="20"/>
          <w:szCs w:val="20"/>
        </w:rPr>
      </w:pPr>
    </w:p>
    <w:p w14:paraId="597D31F4" w14:textId="77777777" w:rsidR="0013523C" w:rsidRDefault="0013523C" w:rsidP="0013523C">
      <w:pPr>
        <w:spacing w:line="276" w:lineRule="auto"/>
        <w:rPr>
          <w:rFonts w:ascii="Arial" w:eastAsia="Times New Roman" w:hAnsi="Arial" w:cs="Arial"/>
          <w:b/>
        </w:rPr>
      </w:pPr>
      <w:r w:rsidRPr="0013523C">
        <w:rPr>
          <w:rFonts w:ascii="Arial" w:eastAsia="Times New Roman" w:hAnsi="Arial" w:cs="Arial"/>
          <w:b/>
        </w:rPr>
        <w:t>ABSTRACT</w:t>
      </w:r>
    </w:p>
    <w:p w14:paraId="32F24C29" w14:textId="77777777" w:rsidR="002601C3" w:rsidRPr="002601C3" w:rsidRDefault="002601C3" w:rsidP="00BF5EF0">
      <w:pPr>
        <w:spacing w:line="240" w:lineRule="auto"/>
        <w:rPr>
          <w:rFonts w:ascii="Arial" w:hAnsi="Arial" w:cs="Arial"/>
          <w:color w:val="2F302B"/>
          <w:sz w:val="20"/>
          <w:szCs w:val="20"/>
          <w:shd w:val="clear" w:color="auto" w:fill="FFFFFF"/>
        </w:rPr>
      </w:pPr>
      <w:r w:rsidRPr="00CD5C60">
        <w:rPr>
          <w:rFonts w:ascii="Arial" w:hAnsi="Arial" w:cs="Arial"/>
          <w:b/>
          <w:color w:val="2F302B"/>
          <w:sz w:val="20"/>
          <w:szCs w:val="20"/>
          <w:shd w:val="clear" w:color="auto" w:fill="FFFFFF"/>
        </w:rPr>
        <w:t>Aim</w:t>
      </w:r>
      <w:r w:rsidRPr="002601C3">
        <w:rPr>
          <w:rFonts w:ascii="Arial" w:hAnsi="Arial" w:cs="Arial"/>
          <w:color w:val="2F302B"/>
          <w:sz w:val="20"/>
          <w:szCs w:val="20"/>
          <w:shd w:val="clear" w:color="auto" w:fill="FFFFFF"/>
        </w:rPr>
        <w:t xml:space="preserve">- The aim of this case report was to </w:t>
      </w:r>
      <w:r>
        <w:rPr>
          <w:rFonts w:ascii="Arial" w:hAnsi="Arial" w:cs="Arial"/>
          <w:color w:val="2F302B"/>
          <w:sz w:val="20"/>
          <w:szCs w:val="20"/>
          <w:shd w:val="clear" w:color="auto" w:fill="FFFFFF"/>
        </w:rPr>
        <w:t>understand</w:t>
      </w:r>
      <w:r w:rsidRPr="002601C3">
        <w:rPr>
          <w:rFonts w:ascii="Arial" w:hAnsi="Arial" w:cs="Arial"/>
          <w:color w:val="2F302B"/>
          <w:sz w:val="20"/>
          <w:szCs w:val="20"/>
          <w:shd w:val="clear" w:color="auto" w:fill="FFFFFF"/>
        </w:rPr>
        <w:t xml:space="preserve"> the pleomorphic nature of this rare syndrome and to create awareness regarding the need for multidisciplinary approach towards this disease.</w:t>
      </w:r>
    </w:p>
    <w:p w14:paraId="146097AA" w14:textId="77777777" w:rsidR="002601C3" w:rsidRPr="002601C3" w:rsidRDefault="002601C3" w:rsidP="00BF5EF0">
      <w:pPr>
        <w:spacing w:line="240" w:lineRule="auto"/>
        <w:rPr>
          <w:rFonts w:ascii="Arial" w:hAnsi="Arial" w:cs="Arial"/>
          <w:b/>
          <w:sz w:val="20"/>
          <w:szCs w:val="20"/>
          <w:u w:val="single"/>
        </w:rPr>
      </w:pPr>
      <w:r w:rsidRPr="00CD5C60">
        <w:rPr>
          <w:rFonts w:ascii="Arial" w:hAnsi="Arial" w:cs="Arial"/>
          <w:b/>
          <w:color w:val="2F302B"/>
          <w:sz w:val="20"/>
          <w:szCs w:val="20"/>
          <w:shd w:val="clear" w:color="auto" w:fill="FFFFFF"/>
        </w:rPr>
        <w:t>Presentation of Case</w:t>
      </w:r>
      <w:r w:rsidRPr="002601C3">
        <w:rPr>
          <w:rFonts w:ascii="Arial" w:hAnsi="Arial" w:cs="Arial"/>
          <w:color w:val="2F302B"/>
          <w:sz w:val="20"/>
          <w:szCs w:val="20"/>
          <w:shd w:val="clear" w:color="auto" w:fill="FFFFFF"/>
        </w:rPr>
        <w:t xml:space="preserve">- </w:t>
      </w:r>
      <w:r w:rsidRPr="002601C3">
        <w:rPr>
          <w:rFonts w:ascii="Arial" w:hAnsi="Arial" w:cs="Arial"/>
          <w:sz w:val="20"/>
          <w:szCs w:val="20"/>
        </w:rPr>
        <w:t>We report a case of a 5 year 9 month old child</w:t>
      </w:r>
      <w:r>
        <w:rPr>
          <w:rFonts w:ascii="Arial" w:hAnsi="Arial" w:cs="Arial"/>
          <w:sz w:val="20"/>
          <w:szCs w:val="20"/>
        </w:rPr>
        <w:t>,</w:t>
      </w:r>
      <w:r w:rsidRPr="002601C3">
        <w:rPr>
          <w:rFonts w:ascii="Arial" w:hAnsi="Arial" w:cs="Arial"/>
          <w:sz w:val="20"/>
          <w:szCs w:val="20"/>
        </w:rPr>
        <w:t xml:space="preserve"> who presented</w:t>
      </w:r>
      <w:r w:rsidR="00FA4EC3">
        <w:rPr>
          <w:rFonts w:ascii="Arial" w:hAnsi="Arial" w:cs="Arial"/>
          <w:sz w:val="20"/>
          <w:szCs w:val="20"/>
        </w:rPr>
        <w:t xml:space="preserve"> with </w:t>
      </w:r>
      <w:r w:rsidRPr="002601C3">
        <w:rPr>
          <w:rFonts w:ascii="Arial" w:hAnsi="Arial" w:cs="Arial"/>
          <w:sz w:val="20"/>
          <w:szCs w:val="20"/>
        </w:rPr>
        <w:t>megaloblastic anemia, bilateral sensorineural hearing loss,</w:t>
      </w:r>
      <w:r w:rsidR="00FA4EC3">
        <w:rPr>
          <w:rFonts w:ascii="Arial" w:hAnsi="Arial" w:cs="Arial"/>
          <w:sz w:val="20"/>
          <w:szCs w:val="20"/>
        </w:rPr>
        <w:t xml:space="preserve"> antibody negative diabetes mellitus,</w:t>
      </w:r>
      <w:r w:rsidRPr="002601C3">
        <w:rPr>
          <w:rFonts w:ascii="Arial" w:hAnsi="Arial" w:cs="Arial"/>
          <w:sz w:val="20"/>
          <w:szCs w:val="20"/>
        </w:rPr>
        <w:t xml:space="preserve"> </w:t>
      </w:r>
      <w:r w:rsidR="00FA4EC3">
        <w:rPr>
          <w:rFonts w:ascii="Arial" w:hAnsi="Arial" w:cs="Arial"/>
          <w:sz w:val="20"/>
          <w:szCs w:val="20"/>
        </w:rPr>
        <w:t>hepatosplenomegaly and</w:t>
      </w:r>
      <w:r w:rsidR="00CD5C60">
        <w:rPr>
          <w:rFonts w:ascii="Arial" w:hAnsi="Arial" w:cs="Arial"/>
          <w:sz w:val="20"/>
          <w:szCs w:val="20"/>
        </w:rPr>
        <w:t xml:space="preserve"> </w:t>
      </w:r>
      <w:r w:rsidRPr="002601C3">
        <w:rPr>
          <w:rFonts w:ascii="Arial" w:hAnsi="Arial" w:cs="Arial"/>
          <w:sz w:val="20"/>
          <w:szCs w:val="20"/>
        </w:rPr>
        <w:t xml:space="preserve">short stature with mitral regurgitation. </w:t>
      </w:r>
      <w:r>
        <w:rPr>
          <w:rFonts w:ascii="Arial" w:hAnsi="Arial" w:cs="Arial"/>
          <w:sz w:val="20"/>
          <w:szCs w:val="20"/>
        </w:rPr>
        <w:t>T</w:t>
      </w:r>
      <w:r w:rsidRPr="002601C3">
        <w:rPr>
          <w:rFonts w:ascii="Arial" w:hAnsi="Arial" w:cs="Arial"/>
          <w:sz w:val="20"/>
          <w:szCs w:val="20"/>
        </w:rPr>
        <w:t xml:space="preserve">horough laboratory and </w:t>
      </w:r>
      <w:r>
        <w:rPr>
          <w:rFonts w:ascii="Arial" w:hAnsi="Arial" w:cs="Arial"/>
          <w:sz w:val="20"/>
          <w:szCs w:val="20"/>
        </w:rPr>
        <w:t>g</w:t>
      </w:r>
      <w:r w:rsidRPr="002601C3">
        <w:rPr>
          <w:rFonts w:ascii="Arial" w:hAnsi="Arial" w:cs="Arial"/>
          <w:sz w:val="20"/>
          <w:szCs w:val="20"/>
        </w:rPr>
        <w:t xml:space="preserve">enetic evaluation confirmed the diagnosis of histiocytosis lymphadenopathy plus </w:t>
      </w:r>
      <w:r>
        <w:rPr>
          <w:rFonts w:ascii="Arial" w:hAnsi="Arial" w:cs="Arial"/>
          <w:sz w:val="20"/>
          <w:szCs w:val="20"/>
        </w:rPr>
        <w:t>syndrome. Child was started on immunomodulators along with other supportive treatment.</w:t>
      </w:r>
    </w:p>
    <w:p w14:paraId="58A71545" w14:textId="77777777" w:rsidR="002601C3" w:rsidRPr="002601C3" w:rsidRDefault="002601C3" w:rsidP="00BF5EF0">
      <w:pPr>
        <w:spacing w:line="240" w:lineRule="auto"/>
        <w:rPr>
          <w:rFonts w:ascii="Arial" w:hAnsi="Arial" w:cs="Arial"/>
          <w:sz w:val="20"/>
          <w:szCs w:val="20"/>
        </w:rPr>
      </w:pPr>
      <w:r w:rsidRPr="00CD5C60">
        <w:rPr>
          <w:rFonts w:ascii="Arial" w:hAnsi="Arial" w:cs="Arial"/>
          <w:b/>
          <w:sz w:val="20"/>
          <w:szCs w:val="20"/>
        </w:rPr>
        <w:t>Discussion</w:t>
      </w:r>
      <w:r w:rsidRPr="002601C3">
        <w:rPr>
          <w:rFonts w:ascii="Arial" w:hAnsi="Arial" w:cs="Arial"/>
          <w:sz w:val="20"/>
          <w:szCs w:val="20"/>
        </w:rPr>
        <w:t xml:space="preserve">- Histiocytosis lymphadenopathy plus syndrome is a rare genetic disorder, caused by mutation in the SLC29A3 gene which encodes for the hENT3 transporter. This transporter is found mainly in lysosomal and mitochondrial membrane.It is characterized by symptoms such as hyperpigmentation, hypertrichosis, hepatosplenomegaly, hearing loss, hypogonadism, hyperglycemia, and heart-related issues. Due to overlapping clinical features with various other disorders, this syndrome can be easily missed. </w:t>
      </w:r>
    </w:p>
    <w:p w14:paraId="1CE7E0F8" w14:textId="77777777" w:rsidR="002601C3" w:rsidRDefault="002601C3" w:rsidP="00BF5EF0">
      <w:pPr>
        <w:spacing w:line="240" w:lineRule="auto"/>
        <w:rPr>
          <w:rFonts w:ascii="Arial" w:hAnsi="Arial" w:cs="Arial"/>
          <w:sz w:val="20"/>
          <w:szCs w:val="20"/>
        </w:rPr>
      </w:pPr>
      <w:r w:rsidRPr="00CD5C60">
        <w:rPr>
          <w:rFonts w:ascii="Arial" w:hAnsi="Arial" w:cs="Arial"/>
          <w:b/>
          <w:sz w:val="20"/>
          <w:szCs w:val="20"/>
        </w:rPr>
        <w:t>Conclusion</w:t>
      </w:r>
      <w:r w:rsidRPr="002601C3">
        <w:rPr>
          <w:rFonts w:ascii="Arial" w:hAnsi="Arial" w:cs="Arial"/>
          <w:sz w:val="20"/>
          <w:szCs w:val="20"/>
        </w:rPr>
        <w:t>- Early diagnosis and treatment is the key to prevent and manage the multisystem complications associated with this rare syndrome.</w:t>
      </w:r>
    </w:p>
    <w:p w14:paraId="06AE48F6" w14:textId="77777777" w:rsidR="00CD5C60" w:rsidRPr="00CD5C60" w:rsidRDefault="00CD5C60" w:rsidP="00CD5C60">
      <w:pPr>
        <w:spacing w:line="276" w:lineRule="auto"/>
        <w:rPr>
          <w:rFonts w:ascii="Arial" w:hAnsi="Arial" w:cs="Arial"/>
          <w:b/>
          <w:i/>
          <w:sz w:val="20"/>
          <w:szCs w:val="20"/>
          <w:u w:val="single"/>
        </w:rPr>
      </w:pPr>
      <w:r w:rsidRPr="00CD5C60">
        <w:rPr>
          <w:rFonts w:ascii="Arial" w:hAnsi="Arial" w:cs="Arial"/>
          <w:i/>
          <w:sz w:val="20"/>
          <w:szCs w:val="20"/>
        </w:rPr>
        <w:t>Keywo</w:t>
      </w:r>
      <w:r w:rsidR="00DD229A">
        <w:rPr>
          <w:rFonts w:ascii="Arial" w:hAnsi="Arial" w:cs="Arial"/>
          <w:i/>
          <w:sz w:val="20"/>
          <w:szCs w:val="20"/>
        </w:rPr>
        <w:t xml:space="preserve">rds: H syndrome, SLC29A3, </w:t>
      </w:r>
      <w:r w:rsidRPr="00CD5C60">
        <w:rPr>
          <w:rFonts w:ascii="Arial" w:hAnsi="Arial" w:cs="Arial"/>
          <w:i/>
          <w:sz w:val="20"/>
          <w:szCs w:val="20"/>
        </w:rPr>
        <w:t>diabetes mellitus, megaloblastic anemia, hepatosplenomegaly</w:t>
      </w:r>
    </w:p>
    <w:p w14:paraId="6731C80D" w14:textId="77777777" w:rsidR="002601C3" w:rsidRDefault="002601C3" w:rsidP="0013523C">
      <w:pPr>
        <w:spacing w:line="276" w:lineRule="auto"/>
        <w:rPr>
          <w:rFonts w:ascii="Arial" w:eastAsia="Times New Roman" w:hAnsi="Arial" w:cs="Arial"/>
          <w:b/>
        </w:rPr>
      </w:pPr>
    </w:p>
    <w:p w14:paraId="7BD48DE2" w14:textId="77777777" w:rsidR="005F56CB" w:rsidRPr="005F56CB" w:rsidRDefault="005F56CB" w:rsidP="005F56CB">
      <w:pPr>
        <w:pStyle w:val="ListParagraph"/>
        <w:numPr>
          <w:ilvl w:val="0"/>
          <w:numId w:val="3"/>
        </w:numPr>
        <w:spacing w:line="276" w:lineRule="auto"/>
        <w:rPr>
          <w:rFonts w:ascii="Arial" w:hAnsi="Arial" w:cs="Arial"/>
          <w:b/>
        </w:rPr>
      </w:pPr>
      <w:r w:rsidRPr="005F56CB">
        <w:rPr>
          <w:rFonts w:ascii="Arial" w:hAnsi="Arial" w:cs="Arial"/>
          <w:b/>
        </w:rPr>
        <w:t>INTRODUCTION</w:t>
      </w:r>
    </w:p>
    <w:p w14:paraId="24541E46" w14:textId="408CAB5E" w:rsidR="005F56CB" w:rsidRDefault="005F56CB" w:rsidP="005F56CB">
      <w:pPr>
        <w:pStyle w:val="NormalWeb"/>
        <w:ind w:left="360"/>
        <w:rPr>
          <w:rFonts w:ascii="Arial" w:hAnsi="Arial" w:cs="Arial"/>
          <w:sz w:val="20"/>
          <w:szCs w:val="20"/>
        </w:rPr>
      </w:pPr>
      <w:r w:rsidRPr="005F56CB">
        <w:rPr>
          <w:rFonts w:ascii="Arial" w:hAnsi="Arial" w:cs="Arial"/>
          <w:sz w:val="20"/>
          <w:szCs w:val="20"/>
        </w:rPr>
        <w:t>Histiocytosis-lymphadenopathy plus is a category of disorders, characterized by histiocytosis, which includes conditions like H-syndrome, Faisalabad histiocytosis, Pigmented hypertrichosis with insulin-dependent diabetes mellitus syndrome (PHID syndrome), and sinus histiocytosis with extensive lymphadenopathy (1). H-syndrome is a rare genetic disorder first recognized in 2008 in Arab families (2). There have been about 100 reported cases, including individuals of Arab descent, with an estimated incidence of 1 in 1,000,000 (3). It is caused by mutations in the S</w:t>
      </w:r>
      <w:r w:rsidR="00792F48">
        <w:rPr>
          <w:rFonts w:ascii="Arial" w:hAnsi="Arial" w:cs="Arial"/>
          <w:sz w:val="20"/>
          <w:szCs w:val="20"/>
        </w:rPr>
        <w:t>LC29A3 gene, which affects the Human Equilibrative T</w:t>
      </w:r>
      <w:r w:rsidRPr="005F56CB">
        <w:rPr>
          <w:rFonts w:ascii="Arial" w:hAnsi="Arial" w:cs="Arial"/>
          <w:sz w:val="20"/>
          <w:szCs w:val="20"/>
        </w:rPr>
        <w:t>ransporter 3 (hENT3), leading to issues in nucleoside trans</w:t>
      </w:r>
      <w:r w:rsidR="00B253D9">
        <w:rPr>
          <w:rFonts w:ascii="Arial" w:hAnsi="Arial" w:cs="Arial"/>
          <w:sz w:val="20"/>
          <w:szCs w:val="20"/>
        </w:rPr>
        <w:t>p</w:t>
      </w:r>
      <w:r w:rsidR="00E517E9">
        <w:rPr>
          <w:rFonts w:ascii="Arial" w:hAnsi="Arial" w:cs="Arial"/>
          <w:sz w:val="20"/>
          <w:szCs w:val="20"/>
        </w:rPr>
        <w:t>ort and nucleotide synthesis (9,</w:t>
      </w:r>
      <w:r w:rsidR="00875FE9">
        <w:rPr>
          <w:rFonts w:ascii="Arial" w:hAnsi="Arial" w:cs="Arial"/>
          <w:sz w:val="20"/>
          <w:szCs w:val="20"/>
        </w:rPr>
        <w:t xml:space="preserve"> </w:t>
      </w:r>
      <w:r w:rsidR="00E517E9">
        <w:rPr>
          <w:rFonts w:ascii="Arial" w:hAnsi="Arial" w:cs="Arial"/>
          <w:sz w:val="20"/>
          <w:szCs w:val="20"/>
        </w:rPr>
        <w:t>10</w:t>
      </w:r>
      <w:r w:rsidRPr="005F56CB">
        <w:rPr>
          <w:rFonts w:ascii="Arial" w:hAnsi="Arial" w:cs="Arial"/>
          <w:sz w:val="20"/>
          <w:szCs w:val="20"/>
        </w:rPr>
        <w:t xml:space="preserve">). It is characterized by symptoms such as hyperpigmentation, hypertrichosis, hepatosplenomegaly, hearing loss, hypogonadism, hyperglycemia, and heart-related issues (1). Due to the pleomorphic nature of this disease with overlapping clinical features with various other disorders like Torg-Winchester syndrome, POEMS syndrome, and Rosai-Dorfman disease, it is often misdiagnosed (4). There is paucity of literature regarding this rare but potentially treatable syndrome. We report a case of a 5 year 9 month old child who presented with Type 1 diabetes mellitus and megaloblastic anemia and was eventually diagnosed as a case of Histiocytosis lymphadenopathy plus syndrome after thorough laboratory and genetic workup. This case report is an attempt to create awareness amongst the practising </w:t>
      </w:r>
      <w:r w:rsidRPr="005F56CB">
        <w:rPr>
          <w:rFonts w:ascii="Arial" w:hAnsi="Arial" w:cs="Arial"/>
          <w:sz w:val="20"/>
          <w:szCs w:val="20"/>
        </w:rPr>
        <w:lastRenderedPageBreak/>
        <w:t>paediatricians regarding the requirement of multidisciplinary approach to address the heterogenous symptoms and complications of the syndrome to ensure early diagnosis which can reduce morbidity associated with this rare syndrome.</w:t>
      </w:r>
    </w:p>
    <w:p w14:paraId="4A1A30FB" w14:textId="77777777" w:rsidR="009A208A" w:rsidRDefault="009A208A" w:rsidP="009A208A">
      <w:pPr>
        <w:pStyle w:val="NormalWeb"/>
        <w:numPr>
          <w:ilvl w:val="0"/>
          <w:numId w:val="3"/>
        </w:numPr>
        <w:rPr>
          <w:rFonts w:ascii="Arial" w:hAnsi="Arial" w:cs="Arial"/>
          <w:b/>
          <w:sz w:val="22"/>
          <w:szCs w:val="22"/>
        </w:rPr>
      </w:pPr>
      <w:r w:rsidRPr="009A208A">
        <w:rPr>
          <w:rFonts w:ascii="Arial" w:hAnsi="Arial" w:cs="Arial"/>
          <w:b/>
          <w:sz w:val="22"/>
          <w:szCs w:val="22"/>
        </w:rPr>
        <w:t>PRESENTATION OF CASE</w:t>
      </w:r>
    </w:p>
    <w:p w14:paraId="69D5E6F2" w14:textId="77777777" w:rsidR="00BF5EF0" w:rsidRPr="00BF5EF0" w:rsidRDefault="00BF5EF0" w:rsidP="00BF5EF0">
      <w:pPr>
        <w:spacing w:line="240" w:lineRule="auto"/>
        <w:ind w:left="360"/>
        <w:rPr>
          <w:rFonts w:ascii="Arial" w:hAnsi="Arial" w:cs="Arial"/>
          <w:sz w:val="20"/>
          <w:szCs w:val="20"/>
        </w:rPr>
      </w:pPr>
      <w:r w:rsidRPr="00BF5EF0">
        <w:rPr>
          <w:rFonts w:ascii="Arial" w:hAnsi="Arial" w:cs="Arial"/>
          <w:sz w:val="20"/>
          <w:szCs w:val="20"/>
        </w:rPr>
        <w:t>A 5 year 9 month old female child, born out of 3</w:t>
      </w:r>
      <w:r w:rsidRPr="00BF5EF0">
        <w:rPr>
          <w:rFonts w:ascii="Arial" w:hAnsi="Arial" w:cs="Arial"/>
          <w:sz w:val="20"/>
          <w:szCs w:val="20"/>
          <w:vertAlign w:val="superscript"/>
        </w:rPr>
        <w:t>rd</w:t>
      </w:r>
      <w:r w:rsidRPr="00BF5EF0">
        <w:rPr>
          <w:rFonts w:ascii="Arial" w:hAnsi="Arial" w:cs="Arial"/>
          <w:sz w:val="20"/>
          <w:szCs w:val="20"/>
        </w:rPr>
        <w:t xml:space="preserve"> degree consanguineous marriage, was referred to pediatric hematology OPD for the evaluation of transfusion dependent anemia. The child had received multiple blood transfusions, almost 6-7 times in the last 1 year. The</w:t>
      </w:r>
      <w:r w:rsidR="005A0E55">
        <w:rPr>
          <w:rFonts w:ascii="Arial" w:hAnsi="Arial" w:cs="Arial"/>
          <w:sz w:val="20"/>
          <w:szCs w:val="20"/>
        </w:rPr>
        <w:t xml:space="preserve"> child was diagnosed with antibody negative d</w:t>
      </w:r>
      <w:r w:rsidRPr="00BF5EF0">
        <w:rPr>
          <w:rFonts w:ascii="Arial" w:hAnsi="Arial" w:cs="Arial"/>
          <w:sz w:val="20"/>
          <w:szCs w:val="20"/>
        </w:rPr>
        <w:t>iabetes mellitus, at 1 year of age and was on Insulin treatment since then. Mother gave history of child being hard of hearing and having speech delay. Gross and fine motor milestones were appropriate for age.</w:t>
      </w:r>
    </w:p>
    <w:p w14:paraId="4E09C2FB" w14:textId="497A6F7E" w:rsidR="00BF5EF0" w:rsidRPr="00BF5EF0" w:rsidRDefault="00BF5EF0" w:rsidP="00BF5EF0">
      <w:pPr>
        <w:spacing w:line="240" w:lineRule="auto"/>
        <w:ind w:left="360"/>
        <w:rPr>
          <w:rFonts w:ascii="Arial" w:hAnsi="Arial" w:cs="Arial"/>
          <w:sz w:val="20"/>
          <w:szCs w:val="20"/>
        </w:rPr>
      </w:pPr>
      <w:r w:rsidRPr="00BF5EF0">
        <w:rPr>
          <w:rFonts w:ascii="Arial" w:hAnsi="Arial" w:cs="Arial"/>
          <w:sz w:val="20"/>
          <w:szCs w:val="20"/>
        </w:rPr>
        <w:t>On anthropometric examination, child’s height was 96 cms (less than 3</w:t>
      </w:r>
      <w:r w:rsidRPr="00BF5EF0">
        <w:rPr>
          <w:rFonts w:ascii="Arial" w:hAnsi="Arial" w:cs="Arial"/>
          <w:sz w:val="20"/>
          <w:szCs w:val="20"/>
          <w:vertAlign w:val="superscript"/>
        </w:rPr>
        <w:t>rd</w:t>
      </w:r>
      <w:r w:rsidRPr="00BF5EF0">
        <w:rPr>
          <w:rFonts w:ascii="Arial" w:hAnsi="Arial" w:cs="Arial"/>
          <w:sz w:val="20"/>
          <w:szCs w:val="20"/>
        </w:rPr>
        <w:t xml:space="preserve"> centile), weight was 13 kgs (less than 3</w:t>
      </w:r>
      <w:r w:rsidRPr="00BF5EF0">
        <w:rPr>
          <w:rFonts w:ascii="Arial" w:hAnsi="Arial" w:cs="Arial"/>
          <w:sz w:val="20"/>
          <w:szCs w:val="20"/>
          <w:vertAlign w:val="superscript"/>
        </w:rPr>
        <w:t>rd</w:t>
      </w:r>
      <w:r w:rsidRPr="00BF5EF0">
        <w:rPr>
          <w:rFonts w:ascii="Arial" w:hAnsi="Arial" w:cs="Arial"/>
          <w:sz w:val="20"/>
          <w:szCs w:val="20"/>
        </w:rPr>
        <w:t xml:space="preserve"> centile) and BMI was 14.11 kg/m</w:t>
      </w:r>
      <w:r w:rsidRPr="00BF5EF0">
        <w:rPr>
          <w:rFonts w:ascii="Arial" w:hAnsi="Arial" w:cs="Arial"/>
          <w:sz w:val="20"/>
          <w:szCs w:val="20"/>
          <w:vertAlign w:val="superscript"/>
        </w:rPr>
        <w:t xml:space="preserve">2 </w:t>
      </w:r>
      <w:r w:rsidRPr="00BF5EF0">
        <w:rPr>
          <w:rFonts w:ascii="Arial" w:hAnsi="Arial" w:cs="Arial"/>
          <w:sz w:val="20"/>
          <w:szCs w:val="20"/>
        </w:rPr>
        <w:t xml:space="preserve">with head circumference of 45cms. Hence the child was underweight, had short stature with microcephaly. On general physical examination, child had pallor and knuckle pigmentation. Per abdomen examination revealed presence of hepatosplenomegaly (liver span being 11cms with grade 2 splenomegaly), with normal external genitalia. On auscultation, pansystolic murmur was heard at the apex of the heart. Other systems were normal. Blood investigations showed severe anemia, with increased MCV levels and macrocytic picture on peripheral smear. </w:t>
      </w:r>
      <w:r w:rsidRPr="00DB3A3D">
        <w:rPr>
          <w:rFonts w:ascii="Arial" w:hAnsi="Arial" w:cs="Arial"/>
          <w:sz w:val="20"/>
          <w:szCs w:val="20"/>
          <w:highlight w:val="yellow"/>
        </w:rPr>
        <w:t xml:space="preserve">Bone marrow aspiration and biopsy report revealed megaloblastic </w:t>
      </w:r>
      <w:proofErr w:type="spellStart"/>
      <w:r w:rsidRPr="00DB3A3D">
        <w:rPr>
          <w:rFonts w:ascii="Arial" w:hAnsi="Arial" w:cs="Arial"/>
          <w:sz w:val="20"/>
          <w:szCs w:val="20"/>
          <w:highlight w:val="yellow"/>
        </w:rPr>
        <w:t>hypercellu</w:t>
      </w:r>
      <w:r w:rsidR="00792F48" w:rsidRPr="00DB3A3D">
        <w:rPr>
          <w:rFonts w:ascii="Arial" w:hAnsi="Arial" w:cs="Arial"/>
          <w:sz w:val="20"/>
          <w:szCs w:val="20"/>
          <w:highlight w:val="yellow"/>
        </w:rPr>
        <w:t>l</w:t>
      </w:r>
      <w:r w:rsidR="00DB3A3D" w:rsidRPr="00DB3A3D">
        <w:rPr>
          <w:rFonts w:ascii="Arial" w:hAnsi="Arial" w:cs="Arial"/>
          <w:sz w:val="20"/>
          <w:szCs w:val="20"/>
          <w:highlight w:val="yellow"/>
        </w:rPr>
        <w:t>ar</w:t>
      </w:r>
      <w:proofErr w:type="spellEnd"/>
      <w:r w:rsidR="00DB3A3D" w:rsidRPr="00DB3A3D">
        <w:rPr>
          <w:rFonts w:ascii="Arial" w:hAnsi="Arial" w:cs="Arial"/>
          <w:sz w:val="20"/>
          <w:szCs w:val="20"/>
          <w:highlight w:val="yellow"/>
        </w:rPr>
        <w:t xml:space="preserve"> marrow with normal megakaryocyte series with</w:t>
      </w:r>
      <w:r w:rsidR="00DB3A3D" w:rsidRPr="00DB3A3D">
        <w:rPr>
          <w:rFonts w:ascii="Arial" w:hAnsi="Arial" w:cs="Arial"/>
          <w:sz w:val="20"/>
          <w:szCs w:val="20"/>
          <w:highlight w:val="yellow"/>
          <w:lang w:val="en-GB"/>
        </w:rPr>
        <w:t xml:space="preserve"> myeloid series showing giant </w:t>
      </w:r>
      <w:proofErr w:type="spellStart"/>
      <w:r w:rsidR="00DB3A3D" w:rsidRPr="00DB3A3D">
        <w:rPr>
          <w:rFonts w:ascii="Arial" w:hAnsi="Arial" w:cs="Arial"/>
          <w:sz w:val="20"/>
          <w:szCs w:val="20"/>
          <w:highlight w:val="yellow"/>
          <w:lang w:val="en-GB"/>
        </w:rPr>
        <w:t>metamyelocytes</w:t>
      </w:r>
      <w:proofErr w:type="spellEnd"/>
      <w:r w:rsidR="00DB3A3D" w:rsidRPr="00DB3A3D">
        <w:rPr>
          <w:rFonts w:ascii="Arial" w:hAnsi="Arial" w:cs="Arial"/>
          <w:sz w:val="20"/>
          <w:szCs w:val="20"/>
          <w:highlight w:val="yellow"/>
          <w:lang w:val="en-GB"/>
        </w:rPr>
        <w:t>.</w:t>
      </w:r>
      <w:r w:rsidR="00DB3A3D">
        <w:rPr>
          <w:lang w:val="en-GB"/>
        </w:rPr>
        <w:t xml:space="preserve"> </w:t>
      </w:r>
    </w:p>
    <w:p w14:paraId="6789F4B1" w14:textId="77777777" w:rsidR="00BF5EF0" w:rsidRPr="00BF5EF0" w:rsidRDefault="00BF5EF0" w:rsidP="00BF5EF0">
      <w:pPr>
        <w:spacing w:line="240" w:lineRule="auto"/>
        <w:ind w:left="360"/>
        <w:rPr>
          <w:rFonts w:ascii="Arial" w:hAnsi="Arial" w:cs="Arial"/>
          <w:sz w:val="20"/>
          <w:szCs w:val="20"/>
        </w:rPr>
      </w:pPr>
      <w:r w:rsidRPr="00BF5EF0">
        <w:rPr>
          <w:rFonts w:ascii="Arial" w:hAnsi="Arial" w:cs="Arial"/>
          <w:sz w:val="20"/>
          <w:szCs w:val="20"/>
        </w:rPr>
        <w:t xml:space="preserve">As the </w:t>
      </w:r>
      <w:r w:rsidR="005A0E55">
        <w:rPr>
          <w:rFonts w:ascii="Arial" w:hAnsi="Arial" w:cs="Arial"/>
          <w:sz w:val="20"/>
          <w:szCs w:val="20"/>
        </w:rPr>
        <w:t xml:space="preserve">child had </w:t>
      </w:r>
      <w:r w:rsidRPr="00BF5EF0">
        <w:rPr>
          <w:rFonts w:ascii="Arial" w:hAnsi="Arial" w:cs="Arial"/>
          <w:sz w:val="20"/>
          <w:szCs w:val="20"/>
        </w:rPr>
        <w:t xml:space="preserve">persistent high blood sugar values, pediatric endocrinologist opinion was taken and insulin dose was titrated accordingly. 2D ECHO revealed Mitral regurgitation. In view of hearing impairment, ENT evaluation was done and child was found to have bilateral sensorineural hearing loss. </w:t>
      </w:r>
    </w:p>
    <w:p w14:paraId="327D1E84" w14:textId="77777777" w:rsidR="00BF5EF0" w:rsidRDefault="00BF5EF0" w:rsidP="00BF5EF0">
      <w:pPr>
        <w:spacing w:line="240" w:lineRule="auto"/>
        <w:ind w:left="360"/>
        <w:rPr>
          <w:rFonts w:ascii="Arial" w:hAnsi="Arial" w:cs="Arial"/>
          <w:sz w:val="20"/>
          <w:szCs w:val="20"/>
        </w:rPr>
      </w:pPr>
      <w:r w:rsidRPr="00BF5EF0">
        <w:rPr>
          <w:rFonts w:ascii="Arial" w:hAnsi="Arial" w:cs="Arial"/>
          <w:sz w:val="20"/>
          <w:szCs w:val="20"/>
        </w:rPr>
        <w:t xml:space="preserve">These features of megaloblastic anemia, sensorineural hearing loss and Type 1 diabetes mellitus, were fitting into the classical triad </w:t>
      </w:r>
      <w:r w:rsidR="00792F48">
        <w:rPr>
          <w:rFonts w:ascii="Arial" w:hAnsi="Arial" w:cs="Arial"/>
          <w:sz w:val="20"/>
          <w:szCs w:val="20"/>
        </w:rPr>
        <w:t>of Thiamine responsive megalobl</w:t>
      </w:r>
      <w:r w:rsidRPr="00BF5EF0">
        <w:rPr>
          <w:rFonts w:ascii="Arial" w:hAnsi="Arial" w:cs="Arial"/>
          <w:sz w:val="20"/>
          <w:szCs w:val="20"/>
        </w:rPr>
        <w:t>astic anemia. Hence, child was started on thiamine and vitamin B12 supplementation. Whole exome sequence (WES) was sent to confirm the diagnosis. It was reported as homozygous mutation in the gene SLC29A3 at exon 6 with variant nomenclature being c.1220_1221del (p.Val407GlyfsTer32), thus leading to a diagnosis of Histiocytosis lymphadenopathy plus syndrome. Parents were counselled regarding the morbidities associated with this rare syndrome and the need for multidisciplinary care and regular follow up to reduce morbidity and ensure a good quality of life.</w:t>
      </w:r>
    </w:p>
    <w:p w14:paraId="05087D3B" w14:textId="77777777" w:rsidR="009B26F3" w:rsidRDefault="009B26F3" w:rsidP="00BF5EF0">
      <w:pPr>
        <w:spacing w:line="240" w:lineRule="auto"/>
        <w:ind w:left="360"/>
        <w:rPr>
          <w:rFonts w:ascii="Arial" w:hAnsi="Arial" w:cs="Arial"/>
          <w:sz w:val="20"/>
          <w:szCs w:val="20"/>
        </w:rPr>
      </w:pPr>
    </w:p>
    <w:p w14:paraId="31B8FAA7" w14:textId="77777777" w:rsidR="00BF5EF0" w:rsidRDefault="00BF5EF0" w:rsidP="00BF5EF0">
      <w:pPr>
        <w:pStyle w:val="ListParagraph"/>
        <w:numPr>
          <w:ilvl w:val="0"/>
          <w:numId w:val="3"/>
        </w:numPr>
        <w:spacing w:line="240" w:lineRule="auto"/>
        <w:rPr>
          <w:rFonts w:ascii="Arial" w:hAnsi="Arial" w:cs="Arial"/>
          <w:b/>
          <w:sz w:val="24"/>
          <w:szCs w:val="24"/>
        </w:rPr>
      </w:pPr>
      <w:r w:rsidRPr="00BF5EF0">
        <w:rPr>
          <w:rFonts w:ascii="Arial" w:hAnsi="Arial" w:cs="Arial"/>
          <w:b/>
          <w:sz w:val="24"/>
          <w:szCs w:val="24"/>
        </w:rPr>
        <w:t>DISCUSSION</w:t>
      </w:r>
    </w:p>
    <w:p w14:paraId="2074B7AE" w14:textId="77777777" w:rsidR="00BF5EF0" w:rsidRDefault="00BF5EF0" w:rsidP="00BF5EF0">
      <w:pPr>
        <w:pStyle w:val="ListParagraph"/>
        <w:spacing w:line="240" w:lineRule="auto"/>
        <w:rPr>
          <w:rFonts w:ascii="Arial" w:hAnsi="Arial" w:cs="Arial"/>
          <w:b/>
          <w:sz w:val="24"/>
          <w:szCs w:val="24"/>
        </w:rPr>
      </w:pPr>
    </w:p>
    <w:p w14:paraId="38B74DFA" w14:textId="77777777"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t xml:space="preserve">In this study we present a case of Histiocytosis lymphadenopathy plus syndrome, who had presented to us with insulin dependent diabetes mellitus, hepatosplenomegaly, bilateral sensorineural hearing loss, cardiac abnormalities- mitral regurgitation, severe anemia and short stature. </w:t>
      </w:r>
    </w:p>
    <w:p w14:paraId="6B373966" w14:textId="51FC334F"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t>H syndrome is a rare condition, first described by Molho- Pessach et al in 2008, and only few hundred cases have been reported since then (2). It is an autosomal recessive disorder, mainly seen in people from the Middle East, Asia, Europe, and Africa. On thorough review of literature, very few cases have been reported from India so far. There is no clear age and gender preference for the condition. It is caused by a mutation in the SLC29A3 gene, which encodes for the hENT3 transporter (1). This transporter is found mainly in lysosomal and mitochondrial membrane. The widespread presence of these organelles throughout the body, helps to explain the variety of symptoms observed in H syndrome (4).</w:t>
      </w:r>
      <w:r>
        <w:rPr>
          <w:rFonts w:ascii="Arial" w:hAnsi="Arial" w:cs="Arial"/>
          <w:sz w:val="20"/>
          <w:szCs w:val="20"/>
        </w:rPr>
        <w:t xml:space="preserve"> </w:t>
      </w:r>
      <w:r w:rsidRPr="00BF5EF0">
        <w:rPr>
          <w:rFonts w:ascii="Arial" w:hAnsi="Arial" w:cs="Arial"/>
          <w:sz w:val="20"/>
          <w:szCs w:val="20"/>
        </w:rPr>
        <w:t xml:space="preserve">The hallmark skin manifestations like indurated hyperpigmentation on the inner thighs and genitalia, along with hypertrichosis are key to diagnosis, but the syndrome can also present with a range of other symptoms, such as insulin-dependent diabetes, hepatosplenomegaly, short stature, hypogonadism, </w:t>
      </w:r>
      <w:proofErr w:type="spellStart"/>
      <w:r w:rsidRPr="00BF5EF0">
        <w:rPr>
          <w:rFonts w:ascii="Arial" w:hAnsi="Arial" w:cs="Arial"/>
          <w:sz w:val="20"/>
          <w:szCs w:val="20"/>
        </w:rPr>
        <w:t>camptodactyly</w:t>
      </w:r>
      <w:proofErr w:type="spellEnd"/>
      <w:r w:rsidRPr="00BF5EF0">
        <w:rPr>
          <w:rFonts w:ascii="Arial" w:hAnsi="Arial" w:cs="Arial"/>
          <w:sz w:val="20"/>
          <w:szCs w:val="20"/>
        </w:rPr>
        <w:t>, hearing loss,</w:t>
      </w:r>
      <w:r w:rsidR="00312743">
        <w:rPr>
          <w:rFonts w:ascii="Arial" w:hAnsi="Arial" w:cs="Arial"/>
          <w:sz w:val="20"/>
          <w:szCs w:val="20"/>
        </w:rPr>
        <w:t xml:space="preserve"> </w:t>
      </w:r>
      <w:r w:rsidR="00312743" w:rsidRPr="00312743">
        <w:rPr>
          <w:rFonts w:ascii="Arial" w:hAnsi="Arial" w:cs="Arial"/>
          <w:sz w:val="20"/>
          <w:szCs w:val="20"/>
        </w:rPr>
        <w:t xml:space="preserve">microcytic hypochromic </w:t>
      </w:r>
      <w:proofErr w:type="spellStart"/>
      <w:r w:rsidR="00312743" w:rsidRPr="00312743">
        <w:rPr>
          <w:rFonts w:ascii="Arial" w:hAnsi="Arial" w:cs="Arial"/>
          <w:sz w:val="20"/>
          <w:szCs w:val="20"/>
        </w:rPr>
        <w:t>anemia</w:t>
      </w:r>
      <w:proofErr w:type="spellEnd"/>
      <w:r w:rsidR="00312743">
        <w:rPr>
          <w:rFonts w:ascii="Arial" w:hAnsi="Arial" w:cs="Arial"/>
          <w:sz w:val="20"/>
          <w:szCs w:val="20"/>
        </w:rPr>
        <w:t>,</w:t>
      </w:r>
      <w:r w:rsidRPr="00BF5EF0">
        <w:rPr>
          <w:rFonts w:ascii="Arial" w:hAnsi="Arial" w:cs="Arial"/>
          <w:sz w:val="20"/>
          <w:szCs w:val="20"/>
        </w:rPr>
        <w:t xml:space="preserve"> hypothyroidism, and hypertriglyceridemia. (1-4) </w:t>
      </w:r>
    </w:p>
    <w:p w14:paraId="40A1E621" w14:textId="48B2AA5A" w:rsidR="00BF5EF0" w:rsidRPr="00BF5EF0" w:rsidRDefault="00BF5EF0" w:rsidP="00BF5EF0">
      <w:pPr>
        <w:pStyle w:val="NormalWeb"/>
        <w:ind w:left="360"/>
        <w:rPr>
          <w:rFonts w:ascii="Arial" w:hAnsi="Arial" w:cs="Arial"/>
          <w:sz w:val="20"/>
          <w:szCs w:val="20"/>
        </w:rPr>
      </w:pPr>
      <w:r w:rsidRPr="00BF5EF0">
        <w:rPr>
          <w:rFonts w:ascii="Arial" w:hAnsi="Arial" w:cs="Arial"/>
          <w:sz w:val="20"/>
          <w:szCs w:val="20"/>
        </w:rPr>
        <w:lastRenderedPageBreak/>
        <w:t>Our patient did not have the classical skin manifestations of hypertrichosis and hyperpigmentation. Thus, conditions that were not present in our patient, can present over time and hence, should be monitored periodically.</w:t>
      </w:r>
      <w:r w:rsidR="00312743">
        <w:rPr>
          <w:rFonts w:ascii="Arial" w:hAnsi="Arial" w:cs="Arial"/>
          <w:sz w:val="20"/>
          <w:szCs w:val="20"/>
        </w:rPr>
        <w:t xml:space="preserve"> Our patient also presented with macrocytic </w:t>
      </w:r>
      <w:proofErr w:type="spellStart"/>
      <w:r w:rsidR="00312743">
        <w:rPr>
          <w:rFonts w:ascii="Arial" w:hAnsi="Arial" w:cs="Arial"/>
          <w:sz w:val="20"/>
          <w:szCs w:val="20"/>
        </w:rPr>
        <w:t>anemia</w:t>
      </w:r>
      <w:proofErr w:type="spellEnd"/>
      <w:r w:rsidR="00312743">
        <w:rPr>
          <w:rFonts w:ascii="Arial" w:hAnsi="Arial" w:cs="Arial"/>
          <w:sz w:val="20"/>
          <w:szCs w:val="20"/>
        </w:rPr>
        <w:t xml:space="preserve"> instead of characteristic microcytic </w:t>
      </w:r>
      <w:proofErr w:type="spellStart"/>
      <w:r w:rsidR="00312743">
        <w:rPr>
          <w:rFonts w:ascii="Arial" w:hAnsi="Arial" w:cs="Arial"/>
          <w:sz w:val="20"/>
          <w:szCs w:val="20"/>
        </w:rPr>
        <w:t>anemia</w:t>
      </w:r>
      <w:proofErr w:type="spellEnd"/>
      <w:r w:rsidR="00312743">
        <w:rPr>
          <w:rFonts w:ascii="Arial" w:hAnsi="Arial" w:cs="Arial"/>
          <w:sz w:val="20"/>
          <w:szCs w:val="20"/>
        </w:rPr>
        <w:t>.</w:t>
      </w:r>
      <w:r w:rsidRPr="00BF5EF0">
        <w:rPr>
          <w:rFonts w:ascii="Arial" w:hAnsi="Arial" w:cs="Arial"/>
          <w:sz w:val="20"/>
          <w:szCs w:val="20"/>
        </w:rPr>
        <w:t xml:space="preserve"> The definitive diagnosis can be made using whole exome sequencing, where mutations in the SLC29A3 gene can be detected.</w:t>
      </w:r>
    </w:p>
    <w:p w14:paraId="1E06655E" w14:textId="77777777" w:rsidR="00BF5EF0" w:rsidRDefault="00BF5EF0" w:rsidP="00BF5EF0">
      <w:pPr>
        <w:pStyle w:val="NormalWeb"/>
        <w:ind w:left="360"/>
        <w:rPr>
          <w:rFonts w:ascii="Arial" w:hAnsi="Arial" w:cs="Arial"/>
          <w:sz w:val="20"/>
          <w:szCs w:val="20"/>
        </w:rPr>
      </w:pPr>
      <w:r w:rsidRPr="00BF5EF0">
        <w:rPr>
          <w:rFonts w:ascii="Arial" w:hAnsi="Arial" w:cs="Arial"/>
          <w:sz w:val="20"/>
          <w:szCs w:val="20"/>
        </w:rPr>
        <w:t>Bolze et al observed that sensorineural hearing loss and hepatosplenomegaly occur in approximately half of the patients with H syndrome (5). Several studies have highlighted that the hallmark features of hyperpigmentation and hypertrichosis, are the most common clinical manifestations in individuals with H syndrome and should be regarded as pathognomonic signs of the condition (2).</w:t>
      </w:r>
      <w:r>
        <w:rPr>
          <w:rFonts w:ascii="Arial" w:hAnsi="Arial" w:cs="Arial"/>
          <w:sz w:val="20"/>
          <w:szCs w:val="20"/>
        </w:rPr>
        <w:t xml:space="preserve"> </w:t>
      </w:r>
      <w:r w:rsidRPr="00BF5EF0">
        <w:rPr>
          <w:rFonts w:ascii="Arial" w:hAnsi="Arial" w:cs="Arial"/>
          <w:color w:val="212121"/>
          <w:sz w:val="20"/>
          <w:szCs w:val="20"/>
          <w:shd w:val="clear" w:color="auto" w:fill="FFFFFF"/>
        </w:rPr>
        <w:t xml:space="preserve">El-Bassyouni HT et al, </w:t>
      </w:r>
      <w:r w:rsidRPr="00BF5EF0">
        <w:rPr>
          <w:rFonts w:ascii="Arial" w:hAnsi="Arial" w:cs="Arial"/>
          <w:sz w:val="20"/>
          <w:szCs w:val="20"/>
        </w:rPr>
        <w:t>reported a case that presented with fever, recurrent joint pain, hyperpigmentation and hypertrichosis of the inner thigh skin along with sensorineural hearing loss and amyloidosis which was thought to be a case of Muckle–Wells syndrome initially. However, presence of a positive consanguinity, with classical skin manifestations and presence of hepatosplenomegaly and microcytic hypochromic anemia led to a diagnosis of H syndrome (6).</w:t>
      </w:r>
      <w:r>
        <w:rPr>
          <w:rFonts w:ascii="Arial" w:hAnsi="Arial" w:cs="Arial"/>
          <w:sz w:val="20"/>
          <w:szCs w:val="20"/>
        </w:rPr>
        <w:t xml:space="preserve"> </w:t>
      </w:r>
      <w:r w:rsidRPr="00BF5EF0">
        <w:rPr>
          <w:rFonts w:ascii="Arial" w:hAnsi="Arial" w:cs="Arial"/>
          <w:sz w:val="20"/>
          <w:szCs w:val="20"/>
        </w:rPr>
        <w:t xml:space="preserve">In another case reported by Elif Arik et all, child had presented with pericardial effusion with sensorineural hearing loss, arthralgia, short stature and lymphadenopathy. No skin changes were present. Genetic testing revealed mutation in SLC29A3 gene and hence diagnosis of Histiocytosis lymphadenopathy plus syndrome was made (7). </w:t>
      </w:r>
    </w:p>
    <w:p w14:paraId="7EF57366" w14:textId="758C88BB" w:rsidR="00092369" w:rsidRPr="00092369" w:rsidRDefault="00092369" w:rsidP="00BF5EF0">
      <w:pPr>
        <w:pStyle w:val="NormalWeb"/>
        <w:ind w:left="360"/>
        <w:rPr>
          <w:rFonts w:ascii="Arial" w:hAnsi="Arial" w:cs="Arial"/>
          <w:sz w:val="20"/>
          <w:szCs w:val="20"/>
        </w:rPr>
      </w:pPr>
      <w:r w:rsidRPr="00092369">
        <w:rPr>
          <w:rFonts w:ascii="Arial" w:hAnsi="Arial" w:cs="Arial"/>
          <w:sz w:val="20"/>
          <w:szCs w:val="20"/>
        </w:rPr>
        <w:t xml:space="preserve">Study by </w:t>
      </w:r>
      <w:r w:rsidRPr="00092369">
        <w:rPr>
          <w:rStyle w:val="Strong"/>
          <w:rFonts w:ascii="Arial" w:hAnsi="Arial" w:cs="Arial"/>
          <w:b w:val="0"/>
          <w:sz w:val="20"/>
          <w:szCs w:val="20"/>
        </w:rPr>
        <w:t>Hiller et al</w:t>
      </w:r>
      <w:r w:rsidRPr="00092369">
        <w:rPr>
          <w:rStyle w:val="Strong"/>
          <w:rFonts w:ascii="Arial" w:hAnsi="Arial" w:cs="Arial"/>
          <w:sz w:val="20"/>
          <w:szCs w:val="20"/>
        </w:rPr>
        <w:t xml:space="preserve"> </w:t>
      </w:r>
      <w:r w:rsidRPr="00092369">
        <w:rPr>
          <w:rFonts w:ascii="Arial" w:hAnsi="Arial" w:cs="Arial"/>
          <w:sz w:val="20"/>
          <w:szCs w:val="20"/>
        </w:rPr>
        <w:t>offers an in-depth review of th</w:t>
      </w:r>
      <w:r w:rsidRPr="00092369">
        <w:rPr>
          <w:rFonts w:ascii="Arial" w:hAnsi="Arial" w:cs="Arial"/>
          <w:b/>
          <w:sz w:val="20"/>
          <w:szCs w:val="20"/>
        </w:rPr>
        <w:t xml:space="preserve">e </w:t>
      </w:r>
      <w:r>
        <w:rPr>
          <w:rStyle w:val="Strong"/>
          <w:rFonts w:ascii="Arial" w:hAnsi="Arial" w:cs="Arial"/>
          <w:b w:val="0"/>
          <w:sz w:val="20"/>
          <w:szCs w:val="20"/>
        </w:rPr>
        <w:t>radiological spectrum of</w:t>
      </w:r>
      <w:r w:rsidRPr="00092369">
        <w:rPr>
          <w:rStyle w:val="Strong"/>
          <w:rFonts w:ascii="Arial" w:hAnsi="Arial" w:cs="Arial"/>
          <w:b w:val="0"/>
          <w:sz w:val="20"/>
          <w:szCs w:val="20"/>
        </w:rPr>
        <w:t xml:space="preserve"> this syndrome</w:t>
      </w:r>
      <w:r w:rsidRPr="00092369">
        <w:rPr>
          <w:rFonts w:ascii="Arial" w:hAnsi="Arial" w:cs="Arial"/>
          <w:b/>
          <w:sz w:val="20"/>
          <w:szCs w:val="20"/>
        </w:rPr>
        <w:t>,</w:t>
      </w:r>
      <w:r w:rsidRPr="00092369">
        <w:rPr>
          <w:rFonts w:ascii="Arial" w:hAnsi="Arial" w:cs="Arial"/>
          <w:sz w:val="20"/>
          <w:szCs w:val="20"/>
        </w:rPr>
        <w:t xml:space="preserve"> emphasizing the </w:t>
      </w:r>
      <w:r w:rsidRPr="00092369">
        <w:rPr>
          <w:rStyle w:val="Strong"/>
          <w:rFonts w:ascii="Arial" w:hAnsi="Arial" w:cs="Arial"/>
          <w:b w:val="0"/>
          <w:sz w:val="20"/>
          <w:szCs w:val="20"/>
        </w:rPr>
        <w:t>skeletal abnormalities</w:t>
      </w:r>
      <w:r w:rsidRPr="00092369">
        <w:rPr>
          <w:rFonts w:ascii="Arial" w:hAnsi="Arial" w:cs="Arial"/>
          <w:sz w:val="20"/>
          <w:szCs w:val="20"/>
        </w:rPr>
        <w:t xml:space="preserve"> that are often observed in affected individuals. This study concluded that </w:t>
      </w:r>
      <w:r w:rsidRPr="00092369">
        <w:rPr>
          <w:rFonts w:ascii="Arial" w:hAnsi="Arial" w:cs="Arial"/>
          <w:color w:val="1F1F1F"/>
          <w:sz w:val="20"/>
          <w:szCs w:val="20"/>
        </w:rPr>
        <w:t>skin thickening along with subcutaneous fat infiltration and deformities of the hands and feet are typical for H syndrome</w:t>
      </w:r>
      <w:r w:rsidR="00207961">
        <w:rPr>
          <w:rFonts w:ascii="Arial" w:hAnsi="Arial" w:cs="Arial"/>
          <w:color w:val="1F1F1F"/>
          <w:sz w:val="20"/>
          <w:szCs w:val="20"/>
        </w:rPr>
        <w:t xml:space="preserve"> (8).</w:t>
      </w:r>
    </w:p>
    <w:p w14:paraId="766B97C5" w14:textId="77777777" w:rsidR="00BF5EF0" w:rsidRDefault="00BF5EF0" w:rsidP="00BF5EF0">
      <w:pPr>
        <w:spacing w:line="240" w:lineRule="auto"/>
        <w:ind w:left="360"/>
        <w:rPr>
          <w:rFonts w:ascii="Arial" w:hAnsi="Arial" w:cs="Arial"/>
          <w:sz w:val="20"/>
          <w:szCs w:val="20"/>
        </w:rPr>
      </w:pPr>
      <w:r w:rsidRPr="00BF5EF0">
        <w:rPr>
          <w:rFonts w:ascii="Arial" w:hAnsi="Arial" w:cs="Arial"/>
          <w:sz w:val="20"/>
          <w:szCs w:val="20"/>
        </w:rPr>
        <w:t>Treatment of this rare syndrome mainly includes symptomatic treatment and the use of immunomodulating agents (4). Immunomodulators like steroids, mycophenolate mofetil, tocilizumab (recombinant monoclonal antibody IL-6 receptor inhibitor), methotrexate, cyclosporine and cyclophosphamide can be used to treat H syndrome. Corticosteroids are frequently used, either by themselves or in conjunction with other drugs (4). Steroid sparing agents like Mycophenolate mofetil helps to decrease the joint stiffness and hyperpigmentation. Some patients have had short-term alleviation with the use of methotrexate and cyclophosphamide (4). Supportive management like hearing aids, monitoring child’s growth and nutrition, correcting the cardiac complications etc. is another aspect of treatment. We could not start steroids for our patient because of the high blood sugar levels. Our patient was put on mycophenolate mofetil and regular follow up is needed to note the response to the treatment.</w:t>
      </w:r>
    </w:p>
    <w:p w14:paraId="18AA4B7E" w14:textId="77777777" w:rsidR="009B26F3" w:rsidRDefault="009B26F3" w:rsidP="00BF5EF0">
      <w:pPr>
        <w:spacing w:line="240" w:lineRule="auto"/>
        <w:ind w:left="360"/>
        <w:rPr>
          <w:rFonts w:ascii="Arial" w:hAnsi="Arial" w:cs="Arial"/>
          <w:sz w:val="20"/>
          <w:szCs w:val="20"/>
        </w:rPr>
      </w:pPr>
    </w:p>
    <w:p w14:paraId="581EDC0A" w14:textId="77777777" w:rsidR="00610D4D" w:rsidRPr="00610D4D" w:rsidRDefault="00610D4D" w:rsidP="00610D4D">
      <w:pPr>
        <w:pStyle w:val="ListParagraph"/>
        <w:numPr>
          <w:ilvl w:val="0"/>
          <w:numId w:val="3"/>
        </w:numPr>
        <w:spacing w:line="240" w:lineRule="auto"/>
        <w:rPr>
          <w:rFonts w:ascii="Arial" w:hAnsi="Arial" w:cs="Arial"/>
          <w:b/>
        </w:rPr>
      </w:pPr>
      <w:r w:rsidRPr="00610D4D">
        <w:rPr>
          <w:rFonts w:ascii="Arial" w:hAnsi="Arial" w:cs="Arial"/>
          <w:b/>
        </w:rPr>
        <w:t>CONCLUSION</w:t>
      </w:r>
    </w:p>
    <w:p w14:paraId="32EC5F79" w14:textId="77777777" w:rsidR="00BF5EF0" w:rsidRPr="00BF5EF0" w:rsidRDefault="00BF5EF0" w:rsidP="00BF5EF0">
      <w:pPr>
        <w:pStyle w:val="ListParagraph"/>
        <w:spacing w:line="240" w:lineRule="auto"/>
        <w:rPr>
          <w:rFonts w:ascii="Arial" w:hAnsi="Arial" w:cs="Arial"/>
          <w:b/>
          <w:sz w:val="24"/>
          <w:szCs w:val="24"/>
        </w:rPr>
      </w:pPr>
    </w:p>
    <w:p w14:paraId="311777C1" w14:textId="40D72073" w:rsidR="00610D4D" w:rsidRDefault="005D1A8B" w:rsidP="00610D4D">
      <w:pPr>
        <w:spacing w:line="240" w:lineRule="auto"/>
        <w:ind w:left="360"/>
        <w:rPr>
          <w:rFonts w:ascii="Arial" w:hAnsi="Arial" w:cs="Arial"/>
          <w:sz w:val="20"/>
          <w:szCs w:val="20"/>
        </w:rPr>
      </w:pPr>
      <w:r w:rsidRPr="0030140F">
        <w:rPr>
          <w:rFonts w:ascii="Arial" w:hAnsi="Arial" w:cs="Arial"/>
          <w:sz w:val="20"/>
          <w:szCs w:val="20"/>
          <w:highlight w:val="yellow"/>
        </w:rPr>
        <w:t>In conclusion</w:t>
      </w:r>
      <w:r w:rsidR="009523E1" w:rsidRPr="0030140F">
        <w:rPr>
          <w:rFonts w:ascii="Arial" w:hAnsi="Arial" w:cs="Arial"/>
          <w:sz w:val="20"/>
          <w:szCs w:val="20"/>
          <w:highlight w:val="yellow"/>
        </w:rPr>
        <w:t>, a multidisciplinary approach is need</w:t>
      </w:r>
      <w:r w:rsidR="0030140F">
        <w:rPr>
          <w:rFonts w:ascii="Arial" w:hAnsi="Arial" w:cs="Arial"/>
          <w:sz w:val="20"/>
          <w:szCs w:val="20"/>
          <w:highlight w:val="yellow"/>
        </w:rPr>
        <w:t>ed</w:t>
      </w:r>
      <w:r w:rsidR="009523E1" w:rsidRPr="0030140F">
        <w:rPr>
          <w:rFonts w:ascii="Arial" w:hAnsi="Arial" w:cs="Arial"/>
          <w:sz w:val="20"/>
          <w:szCs w:val="20"/>
          <w:highlight w:val="yellow"/>
        </w:rPr>
        <w:t xml:space="preserve"> to address the heterogenous symptoms and complications of this syndrome. E</w:t>
      </w:r>
      <w:r w:rsidR="00610D4D" w:rsidRPr="0030140F">
        <w:rPr>
          <w:rFonts w:ascii="Arial" w:hAnsi="Arial" w:cs="Arial"/>
          <w:sz w:val="20"/>
          <w:szCs w:val="20"/>
          <w:highlight w:val="yellow"/>
        </w:rPr>
        <w:t>arly diagnosis and treatment is the key to prevent and manage the complications associated with this rare syndrome and regular follow-up is necessary for improving long-term health.</w:t>
      </w:r>
    </w:p>
    <w:p w14:paraId="6C59F5EF" w14:textId="77777777" w:rsidR="00F22154" w:rsidRPr="00610D4D" w:rsidRDefault="00F22154" w:rsidP="00610D4D">
      <w:pPr>
        <w:spacing w:line="240" w:lineRule="auto"/>
        <w:ind w:left="360"/>
        <w:rPr>
          <w:rFonts w:ascii="Arial" w:hAnsi="Arial" w:cs="Arial"/>
          <w:b/>
          <w:sz w:val="20"/>
          <w:szCs w:val="20"/>
          <w:u w:val="single"/>
        </w:rPr>
      </w:pPr>
    </w:p>
    <w:p w14:paraId="42D93523" w14:textId="77777777" w:rsidR="0025027D" w:rsidRDefault="0025027D" w:rsidP="00F22154">
      <w:pPr>
        <w:pStyle w:val="ReferHead"/>
        <w:spacing w:after="0"/>
        <w:ind w:left="360"/>
        <w:jc w:val="both"/>
        <w:rPr>
          <w:rFonts w:ascii="Arial" w:hAnsi="Arial" w:cs="Arial"/>
          <w:b w:val="0"/>
          <w:caps w:val="0"/>
          <w:sz w:val="20"/>
        </w:rPr>
      </w:pPr>
    </w:p>
    <w:p w14:paraId="21D85117" w14:textId="77777777" w:rsidR="0025027D" w:rsidRDefault="0025027D" w:rsidP="00F22154">
      <w:pPr>
        <w:pStyle w:val="ReferHead"/>
        <w:spacing w:after="0"/>
        <w:ind w:left="360"/>
        <w:jc w:val="both"/>
        <w:rPr>
          <w:rFonts w:ascii="Arial" w:hAnsi="Arial" w:cs="Arial"/>
          <w:bCs/>
        </w:rPr>
      </w:pPr>
      <w:r w:rsidRPr="002B685A">
        <w:rPr>
          <w:rFonts w:ascii="Arial" w:hAnsi="Arial" w:cs="Arial"/>
          <w:bCs/>
        </w:rPr>
        <w:t>Consent</w:t>
      </w:r>
    </w:p>
    <w:p w14:paraId="02AB9CE0" w14:textId="77777777" w:rsidR="0025027D" w:rsidRDefault="0025027D" w:rsidP="00F22154">
      <w:pPr>
        <w:pStyle w:val="ReferHead"/>
        <w:spacing w:after="0"/>
        <w:ind w:left="360"/>
        <w:jc w:val="both"/>
        <w:rPr>
          <w:rFonts w:ascii="Arial" w:hAnsi="Arial" w:cs="Arial"/>
          <w:bCs/>
        </w:rPr>
      </w:pPr>
    </w:p>
    <w:p w14:paraId="0CADF5B9" w14:textId="77777777" w:rsidR="0025027D" w:rsidRPr="0025027D" w:rsidRDefault="0025027D" w:rsidP="00F22154">
      <w:pPr>
        <w:pStyle w:val="ReferHead"/>
        <w:spacing w:after="0"/>
        <w:ind w:left="360"/>
        <w:jc w:val="both"/>
        <w:rPr>
          <w:rFonts w:ascii="Arial" w:hAnsi="Arial" w:cs="Arial"/>
          <w:b w:val="0"/>
          <w:bCs/>
          <w:sz w:val="20"/>
        </w:rPr>
      </w:pPr>
      <w:r>
        <w:rPr>
          <w:rFonts w:ascii="Arial" w:hAnsi="Arial" w:cs="Arial"/>
          <w:b w:val="0"/>
          <w:caps w:val="0"/>
          <w:sz w:val="20"/>
        </w:rPr>
        <w:t>A</w:t>
      </w:r>
      <w:r w:rsidRPr="0025027D">
        <w:rPr>
          <w:rFonts w:ascii="Arial" w:hAnsi="Arial" w:cs="Arial"/>
          <w:b w:val="0"/>
          <w:caps w:val="0"/>
          <w:sz w:val="20"/>
        </w:rPr>
        <w:t>s per international standards, parental written consent has been collected and preserved by the author(s).</w:t>
      </w:r>
    </w:p>
    <w:p w14:paraId="08B88478" w14:textId="77777777" w:rsidR="00F22154" w:rsidRDefault="00F22154" w:rsidP="00F22154">
      <w:pPr>
        <w:spacing w:line="276" w:lineRule="auto"/>
        <w:ind w:firstLine="360"/>
        <w:rPr>
          <w:rFonts w:ascii="Arial" w:eastAsia="Times New Roman" w:hAnsi="Arial" w:cs="Arial"/>
          <w:b/>
        </w:rPr>
      </w:pPr>
    </w:p>
    <w:p w14:paraId="29BE93ED" w14:textId="77777777" w:rsidR="00DF04E3" w:rsidRDefault="00DF04E3" w:rsidP="00F22154">
      <w:pPr>
        <w:spacing w:line="276" w:lineRule="auto"/>
        <w:ind w:firstLine="360"/>
        <w:rPr>
          <w:rFonts w:ascii="Arial" w:eastAsia="Times New Roman" w:hAnsi="Arial" w:cs="Arial"/>
          <w:b/>
        </w:rPr>
      </w:pPr>
    </w:p>
    <w:p w14:paraId="2B66691E" w14:textId="77777777" w:rsidR="00207961" w:rsidRDefault="00207961" w:rsidP="00F22154">
      <w:pPr>
        <w:spacing w:line="276" w:lineRule="auto"/>
        <w:ind w:firstLine="360"/>
        <w:rPr>
          <w:rFonts w:ascii="Arial" w:eastAsia="Times New Roman" w:hAnsi="Arial" w:cs="Arial"/>
          <w:b/>
        </w:rPr>
      </w:pPr>
    </w:p>
    <w:p w14:paraId="12DB6F0E" w14:textId="77777777" w:rsidR="00207961" w:rsidRDefault="00207961" w:rsidP="00F22154">
      <w:pPr>
        <w:spacing w:line="276" w:lineRule="auto"/>
        <w:ind w:firstLine="360"/>
        <w:rPr>
          <w:rFonts w:ascii="Arial" w:eastAsia="Times New Roman" w:hAnsi="Arial" w:cs="Arial"/>
          <w:b/>
        </w:rPr>
      </w:pPr>
    </w:p>
    <w:p w14:paraId="0F3DB95B" w14:textId="77777777" w:rsidR="00DF04E3" w:rsidRDefault="00DF04E3" w:rsidP="00F22154">
      <w:pPr>
        <w:spacing w:line="276" w:lineRule="auto"/>
        <w:ind w:firstLine="360"/>
        <w:rPr>
          <w:rFonts w:ascii="Arial" w:hAnsi="Arial" w:cs="Arial"/>
          <w:b/>
          <w:bCs/>
        </w:rPr>
      </w:pPr>
      <w:r w:rsidRPr="00DF04E3">
        <w:rPr>
          <w:rFonts w:ascii="Arial" w:hAnsi="Arial" w:cs="Arial"/>
          <w:b/>
          <w:bCs/>
        </w:rPr>
        <w:lastRenderedPageBreak/>
        <w:t>ETHICAL APPROVAL</w:t>
      </w:r>
    </w:p>
    <w:p w14:paraId="4DFC84DD" w14:textId="77777777" w:rsidR="00DF04E3" w:rsidRDefault="00DF04E3" w:rsidP="00F22154">
      <w:pPr>
        <w:spacing w:line="276" w:lineRule="auto"/>
        <w:ind w:firstLine="360"/>
        <w:rPr>
          <w:rFonts w:ascii="Arial" w:hAnsi="Arial" w:cs="Arial"/>
          <w:b/>
          <w:bCs/>
        </w:rPr>
      </w:pPr>
    </w:p>
    <w:p w14:paraId="6B8203F3" w14:textId="77777777" w:rsidR="00DF04E3" w:rsidRDefault="00DF04E3" w:rsidP="00DF04E3">
      <w:pPr>
        <w:spacing w:line="240" w:lineRule="auto"/>
        <w:ind w:left="360"/>
        <w:rPr>
          <w:rFonts w:ascii="Arial" w:hAnsi="Arial" w:cs="Arial"/>
          <w:sz w:val="20"/>
          <w:szCs w:val="20"/>
        </w:rPr>
      </w:pPr>
      <w:r w:rsidRPr="00DF04E3">
        <w:rPr>
          <w:rFonts w:ascii="Arial" w:hAnsi="Arial" w:cs="Arial"/>
          <w:sz w:val="20"/>
          <w:szCs w:val="20"/>
        </w:rPr>
        <w:t>As per international standards or university standards written ethical approval has been collected and preserved by the author(s</w:t>
      </w:r>
      <w:r>
        <w:rPr>
          <w:rFonts w:ascii="Arial" w:hAnsi="Arial" w:cs="Arial"/>
          <w:sz w:val="20"/>
          <w:szCs w:val="20"/>
        </w:rPr>
        <w:t>).</w:t>
      </w:r>
    </w:p>
    <w:p w14:paraId="75DE702B" w14:textId="4A4FBAD6" w:rsidR="00B709B7" w:rsidRDefault="00B709B7" w:rsidP="00DF04E3">
      <w:pPr>
        <w:spacing w:line="240" w:lineRule="auto"/>
        <w:ind w:left="360"/>
        <w:rPr>
          <w:rFonts w:ascii="Arial" w:hAnsi="Arial" w:cs="Arial"/>
          <w:sz w:val="20"/>
          <w:szCs w:val="20"/>
        </w:rPr>
      </w:pPr>
    </w:p>
    <w:p w14:paraId="16FCC5C0" w14:textId="77777777" w:rsidR="00BD6A58" w:rsidRDefault="00BD6A58" w:rsidP="00C234A4">
      <w:pPr>
        <w:rPr>
          <w:rFonts w:ascii="Calibri" w:eastAsia="Calibri" w:hAnsi="Calibri" w:cs="Times New Roman"/>
          <w:kern w:val="2"/>
          <w:lang w:val="en-US"/>
        </w:rPr>
      </w:pPr>
      <w:bookmarkStart w:id="1" w:name="_Hlk193540946"/>
      <w:bookmarkStart w:id="2" w:name="_Hlk180402183"/>
      <w:bookmarkStart w:id="3" w:name="_Hlk183680988"/>
    </w:p>
    <w:p w14:paraId="1E3F05F4" w14:textId="55C65BF9" w:rsidR="00C234A4" w:rsidRPr="007D0F76" w:rsidRDefault="00BD6A58" w:rsidP="00BD6A58">
      <w:pPr>
        <w:ind w:firstLine="360"/>
        <w:rPr>
          <w:rFonts w:ascii="Arial" w:eastAsia="Calibri" w:hAnsi="Arial" w:cs="Arial"/>
          <w:b/>
          <w:kern w:val="2"/>
          <w:highlight w:val="yellow"/>
          <w:lang w:val="en-US"/>
        </w:rPr>
      </w:pPr>
      <w:r w:rsidRPr="007D0F76">
        <w:rPr>
          <w:rFonts w:ascii="Arial" w:eastAsia="Calibri" w:hAnsi="Arial" w:cs="Arial"/>
          <w:b/>
          <w:kern w:val="2"/>
          <w:highlight w:val="yellow"/>
          <w:lang w:val="en-US"/>
        </w:rPr>
        <w:t>DISCLAIMER (ARTIFICIAL INTELLIGENCE)</w:t>
      </w:r>
    </w:p>
    <w:p w14:paraId="72D41D81" w14:textId="7A76CCCF" w:rsidR="00C234A4" w:rsidRPr="007D0F76" w:rsidRDefault="00C234A4" w:rsidP="00C234A4">
      <w:pPr>
        <w:rPr>
          <w:rFonts w:ascii="Calibri" w:eastAsia="Calibri" w:hAnsi="Calibri" w:cs="Times New Roman"/>
          <w:kern w:val="2"/>
          <w:highlight w:val="yellow"/>
          <w:lang w:val="en-US"/>
        </w:rPr>
      </w:pPr>
      <w:r w:rsidRPr="007D0F76">
        <w:rPr>
          <w:rFonts w:ascii="Calibri" w:eastAsia="Calibri" w:hAnsi="Calibri" w:cs="Times New Roman"/>
          <w:kern w:val="2"/>
          <w:highlight w:val="yellow"/>
          <w:lang w:val="en-US"/>
        </w:rPr>
        <w:t xml:space="preserve"> </w:t>
      </w:r>
    </w:p>
    <w:p w14:paraId="4E7CE316" w14:textId="77777777" w:rsidR="00C234A4" w:rsidRPr="00C5085E" w:rsidRDefault="00C234A4" w:rsidP="00BD6A58">
      <w:pPr>
        <w:ind w:left="360"/>
        <w:rPr>
          <w:rFonts w:ascii="Arial" w:eastAsia="Calibri" w:hAnsi="Arial" w:cs="Arial"/>
          <w:kern w:val="2"/>
          <w:sz w:val="20"/>
          <w:szCs w:val="20"/>
          <w:lang w:val="en-US"/>
        </w:rPr>
      </w:pPr>
      <w:r w:rsidRPr="007D0F76">
        <w:rPr>
          <w:rFonts w:ascii="Arial" w:eastAsia="Calibri" w:hAnsi="Arial" w:cs="Arial"/>
          <w:kern w:val="2"/>
          <w:sz w:val="20"/>
          <w:szCs w:val="20"/>
          <w:highlight w:val="yellow"/>
          <w:lang w:val="en-US"/>
        </w:rPr>
        <w:t>Author(s) hereby declare that NO generative AI technologies such as Large Language Models (</w:t>
      </w:r>
      <w:proofErr w:type="spellStart"/>
      <w:r w:rsidRPr="007D0F76">
        <w:rPr>
          <w:rFonts w:ascii="Arial" w:eastAsia="Calibri" w:hAnsi="Arial" w:cs="Arial"/>
          <w:kern w:val="2"/>
          <w:sz w:val="20"/>
          <w:szCs w:val="20"/>
          <w:highlight w:val="yellow"/>
          <w:lang w:val="en-US"/>
        </w:rPr>
        <w:t>ChatGPT</w:t>
      </w:r>
      <w:proofErr w:type="spellEnd"/>
      <w:r w:rsidRPr="007D0F76">
        <w:rPr>
          <w:rFonts w:ascii="Arial" w:eastAsia="Calibri" w:hAnsi="Arial" w:cs="Arial"/>
          <w:kern w:val="2"/>
          <w:sz w:val="20"/>
          <w:szCs w:val="20"/>
          <w:highlight w:val="yellow"/>
          <w:lang w:val="en-US"/>
        </w:rPr>
        <w:t>, COPILOT, etc.) and text-to-image generators have been used during the writing or editing of this manuscript.</w:t>
      </w:r>
      <w:r w:rsidRPr="00C5085E">
        <w:rPr>
          <w:rFonts w:ascii="Arial" w:eastAsia="Calibri" w:hAnsi="Arial" w:cs="Arial"/>
          <w:kern w:val="2"/>
          <w:sz w:val="20"/>
          <w:szCs w:val="20"/>
          <w:lang w:val="en-US"/>
        </w:rPr>
        <w:t xml:space="preserve"> </w:t>
      </w:r>
    </w:p>
    <w:p w14:paraId="2779CD88" w14:textId="77777777" w:rsidR="00C5085E" w:rsidRDefault="00C5085E" w:rsidP="00BD6A58">
      <w:pPr>
        <w:ind w:left="360"/>
        <w:rPr>
          <w:rFonts w:ascii="Calibri" w:eastAsia="Calibri" w:hAnsi="Calibri" w:cs="Times New Roman"/>
          <w:kern w:val="2"/>
          <w:lang w:val="en-US"/>
        </w:rPr>
      </w:pPr>
    </w:p>
    <w:p w14:paraId="7613FA95" w14:textId="77777777" w:rsidR="00C5085E" w:rsidRPr="00C5085E" w:rsidRDefault="00C5085E" w:rsidP="00BD6A58">
      <w:pPr>
        <w:ind w:left="360"/>
        <w:rPr>
          <w:rFonts w:ascii="Arial" w:hAnsi="Arial" w:cs="Arial"/>
          <w:b/>
          <w:shd w:val="clear" w:color="auto" w:fill="FFFFFF"/>
        </w:rPr>
      </w:pPr>
      <w:r w:rsidRPr="00C5085E">
        <w:rPr>
          <w:rFonts w:ascii="Arial" w:hAnsi="Arial" w:cs="Arial"/>
          <w:b/>
          <w:shd w:val="clear" w:color="auto" w:fill="FFFFFF"/>
        </w:rPr>
        <w:t>COMPETING INTERESTS</w:t>
      </w:r>
    </w:p>
    <w:p w14:paraId="5DF23F4D" w14:textId="7CF276F0" w:rsidR="00C5085E" w:rsidRPr="00C5085E" w:rsidRDefault="00C5085E" w:rsidP="00BD6A58">
      <w:pPr>
        <w:ind w:left="360"/>
        <w:rPr>
          <w:rFonts w:ascii="Calibri" w:eastAsia="Calibri" w:hAnsi="Calibri" w:cs="Times New Roman"/>
          <w:kern w:val="2"/>
          <w:sz w:val="20"/>
          <w:szCs w:val="20"/>
          <w:lang w:val="en-US"/>
        </w:rPr>
      </w:pPr>
      <w:r>
        <w:rPr>
          <w:rFonts w:ascii="Arial" w:hAnsi="Arial" w:cs="Arial"/>
          <w:sz w:val="20"/>
          <w:szCs w:val="20"/>
          <w:shd w:val="clear" w:color="auto" w:fill="FFFFFF"/>
        </w:rPr>
        <w:t xml:space="preserve">Authors have declared that no </w:t>
      </w:r>
      <w:r w:rsidRPr="00C5085E">
        <w:rPr>
          <w:rFonts w:ascii="Arial" w:hAnsi="Arial" w:cs="Arial"/>
          <w:sz w:val="20"/>
          <w:szCs w:val="20"/>
          <w:shd w:val="clear" w:color="auto" w:fill="FFFFFF"/>
        </w:rPr>
        <w:t>competing interests exist.</w:t>
      </w:r>
    </w:p>
    <w:bookmarkEnd w:id="1"/>
    <w:bookmarkEnd w:id="2"/>
    <w:bookmarkEnd w:id="3"/>
    <w:p w14:paraId="6FBF702B" w14:textId="77777777" w:rsidR="00C234A4" w:rsidRDefault="00C234A4" w:rsidP="00DF04E3">
      <w:pPr>
        <w:spacing w:line="240" w:lineRule="auto"/>
        <w:ind w:left="360"/>
        <w:rPr>
          <w:rFonts w:ascii="Arial" w:hAnsi="Arial" w:cs="Arial"/>
          <w:sz w:val="20"/>
          <w:szCs w:val="20"/>
        </w:rPr>
      </w:pPr>
    </w:p>
    <w:p w14:paraId="71821B3A" w14:textId="77777777" w:rsidR="00B709B7" w:rsidRDefault="00B709B7" w:rsidP="00B709B7">
      <w:pPr>
        <w:pStyle w:val="ReferHead"/>
        <w:spacing w:after="0"/>
        <w:ind w:firstLine="360"/>
        <w:jc w:val="both"/>
        <w:rPr>
          <w:rFonts w:ascii="Arial" w:hAnsi="Arial" w:cs="Arial"/>
        </w:rPr>
      </w:pPr>
      <w:r w:rsidRPr="00FB3A86">
        <w:rPr>
          <w:rFonts w:ascii="Arial" w:hAnsi="Arial" w:cs="Arial"/>
        </w:rPr>
        <w:t>References</w:t>
      </w:r>
    </w:p>
    <w:p w14:paraId="275B78C8" w14:textId="77777777" w:rsidR="00B709B7" w:rsidRDefault="00B709B7" w:rsidP="00B709B7">
      <w:pPr>
        <w:pStyle w:val="ReferHead"/>
        <w:spacing w:after="0"/>
        <w:ind w:firstLine="360"/>
        <w:jc w:val="both"/>
        <w:rPr>
          <w:rFonts w:ascii="Arial" w:hAnsi="Arial" w:cs="Arial"/>
        </w:rPr>
      </w:pPr>
    </w:p>
    <w:p w14:paraId="7B355C1B" w14:textId="77777777" w:rsidR="00380F8C" w:rsidRPr="00380F8C" w:rsidRDefault="00380F8C" w:rsidP="00380F8C">
      <w:pPr>
        <w:pStyle w:val="ListParagraph"/>
        <w:spacing w:line="240" w:lineRule="auto"/>
        <w:rPr>
          <w:rFonts w:ascii="Arial" w:hAnsi="Arial" w:cs="Arial"/>
          <w:sz w:val="20"/>
          <w:szCs w:val="20"/>
        </w:rPr>
      </w:pPr>
      <w:r w:rsidRPr="00380F8C">
        <w:rPr>
          <w:rFonts w:ascii="Arial" w:hAnsi="Arial" w:cs="Arial"/>
          <w:sz w:val="20"/>
          <w:szCs w:val="20"/>
        </w:rPr>
        <w:t xml:space="preserve">Mori K. S., Balachandran K., </w:t>
      </w:r>
      <w:proofErr w:type="spellStart"/>
      <w:r w:rsidRPr="00380F8C">
        <w:rPr>
          <w:rFonts w:ascii="Arial" w:hAnsi="Arial" w:cs="Arial"/>
          <w:sz w:val="20"/>
          <w:szCs w:val="20"/>
        </w:rPr>
        <w:t>Asirvatham</w:t>
      </w:r>
      <w:proofErr w:type="spellEnd"/>
      <w:r w:rsidRPr="00380F8C">
        <w:rPr>
          <w:rFonts w:ascii="Arial" w:hAnsi="Arial" w:cs="Arial"/>
          <w:sz w:val="20"/>
          <w:szCs w:val="20"/>
        </w:rPr>
        <w:t xml:space="preserve"> A. R., &amp; Mahadevan S. (2021). ‘H syndrome’: a multisystem genetic disorder with cutaneous clues. </w:t>
      </w:r>
      <w:r w:rsidRPr="00380F8C">
        <w:rPr>
          <w:rStyle w:val="Emphasis"/>
          <w:rFonts w:ascii="Arial" w:hAnsi="Arial" w:cs="Arial"/>
          <w:sz w:val="20"/>
          <w:szCs w:val="20"/>
        </w:rPr>
        <w:t>BMJ Case Reports</w:t>
      </w:r>
      <w:r w:rsidRPr="00380F8C">
        <w:rPr>
          <w:rFonts w:ascii="Arial" w:hAnsi="Arial" w:cs="Arial"/>
          <w:sz w:val="20"/>
          <w:szCs w:val="20"/>
        </w:rPr>
        <w:t>, 14(5), e238973.</w:t>
      </w:r>
    </w:p>
    <w:p w14:paraId="491B74A4" w14:textId="77777777" w:rsidR="00380F8C" w:rsidRPr="00380F8C" w:rsidRDefault="00380F8C" w:rsidP="00380F8C">
      <w:pPr>
        <w:pStyle w:val="ListParagraph"/>
        <w:spacing w:line="240" w:lineRule="auto"/>
        <w:rPr>
          <w:rFonts w:ascii="Arial" w:hAnsi="Arial" w:cs="Arial"/>
          <w:sz w:val="20"/>
          <w:szCs w:val="20"/>
          <w:lang w:val="en-US"/>
        </w:rPr>
      </w:pPr>
    </w:p>
    <w:p w14:paraId="3D5682BB" w14:textId="77777777" w:rsidR="00380F8C" w:rsidRPr="00380F8C" w:rsidRDefault="00380F8C" w:rsidP="00380F8C">
      <w:pPr>
        <w:pStyle w:val="ListParagraph"/>
        <w:spacing w:line="240" w:lineRule="auto"/>
        <w:rPr>
          <w:rFonts w:ascii="Arial" w:hAnsi="Arial" w:cs="Arial"/>
          <w:sz w:val="20"/>
          <w:szCs w:val="20"/>
        </w:rPr>
      </w:pPr>
      <w:r w:rsidRPr="00380F8C">
        <w:rPr>
          <w:rFonts w:ascii="Arial" w:hAnsi="Arial" w:cs="Arial"/>
          <w:sz w:val="20"/>
          <w:szCs w:val="20"/>
        </w:rPr>
        <w:t xml:space="preserve">Molho-Pessach V., Agha Z., Aamar S., et al. (2008). The H syndrome: a </w:t>
      </w:r>
      <w:proofErr w:type="spellStart"/>
      <w:r w:rsidRPr="00380F8C">
        <w:rPr>
          <w:rFonts w:ascii="Arial" w:hAnsi="Arial" w:cs="Arial"/>
          <w:sz w:val="20"/>
          <w:szCs w:val="20"/>
        </w:rPr>
        <w:t>geno</w:t>
      </w:r>
      <w:proofErr w:type="spellEnd"/>
      <w:r w:rsidRPr="00380F8C">
        <w:rPr>
          <w:rFonts w:ascii="Arial" w:hAnsi="Arial" w:cs="Arial"/>
          <w:sz w:val="20"/>
          <w:szCs w:val="20"/>
        </w:rPr>
        <w:t xml:space="preserve">-dermatosis characterized by indurated, hyperpigmented, and hypertrichotic skin with systemic manifestations. </w:t>
      </w:r>
      <w:r w:rsidRPr="00380F8C">
        <w:rPr>
          <w:rStyle w:val="Emphasis"/>
          <w:rFonts w:ascii="Arial" w:hAnsi="Arial" w:cs="Arial"/>
          <w:sz w:val="20"/>
          <w:szCs w:val="20"/>
        </w:rPr>
        <w:t>Journal of the American Academy of Dermatology</w:t>
      </w:r>
      <w:r w:rsidRPr="00380F8C">
        <w:rPr>
          <w:rFonts w:ascii="Arial" w:hAnsi="Arial" w:cs="Arial"/>
          <w:sz w:val="20"/>
          <w:szCs w:val="20"/>
        </w:rPr>
        <w:t>, 59(1), 79–85</w:t>
      </w:r>
    </w:p>
    <w:p w14:paraId="3AE220E4" w14:textId="77777777" w:rsidR="00380F8C" w:rsidRPr="00380F8C" w:rsidRDefault="00380F8C" w:rsidP="00380F8C">
      <w:pPr>
        <w:pStyle w:val="NormalWeb"/>
        <w:ind w:left="720"/>
        <w:rPr>
          <w:rFonts w:ascii="Arial" w:hAnsi="Arial" w:cs="Arial"/>
          <w:sz w:val="20"/>
          <w:szCs w:val="20"/>
        </w:rPr>
      </w:pPr>
      <w:r w:rsidRPr="00380F8C">
        <w:rPr>
          <w:rFonts w:ascii="Arial" w:hAnsi="Arial" w:cs="Arial"/>
          <w:sz w:val="20"/>
          <w:szCs w:val="20"/>
        </w:rPr>
        <w:t xml:space="preserve">Molho-Pessach V., Lerer I., </w:t>
      </w:r>
      <w:proofErr w:type="spellStart"/>
      <w:r w:rsidRPr="00380F8C">
        <w:rPr>
          <w:rFonts w:ascii="Arial" w:hAnsi="Arial" w:cs="Arial"/>
          <w:sz w:val="20"/>
          <w:szCs w:val="20"/>
        </w:rPr>
        <w:t>Abeliovich</w:t>
      </w:r>
      <w:proofErr w:type="spellEnd"/>
      <w:r w:rsidRPr="00380F8C">
        <w:rPr>
          <w:rFonts w:ascii="Arial" w:hAnsi="Arial" w:cs="Arial"/>
          <w:sz w:val="20"/>
          <w:szCs w:val="20"/>
        </w:rPr>
        <w:t xml:space="preserve"> D., Agha Z., Abu </w:t>
      </w:r>
      <w:proofErr w:type="spellStart"/>
      <w:r w:rsidRPr="00380F8C">
        <w:rPr>
          <w:rFonts w:ascii="Arial" w:hAnsi="Arial" w:cs="Arial"/>
          <w:sz w:val="20"/>
          <w:szCs w:val="20"/>
        </w:rPr>
        <w:t>Libdeh</w:t>
      </w:r>
      <w:proofErr w:type="spellEnd"/>
      <w:r w:rsidRPr="00380F8C">
        <w:rPr>
          <w:rFonts w:ascii="Arial" w:hAnsi="Arial" w:cs="Arial"/>
          <w:sz w:val="20"/>
          <w:szCs w:val="20"/>
        </w:rPr>
        <w:t xml:space="preserve"> A., </w:t>
      </w:r>
      <w:proofErr w:type="spellStart"/>
      <w:r w:rsidRPr="00380F8C">
        <w:rPr>
          <w:rFonts w:ascii="Arial" w:hAnsi="Arial" w:cs="Arial"/>
          <w:sz w:val="20"/>
          <w:szCs w:val="20"/>
        </w:rPr>
        <w:t>Broshtilova</w:t>
      </w:r>
      <w:proofErr w:type="spellEnd"/>
      <w:r w:rsidRPr="00380F8C">
        <w:rPr>
          <w:rFonts w:ascii="Arial" w:hAnsi="Arial" w:cs="Arial"/>
          <w:sz w:val="20"/>
          <w:szCs w:val="20"/>
        </w:rPr>
        <w:t xml:space="preserve"> V., et al. (2008). The H syndrome is caused by mutations in the nucleoside transporter hENT3. </w:t>
      </w:r>
      <w:r w:rsidRPr="00380F8C">
        <w:rPr>
          <w:rStyle w:val="Emphasis"/>
          <w:rFonts w:ascii="Arial" w:hAnsi="Arial" w:cs="Arial"/>
          <w:sz w:val="20"/>
          <w:szCs w:val="20"/>
        </w:rPr>
        <w:t>American Journal of Human Genetics</w:t>
      </w:r>
      <w:r w:rsidRPr="00380F8C">
        <w:rPr>
          <w:rFonts w:ascii="Arial" w:hAnsi="Arial" w:cs="Arial"/>
          <w:sz w:val="20"/>
          <w:szCs w:val="20"/>
        </w:rPr>
        <w:t>, 83(4), 529-534.</w:t>
      </w:r>
    </w:p>
    <w:p w14:paraId="1014A652" w14:textId="77777777" w:rsidR="00380F8C" w:rsidRPr="00380F8C" w:rsidRDefault="00380F8C" w:rsidP="00380F8C">
      <w:pPr>
        <w:pStyle w:val="NormalWeb"/>
        <w:ind w:left="720"/>
        <w:rPr>
          <w:rFonts w:ascii="Arial" w:hAnsi="Arial" w:cs="Arial"/>
          <w:sz w:val="20"/>
          <w:szCs w:val="20"/>
        </w:rPr>
      </w:pPr>
      <w:r w:rsidRPr="00380F8C">
        <w:rPr>
          <w:rFonts w:ascii="Arial" w:hAnsi="Arial" w:cs="Arial"/>
          <w:sz w:val="20"/>
          <w:szCs w:val="20"/>
        </w:rPr>
        <w:t xml:space="preserve">Hamad A., </w:t>
      </w:r>
      <w:proofErr w:type="spellStart"/>
      <w:r w:rsidRPr="00380F8C">
        <w:rPr>
          <w:rFonts w:ascii="Arial" w:hAnsi="Arial" w:cs="Arial"/>
          <w:sz w:val="20"/>
          <w:szCs w:val="20"/>
        </w:rPr>
        <w:t>Elwaheidi</w:t>
      </w:r>
      <w:proofErr w:type="spellEnd"/>
      <w:r w:rsidRPr="00380F8C">
        <w:rPr>
          <w:rFonts w:ascii="Arial" w:hAnsi="Arial" w:cs="Arial"/>
          <w:sz w:val="20"/>
          <w:szCs w:val="20"/>
        </w:rPr>
        <w:t xml:space="preserve"> H., Salameh F., </w:t>
      </w:r>
      <w:proofErr w:type="spellStart"/>
      <w:r w:rsidRPr="00380F8C">
        <w:rPr>
          <w:rFonts w:ascii="Arial" w:hAnsi="Arial" w:cs="Arial"/>
          <w:sz w:val="20"/>
          <w:szCs w:val="20"/>
        </w:rPr>
        <w:t>Alyahya</w:t>
      </w:r>
      <w:proofErr w:type="spellEnd"/>
      <w:r w:rsidRPr="00380F8C">
        <w:rPr>
          <w:rFonts w:ascii="Arial" w:hAnsi="Arial" w:cs="Arial"/>
          <w:sz w:val="20"/>
          <w:szCs w:val="20"/>
        </w:rPr>
        <w:t xml:space="preserve"> M., El Fakih R., &amp; </w:t>
      </w:r>
      <w:proofErr w:type="spellStart"/>
      <w:r w:rsidRPr="00380F8C">
        <w:rPr>
          <w:rFonts w:ascii="Arial" w:hAnsi="Arial" w:cs="Arial"/>
          <w:sz w:val="20"/>
          <w:szCs w:val="20"/>
        </w:rPr>
        <w:t>Aljurf</w:t>
      </w:r>
      <w:proofErr w:type="spellEnd"/>
      <w:r w:rsidRPr="00380F8C">
        <w:rPr>
          <w:rFonts w:ascii="Arial" w:hAnsi="Arial" w:cs="Arial"/>
          <w:sz w:val="20"/>
          <w:szCs w:val="20"/>
        </w:rPr>
        <w:t xml:space="preserve"> M. (2024). H syndrome: A histiocytosis-lymphadenopathy plus syndrome. A comprehensive review of the literature. </w:t>
      </w:r>
      <w:r w:rsidRPr="00380F8C">
        <w:rPr>
          <w:rStyle w:val="Emphasis"/>
          <w:rFonts w:ascii="Arial" w:hAnsi="Arial" w:cs="Arial"/>
          <w:sz w:val="20"/>
          <w:szCs w:val="20"/>
        </w:rPr>
        <w:t>Hematology/Oncology and Stem Cell Therapy</w:t>
      </w:r>
      <w:r w:rsidRPr="00380F8C">
        <w:rPr>
          <w:rFonts w:ascii="Arial" w:hAnsi="Arial" w:cs="Arial"/>
          <w:sz w:val="20"/>
          <w:szCs w:val="20"/>
        </w:rPr>
        <w:t>, 17(3), 159-167.</w:t>
      </w:r>
    </w:p>
    <w:p w14:paraId="033D42F4" w14:textId="77777777" w:rsidR="00B709B7" w:rsidRDefault="00380F8C" w:rsidP="00380F8C">
      <w:pPr>
        <w:pStyle w:val="ListParagraph"/>
        <w:spacing w:line="240" w:lineRule="auto"/>
        <w:rPr>
          <w:rFonts w:ascii="Arial" w:hAnsi="Arial" w:cs="Arial"/>
          <w:sz w:val="20"/>
          <w:szCs w:val="20"/>
        </w:rPr>
      </w:pPr>
      <w:r w:rsidRPr="00380F8C">
        <w:rPr>
          <w:rFonts w:ascii="Arial" w:hAnsi="Arial" w:cs="Arial"/>
          <w:sz w:val="20"/>
          <w:szCs w:val="20"/>
        </w:rPr>
        <w:t xml:space="preserve">Bolze A., Abhyankar A., Grant A. V., et al. (2012). A mild form of SLC29A3 disorder: a frameshift deletion leads to the paradoxical translation of an otherwise noncoding mRNA splice variant. </w:t>
      </w:r>
      <w:proofErr w:type="spellStart"/>
      <w:r w:rsidRPr="00380F8C">
        <w:rPr>
          <w:rStyle w:val="Emphasis"/>
          <w:rFonts w:ascii="Arial" w:hAnsi="Arial" w:cs="Arial"/>
          <w:sz w:val="20"/>
          <w:szCs w:val="20"/>
        </w:rPr>
        <w:t>PLoS</w:t>
      </w:r>
      <w:proofErr w:type="spellEnd"/>
      <w:r w:rsidRPr="00380F8C">
        <w:rPr>
          <w:rStyle w:val="Emphasis"/>
          <w:rFonts w:ascii="Arial" w:hAnsi="Arial" w:cs="Arial"/>
          <w:sz w:val="20"/>
          <w:szCs w:val="20"/>
        </w:rPr>
        <w:t xml:space="preserve"> One</w:t>
      </w:r>
      <w:r w:rsidRPr="00380F8C">
        <w:rPr>
          <w:rFonts w:ascii="Arial" w:hAnsi="Arial" w:cs="Arial"/>
          <w:sz w:val="20"/>
          <w:szCs w:val="20"/>
        </w:rPr>
        <w:t>, 7(1), e29708</w:t>
      </w:r>
    </w:p>
    <w:p w14:paraId="603E2FBA" w14:textId="77777777" w:rsidR="00380F8C" w:rsidRPr="00380F8C" w:rsidRDefault="00380F8C" w:rsidP="00380F8C">
      <w:pPr>
        <w:pStyle w:val="ListParagraph"/>
        <w:spacing w:line="240" w:lineRule="auto"/>
        <w:rPr>
          <w:rFonts w:ascii="Arial" w:hAnsi="Arial" w:cs="Arial"/>
          <w:sz w:val="20"/>
          <w:szCs w:val="20"/>
          <w:lang w:val="en-US"/>
        </w:rPr>
      </w:pPr>
    </w:p>
    <w:p w14:paraId="4CB9EF67" w14:textId="77777777" w:rsidR="00B709B7" w:rsidRPr="00380F8C" w:rsidRDefault="00380F8C" w:rsidP="00380F8C">
      <w:pPr>
        <w:pStyle w:val="ListParagraph"/>
        <w:spacing w:line="240" w:lineRule="auto"/>
        <w:rPr>
          <w:rFonts w:ascii="Arial" w:hAnsi="Arial" w:cs="Arial"/>
          <w:sz w:val="20"/>
          <w:szCs w:val="20"/>
          <w:lang w:val="en-US"/>
        </w:rPr>
      </w:pPr>
      <w:r w:rsidRPr="00380F8C">
        <w:rPr>
          <w:rFonts w:ascii="Arial" w:hAnsi="Arial" w:cs="Arial"/>
          <w:sz w:val="20"/>
          <w:szCs w:val="20"/>
        </w:rPr>
        <w:t xml:space="preserve">El-Bassyouni H. T., Thomas M. M., &amp; </w:t>
      </w:r>
      <w:proofErr w:type="spellStart"/>
      <w:r w:rsidRPr="00380F8C">
        <w:rPr>
          <w:rFonts w:ascii="Arial" w:hAnsi="Arial" w:cs="Arial"/>
          <w:sz w:val="20"/>
          <w:szCs w:val="20"/>
        </w:rPr>
        <w:t>Tosson</w:t>
      </w:r>
      <w:proofErr w:type="spellEnd"/>
      <w:r w:rsidRPr="00380F8C">
        <w:rPr>
          <w:rFonts w:ascii="Arial" w:hAnsi="Arial" w:cs="Arial"/>
          <w:sz w:val="20"/>
          <w:szCs w:val="20"/>
        </w:rPr>
        <w:t xml:space="preserve"> A. M. S. (2020). Mutation in the SLC29A3 gene in an Egyptian patient with H syndrome: A case report and review of literature. </w:t>
      </w:r>
      <w:r w:rsidRPr="00380F8C">
        <w:rPr>
          <w:rStyle w:val="Emphasis"/>
          <w:rFonts w:ascii="Arial" w:hAnsi="Arial" w:cs="Arial"/>
          <w:sz w:val="20"/>
          <w:szCs w:val="20"/>
        </w:rPr>
        <w:t>Journal of Pediatric Genetics</w:t>
      </w:r>
      <w:r w:rsidRPr="00380F8C">
        <w:rPr>
          <w:rFonts w:ascii="Arial" w:hAnsi="Arial" w:cs="Arial"/>
          <w:sz w:val="20"/>
          <w:szCs w:val="20"/>
        </w:rPr>
        <w:t>, 9(2), 109-113.</w:t>
      </w:r>
    </w:p>
    <w:p w14:paraId="1422246D" w14:textId="77777777" w:rsidR="00380F8C" w:rsidRDefault="00380F8C" w:rsidP="00380F8C">
      <w:pPr>
        <w:pStyle w:val="NormalWeb"/>
        <w:ind w:left="720"/>
        <w:rPr>
          <w:rFonts w:ascii="Arial" w:hAnsi="Arial" w:cs="Arial"/>
          <w:sz w:val="20"/>
          <w:szCs w:val="20"/>
        </w:rPr>
      </w:pPr>
      <w:r w:rsidRPr="00380F8C">
        <w:rPr>
          <w:rFonts w:ascii="Arial" w:hAnsi="Arial" w:cs="Arial"/>
          <w:sz w:val="20"/>
          <w:szCs w:val="20"/>
        </w:rPr>
        <w:t xml:space="preserve">Arik E., Keskin O., </w:t>
      </w:r>
      <w:proofErr w:type="spellStart"/>
      <w:r w:rsidRPr="00380F8C">
        <w:rPr>
          <w:rFonts w:ascii="Arial" w:hAnsi="Arial" w:cs="Arial"/>
          <w:sz w:val="20"/>
          <w:szCs w:val="20"/>
        </w:rPr>
        <w:t>Kucukosmanoglu</w:t>
      </w:r>
      <w:proofErr w:type="spellEnd"/>
      <w:r w:rsidRPr="00380F8C">
        <w:rPr>
          <w:rFonts w:ascii="Arial" w:hAnsi="Arial" w:cs="Arial"/>
          <w:sz w:val="20"/>
          <w:szCs w:val="20"/>
        </w:rPr>
        <w:t xml:space="preserve"> E., &amp; Cesur M. (2023). A rare autoimmune disease detected in the differential diagnosis of immunodeficiency: Histiocytosis-lymphadenopathy plus syndrome. </w:t>
      </w:r>
      <w:r w:rsidRPr="00380F8C">
        <w:rPr>
          <w:rStyle w:val="Emphasis"/>
          <w:rFonts w:ascii="Arial" w:hAnsi="Arial" w:cs="Arial"/>
          <w:sz w:val="20"/>
          <w:szCs w:val="20"/>
        </w:rPr>
        <w:t>Iranian Journal of Allergy, Asthma, and Immunology</w:t>
      </w:r>
      <w:r w:rsidRPr="00380F8C">
        <w:rPr>
          <w:rFonts w:ascii="Arial" w:hAnsi="Arial" w:cs="Arial"/>
          <w:sz w:val="20"/>
          <w:szCs w:val="20"/>
        </w:rPr>
        <w:t>, 22(4), 405-408.</w:t>
      </w:r>
    </w:p>
    <w:p w14:paraId="62620FFA" w14:textId="6DD1E75E" w:rsidR="00AE4582" w:rsidRDefault="00AE4582" w:rsidP="00380F8C">
      <w:pPr>
        <w:pStyle w:val="NormalWeb"/>
        <w:ind w:left="720"/>
        <w:rPr>
          <w:rFonts w:ascii="Arial" w:hAnsi="Arial" w:cs="Arial"/>
          <w:sz w:val="20"/>
          <w:szCs w:val="20"/>
        </w:rPr>
      </w:pPr>
      <w:r w:rsidRPr="00AE4582">
        <w:rPr>
          <w:rFonts w:ascii="Arial" w:hAnsi="Arial" w:cs="Arial"/>
          <w:sz w:val="20"/>
          <w:szCs w:val="20"/>
        </w:rPr>
        <w:t xml:space="preserve">Hiller N., </w:t>
      </w:r>
      <w:proofErr w:type="spellStart"/>
      <w:r w:rsidRPr="00AE4582">
        <w:rPr>
          <w:rFonts w:ascii="Arial" w:hAnsi="Arial" w:cs="Arial"/>
          <w:sz w:val="20"/>
          <w:szCs w:val="20"/>
        </w:rPr>
        <w:t>Zlotogorski</w:t>
      </w:r>
      <w:proofErr w:type="spellEnd"/>
      <w:r w:rsidRPr="00AE4582">
        <w:rPr>
          <w:rFonts w:ascii="Arial" w:hAnsi="Arial" w:cs="Arial"/>
          <w:sz w:val="20"/>
          <w:szCs w:val="20"/>
        </w:rPr>
        <w:t xml:space="preserve"> A., </w:t>
      </w:r>
      <w:proofErr w:type="spellStart"/>
      <w:r w:rsidRPr="00AE4582">
        <w:rPr>
          <w:rFonts w:ascii="Arial" w:hAnsi="Arial" w:cs="Arial"/>
          <w:sz w:val="20"/>
          <w:szCs w:val="20"/>
        </w:rPr>
        <w:t>Simanovsky</w:t>
      </w:r>
      <w:proofErr w:type="spellEnd"/>
      <w:r w:rsidRPr="00AE4582">
        <w:rPr>
          <w:rFonts w:ascii="Arial" w:hAnsi="Arial" w:cs="Arial"/>
          <w:sz w:val="20"/>
          <w:szCs w:val="20"/>
        </w:rPr>
        <w:t xml:space="preserve"> N., </w:t>
      </w:r>
      <w:proofErr w:type="spellStart"/>
      <w:r w:rsidRPr="00AE4582">
        <w:rPr>
          <w:rFonts w:ascii="Arial" w:hAnsi="Arial" w:cs="Arial"/>
          <w:sz w:val="20"/>
          <w:szCs w:val="20"/>
        </w:rPr>
        <w:t>Ingber</w:t>
      </w:r>
      <w:proofErr w:type="spellEnd"/>
      <w:r w:rsidRPr="00AE4582">
        <w:rPr>
          <w:rFonts w:ascii="Arial" w:hAnsi="Arial" w:cs="Arial"/>
          <w:sz w:val="20"/>
          <w:szCs w:val="20"/>
        </w:rPr>
        <w:t xml:space="preserve"> A., </w:t>
      </w:r>
      <w:proofErr w:type="spellStart"/>
      <w:r w:rsidRPr="00AE4582">
        <w:rPr>
          <w:rFonts w:ascii="Arial" w:hAnsi="Arial" w:cs="Arial"/>
          <w:sz w:val="20"/>
          <w:szCs w:val="20"/>
        </w:rPr>
        <w:t>Ramot</w:t>
      </w:r>
      <w:proofErr w:type="spellEnd"/>
      <w:r w:rsidRPr="00AE4582">
        <w:rPr>
          <w:rFonts w:ascii="Arial" w:hAnsi="Arial" w:cs="Arial"/>
          <w:sz w:val="20"/>
          <w:szCs w:val="20"/>
        </w:rPr>
        <w:t xml:space="preserve"> Y., </w:t>
      </w:r>
      <w:proofErr w:type="spellStart"/>
      <w:r w:rsidRPr="00AE4582">
        <w:rPr>
          <w:rFonts w:ascii="Arial" w:hAnsi="Arial" w:cs="Arial"/>
          <w:sz w:val="20"/>
          <w:szCs w:val="20"/>
        </w:rPr>
        <w:t>Molho-Pessach</w:t>
      </w:r>
      <w:proofErr w:type="spellEnd"/>
      <w:r w:rsidRPr="00AE4582">
        <w:rPr>
          <w:rFonts w:ascii="Arial" w:hAnsi="Arial" w:cs="Arial"/>
          <w:sz w:val="20"/>
          <w:szCs w:val="20"/>
        </w:rPr>
        <w:t xml:space="preserve"> V. (2013). The spectrum of radiological findings in H syndrome. </w:t>
      </w:r>
      <w:proofErr w:type="spellStart"/>
      <w:r w:rsidRPr="00AE4582">
        <w:rPr>
          <w:rStyle w:val="Emphasis"/>
          <w:rFonts w:ascii="Arial" w:hAnsi="Arial" w:cs="Arial"/>
          <w:sz w:val="20"/>
          <w:szCs w:val="20"/>
        </w:rPr>
        <w:t>Clin</w:t>
      </w:r>
      <w:proofErr w:type="spellEnd"/>
      <w:r w:rsidRPr="00AE4582">
        <w:rPr>
          <w:rStyle w:val="Emphasis"/>
          <w:rFonts w:ascii="Arial" w:hAnsi="Arial" w:cs="Arial"/>
          <w:sz w:val="20"/>
          <w:szCs w:val="20"/>
        </w:rPr>
        <w:t xml:space="preserve"> Imaging, 37</w:t>
      </w:r>
      <w:r>
        <w:rPr>
          <w:rFonts w:ascii="Arial" w:hAnsi="Arial" w:cs="Arial"/>
          <w:sz w:val="20"/>
          <w:szCs w:val="20"/>
        </w:rPr>
        <w:t>(2), 313-319.</w:t>
      </w:r>
    </w:p>
    <w:p w14:paraId="6829C3DB" w14:textId="541BF734" w:rsidR="008F1A37" w:rsidRPr="008F1A37" w:rsidRDefault="008F1A37" w:rsidP="00380F8C">
      <w:pPr>
        <w:pStyle w:val="NormalWeb"/>
        <w:ind w:left="720"/>
        <w:rPr>
          <w:rFonts w:ascii="Arial" w:hAnsi="Arial" w:cs="Arial"/>
          <w:sz w:val="20"/>
          <w:szCs w:val="20"/>
        </w:rPr>
      </w:pPr>
      <w:proofErr w:type="spellStart"/>
      <w:r w:rsidRPr="008F1A37">
        <w:rPr>
          <w:rFonts w:ascii="Arial" w:hAnsi="Arial" w:cs="Arial"/>
          <w:sz w:val="20"/>
          <w:szCs w:val="20"/>
        </w:rPr>
        <w:lastRenderedPageBreak/>
        <w:t>Molho-Pessach</w:t>
      </w:r>
      <w:proofErr w:type="spellEnd"/>
      <w:r w:rsidRPr="008F1A37">
        <w:rPr>
          <w:rFonts w:ascii="Arial" w:hAnsi="Arial" w:cs="Arial"/>
          <w:sz w:val="20"/>
          <w:szCs w:val="20"/>
        </w:rPr>
        <w:t xml:space="preserve"> V., Suarez J., Perrin C., et al. (2010). The H syndrome: Two novel mutations affecting the same amino acid residue of hENT3. </w:t>
      </w:r>
      <w:r w:rsidRPr="008F1A37">
        <w:rPr>
          <w:rStyle w:val="Emphasis"/>
          <w:rFonts w:ascii="Arial" w:hAnsi="Arial" w:cs="Arial"/>
          <w:sz w:val="20"/>
          <w:szCs w:val="20"/>
        </w:rPr>
        <w:t xml:space="preserve">J </w:t>
      </w:r>
      <w:proofErr w:type="spellStart"/>
      <w:r w:rsidRPr="008F1A37">
        <w:rPr>
          <w:rStyle w:val="Emphasis"/>
          <w:rFonts w:ascii="Arial" w:hAnsi="Arial" w:cs="Arial"/>
          <w:sz w:val="20"/>
          <w:szCs w:val="20"/>
        </w:rPr>
        <w:t>Dermatol</w:t>
      </w:r>
      <w:proofErr w:type="spellEnd"/>
      <w:r w:rsidRPr="008F1A37">
        <w:rPr>
          <w:rStyle w:val="Emphasis"/>
          <w:rFonts w:ascii="Arial" w:hAnsi="Arial" w:cs="Arial"/>
          <w:sz w:val="20"/>
          <w:szCs w:val="20"/>
        </w:rPr>
        <w:t xml:space="preserve"> </w:t>
      </w:r>
      <w:proofErr w:type="spellStart"/>
      <w:r w:rsidRPr="008F1A37">
        <w:rPr>
          <w:rStyle w:val="Emphasis"/>
          <w:rFonts w:ascii="Arial" w:hAnsi="Arial" w:cs="Arial"/>
          <w:sz w:val="20"/>
          <w:szCs w:val="20"/>
        </w:rPr>
        <w:t>Sci</w:t>
      </w:r>
      <w:proofErr w:type="spellEnd"/>
      <w:r w:rsidRPr="008F1A37">
        <w:rPr>
          <w:rStyle w:val="Emphasis"/>
          <w:rFonts w:ascii="Arial" w:hAnsi="Arial" w:cs="Arial"/>
          <w:sz w:val="20"/>
          <w:szCs w:val="20"/>
        </w:rPr>
        <w:t>, 57</w:t>
      </w:r>
      <w:r w:rsidRPr="008F1A37">
        <w:rPr>
          <w:rFonts w:ascii="Arial" w:hAnsi="Arial" w:cs="Arial"/>
          <w:sz w:val="20"/>
          <w:szCs w:val="20"/>
        </w:rPr>
        <w:t>(1), 59-61</w:t>
      </w:r>
    </w:p>
    <w:p w14:paraId="7CDC338C" w14:textId="2B4EB643" w:rsidR="00B709B7" w:rsidRDefault="008F1A37" w:rsidP="008F1A37">
      <w:pPr>
        <w:spacing w:line="240" w:lineRule="auto"/>
        <w:ind w:left="720"/>
        <w:rPr>
          <w:rFonts w:ascii="Arial" w:hAnsi="Arial" w:cs="Arial"/>
          <w:sz w:val="20"/>
          <w:szCs w:val="20"/>
        </w:rPr>
      </w:pPr>
      <w:r w:rsidRPr="008F1A37">
        <w:rPr>
          <w:rFonts w:ascii="Arial" w:hAnsi="Arial" w:cs="Arial"/>
          <w:sz w:val="20"/>
          <w:szCs w:val="20"/>
        </w:rPr>
        <w:t xml:space="preserve">Kang N., Jun AH., </w:t>
      </w:r>
      <w:proofErr w:type="spellStart"/>
      <w:r w:rsidRPr="008F1A37">
        <w:rPr>
          <w:rFonts w:ascii="Arial" w:hAnsi="Arial" w:cs="Arial"/>
          <w:sz w:val="20"/>
          <w:szCs w:val="20"/>
        </w:rPr>
        <w:t>Bhutia</w:t>
      </w:r>
      <w:proofErr w:type="spellEnd"/>
      <w:r w:rsidRPr="008F1A37">
        <w:rPr>
          <w:rFonts w:ascii="Arial" w:hAnsi="Arial" w:cs="Arial"/>
          <w:sz w:val="20"/>
          <w:szCs w:val="20"/>
        </w:rPr>
        <w:t xml:space="preserve"> YD., Kannan N., </w:t>
      </w:r>
      <w:proofErr w:type="spellStart"/>
      <w:r w:rsidRPr="008F1A37">
        <w:rPr>
          <w:rFonts w:ascii="Arial" w:hAnsi="Arial" w:cs="Arial"/>
          <w:sz w:val="20"/>
          <w:szCs w:val="20"/>
        </w:rPr>
        <w:t>Unadkat</w:t>
      </w:r>
      <w:proofErr w:type="spellEnd"/>
      <w:r w:rsidRPr="008F1A37">
        <w:rPr>
          <w:rFonts w:ascii="Arial" w:hAnsi="Arial" w:cs="Arial"/>
          <w:sz w:val="20"/>
          <w:szCs w:val="20"/>
        </w:rPr>
        <w:t xml:space="preserve"> JD., </w:t>
      </w:r>
      <w:proofErr w:type="spellStart"/>
      <w:r w:rsidRPr="008F1A37">
        <w:rPr>
          <w:rFonts w:ascii="Arial" w:hAnsi="Arial" w:cs="Arial"/>
          <w:sz w:val="20"/>
          <w:szCs w:val="20"/>
        </w:rPr>
        <w:t>Govindarajan</w:t>
      </w:r>
      <w:proofErr w:type="spellEnd"/>
      <w:r w:rsidRPr="008F1A37">
        <w:rPr>
          <w:rFonts w:ascii="Arial" w:hAnsi="Arial" w:cs="Arial"/>
          <w:sz w:val="20"/>
          <w:szCs w:val="20"/>
        </w:rPr>
        <w:t xml:space="preserve"> R. (2010). Human </w:t>
      </w:r>
      <w:proofErr w:type="spellStart"/>
      <w:r w:rsidRPr="008F1A37">
        <w:rPr>
          <w:rFonts w:ascii="Arial" w:hAnsi="Arial" w:cs="Arial"/>
          <w:sz w:val="20"/>
          <w:szCs w:val="20"/>
        </w:rPr>
        <w:t>equilibrative</w:t>
      </w:r>
      <w:proofErr w:type="spellEnd"/>
      <w:r w:rsidRPr="008F1A37">
        <w:rPr>
          <w:rFonts w:ascii="Arial" w:hAnsi="Arial" w:cs="Arial"/>
          <w:sz w:val="20"/>
          <w:szCs w:val="20"/>
        </w:rPr>
        <w:t xml:space="preserve"> nucleoside transporter-3 (hENT3) spectrum disorder mutations impair nucleoside transport, protein localization, and stability. </w:t>
      </w:r>
      <w:r w:rsidRPr="008F1A37">
        <w:rPr>
          <w:rStyle w:val="Emphasis"/>
          <w:rFonts w:ascii="Arial" w:hAnsi="Arial" w:cs="Arial"/>
          <w:sz w:val="20"/>
          <w:szCs w:val="20"/>
        </w:rPr>
        <w:t xml:space="preserve">J </w:t>
      </w:r>
      <w:proofErr w:type="spellStart"/>
      <w:r w:rsidRPr="008F1A37">
        <w:rPr>
          <w:rStyle w:val="Emphasis"/>
          <w:rFonts w:ascii="Arial" w:hAnsi="Arial" w:cs="Arial"/>
          <w:sz w:val="20"/>
          <w:szCs w:val="20"/>
        </w:rPr>
        <w:t>Biol</w:t>
      </w:r>
      <w:proofErr w:type="spellEnd"/>
      <w:r w:rsidRPr="008F1A37">
        <w:rPr>
          <w:rStyle w:val="Emphasis"/>
          <w:rFonts w:ascii="Arial" w:hAnsi="Arial" w:cs="Arial"/>
          <w:sz w:val="20"/>
          <w:szCs w:val="20"/>
        </w:rPr>
        <w:t xml:space="preserve"> </w:t>
      </w:r>
      <w:proofErr w:type="spellStart"/>
      <w:r w:rsidRPr="008F1A37">
        <w:rPr>
          <w:rStyle w:val="Emphasis"/>
          <w:rFonts w:ascii="Arial" w:hAnsi="Arial" w:cs="Arial"/>
          <w:sz w:val="20"/>
          <w:szCs w:val="20"/>
        </w:rPr>
        <w:t>Chem</w:t>
      </w:r>
      <w:proofErr w:type="spellEnd"/>
      <w:r w:rsidRPr="008F1A37">
        <w:rPr>
          <w:rStyle w:val="Emphasis"/>
          <w:rFonts w:ascii="Arial" w:hAnsi="Arial" w:cs="Arial"/>
          <w:sz w:val="20"/>
          <w:szCs w:val="20"/>
        </w:rPr>
        <w:t>, 285</w:t>
      </w:r>
      <w:r w:rsidRPr="008F1A37">
        <w:rPr>
          <w:rFonts w:ascii="Arial" w:hAnsi="Arial" w:cs="Arial"/>
          <w:sz w:val="20"/>
          <w:szCs w:val="20"/>
        </w:rPr>
        <w:t>(36), 28343-52</w:t>
      </w:r>
    </w:p>
    <w:p w14:paraId="33910758" w14:textId="77777777" w:rsidR="00B253D9" w:rsidRPr="008F1A37" w:rsidRDefault="00B253D9" w:rsidP="008F1A37">
      <w:pPr>
        <w:spacing w:line="240" w:lineRule="auto"/>
        <w:ind w:left="720"/>
        <w:rPr>
          <w:rFonts w:ascii="Arial" w:hAnsi="Arial" w:cs="Arial"/>
          <w:sz w:val="20"/>
          <w:szCs w:val="20"/>
          <w:lang w:val="en-US"/>
        </w:rPr>
      </w:pPr>
    </w:p>
    <w:p w14:paraId="26B28CC7" w14:textId="77777777" w:rsidR="00B709B7" w:rsidRDefault="00B709B7" w:rsidP="00B709B7">
      <w:pPr>
        <w:pStyle w:val="ReferHead"/>
        <w:spacing w:after="0"/>
        <w:ind w:firstLine="360"/>
        <w:jc w:val="both"/>
        <w:rPr>
          <w:rFonts w:ascii="Arial" w:hAnsi="Arial" w:cs="Arial"/>
        </w:rPr>
      </w:pPr>
    </w:p>
    <w:p w14:paraId="2ACF7F24" w14:textId="77777777" w:rsidR="00B709B7" w:rsidRDefault="0059418E" w:rsidP="0059418E">
      <w:pPr>
        <w:spacing w:line="240" w:lineRule="auto"/>
        <w:ind w:left="1800" w:firstLine="360"/>
        <w:rPr>
          <w:rFonts w:ascii="Arial" w:eastAsia="Times New Roman" w:hAnsi="Arial" w:cs="Arial"/>
          <w:b/>
          <w:sz w:val="20"/>
          <w:szCs w:val="20"/>
        </w:rPr>
      </w:pPr>
      <w:r w:rsidRPr="007E6F95">
        <w:rPr>
          <w:noProof/>
          <w:lang w:val="en-US"/>
        </w:rPr>
        <w:drawing>
          <wp:inline distT="0" distB="0" distL="0" distR="0" wp14:anchorId="3EA45612" wp14:editId="4186D1B9">
            <wp:extent cx="2647950" cy="3162300"/>
            <wp:effectExtent l="0" t="0" r="0" b="0"/>
            <wp:docPr id="6" name="Picture 6" descr="C:\Users\ADMIN\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titled1.png"/>
                    <pic:cNvPicPr>
                      <a:picLocks noChangeAspect="1" noChangeArrowheads="1"/>
                    </pic:cNvPicPr>
                  </pic:nvPicPr>
                  <pic:blipFill rotWithShape="1">
                    <a:blip r:embed="rId8">
                      <a:extLst>
                        <a:ext uri="{28A0092B-C50C-407E-A947-70E740481C1C}">
                          <a14:useLocalDpi xmlns:a14="http://schemas.microsoft.com/office/drawing/2010/main" val="0"/>
                        </a:ext>
                      </a:extLst>
                    </a:blip>
                    <a:srcRect r="7580" b="6479"/>
                    <a:stretch/>
                  </pic:blipFill>
                  <pic:spPr bwMode="auto">
                    <a:xfrm>
                      <a:off x="0" y="0"/>
                      <a:ext cx="2659930" cy="3176606"/>
                    </a:xfrm>
                    <a:prstGeom prst="rect">
                      <a:avLst/>
                    </a:prstGeom>
                    <a:noFill/>
                    <a:ln>
                      <a:noFill/>
                    </a:ln>
                    <a:extLst>
                      <a:ext uri="{53640926-AAD7-44D8-BBD7-CCE9431645EC}">
                        <a14:shadowObscured xmlns:a14="http://schemas.microsoft.com/office/drawing/2010/main"/>
                      </a:ext>
                    </a:extLst>
                  </pic:spPr>
                </pic:pic>
              </a:graphicData>
            </a:graphic>
          </wp:inline>
        </w:drawing>
      </w:r>
    </w:p>
    <w:p w14:paraId="754D618A" w14:textId="77777777" w:rsidR="0059418E" w:rsidRDefault="0059418E" w:rsidP="0059418E">
      <w:pPr>
        <w:spacing w:line="240" w:lineRule="auto"/>
        <w:ind w:left="1800" w:firstLine="360"/>
        <w:rPr>
          <w:rFonts w:ascii="Arial" w:eastAsia="Times New Roman" w:hAnsi="Arial" w:cs="Arial"/>
          <w:b/>
          <w:sz w:val="20"/>
          <w:szCs w:val="20"/>
        </w:rPr>
      </w:pPr>
      <w:r>
        <w:rPr>
          <w:rFonts w:ascii="Arial" w:eastAsia="Times New Roman" w:hAnsi="Arial" w:cs="Arial"/>
          <w:b/>
          <w:sz w:val="20"/>
          <w:szCs w:val="20"/>
        </w:rPr>
        <w:t>Figure 1- Short stature with microcephaly</w:t>
      </w:r>
    </w:p>
    <w:p w14:paraId="34A3E6B1" w14:textId="77777777" w:rsidR="0059418E" w:rsidRDefault="0059418E" w:rsidP="0059418E">
      <w:pPr>
        <w:spacing w:line="240" w:lineRule="auto"/>
        <w:ind w:left="1800" w:firstLine="360"/>
        <w:rPr>
          <w:rFonts w:ascii="Arial" w:eastAsia="Times New Roman" w:hAnsi="Arial" w:cs="Arial"/>
          <w:b/>
          <w:sz w:val="20"/>
          <w:szCs w:val="20"/>
        </w:rPr>
      </w:pPr>
    </w:p>
    <w:p w14:paraId="0ED5DC03" w14:textId="77777777" w:rsidR="0059418E" w:rsidRDefault="0059418E" w:rsidP="0059418E">
      <w:pPr>
        <w:spacing w:line="240" w:lineRule="auto"/>
        <w:ind w:left="1800" w:firstLine="360"/>
        <w:rPr>
          <w:rFonts w:ascii="Arial" w:eastAsia="Times New Roman" w:hAnsi="Arial" w:cs="Arial"/>
          <w:b/>
          <w:sz w:val="20"/>
          <w:szCs w:val="20"/>
        </w:rPr>
      </w:pPr>
    </w:p>
    <w:p w14:paraId="3D660C0C" w14:textId="77777777" w:rsidR="0059418E" w:rsidRDefault="0059418E" w:rsidP="0059418E">
      <w:pPr>
        <w:spacing w:line="240" w:lineRule="auto"/>
        <w:ind w:left="1800" w:firstLine="360"/>
        <w:rPr>
          <w:rFonts w:ascii="Arial" w:eastAsia="Times New Roman" w:hAnsi="Arial" w:cs="Arial"/>
          <w:b/>
          <w:sz w:val="20"/>
          <w:szCs w:val="20"/>
        </w:rPr>
      </w:pPr>
      <w:r w:rsidRPr="00A24652">
        <w:rPr>
          <w:rFonts w:ascii="Times New Roman" w:eastAsia="Times New Roman" w:hAnsi="Times New Roman" w:cs="Times New Roman"/>
          <w:noProof/>
          <w:sz w:val="24"/>
          <w:szCs w:val="24"/>
          <w:lang w:val="en-US"/>
        </w:rPr>
        <w:drawing>
          <wp:inline distT="0" distB="0" distL="0" distR="0" wp14:anchorId="6C28703C" wp14:editId="66669951">
            <wp:extent cx="3067050" cy="2892425"/>
            <wp:effectExtent l="0" t="0" r="0" b="3175"/>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9849" cy="2895065"/>
                    </a:xfrm>
                    <a:prstGeom prst="rect">
                      <a:avLst/>
                    </a:prstGeom>
                    <a:noFill/>
                    <a:ln>
                      <a:noFill/>
                    </a:ln>
                  </pic:spPr>
                </pic:pic>
              </a:graphicData>
            </a:graphic>
          </wp:inline>
        </w:drawing>
      </w:r>
    </w:p>
    <w:p w14:paraId="0EE9019A" w14:textId="77777777" w:rsidR="0059418E" w:rsidRDefault="0059418E" w:rsidP="0059418E">
      <w:pPr>
        <w:spacing w:line="240" w:lineRule="auto"/>
        <w:ind w:left="1800" w:firstLine="360"/>
        <w:rPr>
          <w:rFonts w:ascii="Arial" w:eastAsia="Times New Roman" w:hAnsi="Arial" w:cs="Arial"/>
          <w:b/>
          <w:sz w:val="20"/>
          <w:szCs w:val="20"/>
        </w:rPr>
      </w:pPr>
      <w:r>
        <w:rPr>
          <w:rFonts w:ascii="Arial" w:eastAsia="Times New Roman" w:hAnsi="Arial" w:cs="Arial"/>
          <w:b/>
          <w:sz w:val="20"/>
          <w:szCs w:val="20"/>
        </w:rPr>
        <w:t>Figure 2- Hepatosplenomegaly</w:t>
      </w:r>
    </w:p>
    <w:p w14:paraId="1BEF313C" w14:textId="77777777" w:rsidR="0059418E" w:rsidRDefault="0059418E" w:rsidP="0059418E">
      <w:pPr>
        <w:spacing w:line="240" w:lineRule="auto"/>
        <w:ind w:left="1800" w:firstLine="360"/>
        <w:rPr>
          <w:rFonts w:ascii="Arial" w:eastAsia="Times New Roman" w:hAnsi="Arial" w:cs="Arial"/>
          <w:b/>
          <w:sz w:val="20"/>
          <w:szCs w:val="20"/>
        </w:rPr>
      </w:pPr>
    </w:p>
    <w:p w14:paraId="42409ECB" w14:textId="77777777" w:rsidR="0059418E" w:rsidRDefault="0059418E" w:rsidP="0059418E">
      <w:pPr>
        <w:spacing w:line="240" w:lineRule="auto"/>
        <w:ind w:left="1800" w:firstLine="360"/>
        <w:rPr>
          <w:rFonts w:ascii="Arial" w:eastAsia="Times New Roman" w:hAnsi="Arial" w:cs="Arial"/>
          <w:b/>
          <w:sz w:val="20"/>
          <w:szCs w:val="20"/>
        </w:rPr>
      </w:pPr>
    </w:p>
    <w:p w14:paraId="44189CF9" w14:textId="77777777" w:rsidR="0059418E" w:rsidRDefault="0059418E" w:rsidP="0059418E">
      <w:pPr>
        <w:spacing w:line="240" w:lineRule="auto"/>
        <w:ind w:left="1800" w:firstLine="360"/>
        <w:rPr>
          <w:rFonts w:ascii="Arial" w:eastAsia="Times New Roman" w:hAnsi="Arial" w:cs="Arial"/>
          <w:b/>
          <w:sz w:val="20"/>
          <w:szCs w:val="20"/>
        </w:rPr>
      </w:pPr>
    </w:p>
    <w:p w14:paraId="7F4AE461" w14:textId="77777777" w:rsidR="0059418E" w:rsidRDefault="0059418E" w:rsidP="0059418E">
      <w:pPr>
        <w:spacing w:line="240" w:lineRule="auto"/>
        <w:ind w:left="1800" w:firstLine="360"/>
        <w:rPr>
          <w:rFonts w:ascii="Arial" w:eastAsia="Times New Roman" w:hAnsi="Arial" w:cs="Arial"/>
          <w:b/>
          <w:sz w:val="20"/>
          <w:szCs w:val="20"/>
        </w:rPr>
      </w:pPr>
    </w:p>
    <w:p w14:paraId="77285AF7" w14:textId="77777777" w:rsidR="0059418E" w:rsidRDefault="0059418E" w:rsidP="0059418E">
      <w:pPr>
        <w:spacing w:line="240" w:lineRule="auto"/>
        <w:ind w:left="1800" w:firstLine="360"/>
        <w:rPr>
          <w:rFonts w:ascii="Arial" w:eastAsia="Times New Roman" w:hAnsi="Arial" w:cs="Arial"/>
          <w:b/>
          <w:sz w:val="20"/>
          <w:szCs w:val="20"/>
        </w:rPr>
      </w:pPr>
    </w:p>
    <w:p w14:paraId="6236AE23" w14:textId="77777777" w:rsidR="0059418E" w:rsidRDefault="0059418E" w:rsidP="0059418E">
      <w:pPr>
        <w:spacing w:line="240" w:lineRule="auto"/>
        <w:ind w:left="1800" w:firstLine="360"/>
        <w:rPr>
          <w:rFonts w:ascii="Arial" w:eastAsia="Times New Roman" w:hAnsi="Arial" w:cs="Arial"/>
          <w:b/>
          <w:sz w:val="20"/>
          <w:szCs w:val="20"/>
        </w:rPr>
      </w:pPr>
    </w:p>
    <w:p w14:paraId="66C37105" w14:textId="77777777" w:rsidR="0059418E" w:rsidRDefault="0059418E" w:rsidP="0059418E">
      <w:pPr>
        <w:spacing w:line="240" w:lineRule="auto"/>
        <w:rPr>
          <w:rFonts w:ascii="Arial" w:eastAsia="Times New Roman" w:hAnsi="Arial" w:cs="Arial"/>
          <w:b/>
          <w:sz w:val="20"/>
          <w:szCs w:val="20"/>
        </w:rPr>
      </w:pPr>
      <w:r>
        <w:rPr>
          <w:rFonts w:ascii="Arial" w:eastAsia="Times New Roman" w:hAnsi="Arial" w:cs="Arial"/>
          <w:b/>
          <w:sz w:val="20"/>
          <w:szCs w:val="20"/>
        </w:rPr>
        <w:t xml:space="preserve">                     </w:t>
      </w:r>
      <w:r w:rsidRPr="00811DDC">
        <w:rPr>
          <w:rFonts w:ascii="Times New Roman" w:eastAsia="Times New Roman" w:hAnsi="Times New Roman" w:cs="Times New Roman"/>
          <w:noProof/>
          <w:sz w:val="24"/>
          <w:szCs w:val="24"/>
          <w:lang w:val="en-US"/>
        </w:rPr>
        <w:drawing>
          <wp:inline distT="0" distB="0" distL="0" distR="0" wp14:anchorId="0914AB72" wp14:editId="7901E0EB">
            <wp:extent cx="4580255" cy="2082368"/>
            <wp:effectExtent l="0" t="0" r="0" b="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9039"/>
                    <a:stretch/>
                  </pic:blipFill>
                  <pic:spPr bwMode="auto">
                    <a:xfrm>
                      <a:off x="0" y="0"/>
                      <a:ext cx="4591242" cy="2087363"/>
                    </a:xfrm>
                    <a:prstGeom prst="rect">
                      <a:avLst/>
                    </a:prstGeom>
                    <a:noFill/>
                    <a:ln>
                      <a:noFill/>
                    </a:ln>
                    <a:extLst>
                      <a:ext uri="{53640926-AAD7-44D8-BBD7-CCE9431645EC}">
                        <a14:shadowObscured xmlns:a14="http://schemas.microsoft.com/office/drawing/2010/main"/>
                      </a:ext>
                    </a:extLst>
                  </pic:spPr>
                </pic:pic>
              </a:graphicData>
            </a:graphic>
          </wp:inline>
        </w:drawing>
      </w:r>
    </w:p>
    <w:p w14:paraId="72D3B3C4" w14:textId="77777777" w:rsidR="0059418E" w:rsidRPr="00DF04E3" w:rsidRDefault="0059418E" w:rsidP="0059418E">
      <w:pPr>
        <w:spacing w:line="240" w:lineRule="auto"/>
        <w:rPr>
          <w:rFonts w:ascii="Arial" w:eastAsia="Times New Roman" w:hAnsi="Arial" w:cs="Arial"/>
          <w:b/>
          <w:sz w:val="20"/>
          <w:szCs w:val="20"/>
        </w:rPr>
      </w:pPr>
      <w:r>
        <w:rPr>
          <w:rFonts w:ascii="Arial" w:eastAsia="Times New Roman" w:hAnsi="Arial" w:cs="Arial"/>
          <w:b/>
          <w:sz w:val="20"/>
          <w:szCs w:val="20"/>
        </w:rPr>
        <w:tab/>
      </w:r>
      <w:r>
        <w:rPr>
          <w:rFonts w:ascii="Arial" w:eastAsia="Times New Roman" w:hAnsi="Arial" w:cs="Arial"/>
          <w:b/>
          <w:sz w:val="20"/>
          <w:szCs w:val="20"/>
        </w:rPr>
        <w:tab/>
        <w:t xml:space="preserve">                 Figure 3- Whole exome sequencing report</w:t>
      </w:r>
    </w:p>
    <w:sectPr w:rsidR="0059418E" w:rsidRPr="00DF04E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99B97" w14:textId="77777777" w:rsidR="000F7BFF" w:rsidRDefault="000F7BFF" w:rsidP="0013523C">
      <w:pPr>
        <w:spacing w:after="0" w:line="240" w:lineRule="auto"/>
      </w:pPr>
      <w:r>
        <w:separator/>
      </w:r>
    </w:p>
  </w:endnote>
  <w:endnote w:type="continuationSeparator" w:id="0">
    <w:p w14:paraId="7C572F9B" w14:textId="77777777" w:rsidR="000F7BFF" w:rsidRDefault="000F7BFF" w:rsidP="0013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5656A" w14:textId="77777777" w:rsidR="005D103F" w:rsidRDefault="005D1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CC62" w14:textId="77777777" w:rsidR="005D103F" w:rsidRDefault="005D1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F686" w14:textId="77777777" w:rsidR="005D103F" w:rsidRDefault="005D1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9C13C" w14:textId="77777777" w:rsidR="000F7BFF" w:rsidRDefault="000F7BFF" w:rsidP="0013523C">
      <w:pPr>
        <w:spacing w:after="0" w:line="240" w:lineRule="auto"/>
      </w:pPr>
      <w:r>
        <w:separator/>
      </w:r>
    </w:p>
  </w:footnote>
  <w:footnote w:type="continuationSeparator" w:id="0">
    <w:p w14:paraId="1F6F625F" w14:textId="77777777" w:rsidR="000F7BFF" w:rsidRDefault="000F7BFF" w:rsidP="00135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60E8" w14:textId="09A4D570" w:rsidR="005D103F" w:rsidRDefault="000F7BFF">
    <w:pPr>
      <w:pStyle w:val="Header"/>
    </w:pPr>
    <w:r>
      <w:rPr>
        <w:noProof/>
      </w:rPr>
      <w:pict w14:anchorId="52866A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013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7972B" w14:textId="54E822CD" w:rsidR="005D103F" w:rsidRDefault="000F7BFF">
    <w:pPr>
      <w:pStyle w:val="Header"/>
    </w:pPr>
    <w:r>
      <w:rPr>
        <w:noProof/>
      </w:rPr>
      <w:pict w14:anchorId="661BD5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013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C5492" w14:textId="7C620297" w:rsidR="005D103F" w:rsidRDefault="000F7BFF">
    <w:pPr>
      <w:pStyle w:val="Header"/>
    </w:pPr>
    <w:r>
      <w:rPr>
        <w:noProof/>
      </w:rPr>
      <w:pict w14:anchorId="5F4F3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4013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DB4"/>
    <w:multiLevelType w:val="hybridMultilevel"/>
    <w:tmpl w:val="0D28281C"/>
    <w:lvl w:ilvl="0" w:tplc="21786DBE">
      <w:start w:val="1"/>
      <w:numFmt w:val="decimal"/>
      <w:lvlText w:val="%1"/>
      <w:lvlJc w:val="left"/>
      <w:pPr>
        <w:ind w:left="720" w:hanging="360"/>
      </w:pPr>
      <w:rPr>
        <w:rFonts w:ascii="Arial" w:eastAsiaTheme="minorHAnsi"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BA7AB2"/>
    <w:multiLevelType w:val="hybridMultilevel"/>
    <w:tmpl w:val="25CC8D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FB66865"/>
    <w:multiLevelType w:val="hybridMultilevel"/>
    <w:tmpl w:val="7FF0885E"/>
    <w:lvl w:ilvl="0" w:tplc="903E2A9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7401DF2"/>
    <w:multiLevelType w:val="hybridMultilevel"/>
    <w:tmpl w:val="93DAAECC"/>
    <w:lvl w:ilvl="0" w:tplc="EFD8D890">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665"/>
    <w:rsid w:val="00092369"/>
    <w:rsid w:val="000D7AC8"/>
    <w:rsid w:val="000F7BFF"/>
    <w:rsid w:val="00133DD9"/>
    <w:rsid w:val="0013523C"/>
    <w:rsid w:val="00207961"/>
    <w:rsid w:val="00243762"/>
    <w:rsid w:val="0025027D"/>
    <w:rsid w:val="002601C3"/>
    <w:rsid w:val="0030140F"/>
    <w:rsid w:val="00312743"/>
    <w:rsid w:val="00380F8C"/>
    <w:rsid w:val="0039433E"/>
    <w:rsid w:val="003A29F3"/>
    <w:rsid w:val="00403D89"/>
    <w:rsid w:val="0043614F"/>
    <w:rsid w:val="004B6A58"/>
    <w:rsid w:val="0059418E"/>
    <w:rsid w:val="005A0E55"/>
    <w:rsid w:val="005D103F"/>
    <w:rsid w:val="005D1A8B"/>
    <w:rsid w:val="005F56CB"/>
    <w:rsid w:val="00610D4D"/>
    <w:rsid w:val="00642F21"/>
    <w:rsid w:val="00685CA4"/>
    <w:rsid w:val="0078172D"/>
    <w:rsid w:val="00792F48"/>
    <w:rsid w:val="007A5894"/>
    <w:rsid w:val="007D0F76"/>
    <w:rsid w:val="00875FE9"/>
    <w:rsid w:val="008D35E4"/>
    <w:rsid w:val="008F1A37"/>
    <w:rsid w:val="009523E1"/>
    <w:rsid w:val="00980929"/>
    <w:rsid w:val="009A208A"/>
    <w:rsid w:val="009B26F3"/>
    <w:rsid w:val="00A334FD"/>
    <w:rsid w:val="00A57307"/>
    <w:rsid w:val="00A9344F"/>
    <w:rsid w:val="00AE4582"/>
    <w:rsid w:val="00B253D9"/>
    <w:rsid w:val="00B709B7"/>
    <w:rsid w:val="00BD6A58"/>
    <w:rsid w:val="00BF5EF0"/>
    <w:rsid w:val="00C234A4"/>
    <w:rsid w:val="00C5085E"/>
    <w:rsid w:val="00C87665"/>
    <w:rsid w:val="00CD5C60"/>
    <w:rsid w:val="00D23D29"/>
    <w:rsid w:val="00DB0068"/>
    <w:rsid w:val="00DB3A3D"/>
    <w:rsid w:val="00DD229A"/>
    <w:rsid w:val="00DF04E3"/>
    <w:rsid w:val="00E46E42"/>
    <w:rsid w:val="00E517E9"/>
    <w:rsid w:val="00ED08BB"/>
    <w:rsid w:val="00EE09B1"/>
    <w:rsid w:val="00F22154"/>
    <w:rsid w:val="00FA4E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AA6BC0"/>
  <w15:chartTrackingRefBased/>
  <w15:docId w15:val="{789CDEAD-A29B-4272-9EE8-3AB6C05F5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F21"/>
    <w:pPr>
      <w:ind w:left="720"/>
      <w:contextualSpacing/>
    </w:pPr>
  </w:style>
  <w:style w:type="paragraph" w:styleId="FootnoteText">
    <w:name w:val="footnote text"/>
    <w:basedOn w:val="Normal"/>
    <w:link w:val="FootnoteTextChar"/>
    <w:uiPriority w:val="99"/>
    <w:semiHidden/>
    <w:unhideWhenUsed/>
    <w:rsid w:val="001352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523C"/>
    <w:rPr>
      <w:sz w:val="20"/>
      <w:szCs w:val="20"/>
    </w:rPr>
  </w:style>
  <w:style w:type="character" w:styleId="FootnoteReference">
    <w:name w:val="footnote reference"/>
    <w:basedOn w:val="DefaultParagraphFont"/>
    <w:uiPriority w:val="99"/>
    <w:semiHidden/>
    <w:unhideWhenUsed/>
    <w:rsid w:val="0013523C"/>
    <w:rPr>
      <w:vertAlign w:val="superscript"/>
    </w:rPr>
  </w:style>
  <w:style w:type="paragraph" w:styleId="Header">
    <w:name w:val="header"/>
    <w:basedOn w:val="Normal"/>
    <w:link w:val="HeaderChar"/>
    <w:uiPriority w:val="99"/>
    <w:unhideWhenUsed/>
    <w:rsid w:val="00135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3C"/>
  </w:style>
  <w:style w:type="paragraph" w:styleId="Footer">
    <w:name w:val="footer"/>
    <w:basedOn w:val="Normal"/>
    <w:link w:val="FooterChar"/>
    <w:uiPriority w:val="99"/>
    <w:unhideWhenUsed/>
    <w:rsid w:val="00135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3C"/>
  </w:style>
  <w:style w:type="paragraph" w:styleId="NormalWeb">
    <w:name w:val="Normal (Web)"/>
    <w:basedOn w:val="Normal"/>
    <w:uiPriority w:val="99"/>
    <w:unhideWhenUsed/>
    <w:rsid w:val="005F56C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cknHead">
    <w:name w:val="Ackn Head"/>
    <w:basedOn w:val="Normal"/>
    <w:rsid w:val="00F22154"/>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F22154"/>
    <w:pPr>
      <w:keepNext/>
      <w:spacing w:after="240" w:line="240" w:lineRule="auto"/>
    </w:pPr>
    <w:rPr>
      <w:rFonts w:ascii="Helvetica" w:eastAsia="Times New Roman" w:hAnsi="Helvetica" w:cs="Times New Roman"/>
      <w:b/>
      <w:caps/>
      <w:szCs w:val="20"/>
      <w:lang w:val="en-US"/>
    </w:rPr>
  </w:style>
  <w:style w:type="character" w:styleId="Emphasis">
    <w:name w:val="Emphasis"/>
    <w:basedOn w:val="DefaultParagraphFont"/>
    <w:uiPriority w:val="20"/>
    <w:qFormat/>
    <w:rsid w:val="00380F8C"/>
    <w:rPr>
      <w:i/>
      <w:iCs/>
    </w:rPr>
  </w:style>
  <w:style w:type="character" w:styleId="Hyperlink">
    <w:name w:val="Hyperlink"/>
    <w:basedOn w:val="DefaultParagraphFont"/>
    <w:uiPriority w:val="99"/>
    <w:unhideWhenUsed/>
    <w:rsid w:val="00A334FD"/>
    <w:rPr>
      <w:color w:val="0563C1" w:themeColor="hyperlink"/>
      <w:u w:val="single"/>
    </w:rPr>
  </w:style>
  <w:style w:type="character" w:customStyle="1" w:styleId="UnresolvedMention">
    <w:name w:val="Unresolved Mention"/>
    <w:basedOn w:val="DefaultParagraphFont"/>
    <w:uiPriority w:val="99"/>
    <w:semiHidden/>
    <w:unhideWhenUsed/>
    <w:rsid w:val="003A29F3"/>
    <w:rPr>
      <w:color w:val="605E5C"/>
      <w:shd w:val="clear" w:color="auto" w:fill="E1DFDD"/>
    </w:rPr>
  </w:style>
  <w:style w:type="character" w:styleId="Strong">
    <w:name w:val="Strong"/>
    <w:basedOn w:val="DefaultParagraphFont"/>
    <w:uiPriority w:val="22"/>
    <w:qFormat/>
    <w:rsid w:val="000923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841355">
      <w:bodyDiv w:val="1"/>
      <w:marLeft w:val="0"/>
      <w:marRight w:val="0"/>
      <w:marTop w:val="0"/>
      <w:marBottom w:val="0"/>
      <w:divBdr>
        <w:top w:val="none" w:sz="0" w:space="0" w:color="auto"/>
        <w:left w:val="none" w:sz="0" w:space="0" w:color="auto"/>
        <w:bottom w:val="none" w:sz="0" w:space="0" w:color="auto"/>
        <w:right w:val="none" w:sz="0" w:space="0" w:color="auto"/>
      </w:divBdr>
      <w:divsChild>
        <w:div w:id="964196279">
          <w:marLeft w:val="0"/>
          <w:marRight w:val="0"/>
          <w:marTop w:val="0"/>
          <w:marBottom w:val="0"/>
          <w:divBdr>
            <w:top w:val="none" w:sz="0" w:space="0" w:color="auto"/>
            <w:left w:val="none" w:sz="0" w:space="0" w:color="auto"/>
            <w:bottom w:val="none" w:sz="0" w:space="0" w:color="auto"/>
            <w:right w:val="none" w:sz="0" w:space="0" w:color="auto"/>
          </w:divBdr>
          <w:divsChild>
            <w:div w:id="1764493274">
              <w:marLeft w:val="0"/>
              <w:marRight w:val="0"/>
              <w:marTop w:val="0"/>
              <w:marBottom w:val="0"/>
              <w:divBdr>
                <w:top w:val="none" w:sz="0" w:space="0" w:color="auto"/>
                <w:left w:val="none" w:sz="0" w:space="0" w:color="auto"/>
                <w:bottom w:val="none" w:sz="0" w:space="0" w:color="auto"/>
                <w:right w:val="none" w:sz="0" w:space="0" w:color="auto"/>
              </w:divBdr>
              <w:divsChild>
                <w:div w:id="1406345081">
                  <w:marLeft w:val="0"/>
                  <w:marRight w:val="0"/>
                  <w:marTop w:val="0"/>
                  <w:marBottom w:val="0"/>
                  <w:divBdr>
                    <w:top w:val="none" w:sz="0" w:space="0" w:color="auto"/>
                    <w:left w:val="none" w:sz="0" w:space="0" w:color="auto"/>
                    <w:bottom w:val="none" w:sz="0" w:space="0" w:color="auto"/>
                    <w:right w:val="none" w:sz="0" w:space="0" w:color="auto"/>
                  </w:divBdr>
                  <w:divsChild>
                    <w:div w:id="1823422737">
                      <w:marLeft w:val="0"/>
                      <w:marRight w:val="0"/>
                      <w:marTop w:val="0"/>
                      <w:marBottom w:val="0"/>
                      <w:divBdr>
                        <w:top w:val="none" w:sz="0" w:space="0" w:color="auto"/>
                        <w:left w:val="none" w:sz="0" w:space="0" w:color="auto"/>
                        <w:bottom w:val="none" w:sz="0" w:space="0" w:color="auto"/>
                        <w:right w:val="none" w:sz="0" w:space="0" w:color="auto"/>
                      </w:divBdr>
                      <w:divsChild>
                        <w:div w:id="1077677620">
                          <w:marLeft w:val="0"/>
                          <w:marRight w:val="0"/>
                          <w:marTop w:val="0"/>
                          <w:marBottom w:val="0"/>
                          <w:divBdr>
                            <w:top w:val="none" w:sz="0" w:space="0" w:color="auto"/>
                            <w:left w:val="none" w:sz="0" w:space="0" w:color="auto"/>
                            <w:bottom w:val="none" w:sz="0" w:space="0" w:color="auto"/>
                            <w:right w:val="none" w:sz="0" w:space="0" w:color="auto"/>
                          </w:divBdr>
                          <w:divsChild>
                            <w:div w:id="981543510">
                              <w:marLeft w:val="0"/>
                              <w:marRight w:val="0"/>
                              <w:marTop w:val="0"/>
                              <w:marBottom w:val="0"/>
                              <w:divBdr>
                                <w:top w:val="none" w:sz="0" w:space="0" w:color="auto"/>
                                <w:left w:val="none" w:sz="0" w:space="0" w:color="auto"/>
                                <w:bottom w:val="none" w:sz="0" w:space="0" w:color="auto"/>
                                <w:right w:val="none" w:sz="0" w:space="0" w:color="auto"/>
                              </w:divBdr>
                              <w:divsChild>
                                <w:div w:id="208031634">
                                  <w:marLeft w:val="0"/>
                                  <w:marRight w:val="0"/>
                                  <w:marTop w:val="0"/>
                                  <w:marBottom w:val="0"/>
                                  <w:divBdr>
                                    <w:top w:val="none" w:sz="0" w:space="0" w:color="auto"/>
                                    <w:left w:val="none" w:sz="0" w:space="0" w:color="auto"/>
                                    <w:bottom w:val="none" w:sz="0" w:space="0" w:color="auto"/>
                                    <w:right w:val="none" w:sz="0" w:space="0" w:color="auto"/>
                                  </w:divBdr>
                                  <w:divsChild>
                                    <w:div w:id="1591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09016">
      <w:bodyDiv w:val="1"/>
      <w:marLeft w:val="0"/>
      <w:marRight w:val="0"/>
      <w:marTop w:val="0"/>
      <w:marBottom w:val="0"/>
      <w:divBdr>
        <w:top w:val="none" w:sz="0" w:space="0" w:color="auto"/>
        <w:left w:val="none" w:sz="0" w:space="0" w:color="auto"/>
        <w:bottom w:val="none" w:sz="0" w:space="0" w:color="auto"/>
        <w:right w:val="none" w:sz="0" w:space="0" w:color="auto"/>
      </w:divBdr>
      <w:divsChild>
        <w:div w:id="530922842">
          <w:marLeft w:val="0"/>
          <w:marRight w:val="0"/>
          <w:marTop w:val="0"/>
          <w:marBottom w:val="0"/>
          <w:divBdr>
            <w:top w:val="none" w:sz="0" w:space="0" w:color="auto"/>
            <w:left w:val="none" w:sz="0" w:space="0" w:color="auto"/>
            <w:bottom w:val="none" w:sz="0" w:space="0" w:color="auto"/>
            <w:right w:val="none" w:sz="0" w:space="0" w:color="auto"/>
          </w:divBdr>
          <w:divsChild>
            <w:div w:id="1549686941">
              <w:marLeft w:val="0"/>
              <w:marRight w:val="0"/>
              <w:marTop w:val="0"/>
              <w:marBottom w:val="0"/>
              <w:divBdr>
                <w:top w:val="none" w:sz="0" w:space="0" w:color="auto"/>
                <w:left w:val="none" w:sz="0" w:space="0" w:color="auto"/>
                <w:bottom w:val="none" w:sz="0" w:space="0" w:color="auto"/>
                <w:right w:val="none" w:sz="0" w:space="0" w:color="auto"/>
              </w:divBdr>
              <w:divsChild>
                <w:div w:id="896936108">
                  <w:marLeft w:val="0"/>
                  <w:marRight w:val="0"/>
                  <w:marTop w:val="0"/>
                  <w:marBottom w:val="0"/>
                  <w:divBdr>
                    <w:top w:val="none" w:sz="0" w:space="0" w:color="auto"/>
                    <w:left w:val="none" w:sz="0" w:space="0" w:color="auto"/>
                    <w:bottom w:val="none" w:sz="0" w:space="0" w:color="auto"/>
                    <w:right w:val="none" w:sz="0" w:space="0" w:color="auto"/>
                  </w:divBdr>
                  <w:divsChild>
                    <w:div w:id="1525435305">
                      <w:marLeft w:val="0"/>
                      <w:marRight w:val="0"/>
                      <w:marTop w:val="0"/>
                      <w:marBottom w:val="0"/>
                      <w:divBdr>
                        <w:top w:val="none" w:sz="0" w:space="0" w:color="auto"/>
                        <w:left w:val="none" w:sz="0" w:space="0" w:color="auto"/>
                        <w:bottom w:val="none" w:sz="0" w:space="0" w:color="auto"/>
                        <w:right w:val="none" w:sz="0" w:space="0" w:color="auto"/>
                      </w:divBdr>
                      <w:divsChild>
                        <w:div w:id="1651666170">
                          <w:marLeft w:val="0"/>
                          <w:marRight w:val="0"/>
                          <w:marTop w:val="0"/>
                          <w:marBottom w:val="0"/>
                          <w:divBdr>
                            <w:top w:val="none" w:sz="0" w:space="0" w:color="auto"/>
                            <w:left w:val="none" w:sz="0" w:space="0" w:color="auto"/>
                            <w:bottom w:val="none" w:sz="0" w:space="0" w:color="auto"/>
                            <w:right w:val="none" w:sz="0" w:space="0" w:color="auto"/>
                          </w:divBdr>
                          <w:divsChild>
                            <w:div w:id="1399017854">
                              <w:marLeft w:val="0"/>
                              <w:marRight w:val="0"/>
                              <w:marTop w:val="0"/>
                              <w:marBottom w:val="0"/>
                              <w:divBdr>
                                <w:top w:val="none" w:sz="0" w:space="0" w:color="auto"/>
                                <w:left w:val="none" w:sz="0" w:space="0" w:color="auto"/>
                                <w:bottom w:val="none" w:sz="0" w:space="0" w:color="auto"/>
                                <w:right w:val="none" w:sz="0" w:space="0" w:color="auto"/>
                              </w:divBdr>
                              <w:divsChild>
                                <w:div w:id="640311915">
                                  <w:marLeft w:val="0"/>
                                  <w:marRight w:val="0"/>
                                  <w:marTop w:val="0"/>
                                  <w:marBottom w:val="0"/>
                                  <w:divBdr>
                                    <w:top w:val="none" w:sz="0" w:space="0" w:color="auto"/>
                                    <w:left w:val="none" w:sz="0" w:space="0" w:color="auto"/>
                                    <w:bottom w:val="none" w:sz="0" w:space="0" w:color="auto"/>
                                    <w:right w:val="none" w:sz="0" w:space="0" w:color="auto"/>
                                  </w:divBdr>
                                  <w:divsChild>
                                    <w:div w:id="13401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615435">
      <w:bodyDiv w:val="1"/>
      <w:marLeft w:val="0"/>
      <w:marRight w:val="0"/>
      <w:marTop w:val="0"/>
      <w:marBottom w:val="0"/>
      <w:divBdr>
        <w:top w:val="none" w:sz="0" w:space="0" w:color="auto"/>
        <w:left w:val="none" w:sz="0" w:space="0" w:color="auto"/>
        <w:bottom w:val="none" w:sz="0" w:space="0" w:color="auto"/>
        <w:right w:val="none" w:sz="0" w:space="0" w:color="auto"/>
      </w:divBdr>
      <w:divsChild>
        <w:div w:id="406193695">
          <w:marLeft w:val="0"/>
          <w:marRight w:val="0"/>
          <w:marTop w:val="0"/>
          <w:marBottom w:val="0"/>
          <w:divBdr>
            <w:top w:val="none" w:sz="0" w:space="0" w:color="auto"/>
            <w:left w:val="none" w:sz="0" w:space="0" w:color="auto"/>
            <w:bottom w:val="none" w:sz="0" w:space="0" w:color="auto"/>
            <w:right w:val="none" w:sz="0" w:space="0" w:color="auto"/>
          </w:divBdr>
          <w:divsChild>
            <w:div w:id="1778480680">
              <w:marLeft w:val="0"/>
              <w:marRight w:val="0"/>
              <w:marTop w:val="0"/>
              <w:marBottom w:val="0"/>
              <w:divBdr>
                <w:top w:val="none" w:sz="0" w:space="0" w:color="auto"/>
                <w:left w:val="none" w:sz="0" w:space="0" w:color="auto"/>
                <w:bottom w:val="none" w:sz="0" w:space="0" w:color="auto"/>
                <w:right w:val="none" w:sz="0" w:space="0" w:color="auto"/>
              </w:divBdr>
              <w:divsChild>
                <w:div w:id="1544053619">
                  <w:marLeft w:val="0"/>
                  <w:marRight w:val="0"/>
                  <w:marTop w:val="0"/>
                  <w:marBottom w:val="0"/>
                  <w:divBdr>
                    <w:top w:val="none" w:sz="0" w:space="0" w:color="auto"/>
                    <w:left w:val="none" w:sz="0" w:space="0" w:color="auto"/>
                    <w:bottom w:val="none" w:sz="0" w:space="0" w:color="auto"/>
                    <w:right w:val="none" w:sz="0" w:space="0" w:color="auto"/>
                  </w:divBdr>
                  <w:divsChild>
                    <w:div w:id="1136987893">
                      <w:marLeft w:val="0"/>
                      <w:marRight w:val="0"/>
                      <w:marTop w:val="0"/>
                      <w:marBottom w:val="0"/>
                      <w:divBdr>
                        <w:top w:val="none" w:sz="0" w:space="0" w:color="auto"/>
                        <w:left w:val="none" w:sz="0" w:space="0" w:color="auto"/>
                        <w:bottom w:val="none" w:sz="0" w:space="0" w:color="auto"/>
                        <w:right w:val="none" w:sz="0" w:space="0" w:color="auto"/>
                      </w:divBdr>
                      <w:divsChild>
                        <w:div w:id="1103842962">
                          <w:marLeft w:val="0"/>
                          <w:marRight w:val="0"/>
                          <w:marTop w:val="0"/>
                          <w:marBottom w:val="0"/>
                          <w:divBdr>
                            <w:top w:val="none" w:sz="0" w:space="0" w:color="auto"/>
                            <w:left w:val="none" w:sz="0" w:space="0" w:color="auto"/>
                            <w:bottom w:val="none" w:sz="0" w:space="0" w:color="auto"/>
                            <w:right w:val="none" w:sz="0" w:space="0" w:color="auto"/>
                          </w:divBdr>
                          <w:divsChild>
                            <w:div w:id="564492628">
                              <w:marLeft w:val="0"/>
                              <w:marRight w:val="0"/>
                              <w:marTop w:val="0"/>
                              <w:marBottom w:val="0"/>
                              <w:divBdr>
                                <w:top w:val="none" w:sz="0" w:space="0" w:color="auto"/>
                                <w:left w:val="none" w:sz="0" w:space="0" w:color="auto"/>
                                <w:bottom w:val="none" w:sz="0" w:space="0" w:color="auto"/>
                                <w:right w:val="none" w:sz="0" w:space="0" w:color="auto"/>
                              </w:divBdr>
                              <w:divsChild>
                                <w:div w:id="1297838052">
                                  <w:marLeft w:val="0"/>
                                  <w:marRight w:val="0"/>
                                  <w:marTop w:val="0"/>
                                  <w:marBottom w:val="0"/>
                                  <w:divBdr>
                                    <w:top w:val="none" w:sz="0" w:space="0" w:color="auto"/>
                                    <w:left w:val="none" w:sz="0" w:space="0" w:color="auto"/>
                                    <w:bottom w:val="none" w:sz="0" w:space="0" w:color="auto"/>
                                    <w:right w:val="none" w:sz="0" w:space="0" w:color="auto"/>
                                  </w:divBdr>
                                  <w:divsChild>
                                    <w:div w:id="3007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9F2FC-8A04-4C7F-921B-7D9AA102B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Pages>
  <Words>1982</Words>
  <Characters>11302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CPU 1127</cp:lastModifiedBy>
  <cp:revision>42</cp:revision>
  <dcterms:created xsi:type="dcterms:W3CDTF">2025-03-17T16:21:00Z</dcterms:created>
  <dcterms:modified xsi:type="dcterms:W3CDTF">2025-03-25T08:51:00Z</dcterms:modified>
</cp:coreProperties>
</file>