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467CA" w14:textId="1AB11E01" w:rsidR="00D95BC0" w:rsidRPr="00B516F8" w:rsidRDefault="00487D09" w:rsidP="00C41624">
      <w:pPr>
        <w:spacing w:line="360" w:lineRule="auto"/>
        <w:jc w:val="center"/>
        <w:rPr>
          <w:rFonts w:eastAsia="Times New Roman"/>
          <w:b/>
          <w:sz w:val="24"/>
          <w:szCs w:val="24"/>
        </w:rPr>
      </w:pPr>
      <w:r w:rsidRPr="00487D09">
        <w:rPr>
          <w:rFonts w:eastAsia="Times New Roman"/>
          <w:b/>
          <w:sz w:val="24"/>
          <w:szCs w:val="24"/>
          <w:highlight w:val="yellow"/>
        </w:rPr>
        <w:t xml:space="preserve">Cervical </w:t>
      </w:r>
      <w:proofErr w:type="spellStart"/>
      <w:r w:rsidRPr="00487D09">
        <w:rPr>
          <w:rFonts w:eastAsia="Times New Roman"/>
          <w:b/>
          <w:sz w:val="24"/>
          <w:szCs w:val="24"/>
          <w:highlight w:val="yellow"/>
        </w:rPr>
        <w:t>Spondylotic</w:t>
      </w:r>
      <w:proofErr w:type="spellEnd"/>
      <w:r w:rsidRPr="00487D09">
        <w:rPr>
          <w:rFonts w:eastAsia="Times New Roman"/>
          <w:b/>
          <w:sz w:val="24"/>
          <w:szCs w:val="24"/>
          <w:highlight w:val="yellow"/>
        </w:rPr>
        <w:t xml:space="preserve"> Myelopathy: </w:t>
      </w:r>
      <w:r w:rsidR="008B63F2">
        <w:rPr>
          <w:rFonts w:eastAsia="Times New Roman"/>
          <w:b/>
          <w:sz w:val="24"/>
          <w:szCs w:val="24"/>
          <w:highlight w:val="yellow"/>
        </w:rPr>
        <w:t xml:space="preserve">A </w:t>
      </w:r>
      <w:r w:rsidRPr="00487D09">
        <w:rPr>
          <w:rFonts w:eastAsia="Times New Roman"/>
          <w:b/>
          <w:sz w:val="24"/>
          <w:szCs w:val="24"/>
          <w:highlight w:val="yellow"/>
        </w:rPr>
        <w:t>Descriptive Study</w:t>
      </w:r>
    </w:p>
    <w:p w14:paraId="3728E627" w14:textId="77777777" w:rsidR="003C2A84" w:rsidRPr="00B516F8" w:rsidRDefault="003C2A84" w:rsidP="003C2A84">
      <w:pPr>
        <w:spacing w:line="360" w:lineRule="auto"/>
        <w:jc w:val="center"/>
        <w:rPr>
          <w:rFonts w:eastAsia="Times New Roman"/>
          <w:sz w:val="24"/>
          <w:szCs w:val="24"/>
          <w:lang w:val="en-US"/>
        </w:rPr>
      </w:pPr>
    </w:p>
    <w:p w14:paraId="7C80B240" w14:textId="77777777" w:rsidR="00AE529D" w:rsidRPr="00B516F8" w:rsidRDefault="00AE529D" w:rsidP="003C2A84">
      <w:pPr>
        <w:spacing w:line="360" w:lineRule="auto"/>
        <w:jc w:val="center"/>
        <w:rPr>
          <w:rFonts w:eastAsia="Times New Roman"/>
          <w:sz w:val="24"/>
          <w:szCs w:val="24"/>
          <w:lang w:val="en-US"/>
        </w:rPr>
      </w:pPr>
    </w:p>
    <w:p w14:paraId="54C83311" w14:textId="048D54FD" w:rsidR="003C2A84" w:rsidRPr="00B516F8" w:rsidRDefault="00B516F8" w:rsidP="00B516F8">
      <w:pPr>
        <w:spacing w:line="360" w:lineRule="auto"/>
        <w:rPr>
          <w:rFonts w:eastAsia="Times New Roman"/>
          <w:b/>
          <w:bCs/>
          <w:sz w:val="24"/>
          <w:szCs w:val="24"/>
          <w:lang w:val="en-US"/>
        </w:rPr>
      </w:pPr>
      <w:r w:rsidRPr="00B516F8">
        <w:rPr>
          <w:rFonts w:eastAsia="Times New Roman"/>
          <w:b/>
          <w:bCs/>
          <w:sz w:val="24"/>
          <w:szCs w:val="24"/>
          <w:lang w:val="en-US"/>
        </w:rPr>
        <w:t>ABSTACT</w:t>
      </w:r>
    </w:p>
    <w:p w14:paraId="1F5C07B1" w14:textId="7F95EB68" w:rsidR="003C2A84" w:rsidRDefault="003C2A84" w:rsidP="003C2A84">
      <w:pPr>
        <w:spacing w:line="360" w:lineRule="auto"/>
        <w:jc w:val="both"/>
        <w:rPr>
          <w:rFonts w:eastAsia="Times New Roman"/>
          <w:sz w:val="20"/>
          <w:szCs w:val="20"/>
        </w:rPr>
      </w:pPr>
      <w:r w:rsidRPr="00B516F8">
        <w:rPr>
          <w:rFonts w:eastAsia="Times New Roman"/>
          <w:sz w:val="20"/>
          <w:szCs w:val="20"/>
        </w:rPr>
        <w:t xml:space="preserve">Cervical </w:t>
      </w:r>
      <w:proofErr w:type="spellStart"/>
      <w:r w:rsidRPr="00B516F8">
        <w:rPr>
          <w:rFonts w:eastAsia="Times New Roman"/>
          <w:sz w:val="20"/>
          <w:szCs w:val="20"/>
        </w:rPr>
        <w:t>spondylotic</w:t>
      </w:r>
      <w:proofErr w:type="spellEnd"/>
      <w:r w:rsidRPr="00B516F8">
        <w:rPr>
          <w:rFonts w:eastAsia="Times New Roman"/>
          <w:sz w:val="20"/>
          <w:szCs w:val="20"/>
        </w:rPr>
        <w:t xml:space="preserve"> myelopathy (CSM), also known as degenerative cervical myelopathy, is a progressive spinal disorder caused by vertebral canal narrowing and spinal cord compression. It is commonly associated with degenerative disc disease, cervical osteoarthritis, spondylolisthesis, and ligament hypertrophy or ossification. Epidemiological studies report high prevalence rates, particularly in older populations, with variations across different regions. Pathophysiology involves static and dynamic compression mechanisms, vascular compromise, and chronic inflammation leading to neurological deficits. Clinical manifestations include motor dysfunction, sensory impairment, and myelopathic reflexes. Diagnosis relies on imaging modalities such as MRI, CT, and X-ray. </w:t>
      </w:r>
      <w:r w:rsidR="00487D09" w:rsidRPr="00487D09">
        <w:rPr>
          <w:rFonts w:eastAsia="Times New Roman"/>
          <w:sz w:val="20"/>
          <w:szCs w:val="20"/>
          <w:highlight w:val="yellow"/>
        </w:rPr>
        <w:t xml:space="preserve">Surgical intervention is the primary treatment for moderate to severe Cervical </w:t>
      </w:r>
      <w:proofErr w:type="spellStart"/>
      <w:r w:rsidR="00487D09" w:rsidRPr="00487D09">
        <w:rPr>
          <w:rFonts w:eastAsia="Times New Roman"/>
          <w:sz w:val="20"/>
          <w:szCs w:val="20"/>
          <w:highlight w:val="yellow"/>
        </w:rPr>
        <w:t>Spondylotic</w:t>
      </w:r>
      <w:proofErr w:type="spellEnd"/>
      <w:r w:rsidR="00487D09" w:rsidRPr="00487D09">
        <w:rPr>
          <w:rFonts w:eastAsia="Times New Roman"/>
          <w:sz w:val="20"/>
          <w:szCs w:val="20"/>
          <w:highlight w:val="yellow"/>
        </w:rPr>
        <w:t xml:space="preserve"> Myelopathy (CSM) when conservative management fails. </w:t>
      </w:r>
      <w:r w:rsidR="00487D09" w:rsidRPr="00487D09">
        <w:rPr>
          <w:sz w:val="20"/>
          <w:szCs w:val="20"/>
          <w:highlight w:val="yellow"/>
          <w:lang w:val="en-ID"/>
        </w:rPr>
        <w:t xml:space="preserve">The optimal surgical approach for </w:t>
      </w:r>
      <w:r w:rsidR="00487D09" w:rsidRPr="00487D09">
        <w:rPr>
          <w:rFonts w:eastAsia="Times New Roman"/>
          <w:sz w:val="20"/>
          <w:szCs w:val="20"/>
          <w:highlight w:val="yellow"/>
        </w:rPr>
        <w:t xml:space="preserve">decompression surgery </w:t>
      </w:r>
      <w:r w:rsidR="00487D09" w:rsidRPr="00487D09">
        <w:rPr>
          <w:sz w:val="20"/>
          <w:szCs w:val="20"/>
          <w:highlight w:val="yellow"/>
          <w:lang w:val="en-ID"/>
        </w:rPr>
        <w:t>remains debated between anterior or posterior approach. A thorough understanding of the indications for each procedure significantly influences patient outcomes</w:t>
      </w:r>
      <w:r w:rsidR="00487D09" w:rsidRPr="00487D09">
        <w:rPr>
          <w:rFonts w:eastAsia="Times New Roman"/>
          <w:sz w:val="20"/>
          <w:szCs w:val="20"/>
          <w:highlight w:val="yellow"/>
        </w:rPr>
        <w:t xml:space="preserve"> The main goals are to slow progression and restore function, with surgical approaches chosen based on pathology location for optimal decompression</w:t>
      </w:r>
      <w:r w:rsidRPr="00B516F8">
        <w:rPr>
          <w:rFonts w:eastAsia="Times New Roman"/>
          <w:sz w:val="20"/>
          <w:szCs w:val="20"/>
        </w:rPr>
        <w:t>. Surgical outcomes show significant symptom relief, with prognosis influenced by disease severity and intervention timing.</w:t>
      </w:r>
    </w:p>
    <w:p w14:paraId="645CE87B" w14:textId="77777777" w:rsidR="00487D09" w:rsidRPr="00B516F8" w:rsidRDefault="00487D09" w:rsidP="003C2A84">
      <w:pPr>
        <w:spacing w:line="360" w:lineRule="auto"/>
        <w:jc w:val="both"/>
        <w:rPr>
          <w:rFonts w:eastAsia="Times New Roman"/>
          <w:sz w:val="20"/>
          <w:szCs w:val="20"/>
          <w:lang w:val="en-US"/>
        </w:rPr>
      </w:pPr>
    </w:p>
    <w:p w14:paraId="289FD616" w14:textId="666F7474" w:rsidR="003C2A84" w:rsidRPr="00B516F8" w:rsidRDefault="003C2A84" w:rsidP="003C2A84">
      <w:pPr>
        <w:spacing w:line="360" w:lineRule="auto"/>
        <w:rPr>
          <w:rFonts w:eastAsia="Times New Roman"/>
          <w:sz w:val="20"/>
          <w:szCs w:val="20"/>
        </w:rPr>
      </w:pPr>
      <w:r w:rsidRPr="00487D09">
        <w:rPr>
          <w:rFonts w:eastAsia="Times New Roman"/>
          <w:b/>
          <w:bCs/>
          <w:sz w:val="20"/>
          <w:szCs w:val="20"/>
          <w:lang w:val="en-US"/>
        </w:rPr>
        <w:t>Key words:</w:t>
      </w:r>
      <w:r w:rsidRPr="00B516F8">
        <w:rPr>
          <w:rFonts w:eastAsia="Times New Roman"/>
          <w:sz w:val="20"/>
          <w:szCs w:val="20"/>
          <w:lang w:val="en-US"/>
        </w:rPr>
        <w:t xml:space="preserve"> </w:t>
      </w:r>
      <w:r w:rsidRPr="00B516F8">
        <w:rPr>
          <w:rFonts w:eastAsia="Times New Roman"/>
          <w:sz w:val="20"/>
          <w:szCs w:val="20"/>
        </w:rPr>
        <w:t xml:space="preserve">Cervical </w:t>
      </w:r>
      <w:proofErr w:type="spellStart"/>
      <w:r w:rsidRPr="00B516F8">
        <w:rPr>
          <w:rFonts w:eastAsia="Times New Roman"/>
          <w:sz w:val="20"/>
          <w:szCs w:val="20"/>
        </w:rPr>
        <w:t>Spondylotic</w:t>
      </w:r>
      <w:proofErr w:type="spellEnd"/>
      <w:r w:rsidRPr="00B516F8">
        <w:rPr>
          <w:rFonts w:eastAsia="Times New Roman"/>
          <w:sz w:val="20"/>
          <w:szCs w:val="20"/>
        </w:rPr>
        <w:t xml:space="preserve"> Myelopathy, Degenerative, Surgical Intervention</w:t>
      </w:r>
      <w:r w:rsidR="006352EA">
        <w:rPr>
          <w:rFonts w:eastAsia="Times New Roman"/>
          <w:sz w:val="20"/>
          <w:szCs w:val="20"/>
        </w:rPr>
        <w:t xml:space="preserve">, </w:t>
      </w:r>
      <w:r w:rsidR="006352EA" w:rsidRPr="006352EA">
        <w:rPr>
          <w:rFonts w:eastAsia="Times New Roman"/>
          <w:sz w:val="20"/>
          <w:szCs w:val="20"/>
        </w:rPr>
        <w:t>cervical osteoarthritis</w:t>
      </w:r>
      <w:r w:rsidR="006352EA">
        <w:rPr>
          <w:rFonts w:eastAsia="Times New Roman"/>
          <w:sz w:val="20"/>
          <w:szCs w:val="20"/>
        </w:rPr>
        <w:t xml:space="preserve">, </w:t>
      </w:r>
      <w:r w:rsidR="006352EA" w:rsidRPr="006352EA">
        <w:rPr>
          <w:rFonts w:eastAsia="Times New Roman"/>
          <w:sz w:val="20"/>
          <w:szCs w:val="20"/>
        </w:rPr>
        <w:t>spondylolisthesis</w:t>
      </w:r>
    </w:p>
    <w:p w14:paraId="65693663" w14:textId="77777777" w:rsidR="00AE529D" w:rsidRPr="00B516F8" w:rsidRDefault="00AE529D" w:rsidP="003C2A84">
      <w:pPr>
        <w:spacing w:line="360" w:lineRule="auto"/>
        <w:rPr>
          <w:rFonts w:eastAsia="Times New Roman"/>
          <w:sz w:val="24"/>
          <w:szCs w:val="24"/>
        </w:rPr>
      </w:pPr>
    </w:p>
    <w:p w14:paraId="4EBEE890" w14:textId="77777777" w:rsidR="00AE529D" w:rsidRPr="00B516F8" w:rsidRDefault="00AE529D" w:rsidP="003C2A84">
      <w:pPr>
        <w:spacing w:line="360" w:lineRule="auto"/>
        <w:rPr>
          <w:rFonts w:eastAsia="Times New Roman"/>
        </w:rPr>
      </w:pPr>
    </w:p>
    <w:p w14:paraId="0BAB3C3F" w14:textId="1B15E2C8" w:rsidR="009A625E" w:rsidRPr="00B516F8" w:rsidRDefault="00B516F8" w:rsidP="003C2A84">
      <w:pPr>
        <w:spacing w:line="360" w:lineRule="auto"/>
        <w:rPr>
          <w:b/>
          <w:bCs/>
        </w:rPr>
      </w:pPr>
      <w:bookmarkStart w:id="0" w:name="_h58ju7bcyxnu" w:colFirst="0" w:colLast="0"/>
      <w:bookmarkStart w:id="1" w:name="_jucyz0qjph5z" w:colFirst="0" w:colLast="0"/>
      <w:bookmarkEnd w:id="0"/>
      <w:bookmarkEnd w:id="1"/>
      <w:r w:rsidRPr="00B516F8">
        <w:rPr>
          <w:rFonts w:eastAsia="Times New Roman"/>
          <w:b/>
          <w:bCs/>
        </w:rPr>
        <w:t xml:space="preserve">1. </w:t>
      </w:r>
      <w:r w:rsidRPr="00B516F8">
        <w:rPr>
          <w:b/>
          <w:bCs/>
        </w:rPr>
        <w:t>INTRODUCTION</w:t>
      </w:r>
    </w:p>
    <w:p w14:paraId="4332F130" w14:textId="30B843DE" w:rsidR="009A625E" w:rsidRPr="00B516F8" w:rsidRDefault="009A625E" w:rsidP="003C2A84">
      <w:pPr>
        <w:spacing w:line="360" w:lineRule="auto"/>
        <w:jc w:val="both"/>
        <w:rPr>
          <w:sz w:val="20"/>
          <w:szCs w:val="20"/>
        </w:rPr>
      </w:pPr>
      <w:r w:rsidRPr="00B516F8">
        <w:rPr>
          <w:sz w:val="20"/>
          <w:szCs w:val="20"/>
        </w:rPr>
        <w:t xml:space="preserve">Cervical </w:t>
      </w:r>
      <w:proofErr w:type="spellStart"/>
      <w:r w:rsidRPr="00B516F8">
        <w:rPr>
          <w:sz w:val="20"/>
          <w:szCs w:val="20"/>
        </w:rPr>
        <w:t>spondylotic</w:t>
      </w:r>
      <w:proofErr w:type="spellEnd"/>
      <w:r w:rsidRPr="00B516F8">
        <w:rPr>
          <w:sz w:val="20"/>
          <w:szCs w:val="20"/>
        </w:rPr>
        <w:t xml:space="preserve"> myelopathy (CSM), also referred to as degenerative cervical myelopathy (DCM)</w:t>
      </w:r>
      <w:r w:rsidRPr="00B516F8">
        <w:rPr>
          <w:sz w:val="20"/>
          <w:szCs w:val="20"/>
          <w:vertAlign w:val="superscript"/>
        </w:rPr>
        <w:t>1,2</w:t>
      </w:r>
      <w:r w:rsidR="00CF4201" w:rsidRPr="00B516F8">
        <w:rPr>
          <w:sz w:val="20"/>
          <w:szCs w:val="20"/>
        </w:rPr>
        <w:t>.</w:t>
      </w:r>
      <w:r w:rsidRPr="00B516F8">
        <w:rPr>
          <w:sz w:val="20"/>
          <w:szCs w:val="20"/>
        </w:rPr>
        <w:t xml:space="preserve"> is a progressive degenerative disorder characterized by direct spinal cord compression due to vertebral canal narrowing. This condition is commonly associated with degenerative disc disease, cervical osteoarthritis (spondylosis), spondylolisthesis or subluxation, ligament hypertrophy, and calcification or ossification of spinal ligaments, including the ligamentum flavum and posterior longitudinal ligament. Clinically, CSM is most often manifested by gait instability, loss of fine motor control in the upper extremities, limb weakness, neck pain, and reduced cervical range of motion (ROM)</w:t>
      </w:r>
      <w:r w:rsidRPr="00B516F8">
        <w:rPr>
          <w:sz w:val="20"/>
          <w:szCs w:val="20"/>
          <w:vertAlign w:val="superscript"/>
        </w:rPr>
        <w:t>3</w:t>
      </w:r>
      <w:r w:rsidR="00CF4201" w:rsidRPr="00B516F8">
        <w:rPr>
          <w:sz w:val="20"/>
          <w:szCs w:val="20"/>
        </w:rPr>
        <w:t>.</w:t>
      </w:r>
    </w:p>
    <w:p w14:paraId="1CA17FE1" w14:textId="77777777" w:rsidR="00BE790F" w:rsidRPr="00B516F8" w:rsidRDefault="00BE790F" w:rsidP="003C2A84">
      <w:pPr>
        <w:spacing w:line="360" w:lineRule="auto"/>
        <w:jc w:val="both"/>
        <w:rPr>
          <w:sz w:val="20"/>
          <w:szCs w:val="20"/>
        </w:rPr>
      </w:pPr>
    </w:p>
    <w:p w14:paraId="145B900A" w14:textId="546FA166" w:rsidR="009A625E" w:rsidRPr="00B516F8" w:rsidRDefault="00905031" w:rsidP="003C2A84">
      <w:pPr>
        <w:spacing w:line="360" w:lineRule="auto"/>
        <w:jc w:val="center"/>
        <w:rPr>
          <w:sz w:val="20"/>
          <w:szCs w:val="20"/>
          <w:vertAlign w:val="superscript"/>
        </w:rPr>
      </w:pPr>
      <w:r w:rsidRPr="00B516F8">
        <w:rPr>
          <w:noProof/>
          <w:sz w:val="20"/>
          <w:szCs w:val="20"/>
        </w:rPr>
        <w:lastRenderedPageBreak/>
        <w:drawing>
          <wp:inline distT="0" distB="0" distL="0" distR="0" wp14:anchorId="598FA8BC" wp14:editId="7749169A">
            <wp:extent cx="3612469" cy="364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1905" cy="3909961"/>
                    </a:xfrm>
                    <a:prstGeom prst="rect">
                      <a:avLst/>
                    </a:prstGeom>
                  </pic:spPr>
                </pic:pic>
              </a:graphicData>
            </a:graphic>
          </wp:inline>
        </w:drawing>
      </w:r>
    </w:p>
    <w:p w14:paraId="2C61E90A" w14:textId="195504B5" w:rsidR="00905031" w:rsidRPr="00B516F8" w:rsidRDefault="00DA36F5" w:rsidP="003C2A84">
      <w:pPr>
        <w:pStyle w:val="Caption"/>
        <w:spacing w:line="360" w:lineRule="auto"/>
        <w:jc w:val="center"/>
        <w:rPr>
          <w:rFonts w:ascii="Arial" w:hAnsi="Arial" w:cs="Arial"/>
          <w:i w:val="0"/>
          <w:iCs w:val="0"/>
          <w:color w:val="auto"/>
          <w:sz w:val="20"/>
          <w:szCs w:val="20"/>
        </w:rPr>
      </w:pPr>
      <w:bookmarkStart w:id="2" w:name="_Toc134695084"/>
      <w:r w:rsidRPr="00B516F8">
        <w:rPr>
          <w:rFonts w:ascii="Arial" w:hAnsi="Arial" w:cs="Arial"/>
          <w:i w:val="0"/>
          <w:iCs w:val="0"/>
          <w:color w:val="auto"/>
          <w:sz w:val="20"/>
          <w:szCs w:val="20"/>
        </w:rPr>
        <w:t xml:space="preserve">Figure 1. </w:t>
      </w:r>
      <w:proofErr w:type="spellStart"/>
      <w:r w:rsidR="006352EA" w:rsidRPr="00B516F8">
        <w:rPr>
          <w:rFonts w:ascii="Arial" w:hAnsi="Arial" w:cs="Arial"/>
          <w:i w:val="0"/>
          <w:iCs w:val="0"/>
          <w:color w:val="auto"/>
          <w:sz w:val="20"/>
          <w:szCs w:val="20"/>
        </w:rPr>
        <w:t>T</w:t>
      </w:r>
      <w:r w:rsidR="006352EA" w:rsidRPr="00B516F8">
        <w:rPr>
          <w:rFonts w:ascii="Arial" w:hAnsi="Arial" w:cs="Arial"/>
          <w:i w:val="0"/>
          <w:iCs w:val="0"/>
          <w:color w:val="auto"/>
          <w:sz w:val="20"/>
          <w:szCs w:val="20"/>
          <w:lang w:val="en"/>
        </w:rPr>
        <w:t>he</w:t>
      </w:r>
      <w:proofErr w:type="spellEnd"/>
      <w:r w:rsidRPr="00B516F8">
        <w:rPr>
          <w:rFonts w:ascii="Arial" w:hAnsi="Arial" w:cs="Arial"/>
          <w:i w:val="0"/>
          <w:iCs w:val="0"/>
          <w:color w:val="auto"/>
          <w:sz w:val="20"/>
          <w:szCs w:val="20"/>
          <w:lang w:val="en"/>
        </w:rPr>
        <w:t xml:space="preserve"> Degenerative Process That Occurs </w:t>
      </w:r>
      <w:proofErr w:type="gramStart"/>
      <w:r w:rsidRPr="00B516F8">
        <w:rPr>
          <w:rFonts w:ascii="Arial" w:hAnsi="Arial" w:cs="Arial"/>
          <w:i w:val="0"/>
          <w:iCs w:val="0"/>
          <w:color w:val="auto"/>
          <w:sz w:val="20"/>
          <w:szCs w:val="20"/>
          <w:lang w:val="en"/>
        </w:rPr>
        <w:t>In</w:t>
      </w:r>
      <w:proofErr w:type="gramEnd"/>
      <w:r w:rsidRPr="00B516F8">
        <w:rPr>
          <w:rFonts w:ascii="Arial" w:hAnsi="Arial" w:cs="Arial"/>
          <w:i w:val="0"/>
          <w:iCs w:val="0"/>
          <w:color w:val="auto"/>
          <w:sz w:val="20"/>
          <w:szCs w:val="20"/>
          <w:lang w:val="en"/>
        </w:rPr>
        <w:t xml:space="preserve"> CSM</w:t>
      </w:r>
      <w:r w:rsidR="00905031" w:rsidRPr="00B516F8">
        <w:rPr>
          <w:rFonts w:ascii="Arial" w:hAnsi="Arial" w:cs="Arial"/>
          <w:i w:val="0"/>
          <w:iCs w:val="0"/>
          <w:color w:val="auto"/>
          <w:sz w:val="20"/>
          <w:szCs w:val="20"/>
          <w:vertAlign w:val="superscript"/>
        </w:rPr>
        <w:t>1</w:t>
      </w:r>
      <w:bookmarkEnd w:id="2"/>
      <w:r w:rsidRPr="00B516F8">
        <w:rPr>
          <w:rFonts w:ascii="Arial" w:hAnsi="Arial" w:cs="Arial"/>
          <w:i w:val="0"/>
          <w:iCs w:val="0"/>
          <w:color w:val="auto"/>
          <w:sz w:val="20"/>
          <w:szCs w:val="20"/>
        </w:rPr>
        <w:t>.</w:t>
      </w:r>
    </w:p>
    <w:p w14:paraId="09EBD412" w14:textId="77777777" w:rsidR="00905031" w:rsidRPr="00B516F8" w:rsidRDefault="00905031" w:rsidP="003C2A84">
      <w:pPr>
        <w:spacing w:line="360" w:lineRule="auto"/>
        <w:jc w:val="center"/>
        <w:rPr>
          <w:sz w:val="24"/>
          <w:szCs w:val="24"/>
          <w:vertAlign w:val="superscript"/>
        </w:rPr>
      </w:pPr>
    </w:p>
    <w:p w14:paraId="17B17BB2" w14:textId="595C5570" w:rsidR="009A625E"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EPIDEMIOLOGY</w:t>
      </w:r>
    </w:p>
    <w:p w14:paraId="0EE307A6" w14:textId="062B68C0" w:rsidR="009A625E" w:rsidRPr="00B516F8" w:rsidRDefault="009A625E" w:rsidP="003C2A84">
      <w:pPr>
        <w:spacing w:line="360" w:lineRule="auto"/>
        <w:jc w:val="both"/>
        <w:rPr>
          <w:sz w:val="20"/>
          <w:szCs w:val="20"/>
          <w:vertAlign w:val="superscript"/>
        </w:rPr>
      </w:pPr>
      <w:r w:rsidRPr="00B516F8">
        <w:rPr>
          <w:sz w:val="20"/>
          <w:szCs w:val="20"/>
        </w:rPr>
        <w:t xml:space="preserve">Cervical </w:t>
      </w:r>
      <w:proofErr w:type="spellStart"/>
      <w:r w:rsidRPr="00B516F8">
        <w:rPr>
          <w:sz w:val="20"/>
          <w:szCs w:val="20"/>
        </w:rPr>
        <w:t>spondylotic</w:t>
      </w:r>
      <w:proofErr w:type="spellEnd"/>
      <w:r w:rsidRPr="00B516F8">
        <w:rPr>
          <w:sz w:val="20"/>
          <w:szCs w:val="20"/>
        </w:rPr>
        <w:t xml:space="preserve"> myelopathy (CSM) is the most common non-traumatic spinal disorder, with epidemiological variations observed across different populations. Ramos et al. reported an incidence of 60 cases per 100,000 individuals in North America</w:t>
      </w:r>
      <w:r w:rsidRPr="00B516F8">
        <w:rPr>
          <w:sz w:val="20"/>
          <w:szCs w:val="20"/>
          <w:vertAlign w:val="superscript"/>
        </w:rPr>
        <w:t>3</w:t>
      </w:r>
      <w:r w:rsidRPr="00B516F8">
        <w:rPr>
          <w:sz w:val="20"/>
          <w:szCs w:val="20"/>
        </w:rPr>
        <w:t>, while McCormick et al. noted that 10% of individuals aged 55 years and 85% of those over 60 years in the United States experience CSM</w:t>
      </w:r>
      <w:r w:rsidRPr="00B516F8">
        <w:rPr>
          <w:sz w:val="20"/>
          <w:szCs w:val="20"/>
          <w:vertAlign w:val="superscript"/>
        </w:rPr>
        <w:t>4</w:t>
      </w:r>
      <w:r w:rsidR="00CF4201" w:rsidRPr="00B516F8">
        <w:rPr>
          <w:sz w:val="20"/>
          <w:szCs w:val="20"/>
        </w:rPr>
        <w:t>.</w:t>
      </w:r>
      <w:r w:rsidRPr="00B516F8">
        <w:rPr>
          <w:sz w:val="20"/>
          <w:szCs w:val="20"/>
        </w:rPr>
        <w:t xml:space="preserve"> Similarly, a 2017 study in Canada estimated an incidence of 1,120 cases per 1 million individuals</w:t>
      </w:r>
      <w:r w:rsidRPr="00B516F8">
        <w:rPr>
          <w:sz w:val="20"/>
          <w:szCs w:val="20"/>
          <w:vertAlign w:val="superscript"/>
        </w:rPr>
        <w:t>5</w:t>
      </w:r>
      <w:r w:rsidR="00CF4201" w:rsidRPr="00B516F8">
        <w:rPr>
          <w:sz w:val="20"/>
          <w:szCs w:val="20"/>
        </w:rPr>
        <w:t>.</w:t>
      </w:r>
      <w:r w:rsidRPr="00B516F8">
        <w:rPr>
          <w:sz w:val="20"/>
          <w:szCs w:val="20"/>
        </w:rPr>
        <w:t xml:space="preserve"> In the Netherlands, </w:t>
      </w:r>
      <w:proofErr w:type="spellStart"/>
      <w:r w:rsidRPr="00B516F8">
        <w:rPr>
          <w:sz w:val="20"/>
          <w:szCs w:val="20"/>
        </w:rPr>
        <w:t>Bajamal</w:t>
      </w:r>
      <w:proofErr w:type="spellEnd"/>
      <w:r w:rsidRPr="00B516F8">
        <w:rPr>
          <w:sz w:val="20"/>
          <w:szCs w:val="20"/>
        </w:rPr>
        <w:t xml:space="preserve"> et al. documented a higher prevalence in males, with an incidence rate of 4 per 100,000</w:t>
      </w:r>
      <w:r w:rsidRPr="00B516F8">
        <w:rPr>
          <w:sz w:val="20"/>
          <w:szCs w:val="20"/>
          <w:vertAlign w:val="superscript"/>
        </w:rPr>
        <w:t>6</w:t>
      </w:r>
      <w:r w:rsidR="00CF4201" w:rsidRPr="00B516F8">
        <w:rPr>
          <w:sz w:val="20"/>
          <w:szCs w:val="20"/>
        </w:rPr>
        <w:t>.</w:t>
      </w:r>
    </w:p>
    <w:p w14:paraId="36A936AF" w14:textId="1C63A678" w:rsidR="009A625E" w:rsidRPr="00B516F8" w:rsidRDefault="009A625E" w:rsidP="003C2A84">
      <w:pPr>
        <w:spacing w:line="360" w:lineRule="auto"/>
        <w:jc w:val="both"/>
        <w:rPr>
          <w:sz w:val="20"/>
          <w:szCs w:val="20"/>
          <w:vertAlign w:val="superscript"/>
        </w:rPr>
      </w:pPr>
      <w:r w:rsidRPr="00B516F8">
        <w:rPr>
          <w:sz w:val="20"/>
          <w:szCs w:val="20"/>
          <w:lang w:bidi="th-TH"/>
        </w:rPr>
        <w:t>Pathological findings indicate that spondylosis is present in 90% of CSM cases and is often associated with ligamentum flavum hypertrophy in more than 50% of cases. In contrast, disc degeneration, spondylolisthesis, and ossification of the posterior longitudinal ligament (OPLL) account for only 10% of cases in Western populations. Notably, OPLL is significantly more prevalent in Asian populations (29%) compared to non-Asian populations (4.8%) (p = 0.3 × 10</w:t>
      </w:r>
      <w:r w:rsidRPr="00B516F8">
        <w:rPr>
          <w:rFonts w:ascii="Cambria Math" w:hAnsi="Cambria Math" w:cs="Cambria Math"/>
          <w:sz w:val="20"/>
          <w:szCs w:val="20"/>
          <w:lang w:bidi="th-TH"/>
        </w:rPr>
        <w:t>⁻</w:t>
      </w:r>
      <w:r w:rsidRPr="00B516F8">
        <w:rPr>
          <w:sz w:val="20"/>
          <w:szCs w:val="20"/>
          <w:lang w:bidi="th-TH"/>
        </w:rPr>
        <w:t>¹¹), while spondylolisthesis is less frequent in Asians (1.9%) than in non-Asians (14.8%) (p = 0.002)</w:t>
      </w:r>
      <w:r w:rsidRPr="00B516F8">
        <w:rPr>
          <w:sz w:val="20"/>
          <w:szCs w:val="20"/>
          <w:vertAlign w:val="superscript"/>
        </w:rPr>
        <w:t>7</w:t>
      </w:r>
      <w:r w:rsidR="00CF4201" w:rsidRPr="00B516F8">
        <w:rPr>
          <w:sz w:val="20"/>
          <w:szCs w:val="20"/>
        </w:rPr>
        <w:t>.</w:t>
      </w:r>
    </w:p>
    <w:p w14:paraId="14A3A713" w14:textId="77777777" w:rsidR="009A625E" w:rsidRPr="00B516F8" w:rsidRDefault="009A625E" w:rsidP="003C2A84">
      <w:pPr>
        <w:spacing w:line="360" w:lineRule="auto"/>
        <w:jc w:val="both"/>
        <w:rPr>
          <w:sz w:val="24"/>
          <w:szCs w:val="24"/>
          <w:vertAlign w:val="superscript"/>
        </w:rPr>
      </w:pPr>
    </w:p>
    <w:p w14:paraId="654D5306" w14:textId="779471B8" w:rsidR="009A625E"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PATHOPHYSIOLOGY</w:t>
      </w:r>
    </w:p>
    <w:p w14:paraId="62770630" w14:textId="3C478731"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lastRenderedPageBreak/>
        <w:t xml:space="preserve">Cervical </w:t>
      </w:r>
      <w:proofErr w:type="spellStart"/>
      <w:r w:rsidRPr="00B516F8">
        <w:rPr>
          <w:sz w:val="20"/>
          <w:szCs w:val="20"/>
          <w:lang w:val="en-ID"/>
        </w:rPr>
        <w:t>spondylotic</w:t>
      </w:r>
      <w:proofErr w:type="spellEnd"/>
      <w:r w:rsidRPr="00B516F8">
        <w:rPr>
          <w:sz w:val="20"/>
          <w:szCs w:val="20"/>
          <w:lang w:val="en-ID"/>
        </w:rPr>
        <w:t xml:space="preserve"> myelopathy (CSM) occurs due to mechanical compression of the spinal cord, which leads to progressive neurological deficits. Several anatomical structures in the cervical spine contribute to this compression, including intervertebral disc bulging or herniation, posterior osteophyte protrusion, hypertrophy or ossification of the posterior longitudinal ligament (PLL), infolding or ossification of the ligamentum flavum (LF), and osteoarthritis of uncovertebral and apophyseal joints. In many cases, static compression occurs due to a combination of these factors. Additionally, dynamic instability, caused by abnormal motion or segmental instability, can exacerbate spinal cord compression and contribute to the progression of myelopathy. Other contributing factors include spinal cord stretching, vascular compromise, and chronic repetitive microtrauma</w:t>
      </w:r>
      <w:r w:rsidRPr="00B516F8">
        <w:rPr>
          <w:sz w:val="20"/>
          <w:szCs w:val="20"/>
          <w:vertAlign w:val="superscript"/>
          <w:lang w:val="en-ID"/>
        </w:rPr>
        <w:t>14</w:t>
      </w:r>
      <w:r w:rsidR="00CF4201" w:rsidRPr="00B516F8">
        <w:rPr>
          <w:sz w:val="20"/>
          <w:szCs w:val="20"/>
        </w:rPr>
        <w:t>.</w:t>
      </w:r>
    </w:p>
    <w:p w14:paraId="7514004A" w14:textId="77777777" w:rsidR="009A625E" w:rsidRPr="006352EA" w:rsidRDefault="009A625E" w:rsidP="003C2A84">
      <w:pPr>
        <w:spacing w:after="160" w:line="360" w:lineRule="auto"/>
        <w:jc w:val="both"/>
        <w:rPr>
          <w:b/>
          <w:sz w:val="20"/>
          <w:szCs w:val="20"/>
          <w:lang w:val="en-ID"/>
        </w:rPr>
      </w:pPr>
      <w:r w:rsidRPr="006352EA">
        <w:rPr>
          <w:b/>
          <w:sz w:val="20"/>
          <w:szCs w:val="20"/>
          <w:lang w:val="en-ID"/>
        </w:rPr>
        <w:t>Pathogenesis of CSM</w:t>
      </w:r>
    </w:p>
    <w:p w14:paraId="1B5C1C2F" w14:textId="77777777" w:rsidR="009A625E" w:rsidRPr="00B516F8" w:rsidRDefault="009A625E" w:rsidP="003C2A84">
      <w:pPr>
        <w:spacing w:after="160" w:line="360" w:lineRule="auto"/>
        <w:jc w:val="both"/>
        <w:rPr>
          <w:sz w:val="20"/>
          <w:szCs w:val="20"/>
          <w:lang w:val="en-ID"/>
        </w:rPr>
      </w:pPr>
      <w:r w:rsidRPr="00B516F8">
        <w:rPr>
          <w:sz w:val="20"/>
          <w:szCs w:val="20"/>
          <w:lang w:val="en-ID"/>
        </w:rPr>
        <w:t>The pathogenesis of CSM can be divided into three categories:</w:t>
      </w:r>
    </w:p>
    <w:p w14:paraId="37B1EFF2"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 xml:space="preserve"> Cervical Osteoarthritis</w:t>
      </w:r>
    </w:p>
    <w:p w14:paraId="404EEB95" w14:textId="77777777" w:rsidR="009A625E" w:rsidRPr="00B516F8" w:rsidRDefault="009A625E" w:rsidP="003C2A84">
      <w:pPr>
        <w:spacing w:after="160" w:line="360" w:lineRule="auto"/>
        <w:jc w:val="both"/>
        <w:rPr>
          <w:sz w:val="20"/>
          <w:szCs w:val="20"/>
          <w:lang w:val="en-ID"/>
        </w:rPr>
      </w:pPr>
      <w:r w:rsidRPr="00B516F8">
        <w:rPr>
          <w:sz w:val="20"/>
          <w:szCs w:val="20"/>
          <w:lang w:val="en-ID"/>
        </w:rPr>
        <w:t xml:space="preserve">Cervical osteoarthritis is a degenerative process characterized by repeated stress and structural damage to the vertebral bodies and intervertebral discs. Degeneration of the intervertebral disc is the primary event in cervical spondylosis, leading to flattening and loss of disc height, which disrupts weight-bearing capacity and load transmission in the cervical spine. As a result, facet joints become hypermobile, leading to spinal instability and spondylolisthesis. Over time, osteophyte formation occurs due to </w:t>
      </w:r>
      <w:proofErr w:type="spellStart"/>
      <w:r w:rsidRPr="00B516F8">
        <w:rPr>
          <w:sz w:val="20"/>
          <w:szCs w:val="20"/>
          <w:lang w:val="en-ID"/>
        </w:rPr>
        <w:t>remodeling</w:t>
      </w:r>
      <w:proofErr w:type="spellEnd"/>
      <w:r w:rsidRPr="00B516F8">
        <w:rPr>
          <w:sz w:val="20"/>
          <w:szCs w:val="20"/>
          <w:lang w:val="en-ID"/>
        </w:rPr>
        <w:t xml:space="preserve"> in response to stress on the cartilaginous endplates, further contributing to canal narrowing.</w:t>
      </w:r>
    </w:p>
    <w:p w14:paraId="2EB096B6" w14:textId="492B5891" w:rsidR="009A625E" w:rsidRPr="00B516F8" w:rsidRDefault="009A625E" w:rsidP="003C2A84">
      <w:pPr>
        <w:spacing w:line="360" w:lineRule="auto"/>
        <w:jc w:val="both"/>
        <w:rPr>
          <w:sz w:val="20"/>
          <w:szCs w:val="20"/>
        </w:rPr>
      </w:pPr>
      <w:r w:rsidRPr="00B516F8">
        <w:rPr>
          <w:sz w:val="20"/>
          <w:szCs w:val="20"/>
          <w:lang w:val="en-ID"/>
        </w:rPr>
        <w:t>Loss of disc height and anterior-posterior enlargement of the vertebral bodies lead to restructuring of the vertebral segment, causing progressive spinal canal stenosis in CSM patients. Studies indicate that an AP diameter of ≤13 mm in the cervical spinal canal is significantly associated with disc degeneration and cervical stenosis</w:t>
      </w:r>
      <w:r w:rsidRPr="00B516F8">
        <w:rPr>
          <w:sz w:val="20"/>
          <w:szCs w:val="20"/>
          <w:vertAlign w:val="superscript"/>
          <w:lang w:val="en-ID"/>
        </w:rPr>
        <w:t>7,14</w:t>
      </w:r>
      <w:r w:rsidR="00CF4201" w:rsidRPr="00B516F8">
        <w:rPr>
          <w:sz w:val="20"/>
          <w:szCs w:val="20"/>
        </w:rPr>
        <w:t>.</w:t>
      </w:r>
    </w:p>
    <w:p w14:paraId="319D4D2A" w14:textId="77777777" w:rsidR="00CF4201" w:rsidRPr="00B516F8" w:rsidRDefault="00CF4201" w:rsidP="003C2A84">
      <w:pPr>
        <w:spacing w:line="360" w:lineRule="auto"/>
        <w:jc w:val="both"/>
        <w:rPr>
          <w:sz w:val="20"/>
          <w:szCs w:val="20"/>
          <w:vertAlign w:val="superscript"/>
          <w:lang w:val="en-ID"/>
        </w:rPr>
      </w:pPr>
    </w:p>
    <w:p w14:paraId="479286F4"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 xml:space="preserve"> Cervical Non-Osteoarthritis</w:t>
      </w:r>
    </w:p>
    <w:p w14:paraId="5B501961" w14:textId="77777777" w:rsidR="009A625E" w:rsidRPr="00B516F8" w:rsidRDefault="009A625E" w:rsidP="003C2A84">
      <w:pPr>
        <w:spacing w:after="160" w:line="360" w:lineRule="auto"/>
        <w:jc w:val="both"/>
        <w:rPr>
          <w:sz w:val="20"/>
          <w:szCs w:val="20"/>
          <w:lang w:val="en-ID"/>
        </w:rPr>
      </w:pPr>
      <w:r w:rsidRPr="00B516F8">
        <w:rPr>
          <w:sz w:val="20"/>
          <w:szCs w:val="20"/>
          <w:lang w:val="en-ID"/>
        </w:rPr>
        <w:t>In addition to disc degeneration and facet joint changes, age-related spinal ligament changes contribute to CSM, particularly in the PLL and ligamentum flavum. Two key pathological processes occur:</w:t>
      </w:r>
    </w:p>
    <w:p w14:paraId="2AEA76CE" w14:textId="77777777" w:rsidR="009A625E" w:rsidRPr="00B516F8" w:rsidRDefault="009A625E" w:rsidP="003C2A84">
      <w:pPr>
        <w:numPr>
          <w:ilvl w:val="0"/>
          <w:numId w:val="5"/>
        </w:numPr>
        <w:spacing w:after="160" w:line="360" w:lineRule="auto"/>
        <w:jc w:val="both"/>
        <w:rPr>
          <w:sz w:val="20"/>
          <w:szCs w:val="20"/>
          <w:lang w:val="en-ID"/>
        </w:rPr>
      </w:pPr>
      <w:r w:rsidRPr="00B516F8">
        <w:rPr>
          <w:sz w:val="20"/>
          <w:szCs w:val="20"/>
          <w:lang w:val="en-ID"/>
        </w:rPr>
        <w:t>Hypertrophy and ossification of the PLL (OPLL): This condition is more common in Asian populations and is influenced by age, local tissue characteristics, patient comorbidities, and genetic factors. Hypertrophy precedes ossification and may be triggered by nucleus pulposus protrusion.</w:t>
      </w:r>
    </w:p>
    <w:p w14:paraId="7FDC8B22" w14:textId="77777777" w:rsidR="009A625E" w:rsidRPr="00B516F8" w:rsidRDefault="009A625E" w:rsidP="003C2A84">
      <w:pPr>
        <w:numPr>
          <w:ilvl w:val="0"/>
          <w:numId w:val="5"/>
        </w:numPr>
        <w:spacing w:after="160" w:line="360" w:lineRule="auto"/>
        <w:jc w:val="both"/>
        <w:rPr>
          <w:sz w:val="20"/>
          <w:szCs w:val="20"/>
          <w:lang w:val="en-ID"/>
        </w:rPr>
      </w:pPr>
      <w:r w:rsidRPr="00B516F8">
        <w:rPr>
          <w:sz w:val="20"/>
          <w:szCs w:val="20"/>
          <w:lang w:val="en-ID"/>
        </w:rPr>
        <w:t>Ligamentum flavum hypertrophy and dynamic infolding: These processes contribute to spondylosis and disc height loss, further exacerbating canal stenosis.</w:t>
      </w:r>
    </w:p>
    <w:p w14:paraId="4AD2906F" w14:textId="4F371546"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t xml:space="preserve">Radiologically, OPLL can be classified into four types: (1) localized, (2) segmental, (3) continuous, and (4) mixed (a combination of the previous types). OPLL is progressive, leading to worsening stenosis and </w:t>
      </w:r>
      <w:r w:rsidRPr="00B516F8">
        <w:rPr>
          <w:sz w:val="20"/>
          <w:szCs w:val="20"/>
          <w:lang w:val="en-ID"/>
        </w:rPr>
        <w:lastRenderedPageBreak/>
        <w:t>myelopathy. A cohort study of 207 patients over 10 years found that 34% (70 patients) developed myelopathy. Another study suggested that dynamic instability plays a key role in OPLL progression. Ossification of the ligamentum flavum (OLF) is another ligamentous disorder, predominantly affecting Asian populations, with &gt;7% prevalence in individuals over 45 years. It is commonly found in the thoracic region, where it often remains asymptomatic. However, in rare cases, OLF and OPLL co-exist, a phenomenon known as "tandem ossification", leading to simultaneous anterior and posterior spinal cord compression</w:t>
      </w:r>
      <w:r w:rsidRPr="00B516F8">
        <w:rPr>
          <w:sz w:val="20"/>
          <w:szCs w:val="20"/>
          <w:vertAlign w:val="superscript"/>
          <w:lang w:val="en-ID"/>
        </w:rPr>
        <w:t>7-12</w:t>
      </w:r>
      <w:r w:rsidR="00CF4201" w:rsidRPr="00B516F8">
        <w:rPr>
          <w:sz w:val="20"/>
          <w:szCs w:val="20"/>
        </w:rPr>
        <w:t>.</w:t>
      </w:r>
    </w:p>
    <w:p w14:paraId="0AFBE08C" w14:textId="77777777" w:rsidR="009A625E" w:rsidRPr="00B516F8" w:rsidRDefault="009A625E" w:rsidP="003C2A84">
      <w:pPr>
        <w:pStyle w:val="ListParagraph"/>
        <w:numPr>
          <w:ilvl w:val="0"/>
          <w:numId w:val="7"/>
        </w:numPr>
        <w:spacing w:line="360" w:lineRule="auto"/>
        <w:jc w:val="both"/>
        <w:rPr>
          <w:rFonts w:ascii="Arial" w:hAnsi="Arial" w:cs="Arial"/>
          <w:sz w:val="20"/>
          <w:szCs w:val="20"/>
        </w:rPr>
      </w:pPr>
      <w:r w:rsidRPr="00B516F8">
        <w:rPr>
          <w:rFonts w:ascii="Arial" w:hAnsi="Arial" w:cs="Arial"/>
          <w:sz w:val="20"/>
          <w:szCs w:val="20"/>
        </w:rPr>
        <w:t>Mechanism and Pathobiology of Spinal Cord Compression</w:t>
      </w:r>
    </w:p>
    <w:p w14:paraId="7BE215C0" w14:textId="733629F9" w:rsidR="009A625E" w:rsidRPr="00B516F8" w:rsidRDefault="009A625E" w:rsidP="003C2A84">
      <w:pPr>
        <w:spacing w:after="160" w:line="360" w:lineRule="auto"/>
        <w:jc w:val="both"/>
        <w:rPr>
          <w:sz w:val="20"/>
          <w:szCs w:val="20"/>
          <w:vertAlign w:val="superscript"/>
          <w:lang w:val="en-ID"/>
        </w:rPr>
      </w:pPr>
      <w:r w:rsidRPr="00B516F8">
        <w:rPr>
          <w:sz w:val="20"/>
          <w:szCs w:val="20"/>
          <w:lang w:val="en-ID"/>
        </w:rPr>
        <w:t>In addition to static anterior and posterior spinal cord compression, excessive cervical spine motion can accelerate CSM progression. Dynamic compression occurs due to daily activities involving cervical motion, leading to changes in spinal canal dimensions</w:t>
      </w:r>
      <w:r w:rsidRPr="00B516F8">
        <w:rPr>
          <w:sz w:val="20"/>
          <w:szCs w:val="20"/>
          <w:vertAlign w:val="superscript"/>
          <w:lang w:val="en-ID"/>
        </w:rPr>
        <w:t>4,7,14</w:t>
      </w:r>
      <w:r w:rsidR="00CF4201" w:rsidRPr="00B516F8">
        <w:rPr>
          <w:sz w:val="20"/>
          <w:szCs w:val="20"/>
        </w:rPr>
        <w:t>.</w:t>
      </w:r>
    </w:p>
    <w:p w14:paraId="2B695E1D"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During cervical flexion, the spinal cord undergoes tensile stress, particularly at the anterior disc bulging or osteochondral bars.</w:t>
      </w:r>
    </w:p>
    <w:p w14:paraId="044C3FA7"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During cervical extension, ligamentum flavum infolding and hypertrophy increase spinal cord compression.</w:t>
      </w:r>
    </w:p>
    <w:p w14:paraId="7C329739" w14:textId="77777777" w:rsidR="009A625E" w:rsidRPr="00B516F8" w:rsidRDefault="009A625E" w:rsidP="003C2A84">
      <w:pPr>
        <w:numPr>
          <w:ilvl w:val="0"/>
          <w:numId w:val="6"/>
        </w:numPr>
        <w:spacing w:after="160" w:line="360" w:lineRule="auto"/>
        <w:jc w:val="both"/>
        <w:rPr>
          <w:sz w:val="20"/>
          <w:szCs w:val="20"/>
          <w:lang w:val="en-ID"/>
        </w:rPr>
      </w:pPr>
      <w:r w:rsidRPr="00B516F8">
        <w:rPr>
          <w:sz w:val="20"/>
          <w:szCs w:val="20"/>
          <w:lang w:val="en-ID"/>
        </w:rPr>
        <w:t>These dynamic injuries worsen CSM symptoms, especially in patients with pre-existing static compression.</w:t>
      </w:r>
    </w:p>
    <w:p w14:paraId="3BE05055" w14:textId="7D9120B5" w:rsidR="009A625E" w:rsidRPr="00B516F8" w:rsidRDefault="009A625E" w:rsidP="003C2A84">
      <w:pPr>
        <w:spacing w:line="360" w:lineRule="auto"/>
        <w:jc w:val="both"/>
        <w:rPr>
          <w:sz w:val="20"/>
          <w:szCs w:val="20"/>
        </w:rPr>
      </w:pPr>
      <w:r w:rsidRPr="00B516F8">
        <w:rPr>
          <w:sz w:val="20"/>
          <w:szCs w:val="20"/>
          <w:lang w:val="en-ID"/>
        </w:rPr>
        <w:t>On a cellular level, CSM pathobiology involves hypoxic-ischemic injury, chronic inflammation, demyelination, spinal cord atrophy, and neuronal apoptosis. The initial insult occurs due to vascular compromise, which reduces blood flow to the intramedullary parenchyma of the spinal cord. Over time, tension forces and kyphotic deformity contribute to vascular flattening and progressive ischemia, ultimately leading to neural tissue degeneration and loss of function</w:t>
      </w:r>
      <w:r w:rsidRPr="00B516F8">
        <w:rPr>
          <w:sz w:val="20"/>
          <w:szCs w:val="20"/>
          <w:vertAlign w:val="superscript"/>
          <w:lang w:val="en-ID"/>
        </w:rPr>
        <w:t>7,14</w:t>
      </w:r>
      <w:r w:rsidR="00CF4201" w:rsidRPr="00B516F8">
        <w:rPr>
          <w:sz w:val="20"/>
          <w:szCs w:val="20"/>
        </w:rPr>
        <w:t>.</w:t>
      </w:r>
    </w:p>
    <w:p w14:paraId="60085298" w14:textId="77777777" w:rsidR="00163D17" w:rsidRPr="00B516F8" w:rsidRDefault="00163D17" w:rsidP="003C2A84">
      <w:pPr>
        <w:spacing w:line="360" w:lineRule="auto"/>
        <w:jc w:val="both"/>
        <w:rPr>
          <w:sz w:val="20"/>
          <w:szCs w:val="20"/>
          <w:vertAlign w:val="superscript"/>
        </w:rPr>
      </w:pPr>
    </w:p>
    <w:p w14:paraId="277692A4" w14:textId="77777777" w:rsidR="009A625E" w:rsidRPr="00B516F8" w:rsidRDefault="009A625E" w:rsidP="003C2A84">
      <w:pPr>
        <w:spacing w:line="360" w:lineRule="auto"/>
        <w:jc w:val="center"/>
        <w:rPr>
          <w:sz w:val="20"/>
          <w:szCs w:val="20"/>
          <w:vertAlign w:val="superscript"/>
          <w:lang w:val="en-ID"/>
        </w:rPr>
      </w:pPr>
      <w:r w:rsidRPr="00B516F8">
        <w:rPr>
          <w:noProof/>
          <w:sz w:val="20"/>
          <w:szCs w:val="20"/>
        </w:rPr>
        <w:drawing>
          <wp:inline distT="0" distB="0" distL="0" distR="0" wp14:anchorId="73B59B1B" wp14:editId="54A444F8">
            <wp:extent cx="3975100" cy="2255520"/>
            <wp:effectExtent l="0" t="0" r="0" b="5080"/>
            <wp:docPr id="1482268306" name="Picture 1" descr="A diagram of a chronic com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8306" name="Picture 1" descr="A diagram of a chronic compression&#10;&#10;AI-generated content may be incorrect."/>
                    <pic:cNvPicPr/>
                  </pic:nvPicPr>
                  <pic:blipFill>
                    <a:blip r:embed="rId9"/>
                    <a:stretch>
                      <a:fillRect/>
                    </a:stretch>
                  </pic:blipFill>
                  <pic:spPr>
                    <a:xfrm>
                      <a:off x="0" y="0"/>
                      <a:ext cx="3975100" cy="2255520"/>
                    </a:xfrm>
                    <a:prstGeom prst="rect">
                      <a:avLst/>
                    </a:prstGeom>
                  </pic:spPr>
                </pic:pic>
              </a:graphicData>
            </a:graphic>
          </wp:inline>
        </w:drawing>
      </w:r>
    </w:p>
    <w:p w14:paraId="0AE4552E" w14:textId="53E7B039" w:rsidR="009A625E" w:rsidRPr="00B516F8" w:rsidRDefault="00C02A25" w:rsidP="003C2A84">
      <w:pPr>
        <w:pStyle w:val="Caption"/>
        <w:spacing w:line="360" w:lineRule="auto"/>
        <w:jc w:val="center"/>
        <w:rPr>
          <w:rFonts w:ascii="Arial" w:hAnsi="Arial" w:cs="Arial"/>
          <w:i w:val="0"/>
          <w:iCs w:val="0"/>
          <w:color w:val="auto"/>
          <w:sz w:val="20"/>
          <w:szCs w:val="20"/>
          <w:vertAlign w:val="superscript"/>
        </w:rPr>
      </w:pPr>
      <w:bookmarkStart w:id="3" w:name="_Toc134695090"/>
      <w:r w:rsidRPr="00B516F8">
        <w:rPr>
          <w:rFonts w:ascii="Arial" w:hAnsi="Arial" w:cs="Arial"/>
          <w:i w:val="0"/>
          <w:iCs w:val="0"/>
          <w:color w:val="auto"/>
          <w:sz w:val="20"/>
          <w:szCs w:val="20"/>
        </w:rPr>
        <w:t xml:space="preserve">Figure </w:t>
      </w:r>
      <w:r w:rsidR="00DA36F5" w:rsidRPr="00B516F8">
        <w:rPr>
          <w:rFonts w:ascii="Arial" w:hAnsi="Arial" w:cs="Arial"/>
          <w:i w:val="0"/>
          <w:iCs w:val="0"/>
          <w:color w:val="auto"/>
          <w:sz w:val="20"/>
          <w:szCs w:val="20"/>
        </w:rPr>
        <w:t>2</w:t>
      </w:r>
      <w:r w:rsidR="009A625E" w:rsidRPr="00B516F8">
        <w:rPr>
          <w:rFonts w:ascii="Arial" w:hAnsi="Arial" w:cs="Arial"/>
          <w:i w:val="0"/>
          <w:iCs w:val="0"/>
          <w:color w:val="auto"/>
          <w:sz w:val="20"/>
          <w:szCs w:val="20"/>
        </w:rPr>
        <w:t xml:space="preserve">. </w:t>
      </w:r>
      <w:r w:rsidRPr="00B516F8">
        <w:rPr>
          <w:rFonts w:ascii="Arial" w:hAnsi="Arial" w:cs="Arial"/>
          <w:i w:val="0"/>
          <w:iCs w:val="0"/>
          <w:color w:val="auto"/>
          <w:sz w:val="20"/>
          <w:szCs w:val="20"/>
        </w:rPr>
        <w:t xml:space="preserve">CSM Pathogenesis </w:t>
      </w:r>
      <w:r w:rsidR="009A625E" w:rsidRPr="00B516F8">
        <w:rPr>
          <w:rFonts w:ascii="Arial" w:hAnsi="Arial" w:cs="Arial"/>
          <w:color w:val="auto"/>
          <w:sz w:val="20"/>
          <w:szCs w:val="20"/>
        </w:rPr>
        <w:t>(BSCB: blood-spinal cord barrier)</w:t>
      </w:r>
      <w:r w:rsidR="009A625E" w:rsidRPr="00B516F8">
        <w:rPr>
          <w:rFonts w:ascii="Arial" w:hAnsi="Arial" w:cs="Arial"/>
          <w:i w:val="0"/>
          <w:iCs w:val="0"/>
          <w:color w:val="auto"/>
          <w:sz w:val="20"/>
          <w:szCs w:val="20"/>
          <w:vertAlign w:val="superscript"/>
        </w:rPr>
        <w:t>14</w:t>
      </w:r>
      <w:bookmarkEnd w:id="3"/>
      <w:r w:rsidR="00CF4201" w:rsidRPr="00B516F8">
        <w:rPr>
          <w:rFonts w:ascii="Arial" w:hAnsi="Arial" w:cs="Arial"/>
          <w:color w:val="auto"/>
          <w:sz w:val="20"/>
          <w:szCs w:val="20"/>
        </w:rPr>
        <w:t>.</w:t>
      </w:r>
    </w:p>
    <w:p w14:paraId="74A470A4" w14:textId="77777777" w:rsidR="009A625E" w:rsidRPr="00B516F8" w:rsidRDefault="009A625E" w:rsidP="003C2A84">
      <w:pPr>
        <w:pStyle w:val="ListParagraph"/>
        <w:spacing w:line="360" w:lineRule="auto"/>
        <w:ind w:left="284"/>
        <w:jc w:val="both"/>
        <w:rPr>
          <w:rFonts w:ascii="Arial" w:hAnsi="Arial" w:cs="Arial"/>
          <w:b/>
          <w:bCs/>
          <w:sz w:val="24"/>
          <w:szCs w:val="24"/>
        </w:rPr>
      </w:pPr>
    </w:p>
    <w:p w14:paraId="51223CFB" w14:textId="51F10718" w:rsidR="00BD3581"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CLINICAL SYMPTOMS AND PHYSICAL EXAMINATION</w:t>
      </w:r>
    </w:p>
    <w:p w14:paraId="298A4D70" w14:textId="219F49FF" w:rsidR="00BD3581" w:rsidRPr="00B516F8" w:rsidRDefault="00BD3581" w:rsidP="003C2A84">
      <w:pPr>
        <w:spacing w:after="160" w:line="360" w:lineRule="auto"/>
        <w:jc w:val="both"/>
        <w:rPr>
          <w:sz w:val="20"/>
          <w:szCs w:val="20"/>
          <w:vertAlign w:val="superscript"/>
          <w:lang w:val="en-ID"/>
        </w:rPr>
      </w:pPr>
      <w:r w:rsidRPr="00B516F8">
        <w:rPr>
          <w:sz w:val="20"/>
          <w:szCs w:val="20"/>
          <w:lang w:val="en-ID"/>
        </w:rPr>
        <w:t xml:space="preserve">Cervical </w:t>
      </w:r>
      <w:proofErr w:type="spellStart"/>
      <w:r w:rsidRPr="00B516F8">
        <w:rPr>
          <w:sz w:val="20"/>
          <w:szCs w:val="20"/>
          <w:lang w:val="en-ID"/>
        </w:rPr>
        <w:t>spondylotic</w:t>
      </w:r>
      <w:proofErr w:type="spellEnd"/>
      <w:r w:rsidRPr="00B516F8">
        <w:rPr>
          <w:sz w:val="20"/>
          <w:szCs w:val="20"/>
          <w:lang w:val="en-ID"/>
        </w:rPr>
        <w:t xml:space="preserve"> myelopathy (CSM) is a progressive neurological disorder characterized by spinal cord compression, leading to motor, sensory, and autonomic dysfunction. The clinical manifestations vary in severity, ranging from mild motor impairment to profound neurological deficits</w:t>
      </w:r>
      <w:r w:rsidRPr="00B516F8">
        <w:rPr>
          <w:sz w:val="20"/>
          <w:szCs w:val="20"/>
          <w:vertAlign w:val="superscript"/>
          <w:lang w:val="en-ID"/>
        </w:rPr>
        <w:t>13</w:t>
      </w:r>
      <w:r w:rsidR="00CF4201" w:rsidRPr="00B516F8">
        <w:rPr>
          <w:sz w:val="20"/>
          <w:szCs w:val="20"/>
        </w:rPr>
        <w:t>.</w:t>
      </w:r>
    </w:p>
    <w:p w14:paraId="39C99CE0" w14:textId="77777777" w:rsidR="00BD3581" w:rsidRPr="00B516F8" w:rsidRDefault="00BD3581" w:rsidP="003C2A84">
      <w:pPr>
        <w:spacing w:after="160" w:line="360" w:lineRule="auto"/>
        <w:jc w:val="both"/>
        <w:rPr>
          <w:sz w:val="20"/>
          <w:szCs w:val="20"/>
          <w:lang w:val="en-ID"/>
        </w:rPr>
      </w:pPr>
      <w:r w:rsidRPr="00B516F8">
        <w:rPr>
          <w:sz w:val="20"/>
          <w:szCs w:val="20"/>
          <w:lang w:val="en-ID"/>
        </w:rPr>
        <w:t>1. Motor Dysfunction</w:t>
      </w:r>
    </w:p>
    <w:p w14:paraId="06941964" w14:textId="77777777" w:rsidR="00BD3581" w:rsidRPr="00B516F8" w:rsidRDefault="00BD3581" w:rsidP="003C2A84">
      <w:pPr>
        <w:spacing w:after="160" w:line="360" w:lineRule="auto"/>
        <w:jc w:val="both"/>
        <w:rPr>
          <w:sz w:val="20"/>
          <w:szCs w:val="20"/>
          <w:lang w:val="en-ID"/>
        </w:rPr>
      </w:pPr>
      <w:r w:rsidRPr="00B516F8">
        <w:rPr>
          <w:sz w:val="20"/>
          <w:szCs w:val="20"/>
          <w:lang w:val="en-ID"/>
        </w:rPr>
        <w:t>One of the earliest and most prominent signs of CSM is fine motor impairment in the hands, making it difficult for patients to perform tasks such as writing, typing, or buttoning clothes. As the disease progresses, gross motor dysfunction appears, leading to abnormal gait patterns and frequent falls. Patients often develop spasticity, particularly in the lower extremities, which contributes to an unsteady gait. Weakness in the lower limbs further exacerbates mobility issues, increasing the risk of falls and injuries.</w:t>
      </w:r>
    </w:p>
    <w:p w14:paraId="7A9EC6E6" w14:textId="77777777" w:rsidR="00BD3581" w:rsidRPr="00B516F8" w:rsidRDefault="00BD3581" w:rsidP="003C2A84">
      <w:pPr>
        <w:spacing w:after="160" w:line="360" w:lineRule="auto"/>
        <w:jc w:val="both"/>
        <w:rPr>
          <w:sz w:val="20"/>
          <w:szCs w:val="20"/>
          <w:lang w:val="en-ID"/>
        </w:rPr>
      </w:pPr>
      <w:r w:rsidRPr="00B516F8">
        <w:rPr>
          <w:sz w:val="20"/>
          <w:szCs w:val="20"/>
          <w:lang w:val="en-ID"/>
        </w:rPr>
        <w:t>2. Sensory and Proprioceptive Impairment</w:t>
      </w:r>
    </w:p>
    <w:p w14:paraId="384160E3" w14:textId="77777777" w:rsidR="00BD3581" w:rsidRPr="00B516F8" w:rsidRDefault="00BD3581" w:rsidP="003C2A84">
      <w:pPr>
        <w:spacing w:after="160" w:line="360" w:lineRule="auto"/>
        <w:jc w:val="both"/>
        <w:rPr>
          <w:sz w:val="20"/>
          <w:szCs w:val="20"/>
          <w:lang w:val="en-ID"/>
        </w:rPr>
      </w:pPr>
      <w:r w:rsidRPr="00B516F8">
        <w:rPr>
          <w:sz w:val="20"/>
          <w:szCs w:val="20"/>
          <w:lang w:val="en-ID"/>
        </w:rPr>
        <w:t>Chronic myelopathy can result in proprioceptive loss, leading to difficulty in balance and coordination. In severe cases, tetraplegia (paralysis of all four limbs) may occur due to progressive spinal cord damage. Patients may also experience numbness, tingling, or burning sensations in the extremities.</w:t>
      </w:r>
    </w:p>
    <w:p w14:paraId="3F2EBDB4" w14:textId="77777777" w:rsidR="00BD3581" w:rsidRPr="00B516F8" w:rsidRDefault="00BD3581" w:rsidP="003C2A84">
      <w:pPr>
        <w:spacing w:after="160" w:line="360" w:lineRule="auto"/>
        <w:jc w:val="both"/>
        <w:rPr>
          <w:sz w:val="20"/>
          <w:szCs w:val="20"/>
          <w:lang w:val="en-ID"/>
        </w:rPr>
      </w:pPr>
      <w:r w:rsidRPr="00B516F8">
        <w:rPr>
          <w:sz w:val="20"/>
          <w:szCs w:val="20"/>
          <w:lang w:val="en-ID"/>
        </w:rPr>
        <w:t>3. Neck Pain and Radicular Symptoms</w:t>
      </w:r>
    </w:p>
    <w:p w14:paraId="7F30890A" w14:textId="77777777" w:rsidR="00BD3581" w:rsidRPr="00B516F8" w:rsidRDefault="00BD3581" w:rsidP="003C2A84">
      <w:pPr>
        <w:spacing w:after="160" w:line="360" w:lineRule="auto"/>
        <w:jc w:val="both"/>
        <w:rPr>
          <w:sz w:val="20"/>
          <w:szCs w:val="20"/>
          <w:lang w:val="en-ID"/>
        </w:rPr>
      </w:pPr>
      <w:r w:rsidRPr="00B516F8">
        <w:rPr>
          <w:sz w:val="20"/>
          <w:szCs w:val="20"/>
          <w:lang w:val="en-ID"/>
        </w:rPr>
        <w:t>Neck pain is often the first symptom of CSM, sometimes radiating to the shoulders and upper limbs. This pain can be constant or intermittent and may worsen with neck movement. In some cases, trigeminal nerve involvement leads to facial pain or neuralgia, particularly when the upper cervical spine is affected.</w:t>
      </w:r>
    </w:p>
    <w:p w14:paraId="04063EFF" w14:textId="77777777" w:rsidR="00BD3581" w:rsidRPr="00B516F8" w:rsidRDefault="00BD3581" w:rsidP="003C2A84">
      <w:pPr>
        <w:spacing w:after="160" w:line="360" w:lineRule="auto"/>
        <w:jc w:val="both"/>
        <w:rPr>
          <w:sz w:val="20"/>
          <w:szCs w:val="20"/>
          <w:lang w:val="en-ID"/>
        </w:rPr>
      </w:pPr>
      <w:r w:rsidRPr="00B516F8">
        <w:rPr>
          <w:sz w:val="20"/>
          <w:szCs w:val="20"/>
          <w:lang w:val="en-ID"/>
        </w:rPr>
        <w:t>4. Myelopathic Reflexes and Neurological Signs</w:t>
      </w:r>
    </w:p>
    <w:p w14:paraId="7EAB6193" w14:textId="77777777" w:rsidR="00BD3581" w:rsidRPr="00B516F8" w:rsidRDefault="00BD3581" w:rsidP="003C2A84">
      <w:pPr>
        <w:spacing w:after="160" w:line="360" w:lineRule="auto"/>
        <w:jc w:val="both"/>
        <w:rPr>
          <w:sz w:val="20"/>
          <w:szCs w:val="20"/>
          <w:lang w:val="en-ID"/>
        </w:rPr>
      </w:pPr>
      <w:r w:rsidRPr="00B516F8">
        <w:rPr>
          <w:sz w:val="20"/>
          <w:szCs w:val="20"/>
          <w:lang w:val="en-ID"/>
        </w:rPr>
        <w:t>CSM is associated with several abnormal reflexes and neurological signs, which aid in diagnosis:</w:t>
      </w:r>
    </w:p>
    <w:p w14:paraId="0FCB334D"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Lhermitte’s sign – An electric shock-like sensation that runs down the spine and into the limbs when the neck is flexed.</w:t>
      </w:r>
    </w:p>
    <w:p w14:paraId="017BBDDC"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Hoffman’s sign – An abnormal finger reflex indicating upper motor neuron dysfunction.</w:t>
      </w:r>
    </w:p>
    <w:p w14:paraId="032F4CD5"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Reverse radial reflex – Absence of the brachioradialis reflex, with simultaneous flexion of the fingers.</w:t>
      </w:r>
    </w:p>
    <w:p w14:paraId="48A34BCA"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Babinski’s sign – Upgoing toes when the plantar surface of the foot is stimulated, indicating corticospinal tract involvement.</w:t>
      </w:r>
    </w:p>
    <w:p w14:paraId="3B9F6381"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Oppenheim’s sign – Extension of the big toe upon stroking the shin, similar to Babinski’s sign.</w:t>
      </w:r>
    </w:p>
    <w:p w14:paraId="6CB9124B"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Gordon’s sign – Toe extension upon squeezing the calf muscle.</w:t>
      </w:r>
    </w:p>
    <w:p w14:paraId="12FFBD90"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lastRenderedPageBreak/>
        <w:t>Schaefer’s sign – Toe extension upon pinching the Achilles tendon.</w:t>
      </w:r>
    </w:p>
    <w:p w14:paraId="7817E998"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Bing’s sign – Reflexive dorsiflexion of the big toe upon pricking the dorsum of the foot.</w:t>
      </w:r>
    </w:p>
    <w:p w14:paraId="48695378" w14:textId="77777777" w:rsidR="00BD3581" w:rsidRPr="00B516F8" w:rsidRDefault="00BD3581" w:rsidP="003C2A84">
      <w:pPr>
        <w:numPr>
          <w:ilvl w:val="0"/>
          <w:numId w:val="8"/>
        </w:numPr>
        <w:spacing w:after="160" w:line="360" w:lineRule="auto"/>
        <w:jc w:val="both"/>
        <w:rPr>
          <w:sz w:val="20"/>
          <w:szCs w:val="20"/>
          <w:lang w:val="en-ID"/>
        </w:rPr>
      </w:pPr>
      <w:r w:rsidRPr="00B516F8">
        <w:rPr>
          <w:sz w:val="20"/>
          <w:szCs w:val="20"/>
          <w:lang w:val="en-ID"/>
        </w:rPr>
        <w:t>Chaddock’s sign – Babinski-like response when stimulating the lateral aspect of the foot.</w:t>
      </w:r>
    </w:p>
    <w:p w14:paraId="17E4FC07" w14:textId="77777777" w:rsidR="009A625E" w:rsidRPr="00B516F8" w:rsidRDefault="009A625E" w:rsidP="003C2A84">
      <w:pPr>
        <w:spacing w:line="360" w:lineRule="auto"/>
        <w:jc w:val="both"/>
        <w:rPr>
          <w:sz w:val="24"/>
          <w:szCs w:val="24"/>
        </w:rPr>
      </w:pPr>
    </w:p>
    <w:p w14:paraId="5292E831" w14:textId="1CBEBD1B" w:rsidR="005C4A3F"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CLASSIFICATION</w:t>
      </w:r>
    </w:p>
    <w:p w14:paraId="7CA9996C" w14:textId="71A29640" w:rsidR="005C4A3F" w:rsidRPr="00B516F8" w:rsidRDefault="005C4A3F" w:rsidP="003C2A84">
      <w:pPr>
        <w:spacing w:line="360" w:lineRule="auto"/>
        <w:jc w:val="both"/>
        <w:rPr>
          <w:sz w:val="20"/>
          <w:szCs w:val="20"/>
        </w:rPr>
      </w:pPr>
      <w:r w:rsidRPr="00B516F8">
        <w:rPr>
          <w:sz w:val="20"/>
          <w:szCs w:val="20"/>
        </w:rPr>
        <w:t xml:space="preserve">The severity of Cervical </w:t>
      </w:r>
      <w:proofErr w:type="spellStart"/>
      <w:r w:rsidRPr="00B516F8">
        <w:rPr>
          <w:sz w:val="20"/>
          <w:szCs w:val="20"/>
        </w:rPr>
        <w:t>Spondylotic</w:t>
      </w:r>
      <w:proofErr w:type="spellEnd"/>
      <w:r w:rsidRPr="00B516F8">
        <w:rPr>
          <w:sz w:val="20"/>
          <w:szCs w:val="20"/>
        </w:rPr>
        <w:t xml:space="preserve"> Myelopathy (CSM) can be assessed using the European Myelopathy Score (EMS), derived from the Japanese </w:t>
      </w:r>
      <w:proofErr w:type="spellStart"/>
      <w:r w:rsidRPr="00B516F8">
        <w:rPr>
          <w:sz w:val="20"/>
          <w:szCs w:val="20"/>
        </w:rPr>
        <w:t>Orthopaedic</w:t>
      </w:r>
      <w:proofErr w:type="spellEnd"/>
      <w:r w:rsidRPr="00B516F8">
        <w:rPr>
          <w:sz w:val="20"/>
          <w:szCs w:val="20"/>
        </w:rPr>
        <w:t xml:space="preserve"> Association (JOA) score. EMS evaluates functional criteria without formal testing, relying on patient history or questionnaires. The maximum normal score is 18 points, with paresthesia and dysesthesia commonly reported.</w:t>
      </w:r>
    </w:p>
    <w:p w14:paraId="6CA8D0F0" w14:textId="77777777" w:rsidR="00AC5F11" w:rsidRPr="00B516F8" w:rsidRDefault="00AC5F11" w:rsidP="003C2A84">
      <w:pPr>
        <w:spacing w:line="360" w:lineRule="auto"/>
        <w:jc w:val="center"/>
        <w:rPr>
          <w:sz w:val="20"/>
          <w:szCs w:val="20"/>
        </w:rPr>
      </w:pPr>
    </w:p>
    <w:p w14:paraId="6DEABEE8" w14:textId="61AAB32E" w:rsidR="00AC5F11" w:rsidRPr="00B516F8" w:rsidRDefault="00AC5F11" w:rsidP="003C2A84">
      <w:pPr>
        <w:spacing w:line="360" w:lineRule="auto"/>
        <w:jc w:val="center"/>
        <w:rPr>
          <w:sz w:val="20"/>
          <w:szCs w:val="20"/>
        </w:rPr>
      </w:pPr>
      <w:r w:rsidRPr="00B516F8">
        <w:rPr>
          <w:sz w:val="20"/>
          <w:szCs w:val="20"/>
        </w:rPr>
        <w:t>Table 1. The European Myelopathy Score</w:t>
      </w:r>
      <w:r w:rsidRPr="00B516F8">
        <w:rPr>
          <w:sz w:val="20"/>
          <w:szCs w:val="20"/>
          <w:vertAlign w:val="superscript"/>
        </w:rPr>
        <w:t>13</w:t>
      </w:r>
      <w:r w:rsidRPr="00B516F8">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DA36F5" w:rsidRPr="00B516F8" w14:paraId="32A2CF8F" w14:textId="77777777" w:rsidTr="00AC5F11">
        <w:tc>
          <w:tcPr>
            <w:tcW w:w="3005" w:type="dxa"/>
            <w:tcBorders>
              <w:top w:val="single" w:sz="4" w:space="0" w:color="auto"/>
              <w:bottom w:val="single" w:sz="4" w:space="0" w:color="auto"/>
            </w:tcBorders>
          </w:tcPr>
          <w:p w14:paraId="65185DF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Criterion</w:t>
            </w:r>
          </w:p>
        </w:tc>
        <w:tc>
          <w:tcPr>
            <w:tcW w:w="3005" w:type="dxa"/>
            <w:tcBorders>
              <w:top w:val="single" w:sz="4" w:space="0" w:color="auto"/>
              <w:bottom w:val="single" w:sz="4" w:space="0" w:color="auto"/>
            </w:tcBorders>
          </w:tcPr>
          <w:p w14:paraId="72DACEA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Clinical situation</w:t>
            </w:r>
          </w:p>
        </w:tc>
        <w:tc>
          <w:tcPr>
            <w:tcW w:w="3006" w:type="dxa"/>
            <w:tcBorders>
              <w:top w:val="single" w:sz="4" w:space="0" w:color="auto"/>
              <w:bottom w:val="single" w:sz="4" w:space="0" w:color="auto"/>
            </w:tcBorders>
          </w:tcPr>
          <w:p w14:paraId="4F38019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Points</w:t>
            </w:r>
          </w:p>
        </w:tc>
      </w:tr>
      <w:tr w:rsidR="00DA36F5" w:rsidRPr="00B516F8" w14:paraId="6DFBEB4D" w14:textId="77777777" w:rsidTr="00AC5F11">
        <w:tc>
          <w:tcPr>
            <w:tcW w:w="3005" w:type="dxa"/>
            <w:vMerge w:val="restart"/>
            <w:tcBorders>
              <w:top w:val="single" w:sz="4" w:space="0" w:color="auto"/>
            </w:tcBorders>
          </w:tcPr>
          <w:p w14:paraId="2B016D8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Motor function upper</w:t>
            </w:r>
          </w:p>
          <w:p w14:paraId="70D39FF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extremity</w:t>
            </w:r>
          </w:p>
        </w:tc>
        <w:tc>
          <w:tcPr>
            <w:tcW w:w="3005" w:type="dxa"/>
            <w:tcBorders>
              <w:top w:val="single" w:sz="4" w:space="0" w:color="auto"/>
            </w:tcBorders>
          </w:tcPr>
          <w:p w14:paraId="01ABE0D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Paralysis</w:t>
            </w:r>
          </w:p>
        </w:tc>
        <w:tc>
          <w:tcPr>
            <w:tcW w:w="3006" w:type="dxa"/>
            <w:tcBorders>
              <w:top w:val="single" w:sz="4" w:space="0" w:color="auto"/>
            </w:tcBorders>
          </w:tcPr>
          <w:p w14:paraId="39DCFDA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7D1D897B" w14:textId="77777777" w:rsidTr="00AC5F11">
        <w:tc>
          <w:tcPr>
            <w:tcW w:w="3005" w:type="dxa"/>
            <w:vMerge/>
          </w:tcPr>
          <w:p w14:paraId="747ECE93" w14:textId="77777777" w:rsidR="00DA36F5" w:rsidRPr="00B516F8" w:rsidRDefault="00DA36F5" w:rsidP="003C2A84">
            <w:pPr>
              <w:spacing w:line="360" w:lineRule="auto"/>
              <w:rPr>
                <w:rFonts w:ascii="Arial" w:hAnsi="Arial" w:cs="Arial"/>
                <w:sz w:val="20"/>
                <w:szCs w:val="20"/>
              </w:rPr>
            </w:pPr>
          </w:p>
        </w:tc>
        <w:tc>
          <w:tcPr>
            <w:tcW w:w="3005" w:type="dxa"/>
          </w:tcPr>
          <w:p w14:paraId="3FC7C2E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Fine motor function massively</w:t>
            </w:r>
          </w:p>
          <w:p w14:paraId="6D8E031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decreased</w:t>
            </w:r>
          </w:p>
        </w:tc>
        <w:tc>
          <w:tcPr>
            <w:tcW w:w="3006" w:type="dxa"/>
          </w:tcPr>
          <w:p w14:paraId="7C19995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7B57C059" w14:textId="77777777" w:rsidTr="00AC5F11">
        <w:tc>
          <w:tcPr>
            <w:tcW w:w="3005" w:type="dxa"/>
            <w:vMerge/>
          </w:tcPr>
          <w:p w14:paraId="713027E5" w14:textId="77777777" w:rsidR="00DA36F5" w:rsidRPr="00B516F8" w:rsidRDefault="00DA36F5" w:rsidP="003C2A84">
            <w:pPr>
              <w:spacing w:line="360" w:lineRule="auto"/>
              <w:rPr>
                <w:rFonts w:ascii="Arial" w:hAnsi="Arial" w:cs="Arial"/>
                <w:sz w:val="20"/>
                <w:szCs w:val="20"/>
              </w:rPr>
            </w:pPr>
          </w:p>
        </w:tc>
        <w:tc>
          <w:tcPr>
            <w:tcW w:w="3005" w:type="dxa"/>
          </w:tcPr>
          <w:p w14:paraId="5F7771E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Fine motor function decelerated</w:t>
            </w:r>
          </w:p>
        </w:tc>
        <w:tc>
          <w:tcPr>
            <w:tcW w:w="3006" w:type="dxa"/>
          </w:tcPr>
          <w:p w14:paraId="0459928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457160BE" w14:textId="77777777" w:rsidTr="00AC5F11">
        <w:tc>
          <w:tcPr>
            <w:tcW w:w="3005" w:type="dxa"/>
            <w:vMerge/>
          </w:tcPr>
          <w:p w14:paraId="707B1F13" w14:textId="77777777" w:rsidR="00DA36F5" w:rsidRPr="00B516F8" w:rsidRDefault="00DA36F5" w:rsidP="003C2A84">
            <w:pPr>
              <w:spacing w:line="360" w:lineRule="auto"/>
              <w:rPr>
                <w:rFonts w:ascii="Arial" w:hAnsi="Arial" w:cs="Arial"/>
                <w:sz w:val="20"/>
                <w:szCs w:val="20"/>
              </w:rPr>
            </w:pPr>
          </w:p>
        </w:tc>
        <w:tc>
          <w:tcPr>
            <w:tcW w:w="3005" w:type="dxa"/>
          </w:tcPr>
          <w:p w14:paraId="3E6408C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Discreet weakness in hands</w:t>
            </w:r>
          </w:p>
          <w:p w14:paraId="1EB16AE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or proximal arm</w:t>
            </w:r>
          </w:p>
          <w:p w14:paraId="175FB528" w14:textId="77777777" w:rsidR="00DA36F5" w:rsidRPr="00B516F8" w:rsidRDefault="00DA36F5" w:rsidP="003C2A84">
            <w:pPr>
              <w:spacing w:line="360" w:lineRule="auto"/>
              <w:rPr>
                <w:rFonts w:ascii="Arial" w:hAnsi="Arial" w:cs="Arial"/>
                <w:sz w:val="20"/>
                <w:szCs w:val="20"/>
              </w:rPr>
            </w:pPr>
          </w:p>
        </w:tc>
        <w:tc>
          <w:tcPr>
            <w:tcW w:w="3006" w:type="dxa"/>
          </w:tcPr>
          <w:p w14:paraId="4DB575B4"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6A8A4E90" w14:textId="77777777" w:rsidTr="00AC5F11">
        <w:tc>
          <w:tcPr>
            <w:tcW w:w="3005" w:type="dxa"/>
            <w:vMerge/>
          </w:tcPr>
          <w:p w14:paraId="29993782" w14:textId="77777777" w:rsidR="00DA36F5" w:rsidRPr="00B516F8" w:rsidRDefault="00DA36F5" w:rsidP="003C2A84">
            <w:pPr>
              <w:spacing w:line="360" w:lineRule="auto"/>
              <w:rPr>
                <w:rFonts w:ascii="Arial" w:hAnsi="Arial" w:cs="Arial"/>
                <w:sz w:val="20"/>
                <w:szCs w:val="20"/>
              </w:rPr>
            </w:pPr>
          </w:p>
        </w:tc>
        <w:tc>
          <w:tcPr>
            <w:tcW w:w="3005" w:type="dxa"/>
          </w:tcPr>
          <w:p w14:paraId="75F351F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129B4A9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5</w:t>
            </w:r>
          </w:p>
        </w:tc>
      </w:tr>
      <w:tr w:rsidR="00DA36F5" w:rsidRPr="00B516F8" w14:paraId="28AEA838" w14:textId="77777777" w:rsidTr="00AC5F11">
        <w:tc>
          <w:tcPr>
            <w:tcW w:w="3005" w:type="dxa"/>
            <w:vMerge w:val="restart"/>
          </w:tcPr>
          <w:p w14:paraId="56F4C8D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Motor function lower</w:t>
            </w:r>
          </w:p>
          <w:p w14:paraId="07CAF5B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extremity</w:t>
            </w:r>
          </w:p>
        </w:tc>
        <w:tc>
          <w:tcPr>
            <w:tcW w:w="3005" w:type="dxa"/>
          </w:tcPr>
          <w:p w14:paraId="1040699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Unable to walk</w:t>
            </w:r>
          </w:p>
          <w:p w14:paraId="12204524" w14:textId="77777777" w:rsidR="00DA36F5" w:rsidRPr="00B516F8" w:rsidRDefault="00DA36F5" w:rsidP="003C2A84">
            <w:pPr>
              <w:spacing w:line="360" w:lineRule="auto"/>
              <w:rPr>
                <w:rFonts w:ascii="Arial" w:hAnsi="Arial" w:cs="Arial"/>
                <w:sz w:val="20"/>
                <w:szCs w:val="20"/>
              </w:rPr>
            </w:pPr>
          </w:p>
        </w:tc>
        <w:tc>
          <w:tcPr>
            <w:tcW w:w="3006" w:type="dxa"/>
          </w:tcPr>
          <w:p w14:paraId="7B0923C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0869E5E0" w14:textId="77777777" w:rsidTr="00AC5F11">
        <w:tc>
          <w:tcPr>
            <w:tcW w:w="3005" w:type="dxa"/>
            <w:vMerge/>
          </w:tcPr>
          <w:p w14:paraId="4F7829DC" w14:textId="77777777" w:rsidR="00DA36F5" w:rsidRPr="00B516F8" w:rsidRDefault="00DA36F5" w:rsidP="003C2A84">
            <w:pPr>
              <w:spacing w:line="360" w:lineRule="auto"/>
              <w:rPr>
                <w:rFonts w:ascii="Arial" w:hAnsi="Arial" w:cs="Arial"/>
                <w:sz w:val="20"/>
                <w:szCs w:val="20"/>
              </w:rPr>
            </w:pPr>
          </w:p>
        </w:tc>
        <w:tc>
          <w:tcPr>
            <w:tcW w:w="3005" w:type="dxa"/>
          </w:tcPr>
          <w:p w14:paraId="4FEABBA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Need walking aid on flat floor</w:t>
            </w:r>
          </w:p>
        </w:tc>
        <w:tc>
          <w:tcPr>
            <w:tcW w:w="3006" w:type="dxa"/>
          </w:tcPr>
          <w:p w14:paraId="7B2D001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4C69BBCF" w14:textId="77777777" w:rsidTr="00AC5F11">
        <w:tc>
          <w:tcPr>
            <w:tcW w:w="3005" w:type="dxa"/>
            <w:vMerge/>
          </w:tcPr>
          <w:p w14:paraId="61A482BD" w14:textId="77777777" w:rsidR="00DA36F5" w:rsidRPr="00B516F8" w:rsidRDefault="00DA36F5" w:rsidP="003C2A84">
            <w:pPr>
              <w:spacing w:line="360" w:lineRule="auto"/>
              <w:rPr>
                <w:rFonts w:ascii="Arial" w:hAnsi="Arial" w:cs="Arial"/>
                <w:sz w:val="20"/>
                <w:szCs w:val="20"/>
              </w:rPr>
            </w:pPr>
          </w:p>
        </w:tc>
        <w:tc>
          <w:tcPr>
            <w:tcW w:w="3005" w:type="dxa"/>
          </w:tcPr>
          <w:p w14:paraId="7F38679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Need handrail on stairs</w:t>
            </w:r>
          </w:p>
        </w:tc>
        <w:tc>
          <w:tcPr>
            <w:tcW w:w="3006" w:type="dxa"/>
          </w:tcPr>
          <w:p w14:paraId="31EC2C3C"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1F837ABC" w14:textId="77777777" w:rsidTr="00AC5F11">
        <w:tc>
          <w:tcPr>
            <w:tcW w:w="3005" w:type="dxa"/>
            <w:vMerge/>
          </w:tcPr>
          <w:p w14:paraId="0F56CF04" w14:textId="77777777" w:rsidR="00DA36F5" w:rsidRPr="00B516F8" w:rsidRDefault="00DA36F5" w:rsidP="003C2A84">
            <w:pPr>
              <w:spacing w:line="360" w:lineRule="auto"/>
              <w:rPr>
                <w:rFonts w:ascii="Arial" w:hAnsi="Arial" w:cs="Arial"/>
                <w:sz w:val="20"/>
                <w:szCs w:val="20"/>
              </w:rPr>
            </w:pPr>
          </w:p>
        </w:tc>
        <w:tc>
          <w:tcPr>
            <w:tcW w:w="3005" w:type="dxa"/>
          </w:tcPr>
          <w:p w14:paraId="105085A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Able to walk without walking</w:t>
            </w:r>
          </w:p>
          <w:p w14:paraId="7C23154D"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 xml:space="preserve">       aid, but inadequate</w:t>
            </w:r>
          </w:p>
        </w:tc>
        <w:tc>
          <w:tcPr>
            <w:tcW w:w="3006" w:type="dxa"/>
          </w:tcPr>
          <w:p w14:paraId="68F5246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6C4D4B74" w14:textId="77777777" w:rsidTr="00AC5F11">
        <w:tc>
          <w:tcPr>
            <w:tcW w:w="3005" w:type="dxa"/>
            <w:vMerge/>
          </w:tcPr>
          <w:p w14:paraId="120851EC" w14:textId="77777777" w:rsidR="00DA36F5" w:rsidRPr="00B516F8" w:rsidRDefault="00DA36F5" w:rsidP="003C2A84">
            <w:pPr>
              <w:spacing w:line="360" w:lineRule="auto"/>
              <w:rPr>
                <w:rFonts w:ascii="Arial" w:hAnsi="Arial" w:cs="Arial"/>
                <w:sz w:val="20"/>
                <w:szCs w:val="20"/>
              </w:rPr>
            </w:pPr>
          </w:p>
        </w:tc>
        <w:tc>
          <w:tcPr>
            <w:tcW w:w="3005" w:type="dxa"/>
          </w:tcPr>
          <w:p w14:paraId="643B731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57BC426E"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5</w:t>
            </w:r>
          </w:p>
        </w:tc>
      </w:tr>
      <w:tr w:rsidR="00DA36F5" w:rsidRPr="00B516F8" w14:paraId="040AD699" w14:textId="77777777" w:rsidTr="00AC5F11">
        <w:tc>
          <w:tcPr>
            <w:tcW w:w="3005" w:type="dxa"/>
            <w:vMerge w:val="restart"/>
          </w:tcPr>
          <w:p w14:paraId="6C5484A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Sensory</w:t>
            </w:r>
          </w:p>
          <w:p w14:paraId="0171902D" w14:textId="77777777" w:rsidR="00DA36F5" w:rsidRPr="00B516F8" w:rsidRDefault="00DA36F5" w:rsidP="003C2A84">
            <w:pPr>
              <w:spacing w:line="360" w:lineRule="auto"/>
              <w:rPr>
                <w:rFonts w:ascii="Arial" w:hAnsi="Arial" w:cs="Arial"/>
                <w:sz w:val="20"/>
                <w:szCs w:val="20"/>
              </w:rPr>
            </w:pPr>
          </w:p>
        </w:tc>
        <w:tc>
          <w:tcPr>
            <w:tcW w:w="3005" w:type="dxa"/>
          </w:tcPr>
          <w:p w14:paraId="7CB4C6E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Upper extremity/lower extremity/trunk</w:t>
            </w:r>
          </w:p>
          <w:p w14:paraId="3E400488" w14:textId="77777777" w:rsidR="00DA36F5" w:rsidRPr="00B516F8" w:rsidRDefault="00DA36F5" w:rsidP="003C2A84">
            <w:pPr>
              <w:spacing w:line="360" w:lineRule="auto"/>
              <w:rPr>
                <w:rFonts w:ascii="Arial" w:hAnsi="Arial" w:cs="Arial"/>
                <w:sz w:val="20"/>
                <w:szCs w:val="20"/>
              </w:rPr>
            </w:pPr>
          </w:p>
        </w:tc>
        <w:tc>
          <w:tcPr>
            <w:tcW w:w="3006" w:type="dxa"/>
          </w:tcPr>
          <w:p w14:paraId="38FAAEA6" w14:textId="77777777" w:rsidR="00DA36F5" w:rsidRPr="00B516F8" w:rsidRDefault="00DA36F5" w:rsidP="003C2A84">
            <w:pPr>
              <w:spacing w:line="360" w:lineRule="auto"/>
              <w:rPr>
                <w:rFonts w:ascii="Arial" w:hAnsi="Arial" w:cs="Arial"/>
                <w:sz w:val="20"/>
                <w:szCs w:val="20"/>
              </w:rPr>
            </w:pPr>
          </w:p>
        </w:tc>
      </w:tr>
      <w:tr w:rsidR="00DA36F5" w:rsidRPr="00B516F8" w14:paraId="51C65429" w14:textId="77777777" w:rsidTr="00AC5F11">
        <w:tc>
          <w:tcPr>
            <w:tcW w:w="3005" w:type="dxa"/>
            <w:vMerge/>
          </w:tcPr>
          <w:p w14:paraId="2ED75937" w14:textId="77777777" w:rsidR="00DA36F5" w:rsidRPr="00B516F8" w:rsidRDefault="00DA36F5" w:rsidP="003C2A84">
            <w:pPr>
              <w:spacing w:line="360" w:lineRule="auto"/>
              <w:rPr>
                <w:rFonts w:ascii="Arial" w:hAnsi="Arial" w:cs="Arial"/>
                <w:sz w:val="20"/>
                <w:szCs w:val="20"/>
              </w:rPr>
            </w:pPr>
          </w:p>
        </w:tc>
        <w:tc>
          <w:tcPr>
            <w:tcW w:w="3005" w:type="dxa"/>
          </w:tcPr>
          <w:p w14:paraId="16865E3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Apparent sensory loss</w:t>
            </w:r>
          </w:p>
          <w:p w14:paraId="3BD8FF2E" w14:textId="77777777" w:rsidR="00DA36F5" w:rsidRPr="00B516F8" w:rsidRDefault="00DA36F5" w:rsidP="003C2A84">
            <w:pPr>
              <w:spacing w:line="360" w:lineRule="auto"/>
              <w:rPr>
                <w:rFonts w:ascii="Arial" w:hAnsi="Arial" w:cs="Arial"/>
                <w:sz w:val="20"/>
                <w:szCs w:val="20"/>
              </w:rPr>
            </w:pPr>
          </w:p>
        </w:tc>
        <w:tc>
          <w:tcPr>
            <w:tcW w:w="3006" w:type="dxa"/>
          </w:tcPr>
          <w:p w14:paraId="0EC25F1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38A559EB" w14:textId="77777777" w:rsidTr="00AC5F11">
        <w:tc>
          <w:tcPr>
            <w:tcW w:w="3005" w:type="dxa"/>
            <w:vMerge/>
          </w:tcPr>
          <w:p w14:paraId="40979730" w14:textId="77777777" w:rsidR="00DA36F5" w:rsidRPr="00B516F8" w:rsidRDefault="00DA36F5" w:rsidP="003C2A84">
            <w:pPr>
              <w:spacing w:line="360" w:lineRule="auto"/>
              <w:rPr>
                <w:rFonts w:ascii="Arial" w:hAnsi="Arial" w:cs="Arial"/>
                <w:sz w:val="20"/>
                <w:szCs w:val="20"/>
              </w:rPr>
            </w:pPr>
          </w:p>
        </w:tc>
        <w:tc>
          <w:tcPr>
            <w:tcW w:w="3005" w:type="dxa"/>
          </w:tcPr>
          <w:p w14:paraId="128FF4AA"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Minimal sensory loss</w:t>
            </w:r>
          </w:p>
          <w:p w14:paraId="37A9EAA3" w14:textId="77777777" w:rsidR="00DA36F5" w:rsidRPr="00B516F8" w:rsidRDefault="00DA36F5" w:rsidP="003C2A84">
            <w:pPr>
              <w:spacing w:line="360" w:lineRule="auto"/>
              <w:rPr>
                <w:rFonts w:ascii="Arial" w:hAnsi="Arial" w:cs="Arial"/>
                <w:sz w:val="20"/>
                <w:szCs w:val="20"/>
              </w:rPr>
            </w:pPr>
          </w:p>
        </w:tc>
        <w:tc>
          <w:tcPr>
            <w:tcW w:w="3006" w:type="dxa"/>
          </w:tcPr>
          <w:p w14:paraId="0C9B30A1"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lastRenderedPageBreak/>
              <w:t>2</w:t>
            </w:r>
          </w:p>
        </w:tc>
      </w:tr>
      <w:tr w:rsidR="00DA36F5" w:rsidRPr="00B516F8" w14:paraId="160FAB78" w14:textId="77777777" w:rsidTr="00AC5F11">
        <w:tc>
          <w:tcPr>
            <w:tcW w:w="3005" w:type="dxa"/>
            <w:vMerge/>
          </w:tcPr>
          <w:p w14:paraId="3A776683" w14:textId="77777777" w:rsidR="00DA36F5" w:rsidRPr="00B516F8" w:rsidRDefault="00DA36F5" w:rsidP="003C2A84">
            <w:pPr>
              <w:spacing w:line="360" w:lineRule="auto"/>
              <w:rPr>
                <w:rFonts w:ascii="Arial" w:hAnsi="Arial" w:cs="Arial"/>
                <w:sz w:val="20"/>
                <w:szCs w:val="20"/>
              </w:rPr>
            </w:pPr>
          </w:p>
        </w:tc>
        <w:tc>
          <w:tcPr>
            <w:tcW w:w="3005" w:type="dxa"/>
          </w:tcPr>
          <w:p w14:paraId="11A476C6"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Pr>
          <w:p w14:paraId="6D6D52D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6B8AAD58" w14:textId="77777777" w:rsidTr="00AC5F11">
        <w:tc>
          <w:tcPr>
            <w:tcW w:w="3005" w:type="dxa"/>
          </w:tcPr>
          <w:p w14:paraId="7231D84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Bladder function</w:t>
            </w:r>
          </w:p>
        </w:tc>
        <w:tc>
          <w:tcPr>
            <w:tcW w:w="3005" w:type="dxa"/>
          </w:tcPr>
          <w:p w14:paraId="7D42489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Urinary retention</w:t>
            </w:r>
          </w:p>
        </w:tc>
        <w:tc>
          <w:tcPr>
            <w:tcW w:w="3006" w:type="dxa"/>
          </w:tcPr>
          <w:p w14:paraId="72E8E449"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1</w:t>
            </w:r>
          </w:p>
        </w:tc>
      </w:tr>
      <w:tr w:rsidR="00DA36F5" w:rsidRPr="00B516F8" w14:paraId="6AF197B3" w14:textId="77777777" w:rsidTr="00AC5F11">
        <w:tc>
          <w:tcPr>
            <w:tcW w:w="3005" w:type="dxa"/>
            <w:vMerge w:val="restart"/>
          </w:tcPr>
          <w:p w14:paraId="4228E74E" w14:textId="77777777" w:rsidR="00DA36F5" w:rsidRPr="00B516F8" w:rsidRDefault="00DA36F5" w:rsidP="003C2A84">
            <w:pPr>
              <w:spacing w:line="360" w:lineRule="auto"/>
              <w:rPr>
                <w:rFonts w:ascii="Arial" w:hAnsi="Arial" w:cs="Arial"/>
                <w:sz w:val="20"/>
                <w:szCs w:val="20"/>
              </w:rPr>
            </w:pPr>
          </w:p>
        </w:tc>
        <w:tc>
          <w:tcPr>
            <w:tcW w:w="3005" w:type="dxa"/>
          </w:tcPr>
          <w:p w14:paraId="363E6930"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Severe dysfunction</w:t>
            </w:r>
          </w:p>
        </w:tc>
        <w:tc>
          <w:tcPr>
            <w:tcW w:w="3006" w:type="dxa"/>
          </w:tcPr>
          <w:p w14:paraId="135625B7"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2</w:t>
            </w:r>
          </w:p>
        </w:tc>
      </w:tr>
      <w:tr w:rsidR="00DA36F5" w:rsidRPr="00B516F8" w14:paraId="0689F0EE" w14:textId="77777777" w:rsidTr="00AC5F11">
        <w:tc>
          <w:tcPr>
            <w:tcW w:w="3005" w:type="dxa"/>
            <w:vMerge/>
          </w:tcPr>
          <w:p w14:paraId="51558D09" w14:textId="77777777" w:rsidR="00DA36F5" w:rsidRPr="00B516F8" w:rsidRDefault="00DA36F5" w:rsidP="003C2A84">
            <w:pPr>
              <w:spacing w:line="360" w:lineRule="auto"/>
              <w:rPr>
                <w:rFonts w:ascii="Arial" w:hAnsi="Arial" w:cs="Arial"/>
                <w:sz w:val="20"/>
                <w:szCs w:val="20"/>
              </w:rPr>
            </w:pPr>
          </w:p>
        </w:tc>
        <w:tc>
          <w:tcPr>
            <w:tcW w:w="3005" w:type="dxa"/>
          </w:tcPr>
          <w:p w14:paraId="5A107865"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Mild dysfunction</w:t>
            </w:r>
          </w:p>
        </w:tc>
        <w:tc>
          <w:tcPr>
            <w:tcW w:w="3006" w:type="dxa"/>
          </w:tcPr>
          <w:p w14:paraId="44E7AAA2"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3</w:t>
            </w:r>
          </w:p>
        </w:tc>
      </w:tr>
      <w:tr w:rsidR="00DA36F5" w:rsidRPr="00B516F8" w14:paraId="231E502F" w14:textId="77777777" w:rsidTr="00AC5F11">
        <w:tc>
          <w:tcPr>
            <w:tcW w:w="3005" w:type="dxa"/>
            <w:vMerge/>
            <w:tcBorders>
              <w:bottom w:val="single" w:sz="4" w:space="0" w:color="auto"/>
            </w:tcBorders>
          </w:tcPr>
          <w:p w14:paraId="74EC9966" w14:textId="77777777" w:rsidR="00DA36F5" w:rsidRPr="00B516F8" w:rsidRDefault="00DA36F5" w:rsidP="003C2A84">
            <w:pPr>
              <w:spacing w:line="360" w:lineRule="auto"/>
              <w:rPr>
                <w:rFonts w:ascii="Arial" w:hAnsi="Arial" w:cs="Arial"/>
                <w:sz w:val="20"/>
                <w:szCs w:val="20"/>
              </w:rPr>
            </w:pPr>
          </w:p>
        </w:tc>
        <w:tc>
          <w:tcPr>
            <w:tcW w:w="3005" w:type="dxa"/>
            <w:tcBorders>
              <w:bottom w:val="single" w:sz="4" w:space="0" w:color="auto"/>
            </w:tcBorders>
          </w:tcPr>
          <w:p w14:paraId="33C5CE13"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Normal function</w:t>
            </w:r>
          </w:p>
        </w:tc>
        <w:tc>
          <w:tcPr>
            <w:tcW w:w="3006" w:type="dxa"/>
            <w:tcBorders>
              <w:bottom w:val="single" w:sz="4" w:space="0" w:color="auto"/>
            </w:tcBorders>
          </w:tcPr>
          <w:p w14:paraId="467F77A8"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4</w:t>
            </w:r>
          </w:p>
        </w:tc>
      </w:tr>
      <w:tr w:rsidR="00DA36F5" w:rsidRPr="00B516F8" w14:paraId="7DE97E3B" w14:textId="77777777" w:rsidTr="00AC5F11">
        <w:tc>
          <w:tcPr>
            <w:tcW w:w="3005" w:type="dxa"/>
            <w:tcBorders>
              <w:top w:val="single" w:sz="4" w:space="0" w:color="auto"/>
              <w:bottom w:val="single" w:sz="4" w:space="0" w:color="auto"/>
            </w:tcBorders>
          </w:tcPr>
          <w:p w14:paraId="5CF6E0FB"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Total score</w:t>
            </w:r>
          </w:p>
        </w:tc>
        <w:tc>
          <w:tcPr>
            <w:tcW w:w="3005" w:type="dxa"/>
            <w:tcBorders>
              <w:top w:val="single" w:sz="4" w:space="0" w:color="auto"/>
              <w:bottom w:val="single" w:sz="4" w:space="0" w:color="auto"/>
            </w:tcBorders>
          </w:tcPr>
          <w:p w14:paraId="0621E916" w14:textId="77777777" w:rsidR="00DA36F5" w:rsidRPr="00B516F8" w:rsidRDefault="00DA36F5" w:rsidP="003C2A84">
            <w:pPr>
              <w:spacing w:line="360" w:lineRule="auto"/>
              <w:rPr>
                <w:rFonts w:ascii="Arial" w:hAnsi="Arial" w:cs="Arial"/>
                <w:sz w:val="20"/>
                <w:szCs w:val="20"/>
              </w:rPr>
            </w:pPr>
          </w:p>
        </w:tc>
        <w:tc>
          <w:tcPr>
            <w:tcW w:w="3006" w:type="dxa"/>
            <w:tcBorders>
              <w:top w:val="single" w:sz="4" w:space="0" w:color="auto"/>
              <w:bottom w:val="single" w:sz="4" w:space="0" w:color="auto"/>
            </w:tcBorders>
          </w:tcPr>
          <w:p w14:paraId="5DF793AF" w14:textId="77777777" w:rsidR="00DA36F5" w:rsidRPr="00B516F8" w:rsidRDefault="00DA36F5" w:rsidP="003C2A84">
            <w:pPr>
              <w:spacing w:line="360" w:lineRule="auto"/>
              <w:rPr>
                <w:rFonts w:ascii="Arial" w:hAnsi="Arial" w:cs="Arial"/>
                <w:sz w:val="20"/>
                <w:szCs w:val="20"/>
              </w:rPr>
            </w:pPr>
            <w:r w:rsidRPr="00B516F8">
              <w:rPr>
                <w:rFonts w:ascii="Arial" w:hAnsi="Arial" w:cs="Arial"/>
                <w:sz w:val="20"/>
                <w:szCs w:val="20"/>
              </w:rPr>
              <w:t>0-17</w:t>
            </w:r>
          </w:p>
        </w:tc>
      </w:tr>
    </w:tbl>
    <w:p w14:paraId="50454A9C" w14:textId="08D25575" w:rsidR="005C4A3F" w:rsidRPr="00B516F8" w:rsidRDefault="005C4A3F" w:rsidP="003C2A84">
      <w:pPr>
        <w:spacing w:after="160" w:line="360" w:lineRule="auto"/>
        <w:jc w:val="center"/>
        <w:rPr>
          <w:sz w:val="20"/>
          <w:szCs w:val="20"/>
          <w:lang w:bidi="th-TH"/>
        </w:rPr>
      </w:pPr>
    </w:p>
    <w:p w14:paraId="5F32A11C" w14:textId="77777777" w:rsidR="00AC5F11" w:rsidRPr="00B516F8" w:rsidRDefault="00AC5F11" w:rsidP="003C2A84">
      <w:pPr>
        <w:spacing w:line="360" w:lineRule="auto"/>
        <w:jc w:val="center"/>
        <w:rPr>
          <w:sz w:val="20"/>
          <w:szCs w:val="20"/>
          <w:vertAlign w:val="superscript"/>
        </w:rPr>
      </w:pPr>
      <w:r w:rsidRPr="00B516F8">
        <w:rPr>
          <w:sz w:val="20"/>
          <w:szCs w:val="20"/>
        </w:rPr>
        <w:t xml:space="preserve">Table 2. Japanese </w:t>
      </w:r>
      <w:proofErr w:type="spellStart"/>
      <w:r w:rsidRPr="00B516F8">
        <w:rPr>
          <w:sz w:val="20"/>
          <w:szCs w:val="20"/>
        </w:rPr>
        <w:t>Orthopaedic</w:t>
      </w:r>
      <w:proofErr w:type="spellEnd"/>
      <w:r w:rsidRPr="00B516F8">
        <w:rPr>
          <w:sz w:val="20"/>
          <w:szCs w:val="20"/>
        </w:rPr>
        <w:t xml:space="preserve"> Association (JOA) scale for </w:t>
      </w:r>
      <w:proofErr w:type="spellStart"/>
      <w:r w:rsidRPr="00B516F8">
        <w:rPr>
          <w:sz w:val="20"/>
          <w:szCs w:val="20"/>
        </w:rPr>
        <w:t>Spondyloarthritis</w:t>
      </w:r>
      <w:proofErr w:type="spellEnd"/>
      <w:r w:rsidRPr="00B516F8">
        <w:rPr>
          <w:sz w:val="20"/>
          <w:szCs w:val="20"/>
        </w:rPr>
        <w:t xml:space="preserve"> myelopathy</w:t>
      </w:r>
      <w:r w:rsidRPr="00B516F8">
        <w:rPr>
          <w:sz w:val="20"/>
          <w:szCs w:val="20"/>
          <w:vertAlign w:val="superscript"/>
        </w:rPr>
        <w:t>13,14</w:t>
      </w:r>
      <w:r w:rsidRPr="00B516F8">
        <w:rPr>
          <w:sz w:val="20"/>
          <w:szCs w:val="20"/>
        </w:rPr>
        <w:t>.</w:t>
      </w:r>
    </w:p>
    <w:p w14:paraId="50CA3447" w14:textId="77777777" w:rsidR="007417A8" w:rsidRPr="00B516F8" w:rsidRDefault="007417A8" w:rsidP="003C2A84">
      <w:pPr>
        <w:spacing w:line="360" w:lineRule="auto"/>
        <w:jc w:val="center"/>
        <w:rPr>
          <w:sz w:val="20"/>
          <w:szCs w:val="20"/>
        </w:rPr>
      </w:pPr>
    </w:p>
    <w:tbl>
      <w:tblPr>
        <w:tblStyle w:val="TableGrid"/>
        <w:tblW w:w="0" w:type="auto"/>
        <w:tblLook w:val="04A0" w:firstRow="1" w:lastRow="0" w:firstColumn="1" w:lastColumn="0" w:noHBand="0" w:noVBand="1"/>
      </w:tblPr>
      <w:tblGrid>
        <w:gridCol w:w="2337"/>
        <w:gridCol w:w="1911"/>
        <w:gridCol w:w="4252"/>
        <w:gridCol w:w="850"/>
      </w:tblGrid>
      <w:tr w:rsidR="007417A8" w:rsidRPr="00B516F8" w14:paraId="43DF96C6" w14:textId="77777777" w:rsidTr="00AC5F11">
        <w:tc>
          <w:tcPr>
            <w:tcW w:w="2337" w:type="dxa"/>
            <w:tcBorders>
              <w:top w:val="single" w:sz="4" w:space="0" w:color="auto"/>
              <w:left w:val="nil"/>
              <w:right w:val="nil"/>
            </w:tcBorders>
          </w:tcPr>
          <w:p w14:paraId="436A30FE" w14:textId="77777777" w:rsidR="007417A8" w:rsidRPr="00B516F8" w:rsidRDefault="007417A8" w:rsidP="003C2A84">
            <w:pPr>
              <w:spacing w:after="120" w:line="360" w:lineRule="auto"/>
              <w:jc w:val="center"/>
              <w:rPr>
                <w:rFonts w:ascii="Arial" w:hAnsi="Arial" w:cs="Arial"/>
                <w:sz w:val="20"/>
                <w:szCs w:val="20"/>
              </w:rPr>
            </w:pPr>
          </w:p>
        </w:tc>
        <w:tc>
          <w:tcPr>
            <w:tcW w:w="1911" w:type="dxa"/>
            <w:tcBorders>
              <w:top w:val="single" w:sz="4" w:space="0" w:color="auto"/>
              <w:left w:val="nil"/>
              <w:right w:val="nil"/>
            </w:tcBorders>
          </w:tcPr>
          <w:p w14:paraId="5BE65A56" w14:textId="77777777" w:rsidR="007417A8" w:rsidRPr="00B516F8" w:rsidRDefault="007417A8" w:rsidP="003C2A84">
            <w:pPr>
              <w:spacing w:after="120" w:line="360" w:lineRule="auto"/>
              <w:jc w:val="center"/>
              <w:rPr>
                <w:rFonts w:ascii="Arial" w:hAnsi="Arial" w:cs="Arial"/>
                <w:sz w:val="20"/>
                <w:szCs w:val="20"/>
              </w:rPr>
            </w:pPr>
          </w:p>
        </w:tc>
        <w:tc>
          <w:tcPr>
            <w:tcW w:w="4252" w:type="dxa"/>
            <w:tcBorders>
              <w:top w:val="single" w:sz="4" w:space="0" w:color="auto"/>
              <w:left w:val="nil"/>
              <w:right w:val="nil"/>
            </w:tcBorders>
          </w:tcPr>
          <w:p w14:paraId="2F247BD2" w14:textId="77777777" w:rsidR="007417A8" w:rsidRPr="00B516F8" w:rsidRDefault="007417A8" w:rsidP="003C2A84">
            <w:pPr>
              <w:spacing w:after="120" w:line="360" w:lineRule="auto"/>
              <w:jc w:val="center"/>
              <w:rPr>
                <w:rFonts w:ascii="Arial" w:hAnsi="Arial" w:cs="Arial"/>
                <w:sz w:val="20"/>
                <w:szCs w:val="20"/>
              </w:rPr>
            </w:pPr>
          </w:p>
        </w:tc>
        <w:tc>
          <w:tcPr>
            <w:tcW w:w="850" w:type="dxa"/>
            <w:tcBorders>
              <w:top w:val="single" w:sz="4" w:space="0" w:color="auto"/>
              <w:left w:val="nil"/>
              <w:right w:val="nil"/>
            </w:tcBorders>
          </w:tcPr>
          <w:p w14:paraId="25AEF451" w14:textId="77777777" w:rsidR="007417A8" w:rsidRPr="00B516F8" w:rsidRDefault="007417A8" w:rsidP="003C2A84">
            <w:pPr>
              <w:spacing w:after="120" w:line="360" w:lineRule="auto"/>
              <w:jc w:val="center"/>
              <w:rPr>
                <w:rFonts w:ascii="Arial" w:hAnsi="Arial" w:cs="Arial"/>
                <w:sz w:val="20"/>
                <w:szCs w:val="20"/>
              </w:rPr>
            </w:pPr>
            <w:r w:rsidRPr="00B516F8">
              <w:rPr>
                <w:rFonts w:ascii="Arial" w:hAnsi="Arial" w:cs="Arial"/>
                <w:sz w:val="20"/>
                <w:szCs w:val="20"/>
              </w:rPr>
              <w:t>Point</w:t>
            </w:r>
          </w:p>
        </w:tc>
      </w:tr>
      <w:tr w:rsidR="007417A8" w:rsidRPr="00B516F8" w14:paraId="246403F3" w14:textId="77777777" w:rsidTr="00AC5F11">
        <w:tc>
          <w:tcPr>
            <w:tcW w:w="2337" w:type="dxa"/>
            <w:vMerge w:val="restart"/>
            <w:tcBorders>
              <w:left w:val="nil"/>
              <w:right w:val="nil"/>
            </w:tcBorders>
          </w:tcPr>
          <w:p w14:paraId="73A8117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Motoric</w:t>
            </w:r>
          </w:p>
        </w:tc>
        <w:tc>
          <w:tcPr>
            <w:tcW w:w="1911" w:type="dxa"/>
            <w:vMerge w:val="restart"/>
            <w:tcBorders>
              <w:left w:val="nil"/>
              <w:right w:val="nil"/>
            </w:tcBorders>
          </w:tcPr>
          <w:p w14:paraId="11B3769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Upper Extremity</w:t>
            </w:r>
          </w:p>
        </w:tc>
        <w:tc>
          <w:tcPr>
            <w:tcW w:w="4252" w:type="dxa"/>
            <w:tcBorders>
              <w:left w:val="nil"/>
              <w:right w:val="nil"/>
            </w:tcBorders>
          </w:tcPr>
          <w:p w14:paraId="2CD8A59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Eating with a spoon or chopsticks impossible</w:t>
            </w:r>
          </w:p>
        </w:tc>
        <w:tc>
          <w:tcPr>
            <w:tcW w:w="850" w:type="dxa"/>
            <w:tcBorders>
              <w:left w:val="nil"/>
              <w:right w:val="nil"/>
            </w:tcBorders>
          </w:tcPr>
          <w:p w14:paraId="0E566B6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30CAFBCB" w14:textId="77777777" w:rsidTr="00AC5F11">
        <w:tc>
          <w:tcPr>
            <w:tcW w:w="2337" w:type="dxa"/>
            <w:vMerge/>
            <w:tcBorders>
              <w:left w:val="nil"/>
              <w:right w:val="nil"/>
            </w:tcBorders>
          </w:tcPr>
          <w:p w14:paraId="2BF84277"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6E1AAA1E"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0FFD276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a spoon or chopsticks</w:t>
            </w:r>
          </w:p>
        </w:tc>
        <w:tc>
          <w:tcPr>
            <w:tcW w:w="850" w:type="dxa"/>
            <w:tcBorders>
              <w:left w:val="nil"/>
              <w:right w:val="nil"/>
            </w:tcBorders>
          </w:tcPr>
          <w:p w14:paraId="7DDD6079"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5F9B5C6F" w14:textId="77777777" w:rsidTr="00AC5F11">
        <w:tc>
          <w:tcPr>
            <w:tcW w:w="2337" w:type="dxa"/>
            <w:vMerge/>
            <w:tcBorders>
              <w:left w:val="nil"/>
              <w:right w:val="nil"/>
            </w:tcBorders>
          </w:tcPr>
          <w:p w14:paraId="762A5BB5"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20D1B19"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BD5811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chopsticks, but inadequate</w:t>
            </w:r>
          </w:p>
        </w:tc>
        <w:tc>
          <w:tcPr>
            <w:tcW w:w="850" w:type="dxa"/>
            <w:tcBorders>
              <w:left w:val="nil"/>
              <w:right w:val="nil"/>
            </w:tcBorders>
          </w:tcPr>
          <w:p w14:paraId="28C66EF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4167DEF" w14:textId="77777777" w:rsidTr="00AC5F11">
        <w:tc>
          <w:tcPr>
            <w:tcW w:w="2337" w:type="dxa"/>
            <w:vMerge/>
            <w:tcBorders>
              <w:left w:val="nil"/>
              <w:right w:val="nil"/>
            </w:tcBorders>
          </w:tcPr>
          <w:p w14:paraId="6635E75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CF8C65A"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EDE4B0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Possible to eat with chopsticks, but clumsy</w:t>
            </w:r>
          </w:p>
        </w:tc>
        <w:tc>
          <w:tcPr>
            <w:tcW w:w="850" w:type="dxa"/>
            <w:tcBorders>
              <w:left w:val="nil"/>
              <w:right w:val="nil"/>
            </w:tcBorders>
          </w:tcPr>
          <w:p w14:paraId="20F2223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5DB2ABE2" w14:textId="77777777" w:rsidTr="00AC5F11">
        <w:tc>
          <w:tcPr>
            <w:tcW w:w="2337" w:type="dxa"/>
            <w:vMerge/>
            <w:tcBorders>
              <w:left w:val="nil"/>
              <w:right w:val="nil"/>
            </w:tcBorders>
          </w:tcPr>
          <w:p w14:paraId="6DE9DBE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FA692A6"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454C0D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727716C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4</w:t>
            </w:r>
          </w:p>
        </w:tc>
      </w:tr>
      <w:tr w:rsidR="007417A8" w:rsidRPr="00B516F8" w14:paraId="3DAA33E1" w14:textId="77777777" w:rsidTr="00AC5F11">
        <w:tc>
          <w:tcPr>
            <w:tcW w:w="2337" w:type="dxa"/>
            <w:vMerge/>
            <w:tcBorders>
              <w:left w:val="nil"/>
              <w:right w:val="nil"/>
            </w:tcBorders>
          </w:tcPr>
          <w:p w14:paraId="2A78EF38" w14:textId="77777777" w:rsidR="007417A8" w:rsidRPr="00B516F8" w:rsidRDefault="007417A8" w:rsidP="003C2A84">
            <w:pPr>
              <w:spacing w:after="120" w:line="360" w:lineRule="auto"/>
              <w:rPr>
                <w:rFonts w:ascii="Arial" w:hAnsi="Arial" w:cs="Arial"/>
                <w:sz w:val="20"/>
                <w:szCs w:val="20"/>
              </w:rPr>
            </w:pPr>
          </w:p>
        </w:tc>
        <w:tc>
          <w:tcPr>
            <w:tcW w:w="1911" w:type="dxa"/>
            <w:tcBorders>
              <w:left w:val="nil"/>
              <w:bottom w:val="single" w:sz="4" w:space="0" w:color="auto"/>
              <w:right w:val="nil"/>
            </w:tcBorders>
          </w:tcPr>
          <w:p w14:paraId="7C7E035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Lower Extremity</w:t>
            </w:r>
          </w:p>
        </w:tc>
        <w:tc>
          <w:tcPr>
            <w:tcW w:w="4252" w:type="dxa"/>
            <w:tcBorders>
              <w:left w:val="nil"/>
              <w:right w:val="nil"/>
            </w:tcBorders>
          </w:tcPr>
          <w:p w14:paraId="095241A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Unable to walk</w:t>
            </w:r>
          </w:p>
        </w:tc>
        <w:tc>
          <w:tcPr>
            <w:tcW w:w="850" w:type="dxa"/>
            <w:tcBorders>
              <w:left w:val="nil"/>
              <w:right w:val="nil"/>
            </w:tcBorders>
          </w:tcPr>
          <w:p w14:paraId="33AE381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221CF601" w14:textId="77777777" w:rsidTr="00AC5F11">
        <w:tc>
          <w:tcPr>
            <w:tcW w:w="2337" w:type="dxa"/>
            <w:vMerge/>
            <w:tcBorders>
              <w:left w:val="nil"/>
              <w:right w:val="nil"/>
            </w:tcBorders>
          </w:tcPr>
          <w:p w14:paraId="459505B2" w14:textId="77777777" w:rsidR="007417A8" w:rsidRPr="00B516F8" w:rsidRDefault="007417A8" w:rsidP="003C2A84">
            <w:pPr>
              <w:spacing w:after="120" w:line="360" w:lineRule="auto"/>
              <w:rPr>
                <w:rFonts w:ascii="Arial" w:hAnsi="Arial" w:cs="Arial"/>
                <w:sz w:val="20"/>
                <w:szCs w:val="20"/>
              </w:rPr>
            </w:pPr>
          </w:p>
        </w:tc>
        <w:tc>
          <w:tcPr>
            <w:tcW w:w="1911" w:type="dxa"/>
            <w:tcBorders>
              <w:left w:val="nil"/>
              <w:bottom w:val="nil"/>
              <w:right w:val="nil"/>
            </w:tcBorders>
          </w:tcPr>
          <w:p w14:paraId="01085808"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3825E0A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Walking on flat ground only with cane or aid</w:t>
            </w:r>
          </w:p>
        </w:tc>
        <w:tc>
          <w:tcPr>
            <w:tcW w:w="850" w:type="dxa"/>
            <w:tcBorders>
              <w:left w:val="nil"/>
              <w:right w:val="nil"/>
            </w:tcBorders>
          </w:tcPr>
          <w:p w14:paraId="2027636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189FE9D3" w14:textId="77777777" w:rsidTr="00AC5F11">
        <w:tc>
          <w:tcPr>
            <w:tcW w:w="2337" w:type="dxa"/>
            <w:vMerge/>
            <w:tcBorders>
              <w:left w:val="nil"/>
              <w:right w:val="nil"/>
            </w:tcBorders>
          </w:tcPr>
          <w:p w14:paraId="4C1655CF"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bottom w:val="nil"/>
              <w:right w:val="nil"/>
            </w:tcBorders>
          </w:tcPr>
          <w:p w14:paraId="0FE6D10D"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4EE93F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Climbing stairs only with aid</w:t>
            </w:r>
          </w:p>
        </w:tc>
        <w:tc>
          <w:tcPr>
            <w:tcW w:w="850" w:type="dxa"/>
            <w:tcBorders>
              <w:left w:val="nil"/>
              <w:right w:val="nil"/>
            </w:tcBorders>
          </w:tcPr>
          <w:p w14:paraId="6FAE9BE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3AAC9631" w14:textId="77777777" w:rsidTr="00AC5F11">
        <w:tc>
          <w:tcPr>
            <w:tcW w:w="2337" w:type="dxa"/>
            <w:vMerge/>
            <w:tcBorders>
              <w:left w:val="nil"/>
              <w:right w:val="nil"/>
            </w:tcBorders>
          </w:tcPr>
          <w:p w14:paraId="49DA15B3"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bottom w:val="nil"/>
              <w:right w:val="nil"/>
            </w:tcBorders>
          </w:tcPr>
          <w:p w14:paraId="4E7F49E5"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0442B62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Gait clumsy, but no aid necessary</w:t>
            </w:r>
          </w:p>
        </w:tc>
        <w:tc>
          <w:tcPr>
            <w:tcW w:w="850" w:type="dxa"/>
            <w:tcBorders>
              <w:left w:val="nil"/>
              <w:right w:val="nil"/>
            </w:tcBorders>
          </w:tcPr>
          <w:p w14:paraId="0E53A9F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1EC079C2" w14:textId="77777777" w:rsidTr="00AC5F11">
        <w:tc>
          <w:tcPr>
            <w:tcW w:w="2337" w:type="dxa"/>
            <w:vMerge/>
            <w:tcBorders>
              <w:left w:val="nil"/>
              <w:right w:val="nil"/>
            </w:tcBorders>
          </w:tcPr>
          <w:p w14:paraId="0A0A9C63" w14:textId="77777777" w:rsidR="007417A8" w:rsidRPr="00B516F8" w:rsidRDefault="007417A8" w:rsidP="003C2A84">
            <w:pPr>
              <w:spacing w:after="120" w:line="360" w:lineRule="auto"/>
              <w:rPr>
                <w:rFonts w:ascii="Arial" w:hAnsi="Arial" w:cs="Arial"/>
                <w:sz w:val="20"/>
                <w:szCs w:val="20"/>
              </w:rPr>
            </w:pPr>
          </w:p>
        </w:tc>
        <w:tc>
          <w:tcPr>
            <w:tcW w:w="1911" w:type="dxa"/>
            <w:tcBorders>
              <w:top w:val="nil"/>
              <w:left w:val="nil"/>
              <w:right w:val="nil"/>
            </w:tcBorders>
          </w:tcPr>
          <w:p w14:paraId="541E397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6903ABE"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 walking and climbing stairs</w:t>
            </w:r>
          </w:p>
        </w:tc>
        <w:tc>
          <w:tcPr>
            <w:tcW w:w="850" w:type="dxa"/>
            <w:tcBorders>
              <w:left w:val="nil"/>
              <w:right w:val="nil"/>
            </w:tcBorders>
          </w:tcPr>
          <w:p w14:paraId="062A45B2"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4</w:t>
            </w:r>
          </w:p>
        </w:tc>
      </w:tr>
      <w:tr w:rsidR="007417A8" w:rsidRPr="00B516F8" w14:paraId="39033193" w14:textId="77777777" w:rsidTr="00AC5F11">
        <w:tc>
          <w:tcPr>
            <w:tcW w:w="2337" w:type="dxa"/>
            <w:vMerge w:val="restart"/>
            <w:tcBorders>
              <w:left w:val="nil"/>
              <w:right w:val="nil"/>
            </w:tcBorders>
          </w:tcPr>
          <w:p w14:paraId="590BD4E0" w14:textId="77777777" w:rsidR="007417A8" w:rsidRPr="00B516F8" w:rsidRDefault="007417A8" w:rsidP="003C2A84">
            <w:pPr>
              <w:spacing w:after="120" w:line="360" w:lineRule="auto"/>
              <w:rPr>
                <w:rFonts w:ascii="Arial" w:hAnsi="Arial" w:cs="Arial"/>
                <w:sz w:val="20"/>
                <w:szCs w:val="20"/>
              </w:rPr>
            </w:pPr>
            <w:proofErr w:type="spellStart"/>
            <w:r w:rsidRPr="00B516F8">
              <w:rPr>
                <w:rFonts w:ascii="Arial" w:hAnsi="Arial" w:cs="Arial"/>
                <w:sz w:val="20"/>
                <w:szCs w:val="20"/>
              </w:rPr>
              <w:t>Sensoric</w:t>
            </w:r>
            <w:proofErr w:type="spellEnd"/>
          </w:p>
        </w:tc>
        <w:tc>
          <w:tcPr>
            <w:tcW w:w="1911" w:type="dxa"/>
            <w:vMerge w:val="restart"/>
            <w:tcBorders>
              <w:left w:val="nil"/>
              <w:right w:val="nil"/>
            </w:tcBorders>
          </w:tcPr>
          <w:p w14:paraId="35F2879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Upper Extremity</w:t>
            </w:r>
          </w:p>
        </w:tc>
        <w:tc>
          <w:tcPr>
            <w:tcW w:w="4252" w:type="dxa"/>
            <w:tcBorders>
              <w:left w:val="nil"/>
              <w:right w:val="nil"/>
            </w:tcBorders>
          </w:tcPr>
          <w:p w14:paraId="3447989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39B6E88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2A67DA4F" w14:textId="77777777" w:rsidTr="00AC5F11">
        <w:tc>
          <w:tcPr>
            <w:tcW w:w="2337" w:type="dxa"/>
            <w:vMerge/>
            <w:tcBorders>
              <w:left w:val="nil"/>
              <w:right w:val="nil"/>
            </w:tcBorders>
          </w:tcPr>
          <w:p w14:paraId="4A91A68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0AE3F8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7C786D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4C8BCDE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7EFCC7C3" w14:textId="77777777" w:rsidTr="00AC5F11">
        <w:tc>
          <w:tcPr>
            <w:tcW w:w="2337" w:type="dxa"/>
            <w:vMerge/>
            <w:tcBorders>
              <w:left w:val="nil"/>
              <w:right w:val="nil"/>
            </w:tcBorders>
          </w:tcPr>
          <w:p w14:paraId="6D2EE10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A7C1C6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65A079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06E0F3F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7AE64265" w14:textId="77777777" w:rsidTr="00AC5F11">
        <w:tc>
          <w:tcPr>
            <w:tcW w:w="2337" w:type="dxa"/>
            <w:vMerge/>
            <w:tcBorders>
              <w:left w:val="nil"/>
              <w:right w:val="nil"/>
            </w:tcBorders>
          </w:tcPr>
          <w:p w14:paraId="42886D0A" w14:textId="77777777" w:rsidR="007417A8" w:rsidRPr="00B516F8" w:rsidRDefault="007417A8" w:rsidP="003C2A84">
            <w:pPr>
              <w:spacing w:after="120" w:line="360" w:lineRule="auto"/>
              <w:rPr>
                <w:rFonts w:ascii="Arial" w:hAnsi="Arial" w:cs="Arial"/>
                <w:sz w:val="20"/>
                <w:szCs w:val="20"/>
              </w:rPr>
            </w:pPr>
          </w:p>
        </w:tc>
        <w:tc>
          <w:tcPr>
            <w:tcW w:w="1911" w:type="dxa"/>
            <w:vMerge w:val="restart"/>
            <w:tcBorders>
              <w:left w:val="nil"/>
              <w:right w:val="nil"/>
            </w:tcBorders>
          </w:tcPr>
          <w:p w14:paraId="06CBF36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Lower Extremity</w:t>
            </w:r>
          </w:p>
        </w:tc>
        <w:tc>
          <w:tcPr>
            <w:tcW w:w="4252" w:type="dxa"/>
            <w:tcBorders>
              <w:left w:val="nil"/>
              <w:right w:val="nil"/>
            </w:tcBorders>
          </w:tcPr>
          <w:p w14:paraId="59445C13"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2E8D399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51E2DA30" w14:textId="77777777" w:rsidTr="00AC5F11">
        <w:tc>
          <w:tcPr>
            <w:tcW w:w="2337" w:type="dxa"/>
            <w:vMerge/>
            <w:tcBorders>
              <w:left w:val="nil"/>
              <w:right w:val="nil"/>
            </w:tcBorders>
          </w:tcPr>
          <w:p w14:paraId="6E8E0AE9"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A456DFA"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3498E7DD"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6903CD2B"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369E491E" w14:textId="77777777" w:rsidTr="00AC5F11">
        <w:tc>
          <w:tcPr>
            <w:tcW w:w="2337" w:type="dxa"/>
            <w:vMerge/>
            <w:tcBorders>
              <w:left w:val="nil"/>
              <w:right w:val="nil"/>
            </w:tcBorders>
          </w:tcPr>
          <w:p w14:paraId="06D94F0A"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9B9DFD0"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4ACC1CB5"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1376260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77E988F2" w14:textId="77777777" w:rsidTr="00AC5F11">
        <w:tc>
          <w:tcPr>
            <w:tcW w:w="2337" w:type="dxa"/>
            <w:vMerge w:val="restart"/>
            <w:tcBorders>
              <w:left w:val="nil"/>
              <w:right w:val="nil"/>
            </w:tcBorders>
          </w:tcPr>
          <w:p w14:paraId="7167C48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Trunk</w:t>
            </w:r>
          </w:p>
        </w:tc>
        <w:tc>
          <w:tcPr>
            <w:tcW w:w="1911" w:type="dxa"/>
            <w:vMerge w:val="restart"/>
            <w:tcBorders>
              <w:left w:val="nil"/>
              <w:right w:val="nil"/>
            </w:tcBorders>
          </w:tcPr>
          <w:p w14:paraId="34EC98C9"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3AE342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Apparent sensory loss</w:t>
            </w:r>
          </w:p>
        </w:tc>
        <w:tc>
          <w:tcPr>
            <w:tcW w:w="850" w:type="dxa"/>
            <w:tcBorders>
              <w:left w:val="nil"/>
              <w:right w:val="nil"/>
            </w:tcBorders>
          </w:tcPr>
          <w:p w14:paraId="7D13B3E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43B97974" w14:textId="77777777" w:rsidTr="00AC5F11">
        <w:tc>
          <w:tcPr>
            <w:tcW w:w="2337" w:type="dxa"/>
            <w:vMerge/>
            <w:tcBorders>
              <w:left w:val="nil"/>
              <w:right w:val="nil"/>
            </w:tcBorders>
          </w:tcPr>
          <w:p w14:paraId="553798A2"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0E76E45"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97E2ABA"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Minimal sensory loss</w:t>
            </w:r>
          </w:p>
        </w:tc>
        <w:tc>
          <w:tcPr>
            <w:tcW w:w="850" w:type="dxa"/>
            <w:tcBorders>
              <w:left w:val="nil"/>
              <w:right w:val="nil"/>
            </w:tcBorders>
          </w:tcPr>
          <w:p w14:paraId="5839FD5B"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2F6A6984" w14:textId="77777777" w:rsidTr="00AC5F11">
        <w:tc>
          <w:tcPr>
            <w:tcW w:w="2337" w:type="dxa"/>
            <w:vMerge/>
            <w:tcBorders>
              <w:left w:val="nil"/>
              <w:right w:val="nil"/>
            </w:tcBorders>
          </w:tcPr>
          <w:p w14:paraId="3D753879"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550451E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21C7AE04"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right w:val="nil"/>
            </w:tcBorders>
          </w:tcPr>
          <w:p w14:paraId="046B9CC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15126C8" w14:textId="77777777" w:rsidTr="00AC5F11">
        <w:tc>
          <w:tcPr>
            <w:tcW w:w="2337" w:type="dxa"/>
            <w:vMerge w:val="restart"/>
            <w:tcBorders>
              <w:left w:val="nil"/>
              <w:right w:val="nil"/>
            </w:tcBorders>
          </w:tcPr>
          <w:p w14:paraId="205EC406"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Bladder function</w:t>
            </w:r>
          </w:p>
        </w:tc>
        <w:tc>
          <w:tcPr>
            <w:tcW w:w="1911" w:type="dxa"/>
            <w:vMerge w:val="restart"/>
            <w:tcBorders>
              <w:left w:val="nil"/>
              <w:right w:val="nil"/>
            </w:tcBorders>
          </w:tcPr>
          <w:p w14:paraId="6E92D033"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114A334F"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Complete retention</w:t>
            </w:r>
          </w:p>
        </w:tc>
        <w:tc>
          <w:tcPr>
            <w:tcW w:w="850" w:type="dxa"/>
            <w:tcBorders>
              <w:left w:val="nil"/>
              <w:right w:val="nil"/>
            </w:tcBorders>
          </w:tcPr>
          <w:p w14:paraId="669F1E1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0</w:t>
            </w:r>
          </w:p>
        </w:tc>
      </w:tr>
      <w:tr w:rsidR="007417A8" w:rsidRPr="00B516F8" w14:paraId="08DADE64" w14:textId="77777777" w:rsidTr="00AC5F11">
        <w:tc>
          <w:tcPr>
            <w:tcW w:w="2337" w:type="dxa"/>
            <w:vMerge/>
            <w:tcBorders>
              <w:left w:val="nil"/>
              <w:right w:val="nil"/>
            </w:tcBorders>
          </w:tcPr>
          <w:p w14:paraId="21496767"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18109C5C"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504B2E6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Sense of retention or dribbling or straining</w:t>
            </w:r>
          </w:p>
        </w:tc>
        <w:tc>
          <w:tcPr>
            <w:tcW w:w="850" w:type="dxa"/>
            <w:tcBorders>
              <w:left w:val="nil"/>
              <w:right w:val="nil"/>
            </w:tcBorders>
          </w:tcPr>
          <w:p w14:paraId="6F4017B8"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w:t>
            </w:r>
          </w:p>
        </w:tc>
      </w:tr>
      <w:tr w:rsidR="007417A8" w:rsidRPr="00B516F8" w14:paraId="20C83568" w14:textId="77777777" w:rsidTr="00AC5F11">
        <w:tc>
          <w:tcPr>
            <w:tcW w:w="2337" w:type="dxa"/>
            <w:vMerge/>
            <w:tcBorders>
              <w:left w:val="nil"/>
              <w:right w:val="nil"/>
            </w:tcBorders>
          </w:tcPr>
          <w:p w14:paraId="4F924F3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right w:val="nil"/>
            </w:tcBorders>
          </w:tcPr>
          <w:p w14:paraId="3AF59CE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right w:val="nil"/>
            </w:tcBorders>
          </w:tcPr>
          <w:p w14:paraId="7B909B3C"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Urinary frequency or hesitancy</w:t>
            </w:r>
          </w:p>
        </w:tc>
        <w:tc>
          <w:tcPr>
            <w:tcW w:w="850" w:type="dxa"/>
            <w:tcBorders>
              <w:left w:val="nil"/>
              <w:right w:val="nil"/>
            </w:tcBorders>
          </w:tcPr>
          <w:p w14:paraId="75A046C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2</w:t>
            </w:r>
          </w:p>
        </w:tc>
      </w:tr>
      <w:tr w:rsidR="007417A8" w:rsidRPr="00B516F8" w14:paraId="06F117CC" w14:textId="77777777" w:rsidTr="00AC5F11">
        <w:tc>
          <w:tcPr>
            <w:tcW w:w="2337" w:type="dxa"/>
            <w:vMerge/>
            <w:tcBorders>
              <w:left w:val="nil"/>
              <w:bottom w:val="single" w:sz="4" w:space="0" w:color="auto"/>
              <w:right w:val="nil"/>
            </w:tcBorders>
          </w:tcPr>
          <w:p w14:paraId="3BB5AD06" w14:textId="77777777" w:rsidR="007417A8" w:rsidRPr="00B516F8" w:rsidRDefault="007417A8" w:rsidP="003C2A84">
            <w:pPr>
              <w:spacing w:after="120" w:line="360" w:lineRule="auto"/>
              <w:rPr>
                <w:rFonts w:ascii="Arial" w:hAnsi="Arial" w:cs="Arial"/>
                <w:sz w:val="20"/>
                <w:szCs w:val="20"/>
              </w:rPr>
            </w:pPr>
          </w:p>
        </w:tc>
        <w:tc>
          <w:tcPr>
            <w:tcW w:w="1911" w:type="dxa"/>
            <w:vMerge/>
            <w:tcBorders>
              <w:left w:val="nil"/>
              <w:bottom w:val="single" w:sz="4" w:space="0" w:color="auto"/>
              <w:right w:val="nil"/>
            </w:tcBorders>
          </w:tcPr>
          <w:p w14:paraId="43BB9BA4" w14:textId="77777777" w:rsidR="007417A8" w:rsidRPr="00B516F8" w:rsidRDefault="007417A8" w:rsidP="003C2A84">
            <w:pPr>
              <w:spacing w:after="120" w:line="360" w:lineRule="auto"/>
              <w:rPr>
                <w:rFonts w:ascii="Arial" w:hAnsi="Arial" w:cs="Arial"/>
                <w:sz w:val="20"/>
                <w:szCs w:val="20"/>
              </w:rPr>
            </w:pPr>
          </w:p>
        </w:tc>
        <w:tc>
          <w:tcPr>
            <w:tcW w:w="4252" w:type="dxa"/>
            <w:tcBorders>
              <w:left w:val="nil"/>
              <w:bottom w:val="single" w:sz="4" w:space="0" w:color="auto"/>
              <w:right w:val="nil"/>
            </w:tcBorders>
          </w:tcPr>
          <w:p w14:paraId="0F4EC1F7"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Normal</w:t>
            </w:r>
          </w:p>
        </w:tc>
        <w:tc>
          <w:tcPr>
            <w:tcW w:w="850" w:type="dxa"/>
            <w:tcBorders>
              <w:left w:val="nil"/>
              <w:bottom w:val="single" w:sz="4" w:space="0" w:color="auto"/>
              <w:right w:val="nil"/>
            </w:tcBorders>
          </w:tcPr>
          <w:p w14:paraId="5B73DCF9"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3</w:t>
            </w:r>
          </w:p>
        </w:tc>
      </w:tr>
      <w:tr w:rsidR="007417A8" w:rsidRPr="00B516F8" w14:paraId="7292BA7C" w14:textId="77777777" w:rsidTr="00AC5F11">
        <w:tc>
          <w:tcPr>
            <w:tcW w:w="2337" w:type="dxa"/>
            <w:tcBorders>
              <w:left w:val="nil"/>
              <w:bottom w:val="single" w:sz="4" w:space="0" w:color="auto"/>
              <w:right w:val="nil"/>
            </w:tcBorders>
          </w:tcPr>
          <w:p w14:paraId="6A2AB0B1"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Total</w:t>
            </w:r>
          </w:p>
        </w:tc>
        <w:tc>
          <w:tcPr>
            <w:tcW w:w="1911" w:type="dxa"/>
            <w:tcBorders>
              <w:left w:val="nil"/>
              <w:bottom w:val="single" w:sz="4" w:space="0" w:color="auto"/>
              <w:right w:val="nil"/>
            </w:tcBorders>
          </w:tcPr>
          <w:p w14:paraId="02C9705D" w14:textId="77777777" w:rsidR="007417A8" w:rsidRPr="00B516F8" w:rsidRDefault="007417A8" w:rsidP="003C2A84">
            <w:pPr>
              <w:spacing w:after="120" w:line="360" w:lineRule="auto"/>
              <w:rPr>
                <w:rFonts w:ascii="Arial" w:hAnsi="Arial" w:cs="Arial"/>
                <w:sz w:val="20"/>
                <w:szCs w:val="20"/>
              </w:rPr>
            </w:pPr>
          </w:p>
        </w:tc>
        <w:tc>
          <w:tcPr>
            <w:tcW w:w="4252" w:type="dxa"/>
            <w:tcBorders>
              <w:left w:val="nil"/>
              <w:bottom w:val="single" w:sz="4" w:space="0" w:color="auto"/>
              <w:right w:val="nil"/>
            </w:tcBorders>
          </w:tcPr>
          <w:p w14:paraId="04E84F25" w14:textId="77777777" w:rsidR="007417A8" w:rsidRPr="00B516F8" w:rsidRDefault="007417A8" w:rsidP="003C2A84">
            <w:pPr>
              <w:spacing w:after="120" w:line="360" w:lineRule="auto"/>
              <w:rPr>
                <w:rFonts w:ascii="Arial" w:hAnsi="Arial" w:cs="Arial"/>
                <w:sz w:val="20"/>
                <w:szCs w:val="20"/>
              </w:rPr>
            </w:pPr>
          </w:p>
        </w:tc>
        <w:tc>
          <w:tcPr>
            <w:tcW w:w="850" w:type="dxa"/>
            <w:tcBorders>
              <w:left w:val="nil"/>
              <w:bottom w:val="single" w:sz="4" w:space="0" w:color="auto"/>
              <w:right w:val="nil"/>
            </w:tcBorders>
          </w:tcPr>
          <w:p w14:paraId="5F30EA20" w14:textId="77777777" w:rsidR="007417A8" w:rsidRPr="00B516F8" w:rsidRDefault="007417A8" w:rsidP="003C2A84">
            <w:pPr>
              <w:spacing w:after="120" w:line="360" w:lineRule="auto"/>
              <w:rPr>
                <w:rFonts w:ascii="Arial" w:hAnsi="Arial" w:cs="Arial"/>
                <w:sz w:val="20"/>
                <w:szCs w:val="20"/>
              </w:rPr>
            </w:pPr>
            <w:r w:rsidRPr="00B516F8">
              <w:rPr>
                <w:rFonts w:ascii="Arial" w:hAnsi="Arial" w:cs="Arial"/>
                <w:sz w:val="20"/>
                <w:szCs w:val="20"/>
              </w:rPr>
              <w:t>17</w:t>
            </w:r>
          </w:p>
        </w:tc>
      </w:tr>
    </w:tbl>
    <w:p w14:paraId="22DDE642" w14:textId="77777777" w:rsidR="009A625E" w:rsidRPr="00B516F8" w:rsidRDefault="009A625E" w:rsidP="003C2A84">
      <w:pPr>
        <w:spacing w:line="360" w:lineRule="auto"/>
        <w:jc w:val="both"/>
        <w:rPr>
          <w:sz w:val="20"/>
          <w:szCs w:val="20"/>
        </w:rPr>
      </w:pPr>
    </w:p>
    <w:p w14:paraId="1A294BCA" w14:textId="67B95CA5" w:rsidR="009A625E" w:rsidRPr="00B516F8" w:rsidRDefault="009A625E" w:rsidP="003C2A84">
      <w:pPr>
        <w:spacing w:line="360" w:lineRule="auto"/>
        <w:jc w:val="center"/>
        <w:rPr>
          <w:sz w:val="20"/>
          <w:szCs w:val="20"/>
        </w:rPr>
      </w:pPr>
    </w:p>
    <w:p w14:paraId="08A5A93C" w14:textId="77777777" w:rsidR="00AC5F11" w:rsidRPr="00B516F8" w:rsidRDefault="00AC5F11" w:rsidP="003C2A84">
      <w:pPr>
        <w:spacing w:line="360" w:lineRule="auto"/>
        <w:jc w:val="center"/>
        <w:rPr>
          <w:sz w:val="20"/>
          <w:szCs w:val="20"/>
        </w:rPr>
      </w:pPr>
    </w:p>
    <w:p w14:paraId="39C605AE" w14:textId="77777777" w:rsidR="00AC5F11" w:rsidRPr="00B516F8" w:rsidRDefault="00AC5F11" w:rsidP="003C2A84">
      <w:pPr>
        <w:spacing w:line="360" w:lineRule="auto"/>
        <w:jc w:val="center"/>
        <w:rPr>
          <w:sz w:val="20"/>
          <w:szCs w:val="20"/>
          <w:vertAlign w:val="superscript"/>
        </w:rPr>
      </w:pPr>
      <w:r w:rsidRPr="00B516F8">
        <w:rPr>
          <w:sz w:val="20"/>
          <w:szCs w:val="20"/>
        </w:rPr>
        <w:t xml:space="preserve">Table 3. </w:t>
      </w:r>
      <w:proofErr w:type="spellStart"/>
      <w:r w:rsidRPr="00B516F8">
        <w:rPr>
          <w:sz w:val="20"/>
          <w:szCs w:val="20"/>
        </w:rPr>
        <w:t>Nurick</w:t>
      </w:r>
      <w:proofErr w:type="spellEnd"/>
      <w:r w:rsidRPr="00B516F8">
        <w:rPr>
          <w:sz w:val="20"/>
          <w:szCs w:val="20"/>
        </w:rPr>
        <w:t xml:space="preserve"> score</w:t>
      </w:r>
      <w:r w:rsidRPr="00B516F8">
        <w:rPr>
          <w:sz w:val="20"/>
          <w:szCs w:val="20"/>
          <w:vertAlign w:val="superscript"/>
        </w:rPr>
        <w:t>15</w:t>
      </w:r>
      <w:r w:rsidRPr="00B516F8">
        <w:rPr>
          <w:sz w:val="20"/>
          <w:szCs w:val="20"/>
        </w:rPr>
        <w:t>.</w:t>
      </w:r>
    </w:p>
    <w:p w14:paraId="331986B6" w14:textId="77777777" w:rsidR="00DA36F5" w:rsidRPr="00B516F8" w:rsidRDefault="00DA36F5" w:rsidP="003C2A84">
      <w:pPr>
        <w:spacing w:line="360" w:lineRule="auto"/>
        <w:jc w:val="center"/>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6"/>
        <w:gridCol w:w="4130"/>
      </w:tblGrid>
      <w:tr w:rsidR="002D7BFF" w:rsidRPr="00B516F8" w14:paraId="7CC03C82" w14:textId="77777777" w:rsidTr="00AC5F11">
        <w:trPr>
          <w:jc w:val="center"/>
        </w:trPr>
        <w:tc>
          <w:tcPr>
            <w:tcW w:w="956" w:type="dxa"/>
            <w:tcBorders>
              <w:top w:val="single" w:sz="4" w:space="0" w:color="auto"/>
              <w:bottom w:val="single" w:sz="4" w:space="0" w:color="auto"/>
            </w:tcBorders>
          </w:tcPr>
          <w:p w14:paraId="12090BCE" w14:textId="77777777" w:rsidR="005C4A3F" w:rsidRPr="00B516F8" w:rsidRDefault="005C4A3F" w:rsidP="003C2A84">
            <w:pPr>
              <w:spacing w:line="360" w:lineRule="auto"/>
              <w:jc w:val="both"/>
              <w:rPr>
                <w:rFonts w:ascii="Arial" w:hAnsi="Arial" w:cs="Arial"/>
                <w:i/>
                <w:iCs/>
                <w:sz w:val="20"/>
                <w:szCs w:val="20"/>
              </w:rPr>
            </w:pPr>
            <w:r w:rsidRPr="00B516F8">
              <w:rPr>
                <w:rFonts w:ascii="Arial" w:hAnsi="Arial" w:cs="Arial"/>
                <w:i/>
                <w:iCs/>
                <w:sz w:val="20"/>
                <w:szCs w:val="20"/>
              </w:rPr>
              <w:t>Grade</w:t>
            </w:r>
          </w:p>
        </w:tc>
        <w:tc>
          <w:tcPr>
            <w:tcW w:w="4130" w:type="dxa"/>
            <w:tcBorders>
              <w:top w:val="single" w:sz="4" w:space="0" w:color="auto"/>
              <w:bottom w:val="single" w:sz="4" w:space="0" w:color="auto"/>
            </w:tcBorders>
          </w:tcPr>
          <w:p w14:paraId="001690DE" w14:textId="3CD6F487" w:rsidR="005C4A3F" w:rsidRPr="00B516F8" w:rsidRDefault="00DA36F5" w:rsidP="003C2A84">
            <w:pPr>
              <w:spacing w:line="360" w:lineRule="auto"/>
              <w:jc w:val="both"/>
              <w:rPr>
                <w:rFonts w:ascii="Arial" w:hAnsi="Arial" w:cs="Arial"/>
                <w:sz w:val="20"/>
                <w:szCs w:val="20"/>
              </w:rPr>
            </w:pPr>
            <w:r w:rsidRPr="00B516F8">
              <w:rPr>
                <w:rFonts w:ascii="Arial" w:hAnsi="Arial" w:cs="Arial"/>
                <w:sz w:val="20"/>
                <w:szCs w:val="20"/>
              </w:rPr>
              <w:t>Sign and Symptoms</w:t>
            </w:r>
          </w:p>
        </w:tc>
      </w:tr>
      <w:tr w:rsidR="002D7BFF" w:rsidRPr="00B516F8" w14:paraId="73811D34" w14:textId="77777777" w:rsidTr="00AC5F11">
        <w:trPr>
          <w:jc w:val="center"/>
        </w:trPr>
        <w:tc>
          <w:tcPr>
            <w:tcW w:w="956" w:type="dxa"/>
            <w:tcBorders>
              <w:top w:val="single" w:sz="4" w:space="0" w:color="auto"/>
            </w:tcBorders>
          </w:tcPr>
          <w:p w14:paraId="75DE3957"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0</w:t>
            </w:r>
          </w:p>
        </w:tc>
        <w:tc>
          <w:tcPr>
            <w:tcW w:w="4130" w:type="dxa"/>
            <w:tcBorders>
              <w:top w:val="single" w:sz="4" w:space="0" w:color="auto"/>
            </w:tcBorders>
          </w:tcPr>
          <w:p w14:paraId="694ABEA8" w14:textId="77777777" w:rsidR="005C4A3F" w:rsidRPr="00B516F8" w:rsidRDefault="005C4A3F" w:rsidP="003C2A84">
            <w:pPr>
              <w:spacing w:line="360" w:lineRule="auto"/>
              <w:jc w:val="both"/>
              <w:rPr>
                <w:rFonts w:ascii="Arial" w:hAnsi="Arial" w:cs="Arial"/>
                <w:i/>
                <w:iCs/>
                <w:sz w:val="20"/>
                <w:szCs w:val="20"/>
              </w:rPr>
            </w:pPr>
            <w:r w:rsidRPr="00B516F8">
              <w:rPr>
                <w:rFonts w:ascii="Arial" w:hAnsi="Arial" w:cs="Arial"/>
                <w:i/>
                <w:iCs/>
                <w:sz w:val="20"/>
                <w:szCs w:val="20"/>
              </w:rPr>
              <w:t>Root symptoms only or normal</w:t>
            </w:r>
          </w:p>
        </w:tc>
      </w:tr>
      <w:tr w:rsidR="002D7BFF" w:rsidRPr="00B516F8" w14:paraId="488A0029" w14:textId="77777777" w:rsidTr="00AC5F11">
        <w:trPr>
          <w:jc w:val="center"/>
        </w:trPr>
        <w:tc>
          <w:tcPr>
            <w:tcW w:w="956" w:type="dxa"/>
          </w:tcPr>
          <w:p w14:paraId="3B4A3C7E"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1</w:t>
            </w:r>
          </w:p>
        </w:tc>
        <w:tc>
          <w:tcPr>
            <w:tcW w:w="4130" w:type="dxa"/>
          </w:tcPr>
          <w:p w14:paraId="29FF7721"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Signs of cord compression; normal gait</w:t>
            </w:r>
          </w:p>
        </w:tc>
      </w:tr>
      <w:tr w:rsidR="002D7BFF" w:rsidRPr="00B516F8" w14:paraId="01691BB3" w14:textId="77777777" w:rsidTr="00AC5F11">
        <w:trPr>
          <w:jc w:val="center"/>
        </w:trPr>
        <w:tc>
          <w:tcPr>
            <w:tcW w:w="956" w:type="dxa"/>
            <w:tcBorders>
              <w:bottom w:val="single" w:sz="4" w:space="0" w:color="auto"/>
            </w:tcBorders>
          </w:tcPr>
          <w:p w14:paraId="7134F032"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2</w:t>
            </w:r>
          </w:p>
        </w:tc>
        <w:tc>
          <w:tcPr>
            <w:tcW w:w="4130" w:type="dxa"/>
            <w:tcBorders>
              <w:bottom w:val="single" w:sz="4" w:space="0" w:color="auto"/>
            </w:tcBorders>
          </w:tcPr>
          <w:p w14:paraId="16EF9D10"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Gait difficulties but fully employed</w:t>
            </w:r>
          </w:p>
        </w:tc>
      </w:tr>
      <w:tr w:rsidR="002D7BFF" w:rsidRPr="00B516F8" w14:paraId="18C730AB" w14:textId="77777777" w:rsidTr="00AC5F11">
        <w:trPr>
          <w:jc w:val="center"/>
        </w:trPr>
        <w:tc>
          <w:tcPr>
            <w:tcW w:w="956" w:type="dxa"/>
            <w:tcBorders>
              <w:top w:val="single" w:sz="4" w:space="0" w:color="auto"/>
              <w:bottom w:val="single" w:sz="4" w:space="0" w:color="auto"/>
            </w:tcBorders>
          </w:tcPr>
          <w:p w14:paraId="38584DF0"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3</w:t>
            </w:r>
          </w:p>
        </w:tc>
        <w:tc>
          <w:tcPr>
            <w:tcW w:w="4130" w:type="dxa"/>
            <w:tcBorders>
              <w:top w:val="single" w:sz="4" w:space="0" w:color="auto"/>
              <w:bottom w:val="single" w:sz="4" w:space="0" w:color="auto"/>
            </w:tcBorders>
          </w:tcPr>
          <w:p w14:paraId="2EB2B499" w14:textId="77777777" w:rsidR="005C4A3F" w:rsidRPr="00B516F8" w:rsidRDefault="005C4A3F" w:rsidP="003C2A84">
            <w:pPr>
              <w:spacing w:line="360" w:lineRule="auto"/>
              <w:jc w:val="both"/>
              <w:rPr>
                <w:rFonts w:ascii="Arial" w:hAnsi="Arial" w:cs="Arial"/>
                <w:sz w:val="20"/>
                <w:szCs w:val="20"/>
              </w:rPr>
            </w:pPr>
            <w:r w:rsidRPr="00B516F8">
              <w:rPr>
                <w:rFonts w:ascii="Arial" w:hAnsi="Arial" w:cs="Arial"/>
                <w:sz w:val="20"/>
                <w:szCs w:val="20"/>
              </w:rPr>
              <w:t>Gait difficulties prevent employment, walks unassisted</w:t>
            </w:r>
          </w:p>
        </w:tc>
      </w:tr>
    </w:tbl>
    <w:p w14:paraId="73C2E87B" w14:textId="77777777" w:rsidR="00C02A25" w:rsidRDefault="00C02A25" w:rsidP="003C2A84">
      <w:pPr>
        <w:spacing w:line="360" w:lineRule="auto"/>
        <w:jc w:val="center"/>
        <w:rPr>
          <w:sz w:val="24"/>
          <w:szCs w:val="24"/>
        </w:rPr>
      </w:pPr>
    </w:p>
    <w:p w14:paraId="1BC85383" w14:textId="77777777" w:rsidR="00B516F8" w:rsidRDefault="00B516F8" w:rsidP="003C2A84">
      <w:pPr>
        <w:spacing w:line="360" w:lineRule="auto"/>
        <w:jc w:val="center"/>
        <w:rPr>
          <w:sz w:val="24"/>
          <w:szCs w:val="24"/>
        </w:rPr>
      </w:pPr>
    </w:p>
    <w:p w14:paraId="40D03AA8" w14:textId="30F45A01" w:rsidR="00105055"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DIAGNOSTIC EXAMINATION</w:t>
      </w:r>
    </w:p>
    <w:p w14:paraId="0C04775F" w14:textId="77777777" w:rsidR="00432735" w:rsidRPr="00B516F8" w:rsidRDefault="00432735" w:rsidP="003C2A84">
      <w:pPr>
        <w:spacing w:line="360" w:lineRule="auto"/>
        <w:jc w:val="both"/>
        <w:rPr>
          <w:sz w:val="20"/>
          <w:szCs w:val="20"/>
        </w:rPr>
      </w:pPr>
      <w:r w:rsidRPr="00B516F8">
        <w:rPr>
          <w:sz w:val="20"/>
          <w:szCs w:val="20"/>
        </w:rPr>
        <w:t>Diagnostic examinations are usually performed using imaging techniques. The imaging modalities used to assess cervical spondylosis include cervical X-ray, Computed Tomography (CT) scan, and Magnetic Resonance Imaging (MRI)</w:t>
      </w:r>
      <w:r w:rsidRPr="00B516F8">
        <w:rPr>
          <w:sz w:val="20"/>
          <w:szCs w:val="20"/>
          <w:vertAlign w:val="superscript"/>
        </w:rPr>
        <w:t xml:space="preserve"> 9-15</w:t>
      </w:r>
      <w:r w:rsidRPr="00B516F8">
        <w:rPr>
          <w:sz w:val="20"/>
          <w:szCs w:val="20"/>
        </w:rPr>
        <w:t>.</w:t>
      </w:r>
    </w:p>
    <w:p w14:paraId="22642A3E"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 xml:space="preserve">A cervical X-ray includes AP, lateral, and open-mouth odontoid views, with flexion-extension or oblique views if needed. Though MRI provides superior information, X-rays help assess dynamic instability and sagittal alignment, aiding prognosis. CT scans are superior for evaluating disc calcification, osteophytes, OPLL, fractures, and lytic bone lesions. X-rays can estimate spinal canal narrowing, but MRI or CT/myelography better assess spinal cord compression and signal abnormalities. </w:t>
      </w:r>
    </w:p>
    <w:p w14:paraId="3B5735E8" w14:textId="1BBBC9C5" w:rsidR="00905031" w:rsidRPr="00B516F8" w:rsidRDefault="00905031" w:rsidP="003C2A84">
      <w:pPr>
        <w:pStyle w:val="ListParagraph"/>
        <w:spacing w:line="360" w:lineRule="auto"/>
        <w:jc w:val="center"/>
        <w:rPr>
          <w:rFonts w:ascii="Arial" w:hAnsi="Arial" w:cs="Arial"/>
          <w:sz w:val="20"/>
          <w:szCs w:val="20"/>
        </w:rPr>
      </w:pPr>
      <w:r w:rsidRPr="00B516F8">
        <w:rPr>
          <w:rFonts w:ascii="Arial" w:hAnsi="Arial" w:cs="Arial"/>
          <w:noProof/>
          <w:sz w:val="20"/>
          <w:szCs w:val="20"/>
        </w:rPr>
        <w:lastRenderedPageBreak/>
        <w:drawing>
          <wp:inline distT="0" distB="0" distL="0" distR="0" wp14:anchorId="0E383ECB" wp14:editId="1ECDBC61">
            <wp:extent cx="2891752" cy="3140364"/>
            <wp:effectExtent l="0" t="0" r="4445" b="0"/>
            <wp:docPr id="1838718483" name="Picture 183871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5549" cy="3166207"/>
                    </a:xfrm>
                    <a:prstGeom prst="rect">
                      <a:avLst/>
                    </a:prstGeom>
                  </pic:spPr>
                </pic:pic>
              </a:graphicData>
            </a:graphic>
          </wp:inline>
        </w:drawing>
      </w:r>
    </w:p>
    <w:p w14:paraId="47CFDAC5" w14:textId="77777777" w:rsidR="00905031" w:rsidRPr="00B516F8" w:rsidRDefault="00905031" w:rsidP="003C2A84">
      <w:pPr>
        <w:pStyle w:val="ListParagraph"/>
        <w:spacing w:line="360" w:lineRule="auto"/>
        <w:jc w:val="center"/>
        <w:rPr>
          <w:rFonts w:ascii="Arial" w:hAnsi="Arial" w:cs="Arial"/>
          <w:sz w:val="20"/>
          <w:szCs w:val="20"/>
        </w:rPr>
      </w:pPr>
    </w:p>
    <w:p w14:paraId="2AF0141B" w14:textId="2D6B1FA0" w:rsidR="00DA36F5" w:rsidRPr="00B516F8" w:rsidRDefault="00DA36F5" w:rsidP="003C2A84">
      <w:pPr>
        <w:spacing w:line="360" w:lineRule="auto"/>
        <w:jc w:val="center"/>
        <w:rPr>
          <w:sz w:val="20"/>
          <w:szCs w:val="20"/>
          <w:vertAlign w:val="superscript"/>
        </w:rPr>
      </w:pPr>
      <w:bookmarkStart w:id="4" w:name="_Toc134695092"/>
      <w:r w:rsidRPr="00B516F8">
        <w:rPr>
          <w:i/>
          <w:iCs/>
          <w:sz w:val="20"/>
          <w:szCs w:val="20"/>
        </w:rPr>
        <w:t>Figure 3</w:t>
      </w:r>
      <w:bookmarkEnd w:id="4"/>
      <w:r w:rsidRPr="00B516F8">
        <w:rPr>
          <w:sz w:val="20"/>
          <w:szCs w:val="20"/>
        </w:rPr>
        <w:t>. Lateral cervical X-ray shows the Torg-Pavlov ratio at the C5 level.</w:t>
      </w:r>
      <w:r w:rsidRPr="00B516F8">
        <w:rPr>
          <w:sz w:val="20"/>
          <w:szCs w:val="20"/>
        </w:rPr>
        <w:br/>
        <w:t>The calculation includes the canal diameter (A) and vertebral body diameter.</w:t>
      </w:r>
      <w:r w:rsidRPr="00B516F8">
        <w:rPr>
          <w:sz w:val="20"/>
          <w:szCs w:val="20"/>
        </w:rPr>
        <w:br/>
        <w:t>A ratio of &lt;0.8 is significant for canal stenosis.</w:t>
      </w:r>
      <w:r w:rsidRPr="00B516F8">
        <w:rPr>
          <w:sz w:val="20"/>
          <w:szCs w:val="20"/>
        </w:rPr>
        <w:br/>
        <w:t>A canal diameter of &lt;12 mm is associated with spinal cord compression</w:t>
      </w:r>
      <w:r w:rsidRPr="00B516F8">
        <w:rPr>
          <w:sz w:val="20"/>
          <w:szCs w:val="20"/>
          <w:vertAlign w:val="superscript"/>
        </w:rPr>
        <w:t>16</w:t>
      </w:r>
      <w:r w:rsidRPr="00B516F8">
        <w:rPr>
          <w:sz w:val="20"/>
          <w:szCs w:val="20"/>
        </w:rPr>
        <w:t>.</w:t>
      </w:r>
    </w:p>
    <w:p w14:paraId="49F02FC6" w14:textId="57402CB8" w:rsidR="00905031" w:rsidRPr="00B516F8" w:rsidRDefault="00905031" w:rsidP="003C2A84">
      <w:pPr>
        <w:pStyle w:val="Caption"/>
        <w:spacing w:line="360" w:lineRule="auto"/>
        <w:ind w:left="851"/>
        <w:jc w:val="center"/>
        <w:rPr>
          <w:rFonts w:ascii="Arial" w:hAnsi="Arial" w:cs="Arial"/>
          <w:color w:val="auto"/>
          <w:sz w:val="20"/>
          <w:szCs w:val="20"/>
        </w:rPr>
      </w:pPr>
    </w:p>
    <w:p w14:paraId="3EB3C07B" w14:textId="77777777" w:rsidR="00905031" w:rsidRPr="00B516F8" w:rsidRDefault="00905031" w:rsidP="003C2A84">
      <w:pPr>
        <w:pStyle w:val="ListParagraph"/>
        <w:spacing w:line="360" w:lineRule="auto"/>
        <w:jc w:val="center"/>
        <w:rPr>
          <w:rFonts w:ascii="Arial" w:hAnsi="Arial" w:cs="Arial"/>
          <w:sz w:val="20"/>
          <w:szCs w:val="20"/>
        </w:rPr>
      </w:pPr>
    </w:p>
    <w:p w14:paraId="77B53EDF"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 xml:space="preserve">Computed Tomography (CT) scan </w:t>
      </w:r>
      <w:r w:rsidRPr="00B516F8">
        <w:rPr>
          <w:rFonts w:ascii="Arial" w:hAnsi="Arial" w:cs="Arial"/>
          <w:sz w:val="20"/>
          <w:szCs w:val="20"/>
          <w:lang w:val="en"/>
        </w:rPr>
        <w:t>CT effectively visualize bony structures and canal narrowing but lack adequate soft tissue detail (discs, ligaments, spinal cord, and nerves). CT myelography provides high-resolution sagittal and axial views, superior to MRI for bony detail but is invasive, requiring lumbar puncture and ionizing radiation, without assessing spinal cord parenchymal changes.</w:t>
      </w:r>
    </w:p>
    <w:p w14:paraId="7F39F39C" w14:textId="77777777" w:rsidR="00432735" w:rsidRPr="00B516F8" w:rsidRDefault="00432735" w:rsidP="003C2A84">
      <w:pPr>
        <w:pStyle w:val="ListParagraph"/>
        <w:numPr>
          <w:ilvl w:val="0"/>
          <w:numId w:val="9"/>
        </w:numPr>
        <w:spacing w:line="360" w:lineRule="auto"/>
        <w:jc w:val="both"/>
        <w:rPr>
          <w:rFonts w:ascii="Arial" w:hAnsi="Arial" w:cs="Arial"/>
          <w:sz w:val="20"/>
          <w:szCs w:val="20"/>
        </w:rPr>
      </w:pPr>
      <w:r w:rsidRPr="00B516F8">
        <w:rPr>
          <w:rFonts w:ascii="Arial" w:hAnsi="Arial" w:cs="Arial"/>
          <w:sz w:val="20"/>
          <w:szCs w:val="20"/>
        </w:rPr>
        <w:t>MRI</w:t>
      </w:r>
      <w:r w:rsidRPr="00B516F8">
        <w:rPr>
          <w:rFonts w:ascii="Arial" w:hAnsi="Arial" w:cs="Arial"/>
          <w:sz w:val="20"/>
          <w:szCs w:val="20"/>
          <w:lang w:val="en"/>
        </w:rPr>
        <w:t xml:space="preserve"> provides detailed imaging of the spinal canal and intrinsic spinal cord abnormalities, including demyelination, syringomyelia, atrophy, and edema. It also helps identify alternative diagnoses such as Chiari malformation or spinal cord tumors. However, bone structures and ligament calcifications are poorly visualized, and differentiating osteophytes from disc herniation may require cervical X-rays or thin-slice CT scans focused on bone structures for better assessment.</w:t>
      </w:r>
    </w:p>
    <w:p w14:paraId="7A4C579E" w14:textId="77777777" w:rsidR="00DA36F5" w:rsidRPr="00B516F8" w:rsidRDefault="00DA36F5" w:rsidP="003C2A84">
      <w:pPr>
        <w:pStyle w:val="ListParagraph"/>
        <w:spacing w:line="360" w:lineRule="auto"/>
        <w:jc w:val="both"/>
        <w:rPr>
          <w:rFonts w:ascii="Arial" w:hAnsi="Arial" w:cs="Arial"/>
          <w:sz w:val="20"/>
          <w:szCs w:val="20"/>
        </w:rPr>
      </w:pPr>
    </w:p>
    <w:p w14:paraId="117855A0" w14:textId="5079A59A" w:rsidR="00905031" w:rsidRPr="00B516F8" w:rsidRDefault="00905031" w:rsidP="003C2A84">
      <w:pPr>
        <w:pStyle w:val="ListParagraph"/>
        <w:spacing w:line="360" w:lineRule="auto"/>
        <w:jc w:val="both"/>
        <w:rPr>
          <w:rFonts w:ascii="Arial" w:hAnsi="Arial" w:cs="Arial"/>
          <w:sz w:val="20"/>
          <w:szCs w:val="20"/>
        </w:rPr>
      </w:pPr>
      <w:r w:rsidRPr="00B516F8">
        <w:rPr>
          <w:rFonts w:ascii="Arial" w:hAnsi="Arial" w:cs="Arial"/>
          <w:noProof/>
          <w:sz w:val="20"/>
          <w:szCs w:val="20"/>
          <w:vertAlign w:val="superscript"/>
        </w:rPr>
        <w:lastRenderedPageBreak/>
        <w:drawing>
          <wp:inline distT="0" distB="0" distL="0" distR="0" wp14:anchorId="65D2F3EA" wp14:editId="68E43238">
            <wp:extent cx="5081274" cy="199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274" cy="1994400"/>
                    </a:xfrm>
                    <a:prstGeom prst="rect">
                      <a:avLst/>
                    </a:prstGeom>
                  </pic:spPr>
                </pic:pic>
              </a:graphicData>
            </a:graphic>
          </wp:inline>
        </w:drawing>
      </w:r>
    </w:p>
    <w:p w14:paraId="1E5D0F70" w14:textId="1148C22B" w:rsidR="00905031" w:rsidRPr="00B516F8" w:rsidRDefault="00DA36F5" w:rsidP="003C2A84">
      <w:pPr>
        <w:pStyle w:val="Caption"/>
        <w:spacing w:line="360" w:lineRule="auto"/>
        <w:jc w:val="center"/>
        <w:rPr>
          <w:rFonts w:ascii="Arial" w:hAnsi="Arial" w:cs="Arial"/>
          <w:i w:val="0"/>
          <w:iCs w:val="0"/>
          <w:color w:val="auto"/>
          <w:sz w:val="20"/>
          <w:szCs w:val="20"/>
          <w:vertAlign w:val="superscript"/>
        </w:rPr>
      </w:pPr>
      <w:bookmarkStart w:id="5" w:name="_Toc134695094"/>
      <w:r w:rsidRPr="00B516F8">
        <w:rPr>
          <w:rFonts w:ascii="Arial" w:hAnsi="Arial" w:cs="Arial"/>
          <w:i w:val="0"/>
          <w:iCs w:val="0"/>
          <w:color w:val="auto"/>
          <w:sz w:val="20"/>
          <w:szCs w:val="20"/>
        </w:rPr>
        <w:t>Figure 4</w:t>
      </w:r>
      <w:r w:rsidR="00905031" w:rsidRPr="00B516F8">
        <w:rPr>
          <w:rFonts w:ascii="Arial" w:hAnsi="Arial" w:cs="Arial"/>
          <w:i w:val="0"/>
          <w:iCs w:val="0"/>
          <w:color w:val="auto"/>
          <w:sz w:val="20"/>
          <w:szCs w:val="20"/>
        </w:rPr>
        <w:t>. CSM C5-C6</w:t>
      </w:r>
      <w:bookmarkEnd w:id="5"/>
      <w:r w:rsidR="00905031" w:rsidRPr="00B516F8">
        <w:rPr>
          <w:rFonts w:ascii="Arial" w:hAnsi="Arial" w:cs="Arial"/>
          <w:i w:val="0"/>
          <w:iCs w:val="0"/>
          <w:color w:val="auto"/>
          <w:sz w:val="20"/>
          <w:szCs w:val="20"/>
          <w:vertAlign w:val="superscript"/>
        </w:rPr>
        <w:t>15</w:t>
      </w:r>
    </w:p>
    <w:p w14:paraId="7C59DC15" w14:textId="77777777" w:rsidR="00905031" w:rsidRPr="00B516F8" w:rsidRDefault="00905031" w:rsidP="003C2A84">
      <w:pPr>
        <w:pStyle w:val="ListParagraph"/>
        <w:spacing w:line="360" w:lineRule="auto"/>
        <w:ind w:left="284"/>
        <w:jc w:val="both"/>
        <w:rPr>
          <w:rFonts w:ascii="Arial" w:hAnsi="Arial" w:cs="Arial"/>
          <w:b/>
          <w:bCs/>
          <w:sz w:val="24"/>
          <w:szCs w:val="24"/>
        </w:rPr>
      </w:pPr>
    </w:p>
    <w:p w14:paraId="48FAAD66" w14:textId="5C806C52" w:rsidR="00432735"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DIFFERENTIAL DIAGNOSIS</w:t>
      </w:r>
    </w:p>
    <w:p w14:paraId="501AD83C" w14:textId="77777777" w:rsidR="00AC5F11" w:rsidRPr="00B516F8" w:rsidRDefault="00AC5F11" w:rsidP="003C2A84">
      <w:pPr>
        <w:pStyle w:val="ListParagraph"/>
        <w:spacing w:line="360" w:lineRule="auto"/>
        <w:jc w:val="center"/>
        <w:rPr>
          <w:rFonts w:ascii="Arial" w:hAnsi="Arial" w:cs="Arial"/>
          <w:sz w:val="24"/>
          <w:szCs w:val="24"/>
        </w:rPr>
      </w:pPr>
    </w:p>
    <w:p w14:paraId="0C7F81EB" w14:textId="170258F1" w:rsidR="00AC5F11" w:rsidRPr="00B516F8" w:rsidRDefault="00AC5F11" w:rsidP="003C2A84">
      <w:pPr>
        <w:pStyle w:val="ListParagraph"/>
        <w:spacing w:line="360" w:lineRule="auto"/>
        <w:jc w:val="center"/>
        <w:rPr>
          <w:rFonts w:ascii="Arial" w:hAnsi="Arial" w:cs="Arial"/>
          <w:sz w:val="20"/>
          <w:szCs w:val="20"/>
          <w:vertAlign w:val="superscript"/>
        </w:rPr>
      </w:pPr>
      <w:r w:rsidRPr="00B516F8">
        <w:rPr>
          <w:rFonts w:ascii="Arial" w:hAnsi="Arial" w:cs="Arial"/>
          <w:sz w:val="20"/>
          <w:szCs w:val="20"/>
        </w:rPr>
        <w:t>Table 4. Differential Diagnosis</w:t>
      </w:r>
      <w:r w:rsidRPr="00B516F8">
        <w:rPr>
          <w:rFonts w:ascii="Arial" w:hAnsi="Arial" w:cs="Arial"/>
          <w:sz w:val="20"/>
          <w:szCs w:val="20"/>
          <w:vertAlign w:val="superscript"/>
        </w:rPr>
        <w:t>14</w:t>
      </w:r>
    </w:p>
    <w:p w14:paraId="295D2B3E" w14:textId="77777777" w:rsidR="00EC2ECE" w:rsidRPr="00B516F8" w:rsidRDefault="00EC2ECE" w:rsidP="003C2A84">
      <w:pPr>
        <w:pStyle w:val="ListParagraph"/>
        <w:spacing w:line="360" w:lineRule="auto"/>
        <w:ind w:left="284"/>
        <w:jc w:val="both"/>
        <w:rPr>
          <w:rFonts w:ascii="Arial" w:hAnsi="Arial" w:cs="Arial"/>
          <w:b/>
          <w:bCs/>
          <w:sz w:val="20"/>
          <w:szCs w:val="20"/>
        </w:rPr>
      </w:pP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3779"/>
      </w:tblGrid>
      <w:tr w:rsidR="00905F2F" w:rsidRPr="00B516F8" w14:paraId="1D646BDF" w14:textId="77777777" w:rsidTr="00337306">
        <w:tc>
          <w:tcPr>
            <w:tcW w:w="3762" w:type="dxa"/>
          </w:tcPr>
          <w:p w14:paraId="66793618" w14:textId="7067029F"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Differential Diagnosis</w:t>
            </w:r>
          </w:p>
        </w:tc>
        <w:tc>
          <w:tcPr>
            <w:tcW w:w="3779" w:type="dxa"/>
          </w:tcPr>
          <w:p w14:paraId="531D12BB" w14:textId="707ABF54"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Sign and Symptoms</w:t>
            </w:r>
          </w:p>
        </w:tc>
      </w:tr>
      <w:tr w:rsidR="00905F2F" w:rsidRPr="00B516F8" w14:paraId="6B34E1AD" w14:textId="77777777" w:rsidTr="00337306">
        <w:tc>
          <w:tcPr>
            <w:tcW w:w="3762" w:type="dxa"/>
          </w:tcPr>
          <w:p w14:paraId="308B1EFB"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Amyotrophic lateral sclerosis</w:t>
            </w:r>
          </w:p>
        </w:tc>
        <w:tc>
          <w:tcPr>
            <w:tcW w:w="3779" w:type="dxa"/>
          </w:tcPr>
          <w:p w14:paraId="1D8B4F8E"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Loss of sensory symptoms</w:t>
            </w:r>
          </w:p>
          <w:p w14:paraId="0477B170" w14:textId="345367FE"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 xml:space="preserve">Cranial nerve dysfunction (e.g., impaired speech and swallowing </w:t>
            </w:r>
          </w:p>
          <w:p w14:paraId="2E50C225" w14:textId="2CD5B4F1" w:rsidR="00905F2F" w:rsidRPr="00B516F8" w:rsidRDefault="00905F2F" w:rsidP="003C2A84">
            <w:pPr>
              <w:pStyle w:val="ListParagraph"/>
              <w:spacing w:after="0" w:line="360" w:lineRule="auto"/>
              <w:ind w:left="268"/>
              <w:jc w:val="both"/>
              <w:rPr>
                <w:rFonts w:ascii="Arial" w:hAnsi="Arial" w:cs="Arial"/>
                <w:sz w:val="20"/>
                <w:szCs w:val="20"/>
              </w:rPr>
            </w:pPr>
          </w:p>
        </w:tc>
      </w:tr>
      <w:tr w:rsidR="00905F2F" w:rsidRPr="00B516F8" w14:paraId="0F988813" w14:textId="77777777" w:rsidTr="00337306">
        <w:tc>
          <w:tcPr>
            <w:tcW w:w="3762" w:type="dxa"/>
          </w:tcPr>
          <w:p w14:paraId="66C29AB0"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 xml:space="preserve">Multiple </w:t>
            </w:r>
            <w:proofErr w:type="spellStart"/>
            <w:r w:rsidRPr="00B516F8">
              <w:rPr>
                <w:rFonts w:ascii="Arial" w:hAnsi="Arial" w:cs="Arial"/>
                <w:sz w:val="20"/>
                <w:szCs w:val="20"/>
              </w:rPr>
              <w:t>Sklerosis</w:t>
            </w:r>
            <w:proofErr w:type="spellEnd"/>
          </w:p>
        </w:tc>
        <w:tc>
          <w:tcPr>
            <w:tcW w:w="3779" w:type="dxa"/>
          </w:tcPr>
          <w:p w14:paraId="5F16D284"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Visual dysfunction</w:t>
            </w:r>
          </w:p>
          <w:p w14:paraId="09970D97"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Cranial nerve impairment (e.g., visual and bulbar symptoms)</w:t>
            </w:r>
          </w:p>
          <w:p w14:paraId="69FC5011" w14:textId="38124953"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Fatigue</w:t>
            </w:r>
          </w:p>
        </w:tc>
      </w:tr>
      <w:tr w:rsidR="00905F2F" w:rsidRPr="00B516F8" w14:paraId="507E2A8B" w14:textId="77777777" w:rsidTr="00337306">
        <w:tc>
          <w:tcPr>
            <w:tcW w:w="3762" w:type="dxa"/>
          </w:tcPr>
          <w:p w14:paraId="69A909F5" w14:textId="77777777" w:rsidR="00905F2F" w:rsidRPr="00B516F8" w:rsidRDefault="00905F2F"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Peripheral nerve entrapments (ulnar neuropathy, carpal tunnel syndrome)</w:t>
            </w:r>
          </w:p>
        </w:tc>
        <w:tc>
          <w:tcPr>
            <w:tcW w:w="3779" w:type="dxa"/>
          </w:tcPr>
          <w:p w14:paraId="5C6C7425"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Minimal central symptoms</w:t>
            </w:r>
          </w:p>
          <w:p w14:paraId="14EFD9AB" w14:textId="1FE62D81" w:rsidR="00905F2F" w:rsidRPr="00B516F8" w:rsidRDefault="00905F2F" w:rsidP="003C2A84">
            <w:pPr>
              <w:pStyle w:val="ListParagraph"/>
              <w:spacing w:after="0" w:line="360" w:lineRule="auto"/>
              <w:ind w:left="247"/>
              <w:jc w:val="both"/>
              <w:rPr>
                <w:rFonts w:ascii="Arial" w:hAnsi="Arial" w:cs="Arial"/>
                <w:sz w:val="20"/>
                <w:szCs w:val="20"/>
              </w:rPr>
            </w:pPr>
          </w:p>
        </w:tc>
      </w:tr>
      <w:tr w:rsidR="00905F2F" w:rsidRPr="00B516F8" w14:paraId="5358B24A" w14:textId="77777777" w:rsidTr="00337306">
        <w:tc>
          <w:tcPr>
            <w:tcW w:w="3762" w:type="dxa"/>
          </w:tcPr>
          <w:p w14:paraId="133303E5" w14:textId="77777777" w:rsidR="00905F2F" w:rsidRPr="00B516F8" w:rsidRDefault="00905F2F"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Patologi</w:t>
            </w:r>
            <w:proofErr w:type="spellEnd"/>
            <w:r w:rsidRPr="00B516F8">
              <w:rPr>
                <w:rFonts w:ascii="Arial" w:hAnsi="Arial" w:cs="Arial"/>
                <w:sz w:val="20"/>
                <w:szCs w:val="20"/>
              </w:rPr>
              <w:t xml:space="preserve"> </w:t>
            </w:r>
            <w:proofErr w:type="spellStart"/>
            <w:r w:rsidRPr="00B516F8">
              <w:rPr>
                <w:rFonts w:ascii="Arial" w:hAnsi="Arial" w:cs="Arial"/>
                <w:sz w:val="20"/>
                <w:szCs w:val="20"/>
              </w:rPr>
              <w:t>intrakranial</w:t>
            </w:r>
            <w:proofErr w:type="spellEnd"/>
          </w:p>
        </w:tc>
        <w:tc>
          <w:tcPr>
            <w:tcW w:w="3779" w:type="dxa"/>
          </w:tcPr>
          <w:p w14:paraId="34C272BB"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Cranial nerve symptoms</w:t>
            </w:r>
          </w:p>
          <w:p w14:paraId="22B84162"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Headache, vomiting</w:t>
            </w:r>
          </w:p>
          <w:p w14:paraId="11B11117"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Altered consciousness</w:t>
            </w:r>
          </w:p>
          <w:p w14:paraId="7D9EE233" w14:textId="36C0F1B4" w:rsidR="00905F2F" w:rsidRPr="00B516F8" w:rsidRDefault="00905F2F" w:rsidP="003C2A84">
            <w:pPr>
              <w:pStyle w:val="ListParagraph"/>
              <w:spacing w:after="0" w:line="360" w:lineRule="auto"/>
              <w:ind w:left="247"/>
              <w:jc w:val="both"/>
              <w:rPr>
                <w:rFonts w:ascii="Arial" w:hAnsi="Arial" w:cs="Arial"/>
                <w:sz w:val="20"/>
                <w:szCs w:val="20"/>
              </w:rPr>
            </w:pPr>
          </w:p>
        </w:tc>
      </w:tr>
      <w:tr w:rsidR="00905F2F" w:rsidRPr="00B516F8" w14:paraId="7E8E41C5" w14:textId="77777777" w:rsidTr="00337306">
        <w:tc>
          <w:tcPr>
            <w:tcW w:w="3762" w:type="dxa"/>
          </w:tcPr>
          <w:p w14:paraId="0CBCB327" w14:textId="77777777" w:rsidR="00905F2F" w:rsidRPr="00B516F8" w:rsidRDefault="00905F2F"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Defisiensi</w:t>
            </w:r>
            <w:proofErr w:type="spellEnd"/>
            <w:r w:rsidRPr="00B516F8">
              <w:rPr>
                <w:rFonts w:ascii="Arial" w:hAnsi="Arial" w:cs="Arial"/>
                <w:sz w:val="20"/>
                <w:szCs w:val="20"/>
              </w:rPr>
              <w:t xml:space="preserve"> Vitamin D</w:t>
            </w:r>
          </w:p>
        </w:tc>
        <w:tc>
          <w:tcPr>
            <w:tcW w:w="3779" w:type="dxa"/>
          </w:tcPr>
          <w:p w14:paraId="41A377D3"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Fatigue</w:t>
            </w:r>
          </w:p>
          <w:p w14:paraId="3738A9FA"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Cognitive dysfunction</w:t>
            </w:r>
          </w:p>
          <w:p w14:paraId="13DDAADF" w14:textId="77777777"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Glossitis</w:t>
            </w:r>
          </w:p>
          <w:p w14:paraId="65015106" w14:textId="70E46185" w:rsidR="00905F2F" w:rsidRPr="00B516F8" w:rsidRDefault="00905F2F" w:rsidP="003C2A84">
            <w:pPr>
              <w:spacing w:line="360" w:lineRule="auto"/>
              <w:jc w:val="both"/>
              <w:rPr>
                <w:rFonts w:ascii="Arial" w:hAnsi="Arial" w:cs="Arial"/>
                <w:sz w:val="20"/>
                <w:szCs w:val="20"/>
              </w:rPr>
            </w:pPr>
            <w:r w:rsidRPr="00B516F8">
              <w:rPr>
                <w:rFonts w:ascii="Arial" w:hAnsi="Arial" w:cs="Arial"/>
                <w:sz w:val="20"/>
                <w:szCs w:val="20"/>
              </w:rPr>
              <w:t>Visual disturbances</w:t>
            </w:r>
          </w:p>
        </w:tc>
      </w:tr>
    </w:tbl>
    <w:p w14:paraId="5541A881" w14:textId="77777777" w:rsidR="00432735" w:rsidRPr="00B516F8" w:rsidRDefault="00432735" w:rsidP="003C2A84">
      <w:pPr>
        <w:spacing w:line="360" w:lineRule="auto"/>
        <w:jc w:val="both"/>
        <w:rPr>
          <w:b/>
          <w:bCs/>
          <w:sz w:val="24"/>
          <w:szCs w:val="24"/>
        </w:rPr>
      </w:pPr>
    </w:p>
    <w:p w14:paraId="6E09A0BF" w14:textId="77777777" w:rsidR="00BE790F" w:rsidRPr="00B516F8" w:rsidRDefault="00BE790F" w:rsidP="003C2A84">
      <w:pPr>
        <w:spacing w:line="360" w:lineRule="auto"/>
        <w:jc w:val="center"/>
        <w:rPr>
          <w:sz w:val="24"/>
          <w:szCs w:val="24"/>
        </w:rPr>
      </w:pPr>
    </w:p>
    <w:p w14:paraId="08C2D7DD" w14:textId="041483DB" w:rsidR="007A0869"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MANAGEMENT</w:t>
      </w:r>
    </w:p>
    <w:p w14:paraId="38BDB554" w14:textId="77777777" w:rsidR="00F34AC0" w:rsidRPr="00B516F8" w:rsidRDefault="00F34AC0" w:rsidP="003C2A84">
      <w:pPr>
        <w:spacing w:line="360" w:lineRule="auto"/>
        <w:ind w:firstLine="360"/>
        <w:jc w:val="both"/>
        <w:rPr>
          <w:sz w:val="20"/>
          <w:szCs w:val="20"/>
        </w:rPr>
      </w:pPr>
      <w:r w:rsidRPr="00B516F8">
        <w:rPr>
          <w:sz w:val="20"/>
          <w:szCs w:val="20"/>
        </w:rPr>
        <w:t xml:space="preserve">The management of Cervical </w:t>
      </w:r>
      <w:proofErr w:type="spellStart"/>
      <w:r w:rsidRPr="00B516F8">
        <w:rPr>
          <w:sz w:val="20"/>
          <w:szCs w:val="20"/>
        </w:rPr>
        <w:t>Spondylotic</w:t>
      </w:r>
      <w:proofErr w:type="spellEnd"/>
      <w:r w:rsidRPr="00B516F8">
        <w:rPr>
          <w:sz w:val="20"/>
          <w:szCs w:val="20"/>
        </w:rPr>
        <w:t xml:space="preserve"> Myelopathy (CSM) can be divided into two types: non-surgical management and surgical management.</w:t>
      </w:r>
    </w:p>
    <w:p w14:paraId="0AD9B9AE" w14:textId="77777777" w:rsidR="002D7BFF" w:rsidRPr="00B516F8" w:rsidRDefault="002D7BFF" w:rsidP="003C2A84">
      <w:pPr>
        <w:spacing w:line="360" w:lineRule="auto"/>
        <w:ind w:firstLine="360"/>
        <w:jc w:val="both"/>
        <w:rPr>
          <w:sz w:val="20"/>
          <w:szCs w:val="20"/>
        </w:rPr>
      </w:pPr>
    </w:p>
    <w:p w14:paraId="60E21BA0" w14:textId="3C2FA022" w:rsidR="00F34AC0" w:rsidRPr="00B516F8" w:rsidRDefault="00F34AC0" w:rsidP="003C2A84">
      <w:pPr>
        <w:pStyle w:val="ListParagraph"/>
        <w:numPr>
          <w:ilvl w:val="0"/>
          <w:numId w:val="15"/>
        </w:numPr>
        <w:spacing w:line="360" w:lineRule="auto"/>
        <w:jc w:val="both"/>
        <w:rPr>
          <w:rFonts w:ascii="Arial" w:hAnsi="Arial" w:cs="Arial"/>
          <w:sz w:val="20"/>
          <w:szCs w:val="20"/>
        </w:rPr>
      </w:pPr>
      <w:r w:rsidRPr="00B516F8">
        <w:rPr>
          <w:rFonts w:ascii="Arial" w:hAnsi="Arial" w:cs="Arial"/>
          <w:sz w:val="20"/>
          <w:szCs w:val="20"/>
        </w:rPr>
        <w:t>Non-Surgical Management</w:t>
      </w:r>
      <w:r w:rsidR="00D15806" w:rsidRPr="00B516F8">
        <w:rPr>
          <w:rFonts w:ascii="Arial" w:hAnsi="Arial" w:cs="Arial"/>
          <w:sz w:val="20"/>
          <w:szCs w:val="20"/>
          <w:vertAlign w:val="superscript"/>
        </w:rPr>
        <w:t>7,9</w:t>
      </w:r>
      <w:r w:rsidR="00CF4201" w:rsidRPr="00B516F8">
        <w:rPr>
          <w:rFonts w:ascii="Arial" w:hAnsi="Arial" w:cs="Arial"/>
          <w:sz w:val="20"/>
          <w:szCs w:val="20"/>
        </w:rPr>
        <w:t>.</w:t>
      </w:r>
    </w:p>
    <w:p w14:paraId="5D4AA73C" w14:textId="77777777" w:rsidR="00F34AC0" w:rsidRPr="00B516F8" w:rsidRDefault="00F34AC0" w:rsidP="003C2A84">
      <w:pPr>
        <w:spacing w:line="360" w:lineRule="auto"/>
        <w:ind w:firstLine="360"/>
        <w:jc w:val="both"/>
        <w:rPr>
          <w:sz w:val="20"/>
          <w:szCs w:val="20"/>
        </w:rPr>
      </w:pPr>
      <w:r w:rsidRPr="00B516F8">
        <w:rPr>
          <w:sz w:val="20"/>
          <w:szCs w:val="20"/>
        </w:rPr>
        <w:t xml:space="preserve">The primary goal of non-surgical management in Cervical </w:t>
      </w:r>
      <w:proofErr w:type="spellStart"/>
      <w:r w:rsidRPr="00B516F8">
        <w:rPr>
          <w:sz w:val="20"/>
          <w:szCs w:val="20"/>
        </w:rPr>
        <w:t>Spondylotic</w:t>
      </w:r>
      <w:proofErr w:type="spellEnd"/>
      <w:r w:rsidRPr="00B516F8">
        <w:rPr>
          <w:sz w:val="20"/>
          <w:szCs w:val="20"/>
        </w:rPr>
        <w:t xml:space="preserve"> Myelopathy (CSM) is to quickly relieve pain, minimize the decline in quality of life and work performance, and restore functional mobility. The initial approach should focus on pain management and improving motor function for the patient. The examples of non-surgical management that can be used are medication, physiotherapy and injections. </w:t>
      </w:r>
    </w:p>
    <w:p w14:paraId="13FE8809" w14:textId="77777777" w:rsidR="00F34AC0" w:rsidRPr="00B516F8" w:rsidRDefault="00F34AC0" w:rsidP="003C2A84">
      <w:pPr>
        <w:spacing w:line="360" w:lineRule="auto"/>
        <w:ind w:left="360"/>
        <w:jc w:val="both"/>
        <w:rPr>
          <w:sz w:val="20"/>
          <w:szCs w:val="20"/>
        </w:rPr>
      </w:pPr>
    </w:p>
    <w:p w14:paraId="26B56F94" w14:textId="77777777" w:rsidR="00F34AC0" w:rsidRPr="00B516F8" w:rsidRDefault="00F34AC0" w:rsidP="003C2A84">
      <w:pPr>
        <w:pStyle w:val="ListParagraph"/>
        <w:numPr>
          <w:ilvl w:val="0"/>
          <w:numId w:val="15"/>
        </w:numPr>
        <w:spacing w:line="360" w:lineRule="auto"/>
        <w:jc w:val="both"/>
        <w:rPr>
          <w:rFonts w:ascii="Arial" w:hAnsi="Arial" w:cs="Arial"/>
          <w:sz w:val="20"/>
          <w:szCs w:val="20"/>
        </w:rPr>
      </w:pPr>
      <w:r w:rsidRPr="00B516F8">
        <w:rPr>
          <w:rFonts w:ascii="Arial" w:hAnsi="Arial" w:cs="Arial"/>
          <w:sz w:val="20"/>
          <w:szCs w:val="20"/>
        </w:rPr>
        <w:t xml:space="preserve">Surgical Management </w:t>
      </w:r>
    </w:p>
    <w:p w14:paraId="19863DFC" w14:textId="77777777" w:rsidR="00F34AC0" w:rsidRPr="00B516F8" w:rsidRDefault="00F34AC0" w:rsidP="003C2A84">
      <w:pPr>
        <w:spacing w:line="360" w:lineRule="auto"/>
        <w:ind w:firstLine="360"/>
        <w:jc w:val="both"/>
        <w:rPr>
          <w:sz w:val="20"/>
          <w:szCs w:val="20"/>
        </w:rPr>
      </w:pPr>
      <w:bookmarkStart w:id="6" w:name="_Hlk193141068"/>
      <w:r w:rsidRPr="00B516F8">
        <w:rPr>
          <w:sz w:val="20"/>
          <w:szCs w:val="20"/>
        </w:rPr>
        <w:t xml:space="preserve">Theoretically, surgical intervention is the primary treatment option for Cervical </w:t>
      </w:r>
      <w:proofErr w:type="spellStart"/>
      <w:r w:rsidRPr="00B516F8">
        <w:rPr>
          <w:sz w:val="20"/>
          <w:szCs w:val="20"/>
        </w:rPr>
        <w:t>Spondylotic</w:t>
      </w:r>
      <w:proofErr w:type="spellEnd"/>
      <w:r w:rsidRPr="00B516F8">
        <w:rPr>
          <w:sz w:val="20"/>
          <w:szCs w:val="20"/>
        </w:rPr>
        <w:t xml:space="preserve"> Myelopathy (CSM) that does not improve with conservative management, especially in moderate and severe stages. A study by Zhang et al. reported that decompression surgery can significantly reduce symptoms in severe CSM cases. The main goals of surgery are to slow symptom progression and restore normal function. The surgical management options for Cervical </w:t>
      </w:r>
      <w:proofErr w:type="spellStart"/>
      <w:r w:rsidRPr="00B516F8">
        <w:rPr>
          <w:sz w:val="20"/>
          <w:szCs w:val="20"/>
        </w:rPr>
        <w:t>Spondylotic</w:t>
      </w:r>
      <w:proofErr w:type="spellEnd"/>
      <w:r w:rsidRPr="00B516F8">
        <w:rPr>
          <w:sz w:val="20"/>
          <w:szCs w:val="20"/>
        </w:rPr>
        <w:t xml:space="preserve"> Myelopathy (CSM) can be categorized based on different surgical approaches, depending on the location of the pathology to maximize decompression effectiveness. </w:t>
      </w:r>
    </w:p>
    <w:bookmarkEnd w:id="6"/>
    <w:p w14:paraId="5DC9E343" w14:textId="77777777" w:rsidR="002D7BFF" w:rsidRPr="00B516F8" w:rsidRDefault="002D7BFF" w:rsidP="003C2A84">
      <w:pPr>
        <w:spacing w:line="360" w:lineRule="auto"/>
        <w:ind w:firstLine="360"/>
        <w:jc w:val="both"/>
        <w:rPr>
          <w:sz w:val="20"/>
          <w:szCs w:val="20"/>
        </w:rPr>
      </w:pPr>
    </w:p>
    <w:p w14:paraId="4E04AF62" w14:textId="77777777" w:rsidR="00F34AC0" w:rsidRPr="00B516F8" w:rsidRDefault="00F34AC0" w:rsidP="003C2A84">
      <w:pPr>
        <w:spacing w:line="360" w:lineRule="auto"/>
        <w:ind w:left="360"/>
        <w:jc w:val="both"/>
        <w:rPr>
          <w:sz w:val="20"/>
          <w:szCs w:val="20"/>
        </w:rPr>
      </w:pPr>
      <w:r w:rsidRPr="00B516F8">
        <w:rPr>
          <w:noProof/>
          <w:sz w:val="20"/>
          <w:szCs w:val="20"/>
        </w:rPr>
        <w:drawing>
          <wp:inline distT="0" distB="0" distL="0" distR="0" wp14:anchorId="52DBD24E" wp14:editId="144980C0">
            <wp:extent cx="5486400" cy="1624818"/>
            <wp:effectExtent l="0" t="0" r="0" b="33020"/>
            <wp:docPr id="10597327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C91D57" w14:textId="37E4F735" w:rsidR="00F34AC0" w:rsidRPr="00B516F8" w:rsidRDefault="00C02A25" w:rsidP="003C2A84">
      <w:pPr>
        <w:spacing w:line="360" w:lineRule="auto"/>
        <w:ind w:left="360"/>
        <w:jc w:val="center"/>
        <w:rPr>
          <w:sz w:val="20"/>
          <w:szCs w:val="20"/>
          <w:vertAlign w:val="superscript"/>
        </w:rPr>
      </w:pPr>
      <w:r w:rsidRPr="00B516F8">
        <w:rPr>
          <w:sz w:val="20"/>
          <w:szCs w:val="20"/>
        </w:rPr>
        <w:t xml:space="preserve">Figure </w:t>
      </w:r>
      <w:r w:rsidR="00BE790F" w:rsidRPr="00B516F8">
        <w:rPr>
          <w:sz w:val="20"/>
          <w:szCs w:val="20"/>
        </w:rPr>
        <w:t>5</w:t>
      </w:r>
      <w:r w:rsidR="00F34AC0" w:rsidRPr="00B516F8">
        <w:rPr>
          <w:sz w:val="20"/>
          <w:szCs w:val="20"/>
        </w:rPr>
        <w:t>. CSM Surgical Approach</w:t>
      </w:r>
      <w:r w:rsidR="00F34AC0" w:rsidRPr="00B516F8">
        <w:rPr>
          <w:sz w:val="20"/>
          <w:szCs w:val="20"/>
          <w:vertAlign w:val="superscript"/>
        </w:rPr>
        <w:t>1</w:t>
      </w:r>
      <w:r w:rsidR="002D7BFF" w:rsidRPr="00B516F8">
        <w:rPr>
          <w:sz w:val="20"/>
          <w:szCs w:val="20"/>
          <w:vertAlign w:val="superscript"/>
        </w:rPr>
        <w:t>6</w:t>
      </w:r>
      <w:r w:rsidR="00CF4201" w:rsidRPr="00B516F8">
        <w:rPr>
          <w:sz w:val="20"/>
          <w:szCs w:val="20"/>
        </w:rPr>
        <w:t>.</w:t>
      </w:r>
    </w:p>
    <w:p w14:paraId="52776B2B" w14:textId="77777777" w:rsidR="00F34AC0" w:rsidRPr="00B516F8" w:rsidRDefault="00F34AC0" w:rsidP="003C2A84">
      <w:pPr>
        <w:spacing w:line="360" w:lineRule="auto"/>
        <w:ind w:left="360"/>
        <w:jc w:val="center"/>
        <w:rPr>
          <w:sz w:val="20"/>
          <w:szCs w:val="20"/>
          <w:vertAlign w:val="superscript"/>
        </w:rPr>
      </w:pPr>
    </w:p>
    <w:p w14:paraId="4A574549"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Anterior</w:t>
      </w:r>
    </w:p>
    <w:p w14:paraId="1109D43E" w14:textId="01B1C34F" w:rsidR="00F34AC0" w:rsidRPr="00B516F8" w:rsidRDefault="00F34AC0" w:rsidP="003C2A84">
      <w:pPr>
        <w:spacing w:line="360" w:lineRule="auto"/>
        <w:jc w:val="both"/>
        <w:rPr>
          <w:sz w:val="20"/>
          <w:szCs w:val="20"/>
        </w:rPr>
      </w:pPr>
      <w:r w:rsidRPr="00B516F8">
        <w:rPr>
          <w:sz w:val="20"/>
          <w:szCs w:val="20"/>
        </w:rPr>
        <w:t xml:space="preserve">Surgical management with an anterior approach in the form of Anterior Cervical Discectomy and Fusion (ACDF) is the most common procedure performed for the treatment of CSM. Complications that can arise </w:t>
      </w:r>
      <w:r w:rsidRPr="00B516F8">
        <w:rPr>
          <w:sz w:val="20"/>
          <w:szCs w:val="20"/>
        </w:rPr>
        <w:lastRenderedPageBreak/>
        <w:t>from the anterior approach are neurological and vascular injuries, esophageal injuries, respiratory disorders, graft dislocation, cerebrospinal fluid (CSF) leaks, and infections</w:t>
      </w:r>
      <w:r w:rsidRPr="00B516F8">
        <w:rPr>
          <w:sz w:val="20"/>
          <w:szCs w:val="20"/>
          <w:vertAlign w:val="superscript"/>
        </w:rPr>
        <w:t>1</w:t>
      </w:r>
      <w:r w:rsidR="002D7BFF" w:rsidRPr="00B516F8">
        <w:rPr>
          <w:sz w:val="20"/>
          <w:szCs w:val="20"/>
          <w:vertAlign w:val="superscript"/>
        </w:rPr>
        <w:t>7</w:t>
      </w:r>
      <w:r w:rsidR="002D7BFF" w:rsidRPr="00B516F8">
        <w:rPr>
          <w:sz w:val="20"/>
          <w:szCs w:val="20"/>
        </w:rPr>
        <w:t>.</w:t>
      </w:r>
    </w:p>
    <w:p w14:paraId="41201661" w14:textId="1ABDD4F6" w:rsidR="00F34AC0" w:rsidRPr="00B516F8" w:rsidRDefault="00F34AC0" w:rsidP="003C2A84">
      <w:pPr>
        <w:spacing w:line="360" w:lineRule="auto"/>
        <w:jc w:val="both"/>
        <w:rPr>
          <w:sz w:val="20"/>
          <w:szCs w:val="20"/>
        </w:rPr>
      </w:pPr>
      <w:r w:rsidRPr="00B516F8">
        <w:rPr>
          <w:sz w:val="20"/>
          <w:szCs w:val="20"/>
        </w:rPr>
        <w:t>Anterior Cervical Corpectomy fusion (ACCF) can be indicated in cases of confluent stenosis of several segments due to stenosis that continues from the disc space to the back of the vertebral corpus. In addition to decompression of the nerve structure, this surgical therapy can be performed to achieve sagittal stabilization and cervical lordosis</w:t>
      </w:r>
      <w:r w:rsidRPr="00B516F8">
        <w:rPr>
          <w:sz w:val="20"/>
          <w:szCs w:val="20"/>
          <w:vertAlign w:val="superscript"/>
        </w:rPr>
        <w:t>14</w:t>
      </w:r>
      <w:r w:rsidR="00CF4201" w:rsidRPr="00B516F8">
        <w:rPr>
          <w:sz w:val="20"/>
          <w:szCs w:val="20"/>
        </w:rPr>
        <w:t>.</w:t>
      </w:r>
    </w:p>
    <w:p w14:paraId="07076880" w14:textId="435C461D" w:rsidR="00F34AC0" w:rsidRPr="00B516F8" w:rsidRDefault="00F34AC0" w:rsidP="003C2A84">
      <w:pPr>
        <w:tabs>
          <w:tab w:val="left" w:pos="1670"/>
        </w:tabs>
        <w:spacing w:line="360" w:lineRule="auto"/>
        <w:jc w:val="both"/>
        <w:rPr>
          <w:sz w:val="20"/>
          <w:szCs w:val="20"/>
        </w:rPr>
      </w:pPr>
    </w:p>
    <w:p w14:paraId="4240A122"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Posterior</w:t>
      </w:r>
    </w:p>
    <w:p w14:paraId="44727CC1" w14:textId="3ED00161" w:rsidR="00F34AC0" w:rsidRPr="00B516F8" w:rsidRDefault="00F34AC0" w:rsidP="003C2A84">
      <w:pPr>
        <w:spacing w:line="360" w:lineRule="auto"/>
        <w:jc w:val="both"/>
        <w:rPr>
          <w:sz w:val="20"/>
          <w:szCs w:val="20"/>
        </w:rPr>
      </w:pPr>
      <w:r w:rsidRPr="00B516F8">
        <w:rPr>
          <w:sz w:val="20"/>
          <w:szCs w:val="20"/>
        </w:rPr>
        <w:t>Surgical management with a posterior approach can be performed on patients with dominant compression of the dorsal spinal cord. There are two different procedures that can be performed, including laminectomy and lateral mass fusion or open-door laminoplasty. Neurologically, the results achieved are almost the same for both procedures, but laminectomy and fusion usually result in less neck pain than open-door laminoplasty</w:t>
      </w:r>
      <w:r w:rsidR="00D15806" w:rsidRPr="00B516F8">
        <w:rPr>
          <w:sz w:val="20"/>
          <w:szCs w:val="20"/>
          <w:vertAlign w:val="superscript"/>
        </w:rPr>
        <w:t>7,14</w:t>
      </w:r>
      <w:r w:rsidR="00CF4201" w:rsidRPr="00B516F8">
        <w:rPr>
          <w:sz w:val="20"/>
          <w:szCs w:val="20"/>
        </w:rPr>
        <w:t>.</w:t>
      </w:r>
    </w:p>
    <w:p w14:paraId="7728C510" w14:textId="77777777" w:rsidR="00F34AC0" w:rsidRPr="00B516F8" w:rsidRDefault="00F34AC0" w:rsidP="003C2A84">
      <w:pPr>
        <w:spacing w:line="360" w:lineRule="auto"/>
        <w:rPr>
          <w:sz w:val="20"/>
          <w:szCs w:val="20"/>
        </w:rPr>
      </w:pPr>
    </w:p>
    <w:p w14:paraId="4FAC8AF4" w14:textId="2350925D" w:rsidR="00BE790F" w:rsidRPr="00B516F8" w:rsidRDefault="00BE790F"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Anterior vs Posterior Approach</w:t>
      </w:r>
    </w:p>
    <w:p w14:paraId="6C1DD620" w14:textId="6170F750" w:rsidR="00BE790F" w:rsidRPr="00B516F8" w:rsidRDefault="00BE790F" w:rsidP="003C2A84">
      <w:pPr>
        <w:spacing w:after="160" w:line="360" w:lineRule="auto"/>
        <w:jc w:val="both"/>
        <w:rPr>
          <w:sz w:val="20"/>
          <w:szCs w:val="20"/>
          <w:lang w:val="en-ID"/>
        </w:rPr>
      </w:pPr>
      <w:bookmarkStart w:id="7" w:name="_Hlk193141117"/>
      <w:r w:rsidRPr="00B516F8">
        <w:rPr>
          <w:sz w:val="20"/>
          <w:szCs w:val="20"/>
          <w:lang w:val="en-ID"/>
        </w:rPr>
        <w:t xml:space="preserve">The optimal surgical approach for managing CSM remains debated. A thorough understanding of the indications for each procedure significantly influences patient </w:t>
      </w:r>
      <w:proofErr w:type="spellStart"/>
      <w:proofErr w:type="gramStart"/>
      <w:r w:rsidRPr="00B516F8">
        <w:rPr>
          <w:sz w:val="20"/>
          <w:szCs w:val="20"/>
          <w:lang w:val="en-ID"/>
        </w:rPr>
        <w:t>outcomes.The</w:t>
      </w:r>
      <w:proofErr w:type="spellEnd"/>
      <w:proofErr w:type="gramEnd"/>
      <w:r w:rsidRPr="00B516F8">
        <w:rPr>
          <w:sz w:val="20"/>
          <w:szCs w:val="20"/>
          <w:lang w:val="en-ID"/>
        </w:rPr>
        <w:t xml:space="preserve"> advantage of the anterior approach is direct cervical decompression, allowing better visualization of pathological discs without disturbing the spinal cord. The incision can be made at the front of the neck, and structures such as neck muscles, the trachea, and the </w:t>
      </w:r>
      <w:proofErr w:type="spellStart"/>
      <w:r w:rsidRPr="00B516F8">
        <w:rPr>
          <w:sz w:val="20"/>
          <w:szCs w:val="20"/>
          <w:lang w:val="en-ID"/>
        </w:rPr>
        <w:t>esophagus</w:t>
      </w:r>
      <w:proofErr w:type="spellEnd"/>
      <w:r w:rsidRPr="00B516F8">
        <w:rPr>
          <w:sz w:val="20"/>
          <w:szCs w:val="20"/>
          <w:lang w:val="en-ID"/>
        </w:rPr>
        <w:t xml:space="preserve"> can be retracted for better visualization of the cervical spine. Additionally, stabilization with arthrodesis can significantly reduce </w:t>
      </w:r>
      <w:proofErr w:type="spellStart"/>
      <w:proofErr w:type="gramStart"/>
      <w:r w:rsidRPr="00B516F8">
        <w:rPr>
          <w:sz w:val="20"/>
          <w:szCs w:val="20"/>
          <w:lang w:val="en-ID"/>
        </w:rPr>
        <w:t>pain.If</w:t>
      </w:r>
      <w:proofErr w:type="spellEnd"/>
      <w:proofErr w:type="gramEnd"/>
      <w:r w:rsidRPr="00B516F8">
        <w:rPr>
          <w:sz w:val="20"/>
          <w:szCs w:val="20"/>
          <w:lang w:val="en-ID"/>
        </w:rPr>
        <w:t xml:space="preserve"> the compression is located anteriorly and involves only 1–2 cervical levels, the anterior surgical approach is preferred. However, if more than two cervical levels are affected, the risk of complications from the anterior approach increases, making the posterior approach a better recommendation</w:t>
      </w:r>
      <w:r w:rsidR="004E2098" w:rsidRPr="00B516F8">
        <w:rPr>
          <w:sz w:val="20"/>
          <w:szCs w:val="20"/>
          <w:vertAlign w:val="superscript"/>
          <w:lang w:val="en-ID"/>
        </w:rPr>
        <w:t>24</w:t>
      </w:r>
      <w:r w:rsidRPr="00B516F8">
        <w:rPr>
          <w:sz w:val="20"/>
          <w:szCs w:val="20"/>
          <w:lang w:val="en-ID"/>
        </w:rPr>
        <w:t>.</w:t>
      </w:r>
      <w:r w:rsidR="004E2098" w:rsidRPr="00B516F8">
        <w:rPr>
          <w:sz w:val="20"/>
          <w:szCs w:val="20"/>
          <w:lang w:val="en-ID"/>
        </w:rPr>
        <w:t xml:space="preserve"> </w:t>
      </w:r>
      <w:r w:rsidRPr="00B516F8">
        <w:rPr>
          <w:sz w:val="20"/>
          <w:szCs w:val="20"/>
          <w:lang w:val="en-ID"/>
        </w:rPr>
        <w:t>Several complications are associated with the anterior approach, including graft dislocation, pseudoarthrosis, prolonged post-operative brace use, and loss of range of motion (ROM). Conversely, the posterior approach offers the advantage of achieving broader decompression in pathological lesions</w:t>
      </w:r>
      <w:r w:rsidR="004E2098" w:rsidRPr="00B516F8">
        <w:rPr>
          <w:sz w:val="20"/>
          <w:szCs w:val="20"/>
          <w:vertAlign w:val="superscript"/>
          <w:lang w:val="en-ID"/>
        </w:rPr>
        <w:t>25</w:t>
      </w:r>
      <w:r w:rsidRPr="00B516F8">
        <w:rPr>
          <w:sz w:val="20"/>
          <w:szCs w:val="20"/>
          <w:lang w:val="en-ID"/>
        </w:rPr>
        <w:t xml:space="preserve">. A study by Shamji et al., involving 124 CSM patients evaluated using JOA, </w:t>
      </w:r>
      <w:proofErr w:type="spellStart"/>
      <w:r w:rsidRPr="00B516F8">
        <w:rPr>
          <w:sz w:val="20"/>
          <w:szCs w:val="20"/>
          <w:lang w:val="en-ID"/>
        </w:rPr>
        <w:t>Nurick</w:t>
      </w:r>
      <w:proofErr w:type="spellEnd"/>
      <w:r w:rsidRPr="00B516F8">
        <w:rPr>
          <w:sz w:val="20"/>
          <w:szCs w:val="20"/>
          <w:lang w:val="en-ID"/>
        </w:rPr>
        <w:t xml:space="preserve">, and the Neck Disability Index, concluded that there was no significant difference in outcomes between CSM patients with lordosis undergoing anterior surgery and those receiving a posterior approach. Additionally, CSM patients with kyphosis who underwent anterior or combined surgery had more </w:t>
      </w:r>
      <w:proofErr w:type="spellStart"/>
      <w:r w:rsidRPr="00B516F8">
        <w:rPr>
          <w:sz w:val="20"/>
          <w:szCs w:val="20"/>
          <w:lang w:val="en-ID"/>
        </w:rPr>
        <w:t>favorable</w:t>
      </w:r>
      <w:proofErr w:type="spellEnd"/>
      <w:r w:rsidRPr="00B516F8">
        <w:rPr>
          <w:sz w:val="20"/>
          <w:szCs w:val="20"/>
          <w:lang w:val="en-ID"/>
        </w:rPr>
        <w:t xml:space="preserve"> outcomes. Meanwhile, a study by Tang et al., involving 113 CSM patients with multi-level kyphosis who underwent posterior surgery, found a higher risk of disability, which was associated with a Sagittal Vertical Axis (SVA) of 40 mm</w:t>
      </w:r>
      <w:r w:rsidR="004E2098" w:rsidRPr="00B516F8">
        <w:rPr>
          <w:sz w:val="20"/>
          <w:szCs w:val="20"/>
          <w:vertAlign w:val="superscript"/>
          <w:lang w:val="en-ID"/>
        </w:rPr>
        <w:t>26</w:t>
      </w:r>
      <w:r w:rsidR="004E2098" w:rsidRPr="00B516F8">
        <w:rPr>
          <w:sz w:val="20"/>
          <w:szCs w:val="20"/>
          <w:lang w:val="en-ID"/>
        </w:rPr>
        <w:t>.</w:t>
      </w:r>
    </w:p>
    <w:bookmarkEnd w:id="7"/>
    <w:p w14:paraId="5B2B58A4" w14:textId="77777777" w:rsidR="00BE790F" w:rsidRPr="00B516F8" w:rsidRDefault="00BE790F" w:rsidP="003C2A84">
      <w:pPr>
        <w:spacing w:line="360" w:lineRule="auto"/>
        <w:rPr>
          <w:sz w:val="20"/>
          <w:szCs w:val="20"/>
        </w:rPr>
      </w:pPr>
    </w:p>
    <w:p w14:paraId="721CE58E" w14:textId="77777777" w:rsidR="00F34AC0" w:rsidRPr="00B516F8" w:rsidRDefault="00F34AC0"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Combination</w:t>
      </w:r>
    </w:p>
    <w:p w14:paraId="599F6468" w14:textId="230BEF2A" w:rsidR="00F34AC0" w:rsidRPr="00B516F8" w:rsidRDefault="00F34AC0" w:rsidP="003C2A84">
      <w:pPr>
        <w:spacing w:line="360" w:lineRule="auto"/>
        <w:jc w:val="both"/>
        <w:rPr>
          <w:sz w:val="20"/>
          <w:szCs w:val="20"/>
        </w:rPr>
      </w:pPr>
      <w:bookmarkStart w:id="8" w:name="_Hlk193141129"/>
      <w:r w:rsidRPr="00B516F8">
        <w:rPr>
          <w:sz w:val="20"/>
          <w:szCs w:val="20"/>
        </w:rPr>
        <w:lastRenderedPageBreak/>
        <w:t xml:space="preserve">The combination of anterior and posterior approaches is a surgical technique indicated for severe cases of Cervical </w:t>
      </w:r>
      <w:proofErr w:type="spellStart"/>
      <w:r w:rsidRPr="00B516F8">
        <w:rPr>
          <w:sz w:val="20"/>
          <w:szCs w:val="20"/>
        </w:rPr>
        <w:t>Spondylotic</w:t>
      </w:r>
      <w:proofErr w:type="spellEnd"/>
      <w:r w:rsidRPr="00B516F8">
        <w:rPr>
          <w:sz w:val="20"/>
          <w:szCs w:val="20"/>
        </w:rPr>
        <w:t xml:space="preserve"> Myelopathy (CSM), characterized by sagittal kyphosis and multi-level stenosis. Theoretically, posterior arthrodesis and instrumentation can be utilized to strengthen the anterior anatomy in patients with unstable conditions, such as two- or three-level corpectomy, often associated with laminectomy or poor bone quality</w:t>
      </w:r>
      <w:r w:rsidR="00D15806" w:rsidRPr="00B516F8">
        <w:rPr>
          <w:sz w:val="20"/>
          <w:szCs w:val="20"/>
          <w:vertAlign w:val="superscript"/>
        </w:rPr>
        <w:t>7</w:t>
      </w:r>
      <w:bookmarkEnd w:id="8"/>
      <w:r w:rsidR="00D15806" w:rsidRPr="00B516F8">
        <w:rPr>
          <w:sz w:val="20"/>
          <w:szCs w:val="20"/>
          <w:vertAlign w:val="superscript"/>
        </w:rPr>
        <w:t>,1</w:t>
      </w:r>
      <w:r w:rsidR="002D7BFF" w:rsidRPr="00B516F8">
        <w:rPr>
          <w:sz w:val="20"/>
          <w:szCs w:val="20"/>
          <w:vertAlign w:val="superscript"/>
        </w:rPr>
        <w:t>8</w:t>
      </w:r>
      <w:r w:rsidR="00CF4201" w:rsidRPr="00B516F8">
        <w:rPr>
          <w:sz w:val="20"/>
          <w:szCs w:val="20"/>
        </w:rPr>
        <w:t>.</w:t>
      </w:r>
    </w:p>
    <w:p w14:paraId="46191577" w14:textId="77777777" w:rsidR="003C2A84" w:rsidRPr="00B516F8" w:rsidRDefault="003C2A84" w:rsidP="003C2A84">
      <w:pPr>
        <w:pStyle w:val="ListParagraph"/>
        <w:spacing w:line="360" w:lineRule="auto"/>
        <w:ind w:left="0"/>
        <w:rPr>
          <w:rFonts w:ascii="Arial" w:hAnsi="Arial" w:cs="Arial"/>
          <w:sz w:val="20"/>
          <w:szCs w:val="20"/>
          <w:vertAlign w:val="superscript"/>
        </w:rPr>
      </w:pPr>
    </w:p>
    <w:p w14:paraId="5AFF0651" w14:textId="642F379D" w:rsidR="00AC5F11" w:rsidRPr="00B516F8" w:rsidRDefault="00A85342" w:rsidP="003C2A84">
      <w:pPr>
        <w:spacing w:line="360" w:lineRule="auto"/>
        <w:jc w:val="center"/>
        <w:rPr>
          <w:sz w:val="20"/>
          <w:szCs w:val="20"/>
          <w:lang w:bidi="th-TH"/>
        </w:rPr>
      </w:pPr>
      <w:r>
        <w:rPr>
          <w:sz w:val="20"/>
          <w:szCs w:val="20"/>
        </w:rPr>
        <w:t>table</w:t>
      </w:r>
      <w:r w:rsidR="00AC5F11" w:rsidRPr="00B516F8">
        <w:rPr>
          <w:sz w:val="20"/>
          <w:szCs w:val="20"/>
        </w:rPr>
        <w:t xml:space="preserve"> 5. </w:t>
      </w:r>
      <w:r w:rsidR="00AC5F11" w:rsidRPr="00B516F8">
        <w:rPr>
          <w:sz w:val="20"/>
          <w:szCs w:val="20"/>
          <w:lang w:bidi="th-TH"/>
        </w:rPr>
        <w:t>Several Considerations of Factors That Can Be Evaluated to Determine the Anterior or Posterior Surgical Approach</w:t>
      </w:r>
      <w:r w:rsidR="00AC5F11" w:rsidRPr="00B516F8">
        <w:rPr>
          <w:sz w:val="20"/>
          <w:szCs w:val="20"/>
          <w:vertAlign w:val="superscript"/>
          <w:lang w:bidi="th-TH"/>
        </w:rPr>
        <w:t>19</w:t>
      </w:r>
      <w:r w:rsidR="00AC5F11" w:rsidRPr="00B516F8">
        <w:rPr>
          <w:sz w:val="20"/>
          <w:szCs w:val="20"/>
          <w:lang w:bidi="th-TH"/>
        </w:rPr>
        <w:t>.</w:t>
      </w:r>
    </w:p>
    <w:p w14:paraId="5FE37906" w14:textId="77777777" w:rsidR="00AC5F11" w:rsidRPr="00B516F8" w:rsidRDefault="00AC5F11" w:rsidP="003C2A84">
      <w:pPr>
        <w:spacing w:line="360" w:lineRule="auto"/>
        <w:jc w:val="center"/>
        <w:rPr>
          <w:sz w:val="2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905031" w:rsidRPr="00B516F8" w14:paraId="0C23467C" w14:textId="77777777" w:rsidTr="0012659B">
        <w:tc>
          <w:tcPr>
            <w:tcW w:w="4675" w:type="dxa"/>
            <w:tcBorders>
              <w:bottom w:val="single" w:sz="4" w:space="0" w:color="auto"/>
              <w:right w:val="nil"/>
            </w:tcBorders>
          </w:tcPr>
          <w:p w14:paraId="59000F73" w14:textId="51F8DF4D" w:rsidR="00905031" w:rsidRPr="00B516F8" w:rsidRDefault="00DA36F5"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Consideration of evaluation results</w:t>
            </w:r>
          </w:p>
        </w:tc>
        <w:tc>
          <w:tcPr>
            <w:tcW w:w="4675" w:type="dxa"/>
            <w:tcBorders>
              <w:left w:val="nil"/>
              <w:bottom w:val="single" w:sz="4" w:space="0" w:color="auto"/>
            </w:tcBorders>
          </w:tcPr>
          <w:p w14:paraId="725D9B7F" w14:textId="6FF39154" w:rsidR="00905031" w:rsidRPr="00B516F8" w:rsidRDefault="00DA36F5"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Surgical Approach</w:t>
            </w:r>
          </w:p>
        </w:tc>
      </w:tr>
      <w:tr w:rsidR="00905031" w:rsidRPr="00B516F8" w14:paraId="58ACB54D" w14:textId="77777777" w:rsidTr="0012659B">
        <w:tc>
          <w:tcPr>
            <w:tcW w:w="4675" w:type="dxa"/>
            <w:tcBorders>
              <w:bottom w:val="nil"/>
              <w:right w:val="nil"/>
            </w:tcBorders>
          </w:tcPr>
          <w:p w14:paraId="4053B387" w14:textId="77777777" w:rsidR="00905031" w:rsidRPr="00B516F8" w:rsidRDefault="00905031"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Alignment sagittal</w:t>
            </w:r>
          </w:p>
          <w:p w14:paraId="661B0986" w14:textId="1A5DAFF2"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K</w:t>
            </w:r>
            <w:r w:rsidR="00627263" w:rsidRPr="00B516F8">
              <w:rPr>
                <w:rFonts w:ascii="Arial" w:hAnsi="Arial" w:cs="Arial"/>
                <w:sz w:val="20"/>
                <w:szCs w:val="20"/>
              </w:rPr>
              <w:t>yphosis</w:t>
            </w:r>
          </w:p>
          <w:p w14:paraId="36493E76"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Neutral / lordosis</w:t>
            </w:r>
          </w:p>
        </w:tc>
        <w:tc>
          <w:tcPr>
            <w:tcW w:w="4675" w:type="dxa"/>
            <w:tcBorders>
              <w:left w:val="nil"/>
              <w:bottom w:val="nil"/>
            </w:tcBorders>
          </w:tcPr>
          <w:p w14:paraId="32EDF41C" w14:textId="77777777" w:rsidR="00905031" w:rsidRPr="00B516F8" w:rsidRDefault="00905031" w:rsidP="003C2A84">
            <w:pPr>
              <w:pStyle w:val="ListParagraph"/>
              <w:spacing w:line="360" w:lineRule="auto"/>
              <w:ind w:left="0"/>
              <w:jc w:val="both"/>
              <w:rPr>
                <w:rFonts w:ascii="Arial" w:hAnsi="Arial" w:cs="Arial"/>
                <w:sz w:val="20"/>
                <w:szCs w:val="20"/>
              </w:rPr>
            </w:pPr>
          </w:p>
          <w:p w14:paraId="6DBA9555"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Fixed: Anterior</w:t>
            </w:r>
          </w:p>
          <w:p w14:paraId="29FFE2CE" w14:textId="7F0F6320"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Fle</w:t>
            </w:r>
            <w:r w:rsidR="00627263" w:rsidRPr="00B516F8">
              <w:rPr>
                <w:rFonts w:ascii="Arial" w:hAnsi="Arial" w:cs="Arial"/>
                <w:sz w:val="20"/>
                <w:szCs w:val="20"/>
              </w:rPr>
              <w:t>xible</w:t>
            </w:r>
            <w:r w:rsidRPr="00B516F8">
              <w:rPr>
                <w:rFonts w:ascii="Arial" w:hAnsi="Arial" w:cs="Arial"/>
                <w:sz w:val="20"/>
                <w:szCs w:val="20"/>
              </w:rPr>
              <w:t xml:space="preserve">: anterior / posterior </w:t>
            </w:r>
            <w:r w:rsidR="00627263" w:rsidRPr="00B516F8">
              <w:rPr>
                <w:rFonts w:ascii="Arial" w:hAnsi="Arial" w:cs="Arial"/>
                <w:sz w:val="20"/>
                <w:szCs w:val="20"/>
              </w:rPr>
              <w:t>with fusion</w:t>
            </w:r>
          </w:p>
        </w:tc>
      </w:tr>
      <w:tr w:rsidR="00905031" w:rsidRPr="00B516F8" w14:paraId="1740E61D" w14:textId="77777777" w:rsidTr="0012659B">
        <w:tc>
          <w:tcPr>
            <w:tcW w:w="4675" w:type="dxa"/>
            <w:tcBorders>
              <w:top w:val="nil"/>
              <w:bottom w:val="nil"/>
              <w:right w:val="nil"/>
            </w:tcBorders>
          </w:tcPr>
          <w:p w14:paraId="74B43B36" w14:textId="3D6BD38C" w:rsidR="00905031" w:rsidRPr="00B516F8" w:rsidRDefault="00627263"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Grade</w:t>
            </w:r>
            <w:r w:rsidR="00905031" w:rsidRPr="00B516F8">
              <w:rPr>
                <w:rFonts w:ascii="Arial" w:hAnsi="Arial" w:cs="Arial"/>
                <w:sz w:val="20"/>
                <w:szCs w:val="20"/>
              </w:rPr>
              <w:t xml:space="preserve"> (level)</w:t>
            </w:r>
          </w:p>
          <w:p w14:paraId="41508A91"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color w:val="202124"/>
                <w:sz w:val="20"/>
                <w:szCs w:val="20"/>
                <w:shd w:val="clear" w:color="auto" w:fill="FFFFFF"/>
              </w:rPr>
              <w:t>≥ 3</w:t>
            </w:r>
          </w:p>
          <w:p w14:paraId="49E0B192"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color w:val="202124"/>
                <w:sz w:val="20"/>
                <w:szCs w:val="20"/>
                <w:shd w:val="clear" w:color="auto" w:fill="FFFFFF"/>
              </w:rPr>
              <w:t>≤ 2</w:t>
            </w:r>
          </w:p>
        </w:tc>
        <w:tc>
          <w:tcPr>
            <w:tcW w:w="4675" w:type="dxa"/>
            <w:tcBorders>
              <w:top w:val="nil"/>
              <w:left w:val="nil"/>
              <w:bottom w:val="nil"/>
            </w:tcBorders>
          </w:tcPr>
          <w:p w14:paraId="4C090029" w14:textId="77777777" w:rsidR="00905031" w:rsidRPr="00B516F8" w:rsidRDefault="00905031" w:rsidP="003C2A84">
            <w:pPr>
              <w:pStyle w:val="ListParagraph"/>
              <w:spacing w:line="360" w:lineRule="auto"/>
              <w:ind w:left="0"/>
              <w:jc w:val="both"/>
              <w:rPr>
                <w:rFonts w:ascii="Arial" w:hAnsi="Arial" w:cs="Arial"/>
                <w:sz w:val="20"/>
                <w:szCs w:val="20"/>
              </w:rPr>
            </w:pPr>
          </w:p>
          <w:p w14:paraId="105801BC" w14:textId="123BA1F8"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posterior (laminoplast</w:t>
            </w:r>
            <w:r w:rsidR="00627263" w:rsidRPr="00B516F8">
              <w:rPr>
                <w:rFonts w:ascii="Arial" w:hAnsi="Arial" w:cs="Arial"/>
                <w:sz w:val="20"/>
                <w:szCs w:val="20"/>
              </w:rPr>
              <w:t>y</w:t>
            </w:r>
            <w:r w:rsidRPr="00B516F8">
              <w:rPr>
                <w:rFonts w:ascii="Arial" w:hAnsi="Arial" w:cs="Arial"/>
                <w:sz w:val="20"/>
                <w:szCs w:val="20"/>
              </w:rPr>
              <w:t>)</w:t>
            </w:r>
          </w:p>
          <w:p w14:paraId="1B473ECC"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Anterior</w:t>
            </w:r>
          </w:p>
        </w:tc>
      </w:tr>
      <w:tr w:rsidR="00905031" w:rsidRPr="00B516F8" w14:paraId="5DC1497D" w14:textId="77777777" w:rsidTr="0012659B">
        <w:tc>
          <w:tcPr>
            <w:tcW w:w="4675" w:type="dxa"/>
            <w:tcBorders>
              <w:top w:val="nil"/>
              <w:bottom w:val="nil"/>
              <w:right w:val="nil"/>
            </w:tcBorders>
          </w:tcPr>
          <w:p w14:paraId="2FC89D62" w14:textId="77777777" w:rsidR="00905031" w:rsidRPr="00B516F8" w:rsidRDefault="00905031" w:rsidP="003C2A84">
            <w:pPr>
              <w:pStyle w:val="ListParagraph"/>
              <w:spacing w:line="360" w:lineRule="auto"/>
              <w:ind w:left="0"/>
              <w:jc w:val="both"/>
              <w:rPr>
                <w:rFonts w:ascii="Arial" w:hAnsi="Arial" w:cs="Arial"/>
                <w:sz w:val="20"/>
                <w:szCs w:val="20"/>
              </w:rPr>
            </w:pPr>
            <w:proofErr w:type="spellStart"/>
            <w:r w:rsidRPr="00B516F8">
              <w:rPr>
                <w:rFonts w:ascii="Arial" w:hAnsi="Arial" w:cs="Arial"/>
                <w:sz w:val="20"/>
                <w:szCs w:val="20"/>
              </w:rPr>
              <w:t>Usia</w:t>
            </w:r>
            <w:proofErr w:type="spellEnd"/>
          </w:p>
          <w:p w14:paraId="3E4A90F1" w14:textId="77777777" w:rsidR="00905031" w:rsidRPr="00B516F8" w:rsidRDefault="00905031" w:rsidP="003C2A84">
            <w:pPr>
              <w:pStyle w:val="ListParagraph"/>
              <w:numPr>
                <w:ilvl w:val="0"/>
                <w:numId w:val="24"/>
              </w:numPr>
              <w:spacing w:after="0" w:line="360" w:lineRule="auto"/>
              <w:ind w:left="592"/>
              <w:jc w:val="both"/>
              <w:rPr>
                <w:rFonts w:ascii="Arial" w:hAnsi="Arial" w:cs="Arial"/>
                <w:i/>
                <w:iCs/>
                <w:sz w:val="20"/>
                <w:szCs w:val="20"/>
              </w:rPr>
            </w:pPr>
            <w:r w:rsidRPr="00B516F8">
              <w:rPr>
                <w:rFonts w:ascii="Arial" w:hAnsi="Arial" w:cs="Arial"/>
                <w:i/>
                <w:iCs/>
                <w:sz w:val="20"/>
                <w:szCs w:val="20"/>
              </w:rPr>
              <w:t>Elderly</w:t>
            </w:r>
          </w:p>
          <w:p w14:paraId="4DA74D4F" w14:textId="77777777" w:rsidR="00905031" w:rsidRPr="00B516F8" w:rsidRDefault="00905031" w:rsidP="003C2A84">
            <w:pPr>
              <w:pStyle w:val="ListParagraph"/>
              <w:numPr>
                <w:ilvl w:val="0"/>
                <w:numId w:val="24"/>
              </w:numPr>
              <w:spacing w:after="0" w:line="360" w:lineRule="auto"/>
              <w:ind w:left="592"/>
              <w:jc w:val="both"/>
              <w:rPr>
                <w:rFonts w:ascii="Arial" w:hAnsi="Arial" w:cs="Arial"/>
                <w:i/>
                <w:iCs/>
                <w:sz w:val="20"/>
                <w:szCs w:val="20"/>
              </w:rPr>
            </w:pPr>
            <w:r w:rsidRPr="00B516F8">
              <w:rPr>
                <w:rFonts w:ascii="Arial" w:hAnsi="Arial" w:cs="Arial"/>
                <w:i/>
                <w:iCs/>
                <w:sz w:val="20"/>
                <w:szCs w:val="20"/>
              </w:rPr>
              <w:t>Young</w:t>
            </w:r>
          </w:p>
        </w:tc>
        <w:tc>
          <w:tcPr>
            <w:tcW w:w="4675" w:type="dxa"/>
            <w:tcBorders>
              <w:top w:val="nil"/>
              <w:left w:val="nil"/>
              <w:bottom w:val="nil"/>
            </w:tcBorders>
          </w:tcPr>
          <w:p w14:paraId="264DAEC9" w14:textId="77777777" w:rsidR="00905031" w:rsidRPr="00B516F8" w:rsidRDefault="00905031" w:rsidP="003C2A84">
            <w:pPr>
              <w:pStyle w:val="ListParagraph"/>
              <w:spacing w:line="360" w:lineRule="auto"/>
              <w:ind w:left="0"/>
              <w:jc w:val="both"/>
              <w:rPr>
                <w:rFonts w:ascii="Arial" w:hAnsi="Arial" w:cs="Arial"/>
                <w:sz w:val="20"/>
                <w:szCs w:val="20"/>
              </w:rPr>
            </w:pPr>
          </w:p>
          <w:p w14:paraId="0D371BC1"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Posterior</w:t>
            </w:r>
          </w:p>
          <w:p w14:paraId="16308093"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Anterior </w:t>
            </w:r>
          </w:p>
        </w:tc>
      </w:tr>
      <w:tr w:rsidR="00905031" w:rsidRPr="00B516F8" w14:paraId="55B27912" w14:textId="77777777" w:rsidTr="0012659B">
        <w:tc>
          <w:tcPr>
            <w:tcW w:w="4675" w:type="dxa"/>
            <w:tcBorders>
              <w:top w:val="nil"/>
              <w:bottom w:val="nil"/>
              <w:right w:val="nil"/>
            </w:tcBorders>
          </w:tcPr>
          <w:p w14:paraId="5B2D2231" w14:textId="5F437AFC" w:rsidR="00905031" w:rsidRPr="00B516F8" w:rsidRDefault="00627263"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 xml:space="preserve">Pre-operative pain scale </w:t>
            </w:r>
          </w:p>
          <w:p w14:paraId="6D858D36"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i/>
                <w:iCs/>
                <w:sz w:val="20"/>
                <w:szCs w:val="20"/>
              </w:rPr>
              <w:t>Moderate – High</w:t>
            </w:r>
          </w:p>
          <w:p w14:paraId="37874189" w14:textId="77777777"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None to Low</w:t>
            </w:r>
          </w:p>
        </w:tc>
        <w:tc>
          <w:tcPr>
            <w:tcW w:w="4675" w:type="dxa"/>
            <w:tcBorders>
              <w:top w:val="nil"/>
              <w:left w:val="nil"/>
              <w:bottom w:val="nil"/>
            </w:tcBorders>
          </w:tcPr>
          <w:p w14:paraId="5AE9F46B" w14:textId="77777777" w:rsidR="00905031" w:rsidRPr="00B516F8" w:rsidRDefault="00905031" w:rsidP="003C2A84">
            <w:pPr>
              <w:pStyle w:val="ListParagraph"/>
              <w:spacing w:line="360" w:lineRule="auto"/>
              <w:ind w:left="0"/>
              <w:jc w:val="both"/>
              <w:rPr>
                <w:rFonts w:ascii="Arial" w:hAnsi="Arial" w:cs="Arial"/>
                <w:sz w:val="20"/>
                <w:szCs w:val="20"/>
              </w:rPr>
            </w:pPr>
          </w:p>
          <w:p w14:paraId="5C5289EE" w14:textId="2485B5E5"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Anterior </w:t>
            </w:r>
            <w:r w:rsidR="00627263" w:rsidRPr="00B516F8">
              <w:rPr>
                <w:rFonts w:ascii="Arial" w:hAnsi="Arial" w:cs="Arial"/>
                <w:sz w:val="20"/>
                <w:szCs w:val="20"/>
              </w:rPr>
              <w:t>or</w:t>
            </w:r>
            <w:r w:rsidRPr="00B516F8">
              <w:rPr>
                <w:rFonts w:ascii="Arial" w:hAnsi="Arial" w:cs="Arial"/>
                <w:sz w:val="20"/>
                <w:szCs w:val="20"/>
              </w:rPr>
              <w:t xml:space="preserve"> Posterior </w:t>
            </w:r>
            <w:r w:rsidR="00627263" w:rsidRPr="00B516F8">
              <w:rPr>
                <w:rFonts w:ascii="Arial" w:hAnsi="Arial" w:cs="Arial"/>
                <w:sz w:val="20"/>
                <w:szCs w:val="20"/>
              </w:rPr>
              <w:t>with fusion</w:t>
            </w:r>
          </w:p>
          <w:p w14:paraId="6582603A" w14:textId="77777777"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Posterior (laminoplasty) </w:t>
            </w:r>
            <w:proofErr w:type="spellStart"/>
            <w:r w:rsidRPr="00B516F8">
              <w:rPr>
                <w:rFonts w:ascii="Arial" w:hAnsi="Arial" w:cs="Arial"/>
                <w:sz w:val="20"/>
                <w:szCs w:val="20"/>
              </w:rPr>
              <w:t>atau</w:t>
            </w:r>
            <w:proofErr w:type="spellEnd"/>
            <w:r w:rsidRPr="00B516F8">
              <w:rPr>
                <w:rFonts w:ascii="Arial" w:hAnsi="Arial" w:cs="Arial"/>
                <w:sz w:val="20"/>
                <w:szCs w:val="20"/>
              </w:rPr>
              <w:t xml:space="preserve"> anterior</w:t>
            </w:r>
          </w:p>
        </w:tc>
      </w:tr>
      <w:tr w:rsidR="00905031" w:rsidRPr="00B516F8" w14:paraId="20A663DC" w14:textId="77777777" w:rsidTr="0012659B">
        <w:tc>
          <w:tcPr>
            <w:tcW w:w="4675" w:type="dxa"/>
            <w:tcBorders>
              <w:top w:val="nil"/>
              <w:right w:val="nil"/>
            </w:tcBorders>
          </w:tcPr>
          <w:p w14:paraId="3ADB85E0" w14:textId="641AAFF4" w:rsidR="00905031" w:rsidRPr="00B516F8" w:rsidRDefault="00905031" w:rsidP="003C2A84">
            <w:pPr>
              <w:pStyle w:val="ListParagraph"/>
              <w:spacing w:line="360" w:lineRule="auto"/>
              <w:ind w:left="0"/>
              <w:jc w:val="both"/>
              <w:rPr>
                <w:rFonts w:ascii="Arial" w:hAnsi="Arial" w:cs="Arial"/>
                <w:sz w:val="20"/>
                <w:szCs w:val="20"/>
              </w:rPr>
            </w:pPr>
            <w:r w:rsidRPr="00B516F8">
              <w:rPr>
                <w:rFonts w:ascii="Arial" w:hAnsi="Arial" w:cs="Arial"/>
                <w:sz w:val="20"/>
                <w:szCs w:val="20"/>
              </w:rPr>
              <w:t>Instabilit</w:t>
            </w:r>
            <w:r w:rsidR="00627263" w:rsidRPr="00B516F8">
              <w:rPr>
                <w:rFonts w:ascii="Arial" w:hAnsi="Arial" w:cs="Arial"/>
                <w:sz w:val="20"/>
                <w:szCs w:val="20"/>
              </w:rPr>
              <w:t>y</w:t>
            </w:r>
          </w:p>
          <w:p w14:paraId="12ABB027" w14:textId="5858F08D" w:rsidR="00905031" w:rsidRPr="00B516F8" w:rsidRDefault="00905031"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Y</w:t>
            </w:r>
            <w:r w:rsidR="00627263" w:rsidRPr="00B516F8">
              <w:rPr>
                <w:rFonts w:ascii="Arial" w:hAnsi="Arial" w:cs="Arial"/>
                <w:sz w:val="20"/>
                <w:szCs w:val="20"/>
              </w:rPr>
              <w:t>es</w:t>
            </w:r>
          </w:p>
          <w:p w14:paraId="5F919079" w14:textId="2FD31F63" w:rsidR="00905031" w:rsidRPr="00B516F8" w:rsidRDefault="00627263" w:rsidP="003C2A84">
            <w:pPr>
              <w:pStyle w:val="ListParagraph"/>
              <w:numPr>
                <w:ilvl w:val="0"/>
                <w:numId w:val="24"/>
              </w:numPr>
              <w:spacing w:after="0" w:line="360" w:lineRule="auto"/>
              <w:ind w:left="592"/>
              <w:jc w:val="both"/>
              <w:rPr>
                <w:rFonts w:ascii="Arial" w:hAnsi="Arial" w:cs="Arial"/>
                <w:sz w:val="20"/>
                <w:szCs w:val="20"/>
              </w:rPr>
            </w:pPr>
            <w:r w:rsidRPr="00B516F8">
              <w:rPr>
                <w:rFonts w:ascii="Arial" w:hAnsi="Arial" w:cs="Arial"/>
                <w:sz w:val="20"/>
                <w:szCs w:val="20"/>
              </w:rPr>
              <w:t>No</w:t>
            </w:r>
          </w:p>
        </w:tc>
        <w:tc>
          <w:tcPr>
            <w:tcW w:w="4675" w:type="dxa"/>
            <w:tcBorders>
              <w:top w:val="nil"/>
              <w:left w:val="nil"/>
            </w:tcBorders>
          </w:tcPr>
          <w:p w14:paraId="6E6056A8" w14:textId="77777777" w:rsidR="00905031" w:rsidRPr="00B516F8" w:rsidRDefault="00905031" w:rsidP="003C2A84">
            <w:pPr>
              <w:pStyle w:val="ListParagraph"/>
              <w:spacing w:line="360" w:lineRule="auto"/>
              <w:ind w:left="0"/>
              <w:jc w:val="both"/>
              <w:rPr>
                <w:rFonts w:ascii="Arial" w:hAnsi="Arial" w:cs="Arial"/>
                <w:sz w:val="20"/>
                <w:szCs w:val="20"/>
              </w:rPr>
            </w:pPr>
          </w:p>
          <w:p w14:paraId="194240E0" w14:textId="77777777" w:rsidR="00627263" w:rsidRPr="00B516F8" w:rsidRDefault="00627263"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Anterior or Posterior with fusion</w:t>
            </w:r>
          </w:p>
          <w:p w14:paraId="167BA645" w14:textId="53B19276" w:rsidR="00905031" w:rsidRPr="00B516F8" w:rsidRDefault="00905031" w:rsidP="003C2A84">
            <w:pPr>
              <w:pStyle w:val="ListParagraph"/>
              <w:numPr>
                <w:ilvl w:val="0"/>
                <w:numId w:val="24"/>
              </w:numPr>
              <w:spacing w:after="0" w:line="360" w:lineRule="auto"/>
              <w:ind w:left="460"/>
              <w:jc w:val="both"/>
              <w:rPr>
                <w:rFonts w:ascii="Arial" w:hAnsi="Arial" w:cs="Arial"/>
                <w:sz w:val="20"/>
                <w:szCs w:val="20"/>
              </w:rPr>
            </w:pPr>
            <w:r w:rsidRPr="00B516F8">
              <w:rPr>
                <w:rFonts w:ascii="Arial" w:hAnsi="Arial" w:cs="Arial"/>
                <w:sz w:val="20"/>
                <w:szCs w:val="20"/>
              </w:rPr>
              <w:t xml:space="preserve">Posterior </w:t>
            </w:r>
            <w:r w:rsidR="00627263" w:rsidRPr="00B516F8">
              <w:rPr>
                <w:rFonts w:ascii="Arial" w:hAnsi="Arial" w:cs="Arial"/>
                <w:sz w:val="20"/>
                <w:szCs w:val="20"/>
              </w:rPr>
              <w:t>(</w:t>
            </w:r>
            <w:r w:rsidRPr="00B516F8">
              <w:rPr>
                <w:rFonts w:ascii="Arial" w:hAnsi="Arial" w:cs="Arial"/>
                <w:sz w:val="20"/>
                <w:szCs w:val="20"/>
              </w:rPr>
              <w:t>laminoplast</w:t>
            </w:r>
            <w:r w:rsidR="00627263" w:rsidRPr="00B516F8">
              <w:rPr>
                <w:rFonts w:ascii="Arial" w:hAnsi="Arial" w:cs="Arial"/>
                <w:sz w:val="20"/>
                <w:szCs w:val="20"/>
              </w:rPr>
              <w:t>y</w:t>
            </w:r>
            <w:r w:rsidRPr="00B516F8">
              <w:rPr>
                <w:rFonts w:ascii="Arial" w:hAnsi="Arial" w:cs="Arial"/>
                <w:sz w:val="20"/>
                <w:szCs w:val="20"/>
              </w:rPr>
              <w:t xml:space="preserve">) </w:t>
            </w:r>
            <w:r w:rsidR="00627263" w:rsidRPr="00B516F8">
              <w:rPr>
                <w:rFonts w:ascii="Arial" w:hAnsi="Arial" w:cs="Arial"/>
                <w:sz w:val="20"/>
                <w:szCs w:val="20"/>
              </w:rPr>
              <w:t>or</w:t>
            </w:r>
            <w:r w:rsidRPr="00B516F8">
              <w:rPr>
                <w:rFonts w:ascii="Arial" w:hAnsi="Arial" w:cs="Arial"/>
                <w:sz w:val="20"/>
                <w:szCs w:val="20"/>
              </w:rPr>
              <w:t xml:space="preserve"> anterior</w:t>
            </w:r>
          </w:p>
        </w:tc>
      </w:tr>
    </w:tbl>
    <w:p w14:paraId="074ABB4C" w14:textId="77777777" w:rsidR="00905031" w:rsidRPr="00B516F8" w:rsidRDefault="00905031" w:rsidP="003C2A84">
      <w:pPr>
        <w:spacing w:line="360" w:lineRule="auto"/>
        <w:jc w:val="both"/>
        <w:rPr>
          <w:sz w:val="20"/>
          <w:szCs w:val="20"/>
        </w:rPr>
      </w:pPr>
    </w:p>
    <w:p w14:paraId="2AF29EAA" w14:textId="2D338FCC" w:rsidR="00F34AC0" w:rsidRPr="00B516F8" w:rsidRDefault="00D15806" w:rsidP="003C2A84">
      <w:pPr>
        <w:pStyle w:val="ListParagraph"/>
        <w:spacing w:line="360" w:lineRule="auto"/>
        <w:jc w:val="both"/>
        <w:rPr>
          <w:rFonts w:ascii="Arial" w:hAnsi="Arial" w:cs="Arial"/>
          <w:b/>
          <w:bCs/>
          <w:sz w:val="20"/>
          <w:szCs w:val="20"/>
        </w:rPr>
      </w:pPr>
      <w:r w:rsidRPr="00B516F8">
        <w:rPr>
          <w:rFonts w:ascii="Arial" w:hAnsi="Arial" w:cs="Arial"/>
          <w:noProof/>
          <w:sz w:val="20"/>
          <w:szCs w:val="20"/>
        </w:rPr>
        <w:lastRenderedPageBreak/>
        <w:drawing>
          <wp:inline distT="0" distB="0" distL="0" distR="0" wp14:anchorId="2E20440D" wp14:editId="6F344A56">
            <wp:extent cx="5236845" cy="3672840"/>
            <wp:effectExtent l="0" t="0" r="0" b="0"/>
            <wp:docPr id="1496934714"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34714" name="Picture 1" descr="A picture containing text, diagram, screenshot, parall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20" cy="3700876"/>
                    </a:xfrm>
                    <a:prstGeom prst="rect">
                      <a:avLst/>
                    </a:prstGeom>
                  </pic:spPr>
                </pic:pic>
              </a:graphicData>
            </a:graphic>
          </wp:inline>
        </w:drawing>
      </w:r>
    </w:p>
    <w:p w14:paraId="1EF03F3F" w14:textId="77777777" w:rsidR="00E6631B" w:rsidRPr="00B516F8" w:rsidRDefault="00E6631B" w:rsidP="003C2A84">
      <w:pPr>
        <w:pStyle w:val="ListParagraph"/>
        <w:spacing w:line="360" w:lineRule="auto"/>
        <w:ind w:left="284"/>
        <w:jc w:val="center"/>
        <w:rPr>
          <w:rFonts w:ascii="Arial" w:hAnsi="Arial" w:cs="Arial"/>
          <w:sz w:val="20"/>
          <w:szCs w:val="20"/>
        </w:rPr>
      </w:pPr>
    </w:p>
    <w:p w14:paraId="319677EC" w14:textId="3C996722" w:rsidR="00D15806" w:rsidRPr="00B516F8" w:rsidRDefault="00C02A25" w:rsidP="003C2A84">
      <w:pPr>
        <w:pStyle w:val="ListParagraph"/>
        <w:spacing w:line="360" w:lineRule="auto"/>
        <w:ind w:left="284"/>
        <w:jc w:val="center"/>
        <w:rPr>
          <w:rFonts w:ascii="Arial" w:hAnsi="Arial" w:cs="Arial"/>
          <w:sz w:val="20"/>
          <w:szCs w:val="20"/>
        </w:rPr>
      </w:pPr>
      <w:r w:rsidRPr="00B516F8">
        <w:rPr>
          <w:rFonts w:ascii="Arial" w:hAnsi="Arial" w:cs="Arial"/>
          <w:sz w:val="20"/>
          <w:szCs w:val="20"/>
        </w:rPr>
        <w:t xml:space="preserve">Figure </w:t>
      </w:r>
      <w:r w:rsidR="00BE790F" w:rsidRPr="00B516F8">
        <w:rPr>
          <w:rFonts w:ascii="Arial" w:hAnsi="Arial" w:cs="Arial"/>
          <w:sz w:val="20"/>
          <w:szCs w:val="20"/>
        </w:rPr>
        <w:t>6</w:t>
      </w:r>
      <w:r w:rsidR="00D15806" w:rsidRPr="00B516F8">
        <w:rPr>
          <w:rFonts w:ascii="Arial" w:hAnsi="Arial" w:cs="Arial"/>
          <w:sz w:val="20"/>
          <w:szCs w:val="20"/>
        </w:rPr>
        <w:t>. CSM Surgical Algorhythm</w:t>
      </w:r>
      <w:r w:rsidR="00CF4201" w:rsidRPr="00B516F8">
        <w:rPr>
          <w:rFonts w:ascii="Arial" w:hAnsi="Arial" w:cs="Arial"/>
          <w:sz w:val="20"/>
          <w:szCs w:val="20"/>
          <w:vertAlign w:val="superscript"/>
        </w:rPr>
        <w:t>19</w:t>
      </w:r>
      <w:r w:rsidR="00CF4201" w:rsidRPr="00B516F8">
        <w:rPr>
          <w:rFonts w:ascii="Arial" w:hAnsi="Arial" w:cs="Arial"/>
          <w:sz w:val="20"/>
          <w:szCs w:val="20"/>
        </w:rPr>
        <w:t>.</w:t>
      </w:r>
    </w:p>
    <w:p w14:paraId="4603CD5C" w14:textId="77777777" w:rsidR="00AB3255" w:rsidRPr="00B516F8" w:rsidRDefault="00AB3255" w:rsidP="003C2A84">
      <w:pPr>
        <w:pStyle w:val="ListParagraph"/>
        <w:spacing w:line="360" w:lineRule="auto"/>
        <w:ind w:left="284"/>
        <w:jc w:val="center"/>
        <w:rPr>
          <w:rFonts w:ascii="Arial" w:hAnsi="Arial" w:cs="Arial"/>
          <w:sz w:val="20"/>
          <w:szCs w:val="20"/>
        </w:rPr>
      </w:pPr>
    </w:p>
    <w:p w14:paraId="568013B1" w14:textId="77777777" w:rsidR="00804268" w:rsidRPr="00B516F8" w:rsidRDefault="00804268" w:rsidP="003C2A84">
      <w:pPr>
        <w:pStyle w:val="ListParagraph"/>
        <w:spacing w:line="360" w:lineRule="auto"/>
        <w:ind w:left="284"/>
        <w:jc w:val="center"/>
        <w:rPr>
          <w:rFonts w:ascii="Arial" w:hAnsi="Arial" w:cs="Arial"/>
          <w:sz w:val="20"/>
          <w:szCs w:val="20"/>
        </w:rPr>
      </w:pPr>
    </w:p>
    <w:p w14:paraId="588BB1CB" w14:textId="650DF341" w:rsidR="00627263" w:rsidRPr="00B516F8" w:rsidRDefault="00BE790F" w:rsidP="003C2A84">
      <w:pPr>
        <w:pStyle w:val="ListParagraph"/>
        <w:numPr>
          <w:ilvl w:val="1"/>
          <w:numId w:val="8"/>
        </w:numPr>
        <w:spacing w:line="360" w:lineRule="auto"/>
        <w:ind w:left="284" w:hanging="284"/>
        <w:rPr>
          <w:rFonts w:ascii="Arial" w:hAnsi="Arial" w:cs="Arial"/>
          <w:sz w:val="20"/>
          <w:szCs w:val="20"/>
        </w:rPr>
      </w:pPr>
      <w:r w:rsidRPr="00B516F8">
        <w:rPr>
          <w:rFonts w:ascii="Arial" w:hAnsi="Arial" w:cs="Arial"/>
          <w:sz w:val="20"/>
          <w:szCs w:val="20"/>
        </w:rPr>
        <w:t>Arthroplasty Cervical</w:t>
      </w:r>
    </w:p>
    <w:p w14:paraId="3B8B31BA" w14:textId="52EA0A68" w:rsidR="00BE790F" w:rsidRPr="00B516F8" w:rsidRDefault="00BE790F" w:rsidP="003C2A84">
      <w:pPr>
        <w:spacing w:line="360" w:lineRule="auto"/>
        <w:jc w:val="both"/>
        <w:rPr>
          <w:sz w:val="20"/>
          <w:szCs w:val="20"/>
        </w:rPr>
      </w:pPr>
      <w:r w:rsidRPr="00B516F8">
        <w:rPr>
          <w:sz w:val="20"/>
          <w:szCs w:val="20"/>
        </w:rPr>
        <w:t>The latest management approach involves cervical facet joint arthroplasty, a surgical technique used to replace osteoarthritic facet joints with implants. In 2017, a case study reported the management of a single-level cervical disc using arthroplasty and compared it to the ACDF technique, showing better post-operative outcomes for arthroplasty patients. Another study also found that two-level cervical arthroplasty resulted in better post-operative range of motion after 39 months compared to ACDF</w:t>
      </w:r>
      <w:r w:rsidR="004E2098" w:rsidRPr="00B516F8">
        <w:rPr>
          <w:sz w:val="20"/>
          <w:szCs w:val="20"/>
          <w:vertAlign w:val="superscript"/>
        </w:rPr>
        <w:t>27</w:t>
      </w:r>
      <w:r w:rsidRPr="00B516F8">
        <w:rPr>
          <w:sz w:val="20"/>
          <w:szCs w:val="20"/>
        </w:rPr>
        <w:t>. Arthroplasty surgery is recommended using the anterolateral approach, with the neck positioned in mild hyperextension without excessive traction. A combination of hyperextension and excessive head traction may cause tissue compression, and the laryngeal nerve may be at risk of injury due to this positioning. Rigid neck support is crucial to prevent complications when manipulating the vertebral body. Additionally, excessive traction can lead to brachial plexus injury. The anterolateral approach is strongly recommended; however, other complications, such as nerve, vascular, and organ injuries in the neck region, have been reported but can be effectively prevented</w:t>
      </w:r>
      <w:r w:rsidR="004E2098" w:rsidRPr="00B516F8">
        <w:rPr>
          <w:sz w:val="20"/>
          <w:szCs w:val="20"/>
          <w:vertAlign w:val="superscript"/>
        </w:rPr>
        <w:t>28</w:t>
      </w:r>
      <w:r w:rsidRPr="00B516F8">
        <w:rPr>
          <w:sz w:val="20"/>
          <w:szCs w:val="20"/>
        </w:rPr>
        <w:t>.</w:t>
      </w:r>
    </w:p>
    <w:p w14:paraId="115E620E" w14:textId="13AB290E" w:rsidR="00BE790F" w:rsidRPr="00B516F8" w:rsidRDefault="00BE790F" w:rsidP="003C2A84">
      <w:pPr>
        <w:spacing w:line="360" w:lineRule="auto"/>
        <w:jc w:val="center"/>
        <w:rPr>
          <w:sz w:val="20"/>
          <w:szCs w:val="20"/>
        </w:rPr>
      </w:pPr>
      <w:r w:rsidRPr="00B516F8">
        <w:rPr>
          <w:noProof/>
          <w:sz w:val="20"/>
          <w:szCs w:val="20"/>
          <w:vertAlign w:val="superscript"/>
        </w:rPr>
        <w:lastRenderedPageBreak/>
        <w:drawing>
          <wp:inline distT="0" distB="0" distL="0" distR="0" wp14:anchorId="2852A74C" wp14:editId="05E8E4B5">
            <wp:extent cx="5252085" cy="1882775"/>
            <wp:effectExtent l="0" t="0" r="5715" b="0"/>
            <wp:docPr id="83619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3649" name="Picture 836193649"/>
                    <pic:cNvPicPr/>
                  </pic:nvPicPr>
                  <pic:blipFill>
                    <a:blip r:embed="rId18">
                      <a:extLst>
                        <a:ext uri="{28A0092B-C50C-407E-A947-70E740481C1C}">
                          <a14:useLocalDpi xmlns:a14="http://schemas.microsoft.com/office/drawing/2010/main" val="0"/>
                        </a:ext>
                      </a:extLst>
                    </a:blip>
                    <a:stretch>
                      <a:fillRect/>
                    </a:stretch>
                  </pic:blipFill>
                  <pic:spPr>
                    <a:xfrm>
                      <a:off x="0" y="0"/>
                      <a:ext cx="5252085" cy="1882775"/>
                    </a:xfrm>
                    <a:prstGeom prst="rect">
                      <a:avLst/>
                    </a:prstGeom>
                  </pic:spPr>
                </pic:pic>
              </a:graphicData>
            </a:graphic>
          </wp:inline>
        </w:drawing>
      </w:r>
    </w:p>
    <w:p w14:paraId="0C3BA61F" w14:textId="7B8D9A5E" w:rsidR="00627263" w:rsidRPr="00B516F8" w:rsidRDefault="00627263" w:rsidP="003C2A84">
      <w:pPr>
        <w:spacing w:after="160" w:line="360" w:lineRule="auto"/>
        <w:jc w:val="both"/>
        <w:rPr>
          <w:sz w:val="20"/>
          <w:szCs w:val="20"/>
          <w:lang w:val="en-ID"/>
        </w:rPr>
      </w:pPr>
    </w:p>
    <w:p w14:paraId="6760986D" w14:textId="07502457" w:rsidR="00627263" w:rsidRPr="00B516F8" w:rsidRDefault="00BE790F" w:rsidP="003C2A84">
      <w:pPr>
        <w:spacing w:line="360" w:lineRule="auto"/>
        <w:jc w:val="center"/>
        <w:rPr>
          <w:sz w:val="20"/>
          <w:szCs w:val="20"/>
        </w:rPr>
      </w:pPr>
      <w:r w:rsidRPr="00B516F8">
        <w:rPr>
          <w:sz w:val="20"/>
          <w:szCs w:val="20"/>
        </w:rPr>
        <w:t>Figure 7. Post-Operative Evaluation of Cervical Arthroplasty Using Sagittal, Axial, and Coronal CT-Scan Sections</w:t>
      </w:r>
      <w:r w:rsidR="004E2098" w:rsidRPr="00B516F8">
        <w:rPr>
          <w:sz w:val="20"/>
          <w:szCs w:val="20"/>
          <w:vertAlign w:val="superscript"/>
        </w:rPr>
        <w:t>28</w:t>
      </w:r>
      <w:r w:rsidRPr="00B516F8">
        <w:rPr>
          <w:sz w:val="20"/>
          <w:szCs w:val="20"/>
        </w:rPr>
        <w:t>.</w:t>
      </w:r>
    </w:p>
    <w:p w14:paraId="59161477" w14:textId="77777777" w:rsidR="00E6631B" w:rsidRPr="00B516F8" w:rsidRDefault="00E6631B" w:rsidP="003C2A84">
      <w:pPr>
        <w:pStyle w:val="ListParagraph"/>
        <w:spacing w:line="360" w:lineRule="auto"/>
        <w:ind w:left="284"/>
        <w:jc w:val="both"/>
        <w:rPr>
          <w:rFonts w:ascii="Arial" w:hAnsi="Arial" w:cs="Arial"/>
          <w:color w:val="FF0000"/>
          <w:sz w:val="24"/>
          <w:szCs w:val="24"/>
        </w:rPr>
      </w:pPr>
    </w:p>
    <w:p w14:paraId="5C8F37AC" w14:textId="3FDEF130" w:rsidR="00F34AC0" w:rsidRPr="00B516F8" w:rsidRDefault="00B516F8" w:rsidP="003C2A84">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PROGNOSIS</w:t>
      </w:r>
    </w:p>
    <w:p w14:paraId="5D9C9390" w14:textId="75992CC6" w:rsidR="00F34AC0" w:rsidRDefault="00F34AC0" w:rsidP="003C2A84">
      <w:pPr>
        <w:spacing w:line="360" w:lineRule="auto"/>
        <w:jc w:val="both"/>
        <w:rPr>
          <w:sz w:val="20"/>
          <w:szCs w:val="20"/>
        </w:rPr>
      </w:pPr>
      <w:r w:rsidRPr="00B516F8">
        <w:rPr>
          <w:rFonts w:eastAsia="Times New Roman"/>
          <w:sz w:val="20"/>
          <w:szCs w:val="20"/>
          <w:lang w:eastAsia="en-ID"/>
        </w:rPr>
        <w:t>Clinical improvement followi</w:t>
      </w:r>
      <w:bookmarkStart w:id="9" w:name="_GoBack"/>
      <w:bookmarkEnd w:id="9"/>
      <w:r w:rsidRPr="00B516F8">
        <w:rPr>
          <w:rFonts w:eastAsia="Times New Roman"/>
          <w:sz w:val="20"/>
          <w:szCs w:val="20"/>
          <w:lang w:eastAsia="en-ID"/>
        </w:rPr>
        <w:t>ng surgery with an anterior approach has been reported in 70%–80% of CSM patients, with a 60%–70% improvement in JOA scores</w:t>
      </w:r>
      <w:r w:rsidR="002D7BFF" w:rsidRPr="00B516F8">
        <w:rPr>
          <w:rFonts w:eastAsia="Times New Roman"/>
          <w:sz w:val="20"/>
          <w:szCs w:val="20"/>
          <w:vertAlign w:val="superscript"/>
          <w:lang w:eastAsia="en-ID"/>
        </w:rPr>
        <w:t>20-23</w:t>
      </w:r>
      <w:r w:rsidR="00E6631B" w:rsidRPr="00B516F8">
        <w:rPr>
          <w:rFonts w:eastAsia="Times New Roman"/>
          <w:sz w:val="20"/>
          <w:szCs w:val="20"/>
          <w:lang w:eastAsia="en-ID"/>
        </w:rPr>
        <w:t xml:space="preserve">. </w:t>
      </w:r>
      <w:r w:rsidRPr="00B516F8">
        <w:rPr>
          <w:rFonts w:eastAsia="Times New Roman"/>
          <w:sz w:val="20"/>
          <w:szCs w:val="20"/>
          <w:lang w:val="en-ID" w:eastAsia="en-ID"/>
        </w:rPr>
        <w:t>No significant difference in success rates has been found between Anterior Cervical Discectomy and Fusion (ACDF) and Anterior Cervical Corpectomy with Fusion (ACCF)</w:t>
      </w:r>
      <w:r w:rsidRPr="00B516F8">
        <w:rPr>
          <w:rFonts w:eastAsia="Times New Roman"/>
          <w:sz w:val="20"/>
          <w:szCs w:val="20"/>
          <w:vertAlign w:val="superscript"/>
          <w:lang w:val="en-ID" w:eastAsia="en-ID"/>
        </w:rPr>
        <w:t>7</w:t>
      </w:r>
      <w:r w:rsidR="00E6631B" w:rsidRPr="00B516F8">
        <w:rPr>
          <w:rFonts w:eastAsia="Times New Roman"/>
          <w:sz w:val="20"/>
          <w:szCs w:val="20"/>
          <w:lang w:eastAsia="en-ID"/>
        </w:rPr>
        <w:t xml:space="preserve">. </w:t>
      </w:r>
      <w:r w:rsidRPr="00B516F8">
        <w:rPr>
          <w:rFonts w:eastAsia="Times New Roman"/>
          <w:sz w:val="20"/>
          <w:szCs w:val="20"/>
          <w:lang w:eastAsia="en-ID"/>
        </w:rPr>
        <w:t>ACDF is associated with lower intraoperative blood loss and fewer postoperative complications compared to ACCF</w:t>
      </w:r>
      <w:r w:rsidRPr="00B516F8">
        <w:rPr>
          <w:rFonts w:eastAsia="Times New Roman"/>
          <w:sz w:val="20"/>
          <w:szCs w:val="20"/>
          <w:vertAlign w:val="superscript"/>
          <w:lang w:eastAsia="en-ID"/>
        </w:rPr>
        <w:t>7,14</w:t>
      </w:r>
      <w:r w:rsidR="00CF4201" w:rsidRPr="00B516F8">
        <w:rPr>
          <w:sz w:val="20"/>
          <w:szCs w:val="20"/>
        </w:rPr>
        <w:t>.</w:t>
      </w:r>
    </w:p>
    <w:p w14:paraId="0074BED0" w14:textId="77777777" w:rsidR="00C23FD1" w:rsidRDefault="00C23FD1" w:rsidP="003C2A84">
      <w:pPr>
        <w:spacing w:line="360" w:lineRule="auto"/>
        <w:jc w:val="both"/>
        <w:rPr>
          <w:sz w:val="20"/>
          <w:szCs w:val="20"/>
        </w:rPr>
      </w:pPr>
    </w:p>
    <w:p w14:paraId="247B23C9" w14:textId="77777777" w:rsidR="00C23FD1" w:rsidRPr="00855CB7" w:rsidRDefault="00C23FD1" w:rsidP="00C23FD1">
      <w:pPr>
        <w:pStyle w:val="Heading1"/>
        <w:spacing w:after="240"/>
        <w:rPr>
          <w:rFonts w:ascii="Arial" w:hAnsi="Arial" w:cs="Arial"/>
          <w:sz w:val="22"/>
          <w:szCs w:val="22"/>
          <w:highlight w:val="yellow"/>
        </w:rPr>
      </w:pPr>
      <w:r>
        <w:t>10</w:t>
      </w:r>
      <w:r w:rsidRPr="00855CB7">
        <w:rPr>
          <w:highlight w:val="yellow"/>
        </w:rPr>
        <w:t xml:space="preserve">. </w:t>
      </w:r>
      <w:r w:rsidRPr="00855CB7">
        <w:rPr>
          <w:rFonts w:ascii="Arial" w:hAnsi="Arial" w:cs="Arial"/>
          <w:sz w:val="22"/>
          <w:szCs w:val="22"/>
          <w:highlight w:val="yellow"/>
        </w:rPr>
        <w:t>PREVIOUS STUDY</w:t>
      </w:r>
    </w:p>
    <w:p w14:paraId="56FE855A" w14:textId="4E741C82" w:rsidR="00855CB7" w:rsidRPr="00855CB7" w:rsidRDefault="00855CB7" w:rsidP="00855CB7">
      <w:pPr>
        <w:spacing w:after="240" w:line="360" w:lineRule="auto"/>
        <w:jc w:val="both"/>
        <w:rPr>
          <w:sz w:val="20"/>
          <w:szCs w:val="20"/>
        </w:rPr>
      </w:pPr>
      <w:r w:rsidRPr="00855CB7">
        <w:rPr>
          <w:sz w:val="20"/>
          <w:szCs w:val="20"/>
          <w:highlight w:val="yellow"/>
        </w:rPr>
        <w:t xml:space="preserve">Study by </w:t>
      </w:r>
      <w:r w:rsidRPr="00855CB7">
        <w:rPr>
          <w:sz w:val="20"/>
          <w:szCs w:val="20"/>
          <w:highlight w:val="yellow"/>
        </w:rPr>
        <w:fldChar w:fldCharType="begin" w:fldLock="1"/>
      </w:r>
      <w:r w:rsidRPr="00855CB7">
        <w:rPr>
          <w:sz w:val="20"/>
          <w:szCs w:val="20"/>
          <w:highlight w:val="yellow"/>
        </w:rPr>
        <w:instrText>ADDIN CSL_CITATION {"citationItems":[{"id":"ITEM-1","itemData":{"DOI":"10.5402/2011/463729","ISSN":"2090-5505","abstract":"Cervical spondylotic myelopathy is a degenerative spinal disease which may lead to significant clinical morbidity. The onset of symptoms is usually insidious, with long periods of fixed disability and episodic worsening events. Regarding the pathophysiology of CSM, the repeated injuries to the spinal cord are caused by both static and dynamic mechanical factors. The combination of these factors affects the spinal cord basically through both direct trauma and ischemia. Regarding the diagnosis, both static and dynamics X-rays, as well as magnetic resonance imaging are important for preoperative evaluation as well as individualizing surgical planning. The choice of the most appropriate technique is affected by patient's clinical condition radiologic findings, as well as surgeon's experience. In opposition to the old belief that patients presenting mild myelopathy should be treated conservatively, there has progressively been amount of evidence indicating that the clinical course of this disease is progressive deterioration and that early surgical intervention improves long-term functional recovery and neurological prognosis.","author":[{"dropping-particle":"","family":"Mattei","given":"Tobias A.","non-dropping-particle":"","parse-names":false,"suffix":""},{"dropping-particle":"","family":"Goulart","given":"Carlos R.","non-dropping-particle":"","parse-names":false,"suffix":""},{"dropping-particle":"","family":"Milano","given":"Jeronimo B.","non-dropping-particle":"","parse-names":false,"suffix":""},{"dropping-particle":"","family":"Dutra","given":"Luis Paulo F.","non-dropping-particle":"","parse-names":false,"suffix":""},{"dropping-particle":"","family":"Fasset","given":"Daniel R.","non-dropping-particle":"","parse-names":false,"suffix":""}],"container-title":"ISRN Neurology","id":"ITEM-1","issued":{"date-parts":[["2011"]]},"page":"1-5","title":"Cervical Spondylotic Myelopathy: Pathophysiology, Diagnosis, and Surgical Techniques","type":"article-journal","volume":"2011"},"uris":["http://www.mendeley.com/documents/?uuid=2845458a-d887-42c1-9008-18ccf9288ecc"]}],"mendeley":{"formattedCitation":"(Mattei et al., 2011)","plainTextFormattedCitation":"(Mattei et al., 2011)","previouslyFormattedCitation":"(Mattei et al., 2011)"},"properties":{"noteIndex":0},"schema":"https://github.com/citation-style-language/schema/raw/master/csl-citation.json"}</w:instrText>
      </w:r>
      <w:r w:rsidRPr="00855CB7">
        <w:rPr>
          <w:sz w:val="20"/>
          <w:szCs w:val="20"/>
          <w:highlight w:val="yellow"/>
        </w:rPr>
        <w:fldChar w:fldCharType="separate"/>
      </w:r>
      <w:r w:rsidRPr="00855CB7">
        <w:rPr>
          <w:noProof/>
          <w:sz w:val="20"/>
          <w:szCs w:val="20"/>
          <w:highlight w:val="yellow"/>
        </w:rPr>
        <w:t>(Mattei et al., 2011)</w:t>
      </w:r>
      <w:r w:rsidRPr="00855CB7">
        <w:rPr>
          <w:sz w:val="20"/>
          <w:szCs w:val="20"/>
          <w:highlight w:val="yellow"/>
        </w:rPr>
        <w:fldChar w:fldCharType="end"/>
      </w:r>
      <w:r w:rsidR="000E15CA" w:rsidRPr="000E15CA">
        <w:rPr>
          <w:sz w:val="20"/>
          <w:szCs w:val="20"/>
          <w:highlight w:val="yellow"/>
          <w:vertAlign w:val="superscript"/>
        </w:rPr>
        <w:t>29</w:t>
      </w:r>
      <w:r w:rsidRPr="00855CB7">
        <w:rPr>
          <w:sz w:val="20"/>
          <w:szCs w:val="20"/>
          <w:highlight w:val="yellow"/>
        </w:rPr>
        <w:t xml:space="preserve"> explained that Cervical </w:t>
      </w:r>
      <w:proofErr w:type="spellStart"/>
      <w:r w:rsidRPr="00855CB7">
        <w:rPr>
          <w:sz w:val="20"/>
          <w:szCs w:val="20"/>
          <w:highlight w:val="yellow"/>
        </w:rPr>
        <w:t>spondylotic</w:t>
      </w:r>
      <w:proofErr w:type="spellEnd"/>
      <w:r w:rsidRPr="00855CB7">
        <w:rPr>
          <w:sz w:val="20"/>
          <w:szCs w:val="20"/>
          <w:highlight w:val="yellow"/>
        </w:rPr>
        <w:t xml:space="preserve"> myelopathy is a prevalent degenerative spinal disease which may lead to significant clinical morbid </w:t>
      </w:r>
      <w:proofErr w:type="spellStart"/>
      <w:r w:rsidRPr="00855CB7">
        <w:rPr>
          <w:sz w:val="20"/>
          <w:szCs w:val="20"/>
          <w:highlight w:val="yellow"/>
        </w:rPr>
        <w:t>ity</w:t>
      </w:r>
      <w:proofErr w:type="spellEnd"/>
      <w:r w:rsidRPr="00855CB7">
        <w:rPr>
          <w:sz w:val="20"/>
          <w:szCs w:val="20"/>
          <w:highlight w:val="yellow"/>
        </w:rPr>
        <w:t>. The clinical findings are variable, and both dynamic and static X-rays, as well as MRI, are important for preoperative evaluation as well as individualizing surgical planning. The choice of the most appropriate technique is affected by patient’s clinical condition and radiologic findings as well as surgeon’s experience</w:t>
      </w:r>
      <w:bookmarkStart w:id="10" w:name="_jpxqd0fwy10t" w:colFirst="0" w:colLast="0"/>
      <w:bookmarkEnd w:id="10"/>
      <w:r w:rsidRPr="00855CB7">
        <w:rPr>
          <w:sz w:val="20"/>
          <w:szCs w:val="20"/>
          <w:highlight w:val="yellow"/>
        </w:rPr>
        <w:t xml:space="preserve">. Another study by </w:t>
      </w:r>
      <w:r w:rsidRPr="00855CB7">
        <w:rPr>
          <w:sz w:val="20"/>
          <w:szCs w:val="20"/>
          <w:highlight w:val="yellow"/>
        </w:rPr>
        <w:fldChar w:fldCharType="begin" w:fldLock="1"/>
      </w:r>
      <w:r w:rsidR="000E15CA">
        <w:rPr>
          <w:sz w:val="20"/>
          <w:szCs w:val="20"/>
          <w:highlight w:val="yellow"/>
        </w:rPr>
        <w:instrText>ADDIN CSL_CITATION {"citationItems":[{"id":"ITEM-1","itemData":{"DOI":"10.1177/2192568217699208","ISSN":"21925690","abstract":"Study Design: Review. Objectives: Cervical spondylotic myelopathy (CSM) is a major cause of disability, particular in elderly patients. Awareness and understanding of CSM is imperative to facilitate early diagnosis and management. This review article addresses CSM with regard to its epidemiology, anatomical considerations, pathophysiology, clinical manifestations, imaging characteristics, treatment approaches and outcomes, and the cost-effectiveness of surgical options. Methods: The authors performed an extensive review of the peer-reviewed literature addressing the aforementioned objectives. Results: The clinical presentation and natural history of CSM is variable, alternating between quiescent and insidious to stepwise decline or rapid neurological deterioration. For mild CSM, conservative options could be employed with careful observation. However, surgical intervention has shown to be superior for moderate to severe CSM. The success of operative or conservative management of CSM is multifactorial and high-quality studies are lacking. The optimal surgical approach is still under debate, and can vary depending on the number of levels involved, location of the pathology and baseline cervical sagittal alignment. Conclusions: Early recognition and treatment of CSM, before the onset of spinal cord damage, is essential for optimal outcomes. The goal of surgery is to decompress the cord with expansion of the spinal canal, while restoring cervical lordosis, and stabilizing when the risk of cervical kyphosis is high. Further high-quality randomized clinical studies with long-term follow up are still needed to further define the natural history and help predict the ideal surgical strategy.","author":[{"dropping-particle":"","family":"Bakhsheshian","given":"Joshua","non-dropping-particle":"","parse-names":false,"suffix":""},{"dropping-particle":"","family":"Mehta","given":"Vivek A.","non-dropping-particle":"","parse-names":false,"suffix":""},{"dropping-particle":"","family":"Liu","given":"John C.","non-dropping-particle":"","parse-names":false,"suffix":""}],"container-title":"Global Spine Journal","id":"ITEM-1","issue":"6","issued":{"date-parts":[["2017"]]},"page":"572-586","title":"Current Diagnosis and Management of Cervical Spondylotic Myelopathy","type":"article-journal","volume":"7"},"uris":["http://www.mendeley.com/documents/?uuid=591683fb-256a-44da-af42-8adca9fe890e"]}],"mendeley":{"formattedCitation":"(Bakhsheshian et al., 2017)","plainTextFormattedCitation":"(Bakhsheshian et al., 2017)","previouslyFormattedCitation":"(Bakhsheshian et al., 2017)"},"properties":{"noteIndex":0},"schema":"https://github.com/citation-style-language/schema/raw/master/csl-citation.json"}</w:instrText>
      </w:r>
      <w:r w:rsidRPr="00855CB7">
        <w:rPr>
          <w:sz w:val="20"/>
          <w:szCs w:val="20"/>
          <w:highlight w:val="yellow"/>
        </w:rPr>
        <w:fldChar w:fldCharType="separate"/>
      </w:r>
      <w:r w:rsidRPr="00855CB7">
        <w:rPr>
          <w:noProof/>
          <w:sz w:val="20"/>
          <w:szCs w:val="20"/>
          <w:highlight w:val="yellow"/>
        </w:rPr>
        <w:t>(Bakhsheshian et al., 2017)</w:t>
      </w:r>
      <w:r w:rsidRPr="00855CB7">
        <w:rPr>
          <w:sz w:val="20"/>
          <w:szCs w:val="20"/>
          <w:highlight w:val="yellow"/>
        </w:rPr>
        <w:fldChar w:fldCharType="end"/>
      </w:r>
      <w:r w:rsidR="000E15CA" w:rsidRPr="000E15CA">
        <w:rPr>
          <w:sz w:val="20"/>
          <w:szCs w:val="20"/>
          <w:highlight w:val="yellow"/>
          <w:vertAlign w:val="superscript"/>
        </w:rPr>
        <w:t>30</w:t>
      </w:r>
      <w:r w:rsidRPr="00855CB7">
        <w:rPr>
          <w:sz w:val="20"/>
          <w:szCs w:val="20"/>
          <w:highlight w:val="yellow"/>
        </w:rPr>
        <w:t xml:space="preserve"> shown CSM is a major cause of disability, especially in the elderly, requiring early diagnosis and management. While mild cases may be managed conservatively, surgery is superior for moderate to severe cases. The optimal surgical approach remains debated, and high-quality studies are needed to refine treatment strategies and long-term outcomes.</w:t>
      </w:r>
    </w:p>
    <w:p w14:paraId="564434B5" w14:textId="77777777" w:rsidR="00855CB7" w:rsidRDefault="00855CB7" w:rsidP="00855CB7"/>
    <w:p w14:paraId="7EF90932" w14:textId="77777777" w:rsidR="00855CB7" w:rsidRDefault="00855CB7" w:rsidP="00855CB7"/>
    <w:p w14:paraId="40D81A09" w14:textId="77777777" w:rsidR="00855CB7" w:rsidRDefault="00855CB7" w:rsidP="00855CB7"/>
    <w:p w14:paraId="65BE13F0" w14:textId="77777777" w:rsidR="00855CB7" w:rsidRDefault="00855CB7" w:rsidP="00855CB7"/>
    <w:p w14:paraId="1F6F8692" w14:textId="77777777" w:rsidR="00855CB7" w:rsidRDefault="00855CB7" w:rsidP="00855CB7"/>
    <w:p w14:paraId="17183446" w14:textId="77777777" w:rsidR="00855CB7" w:rsidRPr="00855CB7" w:rsidRDefault="00855CB7" w:rsidP="00855CB7"/>
    <w:p w14:paraId="0D6FFA47" w14:textId="275830E7" w:rsidR="00C23FD1" w:rsidRPr="006352EA" w:rsidRDefault="00B516F8" w:rsidP="00855CB7">
      <w:pPr>
        <w:pStyle w:val="ListParagraph"/>
        <w:numPr>
          <w:ilvl w:val="1"/>
          <w:numId w:val="5"/>
        </w:numPr>
        <w:spacing w:after="240"/>
        <w:ind w:left="426" w:hanging="426"/>
        <w:jc w:val="both"/>
        <w:rPr>
          <w:b/>
        </w:rPr>
      </w:pPr>
      <w:r w:rsidRPr="006352EA">
        <w:rPr>
          <w:b/>
        </w:rPr>
        <w:lastRenderedPageBreak/>
        <w:t>CONCLUSION</w:t>
      </w:r>
      <w:r w:rsidR="00A77886" w:rsidRPr="006352EA">
        <w:rPr>
          <w:b/>
        </w:rPr>
        <w:t xml:space="preserve"> and </w:t>
      </w:r>
      <w:r w:rsidR="00A77886" w:rsidRPr="006352EA">
        <w:rPr>
          <w:b/>
          <w:highlight w:val="yellow"/>
        </w:rPr>
        <w:t>IMPORTANCE</w:t>
      </w:r>
    </w:p>
    <w:p w14:paraId="37EA4969" w14:textId="75577D63" w:rsidR="007A0869" w:rsidRDefault="007A0869" w:rsidP="003C2A84">
      <w:pPr>
        <w:pStyle w:val="Heading1"/>
        <w:spacing w:line="360" w:lineRule="auto"/>
        <w:jc w:val="both"/>
        <w:rPr>
          <w:rFonts w:ascii="Arial" w:hAnsi="Arial" w:cs="Arial"/>
          <w:b w:val="0"/>
          <w:sz w:val="20"/>
          <w:szCs w:val="20"/>
        </w:rPr>
      </w:pPr>
      <w:r w:rsidRPr="00B516F8">
        <w:rPr>
          <w:rFonts w:ascii="Arial" w:hAnsi="Arial" w:cs="Arial"/>
          <w:b w:val="0"/>
          <w:sz w:val="20"/>
          <w:szCs w:val="20"/>
        </w:rPr>
        <w:t xml:space="preserve">Cervical </w:t>
      </w:r>
      <w:proofErr w:type="spellStart"/>
      <w:r w:rsidRPr="00B516F8">
        <w:rPr>
          <w:rFonts w:ascii="Arial" w:hAnsi="Arial" w:cs="Arial"/>
          <w:b w:val="0"/>
          <w:sz w:val="20"/>
          <w:szCs w:val="20"/>
        </w:rPr>
        <w:t>spondylotic</w:t>
      </w:r>
      <w:proofErr w:type="spellEnd"/>
      <w:r w:rsidRPr="00B516F8">
        <w:rPr>
          <w:rFonts w:ascii="Arial" w:hAnsi="Arial" w:cs="Arial"/>
          <w:b w:val="0"/>
          <w:sz w:val="20"/>
          <w:szCs w:val="20"/>
        </w:rPr>
        <w:t xml:space="preserve"> myelopathy (CSM) results from </w:t>
      </w:r>
      <w:r w:rsidRPr="00B516F8">
        <w:rPr>
          <w:rFonts w:ascii="Arial" w:hAnsi="Arial" w:cs="Arial"/>
          <w:b w:val="0"/>
          <w:bCs/>
          <w:sz w:val="20"/>
          <w:szCs w:val="20"/>
        </w:rPr>
        <w:t>spinal cord compression due to vertebral canal narrowing</w:t>
      </w:r>
      <w:r w:rsidRPr="00B516F8">
        <w:rPr>
          <w:rFonts w:ascii="Arial" w:hAnsi="Arial" w:cs="Arial"/>
          <w:b w:val="0"/>
          <w:sz w:val="20"/>
          <w:szCs w:val="20"/>
        </w:rPr>
        <w:t xml:space="preserve">, linked to </w:t>
      </w:r>
      <w:r w:rsidRPr="00B516F8">
        <w:rPr>
          <w:rFonts w:ascii="Arial" w:hAnsi="Arial" w:cs="Arial"/>
          <w:b w:val="0"/>
          <w:bCs/>
          <w:sz w:val="20"/>
          <w:szCs w:val="20"/>
        </w:rPr>
        <w:t>degenerative disc disease, osteoarthritis, spondylolisthesis, and ligament hypertrophy or ossification</w:t>
      </w:r>
      <w:r w:rsidRPr="00B516F8">
        <w:rPr>
          <w:rFonts w:ascii="Arial" w:hAnsi="Arial" w:cs="Arial"/>
          <w:b w:val="0"/>
          <w:sz w:val="20"/>
          <w:szCs w:val="20"/>
        </w:rPr>
        <w:t xml:space="preserve">. Diagnosis involves </w:t>
      </w:r>
      <w:r w:rsidRPr="00B516F8">
        <w:rPr>
          <w:rFonts w:ascii="Arial" w:hAnsi="Arial" w:cs="Arial"/>
          <w:b w:val="0"/>
          <w:bCs/>
          <w:sz w:val="20"/>
          <w:szCs w:val="20"/>
        </w:rPr>
        <w:t>history, physical examination, and imaging (X-ray, MRI, CT scan)</w:t>
      </w:r>
      <w:r w:rsidRPr="00B516F8">
        <w:rPr>
          <w:rFonts w:ascii="Arial" w:hAnsi="Arial" w:cs="Arial"/>
          <w:b w:val="0"/>
          <w:sz w:val="20"/>
          <w:szCs w:val="20"/>
        </w:rPr>
        <w:t xml:space="preserve">. Treatment includes </w:t>
      </w:r>
      <w:r w:rsidRPr="00B516F8">
        <w:rPr>
          <w:rFonts w:ascii="Arial" w:hAnsi="Arial" w:cs="Arial"/>
          <w:b w:val="0"/>
          <w:bCs/>
          <w:sz w:val="20"/>
          <w:szCs w:val="20"/>
        </w:rPr>
        <w:t>non-surgical management (analgesics, rehabilitation)</w:t>
      </w:r>
      <w:r w:rsidRPr="00B516F8">
        <w:rPr>
          <w:rFonts w:ascii="Arial" w:hAnsi="Arial" w:cs="Arial"/>
          <w:b w:val="0"/>
          <w:sz w:val="20"/>
          <w:szCs w:val="20"/>
        </w:rPr>
        <w:t xml:space="preserve"> or </w:t>
      </w:r>
      <w:r w:rsidRPr="00B516F8">
        <w:rPr>
          <w:rFonts w:ascii="Arial" w:hAnsi="Arial" w:cs="Arial"/>
          <w:b w:val="0"/>
          <w:bCs/>
          <w:sz w:val="20"/>
          <w:szCs w:val="20"/>
        </w:rPr>
        <w:t>surgical intervention (anterior, posterior, or combined approaches)</w:t>
      </w:r>
      <w:r w:rsidRPr="00B516F8">
        <w:rPr>
          <w:rFonts w:ascii="Arial" w:hAnsi="Arial" w:cs="Arial"/>
          <w:b w:val="0"/>
          <w:sz w:val="20"/>
          <w:szCs w:val="20"/>
        </w:rPr>
        <w:t xml:space="preserve">, considering </w:t>
      </w:r>
      <w:r w:rsidRPr="00B516F8">
        <w:rPr>
          <w:rFonts w:ascii="Arial" w:hAnsi="Arial" w:cs="Arial"/>
          <w:b w:val="0"/>
          <w:bCs/>
          <w:sz w:val="20"/>
          <w:szCs w:val="20"/>
        </w:rPr>
        <w:t>alignment, pathological level, age, pain severity, and stability</w:t>
      </w:r>
      <w:r w:rsidRPr="00B516F8">
        <w:rPr>
          <w:rFonts w:ascii="Arial" w:hAnsi="Arial" w:cs="Arial"/>
          <w:b w:val="0"/>
          <w:sz w:val="20"/>
          <w:szCs w:val="20"/>
        </w:rPr>
        <w:t>.</w:t>
      </w:r>
      <w:r w:rsidR="00A77886">
        <w:rPr>
          <w:rFonts w:ascii="Arial" w:hAnsi="Arial" w:cs="Arial"/>
          <w:b w:val="0"/>
          <w:sz w:val="20"/>
          <w:szCs w:val="20"/>
        </w:rPr>
        <w:t xml:space="preserve"> </w:t>
      </w:r>
      <w:r w:rsidR="00A77886" w:rsidRPr="00A77886">
        <w:rPr>
          <w:rFonts w:ascii="Arial" w:hAnsi="Arial" w:cs="Arial"/>
          <w:b w:val="0"/>
          <w:sz w:val="20"/>
          <w:szCs w:val="20"/>
          <w:highlight w:val="yellow"/>
        </w:rPr>
        <w:t xml:space="preserve">This manuscript provides valuable insights into the clinical characteristics and management outcomes of Cervical </w:t>
      </w:r>
      <w:proofErr w:type="spellStart"/>
      <w:r w:rsidR="00A77886" w:rsidRPr="00A77886">
        <w:rPr>
          <w:rFonts w:ascii="Arial" w:hAnsi="Arial" w:cs="Arial"/>
          <w:b w:val="0"/>
          <w:sz w:val="20"/>
          <w:szCs w:val="20"/>
          <w:highlight w:val="yellow"/>
        </w:rPr>
        <w:t>Spondylotic</w:t>
      </w:r>
      <w:proofErr w:type="spellEnd"/>
      <w:r w:rsidR="00A77886" w:rsidRPr="00A77886">
        <w:rPr>
          <w:rFonts w:ascii="Arial" w:hAnsi="Arial" w:cs="Arial"/>
          <w:b w:val="0"/>
          <w:sz w:val="20"/>
          <w:szCs w:val="20"/>
          <w:highlight w:val="yellow"/>
        </w:rPr>
        <w:t xml:space="preserve"> Myelopathy (CSM), a leading cause of spinal cord dysfunction. By offering a comprehensive descriptive analysis, it enhances the understanding of disease progression, patient demographics, and treatment effectiveness. The findings can contribute to optimizing surgical decision-making and improving patient outcomes. Additionally, this study serves as a reference for future research on CSM, helping to refine treatment strategies and improve long-term care.</w:t>
      </w:r>
    </w:p>
    <w:p w14:paraId="1EC062B4" w14:textId="55975EA8" w:rsidR="000C0E05" w:rsidRDefault="000C0E05" w:rsidP="000C0E05"/>
    <w:p w14:paraId="2B172B43" w14:textId="7A7062A6" w:rsidR="000C0E05" w:rsidRDefault="000C0E05" w:rsidP="000C0E05"/>
    <w:p w14:paraId="44856B39" w14:textId="531AB0AA" w:rsidR="000C0E05" w:rsidRDefault="000C0E05" w:rsidP="000C0E05"/>
    <w:p w14:paraId="41F851C2" w14:textId="67484C0F" w:rsidR="000C0E05" w:rsidRDefault="000C0E05" w:rsidP="000C0E05"/>
    <w:p w14:paraId="5B9ACE17" w14:textId="257E492A" w:rsidR="000C0E05" w:rsidRDefault="000C0E05" w:rsidP="000C0E05"/>
    <w:p w14:paraId="78C98D3F" w14:textId="27DA57E5" w:rsidR="000C0E05" w:rsidRDefault="000C0E05" w:rsidP="000C0E05"/>
    <w:p w14:paraId="7E6AC0EF" w14:textId="7151CBB5" w:rsidR="000C0E05" w:rsidRDefault="000C0E05" w:rsidP="000C0E05"/>
    <w:p w14:paraId="6A00D1EB" w14:textId="06B7E500" w:rsidR="000C0E05" w:rsidRDefault="000C0E05" w:rsidP="000C0E05"/>
    <w:p w14:paraId="57D8D5B7" w14:textId="7EBD4A09" w:rsidR="000C0E05" w:rsidRDefault="000C0E05" w:rsidP="000C0E05"/>
    <w:p w14:paraId="3ECE30AF" w14:textId="72BF39A7" w:rsidR="000C0E05" w:rsidRDefault="000C0E05" w:rsidP="000C0E05"/>
    <w:p w14:paraId="2D13B68D" w14:textId="77777777" w:rsidR="000C0E05" w:rsidRPr="000C0E05" w:rsidRDefault="000C0E05" w:rsidP="000C0E05"/>
    <w:p w14:paraId="080A8825" w14:textId="77777777" w:rsidR="000C0E05" w:rsidRPr="006352EA" w:rsidRDefault="000C0E05" w:rsidP="000C0E05">
      <w:pPr>
        <w:spacing w:after="200"/>
        <w:rPr>
          <w:rFonts w:ascii="Calibri" w:eastAsia="Calibri" w:hAnsi="Calibri" w:cs="Times New Roman"/>
          <w:b/>
          <w:kern w:val="2"/>
          <w:highlight w:val="yellow"/>
          <w:lang w:val="en-US"/>
        </w:rPr>
      </w:pPr>
      <w:bookmarkStart w:id="11" w:name="_Hlk183680988"/>
      <w:bookmarkStart w:id="12" w:name="_Hlk180402183"/>
      <w:r w:rsidRPr="006352EA">
        <w:rPr>
          <w:rFonts w:ascii="Calibri" w:eastAsia="Calibri" w:hAnsi="Calibri" w:cs="Times New Roman"/>
          <w:b/>
          <w:kern w:val="2"/>
          <w:highlight w:val="yellow"/>
          <w:lang w:val="en-US"/>
        </w:rPr>
        <w:t>Disclaimer (Artificial intelligence)</w:t>
      </w:r>
    </w:p>
    <w:p w14:paraId="171599E2"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 xml:space="preserve">Option 1: </w:t>
      </w:r>
    </w:p>
    <w:p w14:paraId="32BD2D8C"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E89216A"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 xml:space="preserve">Option 2: </w:t>
      </w:r>
    </w:p>
    <w:p w14:paraId="0DD392E9"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B7BF5A"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Details of the AI usage are given below:</w:t>
      </w:r>
    </w:p>
    <w:p w14:paraId="0C3496D9"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1.</w:t>
      </w:r>
    </w:p>
    <w:p w14:paraId="588BAA51" w14:textId="77777777" w:rsidR="000C0E05" w:rsidRPr="000C0E05" w:rsidRDefault="000C0E05" w:rsidP="000C0E05">
      <w:pPr>
        <w:spacing w:after="200"/>
        <w:rPr>
          <w:rFonts w:ascii="Calibri" w:eastAsia="Calibri" w:hAnsi="Calibri" w:cs="Times New Roman"/>
          <w:kern w:val="2"/>
          <w:highlight w:val="yellow"/>
          <w:lang w:val="en-US"/>
        </w:rPr>
      </w:pPr>
      <w:r w:rsidRPr="000C0E05">
        <w:rPr>
          <w:rFonts w:ascii="Calibri" w:eastAsia="Calibri" w:hAnsi="Calibri" w:cs="Times New Roman"/>
          <w:kern w:val="2"/>
          <w:highlight w:val="yellow"/>
          <w:lang w:val="en-US"/>
        </w:rPr>
        <w:t>2.</w:t>
      </w:r>
    </w:p>
    <w:p w14:paraId="0111DB11" w14:textId="77777777" w:rsidR="000C0E05" w:rsidRPr="000C0E05" w:rsidRDefault="000C0E05" w:rsidP="000C0E05">
      <w:pPr>
        <w:spacing w:after="200"/>
        <w:rPr>
          <w:rFonts w:ascii="Calibri" w:eastAsia="Calibri" w:hAnsi="Calibri" w:cs="Times New Roman"/>
          <w:kern w:val="2"/>
          <w:lang w:val="en-US"/>
        </w:rPr>
      </w:pPr>
      <w:r w:rsidRPr="000C0E05">
        <w:rPr>
          <w:rFonts w:ascii="Calibri" w:eastAsia="Calibri" w:hAnsi="Calibri" w:cs="Times New Roman"/>
          <w:kern w:val="2"/>
          <w:highlight w:val="yellow"/>
          <w:lang w:val="en-US"/>
        </w:rPr>
        <w:lastRenderedPageBreak/>
        <w:t>3.</w:t>
      </w:r>
      <w:bookmarkEnd w:id="11"/>
      <w:bookmarkEnd w:id="12"/>
    </w:p>
    <w:p w14:paraId="61DC0510" w14:textId="77777777" w:rsidR="005923AF" w:rsidRPr="005923AF" w:rsidRDefault="005923AF" w:rsidP="005923AF"/>
    <w:p w14:paraId="06044452" w14:textId="77777777" w:rsidR="007A0869" w:rsidRPr="00B516F8" w:rsidRDefault="007A0869" w:rsidP="003C2A84">
      <w:pPr>
        <w:pStyle w:val="Heading1"/>
        <w:spacing w:line="360" w:lineRule="auto"/>
        <w:jc w:val="both"/>
        <w:rPr>
          <w:rFonts w:ascii="Arial" w:hAnsi="Arial" w:cs="Arial"/>
          <w:b w:val="0"/>
        </w:rPr>
      </w:pPr>
    </w:p>
    <w:p w14:paraId="00C0A820" w14:textId="77777777" w:rsidR="003C2A84" w:rsidRPr="00B516F8" w:rsidRDefault="003C2A84" w:rsidP="003C2A84"/>
    <w:p w14:paraId="15C0CB06" w14:textId="77777777" w:rsidR="00CA24D5" w:rsidRPr="00B516F8" w:rsidRDefault="0035203A" w:rsidP="003C2A84">
      <w:pPr>
        <w:pStyle w:val="Heading1"/>
        <w:spacing w:line="360" w:lineRule="auto"/>
        <w:jc w:val="both"/>
        <w:rPr>
          <w:rFonts w:ascii="Arial" w:hAnsi="Arial" w:cs="Arial"/>
          <w:b w:val="0"/>
          <w:sz w:val="22"/>
          <w:szCs w:val="22"/>
        </w:rPr>
      </w:pPr>
      <w:r w:rsidRPr="00B516F8">
        <w:rPr>
          <w:rFonts w:ascii="Arial" w:hAnsi="Arial" w:cs="Arial"/>
          <w:sz w:val="22"/>
          <w:szCs w:val="22"/>
        </w:rPr>
        <w:t>References</w:t>
      </w:r>
    </w:p>
    <w:p w14:paraId="5BE9E3DB"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Nouri A, Murray JC,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MG. Degenerative cervical myelopathy: a spectrum of degenerative spondylopathies. Springer Nature Switzerland AG. 2019:37-51.</w:t>
      </w:r>
    </w:p>
    <w:p w14:paraId="36D71FA0"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Davies BM, </w:t>
      </w:r>
      <w:proofErr w:type="spellStart"/>
      <w:r w:rsidRPr="00B516F8">
        <w:rPr>
          <w:rFonts w:ascii="Arial" w:hAnsi="Arial" w:cs="Arial"/>
          <w:sz w:val="20"/>
          <w:szCs w:val="20"/>
        </w:rPr>
        <w:t>Mowforth</w:t>
      </w:r>
      <w:proofErr w:type="spellEnd"/>
      <w:r w:rsidRPr="00B516F8">
        <w:rPr>
          <w:rFonts w:ascii="Arial" w:hAnsi="Arial" w:cs="Arial"/>
          <w:sz w:val="20"/>
          <w:szCs w:val="20"/>
        </w:rPr>
        <w:t xml:space="preserve"> OD, Smith EK, et al. Degenerative cervical myelopathy. BMJ 2018;</w:t>
      </w:r>
      <w:proofErr w:type="gramStart"/>
      <w:r w:rsidRPr="00B516F8">
        <w:rPr>
          <w:rFonts w:ascii="Arial" w:hAnsi="Arial" w:cs="Arial"/>
          <w:sz w:val="20"/>
          <w:szCs w:val="20"/>
        </w:rPr>
        <w:t>360:k</w:t>
      </w:r>
      <w:proofErr w:type="gramEnd"/>
      <w:r w:rsidRPr="00B516F8">
        <w:rPr>
          <w:rFonts w:ascii="Arial" w:hAnsi="Arial" w:cs="Arial"/>
          <w:sz w:val="20"/>
          <w:szCs w:val="20"/>
        </w:rPr>
        <w:t>186</w:t>
      </w:r>
    </w:p>
    <w:p w14:paraId="75E51982"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De la Garza Ramos R. Predictors of Return to Normal Neurological Function After Surgery for Moderate and Severe Degenerative Cervical Myelopathy: An Analysis of </w:t>
      </w:r>
      <w:proofErr w:type="gramStart"/>
      <w:r w:rsidRPr="00B516F8">
        <w:rPr>
          <w:rFonts w:ascii="Arial" w:hAnsi="Arial" w:cs="Arial"/>
          <w:sz w:val="20"/>
          <w:szCs w:val="20"/>
        </w:rPr>
        <w:t>A</w:t>
      </w:r>
      <w:proofErr w:type="gramEnd"/>
      <w:r w:rsidRPr="00B516F8">
        <w:rPr>
          <w:rFonts w:ascii="Arial" w:hAnsi="Arial" w:cs="Arial"/>
          <w:sz w:val="20"/>
          <w:szCs w:val="20"/>
        </w:rPr>
        <w:t xml:space="preserve"> Global </w:t>
      </w:r>
      <w:proofErr w:type="spellStart"/>
      <w:r w:rsidRPr="00B516F8">
        <w:rPr>
          <w:rFonts w:ascii="Arial" w:hAnsi="Arial" w:cs="Arial"/>
          <w:sz w:val="20"/>
          <w:szCs w:val="20"/>
        </w:rPr>
        <w:t>AOSpine</w:t>
      </w:r>
      <w:proofErr w:type="spellEnd"/>
      <w:r w:rsidRPr="00B516F8">
        <w:rPr>
          <w:rFonts w:ascii="Arial" w:hAnsi="Arial" w:cs="Arial"/>
          <w:sz w:val="20"/>
          <w:szCs w:val="20"/>
        </w:rPr>
        <w:t xml:space="preserve"> Cohort of Patients. Neurosurgery. 2019:1-7</w:t>
      </w:r>
    </w:p>
    <w:p w14:paraId="71108F01"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McCormick JR. Sama AJ, Schiller NC, et al.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guide to diagnosis and management. J Am Board Fam Med. </w:t>
      </w:r>
      <w:proofErr w:type="gramStart"/>
      <w:r w:rsidRPr="00B516F8">
        <w:rPr>
          <w:rFonts w:ascii="Arial" w:hAnsi="Arial" w:cs="Arial"/>
          <w:sz w:val="20"/>
          <w:szCs w:val="20"/>
        </w:rPr>
        <w:t>2020;33:303</w:t>
      </w:r>
      <w:proofErr w:type="gramEnd"/>
      <w:r w:rsidRPr="00B516F8">
        <w:rPr>
          <w:rFonts w:ascii="Arial" w:hAnsi="Arial" w:cs="Arial"/>
          <w:sz w:val="20"/>
          <w:szCs w:val="20"/>
        </w:rPr>
        <w:t>–313.</w:t>
      </w:r>
    </w:p>
    <w:p w14:paraId="234B0018"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Milligan J, Ryan K,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 et al. Degenerative cervical myelopathy Diagnosis and management in primary care. Canadian Family Physician. 2019;619-24.</w:t>
      </w:r>
    </w:p>
    <w:p w14:paraId="0F4F4D66"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Bajamal</w:t>
      </w:r>
      <w:proofErr w:type="spellEnd"/>
      <w:r w:rsidRPr="00B516F8">
        <w:rPr>
          <w:rFonts w:ascii="Arial" w:hAnsi="Arial" w:cs="Arial"/>
          <w:sz w:val="20"/>
          <w:szCs w:val="20"/>
        </w:rPr>
        <w:t xml:space="preserve"> AH, Kim SH, </w:t>
      </w:r>
      <w:proofErr w:type="spellStart"/>
      <w:r w:rsidRPr="00B516F8">
        <w:rPr>
          <w:rFonts w:ascii="Arial" w:hAnsi="Arial" w:cs="Arial"/>
          <w:sz w:val="20"/>
          <w:szCs w:val="20"/>
        </w:rPr>
        <w:t>Arifianto</w:t>
      </w:r>
      <w:proofErr w:type="spellEnd"/>
      <w:r w:rsidRPr="00B516F8">
        <w:rPr>
          <w:rFonts w:ascii="Arial" w:hAnsi="Arial" w:cs="Arial"/>
          <w:sz w:val="20"/>
          <w:szCs w:val="20"/>
        </w:rPr>
        <w:t xml:space="preserve"> MR, et al. Posterior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wfns</w:t>
      </w:r>
      <w:proofErr w:type="spellEnd"/>
      <w:r w:rsidRPr="00B516F8">
        <w:rPr>
          <w:rFonts w:ascii="Arial" w:hAnsi="Arial" w:cs="Arial"/>
          <w:sz w:val="20"/>
          <w:szCs w:val="20"/>
        </w:rPr>
        <w:t xml:space="preserve"> spine committee recommendations. </w:t>
      </w:r>
      <w:proofErr w:type="spellStart"/>
      <w:r w:rsidRPr="00B516F8">
        <w:rPr>
          <w:rFonts w:ascii="Arial" w:hAnsi="Arial" w:cs="Arial"/>
          <w:sz w:val="20"/>
          <w:szCs w:val="20"/>
        </w:rPr>
        <w:t>Neurospine</w:t>
      </w:r>
      <w:proofErr w:type="spellEnd"/>
      <w:r w:rsidRPr="00B516F8">
        <w:rPr>
          <w:rFonts w:ascii="Arial" w:hAnsi="Arial" w:cs="Arial"/>
          <w:sz w:val="20"/>
          <w:szCs w:val="20"/>
        </w:rPr>
        <w:t xml:space="preserve"> 2019;16(3):421-434.</w:t>
      </w:r>
    </w:p>
    <w:p w14:paraId="7058E9C4"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Kaiser MG, </w:t>
      </w:r>
      <w:proofErr w:type="spellStart"/>
      <w:r w:rsidRPr="00B516F8">
        <w:rPr>
          <w:rFonts w:ascii="Arial" w:hAnsi="Arial" w:cs="Arial"/>
          <w:sz w:val="20"/>
          <w:szCs w:val="20"/>
        </w:rPr>
        <w:t>Haid</w:t>
      </w:r>
      <w:proofErr w:type="spellEnd"/>
      <w:r w:rsidRPr="00B516F8">
        <w:rPr>
          <w:rFonts w:ascii="Arial" w:hAnsi="Arial" w:cs="Arial"/>
          <w:sz w:val="20"/>
          <w:szCs w:val="20"/>
        </w:rPr>
        <w:t xml:space="preserve"> RW, </w:t>
      </w:r>
      <w:proofErr w:type="spellStart"/>
      <w:r w:rsidRPr="00B516F8">
        <w:rPr>
          <w:rFonts w:ascii="Arial" w:hAnsi="Arial" w:cs="Arial"/>
          <w:sz w:val="20"/>
          <w:szCs w:val="20"/>
        </w:rPr>
        <w:t>Shaffrey</w:t>
      </w:r>
      <w:proofErr w:type="spellEnd"/>
      <w:r w:rsidRPr="00B516F8">
        <w:rPr>
          <w:rFonts w:ascii="Arial" w:hAnsi="Arial" w:cs="Arial"/>
          <w:sz w:val="20"/>
          <w:szCs w:val="20"/>
        </w:rPr>
        <w:t xml:space="preserve"> CI, et al. Degenerative Cervical Myelopathy and Radiculopathy. Spinger. 2019:37-50.</w:t>
      </w:r>
    </w:p>
    <w:p w14:paraId="1E0CE862"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Benzel, Edward C. The Cervical </w:t>
      </w:r>
      <w:proofErr w:type="spellStart"/>
      <w:r w:rsidRPr="00B516F8">
        <w:rPr>
          <w:rFonts w:ascii="Arial" w:hAnsi="Arial" w:cs="Arial"/>
          <w:sz w:val="20"/>
          <w:szCs w:val="20"/>
        </w:rPr>
        <w:t>Spine.Lippincott</w:t>
      </w:r>
      <w:proofErr w:type="spellEnd"/>
      <w:r w:rsidRPr="00B516F8">
        <w:rPr>
          <w:rFonts w:ascii="Arial" w:hAnsi="Arial" w:cs="Arial"/>
          <w:sz w:val="20"/>
          <w:szCs w:val="20"/>
        </w:rPr>
        <w:t xml:space="preserve"> Williams and Wilkins. 2012; 34-70.  Goel A, Cacciola F. The Craniovertebral Junction: Diagnosis, Pathology, Surgical Technique. New York: Thieme. 2010; 14-160</w:t>
      </w:r>
    </w:p>
    <w:p w14:paraId="703BCBE5"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Swartz U, Floyd T. </w:t>
      </w:r>
      <w:proofErr w:type="spellStart"/>
      <w:r w:rsidRPr="00B516F8">
        <w:rPr>
          <w:rFonts w:ascii="Arial" w:hAnsi="Arial" w:cs="Arial"/>
          <w:sz w:val="20"/>
          <w:szCs w:val="20"/>
        </w:rPr>
        <w:t>Cervikal</w:t>
      </w:r>
      <w:proofErr w:type="spellEnd"/>
      <w:r w:rsidRPr="00B516F8">
        <w:rPr>
          <w:rFonts w:ascii="Arial" w:hAnsi="Arial" w:cs="Arial"/>
          <w:sz w:val="20"/>
          <w:szCs w:val="20"/>
        </w:rPr>
        <w:t xml:space="preserve"> Spine Functional Anatomy and Biomechanics of Injury Due to Compressive Loading. Journal of Athletic Training. Hampshire: National </w:t>
      </w:r>
      <w:proofErr w:type="spellStart"/>
      <w:r w:rsidRPr="00B516F8">
        <w:rPr>
          <w:rFonts w:ascii="Arial" w:hAnsi="Arial" w:cs="Arial"/>
          <w:sz w:val="20"/>
          <w:szCs w:val="20"/>
        </w:rPr>
        <w:t>Sthletic</w:t>
      </w:r>
      <w:proofErr w:type="spellEnd"/>
      <w:r w:rsidRPr="00B516F8">
        <w:rPr>
          <w:rFonts w:ascii="Arial" w:hAnsi="Arial" w:cs="Arial"/>
          <w:sz w:val="20"/>
          <w:szCs w:val="20"/>
        </w:rPr>
        <w:t xml:space="preserve"> Trainers Association. 2005; 155-161.</w:t>
      </w:r>
    </w:p>
    <w:p w14:paraId="4109F74B"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Goel A, Cacciola F. The Craniovertebral Junction: Diagnosis, Pathology, Surgical Technique. New York: Thieme. 2010; 14-160.</w:t>
      </w:r>
    </w:p>
    <w:p w14:paraId="3660CFB0"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Korres</w:t>
      </w:r>
      <w:proofErr w:type="spellEnd"/>
      <w:r w:rsidRPr="00B516F8">
        <w:rPr>
          <w:rFonts w:ascii="Arial" w:hAnsi="Arial" w:cs="Arial"/>
          <w:sz w:val="20"/>
          <w:szCs w:val="20"/>
        </w:rPr>
        <w:t>, Demetrios S. The Axis Vertebra. Milan: Springer. 2013; 21-26.</w:t>
      </w:r>
    </w:p>
    <w:p w14:paraId="3B0C6BCE"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Suchomel</w:t>
      </w:r>
      <w:proofErr w:type="spellEnd"/>
      <w:r w:rsidRPr="00B516F8">
        <w:rPr>
          <w:rFonts w:ascii="Arial" w:hAnsi="Arial" w:cs="Arial"/>
          <w:sz w:val="20"/>
          <w:szCs w:val="20"/>
        </w:rPr>
        <w:t xml:space="preserve"> P, </w:t>
      </w:r>
      <w:proofErr w:type="spellStart"/>
      <w:r w:rsidRPr="00B516F8">
        <w:rPr>
          <w:rFonts w:ascii="Arial" w:hAnsi="Arial" w:cs="Arial"/>
          <w:sz w:val="20"/>
          <w:szCs w:val="20"/>
        </w:rPr>
        <w:t>Choutka</w:t>
      </w:r>
      <w:proofErr w:type="spellEnd"/>
      <w:r w:rsidRPr="00B516F8">
        <w:rPr>
          <w:rFonts w:ascii="Arial" w:hAnsi="Arial" w:cs="Arial"/>
          <w:sz w:val="20"/>
          <w:szCs w:val="20"/>
        </w:rPr>
        <w:t xml:space="preserve"> O. Reconstruction of Upper Cervical Spine and Craniovertebral Junction. Heidelberg: Springer. 2011; 17-21.</w:t>
      </w:r>
    </w:p>
    <w:p w14:paraId="669081A5"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Suyasa</w:t>
      </w:r>
      <w:proofErr w:type="spellEnd"/>
      <w:r w:rsidRPr="00B516F8">
        <w:rPr>
          <w:rFonts w:ascii="Arial" w:hAnsi="Arial" w:cs="Arial"/>
          <w:sz w:val="20"/>
          <w:szCs w:val="20"/>
        </w:rPr>
        <w:t xml:space="preserve"> K. Spine surgery. Baswara Press. 2022</w:t>
      </w:r>
    </w:p>
    <w:p w14:paraId="4F0A7BBC"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Milligan J, Ryan K, </w:t>
      </w:r>
      <w:proofErr w:type="spellStart"/>
      <w:r w:rsidRPr="00B516F8">
        <w:rPr>
          <w:rFonts w:ascii="Arial" w:hAnsi="Arial" w:cs="Arial"/>
          <w:sz w:val="20"/>
          <w:szCs w:val="20"/>
        </w:rPr>
        <w:t>Fehlings</w:t>
      </w:r>
      <w:proofErr w:type="spellEnd"/>
      <w:r w:rsidRPr="00B516F8">
        <w:rPr>
          <w:rFonts w:ascii="Arial" w:hAnsi="Arial" w:cs="Arial"/>
          <w:sz w:val="20"/>
          <w:szCs w:val="20"/>
        </w:rPr>
        <w:t xml:space="preserve"> M, Baumann C. Degenerative cervical myelopathy diagnosis and management in primary care. Canadian Family Physician 2019; 65:619-24. </w:t>
      </w:r>
    </w:p>
    <w:p w14:paraId="7DC59761" w14:textId="3AA16427" w:rsidR="00CF4201"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Suyasa</w:t>
      </w:r>
      <w:proofErr w:type="spellEnd"/>
      <w:r w:rsidRPr="00B516F8">
        <w:rPr>
          <w:rFonts w:ascii="Arial" w:hAnsi="Arial" w:cs="Arial"/>
          <w:sz w:val="20"/>
          <w:szCs w:val="20"/>
        </w:rPr>
        <w:t xml:space="preserve"> K. </w:t>
      </w:r>
      <w:proofErr w:type="spellStart"/>
      <w:r w:rsidRPr="00B516F8">
        <w:rPr>
          <w:rFonts w:ascii="Arial" w:hAnsi="Arial" w:cs="Arial"/>
          <w:sz w:val="20"/>
          <w:szCs w:val="20"/>
        </w:rPr>
        <w:t>Penyakit</w:t>
      </w:r>
      <w:proofErr w:type="spellEnd"/>
      <w:r w:rsidRPr="00B516F8">
        <w:rPr>
          <w:rFonts w:ascii="Arial" w:hAnsi="Arial" w:cs="Arial"/>
          <w:sz w:val="20"/>
          <w:szCs w:val="20"/>
        </w:rPr>
        <w:t xml:space="preserve"> degenerative cervical. Udayana university press: 2019</w:t>
      </w:r>
    </w:p>
    <w:p w14:paraId="0C04D094"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Zhang AS, Myers C, Mc Donald CL, et al. Cervical myelopathy: diagnosis, contemporary treatment, and outcomes. </w:t>
      </w:r>
      <w:r w:rsidRPr="00B516F8">
        <w:rPr>
          <w:rFonts w:ascii="Arial" w:hAnsi="Arial" w:cs="Arial"/>
          <w:i/>
          <w:iCs/>
          <w:sz w:val="20"/>
          <w:szCs w:val="20"/>
        </w:rPr>
        <w:t>The American Journal of Medicine</w:t>
      </w:r>
      <w:r w:rsidRPr="00B516F8">
        <w:rPr>
          <w:rFonts w:ascii="Arial" w:hAnsi="Arial" w:cs="Arial"/>
          <w:sz w:val="20"/>
          <w:szCs w:val="20"/>
        </w:rPr>
        <w:t>. 2022;135(4):435-43</w:t>
      </w:r>
    </w:p>
    <w:p w14:paraId="48CF84CA" w14:textId="77777777"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lastRenderedPageBreak/>
        <w:t xml:space="preserve">Deora H, Kim SH, Behari S, et al. Anterior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WFNS Spine Committee Recommendations. </w:t>
      </w:r>
      <w:proofErr w:type="spellStart"/>
      <w:r w:rsidRPr="00B516F8">
        <w:rPr>
          <w:rFonts w:ascii="Arial" w:hAnsi="Arial" w:cs="Arial"/>
          <w:sz w:val="20"/>
          <w:szCs w:val="20"/>
        </w:rPr>
        <w:t>Posteri</w:t>
      </w:r>
      <w:proofErr w:type="spellEnd"/>
      <w:r w:rsidRPr="00B516F8">
        <w:rPr>
          <w:rFonts w:ascii="Arial" w:hAnsi="Arial" w:cs="Arial"/>
          <w:sz w:val="20"/>
          <w:szCs w:val="20"/>
        </w:rPr>
        <w:t xml:space="preserve"> </w:t>
      </w:r>
      <w:proofErr w:type="spellStart"/>
      <w:r w:rsidRPr="00B516F8">
        <w:rPr>
          <w:rFonts w:ascii="Arial" w:hAnsi="Arial" w:cs="Arial"/>
          <w:sz w:val="20"/>
          <w:szCs w:val="20"/>
        </w:rPr>
        <w:t>Neurospine</w:t>
      </w:r>
      <w:proofErr w:type="spellEnd"/>
      <w:r w:rsidRPr="00B516F8">
        <w:rPr>
          <w:rFonts w:ascii="Arial" w:hAnsi="Arial" w:cs="Arial"/>
          <w:sz w:val="20"/>
          <w:szCs w:val="20"/>
        </w:rPr>
        <w:t>. 2019;16(3):408-420.</w:t>
      </w:r>
    </w:p>
    <w:p w14:paraId="4FECBB4D" w14:textId="142ACB8C" w:rsidR="00CF4201" w:rsidRPr="00B516F8" w:rsidRDefault="00CF4201"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Han YC, Liu ZQ, Wang SJ, et al. Is anterior cervical discectomy and fusion superior to corpectomy and fusion for treatment of multilevel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systemic review and meta-analysis. </w:t>
      </w:r>
      <w:proofErr w:type="spellStart"/>
      <w:r w:rsidRPr="00B516F8">
        <w:rPr>
          <w:rFonts w:ascii="Arial" w:hAnsi="Arial" w:cs="Arial"/>
          <w:sz w:val="20"/>
          <w:szCs w:val="20"/>
        </w:rPr>
        <w:t>PLoS</w:t>
      </w:r>
      <w:proofErr w:type="spellEnd"/>
      <w:r w:rsidRPr="00B516F8">
        <w:rPr>
          <w:rFonts w:ascii="Arial" w:hAnsi="Arial" w:cs="Arial"/>
          <w:sz w:val="20"/>
          <w:szCs w:val="20"/>
        </w:rPr>
        <w:t xml:space="preserve"> One 2014;</w:t>
      </w:r>
      <w:proofErr w:type="gramStart"/>
      <w:r w:rsidRPr="00B516F8">
        <w:rPr>
          <w:rFonts w:ascii="Arial" w:hAnsi="Arial" w:cs="Arial"/>
          <w:sz w:val="20"/>
          <w:szCs w:val="20"/>
        </w:rPr>
        <w:t>9:e</w:t>
      </w:r>
      <w:proofErr w:type="gramEnd"/>
      <w:r w:rsidRPr="00B516F8">
        <w:rPr>
          <w:rFonts w:ascii="Arial" w:hAnsi="Arial" w:cs="Arial"/>
          <w:sz w:val="20"/>
          <w:szCs w:val="20"/>
        </w:rPr>
        <w:t>87191.</w:t>
      </w:r>
    </w:p>
    <w:p w14:paraId="323D6544" w14:textId="0CDC1C65" w:rsidR="00CA24D5" w:rsidRPr="00B516F8" w:rsidRDefault="00CF4201"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Bajamal</w:t>
      </w:r>
      <w:proofErr w:type="spellEnd"/>
      <w:r w:rsidRPr="00B516F8">
        <w:rPr>
          <w:rFonts w:ascii="Arial" w:hAnsi="Arial" w:cs="Arial"/>
          <w:sz w:val="20"/>
          <w:szCs w:val="20"/>
        </w:rPr>
        <w:t xml:space="preserve"> AH, Kim SH, </w:t>
      </w:r>
      <w:proofErr w:type="spellStart"/>
      <w:r w:rsidRPr="00B516F8">
        <w:rPr>
          <w:rFonts w:ascii="Arial" w:hAnsi="Arial" w:cs="Arial"/>
          <w:sz w:val="20"/>
          <w:szCs w:val="20"/>
        </w:rPr>
        <w:t>Arifianto</w:t>
      </w:r>
      <w:proofErr w:type="spellEnd"/>
      <w:r w:rsidRPr="00B516F8">
        <w:rPr>
          <w:rFonts w:ascii="Arial" w:hAnsi="Arial" w:cs="Arial"/>
          <w:sz w:val="20"/>
          <w:szCs w:val="20"/>
        </w:rPr>
        <w:t xml:space="preserve"> MR, et al. Posterior surgical techniques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wfns</w:t>
      </w:r>
      <w:proofErr w:type="spellEnd"/>
      <w:r w:rsidRPr="00B516F8">
        <w:rPr>
          <w:rFonts w:ascii="Arial" w:hAnsi="Arial" w:cs="Arial"/>
          <w:sz w:val="20"/>
          <w:szCs w:val="20"/>
        </w:rPr>
        <w:t xml:space="preserve"> spine committee recommendations. </w:t>
      </w:r>
      <w:proofErr w:type="spellStart"/>
      <w:r w:rsidRPr="00B516F8">
        <w:rPr>
          <w:rFonts w:ascii="Arial" w:hAnsi="Arial" w:cs="Arial"/>
          <w:sz w:val="20"/>
          <w:szCs w:val="20"/>
        </w:rPr>
        <w:t>Neurospine</w:t>
      </w:r>
      <w:proofErr w:type="spellEnd"/>
      <w:r w:rsidRPr="00B516F8">
        <w:rPr>
          <w:rFonts w:ascii="Arial" w:hAnsi="Arial" w:cs="Arial"/>
          <w:sz w:val="20"/>
          <w:szCs w:val="20"/>
        </w:rPr>
        <w:t xml:space="preserve"> 2019;16(3):421-434.</w:t>
      </w:r>
    </w:p>
    <w:p w14:paraId="61AB2891"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Bram R, Fiore S, Labiak JJ, et al. Combined anterior-posterior decompression and fusion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Am J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(Belle Mead NJ) 2017;</w:t>
      </w:r>
      <w:proofErr w:type="gramStart"/>
      <w:r w:rsidRPr="00B516F8">
        <w:rPr>
          <w:rFonts w:ascii="Arial" w:hAnsi="Arial" w:cs="Arial"/>
          <w:sz w:val="20"/>
          <w:szCs w:val="20"/>
        </w:rPr>
        <w:t>46:E</w:t>
      </w:r>
      <w:proofErr w:type="gramEnd"/>
      <w:r w:rsidRPr="00B516F8">
        <w:rPr>
          <w:rFonts w:ascii="Arial" w:hAnsi="Arial" w:cs="Arial"/>
          <w:sz w:val="20"/>
          <w:szCs w:val="20"/>
        </w:rPr>
        <w:t>97-104</w:t>
      </w:r>
    </w:p>
    <w:p w14:paraId="7E4029D9"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Muthukumar N. Surgical management of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w:t>
      </w:r>
      <w:proofErr w:type="spellStart"/>
      <w:r w:rsidRPr="00B516F8">
        <w:rPr>
          <w:rFonts w:ascii="Arial" w:hAnsi="Arial" w:cs="Arial"/>
          <w:sz w:val="20"/>
          <w:szCs w:val="20"/>
        </w:rPr>
        <w:t>Neurol</w:t>
      </w:r>
      <w:proofErr w:type="spellEnd"/>
      <w:r w:rsidRPr="00B516F8">
        <w:rPr>
          <w:rFonts w:ascii="Arial" w:hAnsi="Arial" w:cs="Arial"/>
          <w:sz w:val="20"/>
          <w:szCs w:val="20"/>
        </w:rPr>
        <w:t xml:space="preserve"> India </w:t>
      </w:r>
      <w:proofErr w:type="gramStart"/>
      <w:r w:rsidRPr="00B516F8">
        <w:rPr>
          <w:rFonts w:ascii="Arial" w:hAnsi="Arial" w:cs="Arial"/>
          <w:sz w:val="20"/>
          <w:szCs w:val="20"/>
        </w:rPr>
        <w:t>2012;60:201</w:t>
      </w:r>
      <w:proofErr w:type="gramEnd"/>
      <w:r w:rsidRPr="00B516F8">
        <w:rPr>
          <w:rFonts w:ascii="Arial" w:hAnsi="Arial" w:cs="Arial"/>
          <w:sz w:val="20"/>
          <w:szCs w:val="20"/>
        </w:rPr>
        <w:t>-9.</w:t>
      </w:r>
    </w:p>
    <w:p w14:paraId="7E926E9A" w14:textId="77777777" w:rsidR="002D7BFF" w:rsidRPr="00B516F8" w:rsidRDefault="002D7BFF" w:rsidP="003C2A84">
      <w:pPr>
        <w:pStyle w:val="ListParagraph"/>
        <w:numPr>
          <w:ilvl w:val="0"/>
          <w:numId w:val="17"/>
        </w:numPr>
        <w:spacing w:after="0" w:line="360" w:lineRule="auto"/>
        <w:jc w:val="both"/>
        <w:rPr>
          <w:rFonts w:ascii="Arial" w:hAnsi="Arial" w:cs="Arial"/>
          <w:sz w:val="20"/>
          <w:szCs w:val="20"/>
        </w:rPr>
      </w:pPr>
      <w:proofErr w:type="spellStart"/>
      <w:r w:rsidRPr="00B516F8">
        <w:rPr>
          <w:rFonts w:ascii="Arial" w:hAnsi="Arial" w:cs="Arial"/>
          <w:sz w:val="20"/>
          <w:szCs w:val="20"/>
        </w:rPr>
        <w:t>Bakhsheshian</w:t>
      </w:r>
      <w:proofErr w:type="spellEnd"/>
      <w:r w:rsidRPr="00B516F8">
        <w:rPr>
          <w:rFonts w:ascii="Arial" w:hAnsi="Arial" w:cs="Arial"/>
          <w:sz w:val="20"/>
          <w:szCs w:val="20"/>
        </w:rPr>
        <w:t xml:space="preserve"> J, Mehta VA, Liu JC. Current diagnosis and management of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Global Spine J </w:t>
      </w:r>
      <w:proofErr w:type="gramStart"/>
      <w:r w:rsidRPr="00B516F8">
        <w:rPr>
          <w:rFonts w:ascii="Arial" w:hAnsi="Arial" w:cs="Arial"/>
          <w:sz w:val="20"/>
          <w:szCs w:val="20"/>
        </w:rPr>
        <w:t>2017;7:572</w:t>
      </w:r>
      <w:proofErr w:type="gramEnd"/>
      <w:r w:rsidRPr="00B516F8">
        <w:rPr>
          <w:rFonts w:ascii="Arial" w:hAnsi="Arial" w:cs="Arial"/>
          <w:sz w:val="20"/>
          <w:szCs w:val="20"/>
        </w:rPr>
        <w:t>-86.</w:t>
      </w:r>
    </w:p>
    <w:p w14:paraId="2AF705ED" w14:textId="52AA050D" w:rsidR="002D7BFF" w:rsidRPr="00B516F8" w:rsidRDefault="002D7BFF"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Song KJ, Johnson JS, Choi BR, et al. Anterior fusion alone compared with combined anterior and posterior fusion for the treatment of degenerative cervical kyphosis. J Bone Joint </w:t>
      </w:r>
      <w:proofErr w:type="spellStart"/>
      <w:r w:rsidRPr="00B516F8">
        <w:rPr>
          <w:rFonts w:ascii="Arial" w:hAnsi="Arial" w:cs="Arial"/>
          <w:sz w:val="20"/>
          <w:szCs w:val="20"/>
        </w:rPr>
        <w:t>Surg</w:t>
      </w:r>
      <w:proofErr w:type="spellEnd"/>
      <w:r w:rsidRPr="00B516F8">
        <w:rPr>
          <w:rFonts w:ascii="Arial" w:hAnsi="Arial" w:cs="Arial"/>
          <w:sz w:val="20"/>
          <w:szCs w:val="20"/>
        </w:rPr>
        <w:t xml:space="preserve"> Br </w:t>
      </w:r>
      <w:proofErr w:type="gramStart"/>
      <w:r w:rsidRPr="00B516F8">
        <w:rPr>
          <w:rFonts w:ascii="Arial" w:hAnsi="Arial" w:cs="Arial"/>
          <w:sz w:val="20"/>
          <w:szCs w:val="20"/>
        </w:rPr>
        <w:t>2010;92:1548</w:t>
      </w:r>
      <w:proofErr w:type="gramEnd"/>
      <w:r w:rsidRPr="00B516F8">
        <w:rPr>
          <w:rFonts w:ascii="Arial" w:hAnsi="Arial" w:cs="Arial"/>
          <w:sz w:val="20"/>
          <w:szCs w:val="20"/>
        </w:rPr>
        <w:t>-52</w:t>
      </w:r>
    </w:p>
    <w:p w14:paraId="5070B595"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Klineberg E.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review of the evidence.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Clin North Am </w:t>
      </w:r>
      <w:proofErr w:type="gramStart"/>
      <w:r w:rsidRPr="00B516F8">
        <w:rPr>
          <w:rFonts w:ascii="Arial" w:hAnsi="Arial" w:cs="Arial"/>
          <w:sz w:val="20"/>
          <w:szCs w:val="20"/>
        </w:rPr>
        <w:t>2010;41:193</w:t>
      </w:r>
      <w:proofErr w:type="gramEnd"/>
      <w:r w:rsidRPr="00B516F8">
        <w:rPr>
          <w:rFonts w:ascii="Arial" w:hAnsi="Arial" w:cs="Arial"/>
          <w:sz w:val="20"/>
          <w:szCs w:val="20"/>
        </w:rPr>
        <w:t>-202.</w:t>
      </w:r>
    </w:p>
    <w:p w14:paraId="0EF2E694"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Zeng J, Duan Y, Yang Y, et al. Anterior corpectomy and reconstruction using dynamic cervical plate and titanium mesh cage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 minimum 5-year follow-up study. Medicine (Baltimore) 2018;</w:t>
      </w:r>
      <w:proofErr w:type="gramStart"/>
      <w:r w:rsidRPr="00B516F8">
        <w:rPr>
          <w:rFonts w:ascii="Arial" w:hAnsi="Arial" w:cs="Arial"/>
          <w:sz w:val="20"/>
          <w:szCs w:val="20"/>
        </w:rPr>
        <w:t>97:e</w:t>
      </w:r>
      <w:proofErr w:type="gramEnd"/>
      <w:r w:rsidRPr="00B516F8">
        <w:rPr>
          <w:rFonts w:ascii="Arial" w:hAnsi="Arial" w:cs="Arial"/>
          <w:sz w:val="20"/>
          <w:szCs w:val="20"/>
        </w:rPr>
        <w:t>9724.</w:t>
      </w:r>
    </w:p>
    <w:p w14:paraId="24059346" w14:textId="2A7479AC"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Shamji MF, Mohanty C, Massicotte EM, et al. The association of cervical spine alignment with neurologic recovery in a prospective cohort of patients with surgical myelopathy: analysis of a series of 124 cases. World </w:t>
      </w:r>
      <w:proofErr w:type="spellStart"/>
      <w:r w:rsidRPr="00B516F8">
        <w:rPr>
          <w:rFonts w:ascii="Arial" w:hAnsi="Arial" w:cs="Arial"/>
          <w:sz w:val="20"/>
          <w:szCs w:val="20"/>
        </w:rPr>
        <w:t>Neurosurg</w:t>
      </w:r>
      <w:proofErr w:type="spellEnd"/>
      <w:r w:rsidRPr="00B516F8">
        <w:rPr>
          <w:rFonts w:ascii="Arial" w:hAnsi="Arial" w:cs="Arial"/>
          <w:sz w:val="20"/>
          <w:szCs w:val="20"/>
        </w:rPr>
        <w:t xml:space="preserve"> 2016;86: 112-9.</w:t>
      </w:r>
    </w:p>
    <w:p w14:paraId="17A87D67" w14:textId="77777777" w:rsidR="004E2098" w:rsidRPr="00B516F8" w:rsidRDefault="004E2098" w:rsidP="003C2A84">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Bram R, Fiore S, Labiak JJ, et al. Combined anterior-posterior decompression and fusion for cervical </w:t>
      </w:r>
      <w:proofErr w:type="spellStart"/>
      <w:r w:rsidRPr="00B516F8">
        <w:rPr>
          <w:rFonts w:ascii="Arial" w:hAnsi="Arial" w:cs="Arial"/>
          <w:sz w:val="20"/>
          <w:szCs w:val="20"/>
        </w:rPr>
        <w:t>spondylotic</w:t>
      </w:r>
      <w:proofErr w:type="spellEnd"/>
      <w:r w:rsidRPr="00B516F8">
        <w:rPr>
          <w:rFonts w:ascii="Arial" w:hAnsi="Arial" w:cs="Arial"/>
          <w:sz w:val="20"/>
          <w:szCs w:val="20"/>
        </w:rPr>
        <w:t xml:space="preserve"> myelopathy. Am J </w:t>
      </w:r>
      <w:proofErr w:type="spellStart"/>
      <w:r w:rsidRPr="00B516F8">
        <w:rPr>
          <w:rFonts w:ascii="Arial" w:hAnsi="Arial" w:cs="Arial"/>
          <w:sz w:val="20"/>
          <w:szCs w:val="20"/>
        </w:rPr>
        <w:t>Orthop</w:t>
      </w:r>
      <w:proofErr w:type="spellEnd"/>
      <w:r w:rsidRPr="00B516F8">
        <w:rPr>
          <w:rFonts w:ascii="Arial" w:hAnsi="Arial" w:cs="Arial"/>
          <w:sz w:val="20"/>
          <w:szCs w:val="20"/>
        </w:rPr>
        <w:t xml:space="preserve"> (Belle Mead NJ) 2017;</w:t>
      </w:r>
      <w:proofErr w:type="gramStart"/>
      <w:r w:rsidRPr="00B516F8">
        <w:rPr>
          <w:rFonts w:ascii="Arial" w:hAnsi="Arial" w:cs="Arial"/>
          <w:sz w:val="20"/>
          <w:szCs w:val="20"/>
        </w:rPr>
        <w:t>46:E</w:t>
      </w:r>
      <w:proofErr w:type="gramEnd"/>
      <w:r w:rsidRPr="00B516F8">
        <w:rPr>
          <w:rFonts w:ascii="Arial" w:hAnsi="Arial" w:cs="Arial"/>
          <w:sz w:val="20"/>
          <w:szCs w:val="20"/>
        </w:rPr>
        <w:t>97-104</w:t>
      </w:r>
    </w:p>
    <w:p w14:paraId="21EB7E45" w14:textId="77777777" w:rsidR="000E15CA" w:rsidRDefault="004E2098" w:rsidP="000E15CA">
      <w:pPr>
        <w:pStyle w:val="ListParagraph"/>
        <w:numPr>
          <w:ilvl w:val="0"/>
          <w:numId w:val="17"/>
        </w:numPr>
        <w:spacing w:after="0" w:line="360" w:lineRule="auto"/>
        <w:jc w:val="both"/>
        <w:rPr>
          <w:rFonts w:ascii="Arial" w:hAnsi="Arial" w:cs="Arial"/>
          <w:sz w:val="20"/>
          <w:szCs w:val="20"/>
        </w:rPr>
      </w:pPr>
      <w:r w:rsidRPr="00B516F8">
        <w:rPr>
          <w:rFonts w:ascii="Arial" w:hAnsi="Arial" w:cs="Arial"/>
          <w:sz w:val="20"/>
          <w:szCs w:val="20"/>
        </w:rPr>
        <w:t xml:space="preserve">Rodríguez-García M, Silva Pena L, Garcia, et al. Cervical disc arthroplasty, challenges and indications: case report. Arch Clin Exp </w:t>
      </w:r>
      <w:proofErr w:type="spellStart"/>
      <w:r w:rsidRPr="00B516F8">
        <w:rPr>
          <w:rFonts w:ascii="Arial" w:hAnsi="Arial" w:cs="Arial"/>
          <w:sz w:val="20"/>
          <w:szCs w:val="20"/>
        </w:rPr>
        <w:t>Orthop</w:t>
      </w:r>
      <w:proofErr w:type="spellEnd"/>
      <w:r w:rsidRPr="00B516F8">
        <w:rPr>
          <w:rFonts w:ascii="Arial" w:hAnsi="Arial" w:cs="Arial"/>
          <w:sz w:val="20"/>
          <w:szCs w:val="20"/>
        </w:rPr>
        <w:t>. 2022; 6: 001-004.</w:t>
      </w:r>
    </w:p>
    <w:p w14:paraId="43E1469C" w14:textId="77777777" w:rsidR="000E15CA" w:rsidRPr="000E15CA" w:rsidRDefault="000E15CA" w:rsidP="000E15CA">
      <w:pPr>
        <w:pStyle w:val="ListParagraph"/>
        <w:numPr>
          <w:ilvl w:val="0"/>
          <w:numId w:val="17"/>
        </w:numPr>
        <w:spacing w:after="0" w:line="360" w:lineRule="auto"/>
        <w:jc w:val="both"/>
        <w:rPr>
          <w:rFonts w:ascii="Arial" w:hAnsi="Arial" w:cs="Arial"/>
          <w:sz w:val="20"/>
          <w:szCs w:val="20"/>
        </w:rPr>
      </w:pPr>
      <w:r>
        <w:rPr>
          <w:szCs w:val="24"/>
        </w:rPr>
        <w:fldChar w:fldCharType="begin" w:fldLock="1"/>
      </w:r>
      <w:r w:rsidRPr="000E15CA">
        <w:rPr>
          <w:szCs w:val="24"/>
        </w:rPr>
        <w:instrText xml:space="preserve">ADDIN Mendeley Bibliography CSL_BIBLIOGRAPHY </w:instrText>
      </w:r>
      <w:r>
        <w:rPr>
          <w:szCs w:val="24"/>
        </w:rPr>
        <w:fldChar w:fldCharType="separate"/>
      </w:r>
      <w:r w:rsidRPr="000E15CA">
        <w:rPr>
          <w:rFonts w:ascii="Arial" w:hAnsi="Arial" w:cs="Arial"/>
          <w:noProof/>
          <w:sz w:val="20"/>
          <w:szCs w:val="20"/>
        </w:rPr>
        <w:t xml:space="preserve">Bakhsheshian, J., Mehta, V. A., &amp; Liu, J. C. (2017). Current Diagnosis and Management of Cervical Spondylotic Myelopathy. </w:t>
      </w:r>
      <w:r w:rsidRPr="000E15CA">
        <w:rPr>
          <w:rFonts w:ascii="Arial" w:hAnsi="Arial" w:cs="Arial"/>
          <w:i/>
          <w:iCs/>
          <w:noProof/>
          <w:sz w:val="20"/>
          <w:szCs w:val="20"/>
        </w:rPr>
        <w:t>Global Spine Journal</w:t>
      </w:r>
      <w:r w:rsidRPr="000E15CA">
        <w:rPr>
          <w:rFonts w:ascii="Arial" w:hAnsi="Arial" w:cs="Arial"/>
          <w:noProof/>
          <w:sz w:val="20"/>
          <w:szCs w:val="20"/>
        </w:rPr>
        <w:t xml:space="preserve">, </w:t>
      </w:r>
      <w:r w:rsidRPr="000E15CA">
        <w:rPr>
          <w:rFonts w:ascii="Arial" w:hAnsi="Arial" w:cs="Arial"/>
          <w:i/>
          <w:iCs/>
          <w:noProof/>
          <w:sz w:val="20"/>
          <w:szCs w:val="20"/>
        </w:rPr>
        <w:t>7</w:t>
      </w:r>
      <w:r w:rsidRPr="000E15CA">
        <w:rPr>
          <w:rFonts w:ascii="Arial" w:hAnsi="Arial" w:cs="Arial"/>
          <w:noProof/>
          <w:sz w:val="20"/>
          <w:szCs w:val="20"/>
        </w:rPr>
        <w:t>(6), 572–586. https://doi.org/10.1177/2192568217699208</w:t>
      </w:r>
    </w:p>
    <w:p w14:paraId="5DFE9881" w14:textId="3A5AAE66" w:rsidR="000E15CA" w:rsidRPr="000E15CA" w:rsidRDefault="000E15CA" w:rsidP="000E15CA">
      <w:pPr>
        <w:pStyle w:val="ListParagraph"/>
        <w:numPr>
          <w:ilvl w:val="0"/>
          <w:numId w:val="17"/>
        </w:numPr>
        <w:spacing w:after="0" w:line="360" w:lineRule="auto"/>
        <w:jc w:val="both"/>
        <w:rPr>
          <w:rFonts w:ascii="Arial" w:hAnsi="Arial" w:cs="Arial"/>
          <w:sz w:val="20"/>
          <w:szCs w:val="20"/>
        </w:rPr>
      </w:pPr>
      <w:r w:rsidRPr="000E15CA">
        <w:rPr>
          <w:rFonts w:ascii="Arial" w:hAnsi="Arial" w:cs="Arial"/>
          <w:noProof/>
          <w:sz w:val="20"/>
          <w:szCs w:val="20"/>
        </w:rPr>
        <w:t xml:space="preserve">Mattei, T. A., Goulart, C. R., Milano, J. B., Dutra, L. P. F., &amp; Fasset, D. R. (2011). Cervical Spondylotic Myelopathy: Pathophysiology, Diagnosis, and Surgical Techniques. </w:t>
      </w:r>
      <w:r w:rsidRPr="000E15CA">
        <w:rPr>
          <w:rFonts w:ascii="Arial" w:hAnsi="Arial" w:cs="Arial"/>
          <w:i/>
          <w:iCs/>
          <w:noProof/>
          <w:sz w:val="20"/>
          <w:szCs w:val="20"/>
        </w:rPr>
        <w:t>ISRN Neurology</w:t>
      </w:r>
      <w:r w:rsidRPr="000E15CA">
        <w:rPr>
          <w:rFonts w:ascii="Arial" w:hAnsi="Arial" w:cs="Arial"/>
          <w:noProof/>
          <w:sz w:val="20"/>
          <w:szCs w:val="20"/>
        </w:rPr>
        <w:t xml:space="preserve">, </w:t>
      </w:r>
      <w:r w:rsidRPr="000E15CA">
        <w:rPr>
          <w:rFonts w:ascii="Arial" w:hAnsi="Arial" w:cs="Arial"/>
          <w:i/>
          <w:iCs/>
          <w:noProof/>
          <w:sz w:val="20"/>
          <w:szCs w:val="20"/>
        </w:rPr>
        <w:t>2011</w:t>
      </w:r>
      <w:r w:rsidRPr="000E15CA">
        <w:rPr>
          <w:rFonts w:ascii="Arial" w:hAnsi="Arial" w:cs="Arial"/>
          <w:noProof/>
          <w:sz w:val="20"/>
          <w:szCs w:val="20"/>
        </w:rPr>
        <w:t>, 1–5. https://doi.org/10.5402/2011/463729</w:t>
      </w:r>
    </w:p>
    <w:p w14:paraId="3C2FFA77" w14:textId="4741BE0D" w:rsidR="004E2098" w:rsidRPr="00B516F8" w:rsidRDefault="000E15CA" w:rsidP="003C2A84">
      <w:pPr>
        <w:spacing w:line="360" w:lineRule="auto"/>
        <w:ind w:left="360"/>
        <w:jc w:val="both"/>
        <w:rPr>
          <w:szCs w:val="24"/>
        </w:rPr>
      </w:pPr>
      <w:r>
        <w:rPr>
          <w:szCs w:val="24"/>
        </w:rPr>
        <w:fldChar w:fldCharType="end"/>
      </w:r>
    </w:p>
    <w:sectPr w:rsidR="004E2098" w:rsidRPr="00B516F8">
      <w:headerReference w:type="even" r:id="rId19"/>
      <w:headerReference w:type="default" r:id="rId20"/>
      <w:head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50D56" w14:textId="77777777" w:rsidR="00F3737A" w:rsidRDefault="00F3737A" w:rsidP="002D2C24">
      <w:pPr>
        <w:spacing w:line="240" w:lineRule="auto"/>
      </w:pPr>
      <w:r>
        <w:separator/>
      </w:r>
    </w:p>
  </w:endnote>
  <w:endnote w:type="continuationSeparator" w:id="0">
    <w:p w14:paraId="0A83D12A" w14:textId="77777777" w:rsidR="00F3737A" w:rsidRDefault="00F3737A" w:rsidP="002D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CF81C" w14:textId="77777777" w:rsidR="00F3737A" w:rsidRDefault="00F3737A" w:rsidP="002D2C24">
      <w:pPr>
        <w:spacing w:line="240" w:lineRule="auto"/>
      </w:pPr>
      <w:r>
        <w:separator/>
      </w:r>
    </w:p>
  </w:footnote>
  <w:footnote w:type="continuationSeparator" w:id="0">
    <w:p w14:paraId="472DD524" w14:textId="77777777" w:rsidR="00F3737A" w:rsidRDefault="00F3737A" w:rsidP="002D2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3C0B" w14:textId="08F54EA7" w:rsidR="002D2C24" w:rsidRDefault="00487D09">
    <w:pPr>
      <w:pStyle w:val="Header"/>
    </w:pPr>
    <w:r>
      <w:rPr>
        <w:noProof/>
      </w:rPr>
      <mc:AlternateContent>
        <mc:Choice Requires="wps">
          <w:drawing>
            <wp:anchor distT="0" distB="0" distL="114300" distR="114300" simplePos="0" relativeHeight="251656704" behindDoc="1" locked="0" layoutInCell="0" allowOverlap="1" wp14:anchorId="11AE49BC" wp14:editId="4ABE7E04">
              <wp:simplePos x="0" y="0"/>
              <wp:positionH relativeFrom="margin">
                <wp:align>center</wp:align>
              </wp:positionH>
              <wp:positionV relativeFrom="margin">
                <wp:align>center</wp:align>
              </wp:positionV>
              <wp:extent cx="7541895" cy="837565"/>
              <wp:effectExtent l="0" t="2495550" r="0" b="2315210"/>
              <wp:wrapNone/>
              <wp:docPr id="3827964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CBB09" w14:textId="77777777" w:rsidR="00487D09" w:rsidRDefault="00487D09" w:rsidP="00487D0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AE49BC" id="_x0000_t202" coordsize="21600,21600" o:spt="202" path="m,l,21600r21600,l21600,xe">
              <v:stroke joinstyle="miter"/>
              <v:path gradientshapeok="t" o:connecttype="rect"/>
            </v:shapetype>
            <v:shape id="Text Box 1" o:spid="_x0000_s1026" type="#_x0000_t202" style="position:absolute;margin-left:0;margin-top:0;width:593.85pt;height:6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" o:allowincell="f" filled="f" stroked="f">
              <v:stroke joinstyle="round"/>
              <o:lock v:ext="edit" shapetype="t"/>
              <v:textbox style="mso-fit-shape-to-text:t">
                <w:txbxContent>
                  <w:p w14:paraId="4A2CBB09" w14:textId="77777777" w:rsidR="00487D09" w:rsidRDefault="00487D09" w:rsidP="00487D0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913B" w14:textId="4490D0DB" w:rsidR="002D2C24" w:rsidRDefault="00487D09">
    <w:pPr>
      <w:pStyle w:val="Header"/>
    </w:pPr>
    <w:r>
      <w:rPr>
        <w:noProof/>
      </w:rPr>
      <mc:AlternateContent>
        <mc:Choice Requires="wps">
          <w:drawing>
            <wp:anchor distT="0" distB="0" distL="114300" distR="114300" simplePos="0" relativeHeight="251657728" behindDoc="1" locked="0" layoutInCell="0" allowOverlap="1" wp14:anchorId="63B43315" wp14:editId="74784235">
              <wp:simplePos x="0" y="0"/>
              <wp:positionH relativeFrom="margin">
                <wp:align>center</wp:align>
              </wp:positionH>
              <wp:positionV relativeFrom="margin">
                <wp:align>center</wp:align>
              </wp:positionV>
              <wp:extent cx="7541895" cy="837565"/>
              <wp:effectExtent l="0" t="2495550" r="0" b="2315210"/>
              <wp:wrapNone/>
              <wp:docPr id="681242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20F51D" w14:textId="77777777" w:rsidR="00487D09" w:rsidRDefault="00487D09" w:rsidP="00487D0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B43315" id="_x0000_t202" coordsize="21600,21600" o:spt="202" path="m,l,21600r21600,l21600,xe">
              <v:stroke joinstyle="miter"/>
              <v:path gradientshapeok="t" o:connecttype="rect"/>
            </v:shapetype>
            <v:shape id="Text Box 2" o:spid="_x0000_s1027" type="#_x0000_t202" style="position:absolute;margin-left:0;margin-top:0;width:593.85pt;height:65.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" o:allowincell="f" filled="f" stroked="f">
              <v:stroke joinstyle="round"/>
              <o:lock v:ext="edit" shapetype="t"/>
              <v:textbox style="mso-fit-shape-to-text:t">
                <w:txbxContent>
                  <w:p w14:paraId="4B20F51D" w14:textId="77777777" w:rsidR="00487D09" w:rsidRDefault="00487D09" w:rsidP="00487D0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54A05" w14:textId="6543C332" w:rsidR="002D2C24" w:rsidRDefault="00F3737A">
    <w:pPr>
      <w:pStyle w:val="Header"/>
    </w:pPr>
    <w:r>
      <w:rPr>
        <w:noProof/>
      </w:rPr>
      <w:pict w14:anchorId="46B69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72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315"/>
    <w:multiLevelType w:val="hybridMultilevel"/>
    <w:tmpl w:val="2ADEFC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D66650"/>
    <w:multiLevelType w:val="hybridMultilevel"/>
    <w:tmpl w:val="9790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20FBC"/>
    <w:multiLevelType w:val="hybridMultilevel"/>
    <w:tmpl w:val="51CEC5BC"/>
    <w:lvl w:ilvl="0" w:tplc="CD0AAE2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A81DE1"/>
    <w:multiLevelType w:val="hybridMultilevel"/>
    <w:tmpl w:val="3CC0F73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125E0C"/>
    <w:multiLevelType w:val="hybridMultilevel"/>
    <w:tmpl w:val="CBF0694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FD50F6"/>
    <w:multiLevelType w:val="hybridMultilevel"/>
    <w:tmpl w:val="4738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D02C5"/>
    <w:multiLevelType w:val="hybridMultilevel"/>
    <w:tmpl w:val="29BC68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840406"/>
    <w:multiLevelType w:val="multilevel"/>
    <w:tmpl w:val="0ECAC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350FC"/>
    <w:multiLevelType w:val="hybridMultilevel"/>
    <w:tmpl w:val="FB6053E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D53A01"/>
    <w:multiLevelType w:val="multilevel"/>
    <w:tmpl w:val="E91A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6413F2"/>
    <w:multiLevelType w:val="hybridMultilevel"/>
    <w:tmpl w:val="51CEC5B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A35080"/>
    <w:multiLevelType w:val="multilevel"/>
    <w:tmpl w:val="F08C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E25249"/>
    <w:multiLevelType w:val="hybridMultilevel"/>
    <w:tmpl w:val="FEC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F425E"/>
    <w:multiLevelType w:val="multilevel"/>
    <w:tmpl w:val="BF6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9650A0"/>
    <w:multiLevelType w:val="hybridMultilevel"/>
    <w:tmpl w:val="7238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3CA13D1"/>
    <w:multiLevelType w:val="multilevel"/>
    <w:tmpl w:val="DAB862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0A5C0C"/>
    <w:multiLevelType w:val="multilevel"/>
    <w:tmpl w:val="7B084E4E"/>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AC2029"/>
    <w:multiLevelType w:val="hybridMultilevel"/>
    <w:tmpl w:val="E0B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2459F"/>
    <w:multiLevelType w:val="multilevel"/>
    <w:tmpl w:val="7198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058"/>
    <w:multiLevelType w:val="hybridMultilevel"/>
    <w:tmpl w:val="CB3EC8E0"/>
    <w:lvl w:ilvl="0" w:tplc="76EEF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BE065D"/>
    <w:multiLevelType w:val="hybridMultilevel"/>
    <w:tmpl w:val="DE4E0AD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4E84651"/>
    <w:multiLevelType w:val="hybridMultilevel"/>
    <w:tmpl w:val="34CA97F0"/>
    <w:lvl w:ilvl="0" w:tplc="6C1AA34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C8E1D22"/>
    <w:multiLevelType w:val="hybridMultilevel"/>
    <w:tmpl w:val="15BEA2D8"/>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D8F3AA0"/>
    <w:multiLevelType w:val="hybridMultilevel"/>
    <w:tmpl w:val="8D0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3"/>
  </w:num>
  <w:num w:numId="5">
    <w:abstractNumId w:val="16"/>
  </w:num>
  <w:num w:numId="6">
    <w:abstractNumId w:val="18"/>
  </w:num>
  <w:num w:numId="7">
    <w:abstractNumId w:val="14"/>
  </w:num>
  <w:num w:numId="8">
    <w:abstractNumId w:val="7"/>
  </w:num>
  <w:num w:numId="9">
    <w:abstractNumId w:val="0"/>
  </w:num>
  <w:num w:numId="10">
    <w:abstractNumId w:val="8"/>
  </w:num>
  <w:num w:numId="11">
    <w:abstractNumId w:val="3"/>
  </w:num>
  <w:num w:numId="12">
    <w:abstractNumId w:val="22"/>
  </w:num>
  <w:num w:numId="13">
    <w:abstractNumId w:val="20"/>
  </w:num>
  <w:num w:numId="14">
    <w:abstractNumId w:val="2"/>
  </w:num>
  <w:num w:numId="15">
    <w:abstractNumId w:val="4"/>
  </w:num>
  <w:num w:numId="16">
    <w:abstractNumId w:val="10"/>
  </w:num>
  <w:num w:numId="17">
    <w:abstractNumId w:val="15"/>
  </w:num>
  <w:num w:numId="18">
    <w:abstractNumId w:val="19"/>
  </w:num>
  <w:num w:numId="19">
    <w:abstractNumId w:val="23"/>
  </w:num>
  <w:num w:numId="20">
    <w:abstractNumId w:val="1"/>
  </w:num>
  <w:num w:numId="21">
    <w:abstractNumId w:val="12"/>
  </w:num>
  <w:num w:numId="22">
    <w:abstractNumId w:val="5"/>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4D5"/>
    <w:rsid w:val="000073C9"/>
    <w:rsid w:val="00027A79"/>
    <w:rsid w:val="000C0E05"/>
    <w:rsid w:val="000D386B"/>
    <w:rsid w:val="000E15CA"/>
    <w:rsid w:val="000F4F15"/>
    <w:rsid w:val="00101C47"/>
    <w:rsid w:val="00105055"/>
    <w:rsid w:val="00163D17"/>
    <w:rsid w:val="001A640D"/>
    <w:rsid w:val="001D3621"/>
    <w:rsid w:val="001D36C7"/>
    <w:rsid w:val="001D4AD7"/>
    <w:rsid w:val="002270FE"/>
    <w:rsid w:val="002D2C24"/>
    <w:rsid w:val="002D7BFF"/>
    <w:rsid w:val="003216B5"/>
    <w:rsid w:val="0035203A"/>
    <w:rsid w:val="00357F4A"/>
    <w:rsid w:val="00384774"/>
    <w:rsid w:val="003C2A84"/>
    <w:rsid w:val="00426E36"/>
    <w:rsid w:val="00432735"/>
    <w:rsid w:val="00436B4C"/>
    <w:rsid w:val="00487D09"/>
    <w:rsid w:val="004B0F6D"/>
    <w:rsid w:val="004B336D"/>
    <w:rsid w:val="004E2098"/>
    <w:rsid w:val="005055FD"/>
    <w:rsid w:val="005519B6"/>
    <w:rsid w:val="005923AF"/>
    <w:rsid w:val="005C4A3F"/>
    <w:rsid w:val="00627263"/>
    <w:rsid w:val="006352EA"/>
    <w:rsid w:val="006D5271"/>
    <w:rsid w:val="007417A8"/>
    <w:rsid w:val="007A0869"/>
    <w:rsid w:val="007E0413"/>
    <w:rsid w:val="00803D85"/>
    <w:rsid w:val="00804268"/>
    <w:rsid w:val="00855CB7"/>
    <w:rsid w:val="008A4772"/>
    <w:rsid w:val="008B63F2"/>
    <w:rsid w:val="00905031"/>
    <w:rsid w:val="00905F2F"/>
    <w:rsid w:val="009269CF"/>
    <w:rsid w:val="00926B24"/>
    <w:rsid w:val="00982914"/>
    <w:rsid w:val="009912AC"/>
    <w:rsid w:val="009A625E"/>
    <w:rsid w:val="009D29CA"/>
    <w:rsid w:val="00A059FD"/>
    <w:rsid w:val="00A76FA1"/>
    <w:rsid w:val="00A77886"/>
    <w:rsid w:val="00A85342"/>
    <w:rsid w:val="00AB01A4"/>
    <w:rsid w:val="00AB3255"/>
    <w:rsid w:val="00AB5E4B"/>
    <w:rsid w:val="00AC2A95"/>
    <w:rsid w:val="00AC2EB0"/>
    <w:rsid w:val="00AC5F11"/>
    <w:rsid w:val="00AE529D"/>
    <w:rsid w:val="00AE7DBA"/>
    <w:rsid w:val="00B15474"/>
    <w:rsid w:val="00B15A46"/>
    <w:rsid w:val="00B314EA"/>
    <w:rsid w:val="00B516F8"/>
    <w:rsid w:val="00BD3581"/>
    <w:rsid w:val="00BE790F"/>
    <w:rsid w:val="00C02A25"/>
    <w:rsid w:val="00C122B6"/>
    <w:rsid w:val="00C23FD1"/>
    <w:rsid w:val="00C41624"/>
    <w:rsid w:val="00CA24D5"/>
    <w:rsid w:val="00CD4B2A"/>
    <w:rsid w:val="00CF4201"/>
    <w:rsid w:val="00D15806"/>
    <w:rsid w:val="00D15AAE"/>
    <w:rsid w:val="00D25971"/>
    <w:rsid w:val="00D77920"/>
    <w:rsid w:val="00D81C20"/>
    <w:rsid w:val="00D83994"/>
    <w:rsid w:val="00D95BC0"/>
    <w:rsid w:val="00DA1D70"/>
    <w:rsid w:val="00DA36F5"/>
    <w:rsid w:val="00DB5140"/>
    <w:rsid w:val="00DF1648"/>
    <w:rsid w:val="00DF513E"/>
    <w:rsid w:val="00E56261"/>
    <w:rsid w:val="00E6631B"/>
    <w:rsid w:val="00E94475"/>
    <w:rsid w:val="00EC2ECE"/>
    <w:rsid w:val="00F02EBB"/>
    <w:rsid w:val="00F34AC0"/>
    <w:rsid w:val="00F3737A"/>
    <w:rsid w:val="00F50229"/>
    <w:rsid w:val="00FE157A"/>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F8A1B2"/>
  <w15:docId w15:val="{2C2B2F7D-C165-514C-8FFD-FE1370B2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426E36"/>
    <w:pPr>
      <w:spacing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426E36"/>
    <w:rPr>
      <w:rFonts w:ascii="Consolas" w:eastAsia="Calibri" w:hAnsi="Consolas" w:cs="Times New Roman"/>
      <w:sz w:val="21"/>
      <w:szCs w:val="21"/>
      <w:lang w:val="en-US"/>
    </w:rPr>
  </w:style>
  <w:style w:type="paragraph" w:styleId="ListParagraph">
    <w:name w:val="List Paragraph"/>
    <w:basedOn w:val="Normal"/>
    <w:uiPriority w:val="34"/>
    <w:qFormat/>
    <w:rsid w:val="009A625E"/>
    <w:pPr>
      <w:spacing w:after="160" w:line="259" w:lineRule="auto"/>
      <w:ind w:left="720"/>
      <w:contextualSpacing/>
    </w:pPr>
    <w:rPr>
      <w:rFonts w:asciiTheme="minorHAnsi" w:eastAsiaTheme="minorHAnsi" w:hAnsiTheme="minorHAnsi" w:cstheme="minorBidi"/>
      <w:kern w:val="2"/>
      <w:szCs w:val="28"/>
      <w:lang w:val="en-ID" w:bidi="th-TH"/>
      <w14:ligatures w14:val="standardContextual"/>
    </w:rPr>
  </w:style>
  <w:style w:type="paragraph" w:styleId="Caption">
    <w:name w:val="caption"/>
    <w:basedOn w:val="Normal"/>
    <w:next w:val="Normal"/>
    <w:uiPriority w:val="35"/>
    <w:unhideWhenUsed/>
    <w:qFormat/>
    <w:rsid w:val="009A625E"/>
    <w:pPr>
      <w:spacing w:after="200" w:line="240" w:lineRule="auto"/>
    </w:pPr>
    <w:rPr>
      <w:rFonts w:ascii="Times New Roman" w:eastAsiaTheme="minorHAnsi" w:hAnsi="Times New Roman" w:cstheme="minorBidi"/>
      <w:i/>
      <w:iCs/>
      <w:color w:val="1F497D" w:themeColor="text2"/>
      <w:sz w:val="18"/>
      <w:szCs w:val="18"/>
      <w:lang w:val="en-US"/>
    </w:rPr>
  </w:style>
  <w:style w:type="table" w:styleId="TableGrid">
    <w:name w:val="Table Grid"/>
    <w:basedOn w:val="TableNormal"/>
    <w:uiPriority w:val="39"/>
    <w:rsid w:val="005C4A3F"/>
    <w:pPr>
      <w:spacing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AC0"/>
    <w:rPr>
      <w:b/>
      <w:bCs/>
    </w:rPr>
  </w:style>
  <w:style w:type="character" w:styleId="Emphasis">
    <w:name w:val="Emphasis"/>
    <w:basedOn w:val="DefaultParagraphFont"/>
    <w:uiPriority w:val="20"/>
    <w:qFormat/>
    <w:rsid w:val="00F34AC0"/>
    <w:rPr>
      <w:i/>
      <w:iCs/>
    </w:rPr>
  </w:style>
  <w:style w:type="paragraph" w:styleId="Header">
    <w:name w:val="header"/>
    <w:basedOn w:val="Normal"/>
    <w:link w:val="HeaderChar"/>
    <w:uiPriority w:val="99"/>
    <w:unhideWhenUsed/>
    <w:rsid w:val="002D7BFF"/>
    <w:pPr>
      <w:tabs>
        <w:tab w:val="center" w:pos="4680"/>
        <w:tab w:val="right" w:pos="9360"/>
      </w:tabs>
      <w:spacing w:line="240" w:lineRule="auto"/>
    </w:pPr>
    <w:rPr>
      <w:rFonts w:ascii="Times New Roman" w:eastAsiaTheme="minorHAnsi" w:hAnsi="Times New Roman" w:cstheme="minorBidi"/>
      <w:sz w:val="24"/>
      <w:lang w:val="en-US"/>
    </w:rPr>
  </w:style>
  <w:style w:type="character" w:customStyle="1" w:styleId="HeaderChar">
    <w:name w:val="Header Char"/>
    <w:basedOn w:val="DefaultParagraphFont"/>
    <w:link w:val="Header"/>
    <w:uiPriority w:val="99"/>
    <w:rsid w:val="002D7BFF"/>
    <w:rPr>
      <w:rFonts w:ascii="Times New Roman" w:eastAsiaTheme="minorHAnsi" w:hAnsi="Times New Roman" w:cstheme="minorBidi"/>
      <w:sz w:val="24"/>
      <w:lang w:val="en-US"/>
    </w:rPr>
  </w:style>
  <w:style w:type="character" w:styleId="Hyperlink">
    <w:name w:val="Hyperlink"/>
    <w:basedOn w:val="DefaultParagraphFont"/>
    <w:uiPriority w:val="99"/>
    <w:unhideWhenUsed/>
    <w:rsid w:val="003C2A84"/>
    <w:rPr>
      <w:color w:val="0000FF" w:themeColor="hyperlink"/>
      <w:u w:val="single"/>
    </w:rPr>
  </w:style>
  <w:style w:type="character" w:styleId="UnresolvedMention">
    <w:name w:val="Unresolved Mention"/>
    <w:basedOn w:val="DefaultParagraphFont"/>
    <w:uiPriority w:val="99"/>
    <w:semiHidden/>
    <w:unhideWhenUsed/>
    <w:rsid w:val="005519B6"/>
    <w:rPr>
      <w:color w:val="605E5C"/>
      <w:shd w:val="clear" w:color="auto" w:fill="E1DFDD"/>
    </w:rPr>
  </w:style>
  <w:style w:type="paragraph" w:styleId="Footer">
    <w:name w:val="footer"/>
    <w:basedOn w:val="Normal"/>
    <w:link w:val="FooterChar"/>
    <w:uiPriority w:val="99"/>
    <w:unhideWhenUsed/>
    <w:rsid w:val="002D2C24"/>
    <w:pPr>
      <w:tabs>
        <w:tab w:val="center" w:pos="4680"/>
        <w:tab w:val="right" w:pos="9360"/>
      </w:tabs>
      <w:spacing w:line="240" w:lineRule="auto"/>
    </w:pPr>
  </w:style>
  <w:style w:type="character" w:customStyle="1" w:styleId="FooterChar">
    <w:name w:val="Footer Char"/>
    <w:basedOn w:val="DefaultParagraphFont"/>
    <w:link w:val="Footer"/>
    <w:uiPriority w:val="99"/>
    <w:rsid w:val="002D2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7820">
      <w:bodyDiv w:val="1"/>
      <w:marLeft w:val="0"/>
      <w:marRight w:val="0"/>
      <w:marTop w:val="0"/>
      <w:marBottom w:val="0"/>
      <w:divBdr>
        <w:top w:val="none" w:sz="0" w:space="0" w:color="auto"/>
        <w:left w:val="none" w:sz="0" w:space="0" w:color="auto"/>
        <w:bottom w:val="none" w:sz="0" w:space="0" w:color="auto"/>
        <w:right w:val="none" w:sz="0" w:space="0" w:color="auto"/>
      </w:divBdr>
    </w:div>
    <w:div w:id="68578909">
      <w:bodyDiv w:val="1"/>
      <w:marLeft w:val="0"/>
      <w:marRight w:val="0"/>
      <w:marTop w:val="0"/>
      <w:marBottom w:val="0"/>
      <w:divBdr>
        <w:top w:val="none" w:sz="0" w:space="0" w:color="auto"/>
        <w:left w:val="none" w:sz="0" w:space="0" w:color="auto"/>
        <w:bottom w:val="none" w:sz="0" w:space="0" w:color="auto"/>
        <w:right w:val="none" w:sz="0" w:space="0" w:color="auto"/>
      </w:divBdr>
    </w:div>
    <w:div w:id="329917201">
      <w:bodyDiv w:val="1"/>
      <w:marLeft w:val="0"/>
      <w:marRight w:val="0"/>
      <w:marTop w:val="0"/>
      <w:marBottom w:val="0"/>
      <w:divBdr>
        <w:top w:val="none" w:sz="0" w:space="0" w:color="auto"/>
        <w:left w:val="none" w:sz="0" w:space="0" w:color="auto"/>
        <w:bottom w:val="none" w:sz="0" w:space="0" w:color="auto"/>
        <w:right w:val="none" w:sz="0" w:space="0" w:color="auto"/>
      </w:divBdr>
    </w:div>
    <w:div w:id="474222390">
      <w:bodyDiv w:val="1"/>
      <w:marLeft w:val="0"/>
      <w:marRight w:val="0"/>
      <w:marTop w:val="0"/>
      <w:marBottom w:val="0"/>
      <w:divBdr>
        <w:top w:val="none" w:sz="0" w:space="0" w:color="auto"/>
        <w:left w:val="none" w:sz="0" w:space="0" w:color="auto"/>
        <w:bottom w:val="none" w:sz="0" w:space="0" w:color="auto"/>
        <w:right w:val="none" w:sz="0" w:space="0" w:color="auto"/>
      </w:divBdr>
    </w:div>
    <w:div w:id="731851118">
      <w:bodyDiv w:val="1"/>
      <w:marLeft w:val="0"/>
      <w:marRight w:val="0"/>
      <w:marTop w:val="0"/>
      <w:marBottom w:val="0"/>
      <w:divBdr>
        <w:top w:val="none" w:sz="0" w:space="0" w:color="auto"/>
        <w:left w:val="none" w:sz="0" w:space="0" w:color="auto"/>
        <w:bottom w:val="none" w:sz="0" w:space="0" w:color="auto"/>
        <w:right w:val="none" w:sz="0" w:space="0" w:color="auto"/>
      </w:divBdr>
    </w:div>
    <w:div w:id="825319762">
      <w:bodyDiv w:val="1"/>
      <w:marLeft w:val="0"/>
      <w:marRight w:val="0"/>
      <w:marTop w:val="0"/>
      <w:marBottom w:val="0"/>
      <w:divBdr>
        <w:top w:val="none" w:sz="0" w:space="0" w:color="auto"/>
        <w:left w:val="none" w:sz="0" w:space="0" w:color="auto"/>
        <w:bottom w:val="none" w:sz="0" w:space="0" w:color="auto"/>
        <w:right w:val="none" w:sz="0" w:space="0" w:color="auto"/>
      </w:divBdr>
    </w:div>
    <w:div w:id="1268000371">
      <w:bodyDiv w:val="1"/>
      <w:marLeft w:val="0"/>
      <w:marRight w:val="0"/>
      <w:marTop w:val="0"/>
      <w:marBottom w:val="0"/>
      <w:divBdr>
        <w:top w:val="none" w:sz="0" w:space="0" w:color="auto"/>
        <w:left w:val="none" w:sz="0" w:space="0" w:color="auto"/>
        <w:bottom w:val="none" w:sz="0" w:space="0" w:color="auto"/>
        <w:right w:val="none" w:sz="0" w:space="0" w:color="auto"/>
      </w:divBdr>
    </w:div>
    <w:div w:id="1347634271">
      <w:bodyDiv w:val="1"/>
      <w:marLeft w:val="0"/>
      <w:marRight w:val="0"/>
      <w:marTop w:val="0"/>
      <w:marBottom w:val="0"/>
      <w:divBdr>
        <w:top w:val="none" w:sz="0" w:space="0" w:color="auto"/>
        <w:left w:val="none" w:sz="0" w:space="0" w:color="auto"/>
        <w:bottom w:val="none" w:sz="0" w:space="0" w:color="auto"/>
        <w:right w:val="none" w:sz="0" w:space="0" w:color="auto"/>
      </w:divBdr>
    </w:div>
    <w:div w:id="1704400241">
      <w:bodyDiv w:val="1"/>
      <w:marLeft w:val="0"/>
      <w:marRight w:val="0"/>
      <w:marTop w:val="0"/>
      <w:marBottom w:val="0"/>
      <w:divBdr>
        <w:top w:val="none" w:sz="0" w:space="0" w:color="auto"/>
        <w:left w:val="none" w:sz="0" w:space="0" w:color="auto"/>
        <w:bottom w:val="none" w:sz="0" w:space="0" w:color="auto"/>
        <w:right w:val="none" w:sz="0" w:space="0" w:color="auto"/>
      </w:divBdr>
    </w:div>
    <w:div w:id="1933734293">
      <w:bodyDiv w:val="1"/>
      <w:marLeft w:val="0"/>
      <w:marRight w:val="0"/>
      <w:marTop w:val="0"/>
      <w:marBottom w:val="0"/>
      <w:divBdr>
        <w:top w:val="none" w:sz="0" w:space="0" w:color="auto"/>
        <w:left w:val="none" w:sz="0" w:space="0" w:color="auto"/>
        <w:bottom w:val="none" w:sz="0" w:space="0" w:color="auto"/>
        <w:right w:val="none" w:sz="0" w:space="0" w:color="auto"/>
      </w:divBdr>
    </w:div>
    <w:div w:id="2024546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E0197-2EED-41D0-B6E2-24320FA96479}"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ID"/>
        </a:p>
      </dgm:t>
    </dgm:pt>
    <dgm:pt modelId="{0ECB5B86-043B-4356-BF04-16B62C3A559E}">
      <dgm:prSet phldrT="[Text]"/>
      <dgm:spPr/>
      <dgm:t>
        <a:bodyPr/>
        <a:lstStyle/>
        <a:p>
          <a:r>
            <a:rPr lang="en-ID"/>
            <a:t>Anterior Approach</a:t>
          </a:r>
        </a:p>
      </dgm:t>
    </dgm:pt>
    <dgm:pt modelId="{3D03BDC5-8A88-4D10-880D-EC462C2B5496}" type="parTrans" cxnId="{38E9C22E-B9EA-4E88-8EE4-0EC690724996}">
      <dgm:prSet/>
      <dgm:spPr/>
      <dgm:t>
        <a:bodyPr/>
        <a:lstStyle/>
        <a:p>
          <a:endParaRPr lang="en-ID"/>
        </a:p>
      </dgm:t>
    </dgm:pt>
    <dgm:pt modelId="{20240920-DE6F-4B02-A000-642B771A58E9}" type="sibTrans" cxnId="{38E9C22E-B9EA-4E88-8EE4-0EC690724996}">
      <dgm:prSet/>
      <dgm:spPr/>
      <dgm:t>
        <a:bodyPr/>
        <a:lstStyle/>
        <a:p>
          <a:endParaRPr lang="en-ID"/>
        </a:p>
      </dgm:t>
    </dgm:pt>
    <dgm:pt modelId="{72677B0D-31E9-4028-A3C4-6CA1CA77750A}">
      <dgm:prSet phldrT="[Text]"/>
      <dgm:spPr/>
      <dgm:t>
        <a:bodyPr/>
        <a:lstStyle/>
        <a:p>
          <a:r>
            <a:rPr lang="en-ID"/>
            <a:t>Combination</a:t>
          </a:r>
        </a:p>
      </dgm:t>
    </dgm:pt>
    <dgm:pt modelId="{4F73F3DF-17B6-42F2-9F47-E9117E39835A}" type="parTrans" cxnId="{F85F744D-B19A-4114-8F35-D2B3BA2859D2}">
      <dgm:prSet/>
      <dgm:spPr/>
      <dgm:t>
        <a:bodyPr/>
        <a:lstStyle/>
        <a:p>
          <a:endParaRPr lang="en-ID"/>
        </a:p>
      </dgm:t>
    </dgm:pt>
    <dgm:pt modelId="{4E9A191A-5DEA-4B62-8916-E63C32AE779A}" type="sibTrans" cxnId="{F85F744D-B19A-4114-8F35-D2B3BA2859D2}">
      <dgm:prSet/>
      <dgm:spPr/>
      <dgm:t>
        <a:bodyPr/>
        <a:lstStyle/>
        <a:p>
          <a:endParaRPr lang="en-ID"/>
        </a:p>
      </dgm:t>
    </dgm:pt>
    <dgm:pt modelId="{DCA4B7D2-64EC-4AAA-804D-6E1A77C0BFE5}">
      <dgm:prSet phldrT="[Text]"/>
      <dgm:spPr/>
      <dgm:t>
        <a:bodyPr/>
        <a:lstStyle/>
        <a:p>
          <a:r>
            <a:rPr lang="en-ID"/>
            <a:t>Posterior Approach</a:t>
          </a:r>
        </a:p>
      </dgm:t>
    </dgm:pt>
    <dgm:pt modelId="{C02B7BAC-9BB6-4241-BD23-BED6FBF8B57D}" type="parTrans" cxnId="{1D49EF4F-D981-47B8-9A0F-43ADF7E6B5DB}">
      <dgm:prSet/>
      <dgm:spPr/>
      <dgm:t>
        <a:bodyPr/>
        <a:lstStyle/>
        <a:p>
          <a:endParaRPr lang="en-ID"/>
        </a:p>
      </dgm:t>
    </dgm:pt>
    <dgm:pt modelId="{EB13EE48-E457-4B32-A8DF-F247FF80D31C}" type="sibTrans" cxnId="{1D49EF4F-D981-47B8-9A0F-43ADF7E6B5DB}">
      <dgm:prSet/>
      <dgm:spPr/>
      <dgm:t>
        <a:bodyPr/>
        <a:lstStyle/>
        <a:p>
          <a:endParaRPr lang="en-ID"/>
        </a:p>
      </dgm:t>
    </dgm:pt>
    <dgm:pt modelId="{672A04EA-A4A0-48E1-91A1-AAF139C3ABD0}" type="pres">
      <dgm:prSet presAssocID="{07FE0197-2EED-41D0-B6E2-24320FA96479}" presName="Name0" presStyleCnt="0">
        <dgm:presLayoutVars>
          <dgm:dir/>
          <dgm:resizeHandles val="exact"/>
        </dgm:presLayoutVars>
      </dgm:prSet>
      <dgm:spPr/>
    </dgm:pt>
    <dgm:pt modelId="{3822E473-9627-4CF2-BD13-A0E7CED864D1}" type="pres">
      <dgm:prSet presAssocID="{0ECB5B86-043B-4356-BF04-16B62C3A559E}" presName="node" presStyleLbl="node1" presStyleIdx="0" presStyleCnt="3">
        <dgm:presLayoutVars>
          <dgm:bulletEnabled val="1"/>
        </dgm:presLayoutVars>
      </dgm:prSet>
      <dgm:spPr/>
    </dgm:pt>
    <dgm:pt modelId="{79C6201B-B5D9-4E3B-A7BC-359D592985AE}" type="pres">
      <dgm:prSet presAssocID="{20240920-DE6F-4B02-A000-642B771A58E9}" presName="sibTrans" presStyleLbl="sibTrans2D1" presStyleIdx="0" presStyleCnt="3"/>
      <dgm:spPr/>
    </dgm:pt>
    <dgm:pt modelId="{7447C808-3949-401F-921A-0F9B1CFB12A6}" type="pres">
      <dgm:prSet presAssocID="{20240920-DE6F-4B02-A000-642B771A58E9}" presName="connectorText" presStyleLbl="sibTrans2D1" presStyleIdx="0" presStyleCnt="3"/>
      <dgm:spPr/>
    </dgm:pt>
    <dgm:pt modelId="{44ECDA4A-429B-4AD1-A019-7446AABC16F9}" type="pres">
      <dgm:prSet presAssocID="{72677B0D-31E9-4028-A3C4-6CA1CA77750A}" presName="node" presStyleLbl="node1" presStyleIdx="1" presStyleCnt="3">
        <dgm:presLayoutVars>
          <dgm:bulletEnabled val="1"/>
        </dgm:presLayoutVars>
      </dgm:prSet>
      <dgm:spPr/>
    </dgm:pt>
    <dgm:pt modelId="{697C0712-57A1-4ABD-A013-D26A4DF2CB35}" type="pres">
      <dgm:prSet presAssocID="{4E9A191A-5DEA-4B62-8916-E63C32AE779A}" presName="sibTrans" presStyleLbl="sibTrans2D1" presStyleIdx="1" presStyleCnt="3"/>
      <dgm:spPr/>
    </dgm:pt>
    <dgm:pt modelId="{541145AD-E0B8-4680-892F-0BB3740D6F39}" type="pres">
      <dgm:prSet presAssocID="{4E9A191A-5DEA-4B62-8916-E63C32AE779A}" presName="connectorText" presStyleLbl="sibTrans2D1" presStyleIdx="1" presStyleCnt="3"/>
      <dgm:spPr/>
    </dgm:pt>
    <dgm:pt modelId="{F372A991-EDF8-4F62-8EA8-07AA34C601EC}" type="pres">
      <dgm:prSet presAssocID="{DCA4B7D2-64EC-4AAA-804D-6E1A77C0BFE5}" presName="node" presStyleLbl="node1" presStyleIdx="2" presStyleCnt="3">
        <dgm:presLayoutVars>
          <dgm:bulletEnabled val="1"/>
        </dgm:presLayoutVars>
      </dgm:prSet>
      <dgm:spPr/>
    </dgm:pt>
    <dgm:pt modelId="{0B257674-321A-400D-A959-2EFDB992F76F}" type="pres">
      <dgm:prSet presAssocID="{EB13EE48-E457-4B32-A8DF-F247FF80D31C}" presName="sibTrans" presStyleLbl="sibTrans2D1" presStyleIdx="2" presStyleCnt="3"/>
      <dgm:spPr/>
    </dgm:pt>
    <dgm:pt modelId="{7209A42D-1B18-429D-9709-EDACE1D77A25}" type="pres">
      <dgm:prSet presAssocID="{EB13EE48-E457-4B32-A8DF-F247FF80D31C}" presName="connectorText" presStyleLbl="sibTrans2D1" presStyleIdx="2" presStyleCnt="3"/>
      <dgm:spPr/>
    </dgm:pt>
  </dgm:ptLst>
  <dgm:cxnLst>
    <dgm:cxn modelId="{31BD4A0A-1461-4B98-BCE7-EE1E1B26D96C}" type="presOf" srcId="{DCA4B7D2-64EC-4AAA-804D-6E1A77C0BFE5}" destId="{F372A991-EDF8-4F62-8EA8-07AA34C601EC}" srcOrd="0" destOrd="0" presId="urn:microsoft.com/office/officeart/2005/8/layout/cycle7"/>
    <dgm:cxn modelId="{84D4D61A-2D46-43DB-B097-34B87793E642}" type="presOf" srcId="{EB13EE48-E457-4B32-A8DF-F247FF80D31C}" destId="{0B257674-321A-400D-A959-2EFDB992F76F}" srcOrd="0" destOrd="0" presId="urn:microsoft.com/office/officeart/2005/8/layout/cycle7"/>
    <dgm:cxn modelId="{735F0E1E-CC8A-420D-8D74-59963B76D3A7}" type="presOf" srcId="{20240920-DE6F-4B02-A000-642B771A58E9}" destId="{79C6201B-B5D9-4E3B-A7BC-359D592985AE}" srcOrd="0" destOrd="0" presId="urn:microsoft.com/office/officeart/2005/8/layout/cycle7"/>
    <dgm:cxn modelId="{38E9C22E-B9EA-4E88-8EE4-0EC690724996}" srcId="{07FE0197-2EED-41D0-B6E2-24320FA96479}" destId="{0ECB5B86-043B-4356-BF04-16B62C3A559E}" srcOrd="0" destOrd="0" parTransId="{3D03BDC5-8A88-4D10-880D-EC462C2B5496}" sibTransId="{20240920-DE6F-4B02-A000-642B771A58E9}"/>
    <dgm:cxn modelId="{AB78EA38-4A46-4198-AAED-AEAC0BF61F3E}" type="presOf" srcId="{20240920-DE6F-4B02-A000-642B771A58E9}" destId="{7447C808-3949-401F-921A-0F9B1CFB12A6}" srcOrd="1" destOrd="0" presId="urn:microsoft.com/office/officeart/2005/8/layout/cycle7"/>
    <dgm:cxn modelId="{F85F744D-B19A-4114-8F35-D2B3BA2859D2}" srcId="{07FE0197-2EED-41D0-B6E2-24320FA96479}" destId="{72677B0D-31E9-4028-A3C4-6CA1CA77750A}" srcOrd="1" destOrd="0" parTransId="{4F73F3DF-17B6-42F2-9F47-E9117E39835A}" sibTransId="{4E9A191A-5DEA-4B62-8916-E63C32AE779A}"/>
    <dgm:cxn modelId="{1D49EF4F-D981-47B8-9A0F-43ADF7E6B5DB}" srcId="{07FE0197-2EED-41D0-B6E2-24320FA96479}" destId="{DCA4B7D2-64EC-4AAA-804D-6E1A77C0BFE5}" srcOrd="2" destOrd="0" parTransId="{C02B7BAC-9BB6-4241-BD23-BED6FBF8B57D}" sibTransId="{EB13EE48-E457-4B32-A8DF-F247FF80D31C}"/>
    <dgm:cxn modelId="{90BC5E54-A8A1-4931-8969-3A394440716F}" type="presOf" srcId="{72677B0D-31E9-4028-A3C4-6CA1CA77750A}" destId="{44ECDA4A-429B-4AD1-A019-7446AABC16F9}" srcOrd="0" destOrd="0" presId="urn:microsoft.com/office/officeart/2005/8/layout/cycle7"/>
    <dgm:cxn modelId="{8715C278-49EF-4684-9AAA-6707AF2A84B4}" type="presOf" srcId="{0ECB5B86-043B-4356-BF04-16B62C3A559E}" destId="{3822E473-9627-4CF2-BD13-A0E7CED864D1}" srcOrd="0" destOrd="0" presId="urn:microsoft.com/office/officeart/2005/8/layout/cycle7"/>
    <dgm:cxn modelId="{0A52AC7B-60BB-45AF-B382-5EDFA1D156A4}" type="presOf" srcId="{4E9A191A-5DEA-4B62-8916-E63C32AE779A}" destId="{541145AD-E0B8-4680-892F-0BB3740D6F39}" srcOrd="1" destOrd="0" presId="urn:microsoft.com/office/officeart/2005/8/layout/cycle7"/>
    <dgm:cxn modelId="{CA96409B-BF37-49B0-86AA-1D602466F4AD}" type="presOf" srcId="{4E9A191A-5DEA-4B62-8916-E63C32AE779A}" destId="{697C0712-57A1-4ABD-A013-D26A4DF2CB35}" srcOrd="0" destOrd="0" presId="urn:microsoft.com/office/officeart/2005/8/layout/cycle7"/>
    <dgm:cxn modelId="{A0A1A99D-CC03-4F9D-B5CC-20550BFCCA1E}" type="presOf" srcId="{07FE0197-2EED-41D0-B6E2-24320FA96479}" destId="{672A04EA-A4A0-48E1-91A1-AAF139C3ABD0}" srcOrd="0" destOrd="0" presId="urn:microsoft.com/office/officeart/2005/8/layout/cycle7"/>
    <dgm:cxn modelId="{33332CD5-B141-403B-AED8-2A10D5892EB2}" type="presOf" srcId="{EB13EE48-E457-4B32-A8DF-F247FF80D31C}" destId="{7209A42D-1B18-429D-9709-EDACE1D77A25}" srcOrd="1" destOrd="0" presId="urn:microsoft.com/office/officeart/2005/8/layout/cycle7"/>
    <dgm:cxn modelId="{7BAA97DF-1BBF-4C7E-9768-EB1AE196294F}" type="presParOf" srcId="{672A04EA-A4A0-48E1-91A1-AAF139C3ABD0}" destId="{3822E473-9627-4CF2-BD13-A0E7CED864D1}" srcOrd="0" destOrd="0" presId="urn:microsoft.com/office/officeart/2005/8/layout/cycle7"/>
    <dgm:cxn modelId="{6264A1EF-1453-4890-9445-C71FAB47AE30}" type="presParOf" srcId="{672A04EA-A4A0-48E1-91A1-AAF139C3ABD0}" destId="{79C6201B-B5D9-4E3B-A7BC-359D592985AE}" srcOrd="1" destOrd="0" presId="urn:microsoft.com/office/officeart/2005/8/layout/cycle7"/>
    <dgm:cxn modelId="{B8D13DB0-55CF-4872-A267-56B8A20D679D}" type="presParOf" srcId="{79C6201B-B5D9-4E3B-A7BC-359D592985AE}" destId="{7447C808-3949-401F-921A-0F9B1CFB12A6}" srcOrd="0" destOrd="0" presId="urn:microsoft.com/office/officeart/2005/8/layout/cycle7"/>
    <dgm:cxn modelId="{9EE5CB0F-C606-4D73-B63B-5E7BD79ED63D}" type="presParOf" srcId="{672A04EA-A4A0-48E1-91A1-AAF139C3ABD0}" destId="{44ECDA4A-429B-4AD1-A019-7446AABC16F9}" srcOrd="2" destOrd="0" presId="urn:microsoft.com/office/officeart/2005/8/layout/cycle7"/>
    <dgm:cxn modelId="{3CE9BC7B-C384-42B6-A814-D9C73A36BBB7}" type="presParOf" srcId="{672A04EA-A4A0-48E1-91A1-AAF139C3ABD0}" destId="{697C0712-57A1-4ABD-A013-D26A4DF2CB35}" srcOrd="3" destOrd="0" presId="urn:microsoft.com/office/officeart/2005/8/layout/cycle7"/>
    <dgm:cxn modelId="{1A79F5A3-1794-4B97-9055-86E1B9B9F90C}" type="presParOf" srcId="{697C0712-57A1-4ABD-A013-D26A4DF2CB35}" destId="{541145AD-E0B8-4680-892F-0BB3740D6F39}" srcOrd="0" destOrd="0" presId="urn:microsoft.com/office/officeart/2005/8/layout/cycle7"/>
    <dgm:cxn modelId="{A7EF9CD6-F209-494F-B394-A70998C2C17A}" type="presParOf" srcId="{672A04EA-A4A0-48E1-91A1-AAF139C3ABD0}" destId="{F372A991-EDF8-4F62-8EA8-07AA34C601EC}" srcOrd="4" destOrd="0" presId="urn:microsoft.com/office/officeart/2005/8/layout/cycle7"/>
    <dgm:cxn modelId="{6168D74F-F7D1-4D1E-AC92-E12C4A9F80D9}" type="presParOf" srcId="{672A04EA-A4A0-48E1-91A1-AAF139C3ABD0}" destId="{0B257674-321A-400D-A959-2EFDB992F76F}" srcOrd="5" destOrd="0" presId="urn:microsoft.com/office/officeart/2005/8/layout/cycle7"/>
    <dgm:cxn modelId="{24223E7D-3048-45A3-90C7-92B781F67ACD}" type="presParOf" srcId="{0B257674-321A-400D-A959-2EFDB992F76F}" destId="{7209A42D-1B18-429D-9709-EDACE1D77A25}"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2E473-9627-4CF2-BD13-A0E7CED864D1}">
      <dsp:nvSpPr>
        <dsp:cNvPr id="0" name=""/>
        <dsp:cNvSpPr/>
      </dsp:nvSpPr>
      <dsp:spPr>
        <a:xfrm>
          <a:off x="2322611" y="512"/>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Anterior Approach</a:t>
          </a:r>
        </a:p>
      </dsp:txBody>
      <dsp:txXfrm>
        <a:off x="2334930" y="12831"/>
        <a:ext cx="816538" cy="395950"/>
      </dsp:txXfrm>
    </dsp:sp>
    <dsp:sp modelId="{79C6201B-B5D9-4E3B-A7BC-359D592985AE}">
      <dsp:nvSpPr>
        <dsp:cNvPr id="0" name=""/>
        <dsp:cNvSpPr/>
      </dsp:nvSpPr>
      <dsp:spPr>
        <a:xfrm rot="3600000">
          <a:off x="2871269" y="738806"/>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2915431" y="768247"/>
        <a:ext cx="350209" cy="88323"/>
      </dsp:txXfrm>
    </dsp:sp>
    <dsp:sp modelId="{44ECDA4A-429B-4AD1-A019-7446AABC16F9}">
      <dsp:nvSpPr>
        <dsp:cNvPr id="0" name=""/>
        <dsp:cNvSpPr/>
      </dsp:nvSpPr>
      <dsp:spPr>
        <a:xfrm>
          <a:off x="3017282" y="1203717"/>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Combination</a:t>
          </a:r>
        </a:p>
      </dsp:txBody>
      <dsp:txXfrm>
        <a:off x="3029601" y="1216036"/>
        <a:ext cx="816538" cy="395950"/>
      </dsp:txXfrm>
    </dsp:sp>
    <dsp:sp modelId="{697C0712-57A1-4ABD-A013-D26A4DF2CB35}">
      <dsp:nvSpPr>
        <dsp:cNvPr id="0" name=""/>
        <dsp:cNvSpPr/>
      </dsp:nvSpPr>
      <dsp:spPr>
        <a:xfrm rot="10800000">
          <a:off x="2523933" y="1340408"/>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rot="10800000">
        <a:off x="2568094" y="1369849"/>
        <a:ext cx="350209" cy="88323"/>
      </dsp:txXfrm>
    </dsp:sp>
    <dsp:sp modelId="{F372A991-EDF8-4F62-8EA8-07AA34C601EC}">
      <dsp:nvSpPr>
        <dsp:cNvPr id="0" name=""/>
        <dsp:cNvSpPr/>
      </dsp:nvSpPr>
      <dsp:spPr>
        <a:xfrm>
          <a:off x="1627940" y="1203717"/>
          <a:ext cx="841176" cy="420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D" sz="1000" kern="1200"/>
            <a:t>Posterior Approach</a:t>
          </a:r>
        </a:p>
      </dsp:txBody>
      <dsp:txXfrm>
        <a:off x="1640259" y="1216036"/>
        <a:ext cx="816538" cy="395950"/>
      </dsp:txXfrm>
    </dsp:sp>
    <dsp:sp modelId="{0B257674-321A-400D-A959-2EFDB992F76F}">
      <dsp:nvSpPr>
        <dsp:cNvPr id="0" name=""/>
        <dsp:cNvSpPr/>
      </dsp:nvSpPr>
      <dsp:spPr>
        <a:xfrm rot="18000000">
          <a:off x="2176598" y="738806"/>
          <a:ext cx="438532" cy="14720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2220760" y="768247"/>
        <a:ext cx="350209" cy="8832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31F30-4ED0-4ABB-AD21-F381AF45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5316</Words>
  <Characters>30305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Cahyadi</dc:creator>
  <cp:lastModifiedBy>SDI 1183</cp:lastModifiedBy>
  <cp:revision>18</cp:revision>
  <dcterms:created xsi:type="dcterms:W3CDTF">2025-03-10T00:23:00Z</dcterms:created>
  <dcterms:modified xsi:type="dcterms:W3CDTF">2025-03-24T08:20:00Z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http://www.zotero.org/styles/apa</vt:lpwstr>
  </property>
</Properties>
</file>