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4FFC4" w14:textId="77777777" w:rsidR="00754C9A" w:rsidRDefault="00754C9A" w:rsidP="00441B6F">
      <w:pPr>
        <w:pStyle w:val="Title"/>
        <w:spacing w:after="0"/>
        <w:jc w:val="both"/>
        <w:rPr>
          <w:rFonts w:ascii="Arial" w:hAnsi="Arial" w:cs="Arial"/>
        </w:rPr>
      </w:pPr>
    </w:p>
    <w:p w14:paraId="1004DCA5" w14:textId="77777777" w:rsidR="00163BC4" w:rsidRPr="00163BC4" w:rsidRDefault="00401927" w:rsidP="00441B6F">
      <w:pPr>
        <w:pStyle w:val="Author"/>
        <w:spacing w:line="240" w:lineRule="auto"/>
        <w:rPr>
          <w:rFonts w:ascii="Arial" w:hAnsi="Arial" w:cs="Arial"/>
          <w:bCs/>
          <w:iCs/>
          <w:kern w:val="28"/>
          <w:sz w:val="36"/>
        </w:rPr>
      </w:pPr>
      <w:r>
        <w:rPr>
          <w:rFonts w:ascii="Arial" w:hAnsi="Arial" w:cs="Arial"/>
          <w:bCs/>
          <w:iCs/>
          <w:kern w:val="28"/>
          <w:sz w:val="36"/>
        </w:rPr>
        <w:t>T</w:t>
      </w:r>
      <w:r w:rsidR="004624A3">
        <w:rPr>
          <w:rFonts w:ascii="Arial" w:hAnsi="Arial" w:cs="Arial"/>
          <w:bCs/>
          <w:iCs/>
          <w:kern w:val="28"/>
          <w:sz w:val="36"/>
        </w:rPr>
        <w:t xml:space="preserve">oxicological Bioassay of Paracetamol Using </w:t>
      </w:r>
      <w:r w:rsidR="004624A3" w:rsidRPr="004624A3">
        <w:rPr>
          <w:rFonts w:ascii="Arial" w:hAnsi="Arial" w:cs="Arial"/>
          <w:bCs/>
          <w:i/>
          <w:kern w:val="28"/>
          <w:sz w:val="36"/>
        </w:rPr>
        <w:t>Allium cepa</w:t>
      </w:r>
      <w:r w:rsidR="004624A3">
        <w:rPr>
          <w:rFonts w:ascii="Arial" w:hAnsi="Arial" w:cs="Arial"/>
          <w:bCs/>
          <w:iCs/>
          <w:kern w:val="28"/>
          <w:sz w:val="36"/>
        </w:rPr>
        <w:t xml:space="preserve"> as a Bioindicator</w:t>
      </w:r>
      <w:r>
        <w:rPr>
          <w:rFonts w:ascii="Arial" w:hAnsi="Arial" w:cs="Arial"/>
          <w:bCs/>
          <w:iCs/>
          <w:kern w:val="28"/>
          <w:sz w:val="36"/>
        </w:rPr>
        <w:t xml:space="preserve"> </w:t>
      </w:r>
    </w:p>
    <w:p w14:paraId="259162A3" w14:textId="6B98C9D9" w:rsidR="00A258C3" w:rsidRPr="00790ADA" w:rsidRDefault="00A258C3" w:rsidP="00441B6F">
      <w:pPr>
        <w:pStyle w:val="Author"/>
        <w:spacing w:line="240" w:lineRule="auto"/>
        <w:jc w:val="both"/>
        <w:rPr>
          <w:rFonts w:ascii="Arial" w:hAnsi="Arial" w:cs="Arial"/>
          <w:sz w:val="36"/>
        </w:rPr>
      </w:pPr>
    </w:p>
    <w:p w14:paraId="1D755681" w14:textId="2535EF43" w:rsidR="00790ADA" w:rsidRDefault="00790ADA" w:rsidP="00441B6F">
      <w:pPr>
        <w:pStyle w:val="Affiliation"/>
        <w:spacing w:after="0" w:line="240" w:lineRule="auto"/>
        <w:jc w:val="both"/>
        <w:rPr>
          <w:rFonts w:ascii="Arial" w:hAnsi="Arial" w:cs="Arial"/>
        </w:rPr>
      </w:pPr>
    </w:p>
    <w:p w14:paraId="39845074" w14:textId="7301FDD5" w:rsidR="002C57D2" w:rsidRPr="00FB3A86" w:rsidRDefault="002C57D2" w:rsidP="00441B6F">
      <w:pPr>
        <w:pStyle w:val="Affiliation"/>
        <w:spacing w:after="0" w:line="240" w:lineRule="auto"/>
        <w:jc w:val="both"/>
        <w:rPr>
          <w:rFonts w:ascii="Arial" w:hAnsi="Arial" w:cs="Arial"/>
        </w:rPr>
      </w:pPr>
    </w:p>
    <w:p w14:paraId="240F57D2" w14:textId="598491BD" w:rsidR="00B01FCD" w:rsidRDefault="00954BC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6C6138E" wp14:editId="6ED67D1D">
                <wp:extent cx="5303520" cy="635"/>
                <wp:effectExtent l="0" t="12700" r="5080" b="12065"/>
                <wp:docPr id="9319261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84E72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7BA8D96B" w14:textId="70E98E66" w:rsidR="002D4AEE" w:rsidRDefault="002D4AEE" w:rsidP="00441B6F">
      <w:pPr>
        <w:pStyle w:val="Copyright"/>
        <w:spacing w:after="0" w:line="240" w:lineRule="auto"/>
        <w:jc w:val="both"/>
        <w:rPr>
          <w:rFonts w:ascii="Arial" w:hAnsi="Arial" w:cs="Arial"/>
        </w:rPr>
      </w:pPr>
    </w:p>
    <w:p w14:paraId="17A9DEAD" w14:textId="2128B4DC" w:rsidR="0086307A" w:rsidRDefault="00C11917" w:rsidP="002D4AEE">
      <w:pPr>
        <w:pStyle w:val="Body"/>
        <w:spacing w:after="0"/>
        <w:rPr>
          <w:rFonts w:ascii="Arial" w:eastAsia="Calibri" w:hAnsi="Arial" w:cs="Arial"/>
          <w:b/>
          <w:bCs/>
          <w:sz w:val="22"/>
          <w:szCs w:val="22"/>
        </w:rPr>
      </w:pPr>
      <w:r>
        <w:rPr>
          <w:rFonts w:ascii="Arial" w:eastAsia="Calibri" w:hAnsi="Arial" w:cs="Arial"/>
          <w:b/>
          <w:noProof/>
          <w:szCs w:val="22"/>
        </w:rPr>
        <mc:AlternateContent>
          <mc:Choice Requires="wps">
            <w:drawing>
              <wp:anchor distT="0" distB="0" distL="114300" distR="114300" simplePos="0" relativeHeight="251662336" behindDoc="1" locked="0" layoutInCell="1" allowOverlap="1" wp14:anchorId="3CBF4B47" wp14:editId="3656A82E">
                <wp:simplePos x="0" y="0"/>
                <wp:positionH relativeFrom="column">
                  <wp:posOffset>-77002</wp:posOffset>
                </wp:positionH>
                <wp:positionV relativeFrom="paragraph">
                  <wp:posOffset>95049</wp:posOffset>
                </wp:positionV>
                <wp:extent cx="5373370" cy="2949208"/>
                <wp:effectExtent l="0" t="0" r="11430" b="10160"/>
                <wp:wrapNone/>
                <wp:docPr id="656662467" name="Text Box 2"/>
                <wp:cNvGraphicFramePr/>
                <a:graphic xmlns:a="http://schemas.openxmlformats.org/drawingml/2006/main">
                  <a:graphicData uri="http://schemas.microsoft.com/office/word/2010/wordprocessingShape">
                    <wps:wsp>
                      <wps:cNvSpPr txBox="1"/>
                      <wps:spPr>
                        <a:xfrm>
                          <a:off x="0" y="0"/>
                          <a:ext cx="5373370" cy="2949208"/>
                        </a:xfrm>
                        <a:prstGeom prst="rect">
                          <a:avLst/>
                        </a:prstGeom>
                        <a:solidFill>
                          <a:schemeClr val="bg1">
                            <a:lumMod val="95000"/>
                          </a:schemeClr>
                        </a:solidFill>
                        <a:ln w="6350">
                          <a:solidFill>
                            <a:prstClr val="black"/>
                          </a:solidFill>
                        </a:ln>
                      </wps:spPr>
                      <wps:txbx>
                        <w:txbxContent>
                          <w:p w14:paraId="0E64E137" w14:textId="77777777" w:rsidR="002D4AEE" w:rsidRDefault="002D4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BF4B47" id="_x0000_t202" coordsize="21600,21600" o:spt="202" path="m,l,21600r21600,l21600,xe">
                <v:stroke joinstyle="miter"/>
                <v:path gradientshapeok="t" o:connecttype="rect"/>
              </v:shapetype>
              <v:shape id="Text Box 2" o:spid="_x0000_s1026" type="#_x0000_t202" style="position:absolute;left:0;text-align:left;margin-left:-6.05pt;margin-top:7.5pt;width:423.1pt;height:2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" fillcolor="#f2f2f2 [3052]" strokeweight=".5pt">
                <v:textbox>
                  <w:txbxContent>
                    <w:p w14:paraId="0E64E137" w14:textId="77777777" w:rsidR="002D4AEE" w:rsidRDefault="002D4AEE"/>
                  </w:txbxContent>
                </v:textbox>
              </v:shape>
            </w:pict>
          </mc:Fallback>
        </mc:AlternateContent>
      </w:r>
    </w:p>
    <w:p w14:paraId="6AD04F9D" w14:textId="77777777" w:rsidR="00D017BC" w:rsidRPr="00D017BC" w:rsidRDefault="00D017BC" w:rsidP="002D4AEE">
      <w:pPr>
        <w:pStyle w:val="Body"/>
        <w:spacing w:after="0"/>
        <w:rPr>
          <w:rFonts w:ascii="Arial" w:eastAsia="Calibri" w:hAnsi="Arial" w:cs="Arial"/>
          <w:b/>
          <w:bCs/>
          <w:sz w:val="22"/>
          <w:szCs w:val="22"/>
        </w:rPr>
      </w:pPr>
      <w:r w:rsidRPr="00D017BC">
        <w:rPr>
          <w:rFonts w:ascii="Arial" w:eastAsia="Calibri" w:hAnsi="Arial" w:cs="Arial"/>
          <w:b/>
          <w:bCs/>
          <w:sz w:val="22"/>
          <w:szCs w:val="22"/>
        </w:rPr>
        <w:t>ABSTRACT</w:t>
      </w:r>
    </w:p>
    <w:p w14:paraId="548B1FC9" w14:textId="77777777" w:rsidR="002D4AEE" w:rsidRPr="0086307A" w:rsidRDefault="002D4AEE" w:rsidP="002D4AEE">
      <w:pPr>
        <w:pStyle w:val="Body"/>
        <w:spacing w:after="0"/>
        <w:rPr>
          <w:rFonts w:ascii="Arial" w:eastAsia="Calibri" w:hAnsi="Arial" w:cs="Arial"/>
          <w:szCs w:val="22"/>
        </w:rPr>
      </w:pPr>
    </w:p>
    <w:p w14:paraId="0847EC2D" w14:textId="4A5C6524" w:rsidR="00576F78" w:rsidRPr="00C11917" w:rsidRDefault="002D4AEE" w:rsidP="00EB24FD">
      <w:pPr>
        <w:pStyle w:val="Body"/>
        <w:spacing w:after="0"/>
        <w:rPr>
          <w:rFonts w:ascii="Arial" w:hAnsi="Arial" w:cs="Arial"/>
        </w:rPr>
      </w:pPr>
      <w:r w:rsidRPr="00C11917">
        <w:rPr>
          <w:rFonts w:ascii="Arial" w:hAnsi="Arial" w:cs="Arial"/>
        </w:rPr>
        <w:t>This study aimed to evaluate the cytotoxic effects of Paracetamol on onion root tip cells</w:t>
      </w:r>
      <w:r w:rsidR="00EB24FD" w:rsidRPr="00C11917">
        <w:rPr>
          <w:rFonts w:ascii="Arial" w:hAnsi="Arial" w:cs="Arial"/>
        </w:rPr>
        <w:t>.</w:t>
      </w:r>
      <w:r w:rsidR="00C11917" w:rsidRPr="00C11917">
        <w:rPr>
          <w:rFonts w:ascii="Arial" w:hAnsi="Arial" w:cs="Arial"/>
        </w:rPr>
        <w:t xml:space="preserve"> </w:t>
      </w:r>
      <w:r w:rsidR="00BB09FC" w:rsidRPr="00C11917">
        <w:rPr>
          <w:rFonts w:ascii="Arial" w:eastAsia="Calibri" w:hAnsi="Arial" w:cs="Arial"/>
          <w:szCs w:val="22"/>
        </w:rPr>
        <w:t xml:space="preserve">Three experimental treatments were conducted using Paracetamol concentrations of 500, 250, and 125 mg/L, along with a control (distilled water). After 96 hours of exposure, root growth, mitotic index, and the frequency of chromosomal abnormalities in </w:t>
      </w:r>
      <w:r w:rsidR="00BB09FC" w:rsidRPr="00C11917">
        <w:rPr>
          <w:rFonts w:ascii="Arial" w:eastAsia="Calibri" w:hAnsi="Arial" w:cs="Arial"/>
          <w:i/>
          <w:iCs/>
          <w:szCs w:val="22"/>
        </w:rPr>
        <w:t>Allium cepa</w:t>
      </w:r>
      <w:r w:rsidR="00C11917" w:rsidRPr="00C11917">
        <w:rPr>
          <w:rFonts w:ascii="Arial" w:eastAsia="Calibri" w:hAnsi="Arial" w:cs="Arial"/>
          <w:szCs w:val="22"/>
        </w:rPr>
        <w:t xml:space="preserve"> </w:t>
      </w:r>
      <w:r w:rsidR="00BB09FC" w:rsidRPr="00C11917">
        <w:rPr>
          <w:rFonts w:ascii="Arial" w:eastAsia="Calibri" w:hAnsi="Arial" w:cs="Arial"/>
          <w:szCs w:val="22"/>
        </w:rPr>
        <w:t>were assessed.</w:t>
      </w:r>
      <w:r w:rsidR="00C11917" w:rsidRPr="00C11917">
        <w:rPr>
          <w:rFonts w:ascii="Arial" w:hAnsi="Arial" w:cs="Arial"/>
        </w:rPr>
        <w:t xml:space="preserve"> </w:t>
      </w:r>
      <w:r w:rsidR="00576F78" w:rsidRPr="00C11917">
        <w:rPr>
          <w:rFonts w:ascii="Arial" w:eastAsia="Calibri" w:hAnsi="Arial" w:cs="Arial"/>
          <w:szCs w:val="22"/>
        </w:rPr>
        <w:t xml:space="preserve">The relative growth of the roots of </w:t>
      </w:r>
      <w:r w:rsidR="00576F78" w:rsidRPr="00C11917">
        <w:rPr>
          <w:rFonts w:ascii="Arial" w:eastAsia="Calibri" w:hAnsi="Arial" w:cs="Arial"/>
          <w:i/>
          <w:iCs/>
          <w:szCs w:val="22"/>
        </w:rPr>
        <w:t>A. cepa</w:t>
      </w:r>
      <w:r w:rsidR="00576F78" w:rsidRPr="00C11917">
        <w:rPr>
          <w:rFonts w:ascii="Arial" w:eastAsia="Calibri" w:hAnsi="Arial" w:cs="Arial"/>
          <w:szCs w:val="22"/>
        </w:rPr>
        <w:t xml:space="preserve"> was influenced in each treatment, showing a significant decrease from </w:t>
      </w:r>
      <w:r w:rsidR="00576F78" w:rsidRPr="00C11917">
        <w:rPr>
          <w:rFonts w:ascii="Arial" w:eastAsiaTheme="minorEastAsia" w:hAnsi="Arial" w:cs="Arial"/>
        </w:rPr>
        <w:t xml:space="preserve">5.74 </w:t>
      </w:r>
      <m:oMath>
        <m:r>
          <w:rPr>
            <w:rFonts w:ascii="Cambria Math" w:eastAsiaTheme="minorEastAsia" w:hAnsi="Cambria Math" w:cs="Arial"/>
          </w:rPr>
          <m:t>±</m:t>
        </m:r>
      </m:oMath>
      <w:r w:rsidR="00576F78" w:rsidRPr="00C11917">
        <w:rPr>
          <w:rFonts w:ascii="Arial" w:eastAsiaTheme="minorEastAsia" w:hAnsi="Arial" w:cs="Arial"/>
        </w:rPr>
        <w:t xml:space="preserve"> 0.27 to 1.58 </w:t>
      </w:r>
      <m:oMath>
        <m:r>
          <w:rPr>
            <w:rFonts w:ascii="Cambria Math" w:eastAsiaTheme="minorEastAsia" w:hAnsi="Cambria Math" w:cs="Arial"/>
          </w:rPr>
          <m:t>±</m:t>
        </m:r>
      </m:oMath>
      <w:r w:rsidR="00576F78" w:rsidRPr="00C11917">
        <w:rPr>
          <w:rFonts w:ascii="Arial" w:eastAsiaTheme="minorEastAsia" w:hAnsi="Arial" w:cs="Arial"/>
        </w:rPr>
        <w:t xml:space="preserve"> 0.13. Microscopic analysis revealed a substantial reduction in the mitotic index, with a recorded value of 8.76 ± 0.7 at the </w:t>
      </w:r>
      <w:r w:rsidR="00576F78" w:rsidRPr="00C11917">
        <w:rPr>
          <w:rFonts w:ascii="Arial" w:eastAsiaTheme="minorEastAsia" w:hAnsi="Arial" w:cs="Arial"/>
          <w:i/>
          <w:iCs/>
        </w:rPr>
        <w:t>A. cepa</w:t>
      </w:r>
      <w:r w:rsidR="00576F78" w:rsidRPr="00C11917">
        <w:rPr>
          <w:rFonts w:ascii="Arial" w:eastAsiaTheme="minorEastAsia" w:hAnsi="Arial" w:cs="Arial"/>
        </w:rPr>
        <w:t xml:space="preserve"> 500 mg/L treatment.</w:t>
      </w:r>
      <w:r w:rsidR="00576F78" w:rsidRPr="00C11917">
        <w:rPr>
          <w:rFonts w:ascii="Arial" w:hAnsi="Arial" w:cs="Arial"/>
        </w:rPr>
        <w:t xml:space="preserve"> </w:t>
      </w:r>
      <w:r w:rsidR="00576F78" w:rsidRPr="00C11917">
        <w:rPr>
          <w:rFonts w:ascii="Arial" w:eastAsiaTheme="minorEastAsia" w:hAnsi="Arial" w:cs="Arial"/>
        </w:rPr>
        <w:t>Furthermore, a total of 10 distinct chromosomal abnormalities were identified, indicating a significant structural impact on chromosomes induced by Paracetamol exposure.</w:t>
      </w:r>
    </w:p>
    <w:p w14:paraId="032F5863" w14:textId="55A0E31A" w:rsidR="002D4AEE" w:rsidRDefault="00EB24FD" w:rsidP="00EB24FD">
      <w:pPr>
        <w:pStyle w:val="Body"/>
        <w:spacing w:after="0"/>
        <w:rPr>
          <w:rFonts w:ascii="Arial" w:eastAsia="Calibri" w:hAnsi="Arial" w:cs="Arial"/>
          <w:color w:val="FF0000"/>
          <w:szCs w:val="22"/>
        </w:rPr>
      </w:pPr>
      <w:r w:rsidRPr="00C11917">
        <w:rPr>
          <w:rFonts w:ascii="Arial" w:eastAsia="Calibri" w:hAnsi="Arial" w:cs="Arial"/>
          <w:szCs w:val="22"/>
        </w:rPr>
        <w:t xml:space="preserve">The results demonstrate that </w:t>
      </w:r>
      <w:r w:rsidRPr="00C11917">
        <w:rPr>
          <w:rFonts w:ascii="Arial" w:eastAsia="Calibri" w:hAnsi="Arial" w:cs="Arial"/>
          <w:i/>
          <w:iCs/>
          <w:szCs w:val="22"/>
        </w:rPr>
        <w:t>Allium cepa</w:t>
      </w:r>
      <w:r w:rsidRPr="00C11917">
        <w:rPr>
          <w:rFonts w:ascii="Arial" w:eastAsia="Calibri" w:hAnsi="Arial" w:cs="Arial"/>
          <w:szCs w:val="22"/>
        </w:rPr>
        <w:t xml:space="preserve"> serves as an effective model for toxicological assessments, as all tested concentrations exhibited significant effects. These findings suggest that prolonged exposure to high Paracetamol concentrations may irreversibly impact genome integrity, posing ecological risks. Further analytical validation and metabolite characterization are essential</w:t>
      </w:r>
      <w:r w:rsidR="00576F78" w:rsidRPr="00C11917">
        <w:rPr>
          <w:rFonts w:ascii="Arial" w:eastAsia="Calibri" w:hAnsi="Arial" w:cs="Arial"/>
          <w:szCs w:val="22"/>
        </w:rPr>
        <w:t>.</w:t>
      </w:r>
    </w:p>
    <w:p w14:paraId="4A5E7E38" w14:textId="77777777" w:rsidR="0086307A" w:rsidRDefault="0086307A" w:rsidP="002D4AEE">
      <w:pPr>
        <w:pStyle w:val="Copyright"/>
        <w:spacing w:after="0" w:line="240" w:lineRule="auto"/>
        <w:jc w:val="both"/>
        <w:rPr>
          <w:rFonts w:ascii="Arial" w:eastAsia="Calibri" w:hAnsi="Arial" w:cs="Arial"/>
          <w:color w:val="FF0000"/>
          <w:szCs w:val="22"/>
        </w:rPr>
      </w:pPr>
    </w:p>
    <w:p w14:paraId="261D034A" w14:textId="77777777" w:rsidR="0086307A" w:rsidRDefault="0086307A" w:rsidP="002D4AEE">
      <w:pPr>
        <w:pStyle w:val="Copyright"/>
        <w:spacing w:after="0" w:line="240" w:lineRule="auto"/>
        <w:jc w:val="both"/>
        <w:rPr>
          <w:rFonts w:ascii="Arial" w:eastAsia="Calibri" w:hAnsi="Arial" w:cs="Arial"/>
          <w:color w:val="FF0000"/>
          <w:szCs w:val="22"/>
        </w:rPr>
      </w:pPr>
    </w:p>
    <w:p w14:paraId="4213E94D" w14:textId="77777777" w:rsidR="0086307A" w:rsidRDefault="0086307A" w:rsidP="002D4AEE">
      <w:pPr>
        <w:pStyle w:val="Copyright"/>
        <w:spacing w:after="0" w:line="240" w:lineRule="auto"/>
        <w:jc w:val="both"/>
        <w:rPr>
          <w:rFonts w:ascii="Arial" w:eastAsia="Calibri" w:hAnsi="Arial" w:cs="Arial"/>
          <w:color w:val="FF0000"/>
          <w:szCs w:val="22"/>
        </w:rPr>
      </w:pPr>
    </w:p>
    <w:p w14:paraId="10EA0A63" w14:textId="77777777" w:rsidR="0086307A" w:rsidRDefault="0086307A" w:rsidP="002D4AEE">
      <w:pPr>
        <w:pStyle w:val="Copyright"/>
        <w:spacing w:after="0" w:line="240" w:lineRule="auto"/>
        <w:jc w:val="both"/>
        <w:rPr>
          <w:rFonts w:ascii="Arial" w:eastAsia="Calibri" w:hAnsi="Arial" w:cs="Arial"/>
          <w:color w:val="FF0000"/>
          <w:szCs w:val="22"/>
        </w:rPr>
      </w:pPr>
    </w:p>
    <w:p w14:paraId="7D9D4284" w14:textId="77777777" w:rsidR="0086307A" w:rsidRDefault="0086307A" w:rsidP="002D4AEE">
      <w:pPr>
        <w:pStyle w:val="Copyright"/>
        <w:spacing w:after="0" w:line="240" w:lineRule="auto"/>
        <w:jc w:val="both"/>
        <w:rPr>
          <w:rFonts w:ascii="Arial" w:eastAsia="Calibri" w:hAnsi="Arial" w:cs="Arial"/>
          <w:color w:val="FF0000"/>
          <w:szCs w:val="22"/>
        </w:rPr>
      </w:pPr>
    </w:p>
    <w:p w14:paraId="150DB7E5" w14:textId="77777777" w:rsidR="00BB09FC" w:rsidRPr="00BB09FC" w:rsidRDefault="0086307A" w:rsidP="00BB09FC">
      <w:pPr>
        <w:pStyle w:val="Body"/>
        <w:rPr>
          <w:rFonts w:ascii="Arial" w:hAnsi="Arial" w:cs="Arial"/>
          <w:i/>
        </w:rPr>
      </w:pPr>
      <w:r w:rsidRPr="00D46BA2">
        <w:rPr>
          <w:rFonts w:ascii="Arial" w:hAnsi="Arial" w:cs="Arial"/>
          <w:b/>
          <w:i/>
        </w:rPr>
        <w:t>Keywords:</w:t>
      </w:r>
      <w:r>
        <w:rPr>
          <w:rFonts w:ascii="Arial" w:hAnsi="Arial" w:cs="Arial"/>
          <w:i/>
        </w:rPr>
        <w:t xml:space="preserve"> </w:t>
      </w:r>
      <w:r w:rsidR="00BB09FC" w:rsidRPr="00BB09FC">
        <w:rPr>
          <w:rFonts w:ascii="Arial" w:hAnsi="Arial" w:cs="Arial"/>
          <w:i/>
        </w:rPr>
        <w:t xml:space="preserve">Paracetamol, </w:t>
      </w:r>
      <w:r w:rsidR="00BB09FC" w:rsidRPr="00BB09FC">
        <w:rPr>
          <w:rFonts w:ascii="Arial" w:hAnsi="Arial" w:cs="Arial"/>
          <w:i/>
          <w:iCs/>
        </w:rPr>
        <w:t>Allium cepa</w:t>
      </w:r>
      <w:r w:rsidR="00BB09FC" w:rsidRPr="00BB09FC">
        <w:rPr>
          <w:rFonts w:ascii="Arial" w:hAnsi="Arial" w:cs="Arial"/>
          <w:i/>
        </w:rPr>
        <w:t>, Cytotoxicity, Self-medication</w:t>
      </w:r>
    </w:p>
    <w:p w14:paraId="4A547C12" w14:textId="77777777" w:rsidR="0086307A" w:rsidRPr="002D4AEE" w:rsidRDefault="0086307A" w:rsidP="00BB09FC">
      <w:pPr>
        <w:pStyle w:val="Body"/>
        <w:spacing w:after="0"/>
        <w:rPr>
          <w:rFonts w:ascii="Arial" w:hAnsi="Arial" w:cs="Arial"/>
          <w:szCs w:val="22"/>
        </w:rPr>
        <w:sectPr w:rsidR="0086307A" w:rsidRPr="002D4AEE" w:rsidSect="00F9661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6289B01"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ECF2E61" w14:textId="77777777" w:rsidR="00790ADA" w:rsidRPr="00FB3A86" w:rsidRDefault="00790ADA" w:rsidP="00441B6F">
      <w:pPr>
        <w:pStyle w:val="AbstHead"/>
        <w:spacing w:after="0"/>
        <w:jc w:val="both"/>
        <w:rPr>
          <w:rFonts w:ascii="Arial" w:hAnsi="Arial" w:cs="Arial"/>
        </w:rPr>
      </w:pPr>
    </w:p>
    <w:p w14:paraId="6D334834" w14:textId="141317BC" w:rsidR="00F343C6" w:rsidRPr="00F343C6" w:rsidRDefault="000D557B" w:rsidP="00F343C6">
      <w:pPr>
        <w:pStyle w:val="Body"/>
        <w:rPr>
          <w:rFonts w:ascii="Arial" w:hAnsi="Arial" w:cs="Arial"/>
          <w:lang w:val="en-IN"/>
        </w:rPr>
      </w:pPr>
      <w:r w:rsidRPr="000D557B">
        <w:rPr>
          <w:rFonts w:ascii="Arial" w:hAnsi="Arial" w:cs="Arial"/>
          <w:lang w:val="en-GB"/>
        </w:rPr>
        <w:t>As lives getting faster, there's an increased reliance on immediate relief from health issues</w:t>
      </w:r>
      <w:r>
        <w:rPr>
          <w:rFonts w:ascii="Arial" w:hAnsi="Arial" w:cs="Arial"/>
          <w:lang w:val="en-GB"/>
        </w:rPr>
        <w:t xml:space="preserve">. </w:t>
      </w:r>
      <w:r w:rsidR="00F343C6" w:rsidRPr="00F343C6">
        <w:rPr>
          <w:rFonts w:ascii="Arial" w:hAnsi="Arial" w:cs="Arial"/>
        </w:rPr>
        <w:t xml:space="preserve">Many people have turned to self-medication for minor ailments, opting for over- the- counter (OTC) drugs to treat their health problems. </w:t>
      </w:r>
      <w:r w:rsidR="00F343C6" w:rsidRPr="00F343C6">
        <w:rPr>
          <w:rFonts w:ascii="Arial" w:hAnsi="Arial" w:cs="Arial"/>
          <w:lang w:val="en-IN"/>
        </w:rPr>
        <w:t xml:space="preserve">Self-medication has been defined as “the taking of drugs, herbs or home remedies on one's ow initiative, or on the advice of another person, without consulting a doctor” </w:t>
      </w:r>
      <w:r w:rsidR="00F343C6" w:rsidRPr="000D557B">
        <w:rPr>
          <w:rFonts w:ascii="Arial" w:hAnsi="Arial" w:cs="Arial"/>
          <w:lang w:val="en-IN"/>
        </w:rPr>
        <w:t>(Hernandez-</w:t>
      </w:r>
      <w:proofErr w:type="spellStart"/>
      <w:r w:rsidR="00F343C6" w:rsidRPr="000D557B">
        <w:rPr>
          <w:rFonts w:ascii="Arial" w:hAnsi="Arial" w:cs="Arial"/>
          <w:lang w:val="en-IN"/>
        </w:rPr>
        <w:t>Juyol</w:t>
      </w:r>
      <w:proofErr w:type="spellEnd"/>
      <w:r w:rsidR="00F343C6" w:rsidRPr="000D557B">
        <w:rPr>
          <w:rFonts w:ascii="Arial" w:hAnsi="Arial" w:cs="Arial"/>
          <w:lang w:val="en-IN"/>
        </w:rPr>
        <w:t xml:space="preserve"> and Job-Quesada, 2002)</w:t>
      </w:r>
      <w:r w:rsidR="00F343C6" w:rsidRPr="00F343C6">
        <w:rPr>
          <w:rFonts w:ascii="Arial" w:hAnsi="Arial" w:cs="Arial"/>
          <w:lang w:val="en-IN"/>
        </w:rPr>
        <w:t>.</w:t>
      </w:r>
      <w:r w:rsidR="00F343C6" w:rsidRPr="00F343C6">
        <w:rPr>
          <w:rFonts w:ascii="Arial" w:hAnsi="Arial" w:cs="Arial"/>
          <w:b/>
          <w:bCs/>
          <w:lang w:val="en-IN"/>
        </w:rPr>
        <w:t xml:space="preserve"> </w:t>
      </w:r>
      <w:r w:rsidR="00F343C6" w:rsidRPr="00F343C6">
        <w:rPr>
          <w:rFonts w:ascii="Arial" w:hAnsi="Arial" w:cs="Arial"/>
        </w:rPr>
        <w:t>Commonly used medication includes analgesics, cough syrups, laxatives, antibiotics, antihistamines, vitamins and antacids, as they are easily accessible, without a prescription.</w:t>
      </w:r>
    </w:p>
    <w:p w14:paraId="278602B2" w14:textId="77777777" w:rsidR="00561713" w:rsidRDefault="00F343C6" w:rsidP="00F343C6">
      <w:pPr>
        <w:pStyle w:val="Body"/>
        <w:rPr>
          <w:rFonts w:ascii="Arial" w:hAnsi="Arial" w:cs="Arial"/>
        </w:rPr>
      </w:pPr>
      <w:r w:rsidRPr="00F343C6">
        <w:rPr>
          <w:rFonts w:ascii="Arial" w:hAnsi="Arial" w:cs="Arial"/>
        </w:rPr>
        <w:t xml:space="preserve">Paracetamol also known as acetaminophen or N-acetyl </w:t>
      </w:r>
      <w:r w:rsidRPr="00F343C6">
        <w:rPr>
          <w:rFonts w:ascii="Arial" w:hAnsi="Arial" w:cs="Arial"/>
        </w:rPr>
        <w:sym w:font="Symbol" w:char="F062"/>
      </w:r>
      <w:r w:rsidRPr="00F343C6">
        <w:rPr>
          <w:rFonts w:ascii="Arial" w:hAnsi="Arial" w:cs="Arial"/>
        </w:rPr>
        <w:t xml:space="preserve">-aminophenol, is one of the mild analgesics &amp; antipyretic easily available at all pharmacies and are considered as an OTC drugs. Its effectiveness in providing quick pain relief and its strong safety profile have led many people to trust it blindly. </w:t>
      </w:r>
      <w:r w:rsidR="000D557B" w:rsidRPr="000D557B">
        <w:rPr>
          <w:rFonts w:ascii="Arial" w:hAnsi="Arial" w:cs="Arial"/>
        </w:rPr>
        <w:t xml:space="preserve">During the COVID-19 pandemic, paracetamol became one of the most commonly used treatments for symptom relief, as prescribed by health professionals (Mostafa et al., 2022; </w:t>
      </w:r>
      <w:proofErr w:type="spellStart"/>
      <w:r w:rsidR="000D557B" w:rsidRPr="000D557B">
        <w:rPr>
          <w:rFonts w:ascii="Arial" w:hAnsi="Arial" w:cs="Arial"/>
        </w:rPr>
        <w:t>Pandolfi</w:t>
      </w:r>
      <w:proofErr w:type="spellEnd"/>
      <w:r w:rsidR="000D557B" w:rsidRPr="000D557B">
        <w:rPr>
          <w:rFonts w:ascii="Arial" w:hAnsi="Arial" w:cs="Arial"/>
        </w:rPr>
        <w:t xml:space="preserve"> et al., 2022). It was also frequently used for self-medication during the quarantine period (</w:t>
      </w:r>
      <w:proofErr w:type="spellStart"/>
      <w:r w:rsidR="000D557B" w:rsidRPr="000D557B">
        <w:rPr>
          <w:rFonts w:ascii="Arial" w:hAnsi="Arial" w:cs="Arial"/>
        </w:rPr>
        <w:t>Faqihi</w:t>
      </w:r>
      <w:proofErr w:type="spellEnd"/>
      <w:r w:rsidR="000D557B" w:rsidRPr="000D557B">
        <w:rPr>
          <w:rFonts w:ascii="Arial" w:hAnsi="Arial" w:cs="Arial"/>
        </w:rPr>
        <w:t xml:space="preserve"> and Sayed, 2021). This increased demand led to a rise in paracetamol consumption, ultimately resulting in a shortage of the drug (Romano et al., 2021).</w:t>
      </w:r>
      <w:r w:rsidR="000D557B">
        <w:rPr>
          <w:rFonts w:ascii="Arial" w:hAnsi="Arial" w:cs="Arial"/>
        </w:rPr>
        <w:t xml:space="preserve"> </w:t>
      </w:r>
      <w:r w:rsidR="00561713" w:rsidRPr="00561713">
        <w:rPr>
          <w:rFonts w:ascii="Arial" w:hAnsi="Arial" w:cs="Arial"/>
        </w:rPr>
        <w:t xml:space="preserve">Paracetamol is commonly used for its ability to relieve pain and inflammation. However, paracetamol poisoning can occur even at recommended therapeutic doses. It can also result from multiple therapeutic or supratherapeutic doses (Lubel et al., 2007; </w:t>
      </w:r>
      <w:proofErr w:type="spellStart"/>
      <w:r w:rsidR="00561713" w:rsidRPr="00561713">
        <w:rPr>
          <w:rFonts w:ascii="Arial" w:hAnsi="Arial" w:cs="Arial"/>
        </w:rPr>
        <w:t>Chidiac</w:t>
      </w:r>
      <w:proofErr w:type="spellEnd"/>
      <w:r w:rsidR="00561713" w:rsidRPr="00561713">
        <w:rPr>
          <w:rFonts w:ascii="Arial" w:hAnsi="Arial" w:cs="Arial"/>
        </w:rPr>
        <w:t xml:space="preserve"> et al., 2023).</w:t>
      </w:r>
    </w:p>
    <w:p w14:paraId="59652EE1" w14:textId="7041CDED" w:rsidR="00F343C6" w:rsidRDefault="00F343C6" w:rsidP="00F343C6">
      <w:pPr>
        <w:pStyle w:val="Body"/>
        <w:rPr>
          <w:rFonts w:ascii="Arial" w:hAnsi="Arial" w:cs="Arial"/>
        </w:rPr>
      </w:pPr>
      <w:r w:rsidRPr="00F343C6">
        <w:rPr>
          <w:rFonts w:ascii="Arial" w:hAnsi="Arial" w:cs="Arial"/>
        </w:rPr>
        <w:t xml:space="preserve">Paracetamol is rapidly absorbed in the duodenum </w:t>
      </w:r>
      <w:r w:rsidRPr="008E2751">
        <w:rPr>
          <w:rFonts w:ascii="Arial" w:hAnsi="Arial" w:cs="Arial"/>
        </w:rPr>
        <w:t>(</w:t>
      </w:r>
      <w:proofErr w:type="spellStart"/>
      <w:r w:rsidRPr="008E2751">
        <w:rPr>
          <w:rFonts w:ascii="Arial" w:hAnsi="Arial" w:cs="Arial"/>
          <w:lang w:val="en-IN"/>
        </w:rPr>
        <w:t>Bartholom</w:t>
      </w:r>
      <w:proofErr w:type="spellEnd"/>
      <w:r w:rsidRPr="008E2751">
        <w:rPr>
          <w:rFonts w:ascii="Arial" w:hAnsi="Arial" w:cs="Arial"/>
          <w:lang w:val="en-IN"/>
        </w:rPr>
        <w:t xml:space="preserve"> </w:t>
      </w:r>
      <w:proofErr w:type="spellStart"/>
      <w:r w:rsidRPr="008E2751">
        <w:rPr>
          <w:rFonts w:ascii="Arial" w:hAnsi="Arial" w:cs="Arial"/>
          <w:lang w:val="en-IN"/>
        </w:rPr>
        <w:t>ét</w:t>
      </w:r>
      <w:proofErr w:type="spellEnd"/>
      <w:r w:rsidRPr="008E2751">
        <w:rPr>
          <w:rFonts w:ascii="Arial" w:hAnsi="Arial" w:cs="Arial"/>
          <w:lang w:val="en-IN"/>
        </w:rPr>
        <w:t xml:space="preserve"> al., 2015)</w:t>
      </w:r>
      <w:r w:rsidRPr="008E2751">
        <w:rPr>
          <w:rFonts w:ascii="Arial" w:hAnsi="Arial" w:cs="Arial"/>
        </w:rPr>
        <w:t>,</w:t>
      </w:r>
      <w:r w:rsidRPr="00F343C6">
        <w:rPr>
          <w:rFonts w:ascii="Arial" w:hAnsi="Arial" w:cs="Arial"/>
        </w:rPr>
        <w:t xml:space="preserve"> crosses the blood- brain barrier and is uniformly distributed throughout the central nervous system </w:t>
      </w:r>
      <w:r w:rsidRPr="008E2751">
        <w:rPr>
          <w:rFonts w:ascii="Arial" w:hAnsi="Arial" w:cs="Arial"/>
        </w:rPr>
        <w:t>(</w:t>
      </w:r>
      <w:r w:rsidRPr="008E2751">
        <w:rPr>
          <w:rFonts w:ascii="Arial" w:hAnsi="Arial" w:cs="Arial"/>
          <w:lang w:val="en-IN"/>
        </w:rPr>
        <w:t xml:space="preserve">Klotz, 2012; </w:t>
      </w:r>
      <w:proofErr w:type="spellStart"/>
      <w:r w:rsidRPr="008E2751">
        <w:rPr>
          <w:rFonts w:ascii="Arial" w:hAnsi="Arial" w:cs="Arial"/>
          <w:lang w:val="en-IN"/>
        </w:rPr>
        <w:t>Shazma</w:t>
      </w:r>
      <w:proofErr w:type="spellEnd"/>
      <w:r w:rsidRPr="008E2751">
        <w:rPr>
          <w:rFonts w:ascii="Arial" w:hAnsi="Arial" w:cs="Arial"/>
          <w:lang w:val="en-IN"/>
        </w:rPr>
        <w:t>, 2018)</w:t>
      </w:r>
      <w:r w:rsidRPr="008E2751">
        <w:rPr>
          <w:rFonts w:ascii="Arial" w:hAnsi="Arial" w:cs="Arial"/>
        </w:rPr>
        <w:t xml:space="preserve">. </w:t>
      </w:r>
      <w:r w:rsidRPr="00F343C6">
        <w:rPr>
          <w:rFonts w:ascii="Arial" w:hAnsi="Arial" w:cs="Arial"/>
        </w:rPr>
        <w:t>Its metabolic pathway involves three key organs: the liver, intestine and kidneys.</w:t>
      </w:r>
    </w:p>
    <w:p w14:paraId="19C44867" w14:textId="1975B9DB" w:rsidR="00F343C6" w:rsidRPr="008E2751" w:rsidRDefault="00F343C6" w:rsidP="00F343C6">
      <w:pPr>
        <w:pStyle w:val="Body"/>
        <w:rPr>
          <w:rFonts w:ascii="Arial" w:hAnsi="Arial" w:cs="Arial"/>
        </w:rPr>
      </w:pPr>
      <w:r w:rsidRPr="00F343C6">
        <w:rPr>
          <w:rFonts w:ascii="Arial" w:hAnsi="Arial" w:cs="Arial"/>
        </w:rPr>
        <w:t>At therapeutic doses, Paracetamol is typically metabolized by the cytochrome P450 system, resulting in the formation of</w:t>
      </w:r>
      <w:r w:rsidR="000D557B" w:rsidRPr="000D557B">
        <w:rPr>
          <w:rFonts w:ascii="Helvetica Neue" w:hAnsi="Helvetica Neue"/>
          <w:color w:val="001D35"/>
          <w:sz w:val="27"/>
          <w:szCs w:val="27"/>
          <w:shd w:val="clear" w:color="auto" w:fill="FFFFFF"/>
        </w:rPr>
        <w:t xml:space="preserve"> </w:t>
      </w:r>
      <w:r w:rsidR="000D557B" w:rsidRPr="000D557B">
        <w:rPr>
          <w:rFonts w:ascii="Arial" w:hAnsi="Arial" w:cs="Arial"/>
        </w:rPr>
        <w:t>N-acetyl-p-benzoquinone imine</w:t>
      </w:r>
      <w:r w:rsidRPr="00F343C6">
        <w:rPr>
          <w:rFonts w:ascii="Arial" w:hAnsi="Arial" w:cs="Arial"/>
        </w:rPr>
        <w:t xml:space="preserve"> </w:t>
      </w:r>
      <w:r w:rsidR="000D557B">
        <w:rPr>
          <w:rFonts w:ascii="Arial" w:hAnsi="Arial" w:cs="Arial"/>
        </w:rPr>
        <w:t>(</w:t>
      </w:r>
      <w:r w:rsidRPr="00F343C6">
        <w:rPr>
          <w:rFonts w:ascii="Arial" w:hAnsi="Arial" w:cs="Arial"/>
        </w:rPr>
        <w:t>NAPQI</w:t>
      </w:r>
      <w:r w:rsidR="000D557B" w:rsidRPr="008E2751">
        <w:rPr>
          <w:rFonts w:ascii="Arial" w:hAnsi="Arial" w:cs="Arial"/>
        </w:rPr>
        <w:t>)</w:t>
      </w:r>
      <w:r w:rsidRPr="008E2751">
        <w:rPr>
          <w:rFonts w:ascii="Arial" w:hAnsi="Arial" w:cs="Arial"/>
        </w:rPr>
        <w:t xml:space="preserve"> (Fig 1: Adapted from Moyer et al., 2011).</w:t>
      </w:r>
      <w:r w:rsidRPr="00F343C6">
        <w:rPr>
          <w:rFonts w:ascii="Arial" w:hAnsi="Arial" w:cs="Arial"/>
          <w:b/>
          <w:bCs/>
        </w:rPr>
        <w:t xml:space="preserve"> </w:t>
      </w:r>
      <w:r w:rsidRPr="00F343C6">
        <w:rPr>
          <w:rFonts w:ascii="Arial" w:hAnsi="Arial" w:cs="Arial"/>
        </w:rPr>
        <w:t xml:space="preserve">However, in cases of overdose, this process depletes cellular glutathione levels in the liver, as NAPQI quickly reacts with glutathione. This reaction leads to oxidative stress, causing cellular damage &amp; death. Paracetamol is a dose dependent fatal hepatoxic agent and can cause acute hepatocellular injury leading to centrilobular necrosis </w:t>
      </w:r>
      <w:r w:rsidRPr="008E2751">
        <w:rPr>
          <w:rFonts w:ascii="Arial" w:hAnsi="Arial" w:cs="Arial"/>
        </w:rPr>
        <w:t>(</w:t>
      </w:r>
      <w:r w:rsidRPr="008E2751">
        <w:rPr>
          <w:rFonts w:ascii="Arial" w:hAnsi="Arial" w:cs="Arial"/>
          <w:lang w:val="en-IN"/>
        </w:rPr>
        <w:t>Hinson et al., 2010)</w:t>
      </w:r>
      <w:r w:rsidRPr="008E2751">
        <w:rPr>
          <w:rFonts w:ascii="Arial" w:hAnsi="Arial" w:cs="Arial"/>
        </w:rPr>
        <w:t>, this injury to centrilobular necrosis is due to elevated level of NAPQI (</w:t>
      </w:r>
      <w:r w:rsidRPr="008E2751">
        <w:rPr>
          <w:rFonts w:ascii="Arial" w:hAnsi="Arial" w:cs="Arial"/>
          <w:lang w:val="en-IN"/>
        </w:rPr>
        <w:t>Shan et al., 2019; Guengerich, 2021)</w:t>
      </w:r>
      <w:r w:rsidRPr="008E2751">
        <w:rPr>
          <w:rFonts w:ascii="Arial" w:hAnsi="Arial" w:cs="Arial"/>
        </w:rPr>
        <w:t>. Its overdose can also cause renal failure &amp; depletion of glutathione (</w:t>
      </w:r>
      <w:r w:rsidRPr="008E2751">
        <w:rPr>
          <w:rFonts w:ascii="Arial" w:hAnsi="Arial" w:cs="Arial"/>
          <w:lang w:val="en-IN"/>
        </w:rPr>
        <w:t>Abraham, 2005)</w:t>
      </w:r>
      <w:r w:rsidRPr="008E2751">
        <w:rPr>
          <w:rFonts w:ascii="Arial" w:hAnsi="Arial" w:cs="Arial"/>
        </w:rPr>
        <w:t>. Paracetamol has emerged as the leading cause of acute liver failure (ALF), a serious condition characterized by elevated plasma, aminotransferase levels, specifically ALT and AST (</w:t>
      </w:r>
      <w:r w:rsidRPr="008E2751">
        <w:rPr>
          <w:rFonts w:ascii="Arial" w:hAnsi="Arial" w:cs="Arial"/>
          <w:lang w:val="en-IN"/>
        </w:rPr>
        <w:t>Hinson et al., 2010)</w:t>
      </w:r>
      <w:r w:rsidRPr="008E2751">
        <w:rPr>
          <w:rFonts w:ascii="Arial" w:hAnsi="Arial" w:cs="Arial"/>
        </w:rPr>
        <w:t>.</w:t>
      </w:r>
    </w:p>
    <w:p w14:paraId="1A1A6904" w14:textId="0170647A" w:rsidR="00D017BC" w:rsidRPr="008E2751" w:rsidRDefault="00D017BC" w:rsidP="00D017BC">
      <w:pPr>
        <w:pStyle w:val="Body"/>
        <w:rPr>
          <w:rFonts w:ascii="Arial" w:hAnsi="Arial" w:cs="Arial"/>
          <w:lang w:val="en-IN"/>
        </w:rPr>
      </w:pPr>
      <w:r w:rsidRPr="008E2751">
        <w:rPr>
          <w:rFonts w:ascii="Arial" w:hAnsi="Arial" w:cs="Arial"/>
        </w:rPr>
        <w:t xml:space="preserve">It was reported that paracetamol metabolic protein adduct seems to cause disruption of </w:t>
      </w:r>
      <w:r w:rsidR="00561713" w:rsidRPr="008E2751">
        <w:rPr>
          <w:rFonts w:ascii="Arial" w:hAnsi="Arial" w:cs="Arial"/>
        </w:rPr>
        <w:t>Electron Transport Chain (</w:t>
      </w:r>
      <w:r w:rsidRPr="008E2751">
        <w:rPr>
          <w:rFonts w:ascii="Arial" w:hAnsi="Arial" w:cs="Arial"/>
        </w:rPr>
        <w:t>ETC</w:t>
      </w:r>
      <w:r w:rsidR="00561713" w:rsidRPr="008E2751">
        <w:rPr>
          <w:rFonts w:ascii="Arial" w:hAnsi="Arial" w:cs="Arial"/>
        </w:rPr>
        <w:t>)</w:t>
      </w:r>
      <w:r w:rsidRPr="008E2751">
        <w:rPr>
          <w:rFonts w:ascii="Arial" w:hAnsi="Arial" w:cs="Arial"/>
        </w:rPr>
        <w:t xml:space="preserve"> and thus formation of </w:t>
      </w:r>
      <w:r w:rsidR="00561713" w:rsidRPr="008E2751">
        <w:rPr>
          <w:rFonts w:ascii="Arial" w:hAnsi="Arial" w:cs="Arial"/>
        </w:rPr>
        <w:t>Reactive oxygen species (</w:t>
      </w:r>
      <w:r w:rsidRPr="008E2751">
        <w:rPr>
          <w:rFonts w:ascii="Arial" w:hAnsi="Arial" w:cs="Arial"/>
        </w:rPr>
        <w:t>ROS</w:t>
      </w:r>
      <w:r w:rsidR="00561713" w:rsidRPr="008E2751">
        <w:rPr>
          <w:rFonts w:ascii="Arial" w:hAnsi="Arial" w:cs="Arial"/>
        </w:rPr>
        <w:t>)</w:t>
      </w:r>
      <w:r w:rsidRPr="008E2751">
        <w:rPr>
          <w:rFonts w:ascii="Arial" w:hAnsi="Arial" w:cs="Arial"/>
        </w:rPr>
        <w:t xml:space="preserve"> in mitochondria (</w:t>
      </w:r>
      <w:r w:rsidRPr="008E2751">
        <w:rPr>
          <w:rFonts w:ascii="Arial" w:hAnsi="Arial" w:cs="Arial"/>
          <w:lang w:val="en-IN"/>
        </w:rPr>
        <w:t>Jaeschke et al., 2012; Jaeschke and Ramachandran, 2024)</w:t>
      </w:r>
      <w:r w:rsidRPr="008E2751">
        <w:rPr>
          <w:rFonts w:ascii="Arial" w:hAnsi="Arial" w:cs="Arial"/>
        </w:rPr>
        <w:t xml:space="preserve">. </w:t>
      </w:r>
    </w:p>
    <w:p w14:paraId="023B90E1" w14:textId="77777777" w:rsidR="00D017BC" w:rsidRPr="00F343C6" w:rsidRDefault="00D017BC" w:rsidP="00D017BC">
      <w:pPr>
        <w:pStyle w:val="Body"/>
        <w:rPr>
          <w:rFonts w:ascii="Arial" w:hAnsi="Arial" w:cs="Arial"/>
          <w:lang w:val="en-IN"/>
        </w:rPr>
      </w:pPr>
      <w:r w:rsidRPr="00F343C6">
        <w:rPr>
          <w:rFonts w:ascii="Arial" w:hAnsi="Arial" w:cs="Arial"/>
        </w:rPr>
        <w:t xml:space="preserve">It was found that the toxicity of p-aminophenol and p-benzoquinone (by products of paracetamol synthesis) is significantly greater than that of the drug itself, the potential environmental risks could increase during the formation of higher molecular weight intermediates. These metabolites may accumulate and reach elevated </w:t>
      </w:r>
      <w:r w:rsidRPr="008E2751">
        <w:rPr>
          <w:rFonts w:ascii="Arial" w:hAnsi="Arial" w:cs="Arial"/>
        </w:rPr>
        <w:t>concentrations (</w:t>
      </w:r>
      <w:proofErr w:type="spellStart"/>
      <w:r w:rsidRPr="008E2751">
        <w:rPr>
          <w:rFonts w:ascii="Arial" w:hAnsi="Arial" w:cs="Arial"/>
          <w:lang w:val="en-IN"/>
        </w:rPr>
        <w:t>Chuanzhou</w:t>
      </w:r>
      <w:proofErr w:type="spellEnd"/>
      <w:r w:rsidRPr="008E2751">
        <w:rPr>
          <w:rFonts w:ascii="Arial" w:hAnsi="Arial" w:cs="Arial"/>
          <w:lang w:val="en-IN"/>
        </w:rPr>
        <w:t xml:space="preserve"> et al., 2016; Chacón et al., 2022)</w:t>
      </w:r>
      <w:r w:rsidRPr="008E2751">
        <w:rPr>
          <w:rFonts w:ascii="Arial" w:hAnsi="Arial" w:cs="Arial"/>
        </w:rPr>
        <w:t>.</w:t>
      </w:r>
    </w:p>
    <w:p w14:paraId="5E2EB01E" w14:textId="26AD59CA" w:rsidR="00B11555" w:rsidRDefault="00D017BC" w:rsidP="00D017BC">
      <w:pPr>
        <w:pStyle w:val="Body"/>
        <w:rPr>
          <w:rFonts w:ascii="Arial" w:hAnsi="Arial" w:cs="Arial"/>
        </w:rPr>
      </w:pPr>
      <w:r w:rsidRPr="008E2751">
        <w:rPr>
          <w:rFonts w:ascii="Arial" w:hAnsi="Arial" w:cs="Arial"/>
        </w:rPr>
        <w:t xml:space="preserve">Over the years, using bioindicators with plants seeds has been recognized as an effective scientific technique for assessing cytotoxicity, demonstrating high sensitivity and ease of cost. </w:t>
      </w:r>
      <w:r w:rsidR="004F7DF5" w:rsidRPr="004F7DF5">
        <w:rPr>
          <w:rFonts w:ascii="Arial" w:hAnsi="Arial" w:cs="Arial"/>
        </w:rPr>
        <w:t xml:space="preserve">Currently, among the higher plant species used for evaluating environmental contamination, the most commonly utilized are </w:t>
      </w:r>
      <w:r w:rsidR="004F7DF5" w:rsidRPr="004F7DF5">
        <w:rPr>
          <w:rFonts w:ascii="Arial" w:hAnsi="Arial" w:cs="Arial"/>
          <w:i/>
          <w:iCs/>
        </w:rPr>
        <w:t xml:space="preserve">Allium </w:t>
      </w:r>
      <w:proofErr w:type="spellStart"/>
      <w:r w:rsidR="004F7DF5" w:rsidRPr="004F7DF5">
        <w:rPr>
          <w:rFonts w:ascii="Arial" w:hAnsi="Arial" w:cs="Arial"/>
          <w:i/>
          <w:iCs/>
        </w:rPr>
        <w:t>cepa</w:t>
      </w:r>
      <w:proofErr w:type="spellEnd"/>
      <w:r w:rsidR="004F7DF5" w:rsidRPr="004F7DF5">
        <w:rPr>
          <w:rFonts w:ascii="Arial" w:hAnsi="Arial" w:cs="Arial"/>
        </w:rPr>
        <w:t xml:space="preserve">, </w:t>
      </w:r>
      <w:proofErr w:type="spellStart"/>
      <w:r w:rsidR="004F7DF5" w:rsidRPr="004F7DF5">
        <w:rPr>
          <w:rFonts w:ascii="Arial" w:hAnsi="Arial" w:cs="Arial"/>
          <w:i/>
          <w:iCs/>
        </w:rPr>
        <w:t>Vicia</w:t>
      </w:r>
      <w:proofErr w:type="spellEnd"/>
      <w:r w:rsidR="004F7DF5" w:rsidRPr="004F7DF5">
        <w:rPr>
          <w:rFonts w:ascii="Arial" w:hAnsi="Arial" w:cs="Arial"/>
          <w:i/>
          <w:iCs/>
        </w:rPr>
        <w:t xml:space="preserve"> </w:t>
      </w:r>
      <w:proofErr w:type="spellStart"/>
      <w:r w:rsidR="004F7DF5" w:rsidRPr="004F7DF5">
        <w:rPr>
          <w:rFonts w:ascii="Arial" w:hAnsi="Arial" w:cs="Arial"/>
          <w:i/>
          <w:iCs/>
        </w:rPr>
        <w:t>faba</w:t>
      </w:r>
      <w:proofErr w:type="spellEnd"/>
      <w:r w:rsidR="004F7DF5" w:rsidRPr="004F7DF5">
        <w:rPr>
          <w:rFonts w:ascii="Arial" w:hAnsi="Arial" w:cs="Arial"/>
        </w:rPr>
        <w:t xml:space="preserve">, </w:t>
      </w:r>
      <w:proofErr w:type="spellStart"/>
      <w:r w:rsidR="004F7DF5" w:rsidRPr="004F7DF5">
        <w:rPr>
          <w:rFonts w:ascii="Arial" w:hAnsi="Arial" w:cs="Arial"/>
          <w:i/>
          <w:iCs/>
        </w:rPr>
        <w:t>Zea</w:t>
      </w:r>
      <w:proofErr w:type="spellEnd"/>
      <w:r w:rsidR="004F7DF5" w:rsidRPr="004F7DF5">
        <w:rPr>
          <w:rFonts w:ascii="Arial" w:hAnsi="Arial" w:cs="Arial"/>
          <w:i/>
          <w:iCs/>
        </w:rPr>
        <w:t xml:space="preserve"> mays</w:t>
      </w:r>
      <w:r w:rsidR="004F7DF5" w:rsidRPr="004F7DF5">
        <w:rPr>
          <w:rFonts w:ascii="Arial" w:hAnsi="Arial" w:cs="Arial"/>
        </w:rPr>
        <w:t xml:space="preserve">, </w:t>
      </w:r>
      <w:proofErr w:type="spellStart"/>
      <w:r w:rsidR="004F7DF5" w:rsidRPr="004F7DF5">
        <w:rPr>
          <w:rFonts w:ascii="Arial" w:hAnsi="Arial" w:cs="Arial"/>
          <w:i/>
          <w:iCs/>
        </w:rPr>
        <w:t>Tradescantia</w:t>
      </w:r>
      <w:proofErr w:type="spellEnd"/>
      <w:r w:rsidR="004F7DF5" w:rsidRPr="004F7DF5">
        <w:rPr>
          <w:rFonts w:ascii="Arial" w:hAnsi="Arial" w:cs="Arial"/>
        </w:rPr>
        <w:t xml:space="preserve">, </w:t>
      </w:r>
      <w:r w:rsidR="004F7DF5" w:rsidRPr="004F7DF5">
        <w:rPr>
          <w:rFonts w:ascii="Arial" w:hAnsi="Arial" w:cs="Arial"/>
          <w:i/>
          <w:iCs/>
        </w:rPr>
        <w:t>Nicotiana tabacum</w:t>
      </w:r>
      <w:r w:rsidR="004F7DF5" w:rsidRPr="004F7DF5">
        <w:rPr>
          <w:rFonts w:ascii="Arial" w:hAnsi="Arial" w:cs="Arial"/>
        </w:rPr>
        <w:t xml:space="preserve">, </w:t>
      </w:r>
      <w:proofErr w:type="spellStart"/>
      <w:r w:rsidR="004F7DF5" w:rsidRPr="004F7DF5">
        <w:rPr>
          <w:rFonts w:ascii="Arial" w:hAnsi="Arial" w:cs="Arial"/>
          <w:i/>
          <w:iCs/>
        </w:rPr>
        <w:t>Crepis</w:t>
      </w:r>
      <w:proofErr w:type="spellEnd"/>
      <w:r w:rsidR="004F7DF5" w:rsidRPr="004F7DF5">
        <w:rPr>
          <w:rFonts w:ascii="Arial" w:hAnsi="Arial" w:cs="Arial"/>
          <w:i/>
          <w:iCs/>
        </w:rPr>
        <w:t xml:space="preserve"> </w:t>
      </w:r>
      <w:proofErr w:type="spellStart"/>
      <w:r w:rsidR="004F7DF5" w:rsidRPr="004F7DF5">
        <w:rPr>
          <w:rFonts w:ascii="Arial" w:hAnsi="Arial" w:cs="Arial"/>
          <w:i/>
          <w:iCs/>
        </w:rPr>
        <w:t>capillaris</w:t>
      </w:r>
      <w:proofErr w:type="spellEnd"/>
      <w:r w:rsidR="004F7DF5" w:rsidRPr="004F7DF5">
        <w:rPr>
          <w:rFonts w:ascii="Arial" w:hAnsi="Arial" w:cs="Arial"/>
        </w:rPr>
        <w:t xml:space="preserve">, and </w:t>
      </w:r>
      <w:proofErr w:type="spellStart"/>
      <w:r w:rsidR="004F7DF5" w:rsidRPr="004F7DF5">
        <w:rPr>
          <w:rFonts w:ascii="Arial" w:hAnsi="Arial" w:cs="Arial"/>
          <w:i/>
          <w:iCs/>
        </w:rPr>
        <w:t>Hordeum</w:t>
      </w:r>
      <w:proofErr w:type="spellEnd"/>
      <w:r w:rsidR="004F7DF5" w:rsidRPr="004F7DF5">
        <w:rPr>
          <w:rFonts w:ascii="Arial" w:hAnsi="Arial" w:cs="Arial"/>
          <w:i/>
          <w:iCs/>
        </w:rPr>
        <w:t xml:space="preserve"> vulgare</w:t>
      </w:r>
      <w:r w:rsidR="008F2A18">
        <w:rPr>
          <w:rFonts w:ascii="Arial" w:hAnsi="Arial" w:cs="Arial"/>
        </w:rPr>
        <w:t xml:space="preserve"> (Grant</w:t>
      </w:r>
      <w:r w:rsidR="00C50A46">
        <w:rPr>
          <w:rFonts w:ascii="Arial" w:hAnsi="Arial" w:cs="Arial"/>
        </w:rPr>
        <w:t>, 1994)</w:t>
      </w:r>
      <w:r w:rsidR="004F7DF5" w:rsidRPr="004F7DF5">
        <w:rPr>
          <w:rFonts w:ascii="Arial" w:hAnsi="Arial" w:cs="Arial"/>
        </w:rPr>
        <w:t xml:space="preserve">. Among these, </w:t>
      </w:r>
      <w:r w:rsidR="004F7DF5" w:rsidRPr="004F7DF5">
        <w:rPr>
          <w:rFonts w:ascii="Arial" w:hAnsi="Arial" w:cs="Arial"/>
          <w:i/>
          <w:iCs/>
        </w:rPr>
        <w:t>A. cepa</w:t>
      </w:r>
      <w:r w:rsidR="004F7DF5" w:rsidRPr="004F7DF5">
        <w:rPr>
          <w:rFonts w:ascii="Arial" w:hAnsi="Arial" w:cs="Arial"/>
        </w:rPr>
        <w:t xml:space="preserve"> is particularly favored for assessing chromosomal damage and mitotic cycle disturbances due to its advantageous chromosome characteristics, such as large chromosome size and a relatively low chromosome number (2n = 16)</w:t>
      </w:r>
      <w:r w:rsidR="00C50A46">
        <w:rPr>
          <w:rFonts w:ascii="Arial" w:hAnsi="Arial" w:cs="Arial"/>
        </w:rPr>
        <w:t xml:space="preserve"> (</w:t>
      </w:r>
      <w:proofErr w:type="spellStart"/>
      <w:r w:rsidR="00C50A46">
        <w:rPr>
          <w:rFonts w:ascii="Arial" w:hAnsi="Arial" w:cs="Arial"/>
        </w:rPr>
        <w:t>Fiskesjo</w:t>
      </w:r>
      <w:proofErr w:type="spellEnd"/>
      <w:r w:rsidR="00C50A46">
        <w:rPr>
          <w:rFonts w:ascii="Arial" w:hAnsi="Arial" w:cs="Arial"/>
        </w:rPr>
        <w:t>, 1985)</w:t>
      </w:r>
      <w:r w:rsidR="004F7DF5">
        <w:rPr>
          <w:rFonts w:ascii="Arial" w:hAnsi="Arial" w:cs="Arial"/>
        </w:rPr>
        <w:t xml:space="preserve">. </w:t>
      </w:r>
      <w:r w:rsidR="004F7DF5" w:rsidRPr="004F7DF5">
        <w:rPr>
          <w:rFonts w:ascii="Arial" w:hAnsi="Arial" w:cs="Arial"/>
        </w:rPr>
        <w:t>Additionally, this test system has demonstrated high sensitivity in detecting environmental chemicals.</w:t>
      </w:r>
    </w:p>
    <w:p w14:paraId="5495EF3B" w14:textId="2C02DF08" w:rsidR="004F7DF5" w:rsidRDefault="00B11555" w:rsidP="00F343C6">
      <w:pPr>
        <w:pStyle w:val="Body"/>
        <w:rPr>
          <w:rFonts w:ascii="Arial" w:hAnsi="Arial" w:cs="Arial"/>
        </w:rPr>
      </w:pPr>
      <w:r w:rsidRPr="00B11555">
        <w:rPr>
          <w:rFonts w:ascii="Arial" w:hAnsi="Arial" w:cs="Arial"/>
        </w:rPr>
        <w:t xml:space="preserve">The </w:t>
      </w:r>
      <w:r w:rsidRPr="00B11555">
        <w:rPr>
          <w:rFonts w:ascii="Arial" w:hAnsi="Arial" w:cs="Arial"/>
          <w:i/>
          <w:iCs/>
        </w:rPr>
        <w:t>Allium cepa</w:t>
      </w:r>
      <w:r w:rsidRPr="00B11555">
        <w:rPr>
          <w:rFonts w:ascii="Arial" w:hAnsi="Arial" w:cs="Arial"/>
        </w:rPr>
        <w:t xml:space="preserve"> test has demonstrated high sensitivity and strong correlation with other test systems, including mammalian models. A study evaluating 148 chemicals using the </w:t>
      </w:r>
      <w:r w:rsidRPr="00B11555">
        <w:rPr>
          <w:rFonts w:ascii="Arial" w:hAnsi="Arial" w:cs="Arial"/>
          <w:i/>
          <w:iCs/>
        </w:rPr>
        <w:t xml:space="preserve">Allium </w:t>
      </w:r>
      <w:r w:rsidRPr="00B11555">
        <w:rPr>
          <w:rFonts w:ascii="Arial" w:hAnsi="Arial" w:cs="Arial"/>
        </w:rPr>
        <w:t>test reported that 76% produced positive results</w:t>
      </w:r>
      <w:r w:rsidR="00C50A46">
        <w:rPr>
          <w:rFonts w:ascii="Arial" w:hAnsi="Arial" w:cs="Arial"/>
        </w:rPr>
        <w:t xml:space="preserve"> (Grant, 1982)</w:t>
      </w:r>
      <w:r w:rsidRPr="00B11555">
        <w:rPr>
          <w:rFonts w:ascii="Arial" w:hAnsi="Arial" w:cs="Arial"/>
        </w:rPr>
        <w:t>. Based on these findings, the author recommended adopting the test as a standard method for detecting chromosome damage induced by chemicals.</w:t>
      </w:r>
      <w:r w:rsidR="004F7DF5">
        <w:rPr>
          <w:rFonts w:ascii="Arial" w:hAnsi="Arial" w:cs="Arial"/>
        </w:rPr>
        <w:t xml:space="preserve"> </w:t>
      </w:r>
      <w:r w:rsidRPr="00B11555">
        <w:rPr>
          <w:rFonts w:ascii="Arial" w:hAnsi="Arial" w:cs="Arial"/>
        </w:rPr>
        <w:t xml:space="preserve">It was </w:t>
      </w:r>
      <w:r>
        <w:rPr>
          <w:rFonts w:ascii="Arial" w:hAnsi="Arial" w:cs="Arial"/>
        </w:rPr>
        <w:t xml:space="preserve">also </w:t>
      </w:r>
      <w:r w:rsidRPr="00B11555">
        <w:rPr>
          <w:rFonts w:ascii="Arial" w:hAnsi="Arial" w:cs="Arial"/>
        </w:rPr>
        <w:lastRenderedPageBreak/>
        <w:t xml:space="preserve">reported that the sensitivity of the </w:t>
      </w:r>
      <w:r w:rsidRPr="00B11555">
        <w:rPr>
          <w:rFonts w:ascii="Arial" w:hAnsi="Arial" w:cs="Arial"/>
          <w:i/>
          <w:iCs/>
        </w:rPr>
        <w:t>A. cepa</w:t>
      </w:r>
      <w:r w:rsidRPr="00B11555">
        <w:rPr>
          <w:rFonts w:ascii="Arial" w:hAnsi="Arial" w:cs="Arial"/>
        </w:rPr>
        <w:t xml:space="preserve"> test</w:t>
      </w:r>
      <w:r>
        <w:rPr>
          <w:rFonts w:ascii="Arial" w:hAnsi="Arial" w:cs="Arial"/>
        </w:rPr>
        <w:t xml:space="preserve"> </w:t>
      </w:r>
      <w:r w:rsidRPr="00B11555">
        <w:rPr>
          <w:rFonts w:ascii="Arial" w:hAnsi="Arial" w:cs="Arial"/>
        </w:rPr>
        <w:t>was almost identical to that observed in algae and human lymphocyte test systems</w:t>
      </w:r>
      <w:r w:rsidR="00C50A46">
        <w:rPr>
          <w:rFonts w:ascii="Arial" w:hAnsi="Arial" w:cs="Arial"/>
        </w:rPr>
        <w:t xml:space="preserve"> (</w:t>
      </w:r>
      <w:proofErr w:type="spellStart"/>
      <w:r w:rsidR="00C50A46">
        <w:rPr>
          <w:rFonts w:ascii="Arial" w:hAnsi="Arial" w:cs="Arial"/>
        </w:rPr>
        <w:t>Fiskesjo</w:t>
      </w:r>
      <w:proofErr w:type="spellEnd"/>
      <w:r w:rsidR="00C50A46">
        <w:rPr>
          <w:rFonts w:ascii="Arial" w:hAnsi="Arial" w:cs="Arial"/>
        </w:rPr>
        <w:t>, 1985)</w:t>
      </w:r>
      <w:r w:rsidRPr="00B11555">
        <w:rPr>
          <w:rFonts w:ascii="Arial" w:hAnsi="Arial" w:cs="Arial"/>
        </w:rPr>
        <w:t>. A later study found an 82% correlation</w:t>
      </w:r>
      <w:r>
        <w:rPr>
          <w:rFonts w:ascii="Arial" w:hAnsi="Arial" w:cs="Arial"/>
        </w:rPr>
        <w:t xml:space="preserve"> </w:t>
      </w:r>
      <w:r w:rsidRPr="00B11555">
        <w:rPr>
          <w:rFonts w:ascii="Arial" w:hAnsi="Arial" w:cs="Arial"/>
        </w:rPr>
        <w:t xml:space="preserve">between the </w:t>
      </w:r>
      <w:r w:rsidRPr="00B11555">
        <w:rPr>
          <w:rFonts w:ascii="Arial" w:hAnsi="Arial" w:cs="Arial"/>
          <w:i/>
          <w:iCs/>
        </w:rPr>
        <w:t xml:space="preserve">A. cepa </w:t>
      </w:r>
      <w:r w:rsidRPr="00B11555">
        <w:rPr>
          <w:rFonts w:ascii="Arial" w:hAnsi="Arial" w:cs="Arial"/>
        </w:rPr>
        <w:t>test and carcinogenicity tests conducted on rodents</w:t>
      </w:r>
      <w:r w:rsidR="00C50A46">
        <w:rPr>
          <w:rFonts w:ascii="Arial" w:hAnsi="Arial" w:cs="Arial"/>
        </w:rPr>
        <w:t xml:space="preserve"> (</w:t>
      </w:r>
      <w:r w:rsidR="00C50A46" w:rsidRPr="00C50A46">
        <w:rPr>
          <w:rFonts w:ascii="Arial" w:hAnsi="Arial" w:cs="Arial"/>
        </w:rPr>
        <w:t>Rank</w:t>
      </w:r>
      <w:r w:rsidR="00C50A46">
        <w:rPr>
          <w:rFonts w:ascii="Arial" w:hAnsi="Arial" w:cs="Arial"/>
        </w:rPr>
        <w:t xml:space="preserve"> and</w:t>
      </w:r>
      <w:r w:rsidR="00C50A46" w:rsidRPr="00C50A46">
        <w:rPr>
          <w:rFonts w:ascii="Arial" w:hAnsi="Arial" w:cs="Arial"/>
        </w:rPr>
        <w:t xml:space="preserve"> Nielsen,</w:t>
      </w:r>
      <w:r w:rsidR="00C50A46">
        <w:rPr>
          <w:rFonts w:ascii="Arial" w:hAnsi="Arial" w:cs="Arial"/>
        </w:rPr>
        <w:t xml:space="preserve"> </w:t>
      </w:r>
      <w:r w:rsidR="00C50A46" w:rsidRPr="00C50A46">
        <w:rPr>
          <w:rFonts w:ascii="Arial" w:hAnsi="Arial" w:cs="Arial"/>
        </w:rPr>
        <w:t>1994)</w:t>
      </w:r>
      <w:r w:rsidRPr="00B11555">
        <w:rPr>
          <w:rFonts w:ascii="Arial" w:hAnsi="Arial" w:cs="Arial"/>
        </w:rPr>
        <w:t xml:space="preserve">. The findings also suggested that the </w:t>
      </w:r>
      <w:r w:rsidRPr="00B11555">
        <w:rPr>
          <w:rFonts w:ascii="Arial" w:hAnsi="Arial" w:cs="Arial"/>
          <w:i/>
          <w:iCs/>
        </w:rPr>
        <w:t>A. cepa</w:t>
      </w:r>
      <w:r w:rsidRPr="00B11555">
        <w:rPr>
          <w:rFonts w:ascii="Arial" w:hAnsi="Arial" w:cs="Arial"/>
        </w:rPr>
        <w:t xml:space="preserve"> test</w:t>
      </w:r>
      <w:r>
        <w:rPr>
          <w:rFonts w:ascii="Arial" w:hAnsi="Arial" w:cs="Arial"/>
        </w:rPr>
        <w:t xml:space="preserve"> </w:t>
      </w:r>
      <w:r w:rsidRPr="00B11555">
        <w:rPr>
          <w:rFonts w:ascii="Arial" w:hAnsi="Arial" w:cs="Arial"/>
        </w:rPr>
        <w:t>was more sensitive than both the Ames test and the Microscreen test</w:t>
      </w:r>
      <w:r>
        <w:rPr>
          <w:rFonts w:ascii="Arial" w:hAnsi="Arial" w:cs="Arial"/>
        </w:rPr>
        <w:t xml:space="preserve"> </w:t>
      </w:r>
      <w:r w:rsidRPr="00B11555">
        <w:rPr>
          <w:rFonts w:ascii="Arial" w:hAnsi="Arial" w:cs="Arial"/>
        </w:rPr>
        <w:t>in detecting genotoxic effects.</w:t>
      </w:r>
      <w:r w:rsidRPr="008E2751">
        <w:rPr>
          <w:rFonts w:ascii="Arial" w:hAnsi="Arial" w:cs="Arial"/>
        </w:rPr>
        <w:t xml:space="preserve"> </w:t>
      </w:r>
    </w:p>
    <w:p w14:paraId="07C88B97" w14:textId="7E77CA39" w:rsidR="00D017BC" w:rsidRPr="00F343C6" w:rsidRDefault="00B11555" w:rsidP="00F343C6">
      <w:pPr>
        <w:pStyle w:val="Body"/>
        <w:rPr>
          <w:rFonts w:ascii="Arial" w:hAnsi="Arial" w:cs="Arial"/>
        </w:rPr>
      </w:pPr>
      <w:r w:rsidRPr="008E2751">
        <w:rPr>
          <w:rFonts w:ascii="Arial" w:hAnsi="Arial" w:cs="Arial"/>
        </w:rPr>
        <w:t>This</w:t>
      </w:r>
      <w:r w:rsidR="00D017BC" w:rsidRPr="008E2751">
        <w:rPr>
          <w:rFonts w:ascii="Arial" w:hAnsi="Arial" w:cs="Arial"/>
        </w:rPr>
        <w:t xml:space="preserve"> study evaluates the possible cytotoxic effects of Paracetamol using </w:t>
      </w:r>
      <w:r w:rsidR="00D017BC" w:rsidRPr="008E2751">
        <w:rPr>
          <w:rFonts w:ascii="Arial" w:hAnsi="Arial" w:cs="Arial"/>
          <w:i/>
          <w:iCs/>
        </w:rPr>
        <w:t xml:space="preserve">Allium cepa </w:t>
      </w:r>
      <w:r w:rsidR="00D017BC" w:rsidRPr="008E2751">
        <w:rPr>
          <w:rFonts w:ascii="Arial" w:hAnsi="Arial" w:cs="Arial"/>
        </w:rPr>
        <w:t>(</w:t>
      </w:r>
      <w:r w:rsidR="00D017BC" w:rsidRPr="008E2751">
        <w:rPr>
          <w:rFonts w:ascii="Arial" w:hAnsi="Arial" w:cs="Arial"/>
          <w:lang w:val="en-IN"/>
        </w:rPr>
        <w:t xml:space="preserve">Javed et al., 2011; Leston, et al., 2013; </w:t>
      </w:r>
      <w:proofErr w:type="spellStart"/>
      <w:r w:rsidR="00D017BC" w:rsidRPr="008E2751">
        <w:rPr>
          <w:rFonts w:ascii="Arial" w:hAnsi="Arial" w:cs="Arial"/>
          <w:lang w:val="en-IN"/>
        </w:rPr>
        <w:t>Özlem</w:t>
      </w:r>
      <w:proofErr w:type="spellEnd"/>
      <w:r w:rsidR="00D017BC" w:rsidRPr="008E2751">
        <w:rPr>
          <w:rFonts w:ascii="Arial" w:hAnsi="Arial" w:cs="Arial"/>
          <w:lang w:val="en-IN"/>
        </w:rPr>
        <w:t xml:space="preserve">, 2017; </w:t>
      </w:r>
      <w:proofErr w:type="spellStart"/>
      <w:r w:rsidR="00D017BC" w:rsidRPr="008E2751">
        <w:rPr>
          <w:rFonts w:ascii="Arial" w:hAnsi="Arial" w:cs="Arial"/>
          <w:lang w:val="en-IN"/>
        </w:rPr>
        <w:t>Azzazy</w:t>
      </w:r>
      <w:proofErr w:type="spellEnd"/>
      <w:r w:rsidR="00D017BC" w:rsidRPr="008E2751">
        <w:rPr>
          <w:rFonts w:ascii="Arial" w:hAnsi="Arial" w:cs="Arial"/>
          <w:lang w:val="en-IN"/>
        </w:rPr>
        <w:t>, 2020; Sandra et al., 2020; Mercado et al., 2020)</w:t>
      </w:r>
      <w:r w:rsidR="00D017BC" w:rsidRPr="008E2751">
        <w:rPr>
          <w:rFonts w:ascii="Arial" w:hAnsi="Arial" w:cs="Arial"/>
        </w:rPr>
        <w:t>.</w:t>
      </w:r>
    </w:p>
    <w:p w14:paraId="339FDFFF" w14:textId="77777777" w:rsidR="00F343C6" w:rsidRPr="00F343C6" w:rsidRDefault="00F343C6" w:rsidP="00D017BC">
      <w:pPr>
        <w:pStyle w:val="Body"/>
        <w:jc w:val="center"/>
        <w:rPr>
          <w:rFonts w:ascii="Arial" w:hAnsi="Arial" w:cs="Arial"/>
        </w:rPr>
      </w:pPr>
      <w:r w:rsidRPr="00F343C6">
        <w:rPr>
          <w:rFonts w:ascii="Arial" w:hAnsi="Arial" w:cs="Arial"/>
          <w:noProof/>
        </w:rPr>
        <w:drawing>
          <wp:inline distT="0" distB="0" distL="0" distR="0" wp14:anchorId="4FDAEF63" wp14:editId="7DF072FF">
            <wp:extent cx="3897630" cy="3741821"/>
            <wp:effectExtent l="0" t="0" r="1270" b="5080"/>
            <wp:docPr id="39457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3880" name=""/>
                    <pic:cNvPicPr/>
                  </pic:nvPicPr>
                  <pic:blipFill rotWithShape="1">
                    <a:blip r:embed="rId14"/>
                    <a:srcRect l="30035" t="13766" r="26497" b="16162"/>
                    <a:stretch/>
                  </pic:blipFill>
                  <pic:spPr bwMode="auto">
                    <a:xfrm>
                      <a:off x="0" y="0"/>
                      <a:ext cx="4031663" cy="3870496"/>
                    </a:xfrm>
                    <a:prstGeom prst="rect">
                      <a:avLst/>
                    </a:prstGeom>
                    <a:ln>
                      <a:noFill/>
                    </a:ln>
                    <a:extLst>
                      <a:ext uri="{53640926-AAD7-44D8-BBD7-CCE9431645EC}">
                        <a14:shadowObscured xmlns:a14="http://schemas.microsoft.com/office/drawing/2010/main"/>
                      </a:ext>
                    </a:extLst>
                  </pic:spPr>
                </pic:pic>
              </a:graphicData>
            </a:graphic>
          </wp:inline>
        </w:drawing>
      </w:r>
    </w:p>
    <w:p w14:paraId="1760FFB3" w14:textId="77777777" w:rsidR="00790ADA" w:rsidRPr="00FB3A86" w:rsidRDefault="00790ADA" w:rsidP="00441B6F">
      <w:pPr>
        <w:pStyle w:val="Body"/>
        <w:spacing w:after="0"/>
        <w:rPr>
          <w:rFonts w:ascii="Arial" w:hAnsi="Arial" w:cs="Arial"/>
        </w:rPr>
      </w:pPr>
    </w:p>
    <w:p w14:paraId="7F3E232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D6B688" w14:textId="77777777" w:rsidR="00790ADA" w:rsidRPr="00FB3A86" w:rsidRDefault="00790ADA" w:rsidP="00441B6F">
      <w:pPr>
        <w:pStyle w:val="AbstHead"/>
        <w:spacing w:after="0"/>
        <w:jc w:val="both"/>
        <w:rPr>
          <w:rFonts w:ascii="Arial" w:hAnsi="Arial" w:cs="Arial"/>
        </w:rPr>
      </w:pPr>
    </w:p>
    <w:p w14:paraId="01253788" w14:textId="77777777" w:rsidR="00F343C6" w:rsidRPr="00F343C6" w:rsidRDefault="00F343C6" w:rsidP="00F343C6">
      <w:pPr>
        <w:pStyle w:val="Body"/>
        <w:rPr>
          <w:rFonts w:ascii="Arial" w:hAnsi="Arial" w:cs="Arial"/>
          <w:b/>
          <w:bCs/>
        </w:rPr>
      </w:pPr>
      <w:r w:rsidRPr="00F343C6">
        <w:rPr>
          <w:rFonts w:ascii="Arial" w:hAnsi="Arial" w:cs="Arial"/>
          <w:b/>
          <w:bCs/>
        </w:rPr>
        <w:t>2.1. Collection of Plant Material:</w:t>
      </w:r>
    </w:p>
    <w:p w14:paraId="0BD011C2" w14:textId="6D93255C" w:rsidR="00F343C6" w:rsidRPr="00F343C6" w:rsidRDefault="00F343C6" w:rsidP="00F343C6">
      <w:pPr>
        <w:pStyle w:val="Body"/>
        <w:rPr>
          <w:rFonts w:ascii="Arial" w:hAnsi="Arial" w:cs="Arial"/>
        </w:rPr>
      </w:pPr>
      <w:r w:rsidRPr="00F343C6">
        <w:rPr>
          <w:rFonts w:ascii="Arial" w:hAnsi="Arial" w:cs="Arial"/>
        </w:rPr>
        <w:t xml:space="preserve">The onion bulbs were used as bioindicators to identify cytological changes. They were purchased from local market and were exposed to hydration to stimulate the cell growth so that root meristematic cells would elongate then they are subjected to the </w:t>
      </w:r>
      <w:r w:rsidR="00561713">
        <w:rPr>
          <w:rFonts w:ascii="Arial" w:hAnsi="Arial" w:cs="Arial"/>
        </w:rPr>
        <w:t xml:space="preserve">Paracetamol </w:t>
      </w:r>
      <w:r w:rsidRPr="00F343C6">
        <w:rPr>
          <w:rFonts w:ascii="Arial" w:hAnsi="Arial" w:cs="Arial"/>
        </w:rPr>
        <w:t>treatment. Three treatments were carried out with the following Paracetamol concentration (500, 250, 125mgL</w:t>
      </w:r>
      <w:r w:rsidRPr="00F343C6">
        <w:rPr>
          <w:rFonts w:ascii="Arial" w:hAnsi="Arial" w:cs="Arial"/>
          <w:vertAlign w:val="superscript"/>
        </w:rPr>
        <w:t>-1</w:t>
      </w:r>
      <w:r w:rsidRPr="00F343C6">
        <w:rPr>
          <w:rFonts w:ascii="Arial" w:hAnsi="Arial" w:cs="Arial"/>
        </w:rPr>
        <w:t>) and a control (distilled water).</w:t>
      </w:r>
    </w:p>
    <w:p w14:paraId="4845FF8B" w14:textId="77777777" w:rsidR="00F343C6" w:rsidRPr="00F343C6" w:rsidRDefault="00F343C6" w:rsidP="00F343C6">
      <w:pPr>
        <w:pStyle w:val="Body"/>
        <w:rPr>
          <w:rFonts w:ascii="Arial" w:hAnsi="Arial" w:cs="Arial"/>
          <w:b/>
          <w:bCs/>
        </w:rPr>
      </w:pPr>
      <w:r w:rsidRPr="00F343C6">
        <w:rPr>
          <w:rFonts w:ascii="Arial" w:hAnsi="Arial" w:cs="Arial"/>
          <w:b/>
          <w:bCs/>
        </w:rPr>
        <w:t>2.2. Root Growth</w:t>
      </w:r>
    </w:p>
    <w:p w14:paraId="40694216" w14:textId="614D9935" w:rsidR="00F343C6" w:rsidRDefault="00F343C6" w:rsidP="00F343C6">
      <w:pPr>
        <w:pStyle w:val="Body"/>
        <w:rPr>
          <w:rFonts w:ascii="Arial" w:hAnsi="Arial" w:cs="Arial"/>
          <w:b/>
          <w:bCs/>
          <w:lang w:val="en-IN"/>
        </w:rPr>
      </w:pPr>
      <w:r w:rsidRPr="00F343C6">
        <w:rPr>
          <w:rFonts w:ascii="Arial" w:hAnsi="Arial" w:cs="Arial"/>
        </w:rPr>
        <w:t xml:space="preserve">After 96hrs of exposure to each concentration, the root growth of </w:t>
      </w:r>
      <w:r w:rsidRPr="00F343C6">
        <w:rPr>
          <w:rFonts w:ascii="Arial" w:hAnsi="Arial" w:cs="Arial"/>
          <w:i/>
          <w:iCs/>
        </w:rPr>
        <w:t>Allium cepa</w:t>
      </w:r>
      <w:r w:rsidRPr="00F343C6">
        <w:rPr>
          <w:rFonts w:ascii="Arial" w:hAnsi="Arial" w:cs="Arial"/>
        </w:rPr>
        <w:t xml:space="preserve"> was evaluated. The bulb achieving a root length greater than 1mm were taken into account (modified procedure </w:t>
      </w:r>
      <w:r w:rsidRPr="008E2751">
        <w:rPr>
          <w:rFonts w:ascii="Arial" w:hAnsi="Arial" w:cs="Arial"/>
        </w:rPr>
        <w:t>by Salazar et al., 2020). The relative root growth percentage, following formula was applied:</w:t>
      </w:r>
      <w:r w:rsidRPr="008E2751">
        <w:rPr>
          <w:rFonts w:ascii="Arial" w:hAnsi="Arial" w:cs="Arial"/>
          <w:lang w:val="en-IN"/>
        </w:rPr>
        <w:t xml:space="preserve"> (Thijs, et al., 2019)</w:t>
      </w:r>
    </w:p>
    <w:p w14:paraId="5DC14AB6" w14:textId="0CD19DAF" w:rsidR="00F343C6" w:rsidRPr="00486AE0" w:rsidRDefault="00486AE0" w:rsidP="00F343C6">
      <w:pPr>
        <w:pStyle w:val="Body"/>
        <w:rPr>
          <w:rFonts w:ascii="Arial" w:hAnsi="Arial" w:cs="Arial"/>
          <w:b/>
          <w:bCs/>
          <w:lang w:val="en-IN"/>
        </w:rPr>
      </w:pPr>
      <m:oMathPara>
        <m:oMath>
          <m:r>
            <m:rPr>
              <m:sty m:val="b"/>
            </m:rPr>
            <w:rPr>
              <w:rFonts w:ascii="Cambria Math" w:hAnsi="Cambria Math" w:cs="Arial"/>
            </w:rPr>
            <m:t xml:space="preserve">RRG%= </m:t>
          </m:r>
          <m:f>
            <m:fPr>
              <m:ctrlPr>
                <w:rPr>
                  <w:rFonts w:ascii="Cambria Math" w:hAnsi="Cambria Math" w:cs="Arial"/>
                  <w:b/>
                  <w:bCs/>
                  <w:iCs/>
                </w:rPr>
              </m:ctrlPr>
            </m:fPr>
            <m:num>
              <m:r>
                <m:rPr>
                  <m:sty m:val="b"/>
                </m:rPr>
                <w:rPr>
                  <w:rFonts w:ascii="Cambria Math" w:hAnsi="Cambria Math" w:cs="Arial"/>
                </w:rPr>
                <m:t>Mean root length in conc.</m:t>
              </m:r>
            </m:num>
            <m:den>
              <m:r>
                <m:rPr>
                  <m:sty m:val="b"/>
                </m:rPr>
                <w:rPr>
                  <w:rFonts w:ascii="Cambria Math" w:hAnsi="Cambria Math" w:cs="Arial"/>
                </w:rPr>
                <m:t>Mean root length in Control</m:t>
              </m:r>
            </m:den>
          </m:f>
          <m:r>
            <m:rPr>
              <m:sty m:val="bi"/>
            </m:rPr>
            <w:rPr>
              <w:rFonts w:ascii="Cambria Math" w:hAnsi="Cambria Math" w:cs="Arial"/>
            </w:rPr>
            <m:t>× 100</m:t>
          </m:r>
        </m:oMath>
      </m:oMathPara>
    </w:p>
    <w:p w14:paraId="5B5C0C12" w14:textId="77777777" w:rsidR="00F343C6" w:rsidRPr="00F343C6" w:rsidRDefault="00F343C6" w:rsidP="00F343C6">
      <w:pPr>
        <w:pStyle w:val="Body"/>
        <w:rPr>
          <w:rFonts w:ascii="Arial" w:hAnsi="Arial" w:cs="Arial"/>
          <w:b/>
          <w:bCs/>
        </w:rPr>
      </w:pPr>
      <w:r w:rsidRPr="00F343C6">
        <w:rPr>
          <w:rFonts w:ascii="Arial" w:hAnsi="Arial" w:cs="Arial"/>
          <w:b/>
          <w:bCs/>
        </w:rPr>
        <w:t>2.3. Mitotic index</w:t>
      </w:r>
    </w:p>
    <w:p w14:paraId="7547F437" w14:textId="77777777" w:rsidR="00F343C6" w:rsidRPr="008E2751" w:rsidRDefault="00F343C6" w:rsidP="00F343C6">
      <w:pPr>
        <w:pStyle w:val="Body"/>
        <w:rPr>
          <w:rFonts w:ascii="Arial" w:hAnsi="Arial" w:cs="Arial"/>
        </w:rPr>
      </w:pPr>
      <w:r w:rsidRPr="00F343C6">
        <w:rPr>
          <w:rFonts w:ascii="Arial" w:hAnsi="Arial" w:cs="Arial"/>
        </w:rPr>
        <w:t xml:space="preserve">After treatment period (after 96hrs), slides were prepared by Acetocarmine squash preparation. Approximately 4000 cells were randomly analyzed in both control and treated group of onion bulbs. The mitotic index (MI) was determined to assess the presence or inhibition of cell division. It is defined as </w:t>
      </w:r>
      <w:r w:rsidRPr="00F343C6">
        <w:rPr>
          <w:rFonts w:ascii="Arial" w:hAnsi="Arial" w:cs="Arial"/>
        </w:rPr>
        <w:lastRenderedPageBreak/>
        <w:t xml:space="preserve">the ratio of the no. of cells undergoing mitosis to the total no. of </w:t>
      </w:r>
      <w:r w:rsidRPr="008E2751">
        <w:rPr>
          <w:rFonts w:ascii="Arial" w:hAnsi="Arial" w:cs="Arial"/>
        </w:rPr>
        <w:t>cells (</w:t>
      </w:r>
      <w:r w:rsidRPr="008E2751">
        <w:rPr>
          <w:rFonts w:ascii="Arial" w:hAnsi="Arial" w:cs="Arial"/>
          <w:lang w:val="en-IN"/>
        </w:rPr>
        <w:t>Datta et al., 2018)</w:t>
      </w:r>
      <w:r w:rsidRPr="008E2751">
        <w:rPr>
          <w:rFonts w:ascii="Arial" w:hAnsi="Arial" w:cs="Arial"/>
        </w:rPr>
        <w:t>. The following formula was used for the calculation:</w:t>
      </w:r>
    </w:p>
    <w:p w14:paraId="14795EB3" w14:textId="1707944F" w:rsidR="004F7DF5" w:rsidRPr="004F7DF5" w:rsidRDefault="00486AE0" w:rsidP="00F343C6">
      <w:pPr>
        <w:pStyle w:val="Body"/>
        <w:rPr>
          <w:rFonts w:ascii="Arial" w:hAnsi="Arial" w:cs="Arial"/>
        </w:rPr>
      </w:pPr>
      <m:oMathPara>
        <m:oMath>
          <m:r>
            <m:rPr>
              <m:sty m:val="b"/>
            </m:rPr>
            <w:rPr>
              <w:rFonts w:ascii="Cambria Math" w:hAnsi="Cambria Math" w:cs="Arial"/>
            </w:rPr>
            <m:t xml:space="preserve">Mitotic index </m:t>
          </m:r>
          <m:d>
            <m:dPr>
              <m:ctrlPr>
                <w:rPr>
                  <w:rFonts w:ascii="Cambria Math" w:hAnsi="Cambria Math" w:cs="Arial"/>
                  <w:b/>
                  <w:b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No. of dividing cells</m:t>
              </m:r>
            </m:num>
            <m:den>
              <m:r>
                <m:rPr>
                  <m:sty m:val="b"/>
                </m:rPr>
                <w:rPr>
                  <w:rFonts w:ascii="Cambria Math" w:hAnsi="Cambria Math" w:cs="Arial"/>
                </w:rPr>
                <m:t>Total no.of cells</m:t>
              </m:r>
            </m:den>
          </m:f>
          <m:r>
            <m:rPr>
              <m:sty m:val="bi"/>
            </m:rPr>
            <w:rPr>
              <w:rFonts w:ascii="Cambria Math" w:hAnsi="Cambria Math" w:cs="Arial"/>
            </w:rPr>
            <m:t>× 100</m:t>
          </m:r>
        </m:oMath>
      </m:oMathPara>
    </w:p>
    <w:p w14:paraId="6B2D0D88" w14:textId="71B3A978" w:rsidR="00F343C6" w:rsidRPr="00F343C6" w:rsidRDefault="00F343C6" w:rsidP="00F343C6">
      <w:pPr>
        <w:pStyle w:val="Body"/>
        <w:rPr>
          <w:rFonts w:ascii="Arial" w:hAnsi="Arial" w:cs="Arial"/>
          <w:b/>
          <w:bCs/>
        </w:rPr>
      </w:pPr>
      <w:r w:rsidRPr="00F343C6">
        <w:rPr>
          <w:rFonts w:ascii="Arial" w:hAnsi="Arial" w:cs="Arial"/>
          <w:b/>
          <w:bCs/>
        </w:rPr>
        <w:t>2.4. Cell Abnormalities:</w:t>
      </w:r>
    </w:p>
    <w:p w14:paraId="3A6CF931" w14:textId="1329908C" w:rsidR="006B2F19" w:rsidRDefault="00F343C6" w:rsidP="00F343C6">
      <w:pPr>
        <w:pStyle w:val="Body"/>
        <w:rPr>
          <w:rFonts w:ascii="Arial" w:hAnsi="Arial" w:cs="Arial"/>
          <w:b/>
          <w:bCs/>
          <w:lang w:val="en-IN"/>
        </w:rPr>
      </w:pPr>
      <w:r w:rsidRPr="00F343C6">
        <w:rPr>
          <w:rFonts w:ascii="Arial" w:hAnsi="Arial" w:cs="Arial"/>
          <w:i/>
          <w:iCs/>
        </w:rPr>
        <w:t>A. cepa</w:t>
      </w:r>
      <w:r w:rsidR="00561713">
        <w:rPr>
          <w:rFonts w:ascii="Arial" w:hAnsi="Arial" w:cs="Arial"/>
          <w:i/>
          <w:iCs/>
        </w:rPr>
        <w:t xml:space="preserve"> </w:t>
      </w:r>
      <w:r w:rsidR="00561713">
        <w:rPr>
          <w:rFonts w:ascii="Arial" w:hAnsi="Arial" w:cs="Arial"/>
        </w:rPr>
        <w:t>bioassay</w:t>
      </w:r>
      <w:r w:rsidRPr="00F343C6">
        <w:rPr>
          <w:rFonts w:ascii="Arial" w:hAnsi="Arial" w:cs="Arial"/>
          <w:i/>
          <w:iCs/>
        </w:rPr>
        <w:t xml:space="preserve"> </w:t>
      </w:r>
      <w:r w:rsidRPr="00F343C6">
        <w:rPr>
          <w:rFonts w:ascii="Arial" w:hAnsi="Arial" w:cs="Arial"/>
        </w:rPr>
        <w:t>was conducted to assess the rate of abnormalities. The following formula applied in methodology outlined by Salazar &amp; Maldonado Bayona (2020)</w:t>
      </w:r>
      <w:r w:rsidRPr="00F343C6">
        <w:rPr>
          <w:rFonts w:ascii="Arial" w:hAnsi="Arial" w:cs="Arial"/>
          <w:b/>
          <w:bCs/>
        </w:rPr>
        <w:t xml:space="preserve"> </w:t>
      </w:r>
      <w:r w:rsidRPr="00F343C6">
        <w:rPr>
          <w:rFonts w:ascii="Arial" w:hAnsi="Arial" w:cs="Arial"/>
        </w:rPr>
        <w:t>was used</w:t>
      </w:r>
      <w:r w:rsidRPr="008E2751">
        <w:rPr>
          <w:rFonts w:ascii="Arial" w:hAnsi="Arial" w:cs="Arial"/>
        </w:rPr>
        <w:t>: (</w:t>
      </w:r>
      <w:r w:rsidRPr="008E2751">
        <w:rPr>
          <w:rFonts w:ascii="Arial" w:hAnsi="Arial" w:cs="Arial"/>
          <w:lang w:val="en-IN"/>
        </w:rPr>
        <w:t>Salazar et al., 2020)</w:t>
      </w:r>
    </w:p>
    <w:p w14:paraId="01A09E1A" w14:textId="4872E8CE" w:rsidR="00EB24FD" w:rsidRPr="00486AE0" w:rsidRDefault="00486AE0" w:rsidP="00F343C6">
      <w:pPr>
        <w:pStyle w:val="Body"/>
        <w:rPr>
          <w:rFonts w:ascii="Arial" w:hAnsi="Arial" w:cs="Arial"/>
          <w:b/>
          <w:bCs/>
          <w:lang w:val="en-IN"/>
        </w:rPr>
      </w:pPr>
      <m:oMathPara>
        <m:oMath>
          <m:r>
            <m:rPr>
              <m:sty m:val="b"/>
            </m:rPr>
            <w:rPr>
              <w:rFonts w:ascii="Cambria Math" w:hAnsi="Cambria Math" w:cs="Arial"/>
            </w:rPr>
            <m:t xml:space="preserve">Relative Abnormality rate </m:t>
          </m:r>
          <m:d>
            <m:dPr>
              <m:ctrlPr>
                <w:rPr>
                  <w:rFonts w:ascii="Cambria Math" w:hAnsi="Cambria Math" w:cs="Arial"/>
                  <w:b/>
                  <w:b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Total no. of abnormal cells</m:t>
              </m:r>
            </m:num>
            <m:den>
              <m:r>
                <m:rPr>
                  <m:sty m:val="b"/>
                </m:rPr>
                <w:rPr>
                  <w:rFonts w:ascii="Cambria Math" w:hAnsi="Cambria Math" w:cs="Arial"/>
                </w:rPr>
                <m:t>Total no. of cells observed</m:t>
              </m:r>
            </m:den>
          </m:f>
          <m:r>
            <m:rPr>
              <m:sty m:val="bi"/>
            </m:rPr>
            <w:rPr>
              <w:rFonts w:ascii="Cambria Math" w:hAnsi="Cambria Math" w:cs="Arial"/>
            </w:rPr>
            <m:t>×100</m:t>
          </m:r>
        </m:oMath>
      </m:oMathPara>
    </w:p>
    <w:p w14:paraId="27CC72E3" w14:textId="77777777" w:rsidR="00486AE0" w:rsidRDefault="00486AE0" w:rsidP="00F343C6">
      <w:pPr>
        <w:pStyle w:val="Body"/>
        <w:rPr>
          <w:rFonts w:ascii="Arial" w:hAnsi="Arial" w:cs="Arial"/>
          <w:b/>
          <w:bCs/>
        </w:rPr>
      </w:pPr>
    </w:p>
    <w:p w14:paraId="09DE01FF" w14:textId="2B138B1C" w:rsidR="00F343C6" w:rsidRPr="00F343C6" w:rsidRDefault="00F343C6" w:rsidP="00F343C6">
      <w:pPr>
        <w:pStyle w:val="Body"/>
        <w:rPr>
          <w:rFonts w:ascii="Arial" w:hAnsi="Arial" w:cs="Arial"/>
          <w:b/>
          <w:bCs/>
        </w:rPr>
      </w:pPr>
      <w:r w:rsidRPr="00F343C6">
        <w:rPr>
          <w:rFonts w:ascii="Arial" w:hAnsi="Arial" w:cs="Arial"/>
          <w:b/>
          <w:bCs/>
        </w:rPr>
        <w:t>2.5. Statistical Analysis:</w:t>
      </w:r>
    </w:p>
    <w:p w14:paraId="24FF501B" w14:textId="77777777" w:rsidR="00790ADA" w:rsidRDefault="00F343C6" w:rsidP="00F343C6">
      <w:pPr>
        <w:pStyle w:val="Body"/>
        <w:spacing w:after="0"/>
        <w:rPr>
          <w:rFonts w:ascii="Arial" w:hAnsi="Arial" w:cs="Arial"/>
        </w:rPr>
      </w:pPr>
      <w:r w:rsidRPr="00F343C6">
        <w:rPr>
          <w:rFonts w:ascii="Arial" w:hAnsi="Arial" w:cs="Arial"/>
        </w:rPr>
        <w:t>The data are expressed as mean S.E. and statistical analysis was performed by using t- test.</w:t>
      </w:r>
    </w:p>
    <w:p w14:paraId="71B0F130" w14:textId="77777777" w:rsidR="00F343C6" w:rsidRPr="00FB3A86" w:rsidRDefault="00F343C6" w:rsidP="00F343C6">
      <w:pPr>
        <w:pStyle w:val="Body"/>
        <w:spacing w:after="0"/>
        <w:rPr>
          <w:rFonts w:ascii="Arial" w:hAnsi="Arial" w:cs="Arial"/>
        </w:rPr>
      </w:pPr>
    </w:p>
    <w:p w14:paraId="2C21AAAC" w14:textId="77777777" w:rsidR="00EB24FD" w:rsidRDefault="00000F8F" w:rsidP="00EB24FD">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9D5DD4" w14:textId="77777777" w:rsidR="00EB24FD" w:rsidRPr="00EB24FD" w:rsidRDefault="00EB24FD" w:rsidP="00EB24FD">
      <w:pPr>
        <w:pStyle w:val="Head1"/>
        <w:spacing w:after="0"/>
        <w:jc w:val="both"/>
        <w:rPr>
          <w:rFonts w:ascii="Arial" w:hAnsi="Arial" w:cs="Arial"/>
        </w:rPr>
      </w:pPr>
    </w:p>
    <w:p w14:paraId="0A256396" w14:textId="77777777" w:rsidR="00F343C6" w:rsidRPr="00F343C6" w:rsidRDefault="00F343C6" w:rsidP="00F343C6">
      <w:pPr>
        <w:pStyle w:val="Body"/>
        <w:rPr>
          <w:rFonts w:ascii="Arial" w:hAnsi="Arial" w:cs="Arial"/>
          <w:b/>
          <w:bCs/>
        </w:rPr>
      </w:pPr>
      <w:r w:rsidRPr="00F343C6">
        <w:rPr>
          <w:rFonts w:ascii="Arial" w:hAnsi="Arial" w:cs="Arial"/>
          <w:b/>
          <w:bCs/>
        </w:rPr>
        <w:t>3.1. Root Growth:</w:t>
      </w:r>
    </w:p>
    <w:p w14:paraId="576A359A" w14:textId="21776DC2" w:rsidR="00F343C6" w:rsidRPr="00F343C6" w:rsidRDefault="00F343C6" w:rsidP="00F343C6">
      <w:pPr>
        <w:pStyle w:val="Body"/>
        <w:rPr>
          <w:rFonts w:ascii="Arial" w:hAnsi="Arial" w:cs="Arial"/>
        </w:rPr>
      </w:pPr>
      <w:r w:rsidRPr="00F343C6">
        <w:rPr>
          <w:rFonts w:ascii="Arial" w:hAnsi="Arial" w:cs="Arial"/>
        </w:rPr>
        <w:t xml:space="preserve">As mentioned above, that the </w:t>
      </w:r>
      <w:r w:rsidRPr="00F343C6">
        <w:rPr>
          <w:rFonts w:ascii="Arial" w:hAnsi="Arial" w:cs="Arial"/>
          <w:i/>
          <w:iCs/>
        </w:rPr>
        <w:t>A. cepa</w:t>
      </w:r>
      <w:r w:rsidRPr="00F343C6">
        <w:rPr>
          <w:rFonts w:ascii="Arial" w:hAnsi="Arial" w:cs="Arial"/>
        </w:rPr>
        <w:t xml:space="preserve"> bulbs were firstly exposed to hydration than they were subjected to </w:t>
      </w:r>
      <w:r w:rsidR="00561713">
        <w:rPr>
          <w:rFonts w:ascii="Arial" w:hAnsi="Arial" w:cs="Arial"/>
        </w:rPr>
        <w:t>Paracetamol</w:t>
      </w:r>
      <w:r w:rsidRPr="00F343C6">
        <w:rPr>
          <w:rFonts w:ascii="Arial" w:hAnsi="Arial" w:cs="Arial"/>
        </w:rPr>
        <w:t xml:space="preserve">, so some variations are possible. Consequently, the extent of impact will depend on the chemicals involved &amp; the duration of </w:t>
      </w:r>
      <w:r w:rsidRPr="008E2751">
        <w:rPr>
          <w:rFonts w:ascii="Arial" w:hAnsi="Arial" w:cs="Arial"/>
        </w:rPr>
        <w:t>exposure (</w:t>
      </w:r>
      <w:r w:rsidRPr="008E2751">
        <w:rPr>
          <w:rFonts w:ascii="Arial" w:hAnsi="Arial" w:cs="Arial"/>
          <w:lang w:val="en-IN"/>
        </w:rPr>
        <w:t>Salazar et al., 2019)</w:t>
      </w:r>
      <w:r w:rsidRPr="008E2751">
        <w:rPr>
          <w:rFonts w:ascii="Arial" w:hAnsi="Arial" w:cs="Arial"/>
        </w:rPr>
        <w:t xml:space="preserve">. The relative growth of the roots of </w:t>
      </w:r>
      <w:r w:rsidRPr="008E2751">
        <w:rPr>
          <w:rFonts w:ascii="Arial" w:hAnsi="Arial" w:cs="Arial"/>
          <w:i/>
          <w:iCs/>
        </w:rPr>
        <w:t>A. cepa</w:t>
      </w:r>
      <w:r w:rsidRPr="008E2751">
        <w:rPr>
          <w:rFonts w:ascii="Arial" w:hAnsi="Arial" w:cs="Arial"/>
        </w:rPr>
        <w:t xml:space="preserve"> was influenced in each treatment, showing a significant decrease (Table 1). This is because the roots are typically the first tissue exposed, where the toxicants inhibit their elongation &amp; proliferation, ultimately comprising the plant’s growth &amp; reproductive potential (</w:t>
      </w:r>
      <w:r w:rsidRPr="008E2751">
        <w:rPr>
          <w:rFonts w:ascii="Arial" w:hAnsi="Arial" w:cs="Arial"/>
          <w:lang w:val="en-IN"/>
        </w:rPr>
        <w:t>Talukdar and Talukdar, 2014)</w:t>
      </w:r>
      <w:r w:rsidRPr="008E2751">
        <w:rPr>
          <w:rFonts w:ascii="Arial" w:hAnsi="Arial" w:cs="Arial"/>
        </w:rPr>
        <w:t>.</w:t>
      </w:r>
    </w:p>
    <w:tbl>
      <w:tblPr>
        <w:tblStyle w:val="GridTable1Light"/>
        <w:tblW w:w="0" w:type="auto"/>
        <w:jc w:val="center"/>
        <w:tblLook w:val="04A0" w:firstRow="1" w:lastRow="0" w:firstColumn="1" w:lastColumn="0" w:noHBand="0" w:noVBand="1"/>
      </w:tblPr>
      <w:tblGrid>
        <w:gridCol w:w="3005"/>
        <w:gridCol w:w="3005"/>
        <w:gridCol w:w="3006"/>
      </w:tblGrid>
      <w:tr w:rsidR="00F343C6" w:rsidRPr="00F343C6" w14:paraId="0413A6A1" w14:textId="77777777" w:rsidTr="00BA4886">
        <w:trPr>
          <w:cnfStyle w:val="100000000000" w:firstRow="1" w:lastRow="0" w:firstColumn="0" w:lastColumn="0" w:oddVBand="0" w:evenVBand="0" w:oddHBand="0"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3005" w:type="dxa"/>
          </w:tcPr>
          <w:p w14:paraId="2097330F" w14:textId="77777777" w:rsidR="00F343C6" w:rsidRPr="00F343C6" w:rsidRDefault="00F343C6" w:rsidP="004F7DF5">
            <w:pPr>
              <w:pStyle w:val="Body"/>
              <w:spacing w:after="0"/>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38E7F51"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Root Length (cm)</w:t>
            </w:r>
          </w:p>
          <w:p w14:paraId="401FE0DD" w14:textId="77777777" w:rsidR="004F7DF5" w:rsidRDefault="004F7DF5"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0"/>
                <w:szCs w:val="20"/>
                <w14:ligatures w14:val="none"/>
              </w:rPr>
            </w:pPr>
          </w:p>
          <w:p w14:paraId="6CB74175" w14:textId="1A40B9AD"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4D570915"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Root Growth Percentage (RRG)</w:t>
            </w:r>
          </w:p>
          <w:p w14:paraId="1F0453E8"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7A715A70"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0EC1C93"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7D10DBB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5.74 </w:t>
            </w:r>
            <m:oMath>
              <m:r>
                <w:rPr>
                  <w:rFonts w:ascii="Cambria Math" w:hAnsi="Cambria Math" w:cs="Arial"/>
                </w:rPr>
                <m:t>±</m:t>
              </m:r>
            </m:oMath>
            <w:r w:rsidRPr="00F343C6">
              <w:rPr>
                <w:rFonts w:ascii="Arial" w:eastAsia="Times New Roman" w:hAnsi="Arial" w:cs="Arial"/>
                <w:kern w:val="0"/>
                <w:sz w:val="20"/>
                <w:szCs w:val="20"/>
                <w14:ligatures w14:val="none"/>
              </w:rPr>
              <w:t xml:space="preserve"> 0.27</w:t>
            </w:r>
          </w:p>
        </w:tc>
        <w:tc>
          <w:tcPr>
            <w:tcW w:w="3006" w:type="dxa"/>
          </w:tcPr>
          <w:p w14:paraId="0AC9CA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19D0C72F"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69A763B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5AA169C"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3.88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79324D6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67.59</w:t>
            </w:r>
          </w:p>
        </w:tc>
      </w:tr>
      <w:tr w:rsidR="00F343C6" w:rsidRPr="00F343C6" w14:paraId="0923B563"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9760A4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075F69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2.47 </w:t>
            </w:r>
            <m:oMath>
              <m:r>
                <w:rPr>
                  <w:rFonts w:ascii="Cambria Math" w:hAnsi="Cambria Math" w:cs="Arial"/>
                </w:rPr>
                <m:t>±</m:t>
              </m:r>
            </m:oMath>
            <w:r w:rsidRPr="00F343C6">
              <w:rPr>
                <w:rFonts w:ascii="Arial" w:eastAsia="Times New Roman" w:hAnsi="Arial" w:cs="Arial"/>
                <w:kern w:val="0"/>
                <w:sz w:val="20"/>
                <w:szCs w:val="20"/>
                <w14:ligatures w14:val="none"/>
              </w:rPr>
              <w:t xml:space="preserve"> 0.21</w:t>
            </w:r>
          </w:p>
        </w:tc>
        <w:tc>
          <w:tcPr>
            <w:tcW w:w="3006" w:type="dxa"/>
          </w:tcPr>
          <w:p w14:paraId="0882487E"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43.03</w:t>
            </w:r>
          </w:p>
        </w:tc>
      </w:tr>
      <w:tr w:rsidR="00F343C6" w:rsidRPr="00F343C6" w14:paraId="07AE3A35"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9F23F80"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1D7AF59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1.58 </w:t>
            </w:r>
            <m:oMath>
              <m:r>
                <w:rPr>
                  <w:rFonts w:ascii="Cambria Math" w:hAnsi="Cambria Math" w:cs="Arial"/>
                </w:rPr>
                <m:t>±</m:t>
              </m:r>
            </m:oMath>
            <w:r w:rsidRPr="00F343C6">
              <w:rPr>
                <w:rFonts w:ascii="Arial" w:eastAsia="Times New Roman" w:hAnsi="Arial" w:cs="Arial"/>
                <w:kern w:val="0"/>
                <w:sz w:val="20"/>
                <w:szCs w:val="20"/>
                <w14:ligatures w14:val="none"/>
              </w:rPr>
              <w:t xml:space="preserve"> 0.13</w:t>
            </w:r>
          </w:p>
        </w:tc>
        <w:tc>
          <w:tcPr>
            <w:tcW w:w="3006" w:type="dxa"/>
          </w:tcPr>
          <w:p w14:paraId="112D089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27.52</w:t>
            </w:r>
          </w:p>
        </w:tc>
      </w:tr>
    </w:tbl>
    <w:p w14:paraId="41FBB814" w14:textId="77777777" w:rsidR="00D017BC" w:rsidRDefault="00F343C6" w:rsidP="00D017BC">
      <w:pPr>
        <w:pStyle w:val="Body"/>
        <w:spacing w:after="0"/>
        <w:jc w:val="center"/>
        <w:rPr>
          <w:rFonts w:ascii="Arial" w:hAnsi="Arial" w:cs="Arial"/>
          <w:b/>
          <w:bCs/>
        </w:rPr>
      </w:pPr>
      <w:r w:rsidRPr="00F343C6">
        <w:rPr>
          <w:rFonts w:ascii="Arial" w:hAnsi="Arial" w:cs="Arial"/>
          <w:b/>
          <w:bCs/>
        </w:rPr>
        <w:t>Table 1: Root Growth &amp; Relative Growth Percentage of Allium cepa</w:t>
      </w:r>
    </w:p>
    <w:p w14:paraId="70D1B346" w14:textId="77777777" w:rsidR="00EB24FD" w:rsidRDefault="00EB24FD" w:rsidP="00D017BC">
      <w:pPr>
        <w:pStyle w:val="Body"/>
        <w:spacing w:after="0"/>
        <w:rPr>
          <w:rFonts w:ascii="Arial" w:hAnsi="Arial" w:cs="Arial"/>
        </w:rPr>
      </w:pPr>
    </w:p>
    <w:p w14:paraId="37D786BB" w14:textId="77777777" w:rsidR="00F343C6" w:rsidRPr="00F343C6" w:rsidRDefault="00F343C6" w:rsidP="00D017BC">
      <w:pPr>
        <w:pStyle w:val="Body"/>
        <w:spacing w:after="0"/>
        <w:rPr>
          <w:rFonts w:ascii="Arial" w:hAnsi="Arial" w:cs="Arial"/>
          <w:b/>
          <w:bCs/>
        </w:rPr>
      </w:pPr>
      <w:r w:rsidRPr="00F343C6">
        <w:rPr>
          <w:rFonts w:ascii="Arial" w:hAnsi="Arial" w:cs="Arial"/>
        </w:rPr>
        <w:t>Other studies have shown similar statistically significant findings in radicle elongation, demonstrating that the degree of root inhibition is directly proportional to paracetamol concentration.</w:t>
      </w:r>
    </w:p>
    <w:p w14:paraId="625888FA" w14:textId="77777777" w:rsidR="00D017BC" w:rsidRDefault="00D017BC" w:rsidP="00F343C6">
      <w:pPr>
        <w:pStyle w:val="Body"/>
        <w:rPr>
          <w:rFonts w:ascii="Arial" w:hAnsi="Arial" w:cs="Arial"/>
          <w:b/>
          <w:bCs/>
        </w:rPr>
      </w:pPr>
    </w:p>
    <w:p w14:paraId="798BBEE0" w14:textId="77777777" w:rsidR="00F343C6" w:rsidRPr="00F343C6" w:rsidRDefault="00F343C6" w:rsidP="00F343C6">
      <w:pPr>
        <w:pStyle w:val="Body"/>
        <w:rPr>
          <w:rFonts w:ascii="Arial" w:hAnsi="Arial" w:cs="Arial"/>
          <w:b/>
          <w:bCs/>
        </w:rPr>
      </w:pPr>
      <w:r w:rsidRPr="00F343C6">
        <w:rPr>
          <w:rFonts w:ascii="Arial" w:hAnsi="Arial" w:cs="Arial"/>
          <w:b/>
          <w:bCs/>
        </w:rPr>
        <w:t xml:space="preserve">3.2. Mitotic index &amp; Mitotic inhibition: </w:t>
      </w:r>
    </w:p>
    <w:p w14:paraId="29ED3B81" w14:textId="11D04871" w:rsidR="004F7DF5" w:rsidRDefault="00F343C6" w:rsidP="00F343C6">
      <w:pPr>
        <w:pStyle w:val="Body"/>
        <w:rPr>
          <w:rFonts w:ascii="Arial" w:hAnsi="Arial" w:cs="Arial"/>
        </w:rPr>
      </w:pPr>
      <w:r w:rsidRPr="008E2751">
        <w:rPr>
          <w:rFonts w:ascii="Arial" w:hAnsi="Arial" w:cs="Arial"/>
        </w:rPr>
        <w:t>The mitotic index (MI) is a quantitative measure used to evaluate cell division in an organism (</w:t>
      </w:r>
      <w:r w:rsidRPr="008E2751">
        <w:rPr>
          <w:rFonts w:ascii="Arial" w:hAnsi="Arial" w:cs="Arial"/>
          <w:lang w:val="en-IN"/>
        </w:rPr>
        <w:t>Kato and Haskins, 2022)</w:t>
      </w:r>
      <w:r w:rsidRPr="008E2751">
        <w:rPr>
          <w:rFonts w:ascii="Arial" w:hAnsi="Arial" w:cs="Arial"/>
        </w:rPr>
        <w:t xml:space="preserve">. Thus, if the MI is lower than that of the control treatment, it indicates that the drug is impacting mitosis. </w:t>
      </w:r>
    </w:p>
    <w:p w14:paraId="4C742E21" w14:textId="77777777" w:rsidR="004F7DF5" w:rsidRPr="008E2751" w:rsidRDefault="004F7DF5" w:rsidP="00F343C6">
      <w:pPr>
        <w:pStyle w:val="Body"/>
        <w:rPr>
          <w:rFonts w:ascii="Arial" w:hAnsi="Arial" w:cs="Arial"/>
        </w:rPr>
      </w:pPr>
    </w:p>
    <w:tbl>
      <w:tblPr>
        <w:tblStyle w:val="GridTable1Light"/>
        <w:tblW w:w="0" w:type="auto"/>
        <w:tblLook w:val="04A0" w:firstRow="1" w:lastRow="0" w:firstColumn="1" w:lastColumn="0" w:noHBand="0" w:noVBand="1"/>
      </w:tblPr>
      <w:tblGrid>
        <w:gridCol w:w="3005"/>
        <w:gridCol w:w="3005"/>
        <w:gridCol w:w="3006"/>
      </w:tblGrid>
      <w:tr w:rsidR="00F343C6" w:rsidRPr="00F343C6" w14:paraId="6CF9BCD0"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C8A391" w14:textId="77777777" w:rsidR="00F343C6" w:rsidRPr="00F343C6" w:rsidRDefault="00F343C6" w:rsidP="004F7DF5">
            <w:pPr>
              <w:pStyle w:val="Body"/>
              <w:spacing w:after="0"/>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lastRenderedPageBreak/>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0F37BF9B"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Mitotic index (MI)</w:t>
            </w:r>
          </w:p>
          <w:p w14:paraId="01F19DD8" w14:textId="77777777" w:rsidR="004F7DF5" w:rsidRDefault="004F7DF5"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0"/>
                <w:szCs w:val="20"/>
                <w14:ligatures w14:val="none"/>
              </w:rPr>
            </w:pPr>
          </w:p>
          <w:p w14:paraId="68BE58A6" w14:textId="2628AFEB"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695BD31C"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 xml:space="preserve">Mitosis inhibition </w:t>
            </w:r>
            <w:r w:rsidRPr="00F343C6">
              <w:rPr>
                <w:rFonts w:ascii="Arial" w:eastAsia="Times New Roman" w:hAnsi="Arial" w:cs="Arial"/>
                <w:kern w:val="0"/>
                <w:sz w:val="20"/>
                <w:szCs w:val="20"/>
                <w14:ligatures w14:val="none"/>
              </w:rPr>
              <w:br/>
              <w:t>(%)</w:t>
            </w:r>
          </w:p>
          <w:p w14:paraId="02BECE37" w14:textId="77777777" w:rsidR="00F343C6" w:rsidRPr="00F343C6" w:rsidRDefault="00F343C6" w:rsidP="004F7DF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38202825"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3CD778B"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3C6FE357"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16.46 </w:t>
            </w:r>
            <m:oMath>
              <m:r>
                <w:rPr>
                  <w:rFonts w:ascii="Cambria Math" w:hAnsi="Cambria Math" w:cs="Arial"/>
                </w:rPr>
                <m:t>±</m:t>
              </m:r>
            </m:oMath>
            <w:r w:rsidRPr="00F343C6">
              <w:rPr>
                <w:rFonts w:ascii="Arial" w:eastAsia="Times New Roman" w:hAnsi="Arial" w:cs="Arial"/>
                <w:kern w:val="0"/>
                <w:sz w:val="20"/>
                <w:szCs w:val="20"/>
                <w14:ligatures w14:val="none"/>
              </w:rPr>
              <w:t xml:space="preserve"> 0.81</w:t>
            </w:r>
          </w:p>
        </w:tc>
        <w:tc>
          <w:tcPr>
            <w:tcW w:w="3006" w:type="dxa"/>
          </w:tcPr>
          <w:p w14:paraId="2B71644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4B88A549"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4B0EA0F"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2101A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11.57 </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4ED139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29.70</w:t>
            </w:r>
          </w:p>
        </w:tc>
      </w:tr>
      <w:tr w:rsidR="00F343C6" w:rsidRPr="00F343C6" w14:paraId="260AD09F"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39D19D"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92B43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10.82 </w:t>
            </w:r>
            <m:oMath>
              <m:r>
                <w:rPr>
                  <w:rFonts w:ascii="Cambria Math" w:hAnsi="Cambria Math" w:cs="Arial"/>
                </w:rPr>
                <m:t>±</m:t>
              </m:r>
            </m:oMath>
            <w:r w:rsidRPr="00F343C6">
              <w:rPr>
                <w:rFonts w:ascii="Arial" w:eastAsia="Times New Roman" w:hAnsi="Arial" w:cs="Arial"/>
                <w:kern w:val="0"/>
                <w:sz w:val="20"/>
                <w:szCs w:val="20"/>
                <w14:ligatures w14:val="none"/>
              </w:rPr>
              <w:t xml:space="preserve"> 0.63</w:t>
            </w:r>
          </w:p>
        </w:tc>
        <w:tc>
          <w:tcPr>
            <w:tcW w:w="3006" w:type="dxa"/>
          </w:tcPr>
          <w:p w14:paraId="1BD06DA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34.26</w:t>
            </w:r>
          </w:p>
        </w:tc>
      </w:tr>
      <w:tr w:rsidR="00F343C6" w:rsidRPr="00F343C6" w14:paraId="12AD8E44"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7F22567"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6F9198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8.76</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3F9002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46.78</w:t>
            </w:r>
          </w:p>
        </w:tc>
      </w:tr>
    </w:tbl>
    <w:p w14:paraId="273792FB" w14:textId="77777777" w:rsidR="00F343C6" w:rsidRPr="00F343C6" w:rsidRDefault="00F343C6" w:rsidP="00D017BC">
      <w:pPr>
        <w:pStyle w:val="Body"/>
        <w:spacing w:after="0"/>
        <w:jc w:val="center"/>
        <w:rPr>
          <w:rFonts w:ascii="Arial" w:hAnsi="Arial" w:cs="Arial"/>
          <w:b/>
          <w:bCs/>
        </w:rPr>
      </w:pPr>
      <w:r w:rsidRPr="00F343C6">
        <w:rPr>
          <w:rFonts w:ascii="Arial" w:hAnsi="Arial" w:cs="Arial"/>
          <w:b/>
          <w:bCs/>
        </w:rPr>
        <w:t>Table 2: Mitotic index (MI) &amp; Mitosis inhibition Percentage of Allium cepa</w:t>
      </w:r>
    </w:p>
    <w:p w14:paraId="1A0E7D94" w14:textId="77777777" w:rsidR="00EB24FD" w:rsidRDefault="00EB24FD" w:rsidP="00F343C6">
      <w:pPr>
        <w:pStyle w:val="Body"/>
        <w:rPr>
          <w:rFonts w:ascii="Arial" w:hAnsi="Arial" w:cs="Arial"/>
        </w:rPr>
      </w:pPr>
    </w:p>
    <w:p w14:paraId="38F45ACD" w14:textId="77777777" w:rsidR="00F343C6" w:rsidRPr="00F343C6" w:rsidRDefault="00F343C6" w:rsidP="00F343C6">
      <w:pPr>
        <w:pStyle w:val="Body"/>
        <w:rPr>
          <w:rFonts w:ascii="Arial" w:hAnsi="Arial" w:cs="Arial"/>
        </w:rPr>
      </w:pPr>
      <w:r w:rsidRPr="00F343C6">
        <w:rPr>
          <w:rFonts w:ascii="Arial" w:hAnsi="Arial" w:cs="Arial"/>
        </w:rPr>
        <w:t xml:space="preserve">In this instance, microscopic analysis of the cells shows a significant decrease in the mitotic index, with values of 8.76 </w:t>
      </w:r>
      <m:oMath>
        <m:r>
          <w:rPr>
            <w:rFonts w:ascii="Cambria Math" w:hAnsi="Cambria Math" w:cs="Arial"/>
          </w:rPr>
          <m:t>±</m:t>
        </m:r>
      </m:oMath>
      <w:r w:rsidRPr="00F343C6">
        <w:rPr>
          <w:rFonts w:ascii="Arial" w:hAnsi="Arial" w:cs="Arial"/>
        </w:rPr>
        <w:t xml:space="preserve"> 0.7 at the 500mgL</w:t>
      </w:r>
      <w:r w:rsidRPr="00F343C6">
        <w:rPr>
          <w:rFonts w:ascii="Arial" w:hAnsi="Arial" w:cs="Arial"/>
          <w:vertAlign w:val="superscript"/>
        </w:rPr>
        <w:t>-1</w:t>
      </w:r>
      <w:r w:rsidRPr="00F343C6">
        <w:rPr>
          <w:rFonts w:ascii="Arial" w:hAnsi="Arial" w:cs="Arial"/>
        </w:rPr>
        <w:t xml:space="preserve"> treatment of </w:t>
      </w:r>
      <w:r w:rsidRPr="00F343C6">
        <w:rPr>
          <w:rFonts w:ascii="Arial" w:hAnsi="Arial" w:cs="Arial"/>
          <w:i/>
          <w:iCs/>
        </w:rPr>
        <w:t>A. cepa</w:t>
      </w:r>
      <w:r w:rsidRPr="00F343C6">
        <w:rPr>
          <w:rFonts w:ascii="Arial" w:hAnsi="Arial" w:cs="Arial"/>
        </w:rPr>
        <w:t>.</w:t>
      </w:r>
    </w:p>
    <w:p w14:paraId="114C419E" w14:textId="77777777" w:rsidR="00F343C6" w:rsidRPr="00F343C6" w:rsidRDefault="00F343C6" w:rsidP="00F343C6">
      <w:pPr>
        <w:pStyle w:val="Body"/>
        <w:rPr>
          <w:rFonts w:ascii="Arial" w:hAnsi="Arial" w:cs="Arial"/>
        </w:rPr>
      </w:pPr>
      <w:r w:rsidRPr="00F343C6">
        <w:rPr>
          <w:rFonts w:ascii="Arial" w:hAnsi="Arial" w:cs="Arial"/>
        </w:rPr>
        <w:t xml:space="preserve">Measuring mitosis inhibition offers important insights into the relationship between damage and the concentrations applied. The mitotic inhibition reached 46.78% in </w:t>
      </w:r>
      <w:proofErr w:type="spellStart"/>
      <w:r w:rsidRPr="00F343C6">
        <w:rPr>
          <w:rFonts w:ascii="Arial" w:hAnsi="Arial" w:cs="Arial"/>
          <w:i/>
          <w:iCs/>
        </w:rPr>
        <w:t>A.cepa</w:t>
      </w:r>
      <w:proofErr w:type="spellEnd"/>
      <w:r w:rsidRPr="00F343C6">
        <w:rPr>
          <w:rFonts w:ascii="Arial" w:hAnsi="Arial" w:cs="Arial"/>
        </w:rPr>
        <w:t xml:space="preserve">, indicating a concerning decline of nearly 50% compared to the control treatment, as the control did not induce any inhibition in the </w:t>
      </w:r>
      <w:r w:rsidRPr="00F343C6">
        <w:rPr>
          <w:rFonts w:ascii="Arial" w:hAnsi="Arial" w:cs="Arial"/>
          <w:i/>
          <w:iCs/>
        </w:rPr>
        <w:t>A. cepa</w:t>
      </w:r>
      <w:r w:rsidRPr="00F343C6">
        <w:rPr>
          <w:rFonts w:ascii="Arial" w:hAnsi="Arial" w:cs="Arial"/>
        </w:rPr>
        <w:t>.</w:t>
      </w:r>
    </w:p>
    <w:p w14:paraId="357E0764" w14:textId="77777777" w:rsidR="00F343C6" w:rsidRPr="00F343C6" w:rsidRDefault="00F343C6" w:rsidP="00F343C6">
      <w:pPr>
        <w:pStyle w:val="Body"/>
        <w:rPr>
          <w:rFonts w:ascii="Arial" w:hAnsi="Arial" w:cs="Arial"/>
        </w:rPr>
      </w:pPr>
      <w:r w:rsidRPr="00F343C6">
        <w:rPr>
          <w:rFonts w:ascii="Arial" w:hAnsi="Arial" w:cs="Arial"/>
        </w:rPr>
        <w:t>After 96hours of exposure, at paracetamol concentrations of 250 mg L</w:t>
      </w:r>
      <w:r w:rsidRPr="00F343C6">
        <w:rPr>
          <w:rFonts w:ascii="Cambria Math" w:hAnsi="Cambria Math" w:cs="Cambria Math"/>
        </w:rPr>
        <w:t>⁻</w:t>
      </w:r>
      <w:r w:rsidRPr="00F343C6">
        <w:rPr>
          <w:rFonts w:ascii="Arial" w:hAnsi="Arial" w:cs="Arial"/>
        </w:rPr>
        <w:t>¹ and 500 mg L</w:t>
      </w:r>
      <w:r w:rsidRPr="00F343C6">
        <w:rPr>
          <w:rFonts w:ascii="Cambria Math" w:hAnsi="Cambria Math" w:cs="Cambria Math"/>
        </w:rPr>
        <w:t>⁻</w:t>
      </w:r>
      <w:r w:rsidRPr="00F343C6">
        <w:rPr>
          <w:rFonts w:ascii="Arial" w:hAnsi="Arial" w:cs="Arial"/>
        </w:rPr>
        <w:t>¹, mitotic inhibition reaches</w:t>
      </w:r>
      <w:r w:rsidRPr="008E2751">
        <w:rPr>
          <w:rFonts w:ascii="Arial" w:hAnsi="Arial" w:cs="Arial"/>
        </w:rPr>
        <w:t xml:space="preserve"> (</w:t>
      </w:r>
      <w:r w:rsidRPr="008E2751">
        <w:rPr>
          <w:rFonts w:ascii="Arial" w:hAnsi="Arial" w:cs="Arial"/>
          <w:lang w:val="en-IN"/>
        </w:rPr>
        <w:t xml:space="preserve">Jing, et al., 2009) </w:t>
      </w:r>
      <w:r w:rsidRPr="008E2751">
        <w:rPr>
          <w:rFonts w:ascii="Arial" w:hAnsi="Arial" w:cs="Arial"/>
        </w:rPr>
        <w:t xml:space="preserve">26% and 46.78% respectively, in </w:t>
      </w:r>
      <w:r w:rsidRPr="008E2751">
        <w:rPr>
          <w:rFonts w:ascii="Arial" w:hAnsi="Arial" w:cs="Arial"/>
          <w:i/>
          <w:iCs/>
        </w:rPr>
        <w:t xml:space="preserve">A. cepa </w:t>
      </w:r>
      <w:r w:rsidRPr="008E2751">
        <w:rPr>
          <w:rFonts w:ascii="Arial" w:hAnsi="Arial" w:cs="Arial"/>
        </w:rPr>
        <w:t>(Table 2),</w:t>
      </w:r>
      <w:r w:rsidRPr="00F343C6">
        <w:rPr>
          <w:rFonts w:ascii="Arial" w:hAnsi="Arial" w:cs="Arial"/>
        </w:rPr>
        <w:t xml:space="preserve"> which is nearly 50% relative to the control treatment—an indication of significant inhibition. Measuring mitotic inhibition provides crucial insight into the correlation between cellular damage and the concentrations applied. No mitotic inhibition was observed in the control group, suggesting that increased paracetamol concentration intensifies the disruption of the cell cycle. </w:t>
      </w:r>
    </w:p>
    <w:p w14:paraId="3EEE5B9F" w14:textId="77777777" w:rsidR="00F343C6" w:rsidRPr="00F343C6" w:rsidRDefault="00F343C6" w:rsidP="00F343C6">
      <w:pPr>
        <w:pStyle w:val="Body"/>
        <w:rPr>
          <w:rFonts w:ascii="Arial" w:hAnsi="Arial" w:cs="Arial"/>
          <w:b/>
          <w:bCs/>
        </w:rPr>
      </w:pPr>
      <w:r w:rsidRPr="00F343C6">
        <w:rPr>
          <w:rFonts w:ascii="Arial" w:hAnsi="Arial" w:cs="Arial"/>
          <w:b/>
          <w:bCs/>
        </w:rPr>
        <w:t xml:space="preserve">3.3. Cell Abnormality Index: </w:t>
      </w:r>
    </w:p>
    <w:p w14:paraId="593DC9DD" w14:textId="77777777" w:rsidR="00F343C6" w:rsidRPr="00F343C6" w:rsidRDefault="00F343C6" w:rsidP="00F343C6">
      <w:pPr>
        <w:pStyle w:val="Body"/>
        <w:rPr>
          <w:rFonts w:ascii="Arial" w:hAnsi="Arial" w:cs="Arial"/>
        </w:rPr>
      </w:pPr>
      <w:r w:rsidRPr="00F343C6">
        <w:rPr>
          <w:rFonts w:ascii="Arial" w:hAnsi="Arial" w:cs="Arial"/>
        </w:rPr>
        <w:t>A total of 10 types of chromosomal abnormalities were observed, indicating a significant structural impact on chromosomes induced by paracetamol exposure</w:t>
      </w:r>
      <w:r w:rsidRPr="008E2751">
        <w:rPr>
          <w:rFonts w:ascii="Arial" w:hAnsi="Arial" w:cs="Arial"/>
        </w:rPr>
        <w:t xml:space="preserve"> (Table 3, Fig. 2). </w:t>
      </w:r>
      <w:r w:rsidRPr="00F343C6">
        <w:rPr>
          <w:rFonts w:ascii="Arial" w:hAnsi="Arial" w:cs="Arial"/>
        </w:rPr>
        <w:t xml:space="preserve">In </w:t>
      </w:r>
      <w:r w:rsidRPr="00F343C6">
        <w:rPr>
          <w:rFonts w:ascii="Arial" w:hAnsi="Arial" w:cs="Arial"/>
          <w:i/>
          <w:iCs/>
        </w:rPr>
        <w:t>A. cepa</w:t>
      </w:r>
      <w:r w:rsidRPr="00F343C6">
        <w:rPr>
          <w:rFonts w:ascii="Arial" w:hAnsi="Arial" w:cs="Arial"/>
        </w:rPr>
        <w:t>, all detected abnormalities appeared at paracetamol concentrations of 125, 250 and 500 mg L</w:t>
      </w:r>
      <w:r w:rsidRPr="00F343C6">
        <w:rPr>
          <w:rFonts w:ascii="Cambria Math" w:hAnsi="Cambria Math" w:cs="Cambria Math"/>
        </w:rPr>
        <w:t>⁻</w:t>
      </w:r>
      <w:r w:rsidRPr="00F343C6">
        <w:rPr>
          <w:rFonts w:ascii="Arial" w:hAnsi="Arial" w:cs="Arial"/>
        </w:rPr>
        <w:t xml:space="preserve">¹. These root anomalies are likely due to two primary factors: first, paracetamol is absorbed by bioindicators and once internalized, it disrupts normal cell division </w:t>
      </w:r>
      <w:r w:rsidRPr="008E2751">
        <w:rPr>
          <w:rFonts w:ascii="Arial" w:hAnsi="Arial" w:cs="Arial"/>
        </w:rPr>
        <w:t>(Fig 2.)</w:t>
      </w:r>
      <w:r w:rsidRPr="00F343C6">
        <w:rPr>
          <w:rFonts w:ascii="Arial" w:hAnsi="Arial" w:cs="Arial"/>
        </w:rPr>
        <w:t xml:space="preserve"> and induce cytotoxic effects; second, as a low molecular weight compound, paracetamol exhibits a strong affinity for root tissues, enhancing uptake and accumulation predominantly in roots.</w:t>
      </w:r>
    </w:p>
    <w:p w14:paraId="3275FABA" w14:textId="77777777" w:rsidR="00F343C6" w:rsidRPr="00F343C6" w:rsidRDefault="00F343C6" w:rsidP="00F343C6">
      <w:pPr>
        <w:pStyle w:val="Body"/>
        <w:rPr>
          <w:rFonts w:ascii="Arial" w:hAnsi="Arial" w:cs="Arial"/>
        </w:rPr>
      </w:pPr>
      <w:r w:rsidRPr="00F343C6">
        <w:rPr>
          <w:rFonts w:ascii="Arial" w:hAnsi="Arial" w:cs="Arial"/>
        </w:rPr>
        <w:t xml:space="preserve">Nuclear abnormalities, often characterized by structural changes in interphase nuclei, are increasingly studied as indicators of environmental chemical toxicity </w:t>
      </w:r>
      <w:r w:rsidRPr="008E2751">
        <w:rPr>
          <w:rFonts w:ascii="Arial" w:hAnsi="Arial" w:cs="Arial"/>
        </w:rPr>
        <w:t>(</w:t>
      </w:r>
      <w:r w:rsidRPr="008E2751">
        <w:rPr>
          <w:rFonts w:ascii="Arial" w:hAnsi="Arial" w:cs="Arial"/>
          <w:lang w:val="en-IN"/>
        </w:rPr>
        <w:t>Leme et al., 2009)</w:t>
      </w:r>
      <w:r w:rsidRPr="008E2751">
        <w:rPr>
          <w:rFonts w:ascii="Arial" w:hAnsi="Arial" w:cs="Arial"/>
        </w:rPr>
        <w:t xml:space="preserve">. </w:t>
      </w:r>
      <w:r w:rsidRPr="00F343C6">
        <w:rPr>
          <w:rFonts w:ascii="Arial" w:hAnsi="Arial" w:cs="Arial"/>
        </w:rPr>
        <w:t>This study observed a pronounced increase in nuclear abnormalities in root tip cells exposed to Paracetamol. Root tip cells exposed to Paracetamol displayed prominently condensed nuclei with smaller or faint nucleoli and cytoplasm disintegration.</w:t>
      </w:r>
    </w:p>
    <w:p w14:paraId="73208A6F" w14:textId="77777777" w:rsidR="00F343C6" w:rsidRPr="008E2751" w:rsidRDefault="00F343C6" w:rsidP="00F343C6">
      <w:pPr>
        <w:pStyle w:val="Body"/>
        <w:rPr>
          <w:rFonts w:ascii="Arial" w:hAnsi="Arial" w:cs="Arial"/>
          <w:lang w:val="en-IN"/>
        </w:rPr>
      </w:pPr>
      <w:r w:rsidRPr="008E2751">
        <w:rPr>
          <w:rFonts w:ascii="Arial" w:hAnsi="Arial" w:cs="Arial"/>
        </w:rPr>
        <w:t>Chromosomal aberrations, defined by structural changes or changes in chromosome number, can arise either spontaneously or due to chemical or physical exposure (</w:t>
      </w:r>
      <w:r w:rsidRPr="008E2751">
        <w:rPr>
          <w:rFonts w:ascii="Arial" w:hAnsi="Arial" w:cs="Arial"/>
          <w:lang w:val="en-IN"/>
        </w:rPr>
        <w:t>Russel, 2002; Obe et al., 2002)</w:t>
      </w:r>
      <w:r w:rsidRPr="008E2751">
        <w:rPr>
          <w:rFonts w:ascii="Arial" w:hAnsi="Arial" w:cs="Arial"/>
        </w:rPr>
        <w:t xml:space="preserve">. Indicators of </w:t>
      </w:r>
      <w:proofErr w:type="spellStart"/>
      <w:r w:rsidRPr="008E2751">
        <w:rPr>
          <w:rFonts w:ascii="Arial" w:hAnsi="Arial" w:cs="Arial"/>
        </w:rPr>
        <w:t>aneugenic</w:t>
      </w:r>
      <w:proofErr w:type="spellEnd"/>
      <w:r w:rsidRPr="008E2751">
        <w:rPr>
          <w:rFonts w:ascii="Arial" w:hAnsi="Arial" w:cs="Arial"/>
        </w:rPr>
        <w:t xml:space="preserve"> action include chromosome adherence, chromosomal loss/delay, multipolarity and disrupted anaphase due to mitotic spindle disruptions, whereas chromosomal bridges and breaks in anaphase and telophase suggest clastogenic effects (</w:t>
      </w:r>
      <w:r w:rsidRPr="008E2751">
        <w:rPr>
          <w:rFonts w:ascii="Arial" w:hAnsi="Arial" w:cs="Arial"/>
          <w:lang w:val="en-IN"/>
        </w:rPr>
        <w:t>Sandra et al., 2010; Farhana and Malik, 2013)</w:t>
      </w:r>
      <w:r w:rsidRPr="008E2751">
        <w:rPr>
          <w:rFonts w:ascii="Arial" w:hAnsi="Arial" w:cs="Arial"/>
        </w:rPr>
        <w:t>.</w:t>
      </w:r>
    </w:p>
    <w:p w14:paraId="426BAE7F" w14:textId="77777777" w:rsidR="00F343C6" w:rsidRPr="008E2751" w:rsidRDefault="00F343C6" w:rsidP="00F343C6">
      <w:pPr>
        <w:pStyle w:val="Body"/>
        <w:rPr>
          <w:rFonts w:ascii="Arial" w:hAnsi="Arial" w:cs="Arial"/>
        </w:rPr>
        <w:sectPr w:rsidR="00F343C6" w:rsidRPr="008E2751" w:rsidSect="00F96618">
          <w:headerReference w:type="even" r:id="rId15"/>
          <w:headerReference w:type="default" r:id="rId16"/>
          <w:footerReference w:type="even" r:id="rId17"/>
          <w:footerReference w:type="default" r:id="rId18"/>
          <w:headerReference w:type="first" r:id="rId19"/>
          <w:type w:val="continuous"/>
          <w:pgSz w:w="11906" w:h="16838"/>
          <w:pgMar w:top="1440" w:right="1440" w:bottom="1440" w:left="1440" w:header="708" w:footer="708" w:gutter="0"/>
          <w:pgNumType w:start="1"/>
          <w:cols w:space="708"/>
          <w:docGrid w:linePitch="360"/>
        </w:sectPr>
      </w:pPr>
      <w:r w:rsidRPr="008E2751">
        <w:rPr>
          <w:rFonts w:ascii="Arial" w:hAnsi="Arial" w:cs="Arial"/>
        </w:rPr>
        <w:t>The most common abnormality in this bioassay was the presence of micronucleus (Fig. 3, Table 3). Overall, treatment with 500 mg L</w:t>
      </w:r>
      <w:r w:rsidRPr="008E2751">
        <w:rPr>
          <w:rFonts w:ascii="Cambria Math" w:hAnsi="Cambria Math" w:cs="Cambria Math"/>
        </w:rPr>
        <w:t>⁻</w:t>
      </w:r>
      <w:r w:rsidRPr="008E2751">
        <w:rPr>
          <w:rFonts w:ascii="Arial" w:hAnsi="Arial" w:cs="Arial"/>
        </w:rPr>
        <w:t xml:space="preserve"> resulted in the highest frequency of abnormalities. The relative abnormality rate, which considers both the micronucleus index and abnormality percentage (Table 4), indicating that paracetamol induces irreversible DNA damage. This DNA and chromosomal damage likely relate to cellular death mechanisms and carcinogenesis pathway.</w:t>
      </w:r>
    </w:p>
    <w:p w14:paraId="381226D0" w14:textId="77777777" w:rsidR="00F343C6" w:rsidRPr="00F343C6" w:rsidRDefault="00F343C6" w:rsidP="00822BB9">
      <w:pPr>
        <w:pStyle w:val="Body"/>
        <w:jc w:val="center"/>
        <w:rPr>
          <w:rFonts w:ascii="Arial" w:hAnsi="Arial" w:cs="Arial"/>
        </w:rPr>
      </w:pPr>
      <w:r w:rsidRPr="00F343C6">
        <w:rPr>
          <w:rFonts w:ascii="Arial" w:hAnsi="Arial" w:cs="Arial"/>
          <w:b/>
          <w:bCs/>
          <w:noProof/>
        </w:rPr>
        <w:lastRenderedPageBreak/>
        <w:drawing>
          <wp:inline distT="0" distB="0" distL="0" distR="0" wp14:anchorId="55C5283F" wp14:editId="7BE619AE">
            <wp:extent cx="8746958" cy="2094865"/>
            <wp:effectExtent l="0" t="0" r="3810" b="635"/>
            <wp:docPr id="98837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9820" name=""/>
                    <pic:cNvPicPr/>
                  </pic:nvPicPr>
                  <pic:blipFill rotWithShape="1">
                    <a:blip r:embed="rId20"/>
                    <a:srcRect l="6677" t="6171" r="11245" b="54317"/>
                    <a:stretch/>
                  </pic:blipFill>
                  <pic:spPr bwMode="auto">
                    <a:xfrm>
                      <a:off x="0" y="0"/>
                      <a:ext cx="8750952" cy="2095822"/>
                    </a:xfrm>
                    <a:prstGeom prst="rect">
                      <a:avLst/>
                    </a:prstGeom>
                    <a:ln>
                      <a:noFill/>
                    </a:ln>
                    <a:extLst>
                      <a:ext uri="{53640926-AAD7-44D8-BBD7-CCE9431645EC}">
                        <a14:shadowObscured xmlns:a14="http://schemas.microsoft.com/office/drawing/2010/main"/>
                      </a:ext>
                    </a:extLst>
                  </pic:spPr>
                </pic:pic>
              </a:graphicData>
            </a:graphic>
          </wp:inline>
        </w:drawing>
      </w:r>
    </w:p>
    <w:p w14:paraId="2B67C9E3" w14:textId="77777777" w:rsidR="00F343C6" w:rsidRPr="00F343C6" w:rsidRDefault="00F343C6" w:rsidP="00822BB9">
      <w:pPr>
        <w:pStyle w:val="Body"/>
        <w:jc w:val="center"/>
        <w:rPr>
          <w:rFonts w:ascii="Arial" w:hAnsi="Arial" w:cs="Arial"/>
          <w:b/>
          <w:bCs/>
        </w:rPr>
      </w:pPr>
      <w:r w:rsidRPr="00F343C6">
        <w:rPr>
          <w:rFonts w:ascii="Arial" w:hAnsi="Arial" w:cs="Arial"/>
          <w:b/>
          <w:bCs/>
          <w:noProof/>
        </w:rPr>
        <w:drawing>
          <wp:inline distT="0" distB="0" distL="0" distR="0" wp14:anchorId="02FBD3EE" wp14:editId="11FE11AD">
            <wp:extent cx="8861517" cy="2977116"/>
            <wp:effectExtent l="0" t="0" r="3175" b="0"/>
            <wp:docPr id="81876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7839" name=""/>
                    <pic:cNvPicPr/>
                  </pic:nvPicPr>
                  <pic:blipFill rotWithShape="1">
                    <a:blip r:embed="rId21"/>
                    <a:srcRect l="3338" t="3777" r="14879" b="30410"/>
                    <a:stretch/>
                  </pic:blipFill>
                  <pic:spPr bwMode="auto">
                    <a:xfrm>
                      <a:off x="0" y="0"/>
                      <a:ext cx="8885379" cy="2985133"/>
                    </a:xfrm>
                    <a:prstGeom prst="rect">
                      <a:avLst/>
                    </a:prstGeom>
                    <a:ln>
                      <a:noFill/>
                    </a:ln>
                    <a:extLst>
                      <a:ext uri="{53640926-AAD7-44D8-BBD7-CCE9431645EC}">
                        <a14:shadowObscured xmlns:a14="http://schemas.microsoft.com/office/drawing/2010/main"/>
                      </a:ext>
                    </a:extLst>
                  </pic:spPr>
                </pic:pic>
              </a:graphicData>
            </a:graphic>
          </wp:inline>
        </w:drawing>
      </w:r>
    </w:p>
    <w:p w14:paraId="47B8D884" w14:textId="77777777" w:rsidR="00F343C6" w:rsidRPr="00F343C6" w:rsidRDefault="00F343C6" w:rsidP="00F343C6">
      <w:pPr>
        <w:pStyle w:val="Body"/>
        <w:rPr>
          <w:rFonts w:ascii="Arial" w:hAnsi="Arial" w:cs="Arial"/>
          <w:b/>
          <w:bCs/>
        </w:rPr>
      </w:pPr>
    </w:p>
    <w:p w14:paraId="19570BA2" w14:textId="77777777" w:rsidR="00F343C6" w:rsidRPr="00F343C6" w:rsidRDefault="00F343C6" w:rsidP="00EE02E4">
      <w:pPr>
        <w:pStyle w:val="Body"/>
        <w:jc w:val="center"/>
        <w:rPr>
          <w:rFonts w:ascii="Arial" w:hAnsi="Arial" w:cs="Arial"/>
          <w:b/>
          <w:bCs/>
          <w:lang w:val="en-IN"/>
        </w:rPr>
      </w:pPr>
      <w:r w:rsidRPr="00F343C6">
        <w:rPr>
          <w:rFonts w:ascii="Arial" w:hAnsi="Arial" w:cs="Arial"/>
          <w:b/>
          <w:bCs/>
        </w:rPr>
        <w:lastRenderedPageBreak/>
        <w:t xml:space="preserve">Table 3. </w:t>
      </w:r>
      <w:r w:rsidRPr="00F343C6">
        <w:rPr>
          <w:rFonts w:ascii="Arial" w:hAnsi="Arial" w:cs="Arial"/>
          <w:b/>
          <w:bCs/>
          <w:lang w:val="en-IN"/>
        </w:rPr>
        <w:t xml:space="preserve">Chromosomal abnormalities in </w:t>
      </w:r>
      <w:r w:rsidRPr="00F343C6">
        <w:rPr>
          <w:rFonts w:ascii="Arial" w:hAnsi="Arial" w:cs="Arial"/>
          <w:b/>
          <w:bCs/>
          <w:i/>
          <w:iCs/>
          <w:lang w:val="en-IN"/>
        </w:rPr>
        <w:t>A. cepa</w:t>
      </w:r>
    </w:p>
    <w:tbl>
      <w:tblPr>
        <w:tblStyle w:val="GridTable1Light"/>
        <w:tblW w:w="14312" w:type="dxa"/>
        <w:jc w:val="center"/>
        <w:tblLayout w:type="fixed"/>
        <w:tblLook w:val="04A0" w:firstRow="1" w:lastRow="0" w:firstColumn="1" w:lastColumn="0" w:noHBand="0" w:noVBand="1"/>
      </w:tblPr>
      <w:tblGrid>
        <w:gridCol w:w="1413"/>
        <w:gridCol w:w="1134"/>
        <w:gridCol w:w="1276"/>
        <w:gridCol w:w="1701"/>
        <w:gridCol w:w="1275"/>
        <w:gridCol w:w="1418"/>
        <w:gridCol w:w="1276"/>
        <w:gridCol w:w="1134"/>
        <w:gridCol w:w="1134"/>
        <w:gridCol w:w="1134"/>
        <w:gridCol w:w="1417"/>
      </w:tblGrid>
      <w:tr w:rsidR="0086307A" w:rsidRPr="00822BB9" w14:paraId="24738BA1" w14:textId="77777777" w:rsidTr="00822BB9">
        <w:trPr>
          <w:cnfStyle w:val="100000000000" w:firstRow="1" w:lastRow="0" w:firstColumn="0" w:lastColumn="0" w:oddVBand="0" w:evenVBand="0" w:oddHBand="0" w:evenHBand="0" w:firstRowFirstColumn="0" w:firstRowLastColumn="0" w:lastRowFirstColumn="0" w:lastRowLastColumn="0"/>
          <w:trHeight w:val="1484"/>
          <w:jc w:val="center"/>
        </w:trPr>
        <w:tc>
          <w:tcPr>
            <w:cnfStyle w:val="001000000000" w:firstRow="0" w:lastRow="0" w:firstColumn="1" w:lastColumn="0" w:oddVBand="0" w:evenVBand="0" w:oddHBand="0" w:evenHBand="0" w:firstRowFirstColumn="0" w:firstRowLastColumn="0" w:lastRowFirstColumn="0" w:lastRowLastColumn="0"/>
            <w:tcW w:w="1413" w:type="dxa"/>
          </w:tcPr>
          <w:p w14:paraId="3B660ADC" w14:textId="77777777" w:rsidR="00F343C6" w:rsidRPr="00822BB9" w:rsidRDefault="00F343C6" w:rsidP="00822BB9">
            <w:pPr>
              <w:pStyle w:val="Body"/>
              <w:jc w:val="center"/>
              <w:rPr>
                <w:rFonts w:ascii="Arial" w:eastAsia="Times New Roman" w:hAnsi="Arial" w:cs="Arial"/>
                <w:b w:val="0"/>
                <w:kern w:val="0"/>
                <w:sz w:val="18"/>
                <w:szCs w:val="18"/>
                <w14:ligatures w14:val="none"/>
              </w:rPr>
            </w:pPr>
          </w:p>
          <w:p w14:paraId="54BB7EED" w14:textId="21D1FECA" w:rsidR="00F343C6" w:rsidRPr="00822BB9" w:rsidRDefault="00F343C6" w:rsidP="00822BB9">
            <w:pPr>
              <w:pStyle w:val="Body"/>
              <w:jc w:val="center"/>
              <w:rPr>
                <w:rFonts w:ascii="Arial" w:eastAsia="Times New Roman" w:hAnsi="Arial" w:cs="Arial"/>
                <w:b w:val="0"/>
                <w:bCs w:val="0"/>
                <w:kern w:val="0"/>
                <w:sz w:val="18"/>
                <w:szCs w:val="18"/>
                <w14:ligatures w14:val="none"/>
              </w:rPr>
            </w:pPr>
            <w:r w:rsidRPr="00822BB9">
              <w:rPr>
                <w:rFonts w:ascii="Arial" w:eastAsia="Times New Roman" w:hAnsi="Arial" w:cs="Arial"/>
                <w:kern w:val="0"/>
                <w:sz w:val="18"/>
                <w:szCs w:val="18"/>
                <w14:ligatures w14:val="none"/>
              </w:rPr>
              <w:t>Paracetamol Conc</w:t>
            </w:r>
            <w:r w:rsidR="00822BB9">
              <w:rPr>
                <w:rFonts w:ascii="Arial" w:eastAsia="Times New Roman" w:hAnsi="Arial" w:cs="Arial"/>
                <w:kern w:val="0"/>
                <w:sz w:val="18"/>
                <w:szCs w:val="18"/>
                <w14:ligatures w14:val="none"/>
              </w:rPr>
              <w:t xml:space="preserve">. </w:t>
            </w:r>
            <w:r w:rsidRPr="00822BB9">
              <w:rPr>
                <w:rFonts w:ascii="Arial" w:eastAsia="Times New Roman" w:hAnsi="Arial" w:cs="Arial"/>
                <w:kern w:val="0"/>
                <w:sz w:val="18"/>
                <w:szCs w:val="18"/>
                <w14:ligatures w14:val="none"/>
              </w:rPr>
              <w:t>(mgL</w:t>
            </w:r>
            <w:r w:rsidRPr="00822BB9">
              <w:rPr>
                <w:rFonts w:ascii="Arial" w:eastAsia="Times New Roman" w:hAnsi="Arial" w:cs="Arial"/>
                <w:kern w:val="0"/>
                <w:sz w:val="18"/>
                <w:szCs w:val="18"/>
                <w:vertAlign w:val="superscript"/>
                <w14:ligatures w14:val="none"/>
              </w:rPr>
              <w:t>-1</w:t>
            </w:r>
            <w:r w:rsidRPr="00822BB9">
              <w:rPr>
                <w:rFonts w:ascii="Arial" w:eastAsia="Times New Roman" w:hAnsi="Arial" w:cs="Arial"/>
                <w:kern w:val="0"/>
                <w:sz w:val="18"/>
                <w:szCs w:val="18"/>
                <w14:ligatures w14:val="none"/>
              </w:rPr>
              <w:t>)</w:t>
            </w:r>
          </w:p>
        </w:tc>
        <w:tc>
          <w:tcPr>
            <w:tcW w:w="1134" w:type="dxa"/>
          </w:tcPr>
          <w:p w14:paraId="38011E3E"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1DF209B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Multipolar</w:t>
            </w:r>
          </w:p>
        </w:tc>
        <w:tc>
          <w:tcPr>
            <w:tcW w:w="1276" w:type="dxa"/>
          </w:tcPr>
          <w:p w14:paraId="696A849E"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366E9FE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Micronuclei</w:t>
            </w:r>
          </w:p>
        </w:tc>
        <w:tc>
          <w:tcPr>
            <w:tcW w:w="1701" w:type="dxa"/>
          </w:tcPr>
          <w:p w14:paraId="4CF84597"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6B929D4D" w14:textId="6BAFB006"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roofErr w:type="spellStart"/>
            <w:r w:rsidRPr="00822BB9">
              <w:rPr>
                <w:rFonts w:ascii="Arial" w:eastAsia="Times New Roman" w:hAnsi="Arial" w:cs="Arial"/>
                <w:kern w:val="0"/>
                <w:sz w:val="18"/>
                <w:szCs w:val="18"/>
                <w14:ligatures w14:val="none"/>
              </w:rPr>
              <w:t>Hyperchromasia</w:t>
            </w:r>
            <w:proofErr w:type="spellEnd"/>
          </w:p>
          <w:p w14:paraId="72A97EF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18"/>
                <w:szCs w:val="18"/>
                <w14:ligatures w14:val="none"/>
              </w:rPr>
            </w:pPr>
          </w:p>
        </w:tc>
        <w:tc>
          <w:tcPr>
            <w:tcW w:w="1275" w:type="dxa"/>
          </w:tcPr>
          <w:p w14:paraId="6B77DA03"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6FF385AB" w14:textId="3A12C236"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Sticky metaphase</w:t>
            </w:r>
          </w:p>
          <w:p w14:paraId="6C5BF69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418" w:type="dxa"/>
          </w:tcPr>
          <w:p w14:paraId="1F0F05D9"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1E602256" w14:textId="7CB15C51"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Split chromosome</w:t>
            </w:r>
          </w:p>
          <w:p w14:paraId="6912022D"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6" w:type="dxa"/>
          </w:tcPr>
          <w:p w14:paraId="72EA566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2300C5DF"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Binucleated cell</w:t>
            </w:r>
          </w:p>
        </w:tc>
        <w:tc>
          <w:tcPr>
            <w:tcW w:w="1134" w:type="dxa"/>
          </w:tcPr>
          <w:p w14:paraId="6FB3AE96"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5B3DA1A2"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r w:rsidRPr="00822BB9">
              <w:rPr>
                <w:rFonts w:ascii="Arial" w:eastAsia="Times New Roman" w:hAnsi="Arial" w:cs="Arial"/>
                <w:kern w:val="0"/>
                <w:sz w:val="18"/>
                <w:szCs w:val="18"/>
                <w14:ligatures w14:val="none"/>
              </w:rPr>
              <w:t>Irregular</w:t>
            </w:r>
          </w:p>
          <w:p w14:paraId="666EA87A"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Anaphase</w:t>
            </w:r>
          </w:p>
        </w:tc>
        <w:tc>
          <w:tcPr>
            <w:tcW w:w="1134" w:type="dxa"/>
          </w:tcPr>
          <w:p w14:paraId="3E424E5A"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10C49A1B" w14:textId="3B2F934D"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r w:rsidRPr="00822BB9">
              <w:rPr>
                <w:rFonts w:ascii="Arial" w:eastAsia="Times New Roman" w:hAnsi="Arial" w:cs="Arial"/>
                <w:kern w:val="0"/>
                <w:sz w:val="18"/>
                <w:szCs w:val="18"/>
                <w14:ligatures w14:val="none"/>
              </w:rPr>
              <w:t>Anaphase</w:t>
            </w:r>
          </w:p>
          <w:p w14:paraId="6158B541"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Bridge</w:t>
            </w:r>
          </w:p>
        </w:tc>
        <w:tc>
          <w:tcPr>
            <w:tcW w:w="1134" w:type="dxa"/>
          </w:tcPr>
          <w:p w14:paraId="232E6857"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18"/>
                <w:szCs w:val="18"/>
                <w14:ligatures w14:val="none"/>
              </w:rPr>
            </w:pPr>
          </w:p>
          <w:p w14:paraId="46659065"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Polar Slip</w:t>
            </w:r>
          </w:p>
        </w:tc>
        <w:tc>
          <w:tcPr>
            <w:tcW w:w="1417" w:type="dxa"/>
          </w:tcPr>
          <w:p w14:paraId="416154C6"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DFE00DA" w14:textId="77777777" w:rsidR="00F343C6" w:rsidRPr="00822BB9" w:rsidRDefault="00F343C6" w:rsidP="00822BB9">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Cells without a nucleus</w:t>
            </w:r>
          </w:p>
        </w:tc>
      </w:tr>
      <w:tr w:rsidR="0086307A" w:rsidRPr="00822BB9" w14:paraId="12FDA257" w14:textId="77777777" w:rsidTr="00822BB9">
        <w:trPr>
          <w:trHeight w:val="1062"/>
          <w:jc w:val="center"/>
        </w:trPr>
        <w:tc>
          <w:tcPr>
            <w:cnfStyle w:val="001000000000" w:firstRow="0" w:lastRow="0" w:firstColumn="1" w:lastColumn="0" w:oddVBand="0" w:evenVBand="0" w:oddHBand="0" w:evenHBand="0" w:firstRowFirstColumn="0" w:firstRowLastColumn="0" w:lastRowFirstColumn="0" w:lastRowLastColumn="0"/>
            <w:tcW w:w="1413" w:type="dxa"/>
          </w:tcPr>
          <w:p w14:paraId="7FC0708F" w14:textId="77777777" w:rsidR="00F343C6" w:rsidRPr="00822BB9" w:rsidRDefault="00F343C6" w:rsidP="00822BB9">
            <w:pPr>
              <w:pStyle w:val="Body"/>
              <w:spacing w:after="0"/>
              <w:jc w:val="center"/>
              <w:rPr>
                <w:rFonts w:ascii="Arial" w:eastAsia="Times New Roman" w:hAnsi="Arial" w:cs="Arial"/>
                <w:b w:val="0"/>
                <w:kern w:val="0"/>
                <w:sz w:val="18"/>
                <w:szCs w:val="18"/>
                <w14:ligatures w14:val="none"/>
              </w:rPr>
            </w:pPr>
          </w:p>
          <w:p w14:paraId="14AB0C52" w14:textId="77777777" w:rsidR="00F343C6" w:rsidRPr="00822BB9" w:rsidRDefault="00F343C6" w:rsidP="00822BB9">
            <w:pPr>
              <w:pStyle w:val="Body"/>
              <w:spacing w:after="0"/>
              <w:jc w:val="center"/>
              <w:rPr>
                <w:rFonts w:ascii="Arial" w:eastAsia="Times New Roman" w:hAnsi="Arial" w:cs="Arial"/>
                <w:b w:val="0"/>
                <w:kern w:val="0"/>
                <w:sz w:val="18"/>
                <w:szCs w:val="18"/>
                <w14:ligatures w14:val="none"/>
              </w:rPr>
            </w:pPr>
            <w:r w:rsidRPr="00822BB9">
              <w:rPr>
                <w:rFonts w:ascii="Arial" w:eastAsia="Times New Roman" w:hAnsi="Arial" w:cs="Arial"/>
                <w:kern w:val="0"/>
                <w:sz w:val="18"/>
                <w:szCs w:val="18"/>
                <w14:ligatures w14:val="none"/>
              </w:rPr>
              <w:t>Control</w:t>
            </w:r>
          </w:p>
        </w:tc>
        <w:tc>
          <w:tcPr>
            <w:tcW w:w="1134" w:type="dxa"/>
          </w:tcPr>
          <w:p w14:paraId="01046EB3"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2177264"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1.4 ± 0.5</w:t>
            </w:r>
          </w:p>
        </w:tc>
        <w:tc>
          <w:tcPr>
            <w:tcW w:w="1276" w:type="dxa"/>
          </w:tcPr>
          <w:p w14:paraId="788C23F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334DBF6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701" w:type="dxa"/>
          </w:tcPr>
          <w:p w14:paraId="48B562EF"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71A1365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275" w:type="dxa"/>
          </w:tcPr>
          <w:p w14:paraId="50AEF821"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371F74F"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418" w:type="dxa"/>
          </w:tcPr>
          <w:p w14:paraId="26296C11"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E237DE7"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0.8 ± 0.01</w:t>
            </w:r>
          </w:p>
          <w:p w14:paraId="52A1C376"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6" w:type="dxa"/>
          </w:tcPr>
          <w:p w14:paraId="22D456B8"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70F83F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134" w:type="dxa"/>
          </w:tcPr>
          <w:p w14:paraId="3945B01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181E9C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1.6 ± 1.2</w:t>
            </w:r>
          </w:p>
        </w:tc>
        <w:tc>
          <w:tcPr>
            <w:tcW w:w="1134" w:type="dxa"/>
          </w:tcPr>
          <w:p w14:paraId="2FF35030"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4581ECD"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1.6 ± 0.6</w:t>
            </w:r>
          </w:p>
        </w:tc>
        <w:tc>
          <w:tcPr>
            <w:tcW w:w="1134" w:type="dxa"/>
          </w:tcPr>
          <w:p w14:paraId="63A25E6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70BD37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417" w:type="dxa"/>
          </w:tcPr>
          <w:p w14:paraId="4BBCF584"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B23AF0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2.4 ± 0.5</w:t>
            </w:r>
          </w:p>
        </w:tc>
      </w:tr>
      <w:tr w:rsidR="0086307A" w:rsidRPr="00822BB9" w14:paraId="575EF4C9" w14:textId="77777777" w:rsidTr="00822BB9">
        <w:trPr>
          <w:trHeight w:val="969"/>
          <w:jc w:val="center"/>
        </w:trPr>
        <w:tc>
          <w:tcPr>
            <w:cnfStyle w:val="001000000000" w:firstRow="0" w:lastRow="0" w:firstColumn="1" w:lastColumn="0" w:oddVBand="0" w:evenVBand="0" w:oddHBand="0" w:evenHBand="0" w:firstRowFirstColumn="0" w:firstRowLastColumn="0" w:lastRowFirstColumn="0" w:lastRowLastColumn="0"/>
            <w:tcW w:w="1413" w:type="dxa"/>
          </w:tcPr>
          <w:p w14:paraId="2749A971" w14:textId="77777777" w:rsidR="00F343C6" w:rsidRPr="00822BB9" w:rsidRDefault="00F343C6" w:rsidP="00822BB9">
            <w:pPr>
              <w:pStyle w:val="Body"/>
              <w:spacing w:after="0"/>
              <w:jc w:val="center"/>
              <w:rPr>
                <w:rFonts w:ascii="Arial" w:eastAsia="Times New Roman" w:hAnsi="Arial" w:cs="Arial"/>
                <w:b w:val="0"/>
                <w:kern w:val="0"/>
                <w:sz w:val="18"/>
                <w:szCs w:val="18"/>
                <w14:ligatures w14:val="none"/>
              </w:rPr>
            </w:pPr>
          </w:p>
          <w:p w14:paraId="4FF6129E" w14:textId="77777777" w:rsidR="00F343C6" w:rsidRPr="00822BB9" w:rsidRDefault="00F343C6" w:rsidP="00822BB9">
            <w:pPr>
              <w:pStyle w:val="Body"/>
              <w:spacing w:after="0"/>
              <w:jc w:val="center"/>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125mgL</w:t>
            </w:r>
            <w:r w:rsidRPr="00822BB9">
              <w:rPr>
                <w:rFonts w:ascii="Arial" w:eastAsia="Times New Roman" w:hAnsi="Arial" w:cs="Arial"/>
                <w:kern w:val="0"/>
                <w:sz w:val="18"/>
                <w:szCs w:val="18"/>
                <w:vertAlign w:val="superscript"/>
                <w14:ligatures w14:val="none"/>
              </w:rPr>
              <w:t>-1</w:t>
            </w:r>
          </w:p>
        </w:tc>
        <w:tc>
          <w:tcPr>
            <w:tcW w:w="1134" w:type="dxa"/>
          </w:tcPr>
          <w:p w14:paraId="2E350493"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2FD58B0"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10.4 ± 0.8a</w:t>
            </w:r>
          </w:p>
        </w:tc>
        <w:tc>
          <w:tcPr>
            <w:tcW w:w="1276" w:type="dxa"/>
          </w:tcPr>
          <w:p w14:paraId="0C403740"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6944787"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9.6 ± 1.2a</w:t>
            </w:r>
          </w:p>
        </w:tc>
        <w:tc>
          <w:tcPr>
            <w:tcW w:w="1701" w:type="dxa"/>
          </w:tcPr>
          <w:p w14:paraId="5188BF23"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06198B4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31.2 ± 0.8a</w:t>
            </w:r>
          </w:p>
          <w:p w14:paraId="1D016D1A"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5" w:type="dxa"/>
          </w:tcPr>
          <w:p w14:paraId="5AC34267"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0FD75FF5"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5 ± 1a</w:t>
            </w:r>
          </w:p>
        </w:tc>
        <w:tc>
          <w:tcPr>
            <w:tcW w:w="1418" w:type="dxa"/>
          </w:tcPr>
          <w:p w14:paraId="5488FB1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61681D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5.4± 1.2a</w:t>
            </w:r>
          </w:p>
          <w:p w14:paraId="487F198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6" w:type="dxa"/>
          </w:tcPr>
          <w:p w14:paraId="4F03FBE8"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6E3CA45"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w:t>
            </w:r>
          </w:p>
        </w:tc>
        <w:tc>
          <w:tcPr>
            <w:tcW w:w="1134" w:type="dxa"/>
          </w:tcPr>
          <w:p w14:paraId="4BD3B4D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3CDC55F"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2.8 ± 0.5</w:t>
            </w:r>
          </w:p>
        </w:tc>
        <w:tc>
          <w:tcPr>
            <w:tcW w:w="1134" w:type="dxa"/>
          </w:tcPr>
          <w:p w14:paraId="58198D80"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75645F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7.2 ± 1a</w:t>
            </w:r>
          </w:p>
        </w:tc>
        <w:tc>
          <w:tcPr>
            <w:tcW w:w="1134" w:type="dxa"/>
          </w:tcPr>
          <w:p w14:paraId="73C7B04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EC1BA67"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0.8 ± 0.2</w:t>
            </w:r>
          </w:p>
        </w:tc>
        <w:tc>
          <w:tcPr>
            <w:tcW w:w="1417" w:type="dxa"/>
          </w:tcPr>
          <w:p w14:paraId="7918E6F1"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B60B07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11.6 ± 1.2a</w:t>
            </w:r>
          </w:p>
        </w:tc>
      </w:tr>
      <w:tr w:rsidR="0086307A" w:rsidRPr="00822BB9" w14:paraId="0B85CB18" w14:textId="77777777" w:rsidTr="00822BB9">
        <w:trPr>
          <w:trHeight w:val="984"/>
          <w:jc w:val="center"/>
        </w:trPr>
        <w:tc>
          <w:tcPr>
            <w:cnfStyle w:val="001000000000" w:firstRow="0" w:lastRow="0" w:firstColumn="1" w:lastColumn="0" w:oddVBand="0" w:evenVBand="0" w:oddHBand="0" w:evenHBand="0" w:firstRowFirstColumn="0" w:firstRowLastColumn="0" w:lastRowFirstColumn="0" w:lastRowLastColumn="0"/>
            <w:tcW w:w="1413" w:type="dxa"/>
          </w:tcPr>
          <w:p w14:paraId="70E1B342" w14:textId="77777777" w:rsidR="00F343C6" w:rsidRPr="00822BB9" w:rsidRDefault="00F343C6" w:rsidP="00822BB9">
            <w:pPr>
              <w:pStyle w:val="Body"/>
              <w:spacing w:after="0"/>
              <w:jc w:val="center"/>
              <w:rPr>
                <w:rFonts w:ascii="Arial" w:eastAsia="Times New Roman" w:hAnsi="Arial" w:cs="Arial"/>
                <w:b w:val="0"/>
                <w:kern w:val="0"/>
                <w:sz w:val="18"/>
                <w:szCs w:val="18"/>
                <w14:ligatures w14:val="none"/>
              </w:rPr>
            </w:pPr>
          </w:p>
          <w:p w14:paraId="1DA6EEED" w14:textId="77777777" w:rsidR="00F343C6" w:rsidRPr="00822BB9" w:rsidRDefault="00F343C6" w:rsidP="00822BB9">
            <w:pPr>
              <w:pStyle w:val="Body"/>
              <w:spacing w:after="0"/>
              <w:jc w:val="center"/>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250mgL</w:t>
            </w:r>
            <w:r w:rsidRPr="00822BB9">
              <w:rPr>
                <w:rFonts w:ascii="Arial" w:eastAsia="Times New Roman" w:hAnsi="Arial" w:cs="Arial"/>
                <w:kern w:val="0"/>
                <w:sz w:val="18"/>
                <w:szCs w:val="18"/>
                <w:vertAlign w:val="superscript"/>
                <w14:ligatures w14:val="none"/>
              </w:rPr>
              <w:t>-1</w:t>
            </w:r>
          </w:p>
        </w:tc>
        <w:tc>
          <w:tcPr>
            <w:tcW w:w="1134" w:type="dxa"/>
          </w:tcPr>
          <w:p w14:paraId="2828CEF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099B865"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12.8 ± 1.2a</w:t>
            </w:r>
          </w:p>
          <w:p w14:paraId="6443D787"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6" w:type="dxa"/>
          </w:tcPr>
          <w:p w14:paraId="19B031E8"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7775F4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12 ± 1ab</w:t>
            </w:r>
          </w:p>
        </w:tc>
        <w:tc>
          <w:tcPr>
            <w:tcW w:w="1701" w:type="dxa"/>
          </w:tcPr>
          <w:p w14:paraId="598F2A5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459307D"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34.2 ± 1.8a</w:t>
            </w:r>
          </w:p>
          <w:p w14:paraId="4CA60B2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5" w:type="dxa"/>
          </w:tcPr>
          <w:p w14:paraId="19074FB5"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4889997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8.4 ± 0.6a</w:t>
            </w:r>
          </w:p>
        </w:tc>
        <w:tc>
          <w:tcPr>
            <w:tcW w:w="1418" w:type="dxa"/>
          </w:tcPr>
          <w:p w14:paraId="61D215D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539DCE1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5.8 ± 0.6a</w:t>
            </w:r>
          </w:p>
          <w:p w14:paraId="67F876DD"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c>
          <w:tcPr>
            <w:tcW w:w="1276" w:type="dxa"/>
          </w:tcPr>
          <w:p w14:paraId="41F4D7B3"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903B894"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4 ± 0.7a</w:t>
            </w:r>
          </w:p>
        </w:tc>
        <w:tc>
          <w:tcPr>
            <w:tcW w:w="1134" w:type="dxa"/>
          </w:tcPr>
          <w:p w14:paraId="4ECCFBB4"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8E0FE7C"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3.2 ± 0.7a</w:t>
            </w:r>
          </w:p>
        </w:tc>
        <w:tc>
          <w:tcPr>
            <w:tcW w:w="1134" w:type="dxa"/>
          </w:tcPr>
          <w:p w14:paraId="5A8FA992"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54692DAA"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12.6 ±1.2a</w:t>
            </w:r>
          </w:p>
        </w:tc>
        <w:tc>
          <w:tcPr>
            <w:tcW w:w="1134" w:type="dxa"/>
          </w:tcPr>
          <w:p w14:paraId="6209B49D"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2962CD6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2.2 ± 0.2a</w:t>
            </w:r>
          </w:p>
        </w:tc>
        <w:tc>
          <w:tcPr>
            <w:tcW w:w="1417" w:type="dxa"/>
          </w:tcPr>
          <w:p w14:paraId="4E6F484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E35A849"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13.8 ± 1.8a</w:t>
            </w:r>
          </w:p>
        </w:tc>
      </w:tr>
      <w:tr w:rsidR="0086307A" w:rsidRPr="00822BB9" w14:paraId="78CDDEF5" w14:textId="77777777" w:rsidTr="00822BB9">
        <w:trPr>
          <w:trHeight w:val="984"/>
          <w:jc w:val="center"/>
        </w:trPr>
        <w:tc>
          <w:tcPr>
            <w:cnfStyle w:val="001000000000" w:firstRow="0" w:lastRow="0" w:firstColumn="1" w:lastColumn="0" w:oddVBand="0" w:evenVBand="0" w:oddHBand="0" w:evenHBand="0" w:firstRowFirstColumn="0" w:firstRowLastColumn="0" w:lastRowFirstColumn="0" w:lastRowLastColumn="0"/>
            <w:tcW w:w="1413" w:type="dxa"/>
          </w:tcPr>
          <w:p w14:paraId="26CD11A4" w14:textId="77777777" w:rsidR="00F343C6" w:rsidRPr="00822BB9" w:rsidRDefault="00F343C6" w:rsidP="00822BB9">
            <w:pPr>
              <w:pStyle w:val="Body"/>
              <w:spacing w:after="0"/>
              <w:jc w:val="center"/>
              <w:rPr>
                <w:rFonts w:ascii="Arial" w:eastAsia="Times New Roman" w:hAnsi="Arial" w:cs="Arial"/>
                <w:b w:val="0"/>
                <w:kern w:val="0"/>
                <w:sz w:val="18"/>
                <w:szCs w:val="18"/>
                <w14:ligatures w14:val="none"/>
              </w:rPr>
            </w:pPr>
          </w:p>
          <w:p w14:paraId="242A83B7" w14:textId="1B991706" w:rsidR="00822BB9" w:rsidRPr="00822BB9" w:rsidRDefault="00F343C6" w:rsidP="00822BB9">
            <w:pPr>
              <w:pStyle w:val="Body"/>
              <w:spacing w:after="0"/>
              <w:jc w:val="center"/>
              <w:rPr>
                <w:rFonts w:ascii="Arial" w:eastAsia="Times New Roman" w:hAnsi="Arial" w:cs="Arial"/>
                <w:b w:val="0"/>
                <w:bCs w:val="0"/>
                <w:kern w:val="0"/>
                <w:sz w:val="18"/>
                <w:szCs w:val="18"/>
                <w14:ligatures w14:val="none"/>
              </w:rPr>
            </w:pPr>
            <w:r w:rsidRPr="00822BB9">
              <w:rPr>
                <w:rFonts w:ascii="Arial" w:eastAsia="Times New Roman" w:hAnsi="Arial" w:cs="Arial"/>
                <w:kern w:val="0"/>
                <w:sz w:val="18"/>
                <w:szCs w:val="18"/>
                <w14:ligatures w14:val="none"/>
              </w:rPr>
              <w:t>500mgL</w:t>
            </w:r>
            <w:r w:rsidRPr="00822BB9">
              <w:rPr>
                <w:rFonts w:ascii="Arial" w:eastAsia="Times New Roman" w:hAnsi="Arial" w:cs="Arial"/>
                <w:kern w:val="0"/>
                <w:sz w:val="18"/>
                <w:szCs w:val="18"/>
                <w:vertAlign w:val="superscript"/>
                <w14:ligatures w14:val="none"/>
              </w:rPr>
              <w:t>-1</w:t>
            </w:r>
          </w:p>
        </w:tc>
        <w:tc>
          <w:tcPr>
            <w:tcW w:w="1134" w:type="dxa"/>
          </w:tcPr>
          <w:p w14:paraId="0E0BD3B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76C67503" w14:textId="5C79896C"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15.2 ± 1.6ab</w:t>
            </w:r>
          </w:p>
        </w:tc>
        <w:tc>
          <w:tcPr>
            <w:tcW w:w="1276" w:type="dxa"/>
          </w:tcPr>
          <w:p w14:paraId="3683EA41"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10E72D49" w14:textId="25FFAB40"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 xml:space="preserve">18  ± 0.5 </w:t>
            </w:r>
            <w:proofErr w:type="spellStart"/>
            <w:r w:rsidRPr="00822BB9">
              <w:rPr>
                <w:rFonts w:ascii="Arial" w:eastAsia="Times New Roman" w:hAnsi="Arial" w:cs="Arial"/>
                <w:kern w:val="0"/>
                <w:sz w:val="18"/>
                <w:szCs w:val="18"/>
                <w14:ligatures w14:val="none"/>
              </w:rPr>
              <w:t>abc</w:t>
            </w:r>
            <w:proofErr w:type="spellEnd"/>
          </w:p>
        </w:tc>
        <w:tc>
          <w:tcPr>
            <w:tcW w:w="1701" w:type="dxa"/>
          </w:tcPr>
          <w:p w14:paraId="0FC107CA"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74000457" w14:textId="2C3BB995"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41.2 ± 2.4abc</w:t>
            </w:r>
          </w:p>
        </w:tc>
        <w:tc>
          <w:tcPr>
            <w:tcW w:w="1275" w:type="dxa"/>
          </w:tcPr>
          <w:p w14:paraId="3FB381D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08F25D5F" w14:textId="12E654B0"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10.4 ± 0.5ab</w:t>
            </w:r>
          </w:p>
        </w:tc>
        <w:tc>
          <w:tcPr>
            <w:tcW w:w="1418" w:type="dxa"/>
          </w:tcPr>
          <w:p w14:paraId="54F4BD7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04D065F6" w14:textId="1863FD22"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6.6 ± 0.8a</w:t>
            </w:r>
          </w:p>
        </w:tc>
        <w:tc>
          <w:tcPr>
            <w:tcW w:w="1276" w:type="dxa"/>
          </w:tcPr>
          <w:p w14:paraId="49E44CB5"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565F9A63" w14:textId="6B9F7410"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14.8 ± 1.1ac</w:t>
            </w:r>
          </w:p>
        </w:tc>
        <w:tc>
          <w:tcPr>
            <w:tcW w:w="1134" w:type="dxa"/>
          </w:tcPr>
          <w:p w14:paraId="2CB2B19E"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5E54B238" w14:textId="3F95BD0F"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6.8 ± 1ab</w:t>
            </w:r>
          </w:p>
        </w:tc>
        <w:tc>
          <w:tcPr>
            <w:tcW w:w="1134" w:type="dxa"/>
          </w:tcPr>
          <w:p w14:paraId="7245F48B"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00C36F69" w14:textId="779C4848"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14.8 ± 1ab</w:t>
            </w:r>
          </w:p>
        </w:tc>
        <w:tc>
          <w:tcPr>
            <w:tcW w:w="1134" w:type="dxa"/>
          </w:tcPr>
          <w:p w14:paraId="6495CCCF"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1DF0DD8" w14:textId="3ED539DA"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7.4 ± 0.6ab</w:t>
            </w:r>
          </w:p>
        </w:tc>
        <w:tc>
          <w:tcPr>
            <w:tcW w:w="1417" w:type="dxa"/>
          </w:tcPr>
          <w:p w14:paraId="45230B4F" w14:textId="77777777" w:rsidR="00F343C6"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p w14:paraId="6C75A87E" w14:textId="7C7126E3" w:rsidR="00822BB9" w:rsidRPr="00822BB9" w:rsidRDefault="00F343C6" w:rsidP="00822BB9">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822BB9">
              <w:rPr>
                <w:rFonts w:ascii="Arial" w:eastAsia="Times New Roman" w:hAnsi="Arial" w:cs="Arial"/>
                <w:kern w:val="0"/>
                <w:sz w:val="18"/>
                <w:szCs w:val="18"/>
                <w14:ligatures w14:val="none"/>
              </w:rPr>
              <w:t>19.8</w:t>
            </w:r>
            <w:r w:rsidR="006B2F19" w:rsidRPr="00822BB9">
              <w:rPr>
                <w:rFonts w:ascii="Arial" w:eastAsia="Times New Roman" w:hAnsi="Arial" w:cs="Arial"/>
                <w:kern w:val="0"/>
                <w:sz w:val="18"/>
                <w:szCs w:val="18"/>
                <w14:ligatures w14:val="none"/>
              </w:rPr>
              <w:t xml:space="preserve"> </w:t>
            </w:r>
            <w:r w:rsidRPr="00822BB9">
              <w:rPr>
                <w:rFonts w:ascii="Arial" w:eastAsia="Times New Roman" w:hAnsi="Arial" w:cs="Arial"/>
                <w:kern w:val="0"/>
                <w:sz w:val="18"/>
                <w:szCs w:val="18"/>
                <w14:ligatures w14:val="none"/>
              </w:rPr>
              <w:t>± 2.4ab</w:t>
            </w:r>
          </w:p>
        </w:tc>
      </w:tr>
    </w:tbl>
    <w:p w14:paraId="68F3A474" w14:textId="77777777" w:rsidR="00822BB9" w:rsidRDefault="00822BB9" w:rsidP="00F343C6">
      <w:pPr>
        <w:pStyle w:val="Body"/>
        <w:rPr>
          <w:rFonts w:ascii="Arial" w:hAnsi="Arial" w:cs="Arial"/>
          <w:b/>
          <w:bCs/>
          <w:lang w:val="en-IN"/>
        </w:rPr>
      </w:pPr>
    </w:p>
    <w:p w14:paraId="0CEF6082" w14:textId="4DB9B8CE" w:rsidR="00F343C6" w:rsidRPr="00F343C6" w:rsidRDefault="00F343C6" w:rsidP="00F343C6">
      <w:pPr>
        <w:pStyle w:val="Body"/>
        <w:rPr>
          <w:rFonts w:ascii="Arial" w:hAnsi="Arial" w:cs="Arial"/>
          <w:b/>
          <w:bCs/>
          <w:lang w:val="en-IN"/>
        </w:rPr>
      </w:pPr>
      <w:r w:rsidRPr="00F343C6">
        <w:rPr>
          <w:rFonts w:ascii="Arial" w:hAnsi="Arial" w:cs="Arial"/>
          <w:b/>
          <w:bCs/>
          <w:lang w:val="en-IN"/>
        </w:rPr>
        <w:t>Means with different letters show significant differences according to  t-test  (</w:t>
      </w:r>
      <w:r w:rsidRPr="00F343C6">
        <w:rPr>
          <w:rFonts w:ascii="Arial" w:hAnsi="Arial" w:cs="Arial"/>
          <w:b/>
          <w:bCs/>
          <w:i/>
          <w:iCs/>
          <w:lang w:val="en-IN"/>
        </w:rPr>
        <w:t xml:space="preserve">P </w:t>
      </w:r>
      <w:r w:rsidRPr="00F343C6">
        <w:rPr>
          <w:rFonts w:ascii="Arial" w:hAnsi="Arial" w:cs="Arial"/>
          <w:b/>
          <w:bCs/>
          <w:lang w:val="en-IN"/>
        </w:rPr>
        <w:t>≤ 0.05) .</w:t>
      </w:r>
    </w:p>
    <w:p w14:paraId="5656064F" w14:textId="77777777" w:rsidR="00F343C6" w:rsidRPr="00F343C6" w:rsidRDefault="00F343C6" w:rsidP="00F343C6">
      <w:pPr>
        <w:pStyle w:val="Body"/>
        <w:rPr>
          <w:rFonts w:ascii="Arial" w:hAnsi="Arial" w:cs="Arial"/>
          <w:b/>
          <w:bCs/>
          <w:lang w:val="en-IN"/>
        </w:rPr>
        <w:sectPr w:rsidR="00F343C6" w:rsidRPr="00F343C6" w:rsidSect="00F96618">
          <w:pgSz w:w="16838" w:h="11906" w:orient="landscape"/>
          <w:pgMar w:top="1440" w:right="1440" w:bottom="1440" w:left="1440" w:header="708" w:footer="708" w:gutter="0"/>
          <w:cols w:space="708"/>
          <w:docGrid w:linePitch="360"/>
        </w:sectPr>
      </w:pPr>
    </w:p>
    <w:tbl>
      <w:tblPr>
        <w:tblStyle w:val="GridTable1Light"/>
        <w:tblW w:w="0" w:type="auto"/>
        <w:tblLook w:val="04A0" w:firstRow="1" w:lastRow="0" w:firstColumn="1" w:lastColumn="0" w:noHBand="0" w:noVBand="1"/>
      </w:tblPr>
      <w:tblGrid>
        <w:gridCol w:w="2758"/>
        <w:gridCol w:w="2715"/>
        <w:gridCol w:w="2725"/>
      </w:tblGrid>
      <w:tr w:rsidR="00F343C6" w:rsidRPr="00F343C6" w14:paraId="409CA686"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3CEF8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lastRenderedPageBreak/>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5BEA87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Micronuclei Index (%)</w:t>
            </w:r>
          </w:p>
          <w:p w14:paraId="5E510E68"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3006" w:type="dxa"/>
          </w:tcPr>
          <w:p w14:paraId="66A2825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Rate of Abnormality (%)</w:t>
            </w:r>
          </w:p>
          <w:p w14:paraId="036E7C21"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p>
        </w:tc>
      </w:tr>
      <w:tr w:rsidR="00F343C6" w:rsidRPr="00F343C6" w14:paraId="364D3DFA"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AD46C8"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16815A4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3006" w:type="dxa"/>
          </w:tcPr>
          <w:p w14:paraId="7B70ED51"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w:t>
            </w:r>
          </w:p>
        </w:tc>
      </w:tr>
      <w:tr w:rsidR="00F343C6" w:rsidRPr="00F343C6" w14:paraId="000309FD"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C4F7BE8"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2051563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0.96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6B644048"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8.6</w:t>
            </w:r>
          </w:p>
        </w:tc>
      </w:tr>
      <w:tr w:rsidR="00F343C6" w:rsidRPr="00F343C6" w14:paraId="5D018B8B"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FA2DDE5"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76274965"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1.2 </w:t>
            </w:r>
            <m:oMath>
              <m:r>
                <w:rPr>
                  <w:rFonts w:ascii="Cambria Math" w:hAnsi="Cambria Math" w:cs="Arial"/>
                </w:rPr>
                <m:t>±</m:t>
              </m:r>
            </m:oMath>
            <w:r w:rsidRPr="00F343C6">
              <w:rPr>
                <w:rFonts w:ascii="Arial" w:eastAsia="Times New Roman" w:hAnsi="Arial" w:cs="Arial"/>
                <w:kern w:val="0"/>
                <w:sz w:val="20"/>
                <w:szCs w:val="20"/>
                <w14:ligatures w14:val="none"/>
              </w:rPr>
              <w:t xml:space="preserve"> 0.5</w:t>
            </w:r>
          </w:p>
        </w:tc>
        <w:tc>
          <w:tcPr>
            <w:tcW w:w="3006" w:type="dxa"/>
          </w:tcPr>
          <w:p w14:paraId="5C379FFD"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10.9</w:t>
            </w:r>
          </w:p>
        </w:tc>
      </w:tr>
      <w:tr w:rsidR="00F343C6" w:rsidRPr="00F343C6" w14:paraId="0C006911"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1F533D26"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575D92A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1.8 </w:t>
            </w:r>
            <m:oMath>
              <m:r>
                <w:rPr>
                  <w:rFonts w:ascii="Cambria Math" w:hAnsi="Cambria Math" w:cs="Arial"/>
                </w:rPr>
                <m:t>±</m:t>
              </m:r>
            </m:oMath>
            <w:r w:rsidRPr="00F343C6">
              <w:rPr>
                <w:rFonts w:ascii="Arial" w:eastAsia="Times New Roman" w:hAnsi="Arial" w:cs="Arial"/>
                <w:kern w:val="0"/>
                <w:sz w:val="20"/>
                <w:szCs w:val="20"/>
                <w14:ligatures w14:val="none"/>
              </w:rPr>
              <w:t xml:space="preserve"> 0.72</w:t>
            </w:r>
          </w:p>
        </w:tc>
        <w:tc>
          <w:tcPr>
            <w:tcW w:w="3006" w:type="dxa"/>
          </w:tcPr>
          <w:p w14:paraId="3BCEEA54"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15.5</w:t>
            </w:r>
          </w:p>
        </w:tc>
      </w:tr>
    </w:tbl>
    <w:p w14:paraId="06CB6EC5" w14:textId="77777777" w:rsidR="00F343C6" w:rsidRPr="00F343C6" w:rsidRDefault="00F343C6" w:rsidP="00F343C6">
      <w:pPr>
        <w:pStyle w:val="Body"/>
        <w:rPr>
          <w:rFonts w:ascii="Arial" w:hAnsi="Arial" w:cs="Arial"/>
          <w:b/>
          <w:bCs/>
        </w:rPr>
      </w:pPr>
      <w:bookmarkStart w:id="0" w:name="_GoBack"/>
      <w:r w:rsidRPr="00F343C6">
        <w:rPr>
          <w:rFonts w:ascii="Arial" w:hAnsi="Arial" w:cs="Arial"/>
          <w:b/>
          <w:bCs/>
        </w:rPr>
        <w:t>Table</w:t>
      </w:r>
      <w:bookmarkEnd w:id="0"/>
      <w:r w:rsidRPr="00F343C6">
        <w:rPr>
          <w:rFonts w:ascii="Arial" w:hAnsi="Arial" w:cs="Arial"/>
          <w:b/>
          <w:bCs/>
        </w:rPr>
        <w:t xml:space="preserve"> 4: Micronuclei index (%) &amp; Relative Rate of Abnormality (%) of Allium cepa</w:t>
      </w:r>
    </w:p>
    <w:p w14:paraId="45653AE1" w14:textId="77777777" w:rsidR="00790ADA" w:rsidRPr="00FB3A86" w:rsidRDefault="00790ADA" w:rsidP="00441B6F">
      <w:pPr>
        <w:pStyle w:val="Body"/>
        <w:spacing w:after="0"/>
        <w:rPr>
          <w:rFonts w:ascii="Arial" w:hAnsi="Arial" w:cs="Arial"/>
        </w:rPr>
      </w:pPr>
    </w:p>
    <w:p w14:paraId="5790B63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ABF63C" w14:textId="77777777" w:rsidR="00790ADA" w:rsidRPr="00FB3A86" w:rsidRDefault="00790ADA" w:rsidP="00441B6F">
      <w:pPr>
        <w:pStyle w:val="ConcHead"/>
        <w:spacing w:after="0"/>
        <w:jc w:val="both"/>
        <w:rPr>
          <w:rFonts w:ascii="Arial" w:hAnsi="Arial" w:cs="Arial"/>
        </w:rPr>
      </w:pPr>
    </w:p>
    <w:p w14:paraId="11123EDB" w14:textId="02BB5208" w:rsidR="00790ADA" w:rsidRPr="00FB3A86" w:rsidRDefault="00D017BC" w:rsidP="00D017BC">
      <w:pPr>
        <w:pStyle w:val="Body"/>
        <w:rPr>
          <w:rFonts w:ascii="Arial" w:hAnsi="Arial" w:cs="Arial"/>
        </w:rPr>
      </w:pPr>
      <w:r w:rsidRPr="00D017BC">
        <w:rPr>
          <w:rFonts w:ascii="Arial" w:hAnsi="Arial" w:cs="Arial"/>
        </w:rPr>
        <w:t xml:space="preserve">The present study aimed to evaluate the cytotoxic effects of Paracetamol using </w:t>
      </w:r>
      <w:r w:rsidRPr="00D017BC">
        <w:rPr>
          <w:rFonts w:ascii="Arial" w:hAnsi="Arial" w:cs="Arial"/>
          <w:i/>
          <w:iCs/>
        </w:rPr>
        <w:t>A. cepa</w:t>
      </w:r>
      <w:r w:rsidRPr="00D017BC">
        <w:rPr>
          <w:rFonts w:ascii="Arial" w:hAnsi="Arial" w:cs="Arial"/>
        </w:rPr>
        <w:t>. Observations included inhibited root growth, abnormalities in the mitotic process, and a concerning micronucleus index across all tested concentrations. These results highlight the potential for constant exposure to Paracetamol, particularly at higher concentrations, to cause irreversible ecological damage by compromising genome integrity. However, despite testing a wide range of Paracetamol concentrations, it remains essential to analytically validate these concentrations and characterize the active metabolites of the pharmaceutical compound.</w:t>
      </w:r>
    </w:p>
    <w:p w14:paraId="1831894A" w14:textId="77777777" w:rsidR="008C185E" w:rsidRDefault="008C185E" w:rsidP="00F66C44">
      <w:pPr>
        <w:pStyle w:val="ReferHead"/>
        <w:spacing w:after="0"/>
        <w:jc w:val="both"/>
        <w:rPr>
          <w:rFonts w:ascii="Arial" w:hAnsi="Arial" w:cs="Arial"/>
          <w:b w:val="0"/>
          <w:bCs/>
          <w:caps w:val="0"/>
          <w:lang w:val="en-IN"/>
        </w:rPr>
      </w:pPr>
    </w:p>
    <w:p w14:paraId="0B82E5B0" w14:textId="77777777" w:rsidR="008C185E" w:rsidRPr="00F66C44" w:rsidRDefault="008C185E" w:rsidP="00F66C44">
      <w:pPr>
        <w:pStyle w:val="ReferHead"/>
        <w:spacing w:after="0"/>
        <w:jc w:val="both"/>
        <w:rPr>
          <w:rFonts w:ascii="Arial" w:hAnsi="Arial" w:cs="Arial"/>
          <w:b w:val="0"/>
          <w:bCs/>
          <w:lang w:val="en-IN"/>
        </w:rPr>
      </w:pPr>
    </w:p>
    <w:p w14:paraId="09884EF0" w14:textId="22270B14" w:rsidR="002B685A" w:rsidRDefault="002B685A" w:rsidP="00441B6F">
      <w:pPr>
        <w:pStyle w:val="ReferHead"/>
        <w:spacing w:after="0"/>
        <w:jc w:val="both"/>
        <w:rPr>
          <w:rFonts w:ascii="Arial" w:hAnsi="Arial" w:cs="Arial"/>
          <w:b w:val="0"/>
          <w:caps w:val="0"/>
          <w:sz w:val="20"/>
        </w:rPr>
      </w:pPr>
    </w:p>
    <w:p w14:paraId="1DDBAE84" w14:textId="1A7BEB25" w:rsidR="0085314E" w:rsidRPr="00822BB9" w:rsidRDefault="00822BB9" w:rsidP="0085314E">
      <w:pPr>
        <w:rPr>
          <w:b/>
          <w:bCs/>
          <w:highlight w:val="yellow"/>
        </w:rPr>
      </w:pPr>
      <w:r w:rsidRPr="00822BB9">
        <w:rPr>
          <w:b/>
          <w:bCs/>
        </w:rPr>
        <w:t xml:space="preserve">DISCLAIMER </w:t>
      </w:r>
      <w:r w:rsidR="0085314E" w:rsidRPr="00822BB9">
        <w:rPr>
          <w:b/>
          <w:bCs/>
        </w:rPr>
        <w:t>(Artificial intelligence)</w:t>
      </w:r>
    </w:p>
    <w:p w14:paraId="2AA49804" w14:textId="77777777" w:rsidR="0085314E" w:rsidRPr="00822BB9" w:rsidRDefault="0085314E" w:rsidP="0085314E"/>
    <w:p w14:paraId="07689844" w14:textId="0661DB7C" w:rsidR="0085314E" w:rsidRPr="00822BB9" w:rsidRDefault="0085314E" w:rsidP="00090AC7">
      <w:pPr>
        <w:jc w:val="both"/>
      </w:pPr>
      <w:r w:rsidRPr="00822BB9">
        <w:t xml:space="preserve">Author(s) hereby </w:t>
      </w:r>
      <w:r w:rsidR="00822BB9" w:rsidRPr="00822BB9">
        <w:t>declares</w:t>
      </w:r>
      <w:r w:rsidRPr="00822BB9">
        <w:t xml:space="preserve"> that </w:t>
      </w:r>
      <w:r w:rsidR="00090AC7">
        <w:t>no</w:t>
      </w:r>
      <w:r w:rsidRPr="00822BB9">
        <w:t xml:space="preserve"> generative AI technologies such as Large Language Models (ChatGPT, COPILOT, etc.) and text-to-image generators have been used during the writing or editing of this manuscript. </w:t>
      </w:r>
    </w:p>
    <w:p w14:paraId="52A60EC4" w14:textId="77777777" w:rsidR="0085314E" w:rsidRPr="00822BB9" w:rsidRDefault="0085314E" w:rsidP="0085314E"/>
    <w:p w14:paraId="4EE0B710" w14:textId="77777777" w:rsidR="0085314E" w:rsidRDefault="0085314E" w:rsidP="00441B6F">
      <w:pPr>
        <w:pStyle w:val="ReferHead"/>
        <w:spacing w:after="0"/>
        <w:jc w:val="both"/>
        <w:rPr>
          <w:rFonts w:ascii="Arial" w:hAnsi="Arial" w:cs="Arial"/>
          <w:b w:val="0"/>
          <w:caps w:val="0"/>
          <w:sz w:val="20"/>
        </w:rPr>
      </w:pPr>
    </w:p>
    <w:p w14:paraId="4D48FD97" w14:textId="77777777" w:rsidR="005C784C" w:rsidRDefault="005C784C" w:rsidP="00441B6F">
      <w:pPr>
        <w:pStyle w:val="ReferHead"/>
        <w:spacing w:after="0"/>
        <w:jc w:val="both"/>
        <w:rPr>
          <w:rFonts w:ascii="Arial" w:hAnsi="Arial" w:cs="Arial"/>
          <w:b w:val="0"/>
          <w:caps w:val="0"/>
          <w:sz w:val="20"/>
        </w:rPr>
      </w:pPr>
    </w:p>
    <w:p w14:paraId="043570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329ED6" w14:textId="77777777" w:rsidR="00790ADA" w:rsidRPr="00FB3A86" w:rsidRDefault="00790ADA" w:rsidP="00441B6F">
      <w:pPr>
        <w:pStyle w:val="ReferHead"/>
        <w:spacing w:after="0"/>
        <w:jc w:val="both"/>
        <w:rPr>
          <w:rFonts w:ascii="Arial" w:hAnsi="Arial" w:cs="Arial"/>
        </w:rPr>
      </w:pPr>
    </w:p>
    <w:p w14:paraId="5E04369B" w14:textId="77777777" w:rsidR="00534585" w:rsidRDefault="00534585" w:rsidP="00D017BC">
      <w:pPr>
        <w:pStyle w:val="Body"/>
      </w:pPr>
      <w:r w:rsidRPr="00534585">
        <w:t>Abraham, P. (2005). Oxidative stress in paracetamol-induced pathogenesis:(I) Renal damage.</w:t>
      </w:r>
    </w:p>
    <w:p w14:paraId="62AFC15B" w14:textId="77777777" w:rsidR="00534585" w:rsidRDefault="00534585" w:rsidP="00D017BC">
      <w:pPr>
        <w:pStyle w:val="Body"/>
      </w:pPr>
      <w:r w:rsidRPr="00534585">
        <w:t>Aksoy, Ö. (2017). Detection of environmental mutagens through plant bioassays. </w:t>
      </w:r>
      <w:r w:rsidRPr="00534585">
        <w:rPr>
          <w:i/>
          <w:iCs/>
        </w:rPr>
        <w:t xml:space="preserve">Plant Ecology-Traditional Approaches to Recent Trends. </w:t>
      </w:r>
      <w:proofErr w:type="spellStart"/>
      <w:r w:rsidRPr="00534585">
        <w:rPr>
          <w:i/>
          <w:iCs/>
        </w:rPr>
        <w:t>InTech</w:t>
      </w:r>
      <w:proofErr w:type="spellEnd"/>
      <w:r w:rsidRPr="00534585">
        <w:rPr>
          <w:i/>
          <w:iCs/>
        </w:rPr>
        <w:t xml:space="preserve"> Open</w:t>
      </w:r>
      <w:r w:rsidRPr="00534585">
        <w:t>, 9-23.</w:t>
      </w:r>
    </w:p>
    <w:p w14:paraId="0B99B33A" w14:textId="77777777" w:rsidR="00D017BC" w:rsidRPr="00D017BC" w:rsidRDefault="00534585" w:rsidP="00D017BC">
      <w:pPr>
        <w:pStyle w:val="Body"/>
        <w:rPr>
          <w:lang w:val="en-IN"/>
        </w:rPr>
      </w:pPr>
      <w:r w:rsidRPr="00534585">
        <w:t>An, J., Zhou, Q., Sun, F., &amp; Zhang, L. (2009). Ecotoxicological effects of paracetamol on seed germination and seedling development of wheat (Triticum aestivum L.). </w:t>
      </w:r>
      <w:r w:rsidRPr="00534585">
        <w:rPr>
          <w:i/>
          <w:iCs/>
        </w:rPr>
        <w:t>Journal of Hazardous materials</w:t>
      </w:r>
      <w:r w:rsidRPr="00534585">
        <w:t>, </w:t>
      </w:r>
      <w:r w:rsidRPr="00534585">
        <w:rPr>
          <w:i/>
          <w:iCs/>
        </w:rPr>
        <w:t>169</w:t>
      </w:r>
      <w:r w:rsidRPr="00534585">
        <w:t>(1-3), 751-757.</w:t>
      </w:r>
      <w:hyperlink r:id="rId22" w:history="1">
        <w:r w:rsidR="00D017BC" w:rsidRPr="00D017BC">
          <w:rPr>
            <w:rStyle w:val="Hyperlink"/>
            <w:lang w:val="en-IN"/>
          </w:rPr>
          <w:t>https://doi.org/10.1016/j.jhazmat.2009.04.011</w:t>
        </w:r>
      </w:hyperlink>
      <w:r w:rsidR="00D017BC" w:rsidRPr="00D017BC">
        <w:rPr>
          <w:lang w:val="en-IN"/>
        </w:rPr>
        <w:t xml:space="preserve"> </w:t>
      </w:r>
    </w:p>
    <w:p w14:paraId="227D7284" w14:textId="77777777" w:rsidR="00D017BC" w:rsidRDefault="00534585" w:rsidP="00D017BC">
      <w:pPr>
        <w:pStyle w:val="Body"/>
        <w:rPr>
          <w:lang w:val="en-IN"/>
        </w:rPr>
      </w:pPr>
      <w:proofErr w:type="spellStart"/>
      <w:r w:rsidRPr="00534585">
        <w:t>Azzazy</w:t>
      </w:r>
      <w:proofErr w:type="spellEnd"/>
      <w:r w:rsidRPr="00534585">
        <w:t xml:space="preserve">, M. F. (2020). Plant bioindicators of pollution in Sadat city, Western </w:t>
      </w:r>
      <w:proofErr w:type="spellStart"/>
      <w:r w:rsidRPr="00534585">
        <w:t>nile</w:t>
      </w:r>
      <w:proofErr w:type="spellEnd"/>
      <w:r w:rsidRPr="00534585">
        <w:t xml:space="preserve"> Delta, Egypt. </w:t>
      </w:r>
      <w:proofErr w:type="spellStart"/>
      <w:r w:rsidRPr="00534585">
        <w:rPr>
          <w:i/>
          <w:iCs/>
        </w:rPr>
        <w:t>PLoS</w:t>
      </w:r>
      <w:proofErr w:type="spellEnd"/>
      <w:r w:rsidRPr="00534585">
        <w:rPr>
          <w:i/>
          <w:iCs/>
        </w:rPr>
        <w:t xml:space="preserve"> One</w:t>
      </w:r>
      <w:r w:rsidRPr="00534585">
        <w:t>, </w:t>
      </w:r>
      <w:r w:rsidRPr="00534585">
        <w:rPr>
          <w:i/>
          <w:iCs/>
        </w:rPr>
        <w:t>15</w:t>
      </w:r>
      <w:r w:rsidRPr="00534585">
        <w:t>(3), e0226315.</w:t>
      </w:r>
      <w:r w:rsidR="00D017BC" w:rsidRPr="00D017BC">
        <w:rPr>
          <w:lang w:val="en-IN"/>
        </w:rPr>
        <w:t xml:space="preserve"> </w:t>
      </w:r>
      <w:hyperlink r:id="rId23" w:history="1">
        <w:r w:rsidRPr="00D017BC">
          <w:rPr>
            <w:rStyle w:val="Hyperlink"/>
            <w:lang w:val="en-IN"/>
          </w:rPr>
          <w:t>https://doi.org/10.1371/journal.pone.022631</w:t>
        </w:r>
        <w:r w:rsidRPr="006E0228">
          <w:rPr>
            <w:rStyle w:val="Hyperlink"/>
            <w:lang w:val="en-IN"/>
          </w:rPr>
          <w:t>5</w:t>
        </w:r>
      </w:hyperlink>
    </w:p>
    <w:p w14:paraId="419EFF81" w14:textId="77777777" w:rsidR="00D017BC" w:rsidRPr="00D017BC" w:rsidRDefault="00534585" w:rsidP="00D017BC">
      <w:pPr>
        <w:pStyle w:val="Body"/>
        <w:rPr>
          <w:lang w:val="en-IN"/>
        </w:rPr>
      </w:pPr>
      <w:r w:rsidRPr="00534585">
        <w:lastRenderedPageBreak/>
        <w:t xml:space="preserve">Bartholomé, R., Salden, B., Vrolijk, M. F., Troost, F. J., </w:t>
      </w:r>
      <w:proofErr w:type="spellStart"/>
      <w:r w:rsidRPr="00534585">
        <w:t>Masclee</w:t>
      </w:r>
      <w:proofErr w:type="spellEnd"/>
      <w:r w:rsidRPr="00534585">
        <w:t xml:space="preserve">, A., Bast, A., &amp; </w:t>
      </w:r>
      <w:proofErr w:type="spellStart"/>
      <w:r w:rsidRPr="00534585">
        <w:t>Haenen</w:t>
      </w:r>
      <w:proofErr w:type="spellEnd"/>
      <w:r w:rsidRPr="00534585">
        <w:t>, G. R. (2015). Paracetamol as a post prandial marker for gastric emptying, a food-drug interaction on absorption. </w:t>
      </w:r>
      <w:proofErr w:type="spellStart"/>
      <w:r w:rsidRPr="00534585">
        <w:rPr>
          <w:i/>
          <w:iCs/>
        </w:rPr>
        <w:t>PloS</w:t>
      </w:r>
      <w:proofErr w:type="spellEnd"/>
      <w:r w:rsidRPr="00534585">
        <w:rPr>
          <w:i/>
          <w:iCs/>
        </w:rPr>
        <w:t xml:space="preserve"> one</w:t>
      </w:r>
      <w:r w:rsidRPr="00534585">
        <w:t>, </w:t>
      </w:r>
      <w:r w:rsidRPr="00534585">
        <w:rPr>
          <w:i/>
          <w:iCs/>
        </w:rPr>
        <w:t>10</w:t>
      </w:r>
      <w:r w:rsidRPr="00534585">
        <w:t>(9), e0136618</w:t>
      </w:r>
      <w:r w:rsidR="00D017BC" w:rsidRPr="00D017BC">
        <w:rPr>
          <w:lang w:val="en-IN"/>
        </w:rPr>
        <w:t xml:space="preserve">. </w:t>
      </w:r>
      <w:hyperlink r:id="rId24" w:history="1">
        <w:r w:rsidR="00D017BC" w:rsidRPr="00D017BC">
          <w:rPr>
            <w:rStyle w:val="Hyperlink"/>
            <w:lang w:val="en-IN"/>
          </w:rPr>
          <w:t>https://doi.org/10.1371/journal.pone.0136618</w:t>
        </w:r>
      </w:hyperlink>
    </w:p>
    <w:p w14:paraId="0BBCD1A2" w14:textId="77777777" w:rsidR="00D017BC" w:rsidRPr="00D017BC" w:rsidRDefault="00534585" w:rsidP="00D017BC">
      <w:pPr>
        <w:pStyle w:val="Body"/>
        <w:rPr>
          <w:lang w:val="en-IN"/>
        </w:rPr>
      </w:pPr>
      <w:r w:rsidRPr="00534585">
        <w:t>Bashir, S. (2018). </w:t>
      </w:r>
      <w:r w:rsidRPr="00534585">
        <w:rPr>
          <w:i/>
          <w:iCs/>
        </w:rPr>
        <w:t>Mechanism of Paracetamol (Acetaminophen) induced Hypothermia</w:t>
      </w:r>
      <w:r w:rsidRPr="00534585">
        <w:t> (Doctoral dissertation, University of East London).</w:t>
      </w:r>
      <w:r w:rsidR="00D017BC" w:rsidRPr="00D017BC">
        <w:rPr>
          <w:lang w:val="en-IN"/>
        </w:rPr>
        <w:t xml:space="preserve"> </w:t>
      </w:r>
      <w:hyperlink r:id="rId25" w:history="1">
        <w:r w:rsidR="00D017BC" w:rsidRPr="00D017BC">
          <w:rPr>
            <w:rStyle w:val="Hyperlink"/>
            <w:lang w:val="en-IN"/>
          </w:rPr>
          <w:t>https://doi.org/10.15123/PUB.7308</w:t>
        </w:r>
      </w:hyperlink>
      <w:r w:rsidR="00D017BC" w:rsidRPr="00D017BC">
        <w:rPr>
          <w:lang w:val="en-IN"/>
        </w:rPr>
        <w:t xml:space="preserve">  </w:t>
      </w:r>
    </w:p>
    <w:p w14:paraId="65C2D831" w14:textId="77777777" w:rsidR="00D017BC" w:rsidRPr="00D017BC" w:rsidRDefault="00534585" w:rsidP="00D017BC">
      <w:pPr>
        <w:pStyle w:val="Body"/>
        <w:rPr>
          <w:lang w:val="en-IN"/>
        </w:rPr>
      </w:pPr>
      <w:r w:rsidRPr="00534585">
        <w:t>Bosker, T., Bouwman, L. J., Brun, N. R., Behrens, P., &amp; Vijver, M. G. (2019). Microplastics accumulate on pores in seed capsule and delay germination and root growth of the terrestrial vascular plant Lepidium sativum. </w:t>
      </w:r>
      <w:r w:rsidRPr="00534585">
        <w:rPr>
          <w:i/>
          <w:iCs/>
        </w:rPr>
        <w:t>Chemosphere</w:t>
      </w:r>
      <w:r w:rsidRPr="00534585">
        <w:t>, </w:t>
      </w:r>
      <w:r w:rsidRPr="00534585">
        <w:rPr>
          <w:i/>
          <w:iCs/>
        </w:rPr>
        <w:t>226</w:t>
      </w:r>
      <w:r w:rsidRPr="00534585">
        <w:t>, 774-781.</w:t>
      </w:r>
      <w:r w:rsidR="00D017BC" w:rsidRPr="00D017BC">
        <w:rPr>
          <w:lang w:val="en-IN"/>
        </w:rPr>
        <w:t xml:space="preserve"> </w:t>
      </w:r>
      <w:hyperlink r:id="rId26" w:history="1">
        <w:r w:rsidR="00D017BC" w:rsidRPr="00D017BC">
          <w:rPr>
            <w:rStyle w:val="Hyperlink"/>
            <w:lang w:val="en-IN"/>
          </w:rPr>
          <w:t>https://doi.org/10.1016/j.chemosphere.2019.03.163</w:t>
        </w:r>
      </w:hyperlink>
      <w:r w:rsidR="00D017BC" w:rsidRPr="00D017BC">
        <w:rPr>
          <w:lang w:val="en-IN"/>
        </w:rPr>
        <w:t xml:space="preserve"> </w:t>
      </w:r>
    </w:p>
    <w:p w14:paraId="7EECAD4F" w14:textId="77777777" w:rsidR="00D017BC" w:rsidRPr="00D017BC" w:rsidRDefault="00534585" w:rsidP="00D017BC">
      <w:pPr>
        <w:pStyle w:val="Body"/>
        <w:rPr>
          <w:lang w:val="en-IN"/>
        </w:rPr>
      </w:pPr>
      <w:r w:rsidRPr="00534585">
        <w:t xml:space="preserve">Chacón, F. J., </w:t>
      </w:r>
      <w:proofErr w:type="spellStart"/>
      <w:r w:rsidRPr="00534585">
        <w:t>Cayuela</w:t>
      </w:r>
      <w:proofErr w:type="spellEnd"/>
      <w:r w:rsidRPr="00534585">
        <w:t>, M. L., &amp; Sánchez-</w:t>
      </w:r>
      <w:proofErr w:type="spellStart"/>
      <w:r w:rsidRPr="00534585">
        <w:t>Monedero</w:t>
      </w:r>
      <w:proofErr w:type="spellEnd"/>
      <w:r w:rsidRPr="00534585">
        <w:t>, M. A. (2022). Paracetamol degradation pathways in soil after biochar addition. </w:t>
      </w:r>
      <w:r w:rsidRPr="00534585">
        <w:rPr>
          <w:i/>
          <w:iCs/>
        </w:rPr>
        <w:t>Environmental Pollution</w:t>
      </w:r>
      <w:r w:rsidRPr="00534585">
        <w:t>, </w:t>
      </w:r>
      <w:r w:rsidRPr="00534585">
        <w:rPr>
          <w:i/>
          <w:iCs/>
        </w:rPr>
        <w:t>307</w:t>
      </w:r>
      <w:r w:rsidRPr="00534585">
        <w:t>, 119546.</w:t>
      </w:r>
      <w:hyperlink r:id="rId27" w:history="1">
        <w:r w:rsidR="00D017BC" w:rsidRPr="00D017BC">
          <w:rPr>
            <w:rStyle w:val="Hyperlink"/>
            <w:lang w:val="en-IN"/>
          </w:rPr>
          <w:t>https://doi.org/10.1016/j.envpol.2022.119546</w:t>
        </w:r>
      </w:hyperlink>
      <w:r w:rsidR="00D017BC" w:rsidRPr="00D017BC">
        <w:rPr>
          <w:lang w:val="en-IN"/>
        </w:rPr>
        <w:t xml:space="preserve"> </w:t>
      </w:r>
    </w:p>
    <w:p w14:paraId="58C1A3E9" w14:textId="77777777" w:rsidR="00D017BC" w:rsidRPr="00D017BC" w:rsidRDefault="00534585" w:rsidP="00D017BC">
      <w:pPr>
        <w:pStyle w:val="Body"/>
        <w:rPr>
          <w:lang w:val="en-IN"/>
        </w:rPr>
      </w:pPr>
      <w:r w:rsidRPr="00534585">
        <w:t xml:space="preserve">Chidiac, A. S., Buckley, N. A., </w:t>
      </w:r>
      <w:proofErr w:type="spellStart"/>
      <w:r w:rsidRPr="00534585">
        <w:t>Noghrehchi</w:t>
      </w:r>
      <w:proofErr w:type="spellEnd"/>
      <w:r w:rsidRPr="00534585">
        <w:t>, F., &amp; Cairns, R. (2023). Paracetamol (acetaminophen) overdose and hepatotoxicity: mechanism, treatment, prevention measures, and estimates of burden of disease. </w:t>
      </w:r>
      <w:r w:rsidRPr="00534585">
        <w:rPr>
          <w:i/>
          <w:iCs/>
        </w:rPr>
        <w:t>Expert Opinion on Drug Metabolism &amp; Toxicology</w:t>
      </w:r>
      <w:r w:rsidRPr="00534585">
        <w:t>, </w:t>
      </w:r>
      <w:r w:rsidRPr="00534585">
        <w:rPr>
          <w:i/>
          <w:iCs/>
        </w:rPr>
        <w:t>19</w:t>
      </w:r>
      <w:r w:rsidRPr="00534585">
        <w:t>(5), 297-317</w:t>
      </w:r>
      <w:r w:rsidR="00D017BC" w:rsidRPr="00D017BC">
        <w:rPr>
          <w:lang w:val="en-IN"/>
        </w:rPr>
        <w:t xml:space="preserve">. </w:t>
      </w:r>
      <w:hyperlink r:id="rId28" w:history="1">
        <w:r w:rsidR="00D017BC" w:rsidRPr="00D017BC">
          <w:rPr>
            <w:rStyle w:val="Hyperlink"/>
            <w:lang w:val="en-IN"/>
          </w:rPr>
          <w:t>https://doi.org/10.1080/17425255.2023.2223959</w:t>
        </w:r>
      </w:hyperlink>
      <w:r w:rsidR="00D017BC" w:rsidRPr="00D017BC">
        <w:rPr>
          <w:lang w:val="en-IN"/>
        </w:rPr>
        <w:t xml:space="preserve"> </w:t>
      </w:r>
    </w:p>
    <w:p w14:paraId="17BA175C" w14:textId="77777777" w:rsidR="00D017BC" w:rsidRPr="00D017BC" w:rsidRDefault="00534585" w:rsidP="00D017BC">
      <w:pPr>
        <w:pStyle w:val="Body"/>
        <w:rPr>
          <w:lang w:val="en-IN"/>
        </w:rPr>
      </w:pPr>
      <w:r w:rsidRPr="00534585">
        <w:t>Datta, S., Singh, J., Singh, J., Singh, S., &amp; Singh, S. (2018). Assessment of genotoxic effects of pesticide and vermicompost treated soil with Allium cepa test. </w:t>
      </w:r>
      <w:r w:rsidRPr="00534585">
        <w:rPr>
          <w:i/>
          <w:iCs/>
        </w:rPr>
        <w:t>Sustainable Environment Research</w:t>
      </w:r>
      <w:r w:rsidRPr="00534585">
        <w:t>, </w:t>
      </w:r>
      <w:r w:rsidRPr="00534585">
        <w:rPr>
          <w:i/>
          <w:iCs/>
        </w:rPr>
        <w:t>28</w:t>
      </w:r>
      <w:r w:rsidRPr="00534585">
        <w:t>(4), 171-178.</w:t>
      </w:r>
      <w:hyperlink r:id="rId29" w:history="1">
        <w:r w:rsidR="00D017BC" w:rsidRPr="00D017BC">
          <w:rPr>
            <w:rStyle w:val="Hyperlink"/>
            <w:lang w:val="en-IN"/>
          </w:rPr>
          <w:t>https://doi.org/10.1016/j.serj.2018.01.005</w:t>
        </w:r>
      </w:hyperlink>
      <w:r w:rsidR="00D017BC" w:rsidRPr="00D017BC">
        <w:rPr>
          <w:lang w:val="en-IN"/>
        </w:rPr>
        <w:t xml:space="preserve"> </w:t>
      </w:r>
    </w:p>
    <w:p w14:paraId="591EE59C" w14:textId="77777777" w:rsidR="00D017BC" w:rsidRPr="00D017BC" w:rsidRDefault="00534585" w:rsidP="00D017BC">
      <w:pPr>
        <w:pStyle w:val="Body"/>
        <w:rPr>
          <w:u w:val="single"/>
          <w:lang w:val="en-IN"/>
        </w:rPr>
      </w:pPr>
      <w:proofErr w:type="spellStart"/>
      <w:r w:rsidRPr="00534585">
        <w:t>Faqihi</w:t>
      </w:r>
      <w:proofErr w:type="spellEnd"/>
      <w:r w:rsidRPr="00534585">
        <w:t xml:space="preserve">, A. H. M. A., &amp; Sayed, S. F. (2021). Self-medication practice with analgesics (NSAIDs and acetaminophen), and antibiotics among nursing undergraduates in University College </w:t>
      </w:r>
      <w:proofErr w:type="spellStart"/>
      <w:r w:rsidRPr="00534585">
        <w:t>Farasan</w:t>
      </w:r>
      <w:proofErr w:type="spellEnd"/>
      <w:r w:rsidRPr="00534585">
        <w:t xml:space="preserve"> Campus, </w:t>
      </w:r>
      <w:proofErr w:type="spellStart"/>
      <w:r w:rsidRPr="00534585">
        <w:t>Jazan</w:t>
      </w:r>
      <w:proofErr w:type="spellEnd"/>
      <w:r w:rsidRPr="00534585">
        <w:t xml:space="preserve"> University, KSA. In </w:t>
      </w:r>
      <w:r w:rsidRPr="00534585">
        <w:rPr>
          <w:i/>
          <w:iCs/>
        </w:rPr>
        <w:t xml:space="preserve">Annales </w:t>
      </w:r>
      <w:proofErr w:type="spellStart"/>
      <w:r w:rsidRPr="00534585">
        <w:rPr>
          <w:i/>
          <w:iCs/>
        </w:rPr>
        <w:t>pharmaceutiques</w:t>
      </w:r>
      <w:proofErr w:type="spellEnd"/>
      <w:r w:rsidRPr="00534585">
        <w:rPr>
          <w:i/>
          <w:iCs/>
        </w:rPr>
        <w:t xml:space="preserve"> </w:t>
      </w:r>
      <w:proofErr w:type="spellStart"/>
      <w:r w:rsidRPr="00534585">
        <w:rPr>
          <w:i/>
          <w:iCs/>
        </w:rPr>
        <w:t>francaises</w:t>
      </w:r>
      <w:proofErr w:type="spellEnd"/>
      <w:r w:rsidRPr="00534585">
        <w:t> (Vol. 79, No. 3, pp. 275-285). Elsevier Masson.</w:t>
      </w:r>
      <w:r w:rsidR="00D017BC" w:rsidRPr="00D017BC">
        <w:rPr>
          <w:lang w:val="en-IN"/>
        </w:rPr>
        <w:t xml:space="preserve"> </w:t>
      </w:r>
      <w:hyperlink r:id="rId30" w:history="1">
        <w:r w:rsidR="00D017BC" w:rsidRPr="00D017BC">
          <w:rPr>
            <w:rStyle w:val="Hyperlink"/>
            <w:lang w:val="en-IN"/>
          </w:rPr>
          <w:t>https://doi.org/10.1016/j.pharma.2020.10.012</w:t>
        </w:r>
      </w:hyperlink>
    </w:p>
    <w:p w14:paraId="54BA0E7E" w14:textId="2FD4F61E" w:rsidR="00C50A46" w:rsidRDefault="00C50A46" w:rsidP="00D017BC">
      <w:pPr>
        <w:pStyle w:val="Body"/>
      </w:pPr>
      <w:proofErr w:type="spellStart"/>
      <w:r w:rsidRPr="00C50A46">
        <w:t>Fiskesjö</w:t>
      </w:r>
      <w:proofErr w:type="spellEnd"/>
      <w:r w:rsidRPr="00C50A46">
        <w:t>, G. (1985). The Allium test as a standard in environmental monitoring. </w:t>
      </w:r>
      <w:proofErr w:type="spellStart"/>
      <w:r w:rsidRPr="00C50A46">
        <w:rPr>
          <w:i/>
          <w:iCs/>
        </w:rPr>
        <w:t>Hereditas</w:t>
      </w:r>
      <w:proofErr w:type="spellEnd"/>
      <w:r w:rsidRPr="00C50A46">
        <w:t>, </w:t>
      </w:r>
      <w:r w:rsidRPr="00C50A46">
        <w:rPr>
          <w:i/>
          <w:iCs/>
        </w:rPr>
        <w:t>102</w:t>
      </w:r>
      <w:r w:rsidRPr="00C50A46">
        <w:t xml:space="preserve">(1), 99-112. </w:t>
      </w:r>
      <w:hyperlink r:id="rId31" w:history="1">
        <w:r w:rsidRPr="006E0228">
          <w:rPr>
            <w:rStyle w:val="Hyperlink"/>
          </w:rPr>
          <w:t>https://doi.org/10.1111/j.1601-5223.1985.tb00471.x</w:t>
        </w:r>
      </w:hyperlink>
    </w:p>
    <w:p w14:paraId="115B6C90" w14:textId="78F7C7D4" w:rsidR="00D017BC" w:rsidRPr="00D017BC" w:rsidRDefault="00534585" w:rsidP="00D017BC">
      <w:pPr>
        <w:pStyle w:val="Body"/>
        <w:rPr>
          <w:lang w:val="en-IN"/>
        </w:rPr>
      </w:pPr>
      <w:r w:rsidRPr="00534585">
        <w:t>García-Medina, S., Galar-Martínez, M., Gómez-</w:t>
      </w:r>
      <w:proofErr w:type="spellStart"/>
      <w:r w:rsidRPr="00534585">
        <w:t>Oliván</w:t>
      </w:r>
      <w:proofErr w:type="spellEnd"/>
      <w:r w:rsidRPr="00534585">
        <w:t>, L. M., del Consuelo Torres-</w:t>
      </w:r>
      <w:proofErr w:type="spellStart"/>
      <w:r w:rsidRPr="00534585">
        <w:t>Bezaury</w:t>
      </w:r>
      <w:proofErr w:type="spellEnd"/>
      <w:r w:rsidRPr="00534585">
        <w:t>, R. M., Islas-Flores, H., &amp; Gasca-Pérez, E. (2020). The relationship between cyto-genotoxic damage and oxidative stress produced by emerging pollutants on a bioindicator organism (Allium cepa): the carbamazepine case. </w:t>
      </w:r>
      <w:r w:rsidRPr="00534585">
        <w:rPr>
          <w:i/>
          <w:iCs/>
        </w:rPr>
        <w:t>Chemosphere</w:t>
      </w:r>
      <w:r w:rsidRPr="00534585">
        <w:t>, </w:t>
      </w:r>
      <w:r w:rsidRPr="00534585">
        <w:rPr>
          <w:i/>
          <w:iCs/>
        </w:rPr>
        <w:t>253</w:t>
      </w:r>
      <w:r w:rsidRPr="00534585">
        <w:t>, 126675.</w:t>
      </w:r>
      <w:hyperlink r:id="rId32" w:history="1">
        <w:r w:rsidR="00D017BC" w:rsidRPr="00D017BC">
          <w:rPr>
            <w:rStyle w:val="Hyperlink"/>
            <w:lang w:val="en-IN"/>
          </w:rPr>
          <w:t>https://doi.org/10.1016/j.chemosphere.2020.126675</w:t>
        </w:r>
      </w:hyperlink>
      <w:r w:rsidR="00D017BC" w:rsidRPr="00D017BC">
        <w:rPr>
          <w:lang w:val="en-IN"/>
        </w:rPr>
        <w:t xml:space="preserve"> </w:t>
      </w:r>
    </w:p>
    <w:p w14:paraId="741CBEE5" w14:textId="7646B5EA" w:rsidR="00C50A46" w:rsidRDefault="00C50A46" w:rsidP="00D017BC">
      <w:pPr>
        <w:pStyle w:val="Body"/>
      </w:pPr>
      <w:r w:rsidRPr="00C50A46">
        <w:t>Grant, W. F. (1982). Chromosome aberration assays in Allium: A report of the US Environmental Protection Agency gene-tox program. </w:t>
      </w:r>
      <w:r w:rsidRPr="00C50A46">
        <w:rPr>
          <w:i/>
          <w:iCs/>
        </w:rPr>
        <w:t>Mutation Research/Reviews in genetic toxicology</w:t>
      </w:r>
      <w:r w:rsidRPr="00C50A46">
        <w:t>, </w:t>
      </w:r>
      <w:r w:rsidRPr="00C50A46">
        <w:rPr>
          <w:i/>
          <w:iCs/>
        </w:rPr>
        <w:t>99</w:t>
      </w:r>
      <w:r w:rsidRPr="00C50A46">
        <w:t>(3), 273-291.</w:t>
      </w:r>
    </w:p>
    <w:p w14:paraId="1A835939" w14:textId="0949ED2E" w:rsidR="008F2A18" w:rsidRDefault="008F2A18" w:rsidP="00D017BC">
      <w:pPr>
        <w:pStyle w:val="Body"/>
      </w:pPr>
      <w:r w:rsidRPr="008F2A18">
        <w:t>Grant, W. F. (1994). The present status of higher plant bioassays for the detection of environmental mutagens. </w:t>
      </w:r>
      <w:r w:rsidRPr="008F2A18">
        <w:rPr>
          <w:i/>
          <w:iCs/>
        </w:rPr>
        <w:t>Mutation Research/Fundamental and Molecular Mechanisms of Mutagenesis</w:t>
      </w:r>
      <w:r w:rsidRPr="008F2A18">
        <w:t>, </w:t>
      </w:r>
      <w:r w:rsidRPr="008F2A18">
        <w:rPr>
          <w:i/>
          <w:iCs/>
        </w:rPr>
        <w:t>310</w:t>
      </w:r>
      <w:r w:rsidRPr="008F2A18">
        <w:t xml:space="preserve">(2), 175-185. </w:t>
      </w:r>
      <w:hyperlink r:id="rId33" w:history="1">
        <w:r w:rsidRPr="006E0228">
          <w:rPr>
            <w:rStyle w:val="Hyperlink"/>
          </w:rPr>
          <w:t>https://doi.org/10.1016/j.mrrev.2009.06.002</w:t>
        </w:r>
      </w:hyperlink>
    </w:p>
    <w:p w14:paraId="7B609073" w14:textId="6746B51A" w:rsidR="00D017BC" w:rsidRPr="00D017BC" w:rsidRDefault="00534585" w:rsidP="00D017BC">
      <w:pPr>
        <w:pStyle w:val="Body"/>
        <w:rPr>
          <w:lang w:val="en-IN"/>
        </w:rPr>
      </w:pPr>
      <w:proofErr w:type="spellStart"/>
      <w:r w:rsidRPr="00534585">
        <w:t>Guengerich</w:t>
      </w:r>
      <w:proofErr w:type="spellEnd"/>
      <w:r w:rsidRPr="00534585">
        <w:t>, F. P. (2021). A history of the roles of cytochrome P450 enzymes in the toxicity of drugs. </w:t>
      </w:r>
      <w:r w:rsidRPr="00534585">
        <w:rPr>
          <w:i/>
          <w:iCs/>
        </w:rPr>
        <w:t>Toxicological research</w:t>
      </w:r>
      <w:r w:rsidRPr="00534585">
        <w:t>, </w:t>
      </w:r>
      <w:r w:rsidRPr="00534585">
        <w:rPr>
          <w:i/>
          <w:iCs/>
        </w:rPr>
        <w:t>37</w:t>
      </w:r>
      <w:r w:rsidRPr="00534585">
        <w:t>(1), 1-23.</w:t>
      </w:r>
      <w:hyperlink r:id="rId34" w:history="1">
        <w:r w:rsidR="00D017BC" w:rsidRPr="00D017BC">
          <w:rPr>
            <w:rStyle w:val="Hyperlink"/>
            <w:lang w:val="en-IN"/>
          </w:rPr>
          <w:t>https://doi.org/10.1007/s43188-020-00056-z</w:t>
        </w:r>
      </w:hyperlink>
    </w:p>
    <w:p w14:paraId="42927833" w14:textId="77777777" w:rsidR="00534585" w:rsidRDefault="00534585" w:rsidP="00D017BC">
      <w:pPr>
        <w:pStyle w:val="Body"/>
      </w:pPr>
      <w:r w:rsidRPr="00534585">
        <w:lastRenderedPageBreak/>
        <w:t>Hernandez-</w:t>
      </w:r>
      <w:proofErr w:type="spellStart"/>
      <w:r w:rsidRPr="00534585">
        <w:t>Juyol</w:t>
      </w:r>
      <w:proofErr w:type="spellEnd"/>
      <w:r w:rsidRPr="00534585">
        <w:t>, M., &amp; Job-Quesada, J. R. (2002). Dentistry and self-medication: a current challenge. </w:t>
      </w:r>
      <w:proofErr w:type="spellStart"/>
      <w:r w:rsidRPr="00534585">
        <w:rPr>
          <w:i/>
          <w:iCs/>
        </w:rPr>
        <w:t>Medicina</w:t>
      </w:r>
      <w:proofErr w:type="spellEnd"/>
      <w:r w:rsidRPr="00534585">
        <w:rPr>
          <w:i/>
          <w:iCs/>
        </w:rPr>
        <w:t xml:space="preserve"> oral: </w:t>
      </w:r>
      <w:proofErr w:type="spellStart"/>
      <w:r w:rsidRPr="00534585">
        <w:rPr>
          <w:i/>
          <w:iCs/>
        </w:rPr>
        <w:t>organo</w:t>
      </w:r>
      <w:proofErr w:type="spellEnd"/>
      <w:r w:rsidRPr="00534585">
        <w:rPr>
          <w:i/>
          <w:iCs/>
        </w:rPr>
        <w:t xml:space="preserve"> </w:t>
      </w:r>
      <w:proofErr w:type="spellStart"/>
      <w:r w:rsidRPr="00534585">
        <w:rPr>
          <w:i/>
          <w:iCs/>
        </w:rPr>
        <w:t>oficial</w:t>
      </w:r>
      <w:proofErr w:type="spellEnd"/>
      <w:r w:rsidRPr="00534585">
        <w:rPr>
          <w:i/>
          <w:iCs/>
        </w:rPr>
        <w:t xml:space="preserve"> de la Sociedad Espanola de Medicina Oral y de la Academia </w:t>
      </w:r>
      <w:proofErr w:type="spellStart"/>
      <w:r w:rsidRPr="00534585">
        <w:rPr>
          <w:i/>
          <w:iCs/>
        </w:rPr>
        <w:t>Iberoamericana</w:t>
      </w:r>
      <w:proofErr w:type="spellEnd"/>
      <w:r w:rsidRPr="00534585">
        <w:rPr>
          <w:i/>
          <w:iCs/>
        </w:rPr>
        <w:t xml:space="preserve"> de </w:t>
      </w:r>
      <w:proofErr w:type="spellStart"/>
      <w:r w:rsidRPr="00534585">
        <w:rPr>
          <w:i/>
          <w:iCs/>
        </w:rPr>
        <w:t>Patologia</w:t>
      </w:r>
      <w:proofErr w:type="spellEnd"/>
      <w:r w:rsidRPr="00534585">
        <w:rPr>
          <w:i/>
          <w:iCs/>
        </w:rPr>
        <w:t xml:space="preserve"> y </w:t>
      </w:r>
      <w:proofErr w:type="spellStart"/>
      <w:r w:rsidRPr="00534585">
        <w:rPr>
          <w:i/>
          <w:iCs/>
        </w:rPr>
        <w:t>Medicina</w:t>
      </w:r>
      <w:proofErr w:type="spellEnd"/>
      <w:r w:rsidRPr="00534585">
        <w:rPr>
          <w:i/>
          <w:iCs/>
        </w:rPr>
        <w:t xml:space="preserve"> </w:t>
      </w:r>
      <w:proofErr w:type="spellStart"/>
      <w:r w:rsidRPr="00534585">
        <w:rPr>
          <w:i/>
          <w:iCs/>
        </w:rPr>
        <w:t>Bucal</w:t>
      </w:r>
      <w:proofErr w:type="spellEnd"/>
      <w:r w:rsidRPr="00534585">
        <w:t>, </w:t>
      </w:r>
      <w:r w:rsidRPr="00534585">
        <w:rPr>
          <w:i/>
          <w:iCs/>
        </w:rPr>
        <w:t>7</w:t>
      </w:r>
      <w:r w:rsidRPr="00534585">
        <w:t>(5), 344-347.</w:t>
      </w:r>
    </w:p>
    <w:p w14:paraId="081A1013" w14:textId="77777777" w:rsidR="00D017BC" w:rsidRPr="00D017BC" w:rsidRDefault="00534585" w:rsidP="00D017BC">
      <w:pPr>
        <w:pStyle w:val="Body"/>
        <w:rPr>
          <w:lang w:val="en-IN"/>
        </w:rPr>
      </w:pPr>
      <w:r w:rsidRPr="00534585">
        <w:t>Hinson, J. A., Roberts, D. W., &amp; James, L. P. (2010). Mechanisms of acetaminophen-induced liver necrosis. </w:t>
      </w:r>
      <w:r w:rsidRPr="00534585">
        <w:rPr>
          <w:i/>
          <w:iCs/>
        </w:rPr>
        <w:t>Adverse drug reactions</w:t>
      </w:r>
      <w:r w:rsidRPr="00534585">
        <w:t>, 369-405.</w:t>
      </w:r>
      <w:hyperlink r:id="rId35" w:history="1">
        <w:r w:rsidR="00D017BC" w:rsidRPr="00D017BC">
          <w:rPr>
            <w:rStyle w:val="Hyperlink"/>
            <w:lang w:val="en-IN"/>
          </w:rPr>
          <w:t>https://doi.org/10.1007/978-3-642-00663-0_12</w:t>
        </w:r>
      </w:hyperlink>
      <w:r w:rsidR="00D017BC" w:rsidRPr="00D017BC">
        <w:rPr>
          <w:lang w:val="en-IN"/>
        </w:rPr>
        <w:t xml:space="preserve"> </w:t>
      </w:r>
    </w:p>
    <w:p w14:paraId="6AE770AE" w14:textId="77777777" w:rsidR="00D017BC" w:rsidRPr="00D017BC" w:rsidRDefault="00005728" w:rsidP="00D017BC">
      <w:pPr>
        <w:pStyle w:val="Body"/>
        <w:rPr>
          <w:lang w:val="en-IN"/>
        </w:rPr>
      </w:pPr>
      <w:r w:rsidRPr="00005728">
        <w:t>Jaeschke, H., McGill, M. R., &amp; Ramachandran, A. (2012). Oxidant stress, mitochondria, and cell death mechanisms in drug-induced liver injury: lessons learned from acetaminophen hepatotoxicity. </w:t>
      </w:r>
      <w:r w:rsidRPr="00005728">
        <w:rPr>
          <w:i/>
          <w:iCs/>
        </w:rPr>
        <w:t>Drug metabolism reviews</w:t>
      </w:r>
      <w:r w:rsidRPr="00005728">
        <w:t>, </w:t>
      </w:r>
      <w:r w:rsidRPr="00005728">
        <w:rPr>
          <w:i/>
          <w:iCs/>
        </w:rPr>
        <w:t>44</w:t>
      </w:r>
      <w:r w:rsidRPr="00005728">
        <w:t>(1), 88-106.</w:t>
      </w:r>
      <w:r>
        <w:t xml:space="preserve"> </w:t>
      </w:r>
      <w:hyperlink r:id="rId36" w:history="1">
        <w:r w:rsidRPr="00D017BC">
          <w:rPr>
            <w:rStyle w:val="Hyperlink"/>
            <w:lang w:val="en-IN"/>
          </w:rPr>
          <w:t>https://doi.org/10.3109/03602532.2011.602688</w:t>
        </w:r>
      </w:hyperlink>
      <w:r w:rsidR="00D017BC" w:rsidRPr="00D017BC">
        <w:rPr>
          <w:lang w:val="en-IN"/>
        </w:rPr>
        <w:t xml:space="preserve"> </w:t>
      </w:r>
    </w:p>
    <w:p w14:paraId="4BDAC3DD" w14:textId="77777777" w:rsidR="00D017BC" w:rsidRPr="00D017BC" w:rsidRDefault="00005728" w:rsidP="00D017BC">
      <w:pPr>
        <w:pStyle w:val="Body"/>
        <w:rPr>
          <w:lang w:val="en-IN"/>
        </w:rPr>
      </w:pPr>
      <w:r w:rsidRPr="00005728">
        <w:t>Jaeschke, H., &amp; Ramachandran, A. (2024). Central mechanisms of acetaminophen hepatotoxicity: Mitochondrial dysfunction by protein adducts and oxidant stress. </w:t>
      </w:r>
      <w:r w:rsidRPr="00005728">
        <w:rPr>
          <w:i/>
          <w:iCs/>
        </w:rPr>
        <w:t>Drug Metabolism and Disposition</w:t>
      </w:r>
      <w:r w:rsidRPr="00005728">
        <w:t>, </w:t>
      </w:r>
      <w:r w:rsidRPr="00005728">
        <w:rPr>
          <w:i/>
          <w:iCs/>
        </w:rPr>
        <w:t>52</w:t>
      </w:r>
      <w:r w:rsidRPr="00005728">
        <w:t>(8), 712-721.</w:t>
      </w:r>
      <w:r w:rsidR="00D017BC" w:rsidRPr="00D017BC">
        <w:rPr>
          <w:lang w:val="en-IN"/>
        </w:rPr>
        <w:t xml:space="preserve"> </w:t>
      </w:r>
      <w:hyperlink r:id="rId37" w:history="1">
        <w:r w:rsidR="00D017BC" w:rsidRPr="00D017BC">
          <w:rPr>
            <w:rStyle w:val="Hyperlink"/>
            <w:lang w:val="en-IN"/>
          </w:rPr>
          <w:t>https://doi.org/10.1124/dmd.123.001279</w:t>
        </w:r>
      </w:hyperlink>
      <w:r w:rsidR="00D017BC" w:rsidRPr="00D017BC">
        <w:rPr>
          <w:lang w:val="en-IN"/>
        </w:rPr>
        <w:t xml:space="preserve"> </w:t>
      </w:r>
    </w:p>
    <w:p w14:paraId="2298CA7B" w14:textId="77777777" w:rsidR="00D017BC" w:rsidRPr="00D017BC" w:rsidRDefault="00005728" w:rsidP="00D017BC">
      <w:pPr>
        <w:pStyle w:val="Body"/>
        <w:rPr>
          <w:lang w:val="en-IN"/>
        </w:rPr>
      </w:pPr>
      <w:r w:rsidRPr="00005728">
        <w:t>Kato, T. A., &amp; Haskins, J. S. (2022). Mitotic index analysis. In </w:t>
      </w:r>
      <w:r w:rsidRPr="00005728">
        <w:rPr>
          <w:i/>
          <w:iCs/>
        </w:rPr>
        <w:t>Chromosome Analysis: Methods and Protocols</w:t>
      </w:r>
      <w:r w:rsidRPr="00005728">
        <w:t> (pp. 17-26). New York, NY: Springer US.</w:t>
      </w:r>
      <w:r>
        <w:t xml:space="preserve"> </w:t>
      </w:r>
      <w:hyperlink r:id="rId38" w:history="1">
        <w:r w:rsidR="00D017BC" w:rsidRPr="00D017BC">
          <w:rPr>
            <w:rStyle w:val="Hyperlink"/>
            <w:lang w:val="en-IN"/>
          </w:rPr>
          <w:t>https://doi.org/10.1007/978-1-0716-2433-3_3</w:t>
        </w:r>
      </w:hyperlink>
      <w:r w:rsidR="00D017BC" w:rsidRPr="00D017BC">
        <w:rPr>
          <w:lang w:val="en-IN"/>
        </w:rPr>
        <w:t xml:space="preserve"> </w:t>
      </w:r>
    </w:p>
    <w:p w14:paraId="5A9C9850" w14:textId="77777777" w:rsidR="00D017BC" w:rsidRPr="00D017BC" w:rsidRDefault="00005728" w:rsidP="00D017BC">
      <w:pPr>
        <w:pStyle w:val="Body"/>
        <w:rPr>
          <w:lang w:val="en-IN"/>
        </w:rPr>
      </w:pPr>
      <w:r w:rsidRPr="00005728">
        <w:t>Klotz, U. (2012). Paracetamol (acetaminophen)–a popular and widely used nonopioid analgesic. </w:t>
      </w:r>
      <w:proofErr w:type="spellStart"/>
      <w:r w:rsidRPr="00005728">
        <w:rPr>
          <w:i/>
          <w:iCs/>
        </w:rPr>
        <w:t>Arzneimittelforschung</w:t>
      </w:r>
      <w:proofErr w:type="spellEnd"/>
      <w:r w:rsidRPr="00005728">
        <w:t>, </w:t>
      </w:r>
      <w:r w:rsidRPr="00005728">
        <w:rPr>
          <w:i/>
          <w:iCs/>
        </w:rPr>
        <w:t>62</w:t>
      </w:r>
      <w:r w:rsidRPr="00005728">
        <w:t>(08), 355-359.</w:t>
      </w:r>
      <w:r>
        <w:t xml:space="preserve"> </w:t>
      </w:r>
      <w:r w:rsidR="00D017BC" w:rsidRPr="00D017BC">
        <w:rPr>
          <w:lang w:val="en-IN"/>
        </w:rPr>
        <w:t xml:space="preserve"> </w:t>
      </w:r>
      <w:hyperlink r:id="rId39" w:history="1">
        <w:r w:rsidR="00D017BC" w:rsidRPr="00D017BC">
          <w:rPr>
            <w:rStyle w:val="Hyperlink"/>
            <w:lang w:val="en-IN"/>
          </w:rPr>
          <w:t>https://doi.org/10.1055/s-0032-1321785</w:t>
        </w:r>
      </w:hyperlink>
      <w:r w:rsidR="00D017BC" w:rsidRPr="00D017BC">
        <w:rPr>
          <w:lang w:val="en-IN"/>
        </w:rPr>
        <w:t xml:space="preserve"> </w:t>
      </w:r>
    </w:p>
    <w:p w14:paraId="448C27C7" w14:textId="77777777" w:rsidR="00D017BC" w:rsidRPr="00D017BC" w:rsidRDefault="00005728" w:rsidP="00D017BC">
      <w:pPr>
        <w:pStyle w:val="Body"/>
        <w:rPr>
          <w:lang w:val="en-IN"/>
        </w:rPr>
      </w:pPr>
      <w:r w:rsidRPr="00005728">
        <w:t>Leme, D. M., &amp; Marin-Morales, M. A. (2009). Allium cepa test in environmental monitoring: a review on its application. </w:t>
      </w:r>
      <w:r w:rsidRPr="00005728">
        <w:rPr>
          <w:i/>
          <w:iCs/>
        </w:rPr>
        <w:t>Mutation research/reviews in mutation research</w:t>
      </w:r>
      <w:r w:rsidRPr="00005728">
        <w:t>, </w:t>
      </w:r>
      <w:r w:rsidRPr="00005728">
        <w:rPr>
          <w:i/>
          <w:iCs/>
        </w:rPr>
        <w:t>682</w:t>
      </w:r>
      <w:r w:rsidRPr="00005728">
        <w:t>(1), 71-81.</w:t>
      </w:r>
      <w:r w:rsidR="00D017BC" w:rsidRPr="00D017BC">
        <w:rPr>
          <w:lang w:val="en-IN"/>
        </w:rPr>
        <w:t xml:space="preserve"> </w:t>
      </w:r>
      <w:hyperlink r:id="rId40" w:history="1">
        <w:r w:rsidR="00D017BC" w:rsidRPr="00D017BC">
          <w:rPr>
            <w:rStyle w:val="Hyperlink"/>
            <w:lang w:val="en-IN"/>
          </w:rPr>
          <w:t>https://doi.org/10.1016/j.mrrev.2009.06.002</w:t>
        </w:r>
      </w:hyperlink>
      <w:r w:rsidR="00D017BC" w:rsidRPr="00D017BC">
        <w:rPr>
          <w:lang w:val="en-IN"/>
        </w:rPr>
        <w:t xml:space="preserve"> </w:t>
      </w:r>
    </w:p>
    <w:p w14:paraId="4FDEDAA7" w14:textId="77777777" w:rsidR="00D017BC" w:rsidRPr="00D017BC" w:rsidRDefault="00005728" w:rsidP="00D017BC">
      <w:pPr>
        <w:pStyle w:val="Body"/>
        <w:rPr>
          <w:lang w:val="en-IN"/>
        </w:rPr>
      </w:pPr>
      <w:r w:rsidRPr="00005728">
        <w:t xml:space="preserve">Leston, S., Nunes, M., Viegas, I., Ramos, F., &amp; Pardal, M. Â. (2013). The effects of chloramphenicol on Ulva </w:t>
      </w:r>
      <w:proofErr w:type="spellStart"/>
      <w:r w:rsidRPr="00005728">
        <w:t>lactuca</w:t>
      </w:r>
      <w:proofErr w:type="spellEnd"/>
      <w:r w:rsidRPr="00005728">
        <w:t>. </w:t>
      </w:r>
      <w:r w:rsidRPr="00005728">
        <w:rPr>
          <w:i/>
          <w:iCs/>
        </w:rPr>
        <w:t>Chemosphere</w:t>
      </w:r>
      <w:r w:rsidRPr="00005728">
        <w:t>, </w:t>
      </w:r>
      <w:r w:rsidRPr="00005728">
        <w:rPr>
          <w:i/>
          <w:iCs/>
        </w:rPr>
        <w:t>91</w:t>
      </w:r>
      <w:r w:rsidRPr="00005728">
        <w:t>(4), 552-557.</w:t>
      </w:r>
      <w:r>
        <w:t xml:space="preserve"> </w:t>
      </w:r>
      <w:hyperlink r:id="rId41" w:history="1">
        <w:r w:rsidR="00D017BC" w:rsidRPr="00D017BC">
          <w:rPr>
            <w:rStyle w:val="Hyperlink"/>
            <w:lang w:val="en-IN"/>
          </w:rPr>
          <w:t>https://doi.org/10.1016/j.chemosphere.2012.12.061</w:t>
        </w:r>
      </w:hyperlink>
      <w:r w:rsidR="00D017BC" w:rsidRPr="00D017BC">
        <w:rPr>
          <w:lang w:val="en-IN"/>
        </w:rPr>
        <w:t xml:space="preserve"> </w:t>
      </w:r>
    </w:p>
    <w:p w14:paraId="33771EF2" w14:textId="77777777" w:rsidR="00D017BC" w:rsidRPr="00D017BC" w:rsidRDefault="00005728" w:rsidP="00D017BC">
      <w:pPr>
        <w:pStyle w:val="Body"/>
        <w:rPr>
          <w:lang w:val="en-IN"/>
        </w:rPr>
      </w:pPr>
      <w:r w:rsidRPr="00005728">
        <w:t>Liang, C., Lan, Z., Zhang, X., &amp; Liu, Y. (2016). Mechanism for the primary transformation of acetaminophen in a soil/water system. </w:t>
      </w:r>
      <w:r w:rsidRPr="00005728">
        <w:rPr>
          <w:i/>
          <w:iCs/>
        </w:rPr>
        <w:t>Water research</w:t>
      </w:r>
      <w:r w:rsidRPr="00005728">
        <w:t>, </w:t>
      </w:r>
      <w:r w:rsidRPr="00005728">
        <w:rPr>
          <w:i/>
          <w:iCs/>
        </w:rPr>
        <w:t>98</w:t>
      </w:r>
      <w:r w:rsidRPr="00005728">
        <w:t>, 215-224.</w:t>
      </w:r>
      <w:r w:rsidR="00D017BC" w:rsidRPr="00D017BC">
        <w:rPr>
          <w:lang w:val="en-IN"/>
        </w:rPr>
        <w:t xml:space="preserve"> </w:t>
      </w:r>
      <w:hyperlink r:id="rId42" w:history="1">
        <w:r w:rsidR="00D017BC" w:rsidRPr="00D017BC">
          <w:rPr>
            <w:rStyle w:val="Hyperlink"/>
            <w:lang w:val="en-IN"/>
          </w:rPr>
          <w:t>https://doi.org/10.1016/j.watres.2016.04.027</w:t>
        </w:r>
      </w:hyperlink>
      <w:r w:rsidR="00D017BC" w:rsidRPr="00D017BC">
        <w:rPr>
          <w:lang w:val="en-IN"/>
        </w:rPr>
        <w:t xml:space="preserve"> </w:t>
      </w:r>
    </w:p>
    <w:p w14:paraId="7BEB016D" w14:textId="77777777" w:rsidR="00005728" w:rsidRDefault="00005728" w:rsidP="00D017BC">
      <w:pPr>
        <w:pStyle w:val="Body"/>
      </w:pPr>
      <w:r w:rsidRPr="00005728">
        <w:t>Lubel, J. S., Angus, P. W., &amp; Gow, P. J. (2007). Accidental paracetamol poisoning. </w:t>
      </w:r>
      <w:r w:rsidRPr="00005728">
        <w:rPr>
          <w:i/>
          <w:iCs/>
        </w:rPr>
        <w:t>Medical journal of Australia</w:t>
      </w:r>
      <w:r w:rsidRPr="00005728">
        <w:t>, </w:t>
      </w:r>
      <w:r w:rsidRPr="00005728">
        <w:rPr>
          <w:i/>
          <w:iCs/>
        </w:rPr>
        <w:t>186</w:t>
      </w:r>
      <w:r w:rsidRPr="00005728">
        <w:t>(7), 371.</w:t>
      </w:r>
    </w:p>
    <w:p w14:paraId="01A2B8CC" w14:textId="77777777" w:rsidR="00D017BC" w:rsidRPr="00D017BC" w:rsidRDefault="00005728" w:rsidP="00D017BC">
      <w:pPr>
        <w:pStyle w:val="Body"/>
        <w:rPr>
          <w:lang w:val="en-IN"/>
        </w:rPr>
      </w:pPr>
      <w:r w:rsidRPr="00005728">
        <w:t>Masood, F., &amp; Malik, A. (2013). Cytotoxic and genotoxic potential of tannery waste contaminated soils. </w:t>
      </w:r>
      <w:r w:rsidRPr="00005728">
        <w:rPr>
          <w:i/>
          <w:iCs/>
        </w:rPr>
        <w:t>Science of the total environment</w:t>
      </w:r>
      <w:r w:rsidRPr="00005728">
        <w:t>, </w:t>
      </w:r>
      <w:r w:rsidRPr="00005728">
        <w:rPr>
          <w:i/>
          <w:iCs/>
        </w:rPr>
        <w:t>444</w:t>
      </w:r>
      <w:r w:rsidRPr="00005728">
        <w:t>, 153-160.</w:t>
      </w:r>
      <w:hyperlink r:id="rId43" w:history="1">
        <w:r w:rsidR="00D017BC" w:rsidRPr="00D017BC">
          <w:rPr>
            <w:rStyle w:val="Hyperlink"/>
            <w:lang w:val="en-IN"/>
          </w:rPr>
          <w:t>https://doi.org/10.1016/j.scitotenv.2012.11.049</w:t>
        </w:r>
      </w:hyperlink>
      <w:r w:rsidR="00D017BC" w:rsidRPr="00D017BC">
        <w:rPr>
          <w:lang w:val="en-IN"/>
        </w:rPr>
        <w:t xml:space="preserve"> </w:t>
      </w:r>
    </w:p>
    <w:p w14:paraId="5A9829DF" w14:textId="77777777" w:rsidR="00D017BC" w:rsidRPr="00D017BC" w:rsidRDefault="00005728" w:rsidP="00D017BC">
      <w:pPr>
        <w:pStyle w:val="Body"/>
        <w:rPr>
          <w:lang w:val="en-IN"/>
        </w:rPr>
      </w:pPr>
      <w:r w:rsidRPr="00005728">
        <w:t>Mercado, S. A. S., &amp; Bayona, H. A. M. (2020). Evaluation of the cytotoxic potential of sodium hypochlorite using meristematic root cells of Lens culinaris Med. </w:t>
      </w:r>
      <w:r w:rsidRPr="00005728">
        <w:rPr>
          <w:i/>
          <w:iCs/>
        </w:rPr>
        <w:t>Science of the Total Environment</w:t>
      </w:r>
      <w:r w:rsidRPr="00005728">
        <w:t>, </w:t>
      </w:r>
      <w:r w:rsidRPr="00005728">
        <w:rPr>
          <w:i/>
          <w:iCs/>
        </w:rPr>
        <w:t>701</w:t>
      </w:r>
      <w:r w:rsidRPr="00005728">
        <w:t>, 134992.</w:t>
      </w:r>
      <w:r>
        <w:t xml:space="preserve"> </w:t>
      </w:r>
      <w:hyperlink r:id="rId44" w:history="1">
        <w:r w:rsidR="00D017BC" w:rsidRPr="00D017BC">
          <w:rPr>
            <w:rStyle w:val="Hyperlink"/>
            <w:lang w:val="en-IN"/>
          </w:rPr>
          <w:t>https://doi.org/10.1016/j.scitotenv.2019.134992</w:t>
        </w:r>
      </w:hyperlink>
      <w:r w:rsidR="00D017BC" w:rsidRPr="00D017BC">
        <w:rPr>
          <w:lang w:val="en-IN"/>
        </w:rPr>
        <w:t xml:space="preserve"> </w:t>
      </w:r>
    </w:p>
    <w:p w14:paraId="1A8B3FF5" w14:textId="77777777" w:rsidR="00D017BC" w:rsidRPr="00D017BC" w:rsidRDefault="00005728" w:rsidP="00D017BC">
      <w:pPr>
        <w:pStyle w:val="Body"/>
        <w:rPr>
          <w:lang w:val="en-IN"/>
        </w:rPr>
      </w:pPr>
      <w:r w:rsidRPr="00005728">
        <w:t xml:space="preserve">Mercado, S. A. S., </w:t>
      </w:r>
      <w:proofErr w:type="spellStart"/>
      <w:r w:rsidRPr="00005728">
        <w:t>Caleño</w:t>
      </w:r>
      <w:proofErr w:type="spellEnd"/>
      <w:r w:rsidRPr="00005728">
        <w:t xml:space="preserve">, J. D. Q., &amp; Suárez, J. P. R. (2020). </w:t>
      </w:r>
      <w:proofErr w:type="spellStart"/>
      <w:r w:rsidRPr="00005728">
        <w:t>Cytogenotoxic</w:t>
      </w:r>
      <w:proofErr w:type="spellEnd"/>
      <w:r w:rsidRPr="00005728">
        <w:t xml:space="preserve"> effect of propanil using the Lens culinaris Med and Allium cepa L test. </w:t>
      </w:r>
      <w:r w:rsidRPr="00005728">
        <w:rPr>
          <w:i/>
          <w:iCs/>
        </w:rPr>
        <w:t>Chemosphere</w:t>
      </w:r>
      <w:r w:rsidRPr="00005728">
        <w:t>, </w:t>
      </w:r>
      <w:r w:rsidRPr="00005728">
        <w:rPr>
          <w:i/>
          <w:iCs/>
        </w:rPr>
        <w:t>249</w:t>
      </w:r>
      <w:r w:rsidRPr="00005728">
        <w:t>, 126193.</w:t>
      </w:r>
      <w:hyperlink r:id="rId45" w:history="1">
        <w:r w:rsidR="00D017BC" w:rsidRPr="00D017BC">
          <w:rPr>
            <w:rStyle w:val="Hyperlink"/>
            <w:lang w:val="en-IN"/>
          </w:rPr>
          <w:t>https://doi.org/10.1016/j.chemosphere.2020.126193</w:t>
        </w:r>
      </w:hyperlink>
      <w:r w:rsidR="00D017BC" w:rsidRPr="00D017BC">
        <w:rPr>
          <w:lang w:val="en-IN"/>
        </w:rPr>
        <w:t xml:space="preserve"> </w:t>
      </w:r>
    </w:p>
    <w:p w14:paraId="6B21672E" w14:textId="77777777" w:rsidR="00D017BC" w:rsidRPr="00D017BC" w:rsidRDefault="00005728" w:rsidP="00D017BC">
      <w:pPr>
        <w:pStyle w:val="Body"/>
        <w:rPr>
          <w:lang w:val="en-IN"/>
        </w:rPr>
      </w:pPr>
      <w:bookmarkStart w:id="1" w:name="a2"/>
      <w:r w:rsidRPr="00005728">
        <w:lastRenderedPageBreak/>
        <w:t>Mostafa, E. M., Tawfik, A. M., &amp; Abd-</w:t>
      </w:r>
      <w:proofErr w:type="spellStart"/>
      <w:r w:rsidRPr="00005728">
        <w:t>Elrahman</w:t>
      </w:r>
      <w:proofErr w:type="spellEnd"/>
      <w:r w:rsidRPr="00005728">
        <w:t>, K. M. (2022). Egyptian perspectives on potential risk of paracetamol/acetaminophen-induced toxicities: Lessons learnt during COVID-19 pandemic. </w:t>
      </w:r>
      <w:r w:rsidRPr="00005728">
        <w:rPr>
          <w:i/>
          <w:iCs/>
        </w:rPr>
        <w:t>Toxicology Reports</w:t>
      </w:r>
      <w:r w:rsidRPr="00005728">
        <w:t>, </w:t>
      </w:r>
      <w:r w:rsidRPr="00005728">
        <w:rPr>
          <w:i/>
          <w:iCs/>
        </w:rPr>
        <w:t>9</w:t>
      </w:r>
      <w:r w:rsidRPr="00005728">
        <w:t>, 541-548.</w:t>
      </w:r>
      <w:hyperlink r:id="rId46" w:history="1">
        <w:r w:rsidR="00D017BC" w:rsidRPr="00D017BC">
          <w:rPr>
            <w:rStyle w:val="Hyperlink"/>
            <w:lang w:val="en-IN"/>
          </w:rPr>
          <w:t>https://doi.org/10.1016/j.toxrep.2022.03.035</w:t>
        </w:r>
      </w:hyperlink>
      <w:r w:rsidR="00D017BC" w:rsidRPr="00D017BC">
        <w:rPr>
          <w:lang w:val="en-IN"/>
        </w:rPr>
        <w:t xml:space="preserve"> </w:t>
      </w:r>
    </w:p>
    <w:p w14:paraId="7B802CFE" w14:textId="77777777" w:rsidR="00D017BC" w:rsidRPr="00D017BC" w:rsidRDefault="00005728" w:rsidP="00D017BC">
      <w:pPr>
        <w:pStyle w:val="Body"/>
        <w:rPr>
          <w:lang w:val="en-IN"/>
        </w:rPr>
      </w:pPr>
      <w:r w:rsidRPr="00005728">
        <w:t xml:space="preserve">Moyer, A. M., Fridley, B. L., Jenkins, G. D., Batzler, A. J., </w:t>
      </w:r>
      <w:proofErr w:type="spellStart"/>
      <w:r w:rsidRPr="00005728">
        <w:t>Pelleymounter</w:t>
      </w:r>
      <w:proofErr w:type="spellEnd"/>
      <w:r w:rsidRPr="00005728">
        <w:t xml:space="preserve">, L. L., Kalari, K. R., ... &amp; </w:t>
      </w:r>
      <w:proofErr w:type="spellStart"/>
      <w:r w:rsidRPr="00005728">
        <w:t>Weinshilboum</w:t>
      </w:r>
      <w:proofErr w:type="spellEnd"/>
      <w:r w:rsidRPr="00005728">
        <w:t>, R. M. (2011). Acetaminophen-NAPQI hepatotoxicity: a cell line model system genome-wide association study. </w:t>
      </w:r>
      <w:r w:rsidRPr="00005728">
        <w:rPr>
          <w:i/>
          <w:iCs/>
        </w:rPr>
        <w:t>Toxicological Sciences</w:t>
      </w:r>
      <w:r w:rsidRPr="00005728">
        <w:t>, </w:t>
      </w:r>
      <w:r w:rsidRPr="00005728">
        <w:rPr>
          <w:i/>
          <w:iCs/>
        </w:rPr>
        <w:t>120</w:t>
      </w:r>
      <w:r w:rsidRPr="00005728">
        <w:t>(1), 33-41.</w:t>
      </w:r>
      <w:hyperlink r:id="rId47" w:history="1">
        <w:r w:rsidR="00D017BC" w:rsidRPr="00D017BC">
          <w:rPr>
            <w:rStyle w:val="Hyperlink"/>
            <w:lang w:val="en-IN"/>
          </w:rPr>
          <w:t>https://doi.org/10.1093/toxsci/kfq375</w:t>
        </w:r>
      </w:hyperlink>
      <w:r w:rsidR="00D017BC" w:rsidRPr="00D017BC">
        <w:rPr>
          <w:lang w:val="en-IN"/>
        </w:rPr>
        <w:t xml:space="preserve"> </w:t>
      </w:r>
    </w:p>
    <w:p w14:paraId="7F4B1204" w14:textId="77777777" w:rsidR="00005728" w:rsidRDefault="00005728" w:rsidP="00D017BC">
      <w:pPr>
        <w:pStyle w:val="Body"/>
      </w:pPr>
      <w:r w:rsidRPr="00005728">
        <w:t>Musarrat, J., Zaidi, A., Khan, M. S., Siddiqui, M. A., &amp; Al-</w:t>
      </w:r>
      <w:proofErr w:type="spellStart"/>
      <w:r w:rsidRPr="00005728">
        <w:t>Khedhairy</w:t>
      </w:r>
      <w:proofErr w:type="spellEnd"/>
      <w:r w:rsidRPr="00005728">
        <w:t>, A. A. (2011). Genotoxicity assessment of heavy metal–contaminated soils. </w:t>
      </w:r>
      <w:proofErr w:type="spellStart"/>
      <w:r w:rsidRPr="00005728">
        <w:rPr>
          <w:i/>
          <w:iCs/>
        </w:rPr>
        <w:t>Biomanagement</w:t>
      </w:r>
      <w:proofErr w:type="spellEnd"/>
      <w:r w:rsidRPr="00005728">
        <w:rPr>
          <w:i/>
          <w:iCs/>
        </w:rPr>
        <w:t xml:space="preserve"> of metal-contaminated soils</w:t>
      </w:r>
      <w:r w:rsidRPr="00005728">
        <w:t>, 323-342.</w:t>
      </w:r>
    </w:p>
    <w:p w14:paraId="7DFF2C7E" w14:textId="77777777" w:rsidR="00D017BC" w:rsidRPr="00D017BC" w:rsidRDefault="00005728" w:rsidP="00D017BC">
      <w:pPr>
        <w:pStyle w:val="Body"/>
        <w:rPr>
          <w:lang w:val="en-IN"/>
        </w:rPr>
      </w:pPr>
      <w:r w:rsidRPr="00005728">
        <w:t xml:space="preserve">Obe, G., Pfeiffer, P., Savage, J. R. K., Johannes, C., Goedecke, W., Jeppesen, P., ... &amp; </w:t>
      </w:r>
      <w:proofErr w:type="spellStart"/>
      <w:r w:rsidRPr="00005728">
        <w:t>Drets</w:t>
      </w:r>
      <w:proofErr w:type="spellEnd"/>
      <w:r w:rsidRPr="00005728">
        <w:t>, M. E. (2002). Chromosomal aberrations: formation, identification and distribution. </w:t>
      </w:r>
      <w:r w:rsidRPr="00005728">
        <w:rPr>
          <w:i/>
          <w:iCs/>
        </w:rPr>
        <w:t>Mutation Research/Fundamental and Molecular Mechanisms of Mutagenesis</w:t>
      </w:r>
      <w:r w:rsidRPr="00005728">
        <w:t>, </w:t>
      </w:r>
      <w:r w:rsidRPr="00005728">
        <w:rPr>
          <w:i/>
          <w:iCs/>
        </w:rPr>
        <w:t>504</w:t>
      </w:r>
      <w:r w:rsidRPr="00005728">
        <w:t>(1-2), 17-36.</w:t>
      </w:r>
      <w:r>
        <w:t xml:space="preserve"> </w:t>
      </w:r>
      <w:hyperlink r:id="rId48" w:history="1">
        <w:r w:rsidR="00D017BC" w:rsidRPr="00D017BC">
          <w:rPr>
            <w:rStyle w:val="Hyperlink"/>
            <w:lang w:val="en-IN"/>
          </w:rPr>
          <w:t>https://doi.org/10.1016/S0027-5107(02)00076-3</w:t>
        </w:r>
      </w:hyperlink>
      <w:r w:rsidR="00D017BC" w:rsidRPr="00D017BC">
        <w:rPr>
          <w:lang w:val="en-IN"/>
        </w:rPr>
        <w:t xml:space="preserve"> </w:t>
      </w:r>
    </w:p>
    <w:bookmarkEnd w:id="1"/>
    <w:p w14:paraId="415AE685" w14:textId="77777777" w:rsidR="00D017BC" w:rsidRPr="00D017BC" w:rsidRDefault="00005728" w:rsidP="00D017BC">
      <w:pPr>
        <w:pStyle w:val="Body"/>
        <w:rPr>
          <w:lang w:val="en-IN"/>
        </w:rPr>
      </w:pPr>
      <w:r w:rsidRPr="00005728">
        <w:t xml:space="preserve">Pandolfi, S., </w:t>
      </w:r>
      <w:proofErr w:type="spellStart"/>
      <w:r w:rsidRPr="00005728">
        <w:t>Valdenassi</w:t>
      </w:r>
      <w:proofErr w:type="spellEnd"/>
      <w:r w:rsidRPr="00005728">
        <w:t xml:space="preserve">, L., Bjørklund, G., Chirumbolo, S., </w:t>
      </w:r>
      <w:proofErr w:type="spellStart"/>
      <w:r w:rsidRPr="00005728">
        <w:t>Lysiuk</w:t>
      </w:r>
      <w:proofErr w:type="spellEnd"/>
      <w:r w:rsidRPr="00005728">
        <w:t xml:space="preserve">, R., </w:t>
      </w:r>
      <w:proofErr w:type="spellStart"/>
      <w:r w:rsidRPr="00005728">
        <w:t>Lenchyk</w:t>
      </w:r>
      <w:proofErr w:type="spellEnd"/>
      <w:r w:rsidRPr="00005728">
        <w:t>, L., ... &amp; Fazio, S. (2022). COVID-19 medical and pharmacological management in the European countries compared to Italy: an overview. </w:t>
      </w:r>
      <w:r w:rsidRPr="00005728">
        <w:rPr>
          <w:i/>
          <w:iCs/>
        </w:rPr>
        <w:t>International Journal of Environmental Research and Public Health</w:t>
      </w:r>
      <w:r w:rsidRPr="00005728">
        <w:t>, </w:t>
      </w:r>
      <w:r w:rsidRPr="00005728">
        <w:rPr>
          <w:i/>
          <w:iCs/>
        </w:rPr>
        <w:t>19</w:t>
      </w:r>
      <w:r w:rsidRPr="00005728">
        <w:t>(7), 4262.</w:t>
      </w:r>
      <w:r>
        <w:t xml:space="preserve"> </w:t>
      </w:r>
      <w:hyperlink r:id="rId49" w:history="1">
        <w:r w:rsidR="00D017BC" w:rsidRPr="00D017BC">
          <w:rPr>
            <w:rStyle w:val="Hyperlink"/>
            <w:lang w:val="en-IN"/>
          </w:rPr>
          <w:t>https://doi.org/10.3390/ijerph19074262</w:t>
        </w:r>
      </w:hyperlink>
      <w:r w:rsidR="00D017BC" w:rsidRPr="00D017BC">
        <w:rPr>
          <w:lang w:val="en-IN"/>
        </w:rPr>
        <w:t xml:space="preserve">  </w:t>
      </w:r>
    </w:p>
    <w:p w14:paraId="574A42D3" w14:textId="77777777" w:rsidR="00D017BC" w:rsidRPr="00D017BC" w:rsidRDefault="00EE02E4" w:rsidP="00D017BC">
      <w:pPr>
        <w:pStyle w:val="Body"/>
        <w:rPr>
          <w:lang w:val="en-IN"/>
        </w:rPr>
      </w:pPr>
      <w:r w:rsidRPr="00EE02E4">
        <w:t xml:space="preserve">Radić, S., </w:t>
      </w:r>
      <w:proofErr w:type="spellStart"/>
      <w:r w:rsidRPr="00EE02E4">
        <w:t>Stipaničev</w:t>
      </w:r>
      <w:proofErr w:type="spellEnd"/>
      <w:r w:rsidRPr="00EE02E4">
        <w:t xml:space="preserve">, D., Vujčić, V., Rajčić, M. M., </w:t>
      </w:r>
      <w:proofErr w:type="spellStart"/>
      <w:r w:rsidRPr="00EE02E4">
        <w:t>Širac</w:t>
      </w:r>
      <w:proofErr w:type="spellEnd"/>
      <w:r w:rsidRPr="00EE02E4">
        <w:t xml:space="preserve">, S., &amp; </w:t>
      </w:r>
      <w:proofErr w:type="spellStart"/>
      <w:r w:rsidRPr="00EE02E4">
        <w:t>Pevalek-Kozlina</w:t>
      </w:r>
      <w:proofErr w:type="spellEnd"/>
      <w:r w:rsidRPr="00EE02E4">
        <w:t>, B. (2010). The evaluation of surface and wastewater genotoxicity using the Allium cepa test. </w:t>
      </w:r>
      <w:r w:rsidRPr="00EE02E4">
        <w:rPr>
          <w:i/>
          <w:iCs/>
        </w:rPr>
        <w:t>Science of the Total Environment</w:t>
      </w:r>
      <w:r w:rsidRPr="00EE02E4">
        <w:t>, </w:t>
      </w:r>
      <w:r w:rsidRPr="00EE02E4">
        <w:rPr>
          <w:i/>
          <w:iCs/>
        </w:rPr>
        <w:t>408</w:t>
      </w:r>
      <w:r w:rsidRPr="00EE02E4">
        <w:t>(5), 1228-1233.</w:t>
      </w:r>
      <w:r>
        <w:t xml:space="preserve"> </w:t>
      </w:r>
      <w:hyperlink r:id="rId50" w:history="1">
        <w:r w:rsidR="00D017BC" w:rsidRPr="00D017BC">
          <w:rPr>
            <w:rStyle w:val="Hyperlink"/>
            <w:lang w:val="en-IN"/>
          </w:rPr>
          <w:t>https://doi.org/10.1016/j.scitotenv.2009.11.055</w:t>
        </w:r>
      </w:hyperlink>
      <w:r w:rsidR="00D017BC" w:rsidRPr="00D017BC">
        <w:rPr>
          <w:lang w:val="en-IN"/>
        </w:rPr>
        <w:t xml:space="preserve"> </w:t>
      </w:r>
    </w:p>
    <w:p w14:paraId="133D8092" w14:textId="45D0B357" w:rsidR="00C50A46" w:rsidRDefault="00C50A46" w:rsidP="00D017BC">
      <w:pPr>
        <w:pStyle w:val="Body"/>
      </w:pPr>
      <w:r w:rsidRPr="00C50A46">
        <w:t>Rank, J., &amp; Nielsen, M. H. (1994). Evaluation of the Allium anaphase-telophase test in relation to genotoxicity screening of industrial wastewater. </w:t>
      </w:r>
      <w:r w:rsidRPr="00C50A46">
        <w:rPr>
          <w:i/>
          <w:iCs/>
        </w:rPr>
        <w:t>Mutation Research/Environmental Mutagenesis and Related Subjects</w:t>
      </w:r>
      <w:r w:rsidRPr="00C50A46">
        <w:t>, </w:t>
      </w:r>
      <w:r w:rsidRPr="00C50A46">
        <w:rPr>
          <w:i/>
          <w:iCs/>
        </w:rPr>
        <w:t>312</w:t>
      </w:r>
      <w:r w:rsidRPr="00C50A46">
        <w:t xml:space="preserve">(1), 17-24. </w:t>
      </w:r>
      <w:hyperlink r:id="rId51" w:history="1">
        <w:r w:rsidRPr="006E0228">
          <w:rPr>
            <w:rStyle w:val="Hyperlink"/>
          </w:rPr>
          <w:t>https://doi.org/10.1016/0165-1161(94)90004-3</w:t>
        </w:r>
      </w:hyperlink>
    </w:p>
    <w:p w14:paraId="2DAF027E" w14:textId="053311C6" w:rsidR="00D017BC" w:rsidRPr="00D017BC" w:rsidRDefault="00EE02E4" w:rsidP="00D017BC">
      <w:pPr>
        <w:pStyle w:val="Body"/>
        <w:rPr>
          <w:lang w:val="en-IN"/>
        </w:rPr>
      </w:pPr>
      <w:r w:rsidRPr="00EE02E4">
        <w:t>Romano, S., Galante, H., Figueira, D., Mendes, Z., &amp; Rodrigues, A. T. (2021). Time-trend analysis of medicine sales and shortages during COVID-19 outbreak: Data from community pharmacies. </w:t>
      </w:r>
      <w:r w:rsidRPr="00EE02E4">
        <w:rPr>
          <w:i/>
          <w:iCs/>
        </w:rPr>
        <w:t>Research in Social and Administrative Pharmacy</w:t>
      </w:r>
      <w:r w:rsidRPr="00EE02E4">
        <w:t>, </w:t>
      </w:r>
      <w:r w:rsidRPr="00EE02E4">
        <w:rPr>
          <w:i/>
          <w:iCs/>
        </w:rPr>
        <w:t>17</w:t>
      </w:r>
      <w:r w:rsidRPr="00EE02E4">
        <w:t>(1), 1876-1881.</w:t>
      </w:r>
      <w:r w:rsidR="00D017BC" w:rsidRPr="00D017BC">
        <w:rPr>
          <w:lang w:val="en-IN"/>
        </w:rPr>
        <w:t xml:space="preserve"> </w:t>
      </w:r>
      <w:hyperlink r:id="rId52" w:history="1">
        <w:r w:rsidR="00D017BC" w:rsidRPr="00D017BC">
          <w:rPr>
            <w:rStyle w:val="Hyperlink"/>
            <w:lang w:val="en-IN"/>
          </w:rPr>
          <w:t>https://doi.org/10.1016/j.sapharm.2020.05.024</w:t>
        </w:r>
      </w:hyperlink>
      <w:r w:rsidR="00D017BC" w:rsidRPr="00D017BC">
        <w:rPr>
          <w:lang w:val="en-IN"/>
        </w:rPr>
        <w:t xml:space="preserve"> </w:t>
      </w:r>
    </w:p>
    <w:p w14:paraId="2DFF5612" w14:textId="77777777" w:rsidR="00EE02E4" w:rsidRDefault="00EE02E4" w:rsidP="00D017BC">
      <w:pPr>
        <w:pStyle w:val="Body"/>
      </w:pPr>
      <w:r w:rsidRPr="00EE02E4">
        <w:t>Russel, P. J. (2002). Chromosomal mutation. </w:t>
      </w:r>
      <w:r w:rsidRPr="00EE02E4">
        <w:rPr>
          <w:i/>
          <w:iCs/>
        </w:rPr>
        <w:t>Genetics</w:t>
      </w:r>
      <w:r w:rsidRPr="00EE02E4">
        <w:t>, 595-621.</w:t>
      </w:r>
    </w:p>
    <w:p w14:paraId="3795B027" w14:textId="77777777" w:rsidR="00D017BC" w:rsidRPr="00D017BC" w:rsidRDefault="00EE02E4" w:rsidP="00D017BC">
      <w:pPr>
        <w:pStyle w:val="Body"/>
        <w:rPr>
          <w:lang w:val="en-IN"/>
        </w:rPr>
      </w:pPr>
      <w:r w:rsidRPr="00EE02E4">
        <w:t>Salazar-Mercado, S. A., Torres-León, C. A., &amp; Rojas-Suárez, J. P. (2019). Cytotoxic evaluation of sodium hypochlorite, using Pisum sativum L as effective bioindicator. </w:t>
      </w:r>
      <w:r w:rsidRPr="00EE02E4">
        <w:rPr>
          <w:i/>
          <w:iCs/>
        </w:rPr>
        <w:t>Ecotoxicology and environmental safety</w:t>
      </w:r>
      <w:r w:rsidRPr="00EE02E4">
        <w:t>, </w:t>
      </w:r>
      <w:r w:rsidRPr="00EE02E4">
        <w:rPr>
          <w:i/>
          <w:iCs/>
        </w:rPr>
        <w:t>173</w:t>
      </w:r>
      <w:r w:rsidRPr="00EE02E4">
        <w:t>, 71-76.</w:t>
      </w:r>
      <w:r>
        <w:t xml:space="preserve"> </w:t>
      </w:r>
      <w:hyperlink r:id="rId53" w:history="1">
        <w:r w:rsidR="00D017BC" w:rsidRPr="00D017BC">
          <w:rPr>
            <w:rStyle w:val="Hyperlink"/>
            <w:lang w:val="en-IN"/>
          </w:rPr>
          <w:t>https://doi.org/10.1016/j.ecoenv.2019.02.027</w:t>
        </w:r>
      </w:hyperlink>
      <w:r w:rsidR="00D017BC" w:rsidRPr="00D017BC">
        <w:rPr>
          <w:lang w:val="en-IN"/>
        </w:rPr>
        <w:t xml:space="preserve"> </w:t>
      </w:r>
    </w:p>
    <w:p w14:paraId="0493AA2E" w14:textId="77777777" w:rsidR="00D017BC" w:rsidRPr="00D017BC" w:rsidRDefault="00EE02E4" w:rsidP="00D017BC">
      <w:pPr>
        <w:pStyle w:val="Body"/>
        <w:rPr>
          <w:lang w:val="en-IN"/>
        </w:rPr>
      </w:pPr>
      <w:r w:rsidRPr="00EE02E4">
        <w:t xml:space="preserve">Talukdar, D., &amp; Talukdar, T. (2014). RETRACTED ARTICLE: Coordinated response of sulfate transport, cysteine biosynthesis, and glutathione-mediated antioxidant defense in lentil (Lens </w:t>
      </w:r>
      <w:proofErr w:type="spellStart"/>
      <w:r w:rsidRPr="00EE02E4">
        <w:t>culinaris</w:t>
      </w:r>
      <w:proofErr w:type="spellEnd"/>
      <w:r w:rsidRPr="00EE02E4">
        <w:t xml:space="preserve"> </w:t>
      </w:r>
      <w:proofErr w:type="spellStart"/>
      <w:r w:rsidRPr="00EE02E4">
        <w:t>Medik</w:t>
      </w:r>
      <w:proofErr w:type="spellEnd"/>
      <w:r w:rsidRPr="00EE02E4">
        <w:t>.) genotypes exposed to arsenic. </w:t>
      </w:r>
      <w:proofErr w:type="spellStart"/>
      <w:r w:rsidRPr="00EE02E4">
        <w:rPr>
          <w:i/>
          <w:iCs/>
        </w:rPr>
        <w:t>Protoplasma</w:t>
      </w:r>
      <w:proofErr w:type="spellEnd"/>
      <w:r w:rsidRPr="00EE02E4">
        <w:t>, </w:t>
      </w:r>
      <w:r w:rsidRPr="00EE02E4">
        <w:rPr>
          <w:i/>
          <w:iCs/>
        </w:rPr>
        <w:t>251</w:t>
      </w:r>
      <w:r w:rsidRPr="00EE02E4">
        <w:t>, 839-855.</w:t>
      </w:r>
      <w:r w:rsidR="00D017BC" w:rsidRPr="00D017BC">
        <w:rPr>
          <w:lang w:val="en-IN"/>
        </w:rPr>
        <w:fldChar w:fldCharType="begin"/>
      </w:r>
      <w:r w:rsidR="00D017BC" w:rsidRPr="00D017BC">
        <w:rPr>
          <w:lang w:val="en-IN"/>
        </w:rPr>
        <w:instrText xml:space="preserve">HYPERLINK "https://doi.org/10.1007/s00709-013-0586-8 </w:instrText>
      </w:r>
    </w:p>
    <w:p w14:paraId="2FF44A4E" w14:textId="77777777" w:rsidR="00D017BC" w:rsidRPr="00D017BC" w:rsidRDefault="00D017BC" w:rsidP="00D017BC">
      <w:pPr>
        <w:pStyle w:val="Body"/>
        <w:rPr>
          <w:rStyle w:val="Hyperlink"/>
          <w:lang w:val="en-IN"/>
        </w:rPr>
      </w:pPr>
      <w:r w:rsidRPr="00D017BC">
        <w:rPr>
          <w:lang w:val="en-IN"/>
        </w:rPr>
        <w:instrText>33."</w:instrText>
      </w:r>
      <w:r w:rsidRPr="00D017BC">
        <w:rPr>
          <w:lang w:val="en-IN"/>
        </w:rPr>
        <w:fldChar w:fldCharType="separate"/>
      </w:r>
      <w:r w:rsidRPr="00D017BC">
        <w:rPr>
          <w:rStyle w:val="Hyperlink"/>
          <w:lang w:val="en-IN"/>
        </w:rPr>
        <w:t xml:space="preserve">https://doi.org/10.1007/s00709-013-0586-8 </w:t>
      </w:r>
    </w:p>
    <w:p w14:paraId="49D35087" w14:textId="77777777" w:rsidR="00D017BC" w:rsidRPr="00D017BC" w:rsidRDefault="00D017BC" w:rsidP="00D017BC">
      <w:pPr>
        <w:pStyle w:val="Body"/>
        <w:rPr>
          <w:lang w:val="en-IN"/>
        </w:rPr>
      </w:pPr>
      <w:r w:rsidRPr="00D017BC">
        <w:fldChar w:fldCharType="end"/>
      </w:r>
      <w:r w:rsidR="00EE02E4" w:rsidRPr="00EE02E4">
        <w:rPr>
          <w:rFonts w:ascii="Arial" w:hAnsi="Arial" w:cs="Arial"/>
          <w:color w:val="222222"/>
          <w:shd w:val="clear" w:color="auto" w:fill="FFFFFF"/>
        </w:rPr>
        <w:t xml:space="preserve"> </w:t>
      </w:r>
      <w:r w:rsidR="00EE02E4" w:rsidRPr="00EE02E4">
        <w:t xml:space="preserve">Wang, S., Tian, Y., Lu, S., Wang, R., Shang, H., Zhang, X., ... &amp; Sun, X. (2019). Design and synthesis of acetaminophen probe APAP-P1 for identification of the toxicity targets thioredoxin reductase-1 in </w:t>
      </w:r>
      <w:proofErr w:type="spellStart"/>
      <w:r w:rsidR="00EE02E4" w:rsidRPr="00EE02E4">
        <w:t>HepaRG</w:t>
      </w:r>
      <w:proofErr w:type="spellEnd"/>
      <w:r w:rsidR="00EE02E4" w:rsidRPr="00EE02E4">
        <w:t xml:space="preserve"> cells. </w:t>
      </w:r>
      <w:r w:rsidR="00EE02E4" w:rsidRPr="00EE02E4">
        <w:rPr>
          <w:i/>
          <w:iCs/>
        </w:rPr>
        <w:t>RSC advances</w:t>
      </w:r>
      <w:r w:rsidR="00EE02E4" w:rsidRPr="00EE02E4">
        <w:t>, </w:t>
      </w:r>
      <w:r w:rsidR="00EE02E4" w:rsidRPr="00EE02E4">
        <w:rPr>
          <w:i/>
          <w:iCs/>
        </w:rPr>
        <w:t>9</w:t>
      </w:r>
      <w:r w:rsidR="00EE02E4" w:rsidRPr="00EE02E4">
        <w:t>(27), 15224-15228.</w:t>
      </w:r>
      <w:hyperlink r:id="rId54" w:history="1">
        <w:r w:rsidRPr="00D017BC">
          <w:rPr>
            <w:rStyle w:val="Hyperlink"/>
            <w:lang w:val="en-IN"/>
          </w:rPr>
          <w:t>https://doi.org/10.1039/C9RA00483A</w:t>
        </w:r>
      </w:hyperlink>
      <w:r w:rsidRPr="00D017BC">
        <w:rPr>
          <w:lang w:val="en-IN"/>
        </w:rPr>
        <w:t xml:space="preserve"> </w:t>
      </w:r>
    </w:p>
    <w:p w14:paraId="4AC51BBE" w14:textId="77777777" w:rsidR="00B01FCD" w:rsidRPr="00FB3A86" w:rsidRDefault="00B01FCD" w:rsidP="00D017BC">
      <w:pPr>
        <w:pStyle w:val="Body"/>
        <w:spacing w:after="0"/>
        <w:rPr>
          <w:rFonts w:ascii="Arial" w:hAnsi="Arial" w:cs="Arial"/>
          <w:b/>
        </w:rPr>
      </w:pPr>
    </w:p>
    <w:sectPr w:rsidR="00B01FCD" w:rsidRPr="00FB3A86" w:rsidSect="00F96618">
      <w:headerReference w:type="even" r:id="rId55"/>
      <w:headerReference w:type="default" r:id="rId56"/>
      <w:footerReference w:type="default" r:id="rId57"/>
      <w:headerReference w:type="first" r:id="rId5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285DC" w14:textId="77777777" w:rsidR="005163FB" w:rsidRDefault="005163FB" w:rsidP="00C37E61">
      <w:r>
        <w:separator/>
      </w:r>
    </w:p>
  </w:endnote>
  <w:endnote w:type="continuationSeparator" w:id="0">
    <w:p w14:paraId="2481F49B" w14:textId="77777777" w:rsidR="005163FB" w:rsidRDefault="005163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DD5A" w14:textId="77777777" w:rsidR="00F96618" w:rsidRDefault="00F96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872A" w14:textId="77777777" w:rsidR="00C37E61" w:rsidRPr="00BB09FC" w:rsidRDefault="00C37E61" w:rsidP="00BB0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5F63" w14:textId="3D14F9A1" w:rsidR="00754C9A" w:rsidRPr="00F96618" w:rsidRDefault="00754C9A" w:rsidP="00F966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9350436"/>
      <w:docPartObj>
        <w:docPartGallery w:val="Page Numbers (Bottom of Page)"/>
        <w:docPartUnique/>
      </w:docPartObj>
    </w:sdtPr>
    <w:sdtEndPr>
      <w:rPr>
        <w:rStyle w:val="PageNumber"/>
      </w:rPr>
    </w:sdtEndPr>
    <w:sdtContent>
      <w:p w14:paraId="371291EB" w14:textId="77777777" w:rsidR="00F343C6" w:rsidRDefault="00F343C6" w:rsidP="000D62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74A868" w14:textId="77777777" w:rsidR="00F343C6" w:rsidRDefault="00F343C6" w:rsidP="00034A2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6517" w14:textId="77777777" w:rsidR="00F343C6" w:rsidRDefault="00F343C6" w:rsidP="00034A2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826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744EB" w14:textId="77777777" w:rsidR="005163FB" w:rsidRDefault="005163FB" w:rsidP="00C37E61">
      <w:r>
        <w:separator/>
      </w:r>
    </w:p>
  </w:footnote>
  <w:footnote w:type="continuationSeparator" w:id="0">
    <w:p w14:paraId="7CC2BBA3" w14:textId="77777777" w:rsidR="005163FB" w:rsidRDefault="005163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72461" w14:textId="2E26133D" w:rsidR="00F96618" w:rsidRDefault="005163FB">
    <w:pPr>
      <w:pStyle w:val="Header"/>
    </w:pPr>
    <w:r>
      <w:rPr>
        <w:noProof/>
      </w:rPr>
      <w:pict w14:anchorId="62642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4" o:spid="_x0000_s205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58AA" w14:textId="69CB6353" w:rsidR="00F96618" w:rsidRDefault="005163FB">
    <w:pPr>
      <w:pStyle w:val="Header"/>
    </w:pPr>
    <w:r>
      <w:rPr>
        <w:noProof/>
      </w:rPr>
      <w:pict w14:anchorId="7B55A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5" o:spid="_x0000_s205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E19A" w14:textId="0AD5E805" w:rsidR="00296529" w:rsidRPr="00296529" w:rsidRDefault="005163FB" w:rsidP="00296529">
    <w:pPr>
      <w:ind w:left="2160"/>
      <w:jc w:val="center"/>
      <w:rPr>
        <w:rFonts w:ascii="Times New Roman" w:eastAsia="Calibri" w:hAnsi="Times New Roman"/>
        <w:i/>
        <w:sz w:val="18"/>
        <w:szCs w:val="22"/>
      </w:rPr>
    </w:pPr>
    <w:r>
      <w:rPr>
        <w:noProof/>
      </w:rPr>
      <w:pict w14:anchorId="65FC1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3" o:spid="_x0000_s205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1F6B5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9520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12D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18F6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C40B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0681A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D71C0" w14:textId="2314C0E0" w:rsidR="00F96618" w:rsidRDefault="005163FB">
    <w:pPr>
      <w:pStyle w:val="Header"/>
    </w:pPr>
    <w:r>
      <w:rPr>
        <w:noProof/>
      </w:rPr>
      <w:pict w14:anchorId="1D142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7" o:spid="_x0000_s2054"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2C02" w14:textId="5A5B83E4" w:rsidR="00F96618" w:rsidRDefault="005163FB">
    <w:pPr>
      <w:pStyle w:val="Header"/>
    </w:pPr>
    <w:r>
      <w:rPr>
        <w:noProof/>
      </w:rPr>
      <w:pict w14:anchorId="4FCC3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8" o:spid="_x0000_s2053"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55D5" w14:textId="1F6C894F" w:rsidR="00F96618" w:rsidRDefault="005163FB">
    <w:pPr>
      <w:pStyle w:val="Header"/>
    </w:pPr>
    <w:r>
      <w:rPr>
        <w:noProof/>
      </w:rPr>
      <w:pict w14:anchorId="4D1CF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6" o:spid="_x0000_s2052"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162F" w14:textId="1566F604" w:rsidR="00F96618" w:rsidRDefault="005163FB">
    <w:pPr>
      <w:pStyle w:val="Header"/>
    </w:pPr>
    <w:r>
      <w:rPr>
        <w:noProof/>
      </w:rPr>
      <w:pict w14:anchorId="0270C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0" o:spid="_x0000_s2051" type="#_x0000_t136" alt="" style="position:absolute;margin-left:0;margin-top:0;width:520.65pt;height:57.8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0108E" w14:textId="0FE7F8CF" w:rsidR="00F96618" w:rsidRDefault="005163FB">
    <w:pPr>
      <w:pStyle w:val="Header"/>
    </w:pPr>
    <w:r>
      <w:rPr>
        <w:noProof/>
      </w:rPr>
      <w:pict w14:anchorId="1FE59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1" o:spid="_x0000_s2050" type="#_x0000_t136" alt="" style="position:absolute;margin-left:0;margin-top:0;width:520.65pt;height:57.8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D176" w14:textId="1E92352D" w:rsidR="00F96618" w:rsidRDefault="005163FB">
    <w:pPr>
      <w:pStyle w:val="Header"/>
    </w:pPr>
    <w:r>
      <w:rPr>
        <w:noProof/>
      </w:rPr>
      <w:pict w14:anchorId="224BE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9" o:spid="_x0000_s2049" type="#_x0000_t136" alt="" style="position:absolute;margin-left:0;margin-top:0;width:520.65pt;height:57.8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5728"/>
    <w:rsid w:val="000155F3"/>
    <w:rsid w:val="00030174"/>
    <w:rsid w:val="0004579C"/>
    <w:rsid w:val="00090AC7"/>
    <w:rsid w:val="000A47FA"/>
    <w:rsid w:val="000A65D3"/>
    <w:rsid w:val="000B1E33"/>
    <w:rsid w:val="000D557B"/>
    <w:rsid w:val="000D689F"/>
    <w:rsid w:val="000E7B7B"/>
    <w:rsid w:val="000E7D62"/>
    <w:rsid w:val="00103357"/>
    <w:rsid w:val="00123C9F"/>
    <w:rsid w:val="00126190"/>
    <w:rsid w:val="00130F17"/>
    <w:rsid w:val="001320BF"/>
    <w:rsid w:val="0015378B"/>
    <w:rsid w:val="00163BC4"/>
    <w:rsid w:val="00191062"/>
    <w:rsid w:val="00192B72"/>
    <w:rsid w:val="001A29D8"/>
    <w:rsid w:val="001A5CAA"/>
    <w:rsid w:val="001B0427"/>
    <w:rsid w:val="001D3A51"/>
    <w:rsid w:val="001E10D2"/>
    <w:rsid w:val="001E25B4"/>
    <w:rsid w:val="001E44FE"/>
    <w:rsid w:val="00200595"/>
    <w:rsid w:val="00204835"/>
    <w:rsid w:val="00210A67"/>
    <w:rsid w:val="00231920"/>
    <w:rsid w:val="0023195C"/>
    <w:rsid w:val="0024282C"/>
    <w:rsid w:val="002460DC"/>
    <w:rsid w:val="00250985"/>
    <w:rsid w:val="002556F6"/>
    <w:rsid w:val="00283105"/>
    <w:rsid w:val="00284C4C"/>
    <w:rsid w:val="00287E68"/>
    <w:rsid w:val="002930D4"/>
    <w:rsid w:val="00296529"/>
    <w:rsid w:val="002B27FB"/>
    <w:rsid w:val="002B685A"/>
    <w:rsid w:val="002C57D2"/>
    <w:rsid w:val="002D4AEE"/>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24A3"/>
    <w:rsid w:val="0047191D"/>
    <w:rsid w:val="00471A80"/>
    <w:rsid w:val="00486AE0"/>
    <w:rsid w:val="004D305E"/>
    <w:rsid w:val="004D4277"/>
    <w:rsid w:val="004F2136"/>
    <w:rsid w:val="004F7DF5"/>
    <w:rsid w:val="00502516"/>
    <w:rsid w:val="00505F06"/>
    <w:rsid w:val="00506828"/>
    <w:rsid w:val="005163FB"/>
    <w:rsid w:val="0053056E"/>
    <w:rsid w:val="00534585"/>
    <w:rsid w:val="00554FDA"/>
    <w:rsid w:val="00561713"/>
    <w:rsid w:val="00576F78"/>
    <w:rsid w:val="005A21B7"/>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2F19"/>
    <w:rsid w:val="006B57D0"/>
    <w:rsid w:val="006D30FF"/>
    <w:rsid w:val="006D6940"/>
    <w:rsid w:val="006F11EC"/>
    <w:rsid w:val="0070082C"/>
    <w:rsid w:val="007369E6"/>
    <w:rsid w:val="00741DC4"/>
    <w:rsid w:val="00746E59"/>
    <w:rsid w:val="00754C9A"/>
    <w:rsid w:val="0075599A"/>
    <w:rsid w:val="00761D52"/>
    <w:rsid w:val="0077749E"/>
    <w:rsid w:val="00790ADA"/>
    <w:rsid w:val="007C2AAF"/>
    <w:rsid w:val="007D2288"/>
    <w:rsid w:val="007D4BC7"/>
    <w:rsid w:val="007E088F"/>
    <w:rsid w:val="007F7B32"/>
    <w:rsid w:val="00804BC2"/>
    <w:rsid w:val="0081431A"/>
    <w:rsid w:val="0081696E"/>
    <w:rsid w:val="00822BB9"/>
    <w:rsid w:val="0083216F"/>
    <w:rsid w:val="0085314E"/>
    <w:rsid w:val="00860000"/>
    <w:rsid w:val="0086307A"/>
    <w:rsid w:val="00863BD3"/>
    <w:rsid w:val="008641ED"/>
    <w:rsid w:val="00866D66"/>
    <w:rsid w:val="008671C6"/>
    <w:rsid w:val="00875803"/>
    <w:rsid w:val="0089499E"/>
    <w:rsid w:val="008B0E79"/>
    <w:rsid w:val="008B459E"/>
    <w:rsid w:val="008C185E"/>
    <w:rsid w:val="008E13AE"/>
    <w:rsid w:val="008E1506"/>
    <w:rsid w:val="008E2751"/>
    <w:rsid w:val="008E710C"/>
    <w:rsid w:val="008F2A18"/>
    <w:rsid w:val="008F69D6"/>
    <w:rsid w:val="00902823"/>
    <w:rsid w:val="00915CA6"/>
    <w:rsid w:val="00927834"/>
    <w:rsid w:val="009500A6"/>
    <w:rsid w:val="00954BC8"/>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1555"/>
    <w:rsid w:val="00B1776C"/>
    <w:rsid w:val="00B52583"/>
    <w:rsid w:val="00B52896"/>
    <w:rsid w:val="00B95236"/>
    <w:rsid w:val="00B96BD9"/>
    <w:rsid w:val="00BA1B01"/>
    <w:rsid w:val="00BA2641"/>
    <w:rsid w:val="00BA36C7"/>
    <w:rsid w:val="00BA4886"/>
    <w:rsid w:val="00BB09FC"/>
    <w:rsid w:val="00BB37AA"/>
    <w:rsid w:val="00BC53A0"/>
    <w:rsid w:val="00BE62AD"/>
    <w:rsid w:val="00BF121F"/>
    <w:rsid w:val="00BF1F80"/>
    <w:rsid w:val="00C11917"/>
    <w:rsid w:val="00C166EF"/>
    <w:rsid w:val="00C17EB0"/>
    <w:rsid w:val="00C27F5F"/>
    <w:rsid w:val="00C30A0F"/>
    <w:rsid w:val="00C37E61"/>
    <w:rsid w:val="00C50A46"/>
    <w:rsid w:val="00C70F1B"/>
    <w:rsid w:val="00C71A47"/>
    <w:rsid w:val="00C7464C"/>
    <w:rsid w:val="00C85588"/>
    <w:rsid w:val="00CC66C9"/>
    <w:rsid w:val="00CD6755"/>
    <w:rsid w:val="00CD6856"/>
    <w:rsid w:val="00CE0089"/>
    <w:rsid w:val="00CE793C"/>
    <w:rsid w:val="00CF193C"/>
    <w:rsid w:val="00D017BC"/>
    <w:rsid w:val="00D173F1"/>
    <w:rsid w:val="00D46BA2"/>
    <w:rsid w:val="00D544CA"/>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24FD"/>
    <w:rsid w:val="00EC6A55"/>
    <w:rsid w:val="00ED0288"/>
    <w:rsid w:val="00EE02E4"/>
    <w:rsid w:val="00EE52CB"/>
    <w:rsid w:val="00EF581D"/>
    <w:rsid w:val="00EF7FD8"/>
    <w:rsid w:val="00F06F59"/>
    <w:rsid w:val="00F17988"/>
    <w:rsid w:val="00F343C6"/>
    <w:rsid w:val="00F469F0"/>
    <w:rsid w:val="00F53273"/>
    <w:rsid w:val="00F66C44"/>
    <w:rsid w:val="00F755E4"/>
    <w:rsid w:val="00F77D02"/>
    <w:rsid w:val="00F9661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B807F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343C6"/>
    <w:pPr>
      <w:ind w:left="720"/>
      <w:contextualSpacing/>
    </w:pPr>
    <w:rPr>
      <w:rFonts w:asciiTheme="minorHAnsi" w:eastAsiaTheme="minorHAnsi" w:hAnsiTheme="minorHAnsi" w:cstheme="minorBidi"/>
      <w:kern w:val="2"/>
      <w:sz w:val="24"/>
      <w:szCs w:val="24"/>
      <w:lang w:val="en-IN"/>
      <w14:ligatures w14:val="standardContextual"/>
    </w:rPr>
  </w:style>
  <w:style w:type="table" w:styleId="GridTable1Light">
    <w:name w:val="Grid Table 1 Light"/>
    <w:basedOn w:val="TableNormal"/>
    <w:uiPriority w:val="46"/>
    <w:rsid w:val="00F343C6"/>
    <w:rPr>
      <w:rFonts w:eastAsiaTheme="minorHAnsi" w:cstheme="minorBidi"/>
      <w:kern w:val="2"/>
      <w:sz w:val="24"/>
      <w:szCs w:val="24"/>
      <w:lang w:val="en-IN"/>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F343C6"/>
  </w:style>
  <w:style w:type="character" w:styleId="PlaceholderText">
    <w:name w:val="Placeholder Text"/>
    <w:basedOn w:val="DefaultParagraphFont"/>
    <w:uiPriority w:val="99"/>
    <w:semiHidden/>
    <w:rsid w:val="00486AE0"/>
    <w:rPr>
      <w:color w:val="666666"/>
    </w:rPr>
  </w:style>
  <w:style w:type="character" w:styleId="UnresolvedMention">
    <w:name w:val="Unresolved Mention"/>
    <w:basedOn w:val="DefaultParagraphFont"/>
    <w:uiPriority w:val="99"/>
    <w:semiHidden/>
    <w:unhideWhenUsed/>
    <w:rsid w:val="008F2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334839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49042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08309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5109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doi.org/10.1016/j.chemosphere.2019.03.163" TargetMode="External"/><Relationship Id="rId39" Type="http://schemas.openxmlformats.org/officeDocument/2006/relationships/hyperlink" Target="https://doi.org/10.1055/s-0032-1321785" TargetMode="External"/><Relationship Id="rId21" Type="http://schemas.openxmlformats.org/officeDocument/2006/relationships/image" Target="media/image3.emf"/><Relationship Id="rId34" Type="http://schemas.openxmlformats.org/officeDocument/2006/relationships/hyperlink" Target="https://doi.org/10.1007/s43188-020-00056-z" TargetMode="External"/><Relationship Id="rId42" Type="http://schemas.openxmlformats.org/officeDocument/2006/relationships/hyperlink" Target="https://doi.org/10.1016/j.watres.2016.04.027" TargetMode="External"/><Relationship Id="rId47" Type="http://schemas.openxmlformats.org/officeDocument/2006/relationships/hyperlink" Target="https://doi.org/10.1093/toxsci/kfq375" TargetMode="External"/><Relationship Id="rId50" Type="http://schemas.openxmlformats.org/officeDocument/2006/relationships/hyperlink" Target="https://doi.org/10.1016/j.scitotenv.2009.11.055" TargetMode="Externa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016/j.serj.2018.01.005" TargetMode="External"/><Relationship Id="rId11" Type="http://schemas.openxmlformats.org/officeDocument/2006/relationships/footer" Target="footer2.xml"/><Relationship Id="rId24" Type="http://schemas.openxmlformats.org/officeDocument/2006/relationships/hyperlink" Target="https://doi.org/10.1371/journal.pone.0136618" TargetMode="External"/><Relationship Id="rId32" Type="http://schemas.openxmlformats.org/officeDocument/2006/relationships/hyperlink" Target="https://doi.org/10.1016/j.chemosphere.2020.126675" TargetMode="External"/><Relationship Id="rId37" Type="http://schemas.openxmlformats.org/officeDocument/2006/relationships/hyperlink" Target="https://doi.org/10.1124/dmd.123.001279" TargetMode="External"/><Relationship Id="rId40" Type="http://schemas.openxmlformats.org/officeDocument/2006/relationships/hyperlink" Target="https://doi.org/10.1016/j.mrrev.2009.06.002" TargetMode="External"/><Relationship Id="rId45" Type="http://schemas.openxmlformats.org/officeDocument/2006/relationships/hyperlink" Target="https://doi.org/10.1016/j.chemosphere.2020.126193" TargetMode="External"/><Relationship Id="rId53" Type="http://schemas.openxmlformats.org/officeDocument/2006/relationships/hyperlink" Target="https://doi.org/10.1016/j.ecoenv.2019.02.027" TargetMode="External"/><Relationship Id="rId58"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016/j.jhazmat.2009.04.011" TargetMode="External"/><Relationship Id="rId27" Type="http://schemas.openxmlformats.org/officeDocument/2006/relationships/hyperlink" Target="https://doi.org/10.1016/j.envpol.2022.119546" TargetMode="External"/><Relationship Id="rId30" Type="http://schemas.openxmlformats.org/officeDocument/2006/relationships/hyperlink" Target="https://doi.org/10.1016/j.pharma.2020.10.012" TargetMode="External"/><Relationship Id="rId35" Type="http://schemas.openxmlformats.org/officeDocument/2006/relationships/hyperlink" Target="https://doi.org/10.1007/978-3-642-00663-0_12" TargetMode="External"/><Relationship Id="rId43" Type="http://schemas.openxmlformats.org/officeDocument/2006/relationships/hyperlink" Target="https://doi.org/10.1016/j.scitotenv.2012.11.049" TargetMode="External"/><Relationship Id="rId48" Type="http://schemas.openxmlformats.org/officeDocument/2006/relationships/hyperlink" Target="https://doi.org/10.1016/S0027-5107(02)00076-3" TargetMode="External"/><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doi.org/10.1016/0165-1161(94)90004-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5123/PUB.7308" TargetMode="External"/><Relationship Id="rId33" Type="http://schemas.openxmlformats.org/officeDocument/2006/relationships/hyperlink" Target="https://doi.org/10.1016/j.mrrev.2009.06.002" TargetMode="External"/><Relationship Id="rId38" Type="http://schemas.openxmlformats.org/officeDocument/2006/relationships/hyperlink" Target="https://doi.org/10.1007/978-1-0716-2433-3_3" TargetMode="External"/><Relationship Id="rId46" Type="http://schemas.openxmlformats.org/officeDocument/2006/relationships/hyperlink" Target="https://doi.org/10.1016/j.toxrep.2022.03.035" TargetMode="External"/><Relationship Id="rId5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hyperlink" Target="https://doi.org/10.1016/j.chemosphere.2012.12.061" TargetMode="External"/><Relationship Id="rId54" Type="http://schemas.openxmlformats.org/officeDocument/2006/relationships/hyperlink" Target="https://doi.org/10.1039/C9RA00483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371/journal.pone.0226315" TargetMode="External"/><Relationship Id="rId28" Type="http://schemas.openxmlformats.org/officeDocument/2006/relationships/hyperlink" Target="https://doi.org/10.1080/17425255.2023.2223959" TargetMode="External"/><Relationship Id="rId36" Type="http://schemas.openxmlformats.org/officeDocument/2006/relationships/hyperlink" Target="https://doi.org/10.3109/03602532.2011.602688" TargetMode="External"/><Relationship Id="rId49" Type="http://schemas.openxmlformats.org/officeDocument/2006/relationships/hyperlink" Target="https://doi.org/10.3390/ijerph19074262" TargetMode="Externa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s://doi.org/10.1111/j.1601-5223.1985.tb00471.x" TargetMode="External"/><Relationship Id="rId44" Type="http://schemas.openxmlformats.org/officeDocument/2006/relationships/hyperlink" Target="https://doi.org/10.1016/j.scitotenv.2019.134992" TargetMode="External"/><Relationship Id="rId52" Type="http://schemas.openxmlformats.org/officeDocument/2006/relationships/hyperlink" Target="https://doi.org/10.1016/j.sapharm.2020.05.024"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4CD54-9339-4520-80C6-02B26E191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158</TotalTime>
  <Pages>12</Pages>
  <Words>4069</Words>
  <Characters>23196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20</cp:revision>
  <cp:lastPrinted>1999-07-06T11:00:00Z</cp:lastPrinted>
  <dcterms:created xsi:type="dcterms:W3CDTF">2025-02-15T14:55:00Z</dcterms:created>
  <dcterms:modified xsi:type="dcterms:W3CDTF">2025-02-26T04:56:00Z</dcterms:modified>
</cp:coreProperties>
</file>