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19277" w14:textId="0BB8C25A" w:rsidR="004E5791" w:rsidRPr="006E0529" w:rsidRDefault="004E5791" w:rsidP="001A6C20">
      <w:pPr>
        <w:pStyle w:val="whitespace-pre-wrap"/>
        <w:spacing w:before="0" w:beforeAutospacing="0" w:after="0" w:afterAutospacing="0" w:line="360" w:lineRule="auto"/>
        <w:jc w:val="both"/>
        <w:rPr>
          <w:rFonts w:ascii="Arial" w:hAnsi="Arial" w:cs="Arial"/>
          <w:b/>
          <w:sz w:val="36"/>
        </w:rPr>
      </w:pPr>
      <w:r w:rsidRPr="006E0529">
        <w:rPr>
          <w:rFonts w:ascii="Arial" w:hAnsi="Arial" w:cs="Arial"/>
          <w:b/>
          <w:sz w:val="36"/>
        </w:rPr>
        <w:t xml:space="preserve">The Biology and Evolution of Canine Transmissible Venereal </w:t>
      </w:r>
      <w:proofErr w:type="spellStart"/>
      <w:r w:rsidRPr="006E0529">
        <w:rPr>
          <w:rFonts w:ascii="Arial" w:hAnsi="Arial" w:cs="Arial"/>
          <w:b/>
          <w:sz w:val="36"/>
        </w:rPr>
        <w:t>Tumour</w:t>
      </w:r>
      <w:proofErr w:type="spellEnd"/>
      <w:r w:rsidRPr="006E0529">
        <w:rPr>
          <w:rFonts w:ascii="Arial" w:hAnsi="Arial" w:cs="Arial"/>
          <w:b/>
          <w:sz w:val="36"/>
        </w:rPr>
        <w:t>: A Review</w:t>
      </w:r>
    </w:p>
    <w:p w14:paraId="6AFC6D5C" w14:textId="73610917" w:rsidR="00312DFF" w:rsidRPr="00207B2E" w:rsidRDefault="00312DFF" w:rsidP="00312DFF">
      <w:pPr>
        <w:pStyle w:val="whitespace-pre-wrap"/>
        <w:spacing w:before="0" w:beforeAutospacing="0" w:after="0" w:afterAutospacing="0" w:line="360" w:lineRule="auto"/>
        <w:jc w:val="both"/>
        <w:rPr>
          <w:rFonts w:ascii="Arial" w:hAnsi="Arial" w:cs="Arial"/>
          <w:sz w:val="20"/>
        </w:rPr>
      </w:pPr>
    </w:p>
    <w:p w14:paraId="67A2D986" w14:textId="02794EB2" w:rsidR="000005AF" w:rsidRPr="00904D36" w:rsidRDefault="00904D36" w:rsidP="000005AF">
      <w:pPr>
        <w:pStyle w:val="whitespace-pre-wrap"/>
        <w:spacing w:before="0" w:beforeAutospacing="0" w:after="0" w:afterAutospacing="0" w:line="360" w:lineRule="auto"/>
        <w:jc w:val="both"/>
        <w:rPr>
          <w:rFonts w:ascii="Arial" w:hAnsi="Arial" w:cs="Arial"/>
          <w:b/>
          <w:sz w:val="22"/>
        </w:rPr>
      </w:pPr>
      <w:r w:rsidRPr="00904D36">
        <w:rPr>
          <w:rFonts w:ascii="Arial" w:hAnsi="Arial" w:cs="Arial"/>
          <w:b/>
          <w:sz w:val="22"/>
        </w:rPr>
        <w:t>ABSTRACT</w:t>
      </w:r>
    </w:p>
    <w:p w14:paraId="5429C67D" w14:textId="42B3223D" w:rsidR="009F19A8" w:rsidRDefault="009F19A8" w:rsidP="009F19A8">
      <w:pPr>
        <w:pStyle w:val="whitespace-pre-wrap"/>
        <w:spacing w:before="0" w:beforeAutospacing="0" w:after="0" w:afterAutospacing="0" w:line="360" w:lineRule="auto"/>
        <w:jc w:val="both"/>
        <w:rPr>
          <w:rFonts w:ascii="Arial" w:hAnsi="Arial" w:cs="Arial"/>
          <w:sz w:val="20"/>
        </w:rPr>
      </w:pPr>
      <w:r w:rsidRPr="00904D36">
        <w:rPr>
          <w:rFonts w:ascii="Arial" w:hAnsi="Arial" w:cs="Arial"/>
          <w:sz w:val="20"/>
        </w:rPr>
        <w:t xml:space="preserve">The </w:t>
      </w:r>
      <w:r>
        <w:rPr>
          <w:rFonts w:ascii="Arial" w:hAnsi="Arial" w:cs="Arial"/>
          <w:sz w:val="20"/>
        </w:rPr>
        <w:t>c</w:t>
      </w:r>
      <w:r w:rsidRPr="00904D36">
        <w:rPr>
          <w:rFonts w:ascii="Arial" w:hAnsi="Arial" w:cs="Arial"/>
          <w:sz w:val="20"/>
        </w:rPr>
        <w:t xml:space="preserve">anine </w:t>
      </w:r>
      <w:r>
        <w:rPr>
          <w:rFonts w:ascii="Arial" w:hAnsi="Arial" w:cs="Arial"/>
          <w:sz w:val="20"/>
        </w:rPr>
        <w:t>t</w:t>
      </w:r>
      <w:r w:rsidRPr="00904D36">
        <w:rPr>
          <w:rFonts w:ascii="Arial" w:hAnsi="Arial" w:cs="Arial"/>
          <w:sz w:val="20"/>
        </w:rPr>
        <w:t xml:space="preserve">ransmissible </w:t>
      </w:r>
      <w:r>
        <w:rPr>
          <w:rFonts w:ascii="Arial" w:hAnsi="Arial" w:cs="Arial"/>
          <w:sz w:val="20"/>
        </w:rPr>
        <w:t>v</w:t>
      </w:r>
      <w:r w:rsidRPr="00904D36">
        <w:rPr>
          <w:rFonts w:ascii="Arial" w:hAnsi="Arial" w:cs="Arial"/>
          <w:sz w:val="20"/>
        </w:rPr>
        <w:t xml:space="preserve">enereal </w:t>
      </w:r>
      <w:proofErr w:type="spellStart"/>
      <w:r>
        <w:rPr>
          <w:rFonts w:ascii="Arial" w:hAnsi="Arial" w:cs="Arial"/>
          <w:sz w:val="20"/>
        </w:rPr>
        <w:t>t</w:t>
      </w:r>
      <w:r w:rsidRPr="00904D36">
        <w:rPr>
          <w:rFonts w:ascii="Arial" w:hAnsi="Arial" w:cs="Arial"/>
          <w:sz w:val="20"/>
        </w:rPr>
        <w:t>umour</w:t>
      </w:r>
      <w:proofErr w:type="spellEnd"/>
      <w:r w:rsidRPr="00904D36">
        <w:rPr>
          <w:rFonts w:ascii="Arial" w:hAnsi="Arial" w:cs="Arial"/>
          <w:sz w:val="20"/>
        </w:rPr>
        <w:t xml:space="preserve"> represents one </w:t>
      </w:r>
      <w:proofErr w:type="spellStart"/>
      <w:r w:rsidR="001F6105">
        <w:rPr>
          <w:rFonts w:ascii="Arial" w:hAnsi="Arial" w:cs="Arial"/>
          <w:sz w:val="20"/>
        </w:rPr>
        <w:t>f</w:t>
      </w:r>
      <w:r w:rsidRPr="00904D36">
        <w:rPr>
          <w:rFonts w:ascii="Arial" w:hAnsi="Arial" w:cs="Arial"/>
          <w:sz w:val="20"/>
        </w:rPr>
        <w:t>of</w:t>
      </w:r>
      <w:proofErr w:type="spellEnd"/>
      <w:r w:rsidRPr="00904D36">
        <w:rPr>
          <w:rFonts w:ascii="Arial" w:hAnsi="Arial" w:cs="Arial"/>
          <w:sz w:val="20"/>
        </w:rPr>
        <w:t xml:space="preserve"> only three </w:t>
      </w:r>
      <w:proofErr w:type="gramStart"/>
      <w:r w:rsidRPr="00904D36">
        <w:rPr>
          <w:rFonts w:ascii="Arial" w:hAnsi="Arial" w:cs="Arial"/>
          <w:sz w:val="20"/>
        </w:rPr>
        <w:t>known</w:t>
      </w:r>
      <w:proofErr w:type="gramEnd"/>
      <w:r w:rsidRPr="00904D36">
        <w:rPr>
          <w:rFonts w:ascii="Arial" w:hAnsi="Arial" w:cs="Arial"/>
          <w:sz w:val="20"/>
        </w:rPr>
        <w:t xml:space="preserve"> naturally occurring transmissible cancers, distinguished by its remarkable 11,000-year evolutionary history. This unique neoplasm, first documented in 1876, spreads through the transfer of viable cancer cells during physical contact, primarily affecting the external genitalia of do</w:t>
      </w:r>
      <w:bookmarkStart w:id="0" w:name="_GoBack"/>
      <w:bookmarkEnd w:id="0"/>
      <w:r w:rsidRPr="00904D36">
        <w:rPr>
          <w:rFonts w:ascii="Arial" w:hAnsi="Arial" w:cs="Arial"/>
          <w:sz w:val="20"/>
        </w:rPr>
        <w:t xml:space="preserve">gs. </w:t>
      </w:r>
      <w:r>
        <w:rPr>
          <w:rFonts w:ascii="Arial" w:hAnsi="Arial" w:cs="Arial"/>
          <w:sz w:val="20"/>
        </w:rPr>
        <w:t xml:space="preserve">It </w:t>
      </w:r>
      <w:r w:rsidRPr="00904D36">
        <w:rPr>
          <w:rFonts w:ascii="Arial" w:hAnsi="Arial" w:cs="Arial"/>
          <w:sz w:val="20"/>
        </w:rPr>
        <w:t>exhibits distinct genetic characteristics, including an aneuploid karyotype of 57-59 chromosomes and a characteristic LINE-1 insertion near the c-</w:t>
      </w:r>
      <w:proofErr w:type="spellStart"/>
      <w:r w:rsidRPr="00904D36">
        <w:rPr>
          <w:rFonts w:ascii="Arial" w:hAnsi="Arial" w:cs="Arial"/>
          <w:sz w:val="20"/>
        </w:rPr>
        <w:t>myc</w:t>
      </w:r>
      <w:proofErr w:type="spellEnd"/>
      <w:r w:rsidRPr="00904D36">
        <w:rPr>
          <w:rFonts w:ascii="Arial" w:hAnsi="Arial" w:cs="Arial"/>
          <w:sz w:val="20"/>
        </w:rPr>
        <w:t xml:space="preserve"> gene. The </w:t>
      </w:r>
      <w:proofErr w:type="spellStart"/>
      <w:r w:rsidRPr="00904D36">
        <w:rPr>
          <w:rFonts w:ascii="Arial" w:hAnsi="Arial" w:cs="Arial"/>
          <w:sz w:val="20"/>
        </w:rPr>
        <w:t>tumour</w:t>
      </w:r>
      <w:proofErr w:type="spellEnd"/>
      <w:r w:rsidRPr="00904D36">
        <w:rPr>
          <w:rFonts w:ascii="Arial" w:hAnsi="Arial" w:cs="Arial"/>
          <w:sz w:val="20"/>
        </w:rPr>
        <w:t xml:space="preserve"> demonstrates sophisticated host manipulation mechanisms, including the modulation of erythropoietin levels and immune responses. </w:t>
      </w:r>
      <w:r>
        <w:rPr>
          <w:rFonts w:ascii="Arial" w:hAnsi="Arial" w:cs="Arial"/>
          <w:sz w:val="20"/>
        </w:rPr>
        <w:t>Its</w:t>
      </w:r>
      <w:r w:rsidRPr="00904D36">
        <w:rPr>
          <w:rFonts w:ascii="Arial" w:hAnsi="Arial" w:cs="Arial"/>
          <w:sz w:val="20"/>
        </w:rPr>
        <w:t xml:space="preserve"> growth pattern follows three phases: progressive, static, and regression, with approximately 80% of cases eventually regressing due to host immune response. The </w:t>
      </w:r>
      <w:proofErr w:type="spellStart"/>
      <w:r w:rsidRPr="00904D36">
        <w:rPr>
          <w:rFonts w:ascii="Arial" w:hAnsi="Arial" w:cs="Arial"/>
          <w:sz w:val="20"/>
        </w:rPr>
        <w:t>tumour</w:t>
      </w:r>
      <w:proofErr w:type="spellEnd"/>
      <w:r w:rsidRPr="00904D36">
        <w:rPr>
          <w:rFonts w:ascii="Arial" w:hAnsi="Arial" w:cs="Arial"/>
          <w:sz w:val="20"/>
        </w:rPr>
        <w:t xml:space="preserve"> employs various immune evasion strategies, including the suppression of </w:t>
      </w:r>
      <w:r>
        <w:rPr>
          <w:rFonts w:ascii="Arial" w:hAnsi="Arial" w:cs="Arial"/>
          <w:sz w:val="20"/>
        </w:rPr>
        <w:t xml:space="preserve">major histocompatibility complex </w:t>
      </w:r>
      <w:r w:rsidRPr="00904D36">
        <w:rPr>
          <w:rFonts w:ascii="Arial" w:hAnsi="Arial" w:cs="Arial"/>
          <w:sz w:val="20"/>
        </w:rPr>
        <w:t>molecule expression and the secretion of immunosuppressive factors. A notable adaptive feature is its ability to acquire mitochondrial</w:t>
      </w:r>
      <w:r>
        <w:rPr>
          <w:rFonts w:ascii="Arial" w:hAnsi="Arial" w:cs="Arial"/>
          <w:sz w:val="20"/>
        </w:rPr>
        <w:t xml:space="preserve"> deoxyribonucleic acid</w:t>
      </w:r>
      <w:r w:rsidRPr="00904D36">
        <w:rPr>
          <w:rFonts w:ascii="Arial" w:hAnsi="Arial" w:cs="Arial"/>
          <w:sz w:val="20"/>
        </w:rPr>
        <w:t xml:space="preserve"> DNA from host cells, potentially contributing to its long-term survival. The disease shows particular prevalence in tropical and subtropical regions, with incidence rates of 23-43% among sexually active dogs. While primarily affecting dogs aged 2-5 years, </w:t>
      </w:r>
      <w:r>
        <w:rPr>
          <w:rFonts w:ascii="Arial" w:hAnsi="Arial" w:cs="Arial"/>
          <w:sz w:val="20"/>
        </w:rPr>
        <w:t>it</w:t>
      </w:r>
      <w:r w:rsidRPr="00904D36">
        <w:rPr>
          <w:rFonts w:ascii="Arial" w:hAnsi="Arial" w:cs="Arial"/>
          <w:sz w:val="20"/>
        </w:rPr>
        <w:t xml:space="preserve"> can be experimentally transmitted to other Canidae family members. The study of </w:t>
      </w:r>
      <w:r>
        <w:rPr>
          <w:rFonts w:ascii="Arial" w:hAnsi="Arial" w:cs="Arial"/>
          <w:sz w:val="20"/>
        </w:rPr>
        <w:t xml:space="preserve">this </w:t>
      </w:r>
      <w:proofErr w:type="spellStart"/>
      <w:r>
        <w:rPr>
          <w:rFonts w:ascii="Arial" w:hAnsi="Arial" w:cs="Arial"/>
          <w:sz w:val="20"/>
        </w:rPr>
        <w:t>tumour</w:t>
      </w:r>
      <w:proofErr w:type="spellEnd"/>
      <w:r w:rsidRPr="00904D36">
        <w:rPr>
          <w:rFonts w:ascii="Arial" w:hAnsi="Arial" w:cs="Arial"/>
          <w:sz w:val="20"/>
        </w:rPr>
        <w:t xml:space="preserve"> provides valuable insights into cancer evolution, host-pathogen relationships, and immune system interactions, offering potential applications for understanding cancer biology and developing novel therapeutic approaches.</w:t>
      </w:r>
    </w:p>
    <w:p w14:paraId="61B08678" w14:textId="77777777" w:rsidR="009F19A8" w:rsidRPr="00207B2E" w:rsidRDefault="009F19A8" w:rsidP="009F19A8">
      <w:pPr>
        <w:pStyle w:val="whitespace-pre-wrap"/>
        <w:spacing w:before="0" w:beforeAutospacing="0" w:after="0" w:afterAutospacing="0" w:line="360" w:lineRule="auto"/>
        <w:jc w:val="both"/>
        <w:rPr>
          <w:rFonts w:ascii="Arial" w:hAnsi="Arial" w:cs="Arial"/>
          <w:b/>
          <w:sz w:val="20"/>
        </w:rPr>
      </w:pPr>
      <w:r w:rsidRPr="00207B2E">
        <w:rPr>
          <w:rFonts w:ascii="Arial" w:hAnsi="Arial" w:cs="Arial"/>
          <w:b/>
          <w:sz w:val="20"/>
        </w:rPr>
        <w:t>Keywords:</w:t>
      </w:r>
      <w:r>
        <w:rPr>
          <w:rFonts w:ascii="Arial" w:hAnsi="Arial" w:cs="Arial"/>
          <w:sz w:val="20"/>
        </w:rPr>
        <w:t xml:space="preserve"> Canine</w:t>
      </w:r>
      <w:r w:rsidRPr="00207B2E">
        <w:rPr>
          <w:rFonts w:ascii="Arial" w:hAnsi="Arial" w:cs="Arial"/>
          <w:sz w:val="20"/>
        </w:rPr>
        <w:t xml:space="preserve">, </w:t>
      </w:r>
      <w:r>
        <w:rPr>
          <w:rFonts w:ascii="Arial" w:hAnsi="Arial" w:cs="Arial"/>
          <w:sz w:val="20"/>
        </w:rPr>
        <w:t>T</w:t>
      </w:r>
      <w:r w:rsidRPr="00207B2E">
        <w:rPr>
          <w:rFonts w:ascii="Arial" w:hAnsi="Arial" w:cs="Arial"/>
          <w:sz w:val="20"/>
        </w:rPr>
        <w:t xml:space="preserve">ransmissible cancer, </w:t>
      </w:r>
      <w:r>
        <w:rPr>
          <w:rFonts w:ascii="Arial" w:hAnsi="Arial" w:cs="Arial"/>
          <w:sz w:val="20"/>
        </w:rPr>
        <w:t>I</w:t>
      </w:r>
      <w:r w:rsidRPr="00207B2E">
        <w:rPr>
          <w:rFonts w:ascii="Arial" w:hAnsi="Arial" w:cs="Arial"/>
          <w:sz w:val="20"/>
        </w:rPr>
        <w:t>mmune evasion, LINE-1</w:t>
      </w:r>
    </w:p>
    <w:p w14:paraId="37A3B782" w14:textId="77777777" w:rsidR="00904D36" w:rsidRDefault="00904D36" w:rsidP="001A6C20">
      <w:pPr>
        <w:pStyle w:val="whitespace-pre-wrap"/>
        <w:spacing w:before="0" w:beforeAutospacing="0" w:after="0" w:afterAutospacing="0" w:line="360" w:lineRule="auto"/>
        <w:jc w:val="both"/>
        <w:rPr>
          <w:b/>
        </w:rPr>
      </w:pPr>
    </w:p>
    <w:p w14:paraId="7FF83976" w14:textId="77777777" w:rsidR="006E0529" w:rsidRDefault="006E0529" w:rsidP="001A6C20">
      <w:pPr>
        <w:pStyle w:val="whitespace-pre-wrap"/>
        <w:spacing w:before="0" w:beforeAutospacing="0" w:after="0" w:afterAutospacing="0" w:line="360" w:lineRule="auto"/>
        <w:jc w:val="both"/>
        <w:rPr>
          <w:rFonts w:ascii="Arial" w:hAnsi="Arial" w:cs="Arial"/>
          <w:b/>
          <w:sz w:val="22"/>
        </w:rPr>
      </w:pPr>
    </w:p>
    <w:p w14:paraId="454002D6" w14:textId="77777777" w:rsidR="006E0529" w:rsidRDefault="006E0529" w:rsidP="001A6C20">
      <w:pPr>
        <w:pStyle w:val="whitespace-pre-wrap"/>
        <w:spacing w:before="0" w:beforeAutospacing="0" w:after="0" w:afterAutospacing="0" w:line="360" w:lineRule="auto"/>
        <w:jc w:val="both"/>
        <w:rPr>
          <w:rFonts w:ascii="Arial" w:hAnsi="Arial" w:cs="Arial"/>
          <w:b/>
          <w:sz w:val="22"/>
        </w:rPr>
      </w:pPr>
    </w:p>
    <w:p w14:paraId="11C4DFA1" w14:textId="3844E476" w:rsidR="00B63E35" w:rsidRPr="00904D36" w:rsidRDefault="00511800" w:rsidP="00207B2E">
      <w:pPr>
        <w:pStyle w:val="whitespace-pre-wrap"/>
        <w:spacing w:before="0" w:beforeAutospacing="0" w:after="0" w:afterAutospacing="0" w:line="360" w:lineRule="auto"/>
        <w:jc w:val="both"/>
        <w:rPr>
          <w:rFonts w:ascii="Arial" w:hAnsi="Arial" w:cs="Arial"/>
          <w:b/>
          <w:sz w:val="22"/>
        </w:rPr>
      </w:pPr>
      <w:r>
        <w:rPr>
          <w:rFonts w:ascii="Arial" w:hAnsi="Arial" w:cs="Arial"/>
          <w:b/>
          <w:sz w:val="22"/>
        </w:rPr>
        <w:t xml:space="preserve">1. </w:t>
      </w:r>
      <w:r w:rsidRPr="00904D36">
        <w:rPr>
          <w:rFonts w:ascii="Arial" w:hAnsi="Arial" w:cs="Arial"/>
          <w:b/>
          <w:sz w:val="22"/>
        </w:rPr>
        <w:t>Introduction</w:t>
      </w:r>
    </w:p>
    <w:p w14:paraId="452CB1E0" w14:textId="04D7D4A1" w:rsidR="004E5791" w:rsidRPr="00904D36" w:rsidRDefault="007B3F95" w:rsidP="001A6C20">
      <w:pPr>
        <w:pStyle w:val="whitespace-pre-wrap"/>
        <w:spacing w:before="0" w:beforeAutospacing="0" w:after="0" w:afterAutospacing="0" w:line="360" w:lineRule="auto"/>
        <w:jc w:val="both"/>
        <w:rPr>
          <w:rFonts w:ascii="Arial" w:hAnsi="Arial" w:cs="Arial"/>
          <w:sz w:val="20"/>
        </w:rPr>
      </w:pPr>
      <w:proofErr w:type="spellStart"/>
      <w:r w:rsidRPr="00904D36">
        <w:rPr>
          <w:rFonts w:ascii="Arial" w:hAnsi="Arial" w:cs="Arial"/>
          <w:sz w:val="20"/>
        </w:rPr>
        <w:t>Tumour</w:t>
      </w:r>
      <w:proofErr w:type="spellEnd"/>
      <w:r w:rsidR="004E5791" w:rsidRPr="00904D36">
        <w:rPr>
          <w:rFonts w:ascii="Arial" w:hAnsi="Arial" w:cs="Arial"/>
          <w:sz w:val="20"/>
        </w:rPr>
        <w:t xml:space="preserve"> development fundamentally begins with the transformation of normal cells through genetic mutations, establishing what becomes the </w:t>
      </w:r>
      <w:proofErr w:type="spellStart"/>
      <w:r w:rsidRPr="00904D36">
        <w:rPr>
          <w:rFonts w:ascii="Arial" w:hAnsi="Arial" w:cs="Arial"/>
          <w:sz w:val="20"/>
        </w:rPr>
        <w:t>tumour</w:t>
      </w:r>
      <w:r w:rsidR="00B63E35" w:rsidRPr="00904D36">
        <w:rPr>
          <w:rFonts w:ascii="Arial" w:hAnsi="Arial" w:cs="Arial"/>
          <w:sz w:val="20"/>
        </w:rPr>
        <w:t>’s</w:t>
      </w:r>
      <w:proofErr w:type="spellEnd"/>
      <w:r w:rsidR="004E5791" w:rsidRPr="00904D36">
        <w:rPr>
          <w:rFonts w:ascii="Arial" w:hAnsi="Arial" w:cs="Arial"/>
          <w:sz w:val="20"/>
        </w:rPr>
        <w:t xml:space="preserve"> cell of origin </w:t>
      </w:r>
      <w:r w:rsidR="003F38C6">
        <w:rPr>
          <w:rFonts w:ascii="Arial" w:hAnsi="Arial" w:cs="Arial"/>
          <w:sz w:val="20"/>
        </w:rPr>
        <w:t>(1)</w:t>
      </w:r>
      <w:r w:rsidR="004E5791" w:rsidRPr="00904D36">
        <w:rPr>
          <w:rFonts w:ascii="Arial" w:hAnsi="Arial" w:cs="Arial"/>
          <w:sz w:val="20"/>
        </w:rPr>
        <w:t>. As proposed by Nowell</w:t>
      </w:r>
      <w:r w:rsidR="009F19A8">
        <w:rPr>
          <w:rFonts w:ascii="Arial" w:hAnsi="Arial" w:cs="Arial"/>
          <w:sz w:val="20"/>
        </w:rPr>
        <w:t xml:space="preserve">, </w:t>
      </w:r>
      <w:r w:rsidR="004E5791" w:rsidRPr="00904D36">
        <w:rPr>
          <w:rFonts w:ascii="Arial" w:hAnsi="Arial" w:cs="Arial"/>
          <w:sz w:val="20"/>
        </w:rPr>
        <w:t>197</w:t>
      </w:r>
      <w:r w:rsidR="009F19A8">
        <w:rPr>
          <w:rFonts w:ascii="Arial" w:hAnsi="Arial" w:cs="Arial"/>
          <w:sz w:val="20"/>
        </w:rPr>
        <w:t xml:space="preserve">6, </w:t>
      </w:r>
      <w:r w:rsidR="003F38C6">
        <w:rPr>
          <w:rFonts w:ascii="Arial" w:hAnsi="Arial" w:cs="Arial"/>
          <w:sz w:val="20"/>
        </w:rPr>
        <w:t>(2)</w:t>
      </w:r>
      <w:r w:rsidR="00D050F2" w:rsidRPr="00904D36">
        <w:rPr>
          <w:rFonts w:ascii="Arial" w:hAnsi="Arial" w:cs="Arial"/>
          <w:sz w:val="20"/>
        </w:rPr>
        <w:t>,</w:t>
      </w:r>
      <w:r w:rsidR="004E5791" w:rsidRPr="00904D36">
        <w:rPr>
          <w:rFonts w:ascii="Arial" w:hAnsi="Arial" w:cs="Arial"/>
          <w:sz w:val="20"/>
        </w:rPr>
        <w:t xml:space="preserve"> </w:t>
      </w:r>
      <w:proofErr w:type="spellStart"/>
      <w:r w:rsidRPr="00904D36">
        <w:rPr>
          <w:rFonts w:ascii="Arial" w:hAnsi="Arial" w:cs="Arial"/>
          <w:sz w:val="20"/>
        </w:rPr>
        <w:t>tumour</w:t>
      </w:r>
      <w:proofErr w:type="spellEnd"/>
      <w:r w:rsidR="004E5791" w:rsidRPr="00904D36">
        <w:rPr>
          <w:rFonts w:ascii="Arial" w:hAnsi="Arial" w:cs="Arial"/>
          <w:sz w:val="20"/>
        </w:rPr>
        <w:t xml:space="preserve"> evolution proceeds through genetic instability that drives the clonal expansion of adapted cells, ultimately leading to malignancy, metastasis, and therapy resistance. While most </w:t>
      </w:r>
      <w:proofErr w:type="spellStart"/>
      <w:r w:rsidRPr="00904D36">
        <w:rPr>
          <w:rFonts w:ascii="Arial" w:hAnsi="Arial" w:cs="Arial"/>
          <w:sz w:val="20"/>
        </w:rPr>
        <w:t>tumour</w:t>
      </w:r>
      <w:r w:rsidR="00B63E35" w:rsidRPr="00904D36">
        <w:rPr>
          <w:rFonts w:ascii="Arial" w:hAnsi="Arial" w:cs="Arial"/>
          <w:sz w:val="20"/>
        </w:rPr>
        <w:t>s</w:t>
      </w:r>
      <w:proofErr w:type="spellEnd"/>
      <w:r w:rsidR="004E5791" w:rsidRPr="00904D36">
        <w:rPr>
          <w:rFonts w:ascii="Arial" w:hAnsi="Arial" w:cs="Arial"/>
          <w:sz w:val="20"/>
        </w:rPr>
        <w:t xml:space="preserve"> remain confined to their original host, there exist three remarkable exceptions of naturally occurring transmissible neoplasms: Canine Transmissible Venereal </w:t>
      </w:r>
      <w:proofErr w:type="spellStart"/>
      <w:r w:rsidR="004E5791" w:rsidRPr="00904D36">
        <w:rPr>
          <w:rFonts w:ascii="Arial" w:hAnsi="Arial" w:cs="Arial"/>
          <w:sz w:val="20"/>
        </w:rPr>
        <w:t>Tumour</w:t>
      </w:r>
      <w:proofErr w:type="spellEnd"/>
      <w:r w:rsidR="009F19A8">
        <w:rPr>
          <w:rFonts w:ascii="Arial" w:hAnsi="Arial" w:cs="Arial"/>
          <w:sz w:val="20"/>
        </w:rPr>
        <w:t xml:space="preserve"> (CTVT)</w:t>
      </w:r>
      <w:r w:rsidR="004E5791" w:rsidRPr="00904D36">
        <w:rPr>
          <w:rFonts w:ascii="Arial" w:hAnsi="Arial" w:cs="Arial"/>
          <w:sz w:val="20"/>
        </w:rPr>
        <w:t xml:space="preserve">, Tasmanian Devil Facial </w:t>
      </w:r>
      <w:proofErr w:type="spellStart"/>
      <w:r w:rsidR="004E5791" w:rsidRPr="00904D36">
        <w:rPr>
          <w:rFonts w:ascii="Arial" w:hAnsi="Arial" w:cs="Arial"/>
          <w:sz w:val="20"/>
        </w:rPr>
        <w:t>Tumour</w:t>
      </w:r>
      <w:proofErr w:type="spellEnd"/>
      <w:r w:rsidR="004E5791" w:rsidRPr="00904D36">
        <w:rPr>
          <w:rFonts w:ascii="Arial" w:hAnsi="Arial" w:cs="Arial"/>
          <w:sz w:val="20"/>
        </w:rPr>
        <w:t xml:space="preserve"> Diseases (DFTD), and bivalve transmissible neoplasia</w:t>
      </w:r>
      <w:r w:rsidR="009F19A8">
        <w:rPr>
          <w:rFonts w:ascii="Arial" w:hAnsi="Arial" w:cs="Arial"/>
          <w:sz w:val="20"/>
        </w:rPr>
        <w:t xml:space="preserve"> (BTN)</w:t>
      </w:r>
      <w:r w:rsidR="004E5791" w:rsidRPr="00904D36">
        <w:rPr>
          <w:rFonts w:ascii="Arial" w:hAnsi="Arial" w:cs="Arial"/>
          <w:sz w:val="20"/>
        </w:rPr>
        <w:t xml:space="preserve"> (</w:t>
      </w:r>
      <w:r w:rsidR="003F38C6">
        <w:rPr>
          <w:rFonts w:ascii="Arial" w:hAnsi="Arial" w:cs="Arial"/>
          <w:sz w:val="20"/>
        </w:rPr>
        <w:t>3</w:t>
      </w:r>
      <w:r w:rsidR="004E5791" w:rsidRPr="00904D36">
        <w:rPr>
          <w:rFonts w:ascii="Arial" w:hAnsi="Arial" w:cs="Arial"/>
          <w:sz w:val="20"/>
        </w:rPr>
        <w:t>).</w:t>
      </w:r>
    </w:p>
    <w:p w14:paraId="3E9A7081" w14:textId="412C1AF4" w:rsidR="004E5791" w:rsidRPr="00904D36" w:rsidRDefault="004E5791" w:rsidP="001A6C20">
      <w:pPr>
        <w:pStyle w:val="whitespace-pre-wrap"/>
        <w:spacing w:before="0" w:beforeAutospacing="0" w:after="0" w:afterAutospacing="0" w:line="360" w:lineRule="auto"/>
        <w:jc w:val="both"/>
        <w:rPr>
          <w:rFonts w:ascii="Arial" w:hAnsi="Arial" w:cs="Arial"/>
          <w:sz w:val="20"/>
        </w:rPr>
      </w:pPr>
      <w:r w:rsidRPr="00904D36">
        <w:rPr>
          <w:rFonts w:ascii="Arial" w:hAnsi="Arial" w:cs="Arial"/>
          <w:sz w:val="20"/>
        </w:rPr>
        <w:t xml:space="preserve">Among these, CTVT stands as the oldest known transmissible cancer in dogs, first documented by </w:t>
      </w:r>
      <w:proofErr w:type="spellStart"/>
      <w:r w:rsidRPr="00904D36">
        <w:rPr>
          <w:rFonts w:ascii="Arial" w:hAnsi="Arial" w:cs="Arial"/>
          <w:sz w:val="20"/>
        </w:rPr>
        <w:t>Nowinsky</w:t>
      </w:r>
      <w:proofErr w:type="spellEnd"/>
      <w:r w:rsidRPr="00904D36">
        <w:rPr>
          <w:rFonts w:ascii="Arial" w:hAnsi="Arial" w:cs="Arial"/>
          <w:sz w:val="20"/>
        </w:rPr>
        <w:t xml:space="preserve"> in 1876. Known by various names including canine infectious sarcoma and canine venereal </w:t>
      </w:r>
      <w:r w:rsidRPr="00904D36">
        <w:rPr>
          <w:rFonts w:ascii="Arial" w:hAnsi="Arial" w:cs="Arial"/>
          <w:sz w:val="20"/>
        </w:rPr>
        <w:lastRenderedPageBreak/>
        <w:t>granuloma (</w:t>
      </w:r>
      <w:r w:rsidR="003F38C6">
        <w:rPr>
          <w:rFonts w:ascii="Arial" w:hAnsi="Arial" w:cs="Arial"/>
          <w:sz w:val="20"/>
        </w:rPr>
        <w:t>4</w:t>
      </w:r>
      <w:r w:rsidRPr="00904D36">
        <w:rPr>
          <w:rFonts w:ascii="Arial" w:hAnsi="Arial" w:cs="Arial"/>
          <w:sz w:val="20"/>
        </w:rPr>
        <w:t>), this remarkable neoplasm is estimated to have originated approximately 11,000 years ago (5). The disease shows particular prevalence in tropical and subtropical regions, with incidence rates ranging from 23-43% among sexually active dogs (</w:t>
      </w:r>
      <w:r w:rsidR="003F38C6">
        <w:rPr>
          <w:rFonts w:ascii="Arial" w:hAnsi="Arial" w:cs="Arial"/>
          <w:sz w:val="20"/>
        </w:rPr>
        <w:t>6</w:t>
      </w:r>
      <w:r w:rsidRPr="00904D36">
        <w:rPr>
          <w:rFonts w:ascii="Arial" w:hAnsi="Arial" w:cs="Arial"/>
          <w:sz w:val="20"/>
        </w:rPr>
        <w:t xml:space="preserve">). Transmission occurs through the transfer of viable neoplastic cells during sexual contact or physical interactions such as biting, scratching, or licking affected areas </w:t>
      </w:r>
      <w:r w:rsidR="00B95540" w:rsidRPr="00904D36">
        <w:rPr>
          <w:rFonts w:ascii="Arial" w:hAnsi="Arial" w:cs="Arial"/>
          <w:sz w:val="20"/>
        </w:rPr>
        <w:t>(7,8)</w:t>
      </w:r>
      <w:r w:rsidRPr="00904D36">
        <w:rPr>
          <w:rFonts w:ascii="Arial" w:hAnsi="Arial" w:cs="Arial"/>
          <w:sz w:val="20"/>
        </w:rPr>
        <w:t>. While primarily affecting dogs, experimental transmission has successfully occurred in other Canidae family members, including wolves, coyotes, red foxes, and jackals, demonstrating its species specificity (</w:t>
      </w:r>
      <w:r w:rsidR="003F38C6">
        <w:rPr>
          <w:rFonts w:ascii="Arial" w:hAnsi="Arial" w:cs="Arial"/>
          <w:sz w:val="20"/>
        </w:rPr>
        <w:t>9</w:t>
      </w:r>
      <w:r w:rsidRPr="00904D36">
        <w:rPr>
          <w:rFonts w:ascii="Arial" w:hAnsi="Arial" w:cs="Arial"/>
          <w:sz w:val="20"/>
        </w:rPr>
        <w:t>)</w:t>
      </w:r>
      <w:r w:rsidR="00D050F2" w:rsidRPr="00904D36">
        <w:rPr>
          <w:rFonts w:ascii="Arial" w:hAnsi="Arial" w:cs="Arial"/>
          <w:sz w:val="20"/>
        </w:rPr>
        <w:t xml:space="preserve">. </w:t>
      </w:r>
      <w:r w:rsidRPr="00904D36">
        <w:rPr>
          <w:rFonts w:ascii="Arial" w:hAnsi="Arial" w:cs="Arial"/>
          <w:sz w:val="20"/>
        </w:rPr>
        <w:t>CTVT exhibits distinct genetic characteristics, including an aneuploid karyotype of 57-59 chromosomes (42 acrocentric, 15-17 metacentric), which differs notably from the normal canine karyotype of 78 chromosomes (</w:t>
      </w:r>
      <w:r w:rsidR="003F38C6">
        <w:rPr>
          <w:rFonts w:ascii="Arial" w:hAnsi="Arial" w:cs="Arial"/>
          <w:sz w:val="20"/>
        </w:rPr>
        <w:t>9</w:t>
      </w:r>
      <w:r w:rsidRPr="00904D36">
        <w:rPr>
          <w:rFonts w:ascii="Arial" w:hAnsi="Arial" w:cs="Arial"/>
          <w:sz w:val="20"/>
        </w:rPr>
        <w:t>). Other defining features include a characteristic LINE-1 insertion near the c-</w:t>
      </w:r>
      <w:proofErr w:type="spellStart"/>
      <w:r w:rsidRPr="00904D36">
        <w:rPr>
          <w:rFonts w:ascii="Arial" w:hAnsi="Arial" w:cs="Arial"/>
          <w:sz w:val="20"/>
        </w:rPr>
        <w:t>myc</w:t>
      </w:r>
      <w:proofErr w:type="spellEnd"/>
      <w:r w:rsidRPr="00904D36">
        <w:rPr>
          <w:rFonts w:ascii="Arial" w:hAnsi="Arial" w:cs="Arial"/>
          <w:sz w:val="20"/>
        </w:rPr>
        <w:t xml:space="preserve"> gene (</w:t>
      </w:r>
      <w:r w:rsidR="003F38C6">
        <w:rPr>
          <w:rFonts w:ascii="Arial" w:hAnsi="Arial" w:cs="Arial"/>
          <w:sz w:val="20"/>
        </w:rPr>
        <w:t>10</w:t>
      </w:r>
      <w:r w:rsidRPr="00904D36">
        <w:rPr>
          <w:rFonts w:ascii="Arial" w:hAnsi="Arial" w:cs="Arial"/>
          <w:sz w:val="20"/>
        </w:rPr>
        <w:t>)</w:t>
      </w:r>
      <w:r w:rsidR="006E0529">
        <w:rPr>
          <w:rFonts w:ascii="Arial" w:hAnsi="Arial" w:cs="Arial"/>
          <w:sz w:val="20"/>
        </w:rPr>
        <w:t xml:space="preserve"> </w:t>
      </w:r>
      <w:r w:rsidRPr="00904D36">
        <w:rPr>
          <w:rFonts w:ascii="Arial" w:hAnsi="Arial" w:cs="Arial"/>
          <w:sz w:val="20"/>
        </w:rPr>
        <w:t>and homozygous loss of the CDKN2A gene (</w:t>
      </w:r>
      <w:r w:rsidR="003F38C6">
        <w:rPr>
          <w:rFonts w:ascii="Arial" w:hAnsi="Arial" w:cs="Arial"/>
          <w:sz w:val="20"/>
        </w:rPr>
        <w:t>11</w:t>
      </w:r>
      <w:r w:rsidRPr="00904D36">
        <w:rPr>
          <w:rFonts w:ascii="Arial" w:hAnsi="Arial" w:cs="Arial"/>
          <w:sz w:val="20"/>
        </w:rPr>
        <w:t xml:space="preserve">). Through extensive mitochondrial </w:t>
      </w:r>
      <w:r w:rsidR="009F19A8">
        <w:rPr>
          <w:rFonts w:ascii="Arial" w:hAnsi="Arial" w:cs="Arial"/>
          <w:sz w:val="20"/>
        </w:rPr>
        <w:t>deoxynucleic acid (</w:t>
      </w:r>
      <w:r w:rsidRPr="00904D36">
        <w:rPr>
          <w:rFonts w:ascii="Arial" w:hAnsi="Arial" w:cs="Arial"/>
          <w:sz w:val="20"/>
        </w:rPr>
        <w:t>DNA</w:t>
      </w:r>
      <w:r w:rsidR="009F19A8">
        <w:rPr>
          <w:rFonts w:ascii="Arial" w:hAnsi="Arial" w:cs="Arial"/>
          <w:sz w:val="20"/>
        </w:rPr>
        <w:t>)</w:t>
      </w:r>
      <w:r w:rsidRPr="00904D36">
        <w:rPr>
          <w:rFonts w:ascii="Arial" w:hAnsi="Arial" w:cs="Arial"/>
          <w:sz w:val="20"/>
        </w:rPr>
        <w:t xml:space="preserve"> analysis of samples from 39 countries, </w:t>
      </w:r>
      <w:proofErr w:type="spellStart"/>
      <w:r w:rsidRPr="00904D36">
        <w:rPr>
          <w:rFonts w:ascii="Arial" w:hAnsi="Arial" w:cs="Arial"/>
          <w:sz w:val="20"/>
        </w:rPr>
        <w:t>Strakova</w:t>
      </w:r>
      <w:proofErr w:type="spellEnd"/>
      <w:r w:rsidRPr="00904D36">
        <w:rPr>
          <w:rFonts w:ascii="Arial" w:hAnsi="Arial" w:cs="Arial"/>
          <w:sz w:val="20"/>
        </w:rPr>
        <w:t xml:space="preserve"> </w:t>
      </w:r>
      <w:r w:rsidRPr="00904D36">
        <w:rPr>
          <w:rFonts w:ascii="Arial" w:hAnsi="Arial" w:cs="Arial"/>
          <w:i/>
          <w:sz w:val="20"/>
        </w:rPr>
        <w:t>et al.</w:t>
      </w:r>
      <w:r w:rsidR="006E0529" w:rsidRPr="00904D36">
        <w:rPr>
          <w:rFonts w:ascii="Arial" w:hAnsi="Arial" w:cs="Arial"/>
          <w:sz w:val="20"/>
        </w:rPr>
        <w:t xml:space="preserve"> </w:t>
      </w:r>
      <w:r w:rsidR="003F38C6">
        <w:rPr>
          <w:rFonts w:ascii="Arial" w:hAnsi="Arial" w:cs="Arial"/>
          <w:sz w:val="20"/>
        </w:rPr>
        <w:t xml:space="preserve">(12) </w:t>
      </w:r>
      <w:r w:rsidR="006E0529" w:rsidRPr="00904D36">
        <w:rPr>
          <w:rFonts w:ascii="Arial" w:hAnsi="Arial" w:cs="Arial"/>
          <w:sz w:val="20"/>
        </w:rPr>
        <w:t>identified</w:t>
      </w:r>
      <w:r w:rsidRPr="00904D36">
        <w:rPr>
          <w:rFonts w:ascii="Arial" w:hAnsi="Arial" w:cs="Arial"/>
          <w:sz w:val="20"/>
        </w:rPr>
        <w:t xml:space="preserve"> five distinct CTVT clades, with Clades 1 and 2 showing global distribution, Clade 3 present in Central and South America and India, Clade 4 limited to specific regions in India and Nepal, and Clade 5 found only in Nigeria.</w:t>
      </w:r>
    </w:p>
    <w:p w14:paraId="2863597B" w14:textId="063E7C42" w:rsidR="00B63E35" w:rsidRPr="00904D36" w:rsidRDefault="004E5791" w:rsidP="001A6C20">
      <w:pPr>
        <w:pStyle w:val="whitespace-pre-wrap"/>
        <w:spacing w:before="0" w:beforeAutospacing="0" w:after="0" w:afterAutospacing="0" w:line="360" w:lineRule="auto"/>
        <w:jc w:val="both"/>
        <w:rPr>
          <w:rFonts w:ascii="Arial" w:hAnsi="Arial" w:cs="Arial"/>
          <w:sz w:val="20"/>
        </w:rPr>
      </w:pPr>
      <w:r w:rsidRPr="00904D36">
        <w:rPr>
          <w:rFonts w:ascii="Arial" w:hAnsi="Arial" w:cs="Arial"/>
          <w:sz w:val="20"/>
        </w:rPr>
        <w:t xml:space="preserve">The long-term coexistence between CTVT and its hosts suggests evolved mechanisms for host manipulation, potentially affecting sexual receptiveness, </w:t>
      </w:r>
      <w:proofErr w:type="spellStart"/>
      <w:r w:rsidRPr="00904D36">
        <w:rPr>
          <w:rFonts w:ascii="Arial" w:hAnsi="Arial" w:cs="Arial"/>
          <w:sz w:val="20"/>
        </w:rPr>
        <w:t>oestrus</w:t>
      </w:r>
      <w:proofErr w:type="spellEnd"/>
      <w:r w:rsidRPr="00904D36">
        <w:rPr>
          <w:rFonts w:ascii="Arial" w:hAnsi="Arial" w:cs="Arial"/>
          <w:sz w:val="20"/>
        </w:rPr>
        <w:t xml:space="preserve"> cycle timing, and olfactory preferences (</w:t>
      </w:r>
      <w:r w:rsidR="003F38C6">
        <w:rPr>
          <w:rFonts w:ascii="Arial" w:hAnsi="Arial" w:cs="Arial"/>
          <w:sz w:val="20"/>
        </w:rPr>
        <w:t>5,11</w:t>
      </w:r>
      <w:r w:rsidR="00D050F2" w:rsidRPr="00904D36">
        <w:rPr>
          <w:rFonts w:ascii="Arial" w:hAnsi="Arial" w:cs="Arial"/>
          <w:sz w:val="20"/>
        </w:rPr>
        <w:t>).</w:t>
      </w:r>
      <w:r w:rsidRPr="00904D36">
        <w:rPr>
          <w:rFonts w:ascii="Arial" w:hAnsi="Arial" w:cs="Arial"/>
          <w:sz w:val="20"/>
        </w:rPr>
        <w:t xml:space="preserve"> Supporting this hypothesis, studies have noted differences in </w:t>
      </w:r>
      <w:proofErr w:type="spellStart"/>
      <w:r w:rsidRPr="00904D36">
        <w:rPr>
          <w:rFonts w:ascii="Arial" w:hAnsi="Arial" w:cs="Arial"/>
          <w:sz w:val="20"/>
        </w:rPr>
        <w:t>oestrogen</w:t>
      </w:r>
      <w:proofErr w:type="spellEnd"/>
      <w:r w:rsidRPr="00904D36">
        <w:rPr>
          <w:rFonts w:ascii="Arial" w:hAnsi="Arial" w:cs="Arial"/>
          <w:sz w:val="20"/>
        </w:rPr>
        <w:t xml:space="preserve"> receptor expression between CTVT-affected and control females during specific </w:t>
      </w:r>
      <w:proofErr w:type="spellStart"/>
      <w:r w:rsidRPr="00904D36">
        <w:rPr>
          <w:rFonts w:ascii="Arial" w:hAnsi="Arial" w:cs="Arial"/>
          <w:sz w:val="20"/>
        </w:rPr>
        <w:t>oestrus</w:t>
      </w:r>
      <w:proofErr w:type="spellEnd"/>
      <w:r w:rsidRPr="00904D36">
        <w:rPr>
          <w:rFonts w:ascii="Arial" w:hAnsi="Arial" w:cs="Arial"/>
          <w:sz w:val="20"/>
        </w:rPr>
        <w:t xml:space="preserve"> cycle stages (</w:t>
      </w:r>
      <w:r w:rsidR="003F38C6">
        <w:rPr>
          <w:rFonts w:ascii="Arial" w:hAnsi="Arial" w:cs="Arial"/>
          <w:sz w:val="20"/>
        </w:rPr>
        <w:t>13</w:t>
      </w:r>
      <w:r w:rsidRPr="00904D36">
        <w:rPr>
          <w:rFonts w:ascii="Arial" w:hAnsi="Arial" w:cs="Arial"/>
          <w:sz w:val="20"/>
        </w:rPr>
        <w:t>).</w:t>
      </w:r>
      <w:r w:rsidR="00127764" w:rsidRPr="00904D36">
        <w:rPr>
          <w:rFonts w:ascii="Arial" w:hAnsi="Arial" w:cs="Arial"/>
          <w:sz w:val="20"/>
        </w:rPr>
        <w:t xml:space="preserve"> </w:t>
      </w:r>
      <w:r w:rsidRPr="00904D36">
        <w:rPr>
          <w:rFonts w:ascii="Arial" w:hAnsi="Arial" w:cs="Arial"/>
          <w:sz w:val="20"/>
        </w:rPr>
        <w:t>A significant aspect of CTVT biology involves erythropoietin (EPO), a glycoprotein hormone primarily produced by kidney cells (</w:t>
      </w:r>
      <w:r w:rsidR="003F38C6">
        <w:rPr>
          <w:rFonts w:ascii="Arial" w:hAnsi="Arial" w:cs="Arial"/>
          <w:sz w:val="20"/>
        </w:rPr>
        <w:t>14</w:t>
      </w:r>
      <w:r w:rsidRPr="00904D36">
        <w:rPr>
          <w:rFonts w:ascii="Arial" w:hAnsi="Arial" w:cs="Arial"/>
          <w:sz w:val="20"/>
        </w:rPr>
        <w:t>) that regulates erythrocyte production through reduced apoptosis of bone marrow precursors and increased hemoglobin synthesis (</w:t>
      </w:r>
      <w:r w:rsidR="003F38C6">
        <w:rPr>
          <w:rFonts w:ascii="Arial" w:hAnsi="Arial" w:cs="Arial"/>
          <w:sz w:val="20"/>
        </w:rPr>
        <w:t>15</w:t>
      </w:r>
      <w:r w:rsidRPr="00904D36">
        <w:rPr>
          <w:rFonts w:ascii="Arial" w:hAnsi="Arial" w:cs="Arial"/>
          <w:sz w:val="20"/>
        </w:rPr>
        <w:t>). Elevated EPO levels have been consistently observed in dogs with CTVT (</w:t>
      </w:r>
      <w:r w:rsidR="00B61B21">
        <w:rPr>
          <w:rFonts w:ascii="Arial" w:hAnsi="Arial" w:cs="Arial"/>
          <w:sz w:val="20"/>
        </w:rPr>
        <w:t>5,16,17</w:t>
      </w:r>
      <w:r w:rsidRPr="00904D36">
        <w:rPr>
          <w:rFonts w:ascii="Arial" w:hAnsi="Arial" w:cs="Arial"/>
          <w:sz w:val="20"/>
        </w:rPr>
        <w:t xml:space="preserve">). This elevation appears to contribute to </w:t>
      </w:r>
      <w:proofErr w:type="spellStart"/>
      <w:r w:rsidRPr="00904D36">
        <w:rPr>
          <w:rFonts w:ascii="Arial" w:hAnsi="Arial" w:cs="Arial"/>
          <w:sz w:val="20"/>
        </w:rPr>
        <w:t>tumour</w:t>
      </w:r>
      <w:proofErr w:type="spellEnd"/>
      <w:r w:rsidRPr="00904D36">
        <w:rPr>
          <w:rFonts w:ascii="Arial" w:hAnsi="Arial" w:cs="Arial"/>
          <w:sz w:val="20"/>
        </w:rPr>
        <w:t xml:space="preserve"> survival and growth through maintenance of tissue oxygenation, stimulation of angiogenesis, and reduction in apoptosis rates (</w:t>
      </w:r>
      <w:r w:rsidR="00B61B21">
        <w:rPr>
          <w:rFonts w:ascii="Arial" w:hAnsi="Arial" w:cs="Arial"/>
          <w:sz w:val="20"/>
        </w:rPr>
        <w:t>15,18</w:t>
      </w:r>
      <w:r w:rsidRPr="00904D36">
        <w:rPr>
          <w:rFonts w:ascii="Arial" w:hAnsi="Arial" w:cs="Arial"/>
          <w:sz w:val="20"/>
        </w:rPr>
        <w:t>). The presence of elevated EPO levels in CTVT cases represents a fascinating example of how transmissible cancers can potentially manipulate host physiology to ensure their survival and transmission.</w:t>
      </w:r>
      <w:r w:rsidR="00127764" w:rsidRPr="00904D36">
        <w:rPr>
          <w:rFonts w:ascii="Arial" w:hAnsi="Arial" w:cs="Arial"/>
          <w:sz w:val="20"/>
        </w:rPr>
        <w:t xml:space="preserve"> </w:t>
      </w:r>
      <w:r w:rsidRPr="00904D36">
        <w:rPr>
          <w:rFonts w:ascii="Arial" w:hAnsi="Arial" w:cs="Arial"/>
          <w:sz w:val="20"/>
        </w:rPr>
        <w:t>These findings collectively highlight CTVT as an extraordinary model for understanding the evolution and adaptation of transmissible cancers, offering valuable insights into both veterinary medicine and cancer biology. The unique characteristics and long evolutionary history of CTVT continue to provide important perspectives on the complex relationships between cancers and their hosts.</w:t>
      </w:r>
    </w:p>
    <w:p w14:paraId="077E8919" w14:textId="2C40436D" w:rsidR="00A66C70" w:rsidRPr="00904D36" w:rsidRDefault="00511800" w:rsidP="001A6C20">
      <w:pPr>
        <w:pStyle w:val="whitespace-pre-wrap"/>
        <w:spacing w:before="0" w:beforeAutospacing="0" w:after="0" w:afterAutospacing="0" w:line="360" w:lineRule="auto"/>
        <w:jc w:val="both"/>
        <w:rPr>
          <w:rFonts w:ascii="Arial" w:hAnsi="Arial" w:cs="Arial"/>
          <w:sz w:val="22"/>
        </w:rPr>
      </w:pPr>
      <w:r>
        <w:rPr>
          <w:rFonts w:ascii="Arial" w:hAnsi="Arial" w:cs="Arial"/>
          <w:b/>
          <w:bCs/>
          <w:sz w:val="22"/>
        </w:rPr>
        <w:t xml:space="preserve">2. </w:t>
      </w:r>
      <w:r w:rsidRPr="00904D36">
        <w:rPr>
          <w:rFonts w:ascii="Arial" w:hAnsi="Arial" w:cs="Arial"/>
          <w:b/>
          <w:bCs/>
          <w:sz w:val="22"/>
        </w:rPr>
        <w:t xml:space="preserve">Origin and </w:t>
      </w:r>
      <w:r>
        <w:rPr>
          <w:rFonts w:ascii="Arial" w:hAnsi="Arial" w:cs="Arial"/>
          <w:b/>
          <w:bCs/>
          <w:sz w:val="22"/>
        </w:rPr>
        <w:t>e</w:t>
      </w:r>
      <w:r w:rsidRPr="00904D36">
        <w:rPr>
          <w:rFonts w:ascii="Arial" w:hAnsi="Arial" w:cs="Arial"/>
          <w:b/>
          <w:bCs/>
          <w:sz w:val="22"/>
        </w:rPr>
        <w:t xml:space="preserve">volution </w:t>
      </w:r>
      <w:r>
        <w:rPr>
          <w:rFonts w:ascii="Arial" w:hAnsi="Arial" w:cs="Arial"/>
          <w:b/>
          <w:bCs/>
          <w:sz w:val="22"/>
        </w:rPr>
        <w:t>o</w:t>
      </w:r>
      <w:r w:rsidRPr="00904D36">
        <w:rPr>
          <w:rFonts w:ascii="Arial" w:hAnsi="Arial" w:cs="Arial"/>
          <w:b/>
          <w:bCs/>
          <w:sz w:val="22"/>
        </w:rPr>
        <w:t>f C</w:t>
      </w:r>
      <w:r>
        <w:rPr>
          <w:rFonts w:ascii="Arial" w:hAnsi="Arial" w:cs="Arial"/>
          <w:b/>
          <w:bCs/>
          <w:sz w:val="22"/>
        </w:rPr>
        <w:t>TVT</w:t>
      </w:r>
    </w:p>
    <w:p w14:paraId="748EB03A" w14:textId="6A3A841D" w:rsidR="00B63E35" w:rsidRPr="00904D36" w:rsidRDefault="00A66C70" w:rsidP="001A6C20">
      <w:pPr>
        <w:spacing w:after="0" w:line="360" w:lineRule="auto"/>
        <w:jc w:val="both"/>
        <w:rPr>
          <w:rFonts w:ascii="Arial" w:eastAsia="Times New Roman" w:hAnsi="Arial" w:cs="Arial"/>
          <w:sz w:val="20"/>
          <w:szCs w:val="24"/>
        </w:rPr>
      </w:pPr>
      <w:r w:rsidRPr="00904D36">
        <w:rPr>
          <w:rFonts w:ascii="Arial" w:eastAsia="Times New Roman" w:hAnsi="Arial" w:cs="Arial"/>
          <w:sz w:val="20"/>
          <w:szCs w:val="24"/>
        </w:rPr>
        <w:t xml:space="preserve">The </w:t>
      </w:r>
      <w:r w:rsidR="00511800">
        <w:rPr>
          <w:rFonts w:ascii="Arial" w:eastAsia="Times New Roman" w:hAnsi="Arial" w:cs="Arial"/>
          <w:sz w:val="20"/>
          <w:szCs w:val="24"/>
        </w:rPr>
        <w:t>CTVT</w:t>
      </w:r>
      <w:r w:rsidR="00D050F2"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was initially identified by Novinsky in 1876. This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primarily develops on the external genitalia of male and female dogs and is naturally transmitted through sexual contact, biting, or licking affected areas (</w:t>
      </w:r>
      <w:r w:rsidR="00B61B21">
        <w:rPr>
          <w:rFonts w:ascii="Arial" w:eastAsia="Times New Roman" w:hAnsi="Arial" w:cs="Arial"/>
          <w:sz w:val="20"/>
          <w:szCs w:val="24"/>
        </w:rPr>
        <w:t>8</w:t>
      </w:r>
      <w:r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Genetic studies conducted by </w:t>
      </w:r>
      <w:proofErr w:type="spellStart"/>
      <w:r w:rsidRPr="00904D36">
        <w:rPr>
          <w:rFonts w:ascii="Arial" w:eastAsia="Times New Roman" w:hAnsi="Arial" w:cs="Arial"/>
          <w:sz w:val="20"/>
          <w:szCs w:val="24"/>
        </w:rPr>
        <w:t>Rebbeck</w:t>
      </w:r>
      <w:proofErr w:type="spellEnd"/>
      <w:r w:rsidRPr="00904D36">
        <w:rPr>
          <w:rFonts w:ascii="Arial" w:eastAsia="Times New Roman" w:hAnsi="Arial" w:cs="Arial"/>
          <w:sz w:val="20"/>
          <w:szCs w:val="24"/>
        </w:rPr>
        <w:t xml:space="preserve"> </w:t>
      </w:r>
      <w:r w:rsidRPr="00904D36">
        <w:rPr>
          <w:rFonts w:ascii="Arial" w:eastAsia="Times New Roman" w:hAnsi="Arial" w:cs="Arial"/>
          <w:i/>
          <w:sz w:val="20"/>
          <w:szCs w:val="24"/>
        </w:rPr>
        <w:t xml:space="preserve">et al. </w:t>
      </w:r>
      <w:r w:rsidRPr="00904D36">
        <w:rPr>
          <w:rFonts w:ascii="Arial" w:eastAsia="Times New Roman" w:hAnsi="Arial" w:cs="Arial"/>
          <w:sz w:val="20"/>
          <w:szCs w:val="24"/>
        </w:rPr>
        <w:t>(</w:t>
      </w:r>
      <w:r w:rsidR="00B61B21">
        <w:rPr>
          <w:rFonts w:ascii="Arial" w:eastAsia="Times New Roman" w:hAnsi="Arial" w:cs="Arial"/>
          <w:sz w:val="20"/>
          <w:szCs w:val="24"/>
        </w:rPr>
        <w:t>19</w:t>
      </w:r>
      <w:r w:rsidR="00D050F2" w:rsidRPr="00904D36">
        <w:rPr>
          <w:rFonts w:ascii="Arial" w:eastAsia="Times New Roman" w:hAnsi="Arial" w:cs="Arial"/>
          <w:sz w:val="20"/>
          <w:szCs w:val="24"/>
        </w:rPr>
        <w:t>) suggested</w:t>
      </w:r>
      <w:r w:rsidRPr="00904D36">
        <w:rPr>
          <w:rFonts w:ascii="Arial" w:eastAsia="Times New Roman" w:hAnsi="Arial" w:cs="Arial"/>
          <w:sz w:val="20"/>
          <w:szCs w:val="24"/>
        </w:rPr>
        <w:t xml:space="preserve"> that CTVT likely originated from a domestic dog or wolf, rather than a more distantly related member of the Canidae family. </w:t>
      </w:r>
      <w:r w:rsidR="00511800" w:rsidRPr="00904D36">
        <w:rPr>
          <w:rFonts w:ascii="Arial" w:hAnsi="Arial" w:cs="Arial"/>
          <w:sz w:val="20"/>
        </w:rPr>
        <w:t xml:space="preserve">Sequencing analysis at various genetic loci </w:t>
      </w:r>
      <w:r w:rsidR="00511800">
        <w:rPr>
          <w:rFonts w:ascii="Arial" w:hAnsi="Arial" w:cs="Arial"/>
          <w:sz w:val="20"/>
        </w:rPr>
        <w:t xml:space="preserve">has </w:t>
      </w:r>
      <w:r w:rsidR="00511800" w:rsidRPr="00904D36">
        <w:rPr>
          <w:rFonts w:ascii="Arial" w:hAnsi="Arial" w:cs="Arial"/>
          <w:sz w:val="20"/>
        </w:rPr>
        <w:t>indicated</w:t>
      </w:r>
      <w:r w:rsidRPr="00904D36">
        <w:rPr>
          <w:rFonts w:ascii="Arial" w:eastAsia="Times New Roman" w:hAnsi="Arial" w:cs="Arial"/>
          <w:sz w:val="20"/>
          <w:szCs w:val="24"/>
        </w:rPr>
        <w:t xml:space="preserve"> that the ancestral animal possessed a mix of genetic traits resembling both wolves and dogs. These traits are associated with the domestication process in dogs, and the founder animal was likely of medium to large size with an agouti or solid black coat color (5).</w:t>
      </w:r>
      <w:r w:rsidR="00B63E35" w:rsidRPr="00904D36">
        <w:rPr>
          <w:rFonts w:ascii="Arial" w:eastAsia="Times New Roman" w:hAnsi="Arial" w:cs="Arial"/>
          <w:sz w:val="20"/>
          <w:szCs w:val="24"/>
        </w:rPr>
        <w:t xml:space="preserve"> </w:t>
      </w:r>
      <w:r w:rsidR="00AF65C9" w:rsidRPr="00904D36">
        <w:rPr>
          <w:rFonts w:ascii="Arial" w:eastAsia="Times New Roman" w:hAnsi="Arial" w:cs="Arial"/>
          <w:sz w:val="20"/>
          <w:szCs w:val="24"/>
        </w:rPr>
        <w:t xml:space="preserve">The </w:t>
      </w:r>
      <w:r w:rsidR="00511800">
        <w:rPr>
          <w:rFonts w:ascii="Arial" w:eastAsia="Times New Roman" w:hAnsi="Arial" w:cs="Arial"/>
          <w:sz w:val="20"/>
          <w:szCs w:val="24"/>
        </w:rPr>
        <w:t>CTVT</w:t>
      </w:r>
      <w:r w:rsidRPr="00904D36">
        <w:rPr>
          <w:rFonts w:ascii="Arial" w:eastAsia="Times New Roman" w:hAnsi="Arial" w:cs="Arial"/>
          <w:sz w:val="20"/>
          <w:szCs w:val="24"/>
        </w:rPr>
        <w:t xml:space="preserve"> is distinctive due to its clonal nature and ability to reproduce asexually. It displays a stable chromosomal </w:t>
      </w:r>
      <w:r w:rsidRPr="00904D36">
        <w:rPr>
          <w:rFonts w:ascii="Arial" w:eastAsia="Times New Roman" w:hAnsi="Arial" w:cs="Arial"/>
          <w:sz w:val="20"/>
          <w:szCs w:val="24"/>
        </w:rPr>
        <w:lastRenderedPageBreak/>
        <w:t xml:space="preserve">variation of 58–59 chromosomes, differing from the normal canine count of 78. </w:t>
      </w:r>
      <w:r w:rsidR="00511800" w:rsidRPr="00904D36">
        <w:rPr>
          <w:rFonts w:ascii="Arial" w:hAnsi="Arial" w:cs="Arial"/>
          <w:sz w:val="20"/>
        </w:rPr>
        <w:t xml:space="preserve">This unique adaptation highlights </w:t>
      </w:r>
      <w:r w:rsidR="00511800">
        <w:rPr>
          <w:rFonts w:ascii="Arial" w:hAnsi="Arial" w:cs="Arial"/>
          <w:sz w:val="20"/>
        </w:rPr>
        <w:t>it</w:t>
      </w:r>
      <w:r w:rsidR="00511800" w:rsidRPr="00904D36">
        <w:rPr>
          <w:rFonts w:ascii="Arial" w:hAnsi="Arial" w:cs="Arial"/>
          <w:sz w:val="20"/>
        </w:rPr>
        <w:t xml:space="preserve"> as a neoplastic</w:t>
      </w:r>
      <w:r w:rsidRPr="00904D36">
        <w:rPr>
          <w:rFonts w:ascii="Arial" w:eastAsia="Times New Roman" w:hAnsi="Arial" w:cs="Arial"/>
          <w:sz w:val="20"/>
          <w:szCs w:val="24"/>
        </w:rPr>
        <w:t xml:space="preserve"> cell that has evolved into a unicellular parasite specific to dogs. It has been described as a "new parasitic dog species" with a global presence (</w:t>
      </w:r>
      <w:r w:rsidR="00B61B21">
        <w:rPr>
          <w:rFonts w:ascii="Arial" w:eastAsia="Times New Roman" w:hAnsi="Arial" w:cs="Arial"/>
          <w:sz w:val="20"/>
          <w:szCs w:val="24"/>
        </w:rPr>
        <w:t>20,5</w:t>
      </w:r>
      <w:r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00511800" w:rsidRPr="00904D36">
        <w:rPr>
          <w:rFonts w:ascii="Arial" w:hAnsi="Arial" w:cs="Arial"/>
          <w:sz w:val="20"/>
        </w:rPr>
        <w:t xml:space="preserve">Albanese </w:t>
      </w:r>
      <w:r w:rsidR="00511800" w:rsidRPr="00904D36">
        <w:rPr>
          <w:rFonts w:ascii="Arial" w:hAnsi="Arial" w:cs="Arial"/>
          <w:i/>
          <w:sz w:val="20"/>
        </w:rPr>
        <w:t>et al.</w:t>
      </w:r>
      <w:r w:rsidR="00511800" w:rsidRPr="00904D36">
        <w:rPr>
          <w:rFonts w:ascii="Arial" w:hAnsi="Arial" w:cs="Arial"/>
          <w:sz w:val="20"/>
        </w:rPr>
        <w:t xml:space="preserve"> (</w:t>
      </w:r>
      <w:r w:rsidR="00511800">
        <w:rPr>
          <w:rFonts w:ascii="Arial" w:hAnsi="Arial" w:cs="Arial"/>
          <w:sz w:val="20"/>
        </w:rPr>
        <w:t>21</w:t>
      </w:r>
      <w:r w:rsidR="00511800" w:rsidRPr="00904D36">
        <w:rPr>
          <w:rFonts w:ascii="Arial" w:hAnsi="Arial" w:cs="Arial"/>
          <w:sz w:val="20"/>
        </w:rPr>
        <w:t xml:space="preserve">) and </w:t>
      </w:r>
      <w:proofErr w:type="spellStart"/>
      <w:r w:rsidR="00511800" w:rsidRPr="00904D36">
        <w:rPr>
          <w:rFonts w:ascii="Arial" w:hAnsi="Arial" w:cs="Arial"/>
          <w:sz w:val="20"/>
        </w:rPr>
        <w:t>Catone</w:t>
      </w:r>
      <w:proofErr w:type="spellEnd"/>
      <w:r w:rsidR="00511800" w:rsidRPr="00904D36">
        <w:rPr>
          <w:rFonts w:ascii="Arial" w:hAnsi="Arial" w:cs="Arial"/>
          <w:sz w:val="20"/>
        </w:rPr>
        <w:t xml:space="preserve"> </w:t>
      </w:r>
      <w:r w:rsidR="00511800" w:rsidRPr="00904D36">
        <w:rPr>
          <w:rFonts w:ascii="Arial" w:hAnsi="Arial" w:cs="Arial"/>
          <w:i/>
          <w:sz w:val="20"/>
        </w:rPr>
        <w:t>et al.</w:t>
      </w:r>
      <w:r w:rsidR="00511800" w:rsidRPr="00904D36">
        <w:rPr>
          <w:rFonts w:ascii="Arial" w:hAnsi="Arial" w:cs="Arial"/>
          <w:sz w:val="20"/>
        </w:rPr>
        <w:t xml:space="preserve"> (2</w:t>
      </w:r>
      <w:r w:rsidR="00511800">
        <w:rPr>
          <w:rFonts w:ascii="Arial" w:hAnsi="Arial" w:cs="Arial"/>
          <w:sz w:val="20"/>
        </w:rPr>
        <w:t>2</w:t>
      </w:r>
      <w:r w:rsidR="00511800" w:rsidRPr="00904D36">
        <w:rPr>
          <w:rFonts w:ascii="Arial" w:hAnsi="Arial" w:cs="Arial"/>
          <w:sz w:val="20"/>
        </w:rPr>
        <w:t xml:space="preserve">) </w:t>
      </w:r>
      <w:r w:rsidR="00511800">
        <w:rPr>
          <w:rFonts w:ascii="Arial" w:hAnsi="Arial" w:cs="Arial"/>
          <w:sz w:val="20"/>
        </w:rPr>
        <w:t xml:space="preserve">have </w:t>
      </w:r>
      <w:r w:rsidRPr="00904D36">
        <w:rPr>
          <w:rFonts w:ascii="Arial" w:eastAsia="Times New Roman" w:hAnsi="Arial" w:cs="Arial"/>
          <w:sz w:val="20"/>
          <w:szCs w:val="24"/>
        </w:rPr>
        <w:t xml:space="preserve">identified the presence of </w:t>
      </w:r>
      <w:r w:rsidRPr="00904D36">
        <w:rPr>
          <w:rFonts w:ascii="Arial" w:eastAsia="Times New Roman" w:hAnsi="Arial" w:cs="Arial"/>
          <w:i/>
          <w:sz w:val="20"/>
          <w:szCs w:val="24"/>
        </w:rPr>
        <w:t xml:space="preserve">Leishmania amastigotes </w:t>
      </w:r>
      <w:r w:rsidRPr="00904D36">
        <w:rPr>
          <w:rFonts w:ascii="Arial" w:eastAsia="Times New Roman" w:hAnsi="Arial" w:cs="Arial"/>
          <w:sz w:val="20"/>
          <w:szCs w:val="24"/>
        </w:rPr>
        <w:t xml:space="preserve">within the cytoplasm of CTVT cells, indicating that these cells may have phagocytic properties, suggesting they are histiocytic in nature.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is thought to have originated from a somatic cell, possibly a macrophage or dendritic cell, within the founder animal, through a process of evolutionary adaptation (5).</w:t>
      </w:r>
      <w:r w:rsidR="00B63E35"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Although the exact cellular origin of CTVT is still debated, earlier descriptions classified it as histiocytic, lymphocytic, or reticuloendothelial. Recent analyses have supported the idea that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likely derives from a macrophage or myeloid lineage (</w:t>
      </w:r>
      <w:r w:rsidR="00B61B21">
        <w:rPr>
          <w:rFonts w:ascii="Arial" w:eastAsia="Times New Roman" w:hAnsi="Arial" w:cs="Arial"/>
          <w:sz w:val="20"/>
          <w:szCs w:val="24"/>
        </w:rPr>
        <w:t>23</w:t>
      </w:r>
      <w:r w:rsidRPr="00904D36">
        <w:rPr>
          <w:rFonts w:ascii="Arial" w:eastAsia="Times New Roman" w:hAnsi="Arial" w:cs="Arial"/>
          <w:sz w:val="20"/>
          <w:szCs w:val="24"/>
        </w:rPr>
        <w:t>). Histiocytes, which are derived from bone marrow stem cells of mesenchymal origin, differentiate into monocytes, macrophages, or dendritic cells under the influence of cytokines (</w:t>
      </w:r>
      <w:r w:rsidR="00B61B21">
        <w:rPr>
          <w:rFonts w:ascii="Arial" w:eastAsia="Times New Roman" w:hAnsi="Arial" w:cs="Arial"/>
          <w:sz w:val="20"/>
          <w:szCs w:val="24"/>
        </w:rPr>
        <w:t>6</w:t>
      </w:r>
      <w:r w:rsidRPr="00904D36">
        <w:rPr>
          <w:rFonts w:ascii="Arial" w:eastAsia="Times New Roman" w:hAnsi="Arial" w:cs="Arial"/>
          <w:sz w:val="20"/>
          <w:szCs w:val="24"/>
        </w:rPr>
        <w:t>).</w:t>
      </w:r>
    </w:p>
    <w:p w14:paraId="656289FD" w14:textId="1764EFE3" w:rsidR="00C757EB" w:rsidRPr="00904D36" w:rsidRDefault="00511800" w:rsidP="001A6C20">
      <w:pPr>
        <w:spacing w:after="0" w:line="360" w:lineRule="auto"/>
        <w:jc w:val="both"/>
        <w:rPr>
          <w:rFonts w:ascii="Arial" w:eastAsia="Times New Roman" w:hAnsi="Arial" w:cs="Arial"/>
          <w:szCs w:val="24"/>
        </w:rPr>
      </w:pPr>
      <w:r>
        <w:rPr>
          <w:rFonts w:ascii="Arial" w:eastAsia="Times New Roman" w:hAnsi="Arial" w:cs="Arial"/>
          <w:b/>
          <w:bCs/>
          <w:szCs w:val="24"/>
        </w:rPr>
        <w:t xml:space="preserve">3. </w:t>
      </w:r>
      <w:r w:rsidRPr="00904D36">
        <w:rPr>
          <w:rFonts w:ascii="Arial" w:eastAsia="Times New Roman" w:hAnsi="Arial" w:cs="Arial"/>
          <w:b/>
          <w:bCs/>
          <w:szCs w:val="24"/>
        </w:rPr>
        <w:t>Epidemiology</w:t>
      </w:r>
    </w:p>
    <w:p w14:paraId="598CC86D" w14:textId="08F1ED9E" w:rsidR="00BC2B9D"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00511800">
        <w:rPr>
          <w:rFonts w:ascii="Arial" w:hAnsi="Arial" w:cs="Arial"/>
          <w:sz w:val="20"/>
        </w:rPr>
        <w:t xml:space="preserve">CTVT </w:t>
      </w:r>
      <w:r w:rsidR="00C757EB" w:rsidRPr="00904D36">
        <w:rPr>
          <w:rFonts w:ascii="Arial" w:eastAsia="Times New Roman" w:hAnsi="Arial" w:cs="Arial"/>
          <w:sz w:val="20"/>
          <w:szCs w:val="24"/>
        </w:rPr>
        <w:t xml:space="preserve">primarily affects dogs aged 2 to 5 years, with no specific breed or sex predisposition. This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has been reported globally across all continents except Antarctica (</w:t>
      </w:r>
      <w:r w:rsidR="00B61B21">
        <w:rPr>
          <w:rFonts w:ascii="Arial" w:eastAsia="Times New Roman" w:hAnsi="Arial" w:cs="Arial"/>
          <w:sz w:val="20"/>
          <w:szCs w:val="24"/>
        </w:rPr>
        <w:t>24</w:t>
      </w:r>
      <w:r w:rsidR="00D7418D" w:rsidRPr="00904D36">
        <w:rPr>
          <w:rFonts w:ascii="Arial" w:eastAsia="Times New Roman" w:hAnsi="Arial" w:cs="Arial"/>
          <w:sz w:val="20"/>
          <w:szCs w:val="24"/>
        </w:rPr>
        <w:t>)</w:t>
      </w:r>
      <w:r w:rsidR="00C757EB" w:rsidRPr="00904D36">
        <w:rPr>
          <w:rFonts w:ascii="Arial" w:eastAsia="Times New Roman" w:hAnsi="Arial" w:cs="Arial"/>
          <w:sz w:val="20"/>
          <w:szCs w:val="24"/>
        </w:rPr>
        <w:t xml:space="preserve">. Its prevalence is higher in tropical and subtropical regions, including the southern United States, Central and South America, Southeast Europe, Ireland, China, the Far East, the Middle East, and parts of Africa. In countries such as the Bahamas, Japan, and India, it is one of the most frequently observed </w:t>
      </w:r>
      <w:proofErr w:type="spellStart"/>
      <w:r w:rsidR="007B3F95" w:rsidRPr="00904D36">
        <w:rPr>
          <w:rFonts w:ascii="Arial" w:eastAsia="Times New Roman" w:hAnsi="Arial" w:cs="Arial"/>
          <w:sz w:val="20"/>
          <w:szCs w:val="24"/>
        </w:rPr>
        <w:t>tumour</w:t>
      </w:r>
      <w:r w:rsidR="00C757EB" w:rsidRPr="00904D36">
        <w:rPr>
          <w:rFonts w:ascii="Arial" w:eastAsia="Times New Roman" w:hAnsi="Arial" w:cs="Arial"/>
          <w:sz w:val="20"/>
          <w:szCs w:val="24"/>
        </w:rPr>
        <w:t>s</w:t>
      </w:r>
      <w:proofErr w:type="spellEnd"/>
      <w:r w:rsidR="00C757EB" w:rsidRPr="00904D36">
        <w:rPr>
          <w:rFonts w:ascii="Arial" w:eastAsia="Times New Roman" w:hAnsi="Arial" w:cs="Arial"/>
          <w:sz w:val="20"/>
          <w:szCs w:val="24"/>
        </w:rPr>
        <w:t xml:space="preserve"> in dogs (</w:t>
      </w:r>
      <w:r w:rsidR="00B61B21">
        <w:rPr>
          <w:rFonts w:ascii="Arial" w:eastAsia="Times New Roman" w:hAnsi="Arial" w:cs="Arial"/>
          <w:sz w:val="20"/>
          <w:szCs w:val="24"/>
        </w:rPr>
        <w:t>25</w:t>
      </w:r>
      <w:r w:rsidR="00C757EB" w:rsidRPr="00904D36">
        <w:rPr>
          <w:rFonts w:ascii="Arial" w:eastAsia="Times New Roman" w:hAnsi="Arial" w:cs="Arial"/>
          <w:sz w:val="20"/>
          <w:szCs w:val="24"/>
        </w:rPr>
        <w:t xml:space="preserve">). </w:t>
      </w:r>
      <w:r w:rsidR="00BC2B9D" w:rsidRPr="00BC2B9D">
        <w:rPr>
          <w:rFonts w:ascii="Arial" w:eastAsia="Times New Roman" w:hAnsi="Arial" w:cs="Arial"/>
          <w:sz w:val="20"/>
          <w:szCs w:val="24"/>
        </w:rPr>
        <w:t>In India, (24) observed a consistent distribution of CTVT across different geo-climatic regions, with its prevalence ranging between 23% and 28%</w:t>
      </w:r>
      <w:r w:rsidR="00BC2B9D">
        <w:rPr>
          <w:rFonts w:ascii="Arial" w:eastAsia="Times New Roman" w:hAnsi="Arial" w:cs="Arial"/>
          <w:sz w:val="20"/>
          <w:szCs w:val="24"/>
        </w:rPr>
        <w:t>.</w:t>
      </w:r>
    </w:p>
    <w:p w14:paraId="19E61332" w14:textId="3696FDA1" w:rsidR="00C757EB" w:rsidRPr="00904D36" w:rsidRDefault="00511800" w:rsidP="001A6C20">
      <w:pPr>
        <w:spacing w:after="0" w:line="360" w:lineRule="auto"/>
        <w:jc w:val="both"/>
        <w:rPr>
          <w:rFonts w:ascii="Arial" w:eastAsia="Times New Roman" w:hAnsi="Arial" w:cs="Arial"/>
          <w:b/>
          <w:szCs w:val="24"/>
        </w:rPr>
      </w:pPr>
      <w:r>
        <w:rPr>
          <w:rFonts w:ascii="Arial" w:eastAsia="Times New Roman" w:hAnsi="Arial" w:cs="Arial"/>
          <w:b/>
          <w:bCs/>
          <w:szCs w:val="24"/>
        </w:rPr>
        <w:t xml:space="preserve">4. </w:t>
      </w:r>
      <w:r w:rsidRPr="00904D36">
        <w:rPr>
          <w:rFonts w:ascii="Arial" w:eastAsia="Times New Roman" w:hAnsi="Arial" w:cs="Arial"/>
          <w:b/>
          <w:bCs/>
          <w:szCs w:val="24"/>
        </w:rPr>
        <w:t>Etiology</w:t>
      </w:r>
    </w:p>
    <w:p w14:paraId="201BA22D" w14:textId="2E989A18" w:rsidR="001A6C20" w:rsidRPr="00904D36" w:rsidRDefault="00802BC8" w:rsidP="00B30DB4">
      <w:pPr>
        <w:spacing w:after="0" w:line="360" w:lineRule="auto"/>
        <w:jc w:val="both"/>
        <w:rPr>
          <w:rFonts w:ascii="Arial" w:eastAsia="Times New Roman" w:hAnsi="Arial" w:cs="Arial"/>
          <w:sz w:val="20"/>
          <w:szCs w:val="24"/>
        </w:rPr>
      </w:pPr>
      <w:r>
        <w:rPr>
          <w:rFonts w:ascii="Arial" w:hAnsi="Arial" w:cs="Arial"/>
          <w:sz w:val="20"/>
        </w:rPr>
        <w:t xml:space="preserve">The </w:t>
      </w:r>
      <w:r w:rsidR="00511800">
        <w:rPr>
          <w:rFonts w:ascii="Arial" w:hAnsi="Arial" w:cs="Arial"/>
          <w:sz w:val="20"/>
        </w:rPr>
        <w:t>CTVT</w:t>
      </w:r>
      <w:r w:rsidRPr="00904D36">
        <w:rPr>
          <w:rFonts w:ascii="Arial" w:hAnsi="Arial" w:cs="Arial"/>
          <w:sz w:val="20"/>
        </w:rPr>
        <w:t xml:space="preserve"> </w:t>
      </w:r>
      <w:r w:rsidR="00C757EB" w:rsidRPr="00904D36">
        <w:rPr>
          <w:rFonts w:ascii="Arial" w:eastAsia="Times New Roman" w:hAnsi="Arial" w:cs="Arial"/>
          <w:sz w:val="20"/>
          <w:szCs w:val="24"/>
        </w:rPr>
        <w:t>is</w:t>
      </w:r>
      <w:r w:rsidR="00511800">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unique because the "infectious agent" is not an external pathogen but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cells themselves, which are of clonal origin. These cells are thought to arise from histiocytic cells that underwent mutations caused by viruses, chemicals, or radiation. The neoplastic cells spread through allogeneic transplantation, carrying genetic codes distinct from those of the host tissue (</w:t>
      </w:r>
      <w:r w:rsidR="00B61B21">
        <w:rPr>
          <w:rFonts w:ascii="Arial" w:eastAsia="Times New Roman" w:hAnsi="Arial" w:cs="Arial"/>
          <w:sz w:val="20"/>
          <w:szCs w:val="24"/>
        </w:rPr>
        <w:t>6,9</w:t>
      </w:r>
      <w:r w:rsidR="00C757EB" w:rsidRPr="00904D36">
        <w:rPr>
          <w:rFonts w:ascii="Arial" w:eastAsia="Times New Roman" w:hAnsi="Arial" w:cs="Arial"/>
          <w:sz w:val="20"/>
          <w:szCs w:val="24"/>
        </w:rPr>
        <w:t>). It is hypothesized that CTVT originated from somatic cells, likely histiocytes, of the 'founder animal' through evolutionary mechanisms (5)</w:t>
      </w:r>
      <w:r w:rsidR="00B30DB4" w:rsidRPr="00904D36">
        <w:rPr>
          <w:rFonts w:ascii="Arial" w:eastAsia="Times New Roman" w:hAnsi="Arial" w:cs="Arial"/>
          <w:sz w:val="20"/>
          <w:szCs w:val="24"/>
        </w:rPr>
        <w:t>.</w:t>
      </w:r>
    </w:p>
    <w:p w14:paraId="50DD0CB2" w14:textId="06853F69" w:rsidR="00C757EB" w:rsidRPr="00904D36" w:rsidRDefault="00511800" w:rsidP="001A6C20">
      <w:pPr>
        <w:spacing w:after="0" w:line="360" w:lineRule="auto"/>
        <w:jc w:val="both"/>
        <w:outlineLvl w:val="2"/>
        <w:rPr>
          <w:rFonts w:ascii="Arial" w:eastAsia="Times New Roman" w:hAnsi="Arial" w:cs="Arial"/>
          <w:b/>
          <w:bCs/>
          <w:sz w:val="28"/>
          <w:szCs w:val="24"/>
        </w:rPr>
      </w:pPr>
      <w:r>
        <w:rPr>
          <w:rFonts w:ascii="Arial" w:eastAsia="Times New Roman" w:hAnsi="Arial" w:cs="Arial"/>
          <w:b/>
          <w:bCs/>
          <w:szCs w:val="24"/>
        </w:rPr>
        <w:t xml:space="preserve">5. </w:t>
      </w:r>
      <w:r w:rsidRPr="00904D36">
        <w:rPr>
          <w:rFonts w:ascii="Arial" w:eastAsia="Times New Roman" w:hAnsi="Arial" w:cs="Arial"/>
          <w:b/>
          <w:bCs/>
          <w:szCs w:val="24"/>
        </w:rPr>
        <w:t xml:space="preserve">Mode of </w:t>
      </w:r>
      <w:r>
        <w:rPr>
          <w:rFonts w:ascii="Arial" w:eastAsia="Times New Roman" w:hAnsi="Arial" w:cs="Arial"/>
          <w:b/>
          <w:bCs/>
          <w:szCs w:val="24"/>
        </w:rPr>
        <w:t>t</w:t>
      </w:r>
      <w:r w:rsidRPr="00904D36">
        <w:rPr>
          <w:rFonts w:ascii="Arial" w:eastAsia="Times New Roman" w:hAnsi="Arial" w:cs="Arial"/>
          <w:b/>
          <w:bCs/>
          <w:szCs w:val="24"/>
        </w:rPr>
        <w:t>ransmission</w:t>
      </w:r>
    </w:p>
    <w:p w14:paraId="2591CA29" w14:textId="2D12955A" w:rsidR="00B63E35" w:rsidRPr="00904D36"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proofErr w:type="spellStart"/>
      <w:r w:rsidR="00511800">
        <w:rPr>
          <w:rFonts w:ascii="Arial" w:hAnsi="Arial" w:cs="Arial"/>
          <w:sz w:val="20"/>
        </w:rPr>
        <w:t>t</w:t>
      </w:r>
      <w:r w:rsidRPr="00904D36">
        <w:rPr>
          <w:rFonts w:ascii="Arial" w:hAnsi="Arial" w:cs="Arial"/>
          <w:sz w:val="20"/>
        </w:rPr>
        <w:t>umour</w:t>
      </w:r>
      <w:proofErr w:type="spellEnd"/>
      <w:r w:rsidRPr="00904D36">
        <w:rPr>
          <w:rFonts w:ascii="Arial" w:hAnsi="Arial" w:cs="Arial"/>
          <w:sz w:val="20"/>
        </w:rPr>
        <w:t xml:space="preserve"> </w:t>
      </w:r>
      <w:r w:rsidR="00C757EB" w:rsidRPr="00904D36">
        <w:rPr>
          <w:rFonts w:ascii="Arial" w:eastAsia="Times New Roman" w:hAnsi="Arial" w:cs="Arial"/>
          <w:sz w:val="20"/>
          <w:szCs w:val="24"/>
        </w:rPr>
        <w:t xml:space="preserve">is the only known naturally occurring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transmitted via cell transplantation (</w:t>
      </w:r>
      <w:r w:rsidR="00B61B21">
        <w:rPr>
          <w:rFonts w:ascii="Arial" w:eastAsia="Times New Roman" w:hAnsi="Arial" w:cs="Arial"/>
          <w:sz w:val="20"/>
          <w:szCs w:val="24"/>
        </w:rPr>
        <w:t>26</w:t>
      </w:r>
      <w:r w:rsidR="00C757EB" w:rsidRPr="00904D36">
        <w:rPr>
          <w:rFonts w:ascii="Arial" w:eastAsia="Times New Roman" w:hAnsi="Arial" w:cs="Arial"/>
          <w:sz w:val="20"/>
          <w:szCs w:val="24"/>
        </w:rPr>
        <w:t xml:space="preserve">). Transmission typically occurs during mating, as the male and female genital mucosa often sustain injuries, facilitating the transfer of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cells (</w:t>
      </w:r>
      <w:r w:rsidR="00B61B21">
        <w:rPr>
          <w:rFonts w:ascii="Arial" w:eastAsia="Times New Roman" w:hAnsi="Arial" w:cs="Arial"/>
          <w:sz w:val="20"/>
          <w:szCs w:val="24"/>
        </w:rPr>
        <w:t>9</w:t>
      </w:r>
      <w:r w:rsidR="00C757EB" w:rsidRPr="00904D36">
        <w:rPr>
          <w:rFonts w:ascii="Arial" w:eastAsia="Times New Roman" w:hAnsi="Arial" w:cs="Arial"/>
          <w:sz w:val="20"/>
          <w:szCs w:val="24"/>
        </w:rPr>
        <w:t>)</w:t>
      </w:r>
      <w:r w:rsidR="00B30DB4" w:rsidRPr="00904D36">
        <w:rPr>
          <w:rFonts w:ascii="Arial" w:eastAsia="Times New Roman" w:hAnsi="Arial" w:cs="Arial"/>
          <w:sz w:val="20"/>
          <w:szCs w:val="24"/>
        </w:rPr>
        <w:t>.</w:t>
      </w:r>
      <w:r w:rsidR="00C757EB" w:rsidRPr="00904D36">
        <w:rPr>
          <w:rFonts w:ascii="Arial" w:eastAsia="Times New Roman" w:hAnsi="Arial" w:cs="Arial"/>
          <w:sz w:val="20"/>
          <w:szCs w:val="24"/>
        </w:rPr>
        <w:t xml:space="preserve"> Although primarily found in genital regions, CTVT may also manifest in non-genital locations such as the skin, nasal cavity, lymph nodes, eyes, and mouth, suggesting alternative transmission routes like licking, biting, or sniffing (</w:t>
      </w:r>
      <w:r w:rsidR="00B61B21">
        <w:rPr>
          <w:rFonts w:ascii="Arial" w:eastAsia="Times New Roman" w:hAnsi="Arial" w:cs="Arial"/>
          <w:sz w:val="20"/>
          <w:szCs w:val="24"/>
        </w:rPr>
        <w:t>27</w:t>
      </w:r>
      <w:r w:rsidR="00C757EB" w:rsidRPr="00904D36">
        <w:rPr>
          <w:rFonts w:ascii="Arial" w:eastAsia="Times New Roman" w:hAnsi="Arial" w:cs="Arial"/>
          <w:sz w:val="20"/>
          <w:szCs w:val="24"/>
        </w:rPr>
        <w:t>)</w:t>
      </w:r>
      <w:r w:rsidR="00B30DB4"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Marcos </w:t>
      </w:r>
      <w:r w:rsidR="00C757EB" w:rsidRPr="00904D36">
        <w:rPr>
          <w:rFonts w:ascii="Arial" w:eastAsia="Times New Roman" w:hAnsi="Arial" w:cs="Arial"/>
          <w:i/>
          <w:sz w:val="20"/>
          <w:szCs w:val="24"/>
        </w:rPr>
        <w:t>et al.</w:t>
      </w:r>
      <w:r w:rsidR="00C757EB" w:rsidRPr="00904D36">
        <w:rPr>
          <w:rFonts w:ascii="Arial" w:eastAsia="Times New Roman" w:hAnsi="Arial" w:cs="Arial"/>
          <w:sz w:val="20"/>
          <w:szCs w:val="24"/>
        </w:rPr>
        <w:t xml:space="preserve"> (</w:t>
      </w:r>
      <w:r w:rsidR="00B61B21">
        <w:rPr>
          <w:rFonts w:ascii="Arial" w:eastAsia="Times New Roman" w:hAnsi="Arial" w:cs="Arial"/>
          <w:sz w:val="20"/>
          <w:szCs w:val="24"/>
        </w:rPr>
        <w:t>28</w:t>
      </w:r>
      <w:r w:rsidR="00C757EB" w:rsidRPr="00904D36">
        <w:rPr>
          <w:rFonts w:ascii="Arial" w:eastAsia="Times New Roman" w:hAnsi="Arial" w:cs="Arial"/>
          <w:sz w:val="20"/>
          <w:szCs w:val="24"/>
        </w:rPr>
        <w:t>)</w:t>
      </w:r>
      <w:r w:rsidR="00D7418D"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reported a rare case of CTVT in an 11-month-old sexually immature female dog with exclusively cutaneous lesions, likely transmitted from dam to pup during grooming or maternal behavior. Once introduced into a new host,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cells proliferate over two to six months, typically forming masses around the genitalia (</w:t>
      </w:r>
      <w:r w:rsidR="00B61B21">
        <w:rPr>
          <w:rFonts w:ascii="Arial" w:eastAsia="Times New Roman" w:hAnsi="Arial" w:cs="Arial"/>
          <w:sz w:val="20"/>
          <w:szCs w:val="24"/>
        </w:rPr>
        <w:t>29</w:t>
      </w:r>
      <w:r w:rsidR="00C757EB"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Experimental studies have shown that CTVT can be transferred to various canids such as wolves, coyotes, red foxes, and jackals, but not to other laboratory animals, confirming its specificity for the Canidae family. </w:t>
      </w:r>
      <w:r w:rsidR="00C757EB" w:rsidRPr="00904D36">
        <w:rPr>
          <w:rFonts w:ascii="Arial" w:eastAsia="Times New Roman" w:hAnsi="Arial" w:cs="Arial"/>
          <w:sz w:val="20"/>
          <w:szCs w:val="24"/>
        </w:rPr>
        <w:lastRenderedPageBreak/>
        <w:t>Interestingly, natural occurrences of CTVT have not been reported in wild canids, which could either reflect a lack of documentation or an inability of CTVT to cross species barriers in natural conditions (</w:t>
      </w:r>
      <w:r w:rsidR="00B61B21">
        <w:rPr>
          <w:rFonts w:ascii="Arial" w:eastAsia="Times New Roman" w:hAnsi="Arial" w:cs="Arial"/>
          <w:sz w:val="20"/>
          <w:szCs w:val="24"/>
        </w:rPr>
        <w:t>9</w:t>
      </w:r>
      <w:r w:rsidR="00C757EB" w:rsidRPr="00904D36">
        <w:rPr>
          <w:rFonts w:ascii="Arial" w:eastAsia="Times New Roman" w:hAnsi="Arial" w:cs="Arial"/>
          <w:sz w:val="20"/>
          <w:szCs w:val="24"/>
        </w:rPr>
        <w:t>).</w:t>
      </w:r>
    </w:p>
    <w:p w14:paraId="268CF33E" w14:textId="18E043B8" w:rsidR="00B63E35" w:rsidRPr="00904D36" w:rsidRDefault="00511800" w:rsidP="001A6C20">
      <w:pPr>
        <w:spacing w:after="0" w:line="360" w:lineRule="auto"/>
        <w:jc w:val="both"/>
        <w:rPr>
          <w:rFonts w:ascii="Arial" w:eastAsia="Times New Roman" w:hAnsi="Arial" w:cs="Arial"/>
          <w:b/>
          <w:szCs w:val="24"/>
        </w:rPr>
      </w:pPr>
      <w:r>
        <w:rPr>
          <w:rFonts w:ascii="Arial" w:eastAsia="Times New Roman" w:hAnsi="Arial" w:cs="Arial"/>
          <w:b/>
          <w:bCs/>
          <w:szCs w:val="24"/>
        </w:rPr>
        <w:t xml:space="preserve">6. </w:t>
      </w:r>
      <w:r w:rsidRPr="00904D36">
        <w:rPr>
          <w:rFonts w:ascii="Arial" w:eastAsia="Times New Roman" w:hAnsi="Arial" w:cs="Arial"/>
          <w:b/>
          <w:bCs/>
          <w:szCs w:val="24"/>
        </w:rPr>
        <w:t>Cellular origin and characteristics</w:t>
      </w:r>
    </w:p>
    <w:p w14:paraId="6108B8D2" w14:textId="40BC9421" w:rsidR="00B63E35" w:rsidRPr="00904D36" w:rsidRDefault="00C757EB" w:rsidP="001A6C20">
      <w:pPr>
        <w:spacing w:after="0" w:line="360" w:lineRule="auto"/>
        <w:jc w:val="both"/>
        <w:outlineLvl w:val="2"/>
        <w:rPr>
          <w:rFonts w:ascii="Arial" w:eastAsia="Times New Roman" w:hAnsi="Arial" w:cs="Arial"/>
          <w:b/>
          <w:bCs/>
          <w:sz w:val="20"/>
          <w:szCs w:val="24"/>
        </w:rPr>
      </w:pPr>
      <w:r w:rsidRPr="00904D36">
        <w:rPr>
          <w:rFonts w:ascii="Arial" w:eastAsia="Times New Roman" w:hAnsi="Arial" w:cs="Arial"/>
          <w:sz w:val="20"/>
          <w:szCs w:val="24"/>
        </w:rPr>
        <w:t xml:space="preserve">Albanese </w:t>
      </w:r>
      <w:r w:rsidRPr="00904D36">
        <w:rPr>
          <w:rFonts w:ascii="Arial" w:eastAsia="Times New Roman" w:hAnsi="Arial" w:cs="Arial"/>
          <w:i/>
          <w:sz w:val="20"/>
          <w:szCs w:val="24"/>
        </w:rPr>
        <w:t>et al.</w:t>
      </w:r>
      <w:r w:rsidRPr="00904D36">
        <w:rPr>
          <w:rFonts w:ascii="Arial" w:eastAsia="Times New Roman" w:hAnsi="Arial" w:cs="Arial"/>
          <w:sz w:val="20"/>
          <w:szCs w:val="24"/>
        </w:rPr>
        <w:t xml:space="preserve"> (</w:t>
      </w:r>
      <w:r w:rsidR="00B61B21">
        <w:rPr>
          <w:rFonts w:ascii="Arial" w:eastAsia="Times New Roman" w:hAnsi="Arial" w:cs="Arial"/>
          <w:sz w:val="20"/>
          <w:szCs w:val="24"/>
        </w:rPr>
        <w:t>21</w:t>
      </w:r>
      <w:r w:rsidRPr="00904D36">
        <w:rPr>
          <w:rFonts w:ascii="Arial" w:eastAsia="Times New Roman" w:hAnsi="Arial" w:cs="Arial"/>
          <w:sz w:val="20"/>
          <w:szCs w:val="24"/>
        </w:rPr>
        <w:t xml:space="preserve">) and Catone </w:t>
      </w:r>
      <w:r w:rsidRPr="00904D36">
        <w:rPr>
          <w:rFonts w:ascii="Arial" w:eastAsia="Times New Roman" w:hAnsi="Arial" w:cs="Arial"/>
          <w:i/>
          <w:sz w:val="20"/>
          <w:szCs w:val="24"/>
        </w:rPr>
        <w:t>et al.</w:t>
      </w:r>
      <w:r w:rsidRPr="00904D36">
        <w:rPr>
          <w:rFonts w:ascii="Arial" w:eastAsia="Times New Roman" w:hAnsi="Arial" w:cs="Arial"/>
          <w:sz w:val="20"/>
          <w:szCs w:val="24"/>
        </w:rPr>
        <w:t xml:space="preserve"> (2</w:t>
      </w:r>
      <w:r w:rsidR="00B61B21">
        <w:rPr>
          <w:rFonts w:ascii="Arial" w:eastAsia="Times New Roman" w:hAnsi="Arial" w:cs="Arial"/>
          <w:sz w:val="20"/>
          <w:szCs w:val="24"/>
        </w:rPr>
        <w:t>2</w:t>
      </w:r>
      <w:r w:rsidRPr="00904D36">
        <w:rPr>
          <w:rFonts w:ascii="Arial" w:eastAsia="Times New Roman" w:hAnsi="Arial" w:cs="Arial"/>
          <w:sz w:val="20"/>
          <w:szCs w:val="24"/>
        </w:rPr>
        <w:t>)</w:t>
      </w:r>
      <w:r w:rsidR="00D7418D" w:rsidRPr="00904D36">
        <w:rPr>
          <w:rFonts w:ascii="Arial" w:eastAsia="Times New Roman" w:hAnsi="Arial" w:cs="Arial"/>
          <w:sz w:val="20"/>
          <w:szCs w:val="24"/>
        </w:rPr>
        <w:t xml:space="preserve"> </w:t>
      </w:r>
      <w:r w:rsidR="00511800">
        <w:rPr>
          <w:rFonts w:ascii="Arial" w:eastAsia="Times New Roman" w:hAnsi="Arial" w:cs="Arial"/>
          <w:sz w:val="20"/>
          <w:szCs w:val="24"/>
        </w:rPr>
        <w:t xml:space="preserve">have </w:t>
      </w:r>
      <w:r w:rsidRPr="00904D36">
        <w:rPr>
          <w:rFonts w:ascii="Arial" w:eastAsia="Times New Roman" w:hAnsi="Arial" w:cs="Arial"/>
          <w:sz w:val="20"/>
          <w:szCs w:val="24"/>
        </w:rPr>
        <w:t xml:space="preserve">identified </w:t>
      </w:r>
      <w:r w:rsidRPr="00904D36">
        <w:rPr>
          <w:rFonts w:ascii="Arial" w:eastAsia="Times New Roman" w:hAnsi="Arial" w:cs="Arial"/>
          <w:i/>
          <w:iCs/>
          <w:sz w:val="20"/>
          <w:szCs w:val="24"/>
        </w:rPr>
        <w:t>Leishmania</w:t>
      </w:r>
      <w:r w:rsidRPr="00904D36">
        <w:rPr>
          <w:rFonts w:ascii="Arial" w:eastAsia="Times New Roman" w:hAnsi="Arial" w:cs="Arial"/>
          <w:sz w:val="20"/>
          <w:szCs w:val="24"/>
        </w:rPr>
        <w:t xml:space="preserve"> amastigotes in CTVT cells, suggesting that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cells exhibit phagocytic properties and may have a histiocytic origin. It is believed that CTVT originated from a somatic cell, possibly a macrophage or dendritic cell, through evolutionary adaptations (5).</w:t>
      </w:r>
      <w:r w:rsidR="001A6C20" w:rsidRPr="00904D36">
        <w:rPr>
          <w:rFonts w:ascii="Arial" w:eastAsia="Times New Roman" w:hAnsi="Arial" w:cs="Arial"/>
          <w:b/>
          <w:bCs/>
          <w:sz w:val="20"/>
          <w:szCs w:val="24"/>
        </w:rPr>
        <w:t xml:space="preserve"> </w:t>
      </w:r>
      <w:r w:rsidRPr="00904D36">
        <w:rPr>
          <w:rFonts w:ascii="Arial" w:eastAsia="Times New Roman" w:hAnsi="Arial" w:cs="Arial"/>
          <w:sz w:val="20"/>
          <w:szCs w:val="24"/>
        </w:rPr>
        <w:t>While its exact cellular origin is debated, earlier classifications labeled CTVT as histiocytic, lymphocytic, or reticuloendothelial. Recent findings favor a macrophage or myeloid lineage as the source (</w:t>
      </w:r>
      <w:r w:rsidR="00846EE8">
        <w:rPr>
          <w:rFonts w:ascii="Arial" w:eastAsia="Times New Roman" w:hAnsi="Arial" w:cs="Arial"/>
          <w:sz w:val="20"/>
          <w:szCs w:val="24"/>
        </w:rPr>
        <w:t>23</w:t>
      </w:r>
      <w:r w:rsidRPr="00904D36">
        <w:rPr>
          <w:rFonts w:ascii="Arial" w:eastAsia="Times New Roman" w:hAnsi="Arial" w:cs="Arial"/>
          <w:sz w:val="20"/>
          <w:szCs w:val="24"/>
        </w:rPr>
        <w:t>). Histiocytes, derived from bone marrow stem cells of mesenchymal origin, differentiate into monocytes, macrophages, or dendritic cells under cytokine stimulation (</w:t>
      </w:r>
      <w:r w:rsidR="00846EE8">
        <w:rPr>
          <w:rFonts w:ascii="Arial" w:eastAsia="Times New Roman" w:hAnsi="Arial" w:cs="Arial"/>
          <w:sz w:val="20"/>
          <w:szCs w:val="24"/>
        </w:rPr>
        <w:t>6</w:t>
      </w:r>
      <w:r w:rsidR="00B30DB4" w:rsidRPr="00904D36">
        <w:rPr>
          <w:rFonts w:ascii="Arial" w:eastAsia="Times New Roman" w:hAnsi="Arial" w:cs="Arial"/>
          <w:sz w:val="20"/>
          <w:szCs w:val="24"/>
        </w:rPr>
        <w:t>).</w:t>
      </w:r>
    </w:p>
    <w:p w14:paraId="674A8474" w14:textId="151F6DEF" w:rsidR="00C757EB" w:rsidRPr="00904D36" w:rsidRDefault="00207B2E" w:rsidP="001A6C20">
      <w:pPr>
        <w:spacing w:after="0" w:line="360" w:lineRule="auto"/>
        <w:jc w:val="both"/>
        <w:rPr>
          <w:rFonts w:ascii="Arial" w:eastAsia="Times New Roman" w:hAnsi="Arial" w:cs="Arial"/>
          <w:szCs w:val="24"/>
        </w:rPr>
      </w:pPr>
      <w:r>
        <w:rPr>
          <w:rFonts w:ascii="Arial" w:eastAsia="Times New Roman" w:hAnsi="Arial" w:cs="Arial"/>
          <w:b/>
          <w:bCs/>
          <w:szCs w:val="24"/>
        </w:rPr>
        <w:t xml:space="preserve">7. </w:t>
      </w:r>
      <w:r w:rsidR="00511800" w:rsidRPr="00904D36">
        <w:rPr>
          <w:rFonts w:ascii="Arial" w:eastAsia="Times New Roman" w:hAnsi="Arial" w:cs="Arial"/>
          <w:b/>
          <w:bCs/>
          <w:szCs w:val="24"/>
        </w:rPr>
        <w:t xml:space="preserve">Incidence of canine transmissible venereal </w:t>
      </w:r>
      <w:proofErr w:type="spellStart"/>
      <w:r w:rsidR="00511800" w:rsidRPr="00904D36">
        <w:rPr>
          <w:rFonts w:ascii="Arial" w:eastAsia="Times New Roman" w:hAnsi="Arial" w:cs="Arial"/>
          <w:b/>
          <w:bCs/>
          <w:szCs w:val="24"/>
        </w:rPr>
        <w:t>tumour</w:t>
      </w:r>
      <w:proofErr w:type="spellEnd"/>
      <w:r w:rsidR="00511800" w:rsidRPr="00904D36">
        <w:rPr>
          <w:rFonts w:ascii="Arial" w:eastAsia="Times New Roman" w:hAnsi="Arial" w:cs="Arial"/>
          <w:b/>
          <w:bCs/>
          <w:szCs w:val="24"/>
        </w:rPr>
        <w:t xml:space="preserve"> </w:t>
      </w:r>
    </w:p>
    <w:p w14:paraId="30C83BE5" w14:textId="4B0009F2"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a) </w:t>
      </w:r>
      <w:r w:rsidR="006E0529" w:rsidRPr="00904D36">
        <w:rPr>
          <w:rFonts w:ascii="Arial" w:eastAsia="Times New Roman" w:hAnsi="Arial" w:cs="Arial"/>
          <w:b/>
          <w:bCs/>
          <w:szCs w:val="24"/>
        </w:rPr>
        <w:t xml:space="preserve">Seasonal </w:t>
      </w:r>
      <w:r w:rsidR="00511800" w:rsidRPr="00904D36">
        <w:rPr>
          <w:rFonts w:ascii="Arial" w:eastAsia="Times New Roman" w:hAnsi="Arial" w:cs="Arial"/>
          <w:b/>
          <w:bCs/>
          <w:szCs w:val="24"/>
        </w:rPr>
        <w:t>incidence</w:t>
      </w:r>
    </w:p>
    <w:p w14:paraId="0CAE8D4C" w14:textId="4D9079F2" w:rsidR="00C757EB" w:rsidRPr="00904D36" w:rsidRDefault="00C757EB" w:rsidP="001A6C20">
      <w:pPr>
        <w:spacing w:after="0" w:line="360" w:lineRule="auto"/>
        <w:jc w:val="both"/>
        <w:rPr>
          <w:rFonts w:ascii="Arial" w:eastAsia="Times New Roman" w:hAnsi="Arial" w:cs="Arial"/>
          <w:sz w:val="20"/>
          <w:szCs w:val="24"/>
        </w:rPr>
      </w:pPr>
      <w:r w:rsidRPr="00904D36">
        <w:rPr>
          <w:rFonts w:ascii="Arial" w:eastAsia="Times New Roman" w:hAnsi="Arial" w:cs="Arial"/>
          <w:sz w:val="20"/>
          <w:szCs w:val="24"/>
        </w:rPr>
        <w:t xml:space="preserve">The occurrence of CTVT varies significantly with seasons and is closely linked to the </w:t>
      </w:r>
      <w:proofErr w:type="spellStart"/>
      <w:r w:rsidRPr="00904D36">
        <w:rPr>
          <w:rFonts w:ascii="Arial" w:eastAsia="Times New Roman" w:hAnsi="Arial" w:cs="Arial"/>
          <w:sz w:val="20"/>
          <w:szCs w:val="24"/>
        </w:rPr>
        <w:t>oestrus</w:t>
      </w:r>
      <w:proofErr w:type="spellEnd"/>
      <w:r w:rsidRPr="00904D36">
        <w:rPr>
          <w:rFonts w:ascii="Arial" w:eastAsia="Times New Roman" w:hAnsi="Arial" w:cs="Arial"/>
          <w:sz w:val="20"/>
          <w:szCs w:val="24"/>
        </w:rPr>
        <w:t xml:space="preserve"> cycle in female dogs (</w:t>
      </w:r>
      <w:r w:rsidR="00846EE8">
        <w:rPr>
          <w:rFonts w:ascii="Arial" w:eastAsia="Times New Roman" w:hAnsi="Arial" w:cs="Arial"/>
          <w:sz w:val="20"/>
          <w:szCs w:val="24"/>
        </w:rPr>
        <w:t>6,24</w:t>
      </w:r>
      <w:r w:rsidRPr="00904D36">
        <w:rPr>
          <w:rFonts w:ascii="Arial" w:eastAsia="Times New Roman" w:hAnsi="Arial" w:cs="Arial"/>
          <w:sz w:val="20"/>
          <w:szCs w:val="24"/>
        </w:rPr>
        <w:t xml:space="preserve">). These </w:t>
      </w:r>
      <w:proofErr w:type="spellStart"/>
      <w:r w:rsidR="007B3F95" w:rsidRPr="00904D36">
        <w:rPr>
          <w:rFonts w:ascii="Arial" w:eastAsia="Times New Roman" w:hAnsi="Arial" w:cs="Arial"/>
          <w:sz w:val="20"/>
          <w:szCs w:val="24"/>
        </w:rPr>
        <w:t>tumour</w:t>
      </w:r>
      <w:r w:rsidRPr="00904D36">
        <w:rPr>
          <w:rFonts w:ascii="Arial" w:eastAsia="Times New Roman" w:hAnsi="Arial" w:cs="Arial"/>
          <w:sz w:val="20"/>
          <w:szCs w:val="24"/>
        </w:rPr>
        <w:t>s</w:t>
      </w:r>
      <w:proofErr w:type="spellEnd"/>
      <w:r w:rsidRPr="00904D36">
        <w:rPr>
          <w:rFonts w:ascii="Arial" w:eastAsia="Times New Roman" w:hAnsi="Arial" w:cs="Arial"/>
          <w:sz w:val="20"/>
          <w:szCs w:val="24"/>
        </w:rPr>
        <w:t xml:space="preserve"> are most frequently observed during periods of heightened sexual activity in dogs, with females in </w:t>
      </w:r>
      <w:proofErr w:type="spellStart"/>
      <w:r w:rsidRPr="00904D36">
        <w:rPr>
          <w:rFonts w:ascii="Arial" w:eastAsia="Times New Roman" w:hAnsi="Arial" w:cs="Arial"/>
          <w:sz w:val="20"/>
          <w:szCs w:val="24"/>
        </w:rPr>
        <w:t>oestrus</w:t>
      </w:r>
      <w:proofErr w:type="spellEnd"/>
      <w:r w:rsidRPr="00904D36">
        <w:rPr>
          <w:rFonts w:ascii="Arial" w:eastAsia="Times New Roman" w:hAnsi="Arial" w:cs="Arial"/>
          <w:sz w:val="20"/>
          <w:szCs w:val="24"/>
        </w:rPr>
        <w:t xml:space="preserve"> being at the highest risk (</w:t>
      </w:r>
      <w:r w:rsidR="00846EE8">
        <w:rPr>
          <w:rFonts w:ascii="Arial" w:eastAsia="Times New Roman" w:hAnsi="Arial" w:cs="Arial"/>
          <w:sz w:val="20"/>
          <w:szCs w:val="24"/>
        </w:rPr>
        <w:t>30,31</w:t>
      </w:r>
      <w:r w:rsidRPr="00904D36">
        <w:rPr>
          <w:rFonts w:ascii="Arial" w:eastAsia="Times New Roman" w:hAnsi="Arial" w:cs="Arial"/>
          <w:sz w:val="20"/>
          <w:szCs w:val="24"/>
        </w:rPr>
        <w:t>).</w:t>
      </w:r>
    </w:p>
    <w:p w14:paraId="1F6F4C91" w14:textId="693FFDA9"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b) </w:t>
      </w:r>
      <w:r w:rsidR="006E0529" w:rsidRPr="00904D36">
        <w:rPr>
          <w:rFonts w:ascii="Arial" w:eastAsia="Times New Roman" w:hAnsi="Arial" w:cs="Arial"/>
          <w:b/>
          <w:bCs/>
          <w:szCs w:val="24"/>
        </w:rPr>
        <w:t xml:space="preserve">Incidence </w:t>
      </w:r>
      <w:r w:rsidR="00802BC8">
        <w:rPr>
          <w:rFonts w:ascii="Arial" w:eastAsia="Times New Roman" w:hAnsi="Arial" w:cs="Arial"/>
          <w:b/>
          <w:bCs/>
          <w:szCs w:val="24"/>
        </w:rPr>
        <w:t>b</w:t>
      </w:r>
      <w:r w:rsidR="006E0529" w:rsidRPr="00904D36">
        <w:rPr>
          <w:rFonts w:ascii="Arial" w:eastAsia="Times New Roman" w:hAnsi="Arial" w:cs="Arial"/>
          <w:b/>
          <w:bCs/>
          <w:szCs w:val="24"/>
        </w:rPr>
        <w:t xml:space="preserve">y </w:t>
      </w:r>
      <w:r w:rsidR="00511800" w:rsidRPr="00904D36">
        <w:rPr>
          <w:rFonts w:ascii="Arial" w:eastAsia="Times New Roman" w:hAnsi="Arial" w:cs="Arial"/>
          <w:b/>
          <w:bCs/>
          <w:szCs w:val="24"/>
        </w:rPr>
        <w:t>sex</w:t>
      </w:r>
    </w:p>
    <w:p w14:paraId="0BD913BF" w14:textId="259AD6AF" w:rsidR="00C757EB" w:rsidRPr="00904D36" w:rsidRDefault="00C757EB" w:rsidP="001A6C20">
      <w:pPr>
        <w:spacing w:after="0" w:line="360" w:lineRule="auto"/>
        <w:jc w:val="both"/>
        <w:rPr>
          <w:rFonts w:ascii="Arial" w:eastAsia="Times New Roman" w:hAnsi="Arial" w:cs="Arial"/>
          <w:sz w:val="20"/>
          <w:szCs w:val="24"/>
        </w:rPr>
      </w:pPr>
      <w:r w:rsidRPr="00904D36">
        <w:rPr>
          <w:rFonts w:ascii="Arial" w:eastAsia="Times New Roman" w:hAnsi="Arial" w:cs="Arial"/>
          <w:sz w:val="20"/>
          <w:szCs w:val="24"/>
        </w:rPr>
        <w:t xml:space="preserve">Females exhibit a higher incidence of CTVT compared to males. However, male dogs, being consistently sexually active, have more opportunities to transmit the disease. Studies indicate that a single infected male dog has the potential to spread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to as many as 11 or 12 female dogs (</w:t>
      </w:r>
      <w:r w:rsidR="00846EE8">
        <w:rPr>
          <w:rFonts w:ascii="Arial" w:eastAsia="Times New Roman" w:hAnsi="Arial" w:cs="Arial"/>
          <w:sz w:val="20"/>
          <w:szCs w:val="24"/>
        </w:rPr>
        <w:t>6,31</w:t>
      </w:r>
      <w:r w:rsidRPr="00904D36">
        <w:rPr>
          <w:rFonts w:ascii="Arial" w:eastAsia="Times New Roman" w:hAnsi="Arial" w:cs="Arial"/>
          <w:sz w:val="20"/>
          <w:szCs w:val="24"/>
        </w:rPr>
        <w:t xml:space="preserve">). Nonetheless, dogs of any sex or breed are susceptible to this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w:t>
      </w:r>
      <w:r w:rsidR="00846EE8">
        <w:rPr>
          <w:rFonts w:ascii="Arial" w:eastAsia="Times New Roman" w:hAnsi="Arial" w:cs="Arial"/>
          <w:sz w:val="20"/>
          <w:szCs w:val="24"/>
        </w:rPr>
        <w:t>32,33</w:t>
      </w:r>
      <w:r w:rsidRPr="00904D36">
        <w:rPr>
          <w:rFonts w:ascii="Arial" w:eastAsia="Times New Roman" w:hAnsi="Arial" w:cs="Arial"/>
          <w:sz w:val="20"/>
          <w:szCs w:val="24"/>
        </w:rPr>
        <w:t>)</w:t>
      </w:r>
      <w:r w:rsidR="00B30DB4" w:rsidRPr="00904D36">
        <w:rPr>
          <w:rFonts w:ascii="Arial" w:eastAsia="Times New Roman" w:hAnsi="Arial" w:cs="Arial"/>
          <w:sz w:val="20"/>
          <w:szCs w:val="24"/>
        </w:rPr>
        <w:t>.</w:t>
      </w:r>
    </w:p>
    <w:p w14:paraId="21D73B4A" w14:textId="48523A54"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c) </w:t>
      </w:r>
      <w:r w:rsidR="006E0529" w:rsidRPr="00904D36">
        <w:rPr>
          <w:rFonts w:ascii="Arial" w:eastAsia="Times New Roman" w:hAnsi="Arial" w:cs="Arial"/>
          <w:b/>
          <w:bCs/>
          <w:szCs w:val="24"/>
        </w:rPr>
        <w:t xml:space="preserve">Incidence by </w:t>
      </w:r>
      <w:r w:rsidR="00511800" w:rsidRPr="00904D36">
        <w:rPr>
          <w:rFonts w:ascii="Arial" w:eastAsia="Times New Roman" w:hAnsi="Arial" w:cs="Arial"/>
          <w:b/>
          <w:bCs/>
          <w:szCs w:val="24"/>
        </w:rPr>
        <w:t>age</w:t>
      </w:r>
    </w:p>
    <w:p w14:paraId="43A0AE8D" w14:textId="1E4DC939" w:rsidR="00B63E35" w:rsidRPr="00904D36"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0015038E">
        <w:rPr>
          <w:rFonts w:ascii="Arial" w:hAnsi="Arial" w:cs="Arial"/>
          <w:sz w:val="20"/>
        </w:rPr>
        <w:t xml:space="preserve">CTVT </w:t>
      </w:r>
      <w:r w:rsidR="00C757EB" w:rsidRPr="00904D36">
        <w:rPr>
          <w:rFonts w:ascii="Arial" w:eastAsia="Times New Roman" w:hAnsi="Arial" w:cs="Arial"/>
          <w:sz w:val="20"/>
          <w:szCs w:val="24"/>
        </w:rPr>
        <w:t>is more prevalent in young and middle-aged dogs, particularly those between 1 and 5 years of age. These dogs, being more sexually active, are at a greater risk of exposure to the disease (</w:t>
      </w:r>
      <w:r w:rsidR="00846EE8">
        <w:rPr>
          <w:rFonts w:ascii="Arial" w:eastAsia="Times New Roman" w:hAnsi="Arial" w:cs="Arial"/>
          <w:sz w:val="20"/>
          <w:szCs w:val="24"/>
        </w:rPr>
        <w:t>6,31,</w:t>
      </w:r>
      <w:r w:rsidR="00C757EB" w:rsidRPr="00904D36">
        <w:rPr>
          <w:rFonts w:ascii="Arial" w:eastAsia="Times New Roman" w:hAnsi="Arial" w:cs="Arial"/>
          <w:sz w:val="20"/>
          <w:szCs w:val="24"/>
        </w:rPr>
        <w:t>).</w:t>
      </w:r>
    </w:p>
    <w:p w14:paraId="7066F8C4" w14:textId="2FE129FE" w:rsidR="00C757EB" w:rsidRPr="00904D36" w:rsidRDefault="00207B2E" w:rsidP="001A6C20">
      <w:pPr>
        <w:spacing w:after="0" w:line="360" w:lineRule="auto"/>
        <w:jc w:val="both"/>
        <w:rPr>
          <w:rFonts w:ascii="Arial" w:eastAsia="Times New Roman" w:hAnsi="Arial" w:cs="Arial"/>
          <w:szCs w:val="24"/>
        </w:rPr>
      </w:pPr>
      <w:r>
        <w:rPr>
          <w:rFonts w:ascii="Arial" w:eastAsia="Times New Roman" w:hAnsi="Arial" w:cs="Arial"/>
          <w:b/>
          <w:bCs/>
          <w:szCs w:val="24"/>
        </w:rPr>
        <w:t xml:space="preserve">d) </w:t>
      </w:r>
      <w:r w:rsidR="006E0529" w:rsidRPr="00904D36">
        <w:rPr>
          <w:rFonts w:ascii="Arial" w:eastAsia="Times New Roman" w:hAnsi="Arial" w:cs="Arial"/>
          <w:b/>
          <w:bCs/>
          <w:szCs w:val="24"/>
        </w:rPr>
        <w:t xml:space="preserve">Immune </w:t>
      </w:r>
      <w:r w:rsidR="00802BC8">
        <w:rPr>
          <w:rFonts w:ascii="Arial" w:eastAsia="Times New Roman" w:hAnsi="Arial" w:cs="Arial"/>
          <w:b/>
          <w:bCs/>
          <w:szCs w:val="24"/>
        </w:rPr>
        <w:t>r</w:t>
      </w:r>
      <w:r w:rsidR="006E0529" w:rsidRPr="00904D36">
        <w:rPr>
          <w:rFonts w:ascii="Arial" w:eastAsia="Times New Roman" w:hAnsi="Arial" w:cs="Arial"/>
          <w:b/>
          <w:bCs/>
          <w:szCs w:val="24"/>
        </w:rPr>
        <w:t xml:space="preserve">esponse </w:t>
      </w:r>
      <w:r w:rsidR="00802BC8">
        <w:rPr>
          <w:rFonts w:ascii="Arial" w:eastAsia="Times New Roman" w:hAnsi="Arial" w:cs="Arial"/>
          <w:b/>
          <w:bCs/>
          <w:szCs w:val="24"/>
        </w:rPr>
        <w:t>a</w:t>
      </w:r>
      <w:r w:rsidR="006E0529" w:rsidRPr="00904D36">
        <w:rPr>
          <w:rFonts w:ascii="Arial" w:eastAsia="Times New Roman" w:hAnsi="Arial" w:cs="Arial"/>
          <w:b/>
          <w:bCs/>
          <w:szCs w:val="24"/>
        </w:rPr>
        <w:t>gainst CTVT</w:t>
      </w:r>
    </w:p>
    <w:p w14:paraId="10EAA9C6" w14:textId="421E4E63" w:rsidR="00C757EB" w:rsidRPr="00904D36"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0015038E">
        <w:rPr>
          <w:rFonts w:ascii="Arial" w:hAnsi="Arial" w:cs="Arial"/>
          <w:sz w:val="20"/>
        </w:rPr>
        <w:t>CTVT</w:t>
      </w:r>
      <w:r>
        <w:rPr>
          <w:rFonts w:ascii="Arial" w:hAnsi="Arial" w:cs="Arial"/>
          <w:sz w:val="20"/>
        </w:rPr>
        <w:t xml:space="preserve"> </w:t>
      </w:r>
      <w:r w:rsidR="00C757EB" w:rsidRPr="00904D36">
        <w:rPr>
          <w:rFonts w:ascii="Arial" w:eastAsia="Times New Roman" w:hAnsi="Arial" w:cs="Arial"/>
          <w:sz w:val="20"/>
          <w:szCs w:val="24"/>
        </w:rPr>
        <w:t xml:space="preserve">classified as a round cell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in dogs, exhibits immunohistochemical features indicative of histiocytic origin (</w:t>
      </w:r>
      <w:r w:rsidR="00846EE8">
        <w:rPr>
          <w:rFonts w:ascii="Arial" w:eastAsia="Times New Roman" w:hAnsi="Arial" w:cs="Arial"/>
          <w:sz w:val="20"/>
          <w:szCs w:val="24"/>
        </w:rPr>
        <w:t>6</w:t>
      </w:r>
      <w:r w:rsidR="00C757EB" w:rsidRPr="00904D36">
        <w:rPr>
          <w:rFonts w:ascii="Arial" w:eastAsia="Times New Roman" w:hAnsi="Arial" w:cs="Arial"/>
          <w:sz w:val="20"/>
          <w:szCs w:val="24"/>
        </w:rPr>
        <w:t xml:space="preserve">).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elicits both cell-mediated and humoral immune responses in the host. In natural and experimental settings, its growth is characterized by three distinct phases: the progressive phase, the static phase, and the regression phase (</w:t>
      </w:r>
      <w:r w:rsidR="00846EE8">
        <w:rPr>
          <w:rFonts w:ascii="Arial" w:eastAsia="Times New Roman" w:hAnsi="Arial" w:cs="Arial"/>
          <w:sz w:val="20"/>
          <w:szCs w:val="24"/>
        </w:rPr>
        <w:t>34</w:t>
      </w:r>
      <w:r w:rsidR="00C757EB" w:rsidRPr="00904D36">
        <w:rPr>
          <w:rFonts w:ascii="Arial" w:eastAsia="Times New Roman" w:hAnsi="Arial" w:cs="Arial"/>
          <w:sz w:val="20"/>
          <w:szCs w:val="24"/>
        </w:rPr>
        <w:t>)</w:t>
      </w:r>
      <w:r w:rsidR="00B63E35" w:rsidRPr="00904D36">
        <w:rPr>
          <w:rFonts w:ascii="Arial" w:eastAsia="Times New Roman" w:hAnsi="Arial" w:cs="Arial"/>
          <w:sz w:val="20"/>
          <w:szCs w:val="24"/>
        </w:rPr>
        <w:t>.</w:t>
      </w:r>
    </w:p>
    <w:p w14:paraId="157FCB87" w14:textId="374ADDB4" w:rsidR="00C757EB" w:rsidRPr="00904D36" w:rsidRDefault="00511800"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 xml:space="preserve">8. </w:t>
      </w:r>
      <w:r w:rsidRPr="00904D36">
        <w:rPr>
          <w:rFonts w:ascii="Arial" w:eastAsia="Times New Roman" w:hAnsi="Arial" w:cs="Arial"/>
          <w:b/>
          <w:bCs/>
          <w:szCs w:val="24"/>
        </w:rPr>
        <w:t>Immune evasion and activation strategies</w:t>
      </w:r>
    </w:p>
    <w:p w14:paraId="62AFAF2A" w14:textId="326EF57D"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a) </w:t>
      </w:r>
      <w:r w:rsidR="006E0529" w:rsidRPr="00904D36">
        <w:rPr>
          <w:rFonts w:ascii="Arial" w:eastAsia="Times New Roman" w:hAnsi="Arial" w:cs="Arial"/>
          <w:b/>
          <w:bCs/>
          <w:szCs w:val="24"/>
        </w:rPr>
        <w:t xml:space="preserve">Evasion </w:t>
      </w:r>
      <w:r w:rsidR="009B0273">
        <w:rPr>
          <w:rFonts w:ascii="Arial" w:eastAsia="Times New Roman" w:hAnsi="Arial" w:cs="Arial"/>
          <w:b/>
          <w:bCs/>
          <w:szCs w:val="24"/>
        </w:rPr>
        <w:t>t</w:t>
      </w:r>
      <w:r w:rsidR="006E0529" w:rsidRPr="00904D36">
        <w:rPr>
          <w:rFonts w:ascii="Arial" w:eastAsia="Times New Roman" w:hAnsi="Arial" w:cs="Arial"/>
          <w:b/>
          <w:bCs/>
          <w:szCs w:val="24"/>
        </w:rPr>
        <w:t>actics</w:t>
      </w:r>
    </w:p>
    <w:p w14:paraId="08DFD626" w14:textId="5F3649E1" w:rsidR="00C757EB" w:rsidRPr="00904D36" w:rsidRDefault="00F804B0" w:rsidP="001A6C20">
      <w:pPr>
        <w:spacing w:after="0" w:line="360" w:lineRule="auto"/>
        <w:jc w:val="both"/>
        <w:rPr>
          <w:rFonts w:ascii="Arial" w:eastAsia="Times New Roman" w:hAnsi="Arial" w:cs="Arial"/>
          <w:sz w:val="20"/>
          <w:szCs w:val="24"/>
        </w:rPr>
      </w:pPr>
      <w:r>
        <w:rPr>
          <w:rFonts w:ascii="Arial" w:hAnsi="Arial" w:cs="Arial"/>
          <w:sz w:val="20"/>
        </w:rPr>
        <w:t>The CTVT</w:t>
      </w:r>
      <w:r w:rsidRPr="00904D36">
        <w:rPr>
          <w:rFonts w:ascii="Arial" w:hAnsi="Arial" w:cs="Arial"/>
          <w:sz w:val="20"/>
        </w:rPr>
        <w:t xml:space="preserve"> utilizes various mechanisms to evade the host's immune defenses. The </w:t>
      </w:r>
      <w:proofErr w:type="spellStart"/>
      <w:r w:rsidRPr="00904D36">
        <w:rPr>
          <w:rFonts w:ascii="Arial" w:hAnsi="Arial" w:cs="Arial"/>
          <w:sz w:val="20"/>
        </w:rPr>
        <w:t>tumour</w:t>
      </w:r>
      <w:proofErr w:type="spellEnd"/>
      <w:r w:rsidRPr="00904D36">
        <w:rPr>
          <w:rFonts w:ascii="Arial" w:hAnsi="Arial" w:cs="Arial"/>
          <w:sz w:val="20"/>
        </w:rPr>
        <w:t xml:space="preserve"> cells lack expression of </w:t>
      </w:r>
      <w:r>
        <w:rPr>
          <w:rFonts w:ascii="Arial" w:hAnsi="Arial" w:cs="Arial"/>
          <w:sz w:val="20"/>
        </w:rPr>
        <w:t>major histocompatibility complex (</w:t>
      </w:r>
      <w:r w:rsidRPr="00904D36">
        <w:rPr>
          <w:rFonts w:ascii="Arial" w:hAnsi="Arial" w:cs="Arial"/>
          <w:sz w:val="20"/>
        </w:rPr>
        <w:t>MHC</w:t>
      </w:r>
      <w:r>
        <w:rPr>
          <w:rFonts w:ascii="Arial" w:hAnsi="Arial" w:cs="Arial"/>
          <w:sz w:val="20"/>
        </w:rPr>
        <w:t>)</w:t>
      </w:r>
      <w:r w:rsidRPr="00904D36">
        <w:rPr>
          <w:rFonts w:ascii="Arial" w:hAnsi="Arial" w:cs="Arial"/>
          <w:sz w:val="20"/>
        </w:rPr>
        <w:t xml:space="preserve"> class I and II molecules, allowing them to escape immune detection (</w:t>
      </w:r>
      <w:r>
        <w:rPr>
          <w:rFonts w:ascii="Arial" w:hAnsi="Arial" w:cs="Arial"/>
          <w:sz w:val="20"/>
        </w:rPr>
        <w:t>5,7,8</w:t>
      </w:r>
      <w:r w:rsidRPr="00904D36">
        <w:rPr>
          <w:rFonts w:ascii="Arial" w:hAnsi="Arial" w:cs="Arial"/>
          <w:sz w:val="20"/>
        </w:rPr>
        <w:t xml:space="preserve">). Furthermore, </w:t>
      </w:r>
      <w:r>
        <w:rPr>
          <w:rFonts w:ascii="Arial" w:hAnsi="Arial" w:cs="Arial"/>
          <w:sz w:val="20"/>
        </w:rPr>
        <w:t>it</w:t>
      </w:r>
      <w:r w:rsidRPr="00904D36">
        <w:rPr>
          <w:rFonts w:ascii="Arial" w:hAnsi="Arial" w:cs="Arial"/>
          <w:sz w:val="20"/>
        </w:rPr>
        <w:t xml:space="preserve"> secretes</w:t>
      </w:r>
      <w:r w:rsidR="00C757EB" w:rsidRPr="00904D36">
        <w:rPr>
          <w:rFonts w:ascii="Arial" w:eastAsia="Times New Roman" w:hAnsi="Arial" w:cs="Arial"/>
          <w:sz w:val="20"/>
          <w:szCs w:val="24"/>
        </w:rPr>
        <w:t xml:space="preserve"> toxic substances that destroy B cells and hinder dendritic cell differentiation and activity, thereby impairing the adaptive immune response (</w:t>
      </w:r>
      <w:r w:rsidR="00846EE8">
        <w:rPr>
          <w:rFonts w:ascii="Arial" w:eastAsia="Times New Roman" w:hAnsi="Arial" w:cs="Arial"/>
          <w:sz w:val="20"/>
          <w:szCs w:val="24"/>
        </w:rPr>
        <w:t>6,35</w:t>
      </w:r>
      <w:r w:rsidR="00C757EB" w:rsidRPr="00904D36">
        <w:rPr>
          <w:rFonts w:ascii="Arial" w:eastAsia="Times New Roman" w:hAnsi="Arial" w:cs="Arial"/>
          <w:sz w:val="20"/>
          <w:szCs w:val="24"/>
        </w:rPr>
        <w:t>)</w:t>
      </w:r>
      <w:r w:rsidR="00B30DB4"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also reduces dendritic cell survival and function (</w:t>
      </w:r>
      <w:r w:rsidR="00846EE8">
        <w:rPr>
          <w:rFonts w:ascii="Arial" w:eastAsia="Times New Roman" w:hAnsi="Arial" w:cs="Arial"/>
          <w:sz w:val="20"/>
          <w:szCs w:val="24"/>
        </w:rPr>
        <w:t>36</w:t>
      </w:r>
      <w:r w:rsidR="00C757EB" w:rsidRPr="00904D36">
        <w:rPr>
          <w:rFonts w:ascii="Arial" w:eastAsia="Times New Roman" w:hAnsi="Arial" w:cs="Arial"/>
          <w:sz w:val="20"/>
          <w:szCs w:val="24"/>
        </w:rPr>
        <w:t xml:space="preserve">) and suppresses the infiltration of immune cells such as T lymphocytes, plasma cells, and macrophages through immune-suppressive cytokines produced by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w:t>
      </w:r>
      <w:r w:rsidR="00846EE8">
        <w:rPr>
          <w:rFonts w:ascii="Arial" w:eastAsia="Times New Roman" w:hAnsi="Arial" w:cs="Arial"/>
          <w:sz w:val="20"/>
          <w:szCs w:val="24"/>
        </w:rPr>
        <w:t>35</w:t>
      </w:r>
      <w:r w:rsidR="00C757EB" w:rsidRPr="00904D36">
        <w:rPr>
          <w:rFonts w:ascii="Arial" w:eastAsia="Times New Roman" w:hAnsi="Arial" w:cs="Arial"/>
          <w:sz w:val="20"/>
          <w:szCs w:val="24"/>
        </w:rPr>
        <w:t>).</w:t>
      </w:r>
    </w:p>
    <w:p w14:paraId="0E2714E6" w14:textId="752B613B"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lastRenderedPageBreak/>
        <w:t xml:space="preserve">b) </w:t>
      </w:r>
      <w:r w:rsidR="006E0529" w:rsidRPr="00904D36">
        <w:rPr>
          <w:rFonts w:ascii="Arial" w:eastAsia="Times New Roman" w:hAnsi="Arial" w:cs="Arial"/>
          <w:b/>
          <w:bCs/>
          <w:szCs w:val="24"/>
        </w:rPr>
        <w:t xml:space="preserve">Immune </w:t>
      </w:r>
      <w:r w:rsidR="009B0273">
        <w:rPr>
          <w:rFonts w:ascii="Arial" w:eastAsia="Times New Roman" w:hAnsi="Arial" w:cs="Arial"/>
          <w:b/>
          <w:bCs/>
          <w:szCs w:val="24"/>
        </w:rPr>
        <w:t>a</w:t>
      </w:r>
      <w:r w:rsidR="006E0529" w:rsidRPr="00904D36">
        <w:rPr>
          <w:rFonts w:ascii="Arial" w:eastAsia="Times New Roman" w:hAnsi="Arial" w:cs="Arial"/>
          <w:b/>
          <w:bCs/>
          <w:szCs w:val="24"/>
        </w:rPr>
        <w:t>ctivation</w:t>
      </w:r>
    </w:p>
    <w:p w14:paraId="5D83FD65" w14:textId="6507DFF8"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Despite these immune evasion strategies, CTVT progresses through three growth phases with distinct immune interactions. In the progressive phase, the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grows rapidly, aided by the secretion of transforming growth factor-β1 (TGF-β1), which suppresses the activity of natural killer cells and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-infiltrating lymphocytes (</w:t>
      </w:r>
      <w:r w:rsidR="00846EE8">
        <w:rPr>
          <w:rFonts w:ascii="Arial" w:eastAsia="Times New Roman" w:hAnsi="Arial" w:cs="Arial"/>
          <w:sz w:val="20"/>
          <w:szCs w:val="24"/>
        </w:rPr>
        <w:t>9,35</w:t>
      </w:r>
      <w:r w:rsidRPr="00F903FA">
        <w:rPr>
          <w:rFonts w:ascii="Arial" w:eastAsia="Times New Roman" w:hAnsi="Arial" w:cs="Arial"/>
          <w:sz w:val="20"/>
          <w:szCs w:val="24"/>
        </w:rPr>
        <w:t>).</w:t>
      </w:r>
      <w:r w:rsidR="00B63E35" w:rsidRPr="00F903FA">
        <w:rPr>
          <w:rFonts w:ascii="Arial" w:eastAsia="Times New Roman" w:hAnsi="Arial" w:cs="Arial"/>
          <w:sz w:val="20"/>
          <w:szCs w:val="24"/>
        </w:rPr>
        <w:t xml:space="preserve"> </w:t>
      </w:r>
      <w:r w:rsidRPr="00F903FA">
        <w:rPr>
          <w:rFonts w:ascii="Arial" w:eastAsia="Times New Roman" w:hAnsi="Arial" w:cs="Arial"/>
          <w:sz w:val="20"/>
          <w:szCs w:val="24"/>
        </w:rPr>
        <w:t xml:space="preserve">During the subsequent stable phase,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growth slows down, and cell death increases. Finally, in the regression phase, which occurs in about 80% of cases, there is an increase in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-infiltrating lymphocytes that produce interferon-γ and interleukin-6. These cytokines neutralize the suppressive effects of TGF-β1, restore MHC expression on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cells, and trigger an effective immune response, ultimately leading to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shrinkage and resolution (</w:t>
      </w:r>
      <w:r w:rsidR="00846EE8">
        <w:rPr>
          <w:rFonts w:ascii="Arial" w:eastAsia="Times New Roman" w:hAnsi="Arial" w:cs="Arial"/>
          <w:sz w:val="20"/>
          <w:szCs w:val="24"/>
        </w:rPr>
        <w:t>8,35,36</w:t>
      </w:r>
      <w:r w:rsidRPr="00F903FA">
        <w:rPr>
          <w:rFonts w:ascii="Arial" w:eastAsia="Times New Roman" w:hAnsi="Arial" w:cs="Arial"/>
          <w:sz w:val="20"/>
          <w:szCs w:val="24"/>
        </w:rPr>
        <w:t>).</w:t>
      </w:r>
    </w:p>
    <w:p w14:paraId="673FEC72" w14:textId="106BF3DA" w:rsidR="00C757EB" w:rsidRPr="00F903FA" w:rsidRDefault="00207B2E"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 xml:space="preserve">c) </w:t>
      </w:r>
      <w:r w:rsidR="006E0529" w:rsidRPr="00F903FA">
        <w:rPr>
          <w:rFonts w:ascii="Arial" w:eastAsia="Times New Roman" w:hAnsi="Arial" w:cs="Arial"/>
          <w:b/>
          <w:bCs/>
          <w:szCs w:val="24"/>
        </w:rPr>
        <w:t xml:space="preserve">Genetic </w:t>
      </w:r>
      <w:r w:rsidR="009B0273">
        <w:rPr>
          <w:rFonts w:ascii="Arial" w:eastAsia="Times New Roman" w:hAnsi="Arial" w:cs="Arial"/>
          <w:b/>
          <w:bCs/>
          <w:szCs w:val="24"/>
        </w:rPr>
        <w:t>v</w:t>
      </w:r>
      <w:r w:rsidR="006E0529" w:rsidRPr="00F903FA">
        <w:rPr>
          <w:rFonts w:ascii="Arial" w:eastAsia="Times New Roman" w:hAnsi="Arial" w:cs="Arial"/>
          <w:b/>
          <w:bCs/>
          <w:szCs w:val="24"/>
        </w:rPr>
        <w:t>ariation in CTVT</w:t>
      </w:r>
    </w:p>
    <w:p w14:paraId="76B3A76A" w14:textId="6A226B63"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Genetic diversity plays a critical role in the evolution of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and CTVT is no exception. Genome instability and defects in DNA repair mechanisms contribute to the accumulation of somatic mutations in CTVT (</w:t>
      </w:r>
      <w:r w:rsidR="00846EE8">
        <w:rPr>
          <w:rFonts w:ascii="Arial" w:eastAsia="Times New Roman" w:hAnsi="Arial" w:cs="Arial"/>
          <w:sz w:val="20"/>
          <w:szCs w:val="24"/>
        </w:rPr>
        <w:t>18,37</w:t>
      </w:r>
      <w:r w:rsidRPr="00F903FA">
        <w:rPr>
          <w:rFonts w:ascii="Arial" w:eastAsia="Times New Roman" w:hAnsi="Arial" w:cs="Arial"/>
          <w:sz w:val="20"/>
          <w:szCs w:val="24"/>
        </w:rPr>
        <w:t>). The CTVT genome, while relatively stable, displays significant genetic diversity with approximately 1.9 million somatic substitutions, structural rearrangements, copy number variations, and retrotransposon insertions (</w:t>
      </w:r>
      <w:r w:rsidR="00846EE8">
        <w:rPr>
          <w:rFonts w:ascii="Arial" w:eastAsia="Times New Roman" w:hAnsi="Arial" w:cs="Arial"/>
          <w:sz w:val="20"/>
          <w:szCs w:val="24"/>
        </w:rPr>
        <w:t>11</w:t>
      </w:r>
      <w:r w:rsidRPr="00F903FA">
        <w:rPr>
          <w:rFonts w:ascii="Arial" w:eastAsia="Times New Roman" w:hAnsi="Arial" w:cs="Arial"/>
          <w:sz w:val="20"/>
          <w:szCs w:val="24"/>
        </w:rPr>
        <w:t>).</w:t>
      </w:r>
      <w:r w:rsidR="00B63E35" w:rsidRPr="00F903FA">
        <w:rPr>
          <w:rFonts w:ascii="Arial" w:eastAsia="Times New Roman" w:hAnsi="Arial" w:cs="Arial"/>
          <w:sz w:val="20"/>
          <w:szCs w:val="24"/>
        </w:rPr>
        <w:t xml:space="preserve"> </w:t>
      </w:r>
      <w:r w:rsidRPr="00F903FA">
        <w:rPr>
          <w:rFonts w:ascii="Arial" w:eastAsia="Times New Roman" w:hAnsi="Arial" w:cs="Arial"/>
          <w:sz w:val="20"/>
          <w:szCs w:val="24"/>
        </w:rPr>
        <w:t>Prominent genomic characteristics include an aneuploid karyotype consisting of 57–59 chromosomes, a LINE-1 insertion near the c-</w:t>
      </w:r>
      <w:proofErr w:type="spellStart"/>
      <w:r w:rsidRPr="00F903FA">
        <w:rPr>
          <w:rFonts w:ascii="Arial" w:eastAsia="Times New Roman" w:hAnsi="Arial" w:cs="Arial"/>
          <w:sz w:val="20"/>
          <w:szCs w:val="24"/>
        </w:rPr>
        <w:t>Myc</w:t>
      </w:r>
      <w:proofErr w:type="spellEnd"/>
      <w:r w:rsidRPr="00F903FA">
        <w:rPr>
          <w:rFonts w:ascii="Arial" w:eastAsia="Times New Roman" w:hAnsi="Arial" w:cs="Arial"/>
          <w:sz w:val="20"/>
          <w:szCs w:val="24"/>
        </w:rPr>
        <w:t xml:space="preserve"> gene leading to disrupted regulation, and the homozygous loss of the CDKN2A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suppressor gene (</w:t>
      </w:r>
      <w:r w:rsidR="00846EE8">
        <w:rPr>
          <w:rFonts w:ascii="Arial" w:eastAsia="Times New Roman" w:hAnsi="Arial" w:cs="Arial"/>
          <w:sz w:val="20"/>
          <w:szCs w:val="24"/>
        </w:rPr>
        <w:t>8,910,11</w:t>
      </w:r>
      <w:r w:rsidRPr="00F903FA">
        <w:rPr>
          <w:rFonts w:ascii="Arial" w:eastAsia="Times New Roman" w:hAnsi="Arial" w:cs="Arial"/>
          <w:sz w:val="20"/>
          <w:szCs w:val="24"/>
        </w:rPr>
        <w:t>). These alterations are believed to underlie CTVT's distinctive biological properties, including its transmissibility and resilience.</w:t>
      </w:r>
    </w:p>
    <w:p w14:paraId="652A894A" w14:textId="2368D0A5" w:rsidR="00C757EB" w:rsidRPr="00F903FA" w:rsidRDefault="00207B2E" w:rsidP="001A6C20">
      <w:pPr>
        <w:spacing w:after="0" w:line="360" w:lineRule="auto"/>
        <w:jc w:val="both"/>
        <w:outlineLvl w:val="2"/>
        <w:rPr>
          <w:rFonts w:ascii="Arial" w:eastAsia="Times New Roman" w:hAnsi="Arial" w:cs="Arial"/>
          <w:b/>
          <w:bCs/>
          <w:sz w:val="24"/>
          <w:szCs w:val="24"/>
        </w:rPr>
      </w:pPr>
      <w:r>
        <w:rPr>
          <w:rFonts w:ascii="Arial" w:eastAsia="Times New Roman" w:hAnsi="Arial" w:cs="Arial"/>
          <w:b/>
          <w:bCs/>
          <w:szCs w:val="24"/>
        </w:rPr>
        <w:t xml:space="preserve">d) </w:t>
      </w:r>
      <w:r w:rsidR="00C757EB" w:rsidRPr="00F903FA">
        <w:rPr>
          <w:rFonts w:ascii="Arial" w:eastAsia="Times New Roman" w:hAnsi="Arial" w:cs="Arial"/>
          <w:b/>
          <w:bCs/>
          <w:szCs w:val="24"/>
        </w:rPr>
        <w:t xml:space="preserve">Mitochondrial </w:t>
      </w:r>
      <w:r w:rsidR="009B0273">
        <w:rPr>
          <w:rFonts w:ascii="Arial" w:eastAsia="Times New Roman" w:hAnsi="Arial" w:cs="Arial"/>
          <w:b/>
          <w:bCs/>
          <w:szCs w:val="24"/>
        </w:rPr>
        <w:t>g</w:t>
      </w:r>
      <w:r w:rsidR="00C757EB" w:rsidRPr="00F903FA">
        <w:rPr>
          <w:rFonts w:ascii="Arial" w:eastAsia="Times New Roman" w:hAnsi="Arial" w:cs="Arial"/>
          <w:b/>
          <w:bCs/>
          <w:szCs w:val="24"/>
        </w:rPr>
        <w:t xml:space="preserve">enetic </w:t>
      </w:r>
      <w:r w:rsidR="009B0273">
        <w:rPr>
          <w:rFonts w:ascii="Arial" w:eastAsia="Times New Roman" w:hAnsi="Arial" w:cs="Arial"/>
          <w:b/>
          <w:bCs/>
          <w:szCs w:val="24"/>
        </w:rPr>
        <w:t>d</w:t>
      </w:r>
      <w:r w:rsidR="00C757EB" w:rsidRPr="00F903FA">
        <w:rPr>
          <w:rFonts w:ascii="Arial" w:eastAsia="Times New Roman" w:hAnsi="Arial" w:cs="Arial"/>
          <w:b/>
          <w:bCs/>
          <w:szCs w:val="24"/>
        </w:rPr>
        <w:t>iversity in CTVT</w:t>
      </w:r>
    </w:p>
    <w:p w14:paraId="36BD0A40" w14:textId="0955E56F" w:rsidR="00802BC8" w:rsidRPr="00802BC8" w:rsidRDefault="00C757EB" w:rsidP="00802BC8">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The mitochondrial genome, which encodes essential proteins for energy metabolism, exhibits a high mutation rate in cancer cells (</w:t>
      </w:r>
      <w:r w:rsidR="00846EE8">
        <w:rPr>
          <w:rFonts w:ascii="Arial" w:eastAsia="Times New Roman" w:hAnsi="Arial" w:cs="Arial"/>
          <w:sz w:val="20"/>
          <w:szCs w:val="24"/>
        </w:rPr>
        <w:t>38</w:t>
      </w:r>
      <w:r w:rsidRPr="00F903FA">
        <w:rPr>
          <w:rFonts w:ascii="Arial" w:eastAsia="Times New Roman" w:hAnsi="Arial" w:cs="Arial"/>
          <w:sz w:val="20"/>
          <w:szCs w:val="24"/>
        </w:rPr>
        <w:t>). In the case of CTVT, mitochondrial DNA (</w:t>
      </w:r>
      <w:proofErr w:type="spellStart"/>
      <w:r w:rsidRPr="00F903FA">
        <w:rPr>
          <w:rFonts w:ascii="Arial" w:eastAsia="Times New Roman" w:hAnsi="Arial" w:cs="Arial"/>
          <w:sz w:val="20"/>
          <w:szCs w:val="24"/>
        </w:rPr>
        <w:t>mtDNA</w:t>
      </w:r>
      <w:proofErr w:type="spellEnd"/>
      <w:r w:rsidRPr="00F903FA">
        <w:rPr>
          <w:rFonts w:ascii="Arial" w:eastAsia="Times New Roman" w:hAnsi="Arial" w:cs="Arial"/>
          <w:sz w:val="20"/>
          <w:szCs w:val="24"/>
        </w:rPr>
        <w:t xml:space="preserve">) is not clonal but is periodically replaced through horizontal transfer from host dogs, as reported by </w:t>
      </w:r>
      <w:proofErr w:type="spellStart"/>
      <w:r w:rsidRPr="00F903FA">
        <w:rPr>
          <w:rFonts w:ascii="Arial" w:eastAsia="Times New Roman" w:hAnsi="Arial" w:cs="Arial"/>
          <w:sz w:val="20"/>
          <w:szCs w:val="24"/>
        </w:rPr>
        <w:t>Rebbeck</w:t>
      </w:r>
      <w:proofErr w:type="spellEnd"/>
      <w:r w:rsidRPr="00F903FA">
        <w:rPr>
          <w:rFonts w:ascii="Arial" w:eastAsia="Times New Roman" w:hAnsi="Arial" w:cs="Arial"/>
          <w:sz w:val="20"/>
          <w:szCs w:val="24"/>
        </w:rPr>
        <w:t xml:space="preserve"> </w:t>
      </w:r>
      <w:r w:rsidRPr="00F903FA">
        <w:rPr>
          <w:rFonts w:ascii="Arial" w:eastAsia="Times New Roman" w:hAnsi="Arial" w:cs="Arial"/>
          <w:i/>
          <w:sz w:val="20"/>
          <w:szCs w:val="24"/>
        </w:rPr>
        <w:t>et al.</w:t>
      </w:r>
      <w:r w:rsidRPr="00F903FA">
        <w:rPr>
          <w:rFonts w:ascii="Arial" w:eastAsia="Times New Roman" w:hAnsi="Arial" w:cs="Arial"/>
          <w:sz w:val="20"/>
          <w:szCs w:val="24"/>
        </w:rPr>
        <w:t xml:space="preserve"> (2</w:t>
      </w:r>
      <w:r w:rsidR="00846EE8">
        <w:rPr>
          <w:rFonts w:ascii="Arial" w:eastAsia="Times New Roman" w:hAnsi="Arial" w:cs="Arial"/>
          <w:sz w:val="20"/>
          <w:szCs w:val="24"/>
        </w:rPr>
        <w:t>9</w:t>
      </w:r>
      <w:r w:rsidRPr="00F903FA">
        <w:rPr>
          <w:rFonts w:ascii="Arial" w:eastAsia="Times New Roman" w:hAnsi="Arial" w:cs="Arial"/>
          <w:sz w:val="20"/>
          <w:szCs w:val="24"/>
        </w:rPr>
        <w:t xml:space="preserve">). This acquisition likely mitigates the deleterious effects of accumulated mutations in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w:t>
      </w:r>
      <w:proofErr w:type="spellStart"/>
      <w:r w:rsidRPr="00F903FA">
        <w:rPr>
          <w:rFonts w:ascii="Arial" w:eastAsia="Times New Roman" w:hAnsi="Arial" w:cs="Arial"/>
          <w:sz w:val="20"/>
          <w:szCs w:val="24"/>
        </w:rPr>
        <w:t>mtDNA</w:t>
      </w:r>
      <w:proofErr w:type="spellEnd"/>
      <w:r w:rsidRPr="00F903FA">
        <w:rPr>
          <w:rFonts w:ascii="Arial" w:eastAsia="Times New Roman" w:hAnsi="Arial" w:cs="Arial"/>
          <w:sz w:val="20"/>
          <w:szCs w:val="24"/>
        </w:rPr>
        <w:t>, providing a selective advantage for long-term survival.</w:t>
      </w:r>
      <w:r w:rsidR="00B63E35" w:rsidRPr="00F903FA">
        <w:rPr>
          <w:rFonts w:ascii="Arial" w:eastAsia="Times New Roman" w:hAnsi="Arial" w:cs="Arial"/>
          <w:sz w:val="20"/>
          <w:szCs w:val="24"/>
        </w:rPr>
        <w:t xml:space="preserve"> </w:t>
      </w:r>
      <w:r w:rsidRPr="00F903FA">
        <w:rPr>
          <w:rFonts w:ascii="Arial" w:eastAsia="Times New Roman" w:hAnsi="Arial" w:cs="Arial"/>
          <w:sz w:val="20"/>
          <w:szCs w:val="24"/>
        </w:rPr>
        <w:t xml:space="preserve">Horizontal transfer of </w:t>
      </w:r>
      <w:proofErr w:type="spellStart"/>
      <w:r w:rsidRPr="00F903FA">
        <w:rPr>
          <w:rFonts w:ascii="Arial" w:eastAsia="Times New Roman" w:hAnsi="Arial" w:cs="Arial"/>
          <w:sz w:val="20"/>
          <w:szCs w:val="24"/>
        </w:rPr>
        <w:t>mtDNA</w:t>
      </w:r>
      <w:proofErr w:type="spellEnd"/>
      <w:r w:rsidRPr="00F903FA">
        <w:rPr>
          <w:rFonts w:ascii="Arial" w:eastAsia="Times New Roman" w:hAnsi="Arial" w:cs="Arial"/>
          <w:sz w:val="20"/>
          <w:szCs w:val="24"/>
        </w:rPr>
        <w:t xml:space="preserve"> appears to be a key mechanism for maintaining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longevity, with newly acquired </w:t>
      </w:r>
      <w:proofErr w:type="spellStart"/>
      <w:r w:rsidRPr="00F903FA">
        <w:rPr>
          <w:rFonts w:ascii="Arial" w:eastAsia="Times New Roman" w:hAnsi="Arial" w:cs="Arial"/>
          <w:sz w:val="20"/>
          <w:szCs w:val="24"/>
        </w:rPr>
        <w:t>mtDNAs</w:t>
      </w:r>
      <w:proofErr w:type="spellEnd"/>
      <w:r w:rsidRPr="00F903FA">
        <w:rPr>
          <w:rFonts w:ascii="Arial" w:eastAsia="Times New Roman" w:hAnsi="Arial" w:cs="Arial"/>
          <w:sz w:val="20"/>
          <w:szCs w:val="24"/>
        </w:rPr>
        <w:t xml:space="preserve"> acting as genetic markers to trace the spread of the disease (5</w:t>
      </w:r>
      <w:r w:rsidR="00802BC8">
        <w:rPr>
          <w:rFonts w:ascii="Arial" w:eastAsia="Times New Roman" w:hAnsi="Arial" w:cs="Arial"/>
          <w:sz w:val="20"/>
          <w:szCs w:val="24"/>
        </w:rPr>
        <w:t>,12</w:t>
      </w:r>
      <w:r w:rsidRPr="00F903FA">
        <w:rPr>
          <w:rFonts w:ascii="Arial" w:eastAsia="Times New Roman" w:hAnsi="Arial" w:cs="Arial"/>
          <w:sz w:val="20"/>
          <w:szCs w:val="24"/>
        </w:rPr>
        <w:t>).</w:t>
      </w:r>
    </w:p>
    <w:p w14:paraId="44D3D7DC" w14:textId="72C48121" w:rsidR="00C757EB" w:rsidRPr="00F903FA" w:rsidRDefault="00207B2E"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 xml:space="preserve">9. </w:t>
      </w:r>
      <w:r w:rsidR="00511800" w:rsidRPr="00F903FA">
        <w:rPr>
          <w:rFonts w:ascii="Arial" w:eastAsia="Times New Roman" w:hAnsi="Arial" w:cs="Arial"/>
          <w:b/>
          <w:bCs/>
          <w:szCs w:val="24"/>
        </w:rPr>
        <w:t>Conclusion</w:t>
      </w:r>
    </w:p>
    <w:p w14:paraId="1FD8728B" w14:textId="6CCE7D84"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The CTVT is a remarkable example of cancer evolution, adaptation, and host interaction. </w:t>
      </w:r>
      <w:r w:rsidR="002C4ECA" w:rsidRPr="00F903FA">
        <w:rPr>
          <w:rFonts w:ascii="Arial" w:hAnsi="Arial" w:cs="Arial"/>
          <w:sz w:val="20"/>
        </w:rPr>
        <w:t xml:space="preserve">As the oldest known transmissible cancer, </w:t>
      </w:r>
      <w:r w:rsidR="002C4ECA">
        <w:rPr>
          <w:rFonts w:ascii="Arial" w:hAnsi="Arial" w:cs="Arial"/>
          <w:sz w:val="20"/>
        </w:rPr>
        <w:t>it</w:t>
      </w:r>
      <w:r w:rsidR="002C4ECA" w:rsidRPr="00F903FA">
        <w:rPr>
          <w:rFonts w:ascii="Arial" w:hAnsi="Arial" w:cs="Arial"/>
          <w:sz w:val="20"/>
        </w:rPr>
        <w:t xml:space="preserve"> has developed</w:t>
      </w:r>
      <w:r w:rsidR="00F804B0">
        <w:rPr>
          <w:rFonts w:ascii="Arial" w:hAnsi="Arial" w:cs="Arial"/>
          <w:sz w:val="20"/>
        </w:rPr>
        <w:t xml:space="preserve"> </w:t>
      </w:r>
      <w:r w:rsidRPr="00F903FA">
        <w:rPr>
          <w:rFonts w:ascii="Arial" w:eastAsia="Times New Roman" w:hAnsi="Arial" w:cs="Arial"/>
          <w:sz w:val="20"/>
          <w:szCs w:val="24"/>
        </w:rPr>
        <w:t xml:space="preserve">unique strategies for survival, including genetic stability, mitochondrial DNA acquisition from hosts, and immune evasion tactics. These adaptations allow CTVT to persist within canine populations while offering valuable insights into the mechanisms of cancer development, immune modulation, and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evolution.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cyclic growth pattern and vulnerability during the regressive phase highlight the potential for exploiting host immune responses in cancer therapy.</w:t>
      </w:r>
    </w:p>
    <w:p w14:paraId="4DAEF126" w14:textId="730B3199" w:rsidR="00C757EB" w:rsidRPr="00F903FA" w:rsidRDefault="00207B2E"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10</w:t>
      </w:r>
      <w:r w:rsidR="00511800">
        <w:rPr>
          <w:rFonts w:ascii="Arial" w:eastAsia="Times New Roman" w:hAnsi="Arial" w:cs="Arial"/>
          <w:b/>
          <w:bCs/>
          <w:szCs w:val="24"/>
        </w:rPr>
        <w:t xml:space="preserve">. </w:t>
      </w:r>
      <w:r w:rsidR="00511800" w:rsidRPr="00F903FA">
        <w:rPr>
          <w:rFonts w:ascii="Arial" w:eastAsia="Times New Roman" w:hAnsi="Arial" w:cs="Arial"/>
          <w:b/>
          <w:bCs/>
          <w:szCs w:val="24"/>
        </w:rPr>
        <w:t>Future perspectives</w:t>
      </w:r>
    </w:p>
    <w:p w14:paraId="4B66108D" w14:textId="2ED4BEC4"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Advancing research on CTVT could yield transformative insights into cancer biology. Investigating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genetic adaptations, metabolic pathways, and immune interactions may identify novel therapeutic </w:t>
      </w:r>
      <w:r w:rsidRPr="00F903FA">
        <w:rPr>
          <w:rFonts w:ascii="Arial" w:eastAsia="Times New Roman" w:hAnsi="Arial" w:cs="Arial"/>
          <w:sz w:val="20"/>
          <w:szCs w:val="24"/>
        </w:rPr>
        <w:lastRenderedPageBreak/>
        <w:t xml:space="preserve">targets and improve understanding of immune evasion in cancers. The use of CTVT as a natural model for transmissible cancers offers opportunities to study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-host dynamics and immune responses in greater detail.</w:t>
      </w:r>
    </w:p>
    <w:p w14:paraId="2595D195" w14:textId="1AE575AD" w:rsidR="00C757EB"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Furthermore, examining the genetic diversity and distribution of CTVT could reveal historical migration patterns of dogs and enrich knowledge of ancient canine-human interactions. Leveraging this transmissible cancer model may also inspire innovative approaches to developing immunotherapies and understanding cancer progression in other species, including humans.</w:t>
      </w:r>
    </w:p>
    <w:p w14:paraId="6FE020CC" w14:textId="04571FBC" w:rsidR="007A23F0" w:rsidRDefault="007A23F0" w:rsidP="001A6C20">
      <w:pPr>
        <w:spacing w:after="0" w:line="360" w:lineRule="auto"/>
        <w:jc w:val="both"/>
        <w:rPr>
          <w:rFonts w:ascii="Arial" w:eastAsia="Times New Roman" w:hAnsi="Arial" w:cs="Arial"/>
          <w:sz w:val="20"/>
          <w:szCs w:val="24"/>
        </w:rPr>
      </w:pPr>
    </w:p>
    <w:p w14:paraId="63EC68AC" w14:textId="77777777" w:rsidR="007A23F0" w:rsidRPr="0015038E" w:rsidRDefault="007A23F0" w:rsidP="007A23F0">
      <w:pPr>
        <w:rPr>
          <w:b/>
          <w:color w:val="000000" w:themeColor="text1"/>
        </w:rPr>
      </w:pPr>
      <w:r w:rsidRPr="0015038E">
        <w:rPr>
          <w:b/>
          <w:color w:val="000000" w:themeColor="text1"/>
        </w:rPr>
        <w:t>Disclaimer (Artificial intelligence)</w:t>
      </w:r>
    </w:p>
    <w:p w14:paraId="4A3E3EB4" w14:textId="77777777" w:rsidR="007A23F0" w:rsidRPr="0015038E" w:rsidRDefault="007A23F0" w:rsidP="007A23F0">
      <w:pPr>
        <w:rPr>
          <w:color w:val="000000" w:themeColor="text1"/>
        </w:rPr>
      </w:pPr>
      <w:r w:rsidRPr="0015038E">
        <w:rPr>
          <w:color w:val="000000" w:themeColor="text1"/>
        </w:rPr>
        <w:t>Author(s) hereby declare that NO generative AI technologies such as Large Language Models (</w:t>
      </w:r>
      <w:proofErr w:type="spellStart"/>
      <w:r w:rsidRPr="0015038E">
        <w:rPr>
          <w:color w:val="000000" w:themeColor="text1"/>
        </w:rPr>
        <w:t>ChatGPT</w:t>
      </w:r>
      <w:proofErr w:type="spellEnd"/>
      <w:r w:rsidRPr="0015038E">
        <w:rPr>
          <w:color w:val="000000" w:themeColor="text1"/>
        </w:rPr>
        <w:t xml:space="preserve">, COPILOT, etc.) and text-to-image generators have been used during the writing or editing of this manuscript. </w:t>
      </w:r>
    </w:p>
    <w:p w14:paraId="28270A1A" w14:textId="77777777" w:rsidR="008014B1" w:rsidRPr="00F903FA" w:rsidRDefault="008014B1" w:rsidP="001A6C20">
      <w:pPr>
        <w:spacing w:after="0" w:line="360" w:lineRule="auto"/>
        <w:jc w:val="both"/>
        <w:rPr>
          <w:rFonts w:ascii="Arial Rounded MT Bold" w:eastAsia="Times New Roman" w:hAnsi="Arial Rounded MT Bold" w:cs="Times New Roman"/>
          <w:sz w:val="20"/>
          <w:szCs w:val="24"/>
        </w:rPr>
      </w:pPr>
    </w:p>
    <w:p w14:paraId="030CEFB9" w14:textId="563BF975" w:rsidR="00887DB6" w:rsidRPr="006E0529" w:rsidRDefault="006E0529" w:rsidP="001A6C20">
      <w:pPr>
        <w:spacing w:after="0" w:line="360" w:lineRule="auto"/>
        <w:jc w:val="both"/>
        <w:rPr>
          <w:rFonts w:ascii="Arial" w:eastAsia="Times New Roman" w:hAnsi="Arial" w:cs="Arial"/>
          <w:b/>
          <w:szCs w:val="24"/>
        </w:rPr>
      </w:pPr>
      <w:bookmarkStart w:id="1" w:name="_Hlk187353781"/>
      <w:r w:rsidRPr="006E0529">
        <w:rPr>
          <w:rFonts w:ascii="Arial" w:eastAsia="Times New Roman" w:hAnsi="Arial" w:cs="Arial"/>
          <w:b/>
          <w:szCs w:val="24"/>
        </w:rPr>
        <w:t xml:space="preserve">REFERENCES </w:t>
      </w:r>
    </w:p>
    <w:p w14:paraId="402E29F5" w14:textId="044EF1D2" w:rsidR="00887DB6" w:rsidRPr="006E0529" w:rsidRDefault="00887DB6" w:rsidP="001A6C20">
      <w:pPr>
        <w:pStyle w:val="ListParagraph"/>
        <w:numPr>
          <w:ilvl w:val="0"/>
          <w:numId w:val="1"/>
        </w:numPr>
        <w:spacing w:after="0"/>
        <w:rPr>
          <w:rFonts w:ascii="Arial" w:hAnsi="Arial" w:cs="Arial"/>
          <w:sz w:val="20"/>
          <w:szCs w:val="20"/>
        </w:rPr>
      </w:pPr>
      <w:proofErr w:type="spellStart"/>
      <w:r w:rsidRPr="006E0529">
        <w:rPr>
          <w:rFonts w:ascii="Arial" w:hAnsi="Arial" w:cs="Arial"/>
          <w:bCs/>
          <w:color w:val="000000" w:themeColor="text1"/>
          <w:sz w:val="20"/>
          <w:szCs w:val="20"/>
        </w:rPr>
        <w:t>Rycaj</w:t>
      </w:r>
      <w:proofErr w:type="spellEnd"/>
      <w:r w:rsidRPr="006E0529">
        <w:rPr>
          <w:rFonts w:ascii="Arial" w:hAnsi="Arial" w:cs="Arial"/>
          <w:bCs/>
          <w:color w:val="000000" w:themeColor="text1"/>
          <w:sz w:val="20"/>
          <w:szCs w:val="20"/>
        </w:rPr>
        <w:t xml:space="preserve">, K. and Tang, D.G. (2015). Cell-of-Origin of cancer versus cancer stem cells: Assays and interpretations Cancer Cell-of-Origin and Cancer Stem Cells. </w:t>
      </w:r>
      <w:r w:rsidRPr="006E0529">
        <w:rPr>
          <w:rFonts w:ascii="Arial" w:hAnsi="Arial" w:cs="Arial"/>
          <w:bCs/>
          <w:i/>
          <w:iCs/>
          <w:color w:val="000000" w:themeColor="text1"/>
          <w:sz w:val="20"/>
          <w:szCs w:val="20"/>
        </w:rPr>
        <w:t>Cancer res.</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75</w:t>
      </w:r>
      <w:r w:rsidRPr="006E0529">
        <w:rPr>
          <w:rFonts w:ascii="Arial" w:hAnsi="Arial" w:cs="Arial"/>
          <w:bCs/>
          <w:color w:val="000000" w:themeColor="text1"/>
          <w:sz w:val="20"/>
          <w:szCs w:val="20"/>
        </w:rPr>
        <w:t>: 4003-4011</w:t>
      </w:r>
      <w:r w:rsidR="006E0529">
        <w:rPr>
          <w:rFonts w:ascii="Arial" w:hAnsi="Arial" w:cs="Arial"/>
          <w:bCs/>
          <w:color w:val="000000" w:themeColor="text1"/>
          <w:sz w:val="20"/>
          <w:szCs w:val="20"/>
        </w:rPr>
        <w:t>.</w:t>
      </w:r>
    </w:p>
    <w:p w14:paraId="460C6BE1" w14:textId="6FF2CEC4" w:rsidR="00887DB6" w:rsidRPr="006E0529" w:rsidRDefault="00887DB6" w:rsidP="001A6C20">
      <w:pPr>
        <w:pStyle w:val="BodyText"/>
        <w:numPr>
          <w:ilvl w:val="0"/>
          <w:numId w:val="1"/>
        </w:numPr>
        <w:spacing w:line="360" w:lineRule="auto"/>
        <w:ind w:right="371"/>
        <w:jc w:val="both"/>
        <w:rPr>
          <w:rFonts w:ascii="Arial" w:hAnsi="Arial" w:cs="Arial"/>
          <w:color w:val="212529"/>
          <w:sz w:val="20"/>
          <w:szCs w:val="20"/>
          <w:shd w:val="clear" w:color="auto" w:fill="F6F6F6"/>
        </w:rPr>
      </w:pPr>
      <w:r w:rsidRPr="006E0529">
        <w:rPr>
          <w:rFonts w:ascii="Arial" w:hAnsi="Arial" w:cs="Arial"/>
          <w:color w:val="000000" w:themeColor="text1"/>
          <w:sz w:val="20"/>
          <w:szCs w:val="20"/>
        </w:rPr>
        <w:t xml:space="preserve">Nowell, P. C. (1976). The Clonal evolution of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cell populations: Acquired genetic lability</w:t>
      </w:r>
      <w:r w:rsidR="00254E22">
        <w:rPr>
          <w:rFonts w:ascii="Arial" w:hAnsi="Arial" w:cs="Arial"/>
          <w:color w:val="000000" w:themeColor="text1"/>
          <w:sz w:val="20"/>
          <w:szCs w:val="20"/>
        </w:rPr>
        <w:t xml:space="preserve"> </w:t>
      </w:r>
      <w:r w:rsidRPr="006E0529">
        <w:rPr>
          <w:rFonts w:ascii="Arial" w:hAnsi="Arial" w:cs="Arial"/>
          <w:color w:val="000000" w:themeColor="text1"/>
          <w:sz w:val="20"/>
          <w:szCs w:val="20"/>
        </w:rPr>
        <w:t xml:space="preserve">permits stepwise selection of variant sublines and underlies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progression. </w:t>
      </w:r>
      <w:r w:rsidRPr="006E0529">
        <w:rPr>
          <w:rFonts w:ascii="Arial" w:hAnsi="Arial" w:cs="Arial"/>
          <w:i/>
          <w:iCs/>
          <w:color w:val="000000" w:themeColor="text1"/>
          <w:sz w:val="20"/>
          <w:szCs w:val="20"/>
        </w:rPr>
        <w:t xml:space="preserve">Science., </w:t>
      </w:r>
      <w:r w:rsidRPr="006E0529">
        <w:rPr>
          <w:rFonts w:ascii="Arial" w:hAnsi="Arial" w:cs="Arial"/>
          <w:b/>
          <w:color w:val="000000" w:themeColor="text1"/>
          <w:sz w:val="20"/>
          <w:szCs w:val="20"/>
        </w:rPr>
        <w:t>194</w:t>
      </w:r>
      <w:r w:rsidRPr="006E0529">
        <w:rPr>
          <w:rFonts w:ascii="Arial" w:hAnsi="Arial" w:cs="Arial"/>
          <w:color w:val="000000" w:themeColor="text1"/>
          <w:sz w:val="20"/>
          <w:szCs w:val="20"/>
        </w:rPr>
        <w:t>;</w:t>
      </w:r>
      <w:r w:rsidR="00DF1775">
        <w:rPr>
          <w:rFonts w:ascii="Arial" w:hAnsi="Arial" w:cs="Arial"/>
          <w:color w:val="000000" w:themeColor="text1"/>
          <w:sz w:val="20"/>
          <w:szCs w:val="20"/>
        </w:rPr>
        <w:t xml:space="preserve"> </w:t>
      </w:r>
      <w:r w:rsidRPr="006E0529">
        <w:rPr>
          <w:rFonts w:ascii="Arial" w:hAnsi="Arial" w:cs="Arial"/>
          <w:color w:val="000000" w:themeColor="text1"/>
          <w:sz w:val="20"/>
          <w:szCs w:val="20"/>
        </w:rPr>
        <w:t>23-28.</w:t>
      </w:r>
      <w:r w:rsidRPr="006E0529">
        <w:rPr>
          <w:rFonts w:ascii="Arial" w:hAnsi="Arial" w:cs="Arial"/>
          <w:color w:val="212529"/>
          <w:sz w:val="20"/>
          <w:szCs w:val="20"/>
          <w:shd w:val="clear" w:color="auto" w:fill="F6F6F6"/>
        </w:rPr>
        <w:t xml:space="preserve"> </w:t>
      </w:r>
    </w:p>
    <w:p w14:paraId="65936257"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Lister NC, Milton AM, Hanrahan BJ, Waters PD. Between the Devil and the Deep Blue Sea: (2021). Non-Coding RNAs Associated with Transmissible Cancers in Tasmanian Devil, Domestic Dog and Bivalves. </w:t>
      </w:r>
      <w:r w:rsidRPr="006E0529">
        <w:rPr>
          <w:rFonts w:ascii="Arial" w:hAnsi="Arial" w:cs="Arial"/>
          <w:bCs/>
          <w:i/>
          <w:iCs/>
          <w:color w:val="000000" w:themeColor="text1"/>
          <w:sz w:val="20"/>
          <w:szCs w:val="20"/>
        </w:rPr>
        <w:t>Noncoding RNA</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7</w:t>
      </w:r>
      <w:r w:rsidRPr="006E0529">
        <w:rPr>
          <w:rFonts w:ascii="Arial" w:hAnsi="Arial" w:cs="Arial"/>
          <w:bCs/>
          <w:color w:val="000000" w:themeColor="text1"/>
          <w:sz w:val="20"/>
          <w:szCs w:val="20"/>
        </w:rPr>
        <w:t>:72.</w:t>
      </w:r>
    </w:p>
    <w:p w14:paraId="62308802"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Cohen D. (1973). The biological </w:t>
      </w:r>
      <w:proofErr w:type="spellStart"/>
      <w:r w:rsidRPr="006E0529">
        <w:rPr>
          <w:rFonts w:ascii="Arial" w:hAnsi="Arial" w:cs="Arial"/>
          <w:bCs/>
          <w:color w:val="000000" w:themeColor="text1"/>
          <w:sz w:val="20"/>
          <w:szCs w:val="20"/>
        </w:rPr>
        <w:t>behaviour</w:t>
      </w:r>
      <w:proofErr w:type="spellEnd"/>
      <w:r w:rsidRPr="006E0529">
        <w:rPr>
          <w:rFonts w:ascii="Arial" w:hAnsi="Arial" w:cs="Arial"/>
          <w:bCs/>
          <w:color w:val="000000" w:themeColor="text1"/>
          <w:sz w:val="20"/>
          <w:szCs w:val="20"/>
        </w:rPr>
        <w:t xml:space="preserve"> of the transmissible venereal </w:t>
      </w:r>
      <w:proofErr w:type="spellStart"/>
      <w:r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xml:space="preserve"> in immunosuppressed dogs. </w:t>
      </w:r>
      <w:r w:rsidRPr="006E0529">
        <w:rPr>
          <w:rFonts w:ascii="Arial" w:hAnsi="Arial" w:cs="Arial"/>
          <w:bCs/>
          <w:i/>
          <w:iCs/>
          <w:color w:val="000000" w:themeColor="text1"/>
          <w:sz w:val="20"/>
          <w:szCs w:val="20"/>
        </w:rPr>
        <w:t>European J. Cancer</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9</w:t>
      </w:r>
      <w:r w:rsidRPr="006E0529">
        <w:rPr>
          <w:rFonts w:ascii="Arial" w:hAnsi="Arial" w:cs="Arial"/>
          <w:bCs/>
          <w:color w:val="000000" w:themeColor="text1"/>
          <w:sz w:val="20"/>
          <w:szCs w:val="20"/>
        </w:rPr>
        <w:t>:253-258</w:t>
      </w:r>
    </w:p>
    <w:p w14:paraId="7ADE9DD9"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proofErr w:type="spellStart"/>
      <w:r w:rsidRPr="006E0529">
        <w:rPr>
          <w:rFonts w:ascii="Arial" w:hAnsi="Arial" w:cs="Arial"/>
          <w:bCs/>
          <w:color w:val="000000" w:themeColor="text1"/>
          <w:sz w:val="20"/>
          <w:szCs w:val="20"/>
        </w:rPr>
        <w:t>Strakova</w:t>
      </w:r>
      <w:proofErr w:type="spellEnd"/>
      <w:r w:rsidRPr="006E0529">
        <w:rPr>
          <w:rFonts w:ascii="Arial" w:hAnsi="Arial" w:cs="Arial"/>
          <w:bCs/>
          <w:color w:val="000000" w:themeColor="text1"/>
          <w:sz w:val="20"/>
          <w:szCs w:val="20"/>
        </w:rPr>
        <w:t xml:space="preserve">, A and Murchison E. P. (2015) The cancer which survived: insights from the genome of an 11000-year-old cancer. </w:t>
      </w:r>
      <w:r w:rsidRPr="006E0529">
        <w:rPr>
          <w:rFonts w:ascii="Arial" w:hAnsi="Arial" w:cs="Arial"/>
          <w:bCs/>
          <w:i/>
          <w:iCs/>
          <w:color w:val="000000" w:themeColor="text1"/>
          <w:sz w:val="20"/>
          <w:szCs w:val="20"/>
        </w:rPr>
        <w:t xml:space="preserve">Curr. </w:t>
      </w:r>
      <w:proofErr w:type="spellStart"/>
      <w:r w:rsidRPr="006E0529">
        <w:rPr>
          <w:rFonts w:ascii="Arial" w:hAnsi="Arial" w:cs="Arial"/>
          <w:bCs/>
          <w:i/>
          <w:iCs/>
          <w:color w:val="000000" w:themeColor="text1"/>
          <w:sz w:val="20"/>
          <w:szCs w:val="20"/>
        </w:rPr>
        <w:t>Opin</w:t>
      </w:r>
      <w:proofErr w:type="spellEnd"/>
      <w:r w:rsidRPr="006E0529">
        <w:rPr>
          <w:rFonts w:ascii="Arial" w:hAnsi="Arial" w:cs="Arial"/>
          <w:bCs/>
          <w:i/>
          <w:iCs/>
          <w:color w:val="000000" w:themeColor="text1"/>
          <w:sz w:val="20"/>
          <w:szCs w:val="20"/>
        </w:rPr>
        <w:t>. Genet. Dev</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 xml:space="preserve">30: </w:t>
      </w:r>
      <w:r w:rsidRPr="006E0529">
        <w:rPr>
          <w:rFonts w:ascii="Arial" w:hAnsi="Arial" w:cs="Arial"/>
          <w:bCs/>
          <w:color w:val="000000" w:themeColor="text1"/>
          <w:sz w:val="20"/>
          <w:szCs w:val="20"/>
        </w:rPr>
        <w:t>49-55</w:t>
      </w:r>
    </w:p>
    <w:p w14:paraId="311EEB91" w14:textId="4DE66212" w:rsidR="00887DB6" w:rsidRPr="006E0529" w:rsidRDefault="00887DB6" w:rsidP="00DF1775">
      <w:pPr>
        <w:pStyle w:val="BodyText"/>
        <w:numPr>
          <w:ilvl w:val="0"/>
          <w:numId w:val="1"/>
        </w:numPr>
        <w:spacing w:line="360" w:lineRule="auto"/>
        <w:ind w:right="371"/>
        <w:jc w:val="both"/>
        <w:rPr>
          <w:rFonts w:ascii="Arial" w:hAnsi="Arial" w:cs="Arial"/>
          <w:sz w:val="20"/>
          <w:szCs w:val="20"/>
          <w:shd w:val="clear" w:color="auto" w:fill="FFFFFF"/>
        </w:rPr>
      </w:pPr>
      <w:r w:rsidRPr="006E0529">
        <w:rPr>
          <w:rFonts w:ascii="Arial" w:hAnsi="Arial" w:cs="Arial"/>
          <w:bCs/>
          <w:color w:val="000000" w:themeColor="text1"/>
          <w:sz w:val="20"/>
          <w:szCs w:val="20"/>
        </w:rPr>
        <w:t xml:space="preserve"> </w:t>
      </w:r>
      <w:r w:rsidRPr="006E0529">
        <w:rPr>
          <w:rFonts w:ascii="Arial" w:hAnsi="Arial" w:cs="Arial"/>
          <w:sz w:val="20"/>
          <w:szCs w:val="20"/>
          <w:shd w:val="clear" w:color="auto" w:fill="FFFFFF"/>
        </w:rPr>
        <w:t xml:space="preserve">Abeka, Y. T. (2019). Review on canine transmissible venereal </w:t>
      </w:r>
      <w:proofErr w:type="spellStart"/>
      <w:r w:rsidR="007B3F95" w:rsidRPr="006E0529">
        <w:rPr>
          <w:rFonts w:ascii="Arial" w:hAnsi="Arial" w:cs="Arial"/>
          <w:sz w:val="20"/>
          <w:szCs w:val="20"/>
          <w:shd w:val="clear" w:color="auto" w:fill="FFFFFF"/>
        </w:rPr>
        <w:t>tumour</w:t>
      </w:r>
      <w:proofErr w:type="spellEnd"/>
      <w:r w:rsidRPr="006E0529">
        <w:rPr>
          <w:rFonts w:ascii="Arial" w:hAnsi="Arial" w:cs="Arial"/>
          <w:sz w:val="20"/>
          <w:szCs w:val="20"/>
          <w:shd w:val="clear" w:color="auto" w:fill="FFFFFF"/>
        </w:rPr>
        <w:t xml:space="preserve"> (CTVT). </w:t>
      </w:r>
      <w:r w:rsidR="00DF1775" w:rsidRPr="00DF1775">
        <w:rPr>
          <w:rFonts w:ascii="Arial" w:hAnsi="Arial" w:cs="Arial"/>
          <w:i/>
          <w:iCs/>
          <w:sz w:val="20"/>
          <w:szCs w:val="20"/>
          <w:shd w:val="clear" w:color="auto" w:fill="FFFFFF"/>
        </w:rPr>
        <w:t xml:space="preserve">Cancer </w:t>
      </w:r>
      <w:proofErr w:type="spellStart"/>
      <w:r w:rsidR="00DF1775" w:rsidRPr="00DF1775">
        <w:rPr>
          <w:rFonts w:ascii="Arial" w:hAnsi="Arial" w:cs="Arial"/>
          <w:i/>
          <w:iCs/>
          <w:sz w:val="20"/>
          <w:szCs w:val="20"/>
          <w:shd w:val="clear" w:color="auto" w:fill="FFFFFF"/>
        </w:rPr>
        <w:t>Ther</w:t>
      </w:r>
      <w:proofErr w:type="spellEnd"/>
      <w:r w:rsidR="00DF1775" w:rsidRPr="00DF1775">
        <w:rPr>
          <w:rFonts w:ascii="Arial" w:hAnsi="Arial" w:cs="Arial"/>
          <w:i/>
          <w:iCs/>
          <w:sz w:val="20"/>
          <w:szCs w:val="20"/>
          <w:shd w:val="clear" w:color="auto" w:fill="FFFFFF"/>
        </w:rPr>
        <w:t xml:space="preserve"> Oncol Int J</w:t>
      </w:r>
      <w:r w:rsidR="00DF1775">
        <w:rPr>
          <w:rFonts w:ascii="Arial" w:hAnsi="Arial" w:cs="Arial"/>
          <w:sz w:val="20"/>
          <w:szCs w:val="20"/>
          <w:shd w:val="clear" w:color="auto" w:fill="FFFFFF"/>
        </w:rPr>
        <w:t>.</w:t>
      </w:r>
      <w:r w:rsidRPr="006E0529">
        <w:rPr>
          <w:rFonts w:ascii="Arial" w:hAnsi="Arial" w:cs="Arial"/>
          <w:sz w:val="20"/>
          <w:szCs w:val="20"/>
          <w:shd w:val="clear" w:color="auto" w:fill="FFFFFF"/>
        </w:rPr>
        <w:t> </w:t>
      </w:r>
      <w:r w:rsidRPr="006D1F60">
        <w:rPr>
          <w:rFonts w:ascii="Arial" w:hAnsi="Arial" w:cs="Arial"/>
          <w:b/>
          <w:iCs/>
          <w:sz w:val="20"/>
          <w:szCs w:val="20"/>
          <w:shd w:val="clear" w:color="auto" w:fill="FFFFFF"/>
        </w:rPr>
        <w:t>14</w:t>
      </w:r>
      <w:r w:rsidR="006D1F60">
        <w:rPr>
          <w:rFonts w:ascii="Arial" w:hAnsi="Arial" w:cs="Arial"/>
          <w:sz w:val="20"/>
          <w:szCs w:val="20"/>
          <w:shd w:val="clear" w:color="auto" w:fill="FFFFFF"/>
        </w:rPr>
        <w:t>:</w:t>
      </w:r>
      <w:r w:rsidRPr="006E0529">
        <w:rPr>
          <w:rFonts w:ascii="Arial" w:hAnsi="Arial" w:cs="Arial"/>
          <w:sz w:val="20"/>
          <w:szCs w:val="20"/>
          <w:shd w:val="clear" w:color="auto" w:fill="FFFFFF"/>
        </w:rPr>
        <w:t xml:space="preserve"> 1-9</w:t>
      </w:r>
      <w:r w:rsidR="006D1F60">
        <w:rPr>
          <w:rFonts w:ascii="Arial" w:hAnsi="Arial" w:cs="Arial"/>
          <w:sz w:val="20"/>
          <w:szCs w:val="20"/>
          <w:shd w:val="clear" w:color="auto" w:fill="FFFFFF"/>
        </w:rPr>
        <w:t>.</w:t>
      </w:r>
    </w:p>
    <w:p w14:paraId="0A3FF58B"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Cohen, D. (1985). The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a unique result of progression. </w:t>
      </w:r>
      <w:r w:rsidRPr="006E0529">
        <w:rPr>
          <w:rFonts w:ascii="Arial" w:hAnsi="Arial" w:cs="Arial"/>
          <w:i/>
          <w:iCs/>
          <w:color w:val="000000" w:themeColor="text1"/>
          <w:sz w:val="20"/>
          <w:szCs w:val="20"/>
        </w:rPr>
        <w:t>Adv. Cancer Res</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43</w:t>
      </w:r>
      <w:r w:rsidRPr="006E0529">
        <w:rPr>
          <w:rFonts w:ascii="Arial" w:hAnsi="Arial" w:cs="Arial"/>
          <w:color w:val="000000" w:themeColor="text1"/>
          <w:sz w:val="20"/>
          <w:szCs w:val="20"/>
        </w:rPr>
        <w:t>: 75-112.</w:t>
      </w:r>
    </w:p>
    <w:p w14:paraId="52BB7D22"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Murchison, E.P. (2009). Clonally transmissible cancers in dogs and Tasmanian devils. </w:t>
      </w:r>
      <w:r w:rsidRPr="006E0529">
        <w:rPr>
          <w:rFonts w:ascii="Arial" w:hAnsi="Arial" w:cs="Arial"/>
          <w:i/>
          <w:iCs/>
          <w:color w:val="000000" w:themeColor="text1"/>
          <w:sz w:val="20"/>
          <w:szCs w:val="20"/>
        </w:rPr>
        <w:t>Oncogene</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27</w:t>
      </w:r>
      <w:r w:rsidRPr="006E0529">
        <w:rPr>
          <w:rFonts w:ascii="Arial" w:hAnsi="Arial" w:cs="Arial"/>
          <w:color w:val="000000" w:themeColor="text1"/>
          <w:sz w:val="20"/>
          <w:szCs w:val="20"/>
        </w:rPr>
        <w:t>:19-30.</w:t>
      </w:r>
    </w:p>
    <w:p w14:paraId="7DBC5E8F"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Jones, E.A., Cheng, Y. and Belov, K. (2015). The origin, dynamics, and molecular evolution of Transmissible cancers. </w:t>
      </w:r>
      <w:r w:rsidRPr="006E0529">
        <w:rPr>
          <w:rFonts w:ascii="Arial" w:hAnsi="Arial" w:cs="Arial"/>
          <w:i/>
          <w:iCs/>
          <w:color w:val="000000" w:themeColor="text1"/>
          <w:sz w:val="20"/>
          <w:szCs w:val="20"/>
        </w:rPr>
        <w:t>Adv. Genomics and Genet</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5</w:t>
      </w:r>
      <w:r w:rsidRPr="006E0529">
        <w:rPr>
          <w:rFonts w:ascii="Arial" w:hAnsi="Arial" w:cs="Arial"/>
          <w:color w:val="000000" w:themeColor="text1"/>
          <w:sz w:val="20"/>
          <w:szCs w:val="20"/>
        </w:rPr>
        <w:t>:317- 326.</w:t>
      </w:r>
    </w:p>
    <w:p w14:paraId="3E8492A7"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Murgia, C., Pritchard, J.K., Kim, S. Y., </w:t>
      </w:r>
      <w:proofErr w:type="spellStart"/>
      <w:r w:rsidRPr="006E0529">
        <w:rPr>
          <w:rFonts w:ascii="Arial" w:hAnsi="Arial" w:cs="Arial"/>
          <w:color w:val="000000" w:themeColor="text1"/>
          <w:sz w:val="20"/>
          <w:szCs w:val="20"/>
        </w:rPr>
        <w:t>Fassati</w:t>
      </w:r>
      <w:proofErr w:type="spellEnd"/>
      <w:r w:rsidRPr="006E0529">
        <w:rPr>
          <w:rFonts w:ascii="Arial" w:hAnsi="Arial" w:cs="Arial"/>
          <w:color w:val="000000" w:themeColor="text1"/>
          <w:sz w:val="20"/>
          <w:szCs w:val="20"/>
        </w:rPr>
        <w:t>, A. and Weiss, R.A. (2006). Clonal origin and evolution of a transmissible cancer</w:t>
      </w:r>
      <w:r w:rsidRPr="006E0529">
        <w:rPr>
          <w:rFonts w:ascii="Arial" w:hAnsi="Arial" w:cs="Arial"/>
          <w:i/>
          <w:iCs/>
          <w:color w:val="000000" w:themeColor="text1"/>
          <w:sz w:val="20"/>
          <w:szCs w:val="20"/>
        </w:rPr>
        <w:t>. Cell.</w:t>
      </w:r>
      <w:r w:rsidRPr="006E0529">
        <w:rPr>
          <w:rFonts w:ascii="Arial" w:hAnsi="Arial" w:cs="Arial"/>
          <w:color w:val="000000" w:themeColor="text1"/>
          <w:sz w:val="20"/>
          <w:szCs w:val="20"/>
        </w:rPr>
        <w:t xml:space="preserve"> </w:t>
      </w:r>
      <w:r w:rsidRPr="006E0529">
        <w:rPr>
          <w:rFonts w:ascii="Arial" w:hAnsi="Arial" w:cs="Arial"/>
          <w:b/>
          <w:color w:val="000000" w:themeColor="text1"/>
          <w:sz w:val="20"/>
          <w:szCs w:val="20"/>
        </w:rPr>
        <w:t>126</w:t>
      </w:r>
      <w:r w:rsidRPr="006E0529">
        <w:rPr>
          <w:rFonts w:ascii="Arial" w:hAnsi="Arial" w:cs="Arial"/>
          <w:color w:val="000000" w:themeColor="text1"/>
          <w:sz w:val="20"/>
          <w:szCs w:val="20"/>
        </w:rPr>
        <w:t>, 477–487.</w:t>
      </w:r>
    </w:p>
    <w:p w14:paraId="7EFAF07F"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Murchison, E.P., Wedge, D.C., Alexandrov, L.B., Fu, B., </w:t>
      </w:r>
      <w:proofErr w:type="spellStart"/>
      <w:r w:rsidRPr="006E0529">
        <w:rPr>
          <w:rFonts w:ascii="Arial" w:hAnsi="Arial" w:cs="Arial"/>
          <w:color w:val="000000" w:themeColor="text1"/>
          <w:sz w:val="20"/>
          <w:szCs w:val="20"/>
        </w:rPr>
        <w:t>Martincorena</w:t>
      </w:r>
      <w:proofErr w:type="spellEnd"/>
      <w:r w:rsidRPr="006E0529">
        <w:rPr>
          <w:rFonts w:ascii="Arial" w:hAnsi="Arial" w:cs="Arial"/>
          <w:color w:val="000000" w:themeColor="text1"/>
          <w:sz w:val="20"/>
          <w:szCs w:val="20"/>
        </w:rPr>
        <w:t xml:space="preserve">, I., Ning, Z., </w:t>
      </w:r>
      <w:proofErr w:type="spellStart"/>
      <w:r w:rsidRPr="006E0529">
        <w:rPr>
          <w:rFonts w:ascii="Arial" w:hAnsi="Arial" w:cs="Arial"/>
          <w:color w:val="000000" w:themeColor="text1"/>
          <w:sz w:val="20"/>
          <w:szCs w:val="20"/>
        </w:rPr>
        <w:t>Tubio</w:t>
      </w:r>
      <w:proofErr w:type="spellEnd"/>
      <w:r w:rsidRPr="006E0529">
        <w:rPr>
          <w:rFonts w:ascii="Arial" w:hAnsi="Arial" w:cs="Arial"/>
          <w:color w:val="000000" w:themeColor="text1"/>
          <w:sz w:val="20"/>
          <w:szCs w:val="20"/>
        </w:rPr>
        <w:t xml:space="preserve">, J.M., Werner, E.I., Allen, J. and De Nardi, A.B. (2014). Transmissible dog cancer genome reveals </w:t>
      </w:r>
      <w:r w:rsidRPr="006E0529">
        <w:rPr>
          <w:rFonts w:ascii="Arial" w:hAnsi="Arial" w:cs="Arial"/>
          <w:color w:val="000000" w:themeColor="text1"/>
          <w:sz w:val="20"/>
          <w:szCs w:val="20"/>
        </w:rPr>
        <w:lastRenderedPageBreak/>
        <w:t xml:space="preserve">the origin and history of an ancient cell lineage. </w:t>
      </w:r>
      <w:r w:rsidRPr="006E0529">
        <w:rPr>
          <w:rFonts w:ascii="Arial" w:hAnsi="Arial" w:cs="Arial"/>
          <w:i/>
          <w:iCs/>
          <w:color w:val="000000" w:themeColor="text1"/>
          <w:sz w:val="20"/>
          <w:szCs w:val="20"/>
        </w:rPr>
        <w:t>Sci.</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343</w:t>
      </w:r>
      <w:r w:rsidRPr="006E0529">
        <w:rPr>
          <w:rFonts w:ascii="Arial" w:hAnsi="Arial" w:cs="Arial"/>
          <w:color w:val="000000" w:themeColor="text1"/>
          <w:sz w:val="20"/>
          <w:szCs w:val="20"/>
        </w:rPr>
        <w:t>:437-440.</w:t>
      </w:r>
    </w:p>
    <w:p w14:paraId="7BE9448D"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proofErr w:type="spellStart"/>
      <w:r w:rsidRPr="006E0529">
        <w:rPr>
          <w:rFonts w:ascii="Arial" w:hAnsi="Arial" w:cs="Arial"/>
          <w:bCs/>
          <w:color w:val="000000" w:themeColor="text1"/>
          <w:sz w:val="20"/>
          <w:szCs w:val="20"/>
        </w:rPr>
        <w:t>Strakova</w:t>
      </w:r>
      <w:proofErr w:type="spellEnd"/>
      <w:r w:rsidRPr="006E0529">
        <w:rPr>
          <w:rFonts w:ascii="Arial" w:hAnsi="Arial" w:cs="Arial"/>
          <w:bCs/>
          <w:color w:val="000000" w:themeColor="text1"/>
          <w:sz w:val="20"/>
          <w:szCs w:val="20"/>
        </w:rPr>
        <w:t xml:space="preserve">, A., </w:t>
      </w:r>
      <w:proofErr w:type="spellStart"/>
      <w:r w:rsidRPr="006E0529">
        <w:rPr>
          <w:rFonts w:ascii="Arial" w:hAnsi="Arial" w:cs="Arial"/>
          <w:bCs/>
          <w:color w:val="000000" w:themeColor="text1"/>
          <w:sz w:val="20"/>
          <w:szCs w:val="20"/>
        </w:rPr>
        <w:t>Leathlobhair</w:t>
      </w:r>
      <w:proofErr w:type="spellEnd"/>
      <w:r w:rsidRPr="006E0529">
        <w:rPr>
          <w:rFonts w:ascii="Arial" w:hAnsi="Arial" w:cs="Arial"/>
          <w:bCs/>
          <w:color w:val="000000" w:themeColor="text1"/>
          <w:sz w:val="20"/>
          <w:szCs w:val="20"/>
        </w:rPr>
        <w:t xml:space="preserve">, M., Wang, G.D., Yin, T.T., </w:t>
      </w:r>
      <w:proofErr w:type="spellStart"/>
      <w:r w:rsidRPr="006E0529">
        <w:rPr>
          <w:rFonts w:ascii="Arial" w:hAnsi="Arial" w:cs="Arial"/>
          <w:bCs/>
          <w:color w:val="000000" w:themeColor="text1"/>
          <w:sz w:val="20"/>
          <w:szCs w:val="20"/>
        </w:rPr>
        <w:t>Airikkala</w:t>
      </w:r>
      <w:proofErr w:type="spellEnd"/>
      <w:r w:rsidRPr="006E0529">
        <w:rPr>
          <w:rFonts w:ascii="Arial" w:hAnsi="Arial" w:cs="Arial"/>
          <w:bCs/>
          <w:color w:val="000000" w:themeColor="text1"/>
          <w:sz w:val="20"/>
          <w:szCs w:val="20"/>
        </w:rPr>
        <w:t xml:space="preserve">-Otter, I., Allen, J.L., </w:t>
      </w:r>
      <w:r w:rsidRPr="006E0529">
        <w:rPr>
          <w:rFonts w:ascii="Arial" w:hAnsi="Arial" w:cs="Arial"/>
          <w:bCs/>
          <w:i/>
          <w:iCs/>
          <w:color w:val="000000" w:themeColor="text1"/>
          <w:sz w:val="20"/>
          <w:szCs w:val="20"/>
        </w:rPr>
        <w:t>et al</w:t>
      </w:r>
      <w:r w:rsidRPr="006E0529">
        <w:rPr>
          <w:rFonts w:ascii="Arial" w:hAnsi="Arial" w:cs="Arial"/>
          <w:bCs/>
          <w:color w:val="000000" w:themeColor="text1"/>
          <w:sz w:val="20"/>
          <w:szCs w:val="20"/>
        </w:rPr>
        <w:t xml:space="preserve">. (2016). Mitochondrial genetic diversity, selection and recombination in a canine transmissible cancer. </w:t>
      </w:r>
      <w:proofErr w:type="spellStart"/>
      <w:r w:rsidRPr="006E0529">
        <w:rPr>
          <w:rFonts w:ascii="Arial" w:hAnsi="Arial" w:cs="Arial"/>
          <w:bCs/>
          <w:i/>
          <w:iCs/>
          <w:color w:val="000000" w:themeColor="text1"/>
          <w:sz w:val="20"/>
          <w:szCs w:val="20"/>
        </w:rPr>
        <w:t>eLife</w:t>
      </w:r>
      <w:proofErr w:type="spellEnd"/>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5</w:t>
      </w:r>
      <w:r w:rsidRPr="006E0529">
        <w:rPr>
          <w:rFonts w:ascii="Arial" w:hAnsi="Arial" w:cs="Arial"/>
          <w:bCs/>
          <w:color w:val="000000" w:themeColor="text1"/>
          <w:sz w:val="20"/>
          <w:szCs w:val="20"/>
        </w:rPr>
        <w:t>: e14552.</w:t>
      </w:r>
    </w:p>
    <w:p w14:paraId="3EF7BE59" w14:textId="58C0BBAB" w:rsidR="00887DB6"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de Brito, C P., de Oliveira, C M., Soares, F.A., Faustino, M., de Oliveira, C A. (2006). Immunohistochemical determination of estrogen receptor-α in vaginal and </w:t>
      </w:r>
      <w:proofErr w:type="spellStart"/>
      <w:r w:rsidR="007B3F95"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xml:space="preserve"> tissues of healthy and TVT-affected bitches and their relation to serum concentrations of estradiol-17β and progesterone. </w:t>
      </w:r>
      <w:r w:rsidRPr="006E0529">
        <w:rPr>
          <w:rFonts w:ascii="Arial" w:hAnsi="Arial" w:cs="Arial"/>
          <w:bCs/>
          <w:i/>
          <w:iCs/>
          <w:color w:val="000000" w:themeColor="text1"/>
          <w:sz w:val="20"/>
          <w:szCs w:val="20"/>
        </w:rPr>
        <w:t>Theriogenology</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66</w:t>
      </w:r>
      <w:r w:rsidRPr="006E0529">
        <w:rPr>
          <w:rFonts w:ascii="Arial" w:hAnsi="Arial" w:cs="Arial"/>
          <w:bCs/>
          <w:color w:val="000000" w:themeColor="text1"/>
          <w:sz w:val="20"/>
          <w:szCs w:val="20"/>
        </w:rPr>
        <w:t>: 1587-1592.</w:t>
      </w:r>
    </w:p>
    <w:p w14:paraId="74EC6BA8" w14:textId="65B98AA1" w:rsidR="00802BC8" w:rsidRPr="00802BC8" w:rsidRDefault="00802BC8" w:rsidP="00802BC8">
      <w:pPr>
        <w:widowControl w:val="0"/>
        <w:numPr>
          <w:ilvl w:val="0"/>
          <w:numId w:val="1"/>
        </w:numPr>
        <w:autoSpaceDE w:val="0"/>
        <w:autoSpaceDN w:val="0"/>
        <w:spacing w:after="0" w:line="360" w:lineRule="auto"/>
        <w:ind w:right="371"/>
        <w:jc w:val="both"/>
        <w:rPr>
          <w:rFonts w:ascii="Arial" w:eastAsia="Times New Roman" w:hAnsi="Arial" w:cs="Arial"/>
          <w:bCs/>
          <w:color w:val="000000" w:themeColor="text1"/>
          <w:sz w:val="20"/>
          <w:szCs w:val="20"/>
        </w:rPr>
      </w:pPr>
      <w:r w:rsidRPr="00003D3D">
        <w:rPr>
          <w:rFonts w:ascii="Arial" w:eastAsia="Times New Roman" w:hAnsi="Arial" w:cs="Arial"/>
          <w:bCs/>
          <w:color w:val="000000" w:themeColor="text1"/>
          <w:sz w:val="20"/>
          <w:szCs w:val="20"/>
        </w:rPr>
        <w:t xml:space="preserve">Lacombe, C. et al. (1988). Rapid Publication Peritubular Cells Are the Site of Erythropoietin Synthesis in the Murine Hypoxic Kidney. J. Clin. </w:t>
      </w:r>
      <w:proofErr w:type="spellStart"/>
      <w:r w:rsidRPr="00003D3D">
        <w:rPr>
          <w:rFonts w:ascii="Arial" w:eastAsia="Times New Roman" w:hAnsi="Arial" w:cs="Arial"/>
          <w:bCs/>
          <w:color w:val="000000" w:themeColor="text1"/>
          <w:sz w:val="20"/>
          <w:szCs w:val="20"/>
        </w:rPr>
        <w:t>Investig</w:t>
      </w:r>
      <w:proofErr w:type="spellEnd"/>
      <w:r w:rsidRPr="00003D3D">
        <w:rPr>
          <w:rFonts w:ascii="Arial" w:eastAsia="Times New Roman" w:hAnsi="Arial" w:cs="Arial"/>
          <w:bCs/>
          <w:color w:val="000000" w:themeColor="text1"/>
          <w:sz w:val="20"/>
          <w:szCs w:val="20"/>
        </w:rPr>
        <w:t>., 81: 620 – 623.</w:t>
      </w:r>
    </w:p>
    <w:p w14:paraId="414E302D" w14:textId="488AAA53"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Koch, T.G., Wen, X. and </w:t>
      </w:r>
      <w:proofErr w:type="spellStart"/>
      <w:r w:rsidRPr="006E0529">
        <w:rPr>
          <w:rFonts w:ascii="Arial" w:hAnsi="Arial" w:cs="Arial"/>
          <w:color w:val="000000" w:themeColor="text1"/>
          <w:sz w:val="20"/>
          <w:szCs w:val="20"/>
        </w:rPr>
        <w:t>Bienzle</w:t>
      </w:r>
      <w:proofErr w:type="spellEnd"/>
      <w:r w:rsidRPr="006E0529">
        <w:rPr>
          <w:rFonts w:ascii="Arial" w:hAnsi="Arial" w:cs="Arial"/>
          <w:color w:val="000000" w:themeColor="text1"/>
          <w:sz w:val="20"/>
          <w:szCs w:val="20"/>
        </w:rPr>
        <w:t xml:space="preserve">, D. (2006) Lymphoma, erythrocytosis, and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erythropoietin gene expression in a horse. </w:t>
      </w:r>
      <w:r w:rsidRPr="006E0529">
        <w:rPr>
          <w:rFonts w:ascii="Arial" w:hAnsi="Arial" w:cs="Arial"/>
          <w:i/>
          <w:iCs/>
          <w:color w:val="000000" w:themeColor="text1"/>
          <w:sz w:val="20"/>
          <w:szCs w:val="20"/>
        </w:rPr>
        <w:t>J. Vet. Intern. Med</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 xml:space="preserve">20: </w:t>
      </w:r>
      <w:r w:rsidRPr="006E0529">
        <w:rPr>
          <w:rFonts w:ascii="Arial" w:hAnsi="Arial" w:cs="Arial"/>
          <w:color w:val="000000" w:themeColor="text1"/>
          <w:sz w:val="20"/>
          <w:szCs w:val="20"/>
        </w:rPr>
        <w:t>1251–1255.</w:t>
      </w:r>
    </w:p>
    <w:p w14:paraId="6F9B1200"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proofErr w:type="spellStart"/>
      <w:r w:rsidRPr="006E0529">
        <w:rPr>
          <w:rFonts w:ascii="Arial" w:hAnsi="Arial" w:cs="Arial"/>
          <w:bCs/>
          <w:color w:val="000000" w:themeColor="text1"/>
          <w:sz w:val="20"/>
          <w:szCs w:val="20"/>
        </w:rPr>
        <w:t>Bission</w:t>
      </w:r>
      <w:proofErr w:type="spellEnd"/>
      <w:r w:rsidRPr="006E0529">
        <w:rPr>
          <w:rFonts w:ascii="Arial" w:hAnsi="Arial" w:cs="Arial"/>
          <w:bCs/>
          <w:color w:val="000000" w:themeColor="text1"/>
          <w:sz w:val="20"/>
          <w:szCs w:val="20"/>
        </w:rPr>
        <w:t>, J. (2015).</w:t>
      </w:r>
      <w:r w:rsidRPr="006E0529">
        <w:rPr>
          <w:rFonts w:ascii="Arial" w:hAnsi="Arial" w:cs="Arial"/>
          <w:color w:val="000000" w:themeColor="text1"/>
          <w:sz w:val="20"/>
          <w:szCs w:val="20"/>
        </w:rPr>
        <w:t xml:space="preserve"> </w:t>
      </w:r>
      <w:r w:rsidRPr="006E0529">
        <w:rPr>
          <w:rFonts w:ascii="Arial" w:hAnsi="Arial" w:cs="Arial"/>
          <w:bCs/>
          <w:color w:val="000000" w:themeColor="text1"/>
          <w:sz w:val="20"/>
          <w:szCs w:val="20"/>
        </w:rPr>
        <w:t xml:space="preserve">Examination of Erythropoietin levels in dogs affected by Canine Transmissible Venereal </w:t>
      </w:r>
      <w:proofErr w:type="spellStart"/>
      <w:r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Transmissible Cancer Group. University of Cambridge. U K.</w:t>
      </w:r>
    </w:p>
    <w:p w14:paraId="2B0E7A2B" w14:textId="77777777" w:rsidR="00887DB6" w:rsidRPr="006E0529" w:rsidRDefault="00887DB6" w:rsidP="001A6C20">
      <w:pPr>
        <w:pStyle w:val="BodyText"/>
        <w:numPr>
          <w:ilvl w:val="0"/>
          <w:numId w:val="1"/>
        </w:numPr>
        <w:spacing w:line="360" w:lineRule="auto"/>
        <w:ind w:right="371"/>
        <w:jc w:val="both"/>
        <w:rPr>
          <w:rFonts w:ascii="Arial" w:hAnsi="Arial" w:cs="Arial"/>
          <w:sz w:val="20"/>
          <w:szCs w:val="20"/>
        </w:rPr>
      </w:pPr>
      <w:r w:rsidRPr="006E0529">
        <w:rPr>
          <w:rFonts w:ascii="Arial" w:hAnsi="Arial" w:cs="Arial"/>
          <w:color w:val="000000" w:themeColor="text1"/>
          <w:sz w:val="20"/>
          <w:szCs w:val="20"/>
        </w:rPr>
        <w:t>Lopez, M. F. M.</w:t>
      </w:r>
      <w:r w:rsidRPr="006E0529">
        <w:rPr>
          <w:rFonts w:ascii="Arial" w:hAnsi="Arial" w:cs="Arial"/>
          <w:sz w:val="20"/>
          <w:szCs w:val="20"/>
        </w:rPr>
        <w:t xml:space="preserve"> (2014). Evaluation of the serum concentration levels of erythropoietin, cytological and histopathological interpretation, </w:t>
      </w:r>
      <w:proofErr w:type="spellStart"/>
      <w:r w:rsidRPr="006E0529">
        <w:rPr>
          <w:rFonts w:ascii="Arial" w:hAnsi="Arial" w:cs="Arial"/>
          <w:sz w:val="20"/>
          <w:szCs w:val="20"/>
        </w:rPr>
        <w:t>haemogram</w:t>
      </w:r>
      <w:proofErr w:type="spellEnd"/>
      <w:r w:rsidRPr="006E0529">
        <w:rPr>
          <w:rFonts w:ascii="Arial" w:hAnsi="Arial" w:cs="Arial"/>
          <w:sz w:val="20"/>
          <w:szCs w:val="20"/>
        </w:rPr>
        <w:t xml:space="preserve"> and </w:t>
      </w:r>
      <w:proofErr w:type="spellStart"/>
      <w:r w:rsidRPr="006E0529">
        <w:rPr>
          <w:rFonts w:ascii="Arial" w:hAnsi="Arial" w:cs="Arial"/>
          <w:sz w:val="20"/>
          <w:szCs w:val="20"/>
        </w:rPr>
        <w:t>neoplasic</w:t>
      </w:r>
      <w:proofErr w:type="spellEnd"/>
      <w:r w:rsidRPr="006E0529">
        <w:rPr>
          <w:rFonts w:ascii="Arial" w:hAnsi="Arial" w:cs="Arial"/>
          <w:sz w:val="20"/>
          <w:szCs w:val="20"/>
        </w:rPr>
        <w:t xml:space="preserve"> morphology in the diagnosis of transmissible venereal </w:t>
      </w:r>
      <w:proofErr w:type="spellStart"/>
      <w:r w:rsidRPr="006E0529">
        <w:rPr>
          <w:rFonts w:ascii="Arial" w:hAnsi="Arial" w:cs="Arial"/>
          <w:sz w:val="20"/>
          <w:szCs w:val="20"/>
        </w:rPr>
        <w:t>tumour</w:t>
      </w:r>
      <w:proofErr w:type="spellEnd"/>
      <w:r w:rsidRPr="006E0529">
        <w:rPr>
          <w:rFonts w:ascii="Arial" w:hAnsi="Arial" w:cs="Arial"/>
          <w:sz w:val="20"/>
          <w:szCs w:val="20"/>
        </w:rPr>
        <w:t xml:space="preserve"> in canines identified in the Imbabura province, Ecuador. Master Thesis carried out at the Transmissible Cancer Group, (2014).</w:t>
      </w:r>
    </w:p>
    <w:p w14:paraId="65719A50"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Hanahan, D. and Weinberg, R.A. (2011).  Hallmarks of cancer: the next generation. </w:t>
      </w:r>
      <w:r w:rsidRPr="006E0529">
        <w:rPr>
          <w:rFonts w:ascii="Arial" w:hAnsi="Arial" w:cs="Arial"/>
          <w:i/>
          <w:iCs/>
          <w:color w:val="000000" w:themeColor="text1"/>
          <w:sz w:val="20"/>
          <w:szCs w:val="20"/>
        </w:rPr>
        <w:t>Cell</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144</w:t>
      </w:r>
      <w:r w:rsidRPr="006E0529">
        <w:rPr>
          <w:rFonts w:ascii="Arial" w:hAnsi="Arial" w:cs="Arial"/>
          <w:color w:val="000000" w:themeColor="text1"/>
          <w:sz w:val="20"/>
          <w:szCs w:val="20"/>
        </w:rPr>
        <w:t>:646-674.</w:t>
      </w:r>
    </w:p>
    <w:p w14:paraId="5239CEF8"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proofErr w:type="spellStart"/>
      <w:r w:rsidRPr="006E0529">
        <w:rPr>
          <w:rFonts w:ascii="Arial" w:hAnsi="Arial" w:cs="Arial"/>
          <w:color w:val="000000" w:themeColor="text1"/>
          <w:sz w:val="20"/>
          <w:szCs w:val="20"/>
        </w:rPr>
        <w:t>Rebbeck</w:t>
      </w:r>
      <w:proofErr w:type="spellEnd"/>
      <w:r w:rsidRPr="006E0529">
        <w:rPr>
          <w:rFonts w:ascii="Arial" w:hAnsi="Arial" w:cs="Arial"/>
          <w:color w:val="000000" w:themeColor="text1"/>
          <w:sz w:val="20"/>
          <w:szCs w:val="20"/>
        </w:rPr>
        <w:t xml:space="preserve">, C. A., Leroi, A. M. and Burt, A. (2011). Mitochondrial capture by a transmissible cancer. </w:t>
      </w:r>
      <w:r w:rsidRPr="006E0529">
        <w:rPr>
          <w:rFonts w:ascii="Arial" w:hAnsi="Arial" w:cs="Arial"/>
          <w:i/>
          <w:iCs/>
          <w:color w:val="000000" w:themeColor="text1"/>
          <w:sz w:val="20"/>
          <w:szCs w:val="20"/>
        </w:rPr>
        <w:t>Science</w:t>
      </w:r>
      <w:r w:rsidRPr="006E0529">
        <w:rPr>
          <w:rFonts w:ascii="Arial" w:hAnsi="Arial" w:cs="Arial"/>
          <w:color w:val="000000" w:themeColor="text1"/>
          <w:sz w:val="20"/>
          <w:szCs w:val="20"/>
        </w:rPr>
        <w:t xml:space="preserve"> </w:t>
      </w:r>
      <w:r w:rsidRPr="006E0529">
        <w:rPr>
          <w:rFonts w:ascii="Arial" w:hAnsi="Arial" w:cs="Arial"/>
          <w:b/>
          <w:color w:val="000000" w:themeColor="text1"/>
          <w:sz w:val="20"/>
          <w:szCs w:val="20"/>
        </w:rPr>
        <w:t>331</w:t>
      </w:r>
      <w:r w:rsidRPr="006E0529">
        <w:rPr>
          <w:rFonts w:ascii="Arial" w:hAnsi="Arial" w:cs="Arial"/>
          <w:color w:val="000000" w:themeColor="text1"/>
          <w:sz w:val="20"/>
          <w:szCs w:val="20"/>
        </w:rPr>
        <w:t>(6015): 303.</w:t>
      </w:r>
    </w:p>
    <w:p w14:paraId="0EC5ED1E" w14:textId="1CB11479"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Frank, U. (2007). The evolution of a malignant dog. </w:t>
      </w:r>
      <w:proofErr w:type="spellStart"/>
      <w:r w:rsidRPr="006E0529">
        <w:rPr>
          <w:rFonts w:ascii="Arial" w:hAnsi="Arial" w:cs="Arial"/>
          <w:i/>
          <w:iCs/>
          <w:color w:val="000000" w:themeColor="text1"/>
          <w:sz w:val="20"/>
          <w:szCs w:val="20"/>
        </w:rPr>
        <w:t>Evol</w:t>
      </w:r>
      <w:proofErr w:type="spellEnd"/>
      <w:r w:rsidRPr="006E0529">
        <w:rPr>
          <w:rFonts w:ascii="Arial" w:hAnsi="Arial" w:cs="Arial"/>
          <w:i/>
          <w:iCs/>
          <w:color w:val="000000" w:themeColor="text1"/>
          <w:sz w:val="20"/>
          <w:szCs w:val="20"/>
        </w:rPr>
        <w:t>. Dev</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9</w:t>
      </w:r>
      <w:r w:rsidRPr="006E0529">
        <w:rPr>
          <w:rFonts w:ascii="Arial" w:hAnsi="Arial" w:cs="Arial"/>
          <w:color w:val="000000" w:themeColor="text1"/>
          <w:sz w:val="20"/>
          <w:szCs w:val="20"/>
        </w:rPr>
        <w:t>: 521- 522.</w:t>
      </w:r>
    </w:p>
    <w:p w14:paraId="5A265663" w14:textId="463A081C"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shd w:val="clear" w:color="auto" w:fill="FFFFFF"/>
        </w:rPr>
        <w:t xml:space="preserve">Albanese, F., Poli, A., </w:t>
      </w:r>
      <w:proofErr w:type="spellStart"/>
      <w:r w:rsidRPr="006E0529">
        <w:rPr>
          <w:rFonts w:ascii="Arial" w:hAnsi="Arial" w:cs="Arial"/>
          <w:color w:val="000000" w:themeColor="text1"/>
          <w:sz w:val="20"/>
          <w:szCs w:val="20"/>
          <w:shd w:val="clear" w:color="auto" w:fill="FFFFFF"/>
        </w:rPr>
        <w:t>Millanta</w:t>
      </w:r>
      <w:proofErr w:type="spellEnd"/>
      <w:r w:rsidRPr="006E0529">
        <w:rPr>
          <w:rFonts w:ascii="Arial" w:hAnsi="Arial" w:cs="Arial"/>
          <w:color w:val="000000" w:themeColor="text1"/>
          <w:sz w:val="20"/>
          <w:szCs w:val="20"/>
          <w:shd w:val="clear" w:color="auto" w:fill="FFFFFF"/>
        </w:rPr>
        <w:t xml:space="preserve">, F. and Abramo, F. (2002). Primary cutaneous extragenital canine transmissible venereal </w:t>
      </w:r>
      <w:proofErr w:type="spellStart"/>
      <w:r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with Leishmania</w:t>
      </w:r>
      <w:r w:rsidRPr="006E0529">
        <w:rPr>
          <w:rFonts w:ascii="Cambria Math" w:hAnsi="Cambria Math" w:cs="Cambria Math"/>
          <w:color w:val="000000" w:themeColor="text1"/>
          <w:sz w:val="20"/>
          <w:szCs w:val="20"/>
          <w:shd w:val="clear" w:color="auto" w:fill="FFFFFF"/>
        </w:rPr>
        <w:t>‐</w:t>
      </w:r>
      <w:r w:rsidRPr="006E0529">
        <w:rPr>
          <w:rFonts w:ascii="Arial" w:hAnsi="Arial" w:cs="Arial"/>
          <w:color w:val="000000" w:themeColor="text1"/>
          <w:sz w:val="20"/>
          <w:szCs w:val="20"/>
          <w:shd w:val="clear" w:color="auto" w:fill="FFFFFF"/>
        </w:rPr>
        <w:t>laden neoplastic cells: a further suggestion of histiocytic origin? </w:t>
      </w:r>
      <w:r w:rsidRPr="006E0529">
        <w:rPr>
          <w:rFonts w:ascii="Arial" w:hAnsi="Arial" w:cs="Arial"/>
          <w:i/>
          <w:iCs/>
          <w:color w:val="000000" w:themeColor="text1"/>
          <w:sz w:val="20"/>
          <w:szCs w:val="20"/>
          <w:shd w:val="clear" w:color="auto" w:fill="FFFFFF"/>
        </w:rPr>
        <w:t>Veterinary Dermatology</w:t>
      </w:r>
      <w:r w:rsidR="006D1F60">
        <w:rPr>
          <w:rFonts w:ascii="Arial" w:hAnsi="Arial" w:cs="Arial"/>
          <w:color w:val="000000" w:themeColor="text1"/>
          <w:sz w:val="20"/>
          <w:szCs w:val="20"/>
          <w:shd w:val="clear" w:color="auto" w:fill="FFFFFF"/>
        </w:rPr>
        <w:t xml:space="preserve">. </w:t>
      </w:r>
      <w:r w:rsidRPr="006D1F60">
        <w:rPr>
          <w:rFonts w:ascii="Arial" w:hAnsi="Arial" w:cs="Arial"/>
          <w:b/>
          <w:i/>
          <w:iCs/>
          <w:color w:val="000000" w:themeColor="text1"/>
          <w:sz w:val="20"/>
          <w:szCs w:val="20"/>
          <w:shd w:val="clear" w:color="auto" w:fill="FFFFFF"/>
        </w:rPr>
        <w:t>13</w:t>
      </w:r>
      <w:r w:rsidR="006D1F60" w:rsidRPr="006D1F60">
        <w:rPr>
          <w:rFonts w:ascii="Arial" w:hAnsi="Arial" w:cs="Arial"/>
          <w:b/>
          <w:color w:val="000000" w:themeColor="text1"/>
          <w:sz w:val="20"/>
          <w:szCs w:val="20"/>
          <w:shd w:val="clear" w:color="auto" w:fill="FFFFFF"/>
        </w:rPr>
        <w:t>:</w:t>
      </w:r>
      <w:r w:rsidRPr="006E0529">
        <w:rPr>
          <w:rFonts w:ascii="Arial" w:hAnsi="Arial" w:cs="Arial"/>
          <w:color w:val="000000" w:themeColor="text1"/>
          <w:sz w:val="20"/>
          <w:szCs w:val="20"/>
          <w:shd w:val="clear" w:color="auto" w:fill="FFFFFF"/>
        </w:rPr>
        <w:t xml:space="preserve"> 243-246.</w:t>
      </w:r>
    </w:p>
    <w:p w14:paraId="0BCD008A" w14:textId="45F039ED"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shd w:val="clear" w:color="auto" w:fill="FFFFFF"/>
        </w:rPr>
      </w:pPr>
      <w:r w:rsidRPr="006E0529">
        <w:rPr>
          <w:rFonts w:ascii="Arial" w:hAnsi="Arial" w:cs="Arial"/>
          <w:color w:val="000000" w:themeColor="text1"/>
          <w:sz w:val="20"/>
          <w:szCs w:val="20"/>
          <w:shd w:val="clear" w:color="auto" w:fill="FFFFFF"/>
        </w:rPr>
        <w:t xml:space="preserve">Catone, G., Marino, G., </w:t>
      </w:r>
      <w:proofErr w:type="spellStart"/>
      <w:r w:rsidRPr="006E0529">
        <w:rPr>
          <w:rFonts w:ascii="Arial" w:hAnsi="Arial" w:cs="Arial"/>
          <w:color w:val="000000" w:themeColor="text1"/>
          <w:sz w:val="20"/>
          <w:szCs w:val="20"/>
          <w:shd w:val="clear" w:color="auto" w:fill="FFFFFF"/>
        </w:rPr>
        <w:t>Poglayen</w:t>
      </w:r>
      <w:proofErr w:type="spellEnd"/>
      <w:r w:rsidRPr="006E0529">
        <w:rPr>
          <w:rFonts w:ascii="Arial" w:hAnsi="Arial" w:cs="Arial"/>
          <w:color w:val="000000" w:themeColor="text1"/>
          <w:sz w:val="20"/>
          <w:szCs w:val="20"/>
          <w:shd w:val="clear" w:color="auto" w:fill="FFFFFF"/>
        </w:rPr>
        <w:t xml:space="preserve">, G., </w:t>
      </w:r>
      <w:proofErr w:type="spellStart"/>
      <w:r w:rsidRPr="006E0529">
        <w:rPr>
          <w:rFonts w:ascii="Arial" w:hAnsi="Arial" w:cs="Arial"/>
          <w:color w:val="000000" w:themeColor="text1"/>
          <w:sz w:val="20"/>
          <w:szCs w:val="20"/>
          <w:shd w:val="clear" w:color="auto" w:fill="FFFFFF"/>
        </w:rPr>
        <w:t>Gramiccia</w:t>
      </w:r>
      <w:proofErr w:type="spellEnd"/>
      <w:r w:rsidRPr="006E0529">
        <w:rPr>
          <w:rFonts w:ascii="Arial" w:hAnsi="Arial" w:cs="Arial"/>
          <w:color w:val="000000" w:themeColor="text1"/>
          <w:sz w:val="20"/>
          <w:szCs w:val="20"/>
          <w:shd w:val="clear" w:color="auto" w:fill="FFFFFF"/>
        </w:rPr>
        <w:t xml:space="preserve">, M., </w:t>
      </w:r>
      <w:proofErr w:type="spellStart"/>
      <w:r w:rsidRPr="006E0529">
        <w:rPr>
          <w:rFonts w:ascii="Arial" w:hAnsi="Arial" w:cs="Arial"/>
          <w:color w:val="000000" w:themeColor="text1"/>
          <w:sz w:val="20"/>
          <w:szCs w:val="20"/>
          <w:shd w:val="clear" w:color="auto" w:fill="FFFFFF"/>
        </w:rPr>
        <w:t>Ludovisi</w:t>
      </w:r>
      <w:proofErr w:type="spellEnd"/>
      <w:r w:rsidRPr="006E0529">
        <w:rPr>
          <w:rFonts w:ascii="Arial" w:hAnsi="Arial" w:cs="Arial"/>
          <w:color w:val="000000" w:themeColor="text1"/>
          <w:sz w:val="20"/>
          <w:szCs w:val="20"/>
          <w:shd w:val="clear" w:color="auto" w:fill="FFFFFF"/>
        </w:rPr>
        <w:t xml:space="preserve">, A. and Zanghi, A. (2003). Canine transmissible venereal </w:t>
      </w:r>
      <w:proofErr w:type="spellStart"/>
      <w:r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parasitized by Leishmania infantum. </w:t>
      </w:r>
      <w:r w:rsidRPr="006E0529">
        <w:rPr>
          <w:rFonts w:ascii="Arial" w:hAnsi="Arial" w:cs="Arial"/>
          <w:i/>
          <w:iCs/>
          <w:color w:val="000000" w:themeColor="text1"/>
          <w:sz w:val="20"/>
          <w:szCs w:val="20"/>
          <w:shd w:val="clear" w:color="auto" w:fill="FFFFFF"/>
        </w:rPr>
        <w:t>Veterinary research communications</w:t>
      </w:r>
      <w:r w:rsidR="006D1F60">
        <w:rPr>
          <w:rFonts w:ascii="Arial" w:hAnsi="Arial" w:cs="Arial"/>
          <w:color w:val="000000" w:themeColor="text1"/>
          <w:sz w:val="20"/>
          <w:szCs w:val="20"/>
          <w:shd w:val="clear" w:color="auto" w:fill="FFFFFF"/>
        </w:rPr>
        <w:t>.</w:t>
      </w:r>
      <w:r w:rsidRPr="006E0529">
        <w:rPr>
          <w:rFonts w:ascii="Arial" w:hAnsi="Arial" w:cs="Arial"/>
          <w:color w:val="000000" w:themeColor="text1"/>
          <w:sz w:val="20"/>
          <w:szCs w:val="20"/>
          <w:shd w:val="clear" w:color="auto" w:fill="FFFFFF"/>
        </w:rPr>
        <w:t> </w:t>
      </w:r>
      <w:r w:rsidRPr="006D1F60">
        <w:rPr>
          <w:rFonts w:ascii="Arial" w:hAnsi="Arial" w:cs="Arial"/>
          <w:b/>
          <w:i/>
          <w:iCs/>
          <w:color w:val="000000" w:themeColor="text1"/>
          <w:sz w:val="20"/>
          <w:szCs w:val="20"/>
          <w:shd w:val="clear" w:color="auto" w:fill="FFFFFF"/>
        </w:rPr>
        <w:t>27</w:t>
      </w:r>
      <w:r w:rsidR="006D1F60" w:rsidRPr="006D1F60">
        <w:rPr>
          <w:rFonts w:ascii="Arial" w:hAnsi="Arial" w:cs="Arial"/>
          <w:b/>
          <w:color w:val="000000" w:themeColor="text1"/>
          <w:sz w:val="20"/>
          <w:szCs w:val="20"/>
          <w:shd w:val="clear" w:color="auto" w:fill="FFFFFF"/>
        </w:rPr>
        <w:t>:</w:t>
      </w:r>
      <w:r w:rsidR="006D1F60">
        <w:rPr>
          <w:rFonts w:ascii="Arial" w:hAnsi="Arial" w:cs="Arial"/>
          <w:color w:val="000000" w:themeColor="text1"/>
          <w:sz w:val="20"/>
          <w:szCs w:val="20"/>
          <w:shd w:val="clear" w:color="auto" w:fill="FFFFFF"/>
        </w:rPr>
        <w:t xml:space="preserve"> </w:t>
      </w:r>
      <w:r w:rsidRPr="006E0529">
        <w:rPr>
          <w:rFonts w:ascii="Arial" w:hAnsi="Arial" w:cs="Arial"/>
          <w:color w:val="000000" w:themeColor="text1"/>
          <w:sz w:val="20"/>
          <w:szCs w:val="20"/>
          <w:shd w:val="clear" w:color="auto" w:fill="FFFFFF"/>
        </w:rPr>
        <w:t>549-553.</w:t>
      </w:r>
    </w:p>
    <w:p w14:paraId="529A692D"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Ujvari, B., Roche, B. and </w:t>
      </w:r>
      <w:proofErr w:type="spellStart"/>
      <w:r w:rsidRPr="006E0529">
        <w:rPr>
          <w:rFonts w:ascii="Arial" w:hAnsi="Arial" w:cs="Arial"/>
          <w:color w:val="000000" w:themeColor="text1"/>
          <w:sz w:val="20"/>
          <w:szCs w:val="20"/>
        </w:rPr>
        <w:t>Fredeeric</w:t>
      </w:r>
      <w:proofErr w:type="spellEnd"/>
      <w:r w:rsidRPr="006E0529">
        <w:rPr>
          <w:rFonts w:ascii="Arial" w:hAnsi="Arial" w:cs="Arial"/>
          <w:color w:val="000000" w:themeColor="text1"/>
          <w:sz w:val="20"/>
          <w:szCs w:val="20"/>
        </w:rPr>
        <w:t>, T. (2017). Ecology and evolution of cancer. 1</w:t>
      </w:r>
      <w:r w:rsidRPr="006E0529">
        <w:rPr>
          <w:rFonts w:ascii="Arial" w:hAnsi="Arial" w:cs="Arial"/>
          <w:color w:val="000000" w:themeColor="text1"/>
          <w:sz w:val="20"/>
          <w:szCs w:val="20"/>
          <w:vertAlign w:val="superscript"/>
        </w:rPr>
        <w:t>st</w:t>
      </w:r>
      <w:r w:rsidRPr="006E0529">
        <w:rPr>
          <w:rFonts w:ascii="Arial" w:hAnsi="Arial" w:cs="Arial"/>
          <w:color w:val="000000" w:themeColor="text1"/>
          <w:sz w:val="20"/>
          <w:szCs w:val="20"/>
        </w:rPr>
        <w:t xml:space="preserve"> </w:t>
      </w:r>
      <w:proofErr w:type="spellStart"/>
      <w:r w:rsidRPr="006E0529">
        <w:rPr>
          <w:rFonts w:ascii="Arial" w:hAnsi="Arial" w:cs="Arial"/>
          <w:color w:val="000000" w:themeColor="text1"/>
          <w:sz w:val="20"/>
          <w:szCs w:val="20"/>
        </w:rPr>
        <w:t>edn</w:t>
      </w:r>
      <w:proofErr w:type="spellEnd"/>
      <w:r w:rsidRPr="006E0529">
        <w:rPr>
          <w:rFonts w:ascii="Arial" w:hAnsi="Arial" w:cs="Arial"/>
          <w:color w:val="000000" w:themeColor="text1"/>
          <w:sz w:val="20"/>
          <w:szCs w:val="20"/>
        </w:rPr>
        <w:t>., Academic Press, Elsevier, London, 167-179.</w:t>
      </w:r>
    </w:p>
    <w:p w14:paraId="08C1C249"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D1704F">
        <w:rPr>
          <w:rFonts w:ascii="Arial" w:hAnsi="Arial" w:cs="Arial"/>
          <w:color w:val="000000" w:themeColor="text1"/>
          <w:sz w:val="20"/>
          <w:szCs w:val="20"/>
          <w:lang w:val="de-DE"/>
        </w:rPr>
        <w:t xml:space="preserve">Das, U. and Das, A.K. (2000). </w:t>
      </w:r>
      <w:r w:rsidRPr="006E0529">
        <w:rPr>
          <w:rFonts w:ascii="Arial" w:hAnsi="Arial" w:cs="Arial"/>
          <w:color w:val="000000" w:themeColor="text1"/>
          <w:sz w:val="20"/>
          <w:szCs w:val="20"/>
        </w:rPr>
        <w:t xml:space="preserve">Review of canine transmissible venereal sarcoma. </w:t>
      </w:r>
      <w:r w:rsidRPr="006E0529">
        <w:rPr>
          <w:rFonts w:ascii="Arial" w:hAnsi="Arial" w:cs="Arial"/>
          <w:i/>
          <w:iCs/>
          <w:color w:val="000000" w:themeColor="text1"/>
          <w:sz w:val="20"/>
          <w:szCs w:val="20"/>
        </w:rPr>
        <w:t>Vet. Res. Commun</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24</w:t>
      </w:r>
      <w:r w:rsidRPr="006E0529">
        <w:rPr>
          <w:rFonts w:ascii="Arial" w:hAnsi="Arial" w:cs="Arial"/>
          <w:color w:val="000000" w:themeColor="text1"/>
          <w:sz w:val="20"/>
          <w:szCs w:val="20"/>
        </w:rPr>
        <w:t>: 545–556.</w:t>
      </w:r>
    </w:p>
    <w:p w14:paraId="0C472352"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Ganguly, B., Das, U. and Das, A.K. (2016).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a review. </w:t>
      </w:r>
      <w:r w:rsidRPr="006E0529">
        <w:rPr>
          <w:rFonts w:ascii="Arial" w:hAnsi="Arial" w:cs="Arial"/>
          <w:i/>
          <w:iCs/>
          <w:color w:val="000000" w:themeColor="text1"/>
          <w:sz w:val="20"/>
          <w:szCs w:val="20"/>
        </w:rPr>
        <w:t>Vet. Comp. Oncol.,</w:t>
      </w:r>
      <w:r w:rsidRPr="006E0529">
        <w:rPr>
          <w:rFonts w:ascii="Arial" w:hAnsi="Arial" w:cs="Arial"/>
          <w:color w:val="000000" w:themeColor="text1"/>
          <w:sz w:val="20"/>
          <w:szCs w:val="20"/>
        </w:rPr>
        <w:t xml:space="preserve"> 14: 1-12.</w:t>
      </w:r>
    </w:p>
    <w:p w14:paraId="2022A821"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Yang, T.J. (1988). Immunobiology of a spontaneously regressive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The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w:t>
      </w:r>
      <w:r w:rsidRPr="006E0529">
        <w:rPr>
          <w:rFonts w:ascii="Arial" w:hAnsi="Arial" w:cs="Arial"/>
          <w:i/>
          <w:iCs/>
          <w:color w:val="000000" w:themeColor="text1"/>
          <w:sz w:val="20"/>
          <w:szCs w:val="20"/>
        </w:rPr>
        <w:t>Anticancer Res</w:t>
      </w:r>
      <w:r w:rsidRPr="006E0529">
        <w:rPr>
          <w:rFonts w:ascii="Arial" w:hAnsi="Arial" w:cs="Arial"/>
          <w:color w:val="000000" w:themeColor="text1"/>
          <w:sz w:val="20"/>
          <w:szCs w:val="20"/>
        </w:rPr>
        <w:t>. 83-89.</w:t>
      </w:r>
    </w:p>
    <w:p w14:paraId="6C98BB53"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proofErr w:type="spellStart"/>
      <w:r w:rsidRPr="006E0529">
        <w:rPr>
          <w:rFonts w:ascii="Arial" w:hAnsi="Arial" w:cs="Arial"/>
          <w:color w:val="000000" w:themeColor="text1"/>
          <w:sz w:val="20"/>
          <w:szCs w:val="20"/>
        </w:rPr>
        <w:lastRenderedPageBreak/>
        <w:t>Strakova</w:t>
      </w:r>
      <w:proofErr w:type="spellEnd"/>
      <w:r w:rsidRPr="006E0529">
        <w:rPr>
          <w:rFonts w:ascii="Arial" w:hAnsi="Arial" w:cs="Arial"/>
          <w:color w:val="000000" w:themeColor="text1"/>
          <w:sz w:val="20"/>
          <w:szCs w:val="20"/>
        </w:rPr>
        <w:t xml:space="preserve">, A. and Murchison, E.P. (2014). The changing global distribution and prevalence of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w:t>
      </w:r>
      <w:r w:rsidRPr="006E0529">
        <w:rPr>
          <w:rFonts w:ascii="Arial" w:hAnsi="Arial" w:cs="Arial"/>
          <w:i/>
          <w:iCs/>
          <w:color w:val="000000" w:themeColor="text1"/>
          <w:sz w:val="20"/>
          <w:szCs w:val="20"/>
        </w:rPr>
        <w:t>BMC Vet. Res</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10</w:t>
      </w:r>
      <w:r w:rsidRPr="006E0529">
        <w:rPr>
          <w:rFonts w:ascii="Arial" w:hAnsi="Arial" w:cs="Arial"/>
          <w:color w:val="000000" w:themeColor="text1"/>
          <w:sz w:val="20"/>
          <w:szCs w:val="20"/>
        </w:rPr>
        <w:t>:168.</w:t>
      </w:r>
    </w:p>
    <w:p w14:paraId="3A5747FA" w14:textId="60714BBC"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shd w:val="clear" w:color="auto" w:fill="FFFFFF"/>
        </w:rPr>
        <w:t xml:space="preserve">Marcos, R., Santos, M., </w:t>
      </w:r>
      <w:proofErr w:type="spellStart"/>
      <w:r w:rsidRPr="006E0529">
        <w:rPr>
          <w:rFonts w:ascii="Arial" w:hAnsi="Arial" w:cs="Arial"/>
          <w:color w:val="000000" w:themeColor="text1"/>
          <w:sz w:val="20"/>
          <w:szCs w:val="20"/>
          <w:shd w:val="clear" w:color="auto" w:fill="FFFFFF"/>
        </w:rPr>
        <w:t>Marrinhas</w:t>
      </w:r>
      <w:proofErr w:type="spellEnd"/>
      <w:r w:rsidRPr="006E0529">
        <w:rPr>
          <w:rFonts w:ascii="Arial" w:hAnsi="Arial" w:cs="Arial"/>
          <w:color w:val="000000" w:themeColor="text1"/>
          <w:sz w:val="20"/>
          <w:szCs w:val="20"/>
          <w:shd w:val="clear" w:color="auto" w:fill="FFFFFF"/>
        </w:rPr>
        <w:t xml:space="preserve">, C., &amp; Rocha, E. (2006). Cutaneous transmissible venereal </w:t>
      </w:r>
      <w:proofErr w:type="spellStart"/>
      <w:r w:rsidR="007B3F95"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without genital involvement in a prepubertal female dog. </w:t>
      </w:r>
      <w:r w:rsidRPr="006E0529">
        <w:rPr>
          <w:rFonts w:ascii="Arial" w:hAnsi="Arial" w:cs="Arial"/>
          <w:i/>
          <w:iCs/>
          <w:color w:val="000000" w:themeColor="text1"/>
          <w:sz w:val="20"/>
          <w:szCs w:val="20"/>
          <w:shd w:val="clear" w:color="auto" w:fill="FFFFFF"/>
        </w:rPr>
        <w:t>Veterinary clinical pathology</w:t>
      </w:r>
      <w:r w:rsidRPr="006E0529">
        <w:rPr>
          <w:rFonts w:ascii="Arial" w:hAnsi="Arial" w:cs="Arial"/>
          <w:color w:val="000000" w:themeColor="text1"/>
          <w:sz w:val="20"/>
          <w:szCs w:val="20"/>
          <w:shd w:val="clear" w:color="auto" w:fill="FFFFFF"/>
        </w:rPr>
        <w:t>, </w:t>
      </w:r>
      <w:r w:rsidRPr="006E0529">
        <w:rPr>
          <w:rFonts w:ascii="Arial" w:hAnsi="Arial" w:cs="Arial"/>
          <w:i/>
          <w:iCs/>
          <w:color w:val="000000" w:themeColor="text1"/>
          <w:sz w:val="20"/>
          <w:szCs w:val="20"/>
          <w:shd w:val="clear" w:color="auto" w:fill="FFFFFF"/>
        </w:rPr>
        <w:t>35</w:t>
      </w:r>
      <w:r w:rsidRPr="006E0529">
        <w:rPr>
          <w:rFonts w:ascii="Arial" w:hAnsi="Arial" w:cs="Arial"/>
          <w:color w:val="000000" w:themeColor="text1"/>
          <w:sz w:val="20"/>
          <w:szCs w:val="20"/>
          <w:shd w:val="clear" w:color="auto" w:fill="FFFFFF"/>
        </w:rPr>
        <w:t>(1), 106-109.</w:t>
      </w:r>
    </w:p>
    <w:p w14:paraId="41712028"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proofErr w:type="spellStart"/>
      <w:r w:rsidRPr="006E0529">
        <w:rPr>
          <w:rFonts w:ascii="Arial" w:hAnsi="Arial" w:cs="Arial"/>
          <w:color w:val="000000" w:themeColor="text1"/>
          <w:sz w:val="20"/>
          <w:szCs w:val="20"/>
        </w:rPr>
        <w:t>Rebbeck</w:t>
      </w:r>
      <w:proofErr w:type="spellEnd"/>
      <w:r w:rsidRPr="006E0529">
        <w:rPr>
          <w:rFonts w:ascii="Arial" w:hAnsi="Arial" w:cs="Arial"/>
          <w:color w:val="000000" w:themeColor="text1"/>
          <w:sz w:val="20"/>
          <w:szCs w:val="20"/>
        </w:rPr>
        <w:t xml:space="preserve">, C.A., Thomas, R., Breen, M., Leroi, A.M. and Burt, A. (2009). Origins and evolution of a transmissible cancer. </w:t>
      </w:r>
      <w:proofErr w:type="spellStart"/>
      <w:r w:rsidRPr="006E0529">
        <w:rPr>
          <w:rFonts w:ascii="Arial" w:hAnsi="Arial" w:cs="Arial"/>
          <w:i/>
          <w:iCs/>
          <w:color w:val="000000" w:themeColor="text1"/>
          <w:sz w:val="20"/>
          <w:szCs w:val="20"/>
        </w:rPr>
        <w:t>Evol</w:t>
      </w:r>
      <w:proofErr w:type="spellEnd"/>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63</w:t>
      </w:r>
      <w:r w:rsidRPr="006E0529">
        <w:rPr>
          <w:rFonts w:ascii="Arial" w:hAnsi="Arial" w:cs="Arial"/>
          <w:color w:val="000000" w:themeColor="text1"/>
          <w:sz w:val="20"/>
          <w:szCs w:val="20"/>
        </w:rPr>
        <w:t>: 2340–2349.</w:t>
      </w:r>
    </w:p>
    <w:p w14:paraId="2BEB6C4F" w14:textId="659985BC"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shd w:val="clear" w:color="auto" w:fill="FFFFFF"/>
        </w:rPr>
      </w:pPr>
      <w:proofErr w:type="spellStart"/>
      <w:r w:rsidRPr="006E0529">
        <w:rPr>
          <w:rFonts w:ascii="Arial" w:hAnsi="Arial" w:cs="Arial"/>
          <w:color w:val="000000" w:themeColor="text1"/>
          <w:sz w:val="20"/>
          <w:szCs w:val="20"/>
          <w:shd w:val="clear" w:color="auto" w:fill="FFFFFF"/>
        </w:rPr>
        <w:t>Kimeto</w:t>
      </w:r>
      <w:proofErr w:type="spellEnd"/>
      <w:r w:rsidRPr="006E0529">
        <w:rPr>
          <w:rFonts w:ascii="Arial" w:hAnsi="Arial" w:cs="Arial"/>
          <w:color w:val="000000" w:themeColor="text1"/>
          <w:sz w:val="20"/>
          <w:szCs w:val="20"/>
          <w:shd w:val="clear" w:color="auto" w:fill="FFFFFF"/>
        </w:rPr>
        <w:t xml:space="preserve">, B., &amp; Mugera, G. M. (1974). Transmissible </w:t>
      </w:r>
      <w:proofErr w:type="spellStart"/>
      <w:r w:rsidRPr="006E0529">
        <w:rPr>
          <w:rFonts w:ascii="Arial" w:hAnsi="Arial" w:cs="Arial"/>
          <w:color w:val="000000" w:themeColor="text1"/>
          <w:sz w:val="20"/>
          <w:szCs w:val="20"/>
          <w:shd w:val="clear" w:color="auto" w:fill="FFFFFF"/>
        </w:rPr>
        <w:t>veneral</w:t>
      </w:r>
      <w:proofErr w:type="spellEnd"/>
      <w:r w:rsidRPr="006E0529">
        <w:rPr>
          <w:rFonts w:ascii="Arial" w:hAnsi="Arial" w:cs="Arial"/>
          <w:color w:val="000000" w:themeColor="text1"/>
          <w:sz w:val="20"/>
          <w:szCs w:val="20"/>
          <w:shd w:val="clear" w:color="auto" w:fill="FFFFFF"/>
        </w:rPr>
        <w:t xml:space="preserve"> </w:t>
      </w:r>
      <w:proofErr w:type="spellStart"/>
      <w:r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of dog in Kenya. </w:t>
      </w:r>
      <w:r w:rsidRPr="006E0529">
        <w:rPr>
          <w:rFonts w:ascii="Arial" w:hAnsi="Arial" w:cs="Arial"/>
          <w:i/>
          <w:iCs/>
          <w:color w:val="000000" w:themeColor="text1"/>
          <w:sz w:val="20"/>
          <w:szCs w:val="20"/>
          <w:shd w:val="clear" w:color="auto" w:fill="FFFFFF"/>
        </w:rPr>
        <w:t xml:space="preserve">Bulletin of epizootic diseases of Africa. Bulletin des epizooties </w:t>
      </w:r>
      <w:proofErr w:type="spellStart"/>
      <w:r w:rsidRPr="006E0529">
        <w:rPr>
          <w:rFonts w:ascii="Arial" w:hAnsi="Arial" w:cs="Arial"/>
          <w:i/>
          <w:iCs/>
          <w:color w:val="000000" w:themeColor="text1"/>
          <w:sz w:val="20"/>
          <w:szCs w:val="20"/>
          <w:shd w:val="clear" w:color="auto" w:fill="FFFFFF"/>
        </w:rPr>
        <w:t>en</w:t>
      </w:r>
      <w:proofErr w:type="spellEnd"/>
      <w:r w:rsidRPr="006E0529">
        <w:rPr>
          <w:rFonts w:ascii="Arial" w:hAnsi="Arial" w:cs="Arial"/>
          <w:i/>
          <w:iCs/>
          <w:color w:val="000000" w:themeColor="text1"/>
          <w:sz w:val="20"/>
          <w:szCs w:val="20"/>
          <w:shd w:val="clear" w:color="auto" w:fill="FFFFFF"/>
        </w:rPr>
        <w:t xml:space="preserve"> Afrique</w:t>
      </w:r>
      <w:r w:rsidR="006D1F60">
        <w:rPr>
          <w:rFonts w:ascii="Arial" w:hAnsi="Arial" w:cs="Arial"/>
          <w:color w:val="000000" w:themeColor="text1"/>
          <w:sz w:val="20"/>
          <w:szCs w:val="20"/>
          <w:shd w:val="clear" w:color="auto" w:fill="FFFFFF"/>
        </w:rPr>
        <w:t>.</w:t>
      </w:r>
      <w:r w:rsidRPr="006E0529">
        <w:rPr>
          <w:rFonts w:ascii="Arial" w:hAnsi="Arial" w:cs="Arial"/>
          <w:color w:val="000000" w:themeColor="text1"/>
          <w:sz w:val="20"/>
          <w:szCs w:val="20"/>
          <w:shd w:val="clear" w:color="auto" w:fill="FFFFFF"/>
        </w:rPr>
        <w:t> </w:t>
      </w:r>
      <w:r w:rsidRPr="006E0529">
        <w:rPr>
          <w:rFonts w:ascii="Arial" w:hAnsi="Arial" w:cs="Arial"/>
          <w:i/>
          <w:iCs/>
          <w:color w:val="000000" w:themeColor="text1"/>
          <w:sz w:val="20"/>
          <w:szCs w:val="20"/>
          <w:shd w:val="clear" w:color="auto" w:fill="FFFFFF"/>
        </w:rPr>
        <w:t>22</w:t>
      </w:r>
      <w:r w:rsidR="006D1F60">
        <w:rPr>
          <w:rFonts w:ascii="Arial" w:hAnsi="Arial" w:cs="Arial"/>
          <w:color w:val="000000" w:themeColor="text1"/>
          <w:sz w:val="20"/>
          <w:szCs w:val="20"/>
          <w:shd w:val="clear" w:color="auto" w:fill="FFFFFF"/>
        </w:rPr>
        <w:t xml:space="preserve">: </w:t>
      </w:r>
      <w:r w:rsidRPr="006E0529">
        <w:rPr>
          <w:rFonts w:ascii="Arial" w:hAnsi="Arial" w:cs="Arial"/>
          <w:color w:val="000000" w:themeColor="text1"/>
          <w:sz w:val="20"/>
          <w:szCs w:val="20"/>
          <w:shd w:val="clear" w:color="auto" w:fill="FFFFFF"/>
        </w:rPr>
        <w:t>327-329.</w:t>
      </w:r>
    </w:p>
    <w:p w14:paraId="01A6DB02" w14:textId="70858471" w:rsidR="00887DB6" w:rsidRPr="006E0529" w:rsidRDefault="00887DB6" w:rsidP="001A6C20">
      <w:pPr>
        <w:pStyle w:val="BodyText"/>
        <w:numPr>
          <w:ilvl w:val="0"/>
          <w:numId w:val="1"/>
        </w:numPr>
        <w:spacing w:line="360" w:lineRule="auto"/>
        <w:ind w:right="371"/>
        <w:jc w:val="both"/>
        <w:rPr>
          <w:rFonts w:ascii="Arial" w:hAnsi="Arial" w:cs="Arial"/>
          <w:color w:val="222222"/>
          <w:sz w:val="20"/>
          <w:szCs w:val="20"/>
          <w:shd w:val="clear" w:color="auto" w:fill="FFFFFF"/>
        </w:rPr>
      </w:pPr>
      <w:r w:rsidRPr="006E0529">
        <w:rPr>
          <w:rFonts w:ascii="Arial" w:hAnsi="Arial" w:cs="Arial"/>
          <w:color w:val="222222"/>
          <w:sz w:val="20"/>
          <w:szCs w:val="20"/>
          <w:shd w:val="clear" w:color="auto" w:fill="FFFFFF"/>
        </w:rPr>
        <w:t xml:space="preserve">Eze, C. A., Anyanwu, H. C. and Kene, R. O. (2007). Review of canine transmissible venereal </w:t>
      </w:r>
      <w:proofErr w:type="spellStart"/>
      <w:r w:rsidRPr="006E0529">
        <w:rPr>
          <w:rFonts w:ascii="Arial" w:hAnsi="Arial" w:cs="Arial"/>
          <w:color w:val="222222"/>
          <w:sz w:val="20"/>
          <w:szCs w:val="20"/>
          <w:shd w:val="clear" w:color="auto" w:fill="FFFFFF"/>
        </w:rPr>
        <w:t>tumour</w:t>
      </w:r>
      <w:proofErr w:type="spellEnd"/>
      <w:r w:rsidRPr="006E0529">
        <w:rPr>
          <w:rFonts w:ascii="Arial" w:hAnsi="Arial" w:cs="Arial"/>
          <w:color w:val="222222"/>
          <w:sz w:val="20"/>
          <w:szCs w:val="20"/>
          <w:shd w:val="clear" w:color="auto" w:fill="FFFFFF"/>
        </w:rPr>
        <w:t xml:space="preserve"> (TVT) in dogs. </w:t>
      </w:r>
      <w:r w:rsidRPr="006E0529">
        <w:rPr>
          <w:rFonts w:ascii="Arial" w:hAnsi="Arial" w:cs="Arial"/>
          <w:i/>
          <w:iCs/>
          <w:color w:val="222222"/>
          <w:sz w:val="20"/>
          <w:szCs w:val="20"/>
          <w:shd w:val="clear" w:color="auto" w:fill="FFFFFF"/>
        </w:rPr>
        <w:t>Nige</w:t>
      </w:r>
      <w:r w:rsidR="006D1F60">
        <w:rPr>
          <w:rFonts w:ascii="Arial" w:hAnsi="Arial" w:cs="Arial"/>
          <w:i/>
          <w:iCs/>
          <w:color w:val="222222"/>
          <w:sz w:val="20"/>
          <w:szCs w:val="20"/>
          <w:shd w:val="clear" w:color="auto" w:fill="FFFFFF"/>
        </w:rPr>
        <w:t>r</w:t>
      </w:r>
      <w:r w:rsidRPr="006E0529">
        <w:rPr>
          <w:rFonts w:ascii="Arial" w:hAnsi="Arial" w:cs="Arial"/>
          <w:i/>
          <w:iCs/>
          <w:color w:val="222222"/>
          <w:sz w:val="20"/>
          <w:szCs w:val="20"/>
          <w:shd w:val="clear" w:color="auto" w:fill="FFFFFF"/>
        </w:rPr>
        <w:t xml:space="preserve"> Vet J</w:t>
      </w:r>
      <w:r w:rsidR="006D1F60">
        <w:rPr>
          <w:rFonts w:ascii="Arial" w:hAnsi="Arial" w:cs="Arial"/>
          <w:i/>
          <w:iCs/>
          <w:color w:val="222222"/>
          <w:sz w:val="20"/>
          <w:szCs w:val="20"/>
          <w:shd w:val="clear" w:color="auto" w:fill="FFFFFF"/>
        </w:rPr>
        <w:t>.</w:t>
      </w:r>
      <w:r w:rsidRPr="006E0529">
        <w:rPr>
          <w:rFonts w:ascii="Arial" w:hAnsi="Arial" w:cs="Arial"/>
          <w:color w:val="222222"/>
          <w:sz w:val="20"/>
          <w:szCs w:val="20"/>
          <w:shd w:val="clear" w:color="auto" w:fill="FFFFFF"/>
        </w:rPr>
        <w:t> </w:t>
      </w:r>
      <w:r w:rsidRPr="006D1F60">
        <w:rPr>
          <w:rFonts w:ascii="Arial" w:hAnsi="Arial" w:cs="Arial"/>
          <w:b/>
          <w:i/>
          <w:iCs/>
          <w:color w:val="222222"/>
          <w:sz w:val="20"/>
          <w:szCs w:val="20"/>
          <w:shd w:val="clear" w:color="auto" w:fill="FFFFFF"/>
        </w:rPr>
        <w:t>28</w:t>
      </w:r>
      <w:r w:rsidR="006D1F60" w:rsidRPr="006D1F60">
        <w:rPr>
          <w:rFonts w:ascii="Arial" w:hAnsi="Arial" w:cs="Arial"/>
          <w:b/>
          <w:color w:val="222222"/>
          <w:sz w:val="20"/>
          <w:szCs w:val="20"/>
          <w:shd w:val="clear" w:color="auto" w:fill="FFFFFF"/>
        </w:rPr>
        <w:t>:</w:t>
      </w:r>
      <w:r w:rsidRPr="006E0529">
        <w:rPr>
          <w:rFonts w:ascii="Arial" w:hAnsi="Arial" w:cs="Arial"/>
          <w:color w:val="222222"/>
          <w:sz w:val="20"/>
          <w:szCs w:val="20"/>
          <w:shd w:val="clear" w:color="auto" w:fill="FFFFFF"/>
        </w:rPr>
        <w:t xml:space="preserve"> 54-70.</w:t>
      </w:r>
    </w:p>
    <w:p w14:paraId="792C9A10"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Brown, N.O., Calvert, C. and </w:t>
      </w:r>
      <w:proofErr w:type="spellStart"/>
      <w:r w:rsidRPr="006E0529">
        <w:rPr>
          <w:rFonts w:ascii="Arial" w:hAnsi="Arial" w:cs="Arial"/>
          <w:bCs/>
          <w:color w:val="000000" w:themeColor="text1"/>
          <w:sz w:val="20"/>
          <w:szCs w:val="20"/>
        </w:rPr>
        <w:t>Macewen</w:t>
      </w:r>
      <w:proofErr w:type="spellEnd"/>
      <w:r w:rsidRPr="006E0529">
        <w:rPr>
          <w:rFonts w:ascii="Arial" w:hAnsi="Arial" w:cs="Arial"/>
          <w:bCs/>
          <w:color w:val="000000" w:themeColor="text1"/>
          <w:sz w:val="20"/>
          <w:szCs w:val="20"/>
        </w:rPr>
        <w:t xml:space="preserve">, E. G. (1980). Chemotherapeutic management of transmissible venereal </w:t>
      </w:r>
      <w:proofErr w:type="spellStart"/>
      <w:r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xml:space="preserve"> in 3 dogs. J. Am. Med. Assoc. 176: 983-986.</w:t>
      </w:r>
    </w:p>
    <w:p w14:paraId="3F1F5CD0"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shd w:val="clear" w:color="auto" w:fill="FFFFFF"/>
        </w:rPr>
      </w:pPr>
      <w:proofErr w:type="spellStart"/>
      <w:r w:rsidRPr="006E0529">
        <w:rPr>
          <w:rFonts w:ascii="Arial" w:hAnsi="Arial" w:cs="Arial"/>
          <w:color w:val="000000" w:themeColor="text1"/>
          <w:sz w:val="20"/>
          <w:szCs w:val="20"/>
          <w:shd w:val="clear" w:color="auto" w:fill="FFFFFF"/>
        </w:rPr>
        <w:t>Betamuzi</w:t>
      </w:r>
      <w:proofErr w:type="spellEnd"/>
      <w:r w:rsidRPr="006E0529">
        <w:rPr>
          <w:rFonts w:ascii="Arial" w:hAnsi="Arial" w:cs="Arial"/>
          <w:color w:val="000000" w:themeColor="text1"/>
          <w:sz w:val="20"/>
          <w:szCs w:val="20"/>
          <w:shd w:val="clear" w:color="auto" w:fill="FFFFFF"/>
        </w:rPr>
        <w:t>, E. K. (1992). Risk factors associated with canine TVT in Tanzania. </w:t>
      </w:r>
      <w:r w:rsidRPr="006E0529">
        <w:rPr>
          <w:rFonts w:ascii="Arial" w:hAnsi="Arial" w:cs="Arial"/>
          <w:i/>
          <w:iCs/>
          <w:color w:val="000000" w:themeColor="text1"/>
          <w:sz w:val="20"/>
          <w:szCs w:val="20"/>
          <w:shd w:val="clear" w:color="auto" w:fill="FFFFFF"/>
        </w:rPr>
        <w:t>Prevent Vet Med</w:t>
      </w:r>
      <w:r w:rsidRPr="006E0529">
        <w:rPr>
          <w:rFonts w:ascii="Arial" w:hAnsi="Arial" w:cs="Arial"/>
          <w:color w:val="000000" w:themeColor="text1"/>
          <w:sz w:val="20"/>
          <w:szCs w:val="20"/>
          <w:shd w:val="clear" w:color="auto" w:fill="FFFFFF"/>
        </w:rPr>
        <w:t>. 13: 13-17.</w:t>
      </w:r>
    </w:p>
    <w:p w14:paraId="31386677" w14:textId="645248D0"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Liao, K. W., Lin, Z. Y., Pao, H. N., Kam, S. Y., Wang, F. I. and Chu, R. M. (2003). Identification of canine transmissible venereal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cells using in situ polymerase chain reaction and the stable sequence of the long interspersed nuclear element. J</w:t>
      </w:r>
      <w:r w:rsidRPr="006E0529">
        <w:rPr>
          <w:rFonts w:ascii="Arial" w:hAnsi="Arial" w:cs="Arial"/>
          <w:i/>
          <w:iCs/>
          <w:color w:val="000000" w:themeColor="text1"/>
          <w:sz w:val="20"/>
          <w:szCs w:val="20"/>
        </w:rPr>
        <w:t>. Vet. Diagn. Invest.</w:t>
      </w:r>
      <w:r w:rsidRPr="006E0529">
        <w:rPr>
          <w:rFonts w:ascii="Arial" w:hAnsi="Arial" w:cs="Arial"/>
          <w:color w:val="000000" w:themeColor="text1"/>
          <w:sz w:val="20"/>
          <w:szCs w:val="20"/>
        </w:rPr>
        <w:t xml:space="preserve"> 15: 399–406.</w:t>
      </w:r>
    </w:p>
    <w:p w14:paraId="5BBFA0F8" w14:textId="5C8852A1"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Hsiao, Y., Liao, K., Hung, S. and Chu, R. (2004).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infiltrating lymphocyte secretion of IL-6 antagonizes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-derived TGF-beta 1 and restores the lymphokine-activated killing activity. </w:t>
      </w:r>
      <w:r w:rsidRPr="006E0529">
        <w:rPr>
          <w:rFonts w:ascii="Arial" w:hAnsi="Arial" w:cs="Arial"/>
          <w:i/>
          <w:iCs/>
          <w:color w:val="000000" w:themeColor="text1"/>
          <w:sz w:val="20"/>
          <w:szCs w:val="20"/>
        </w:rPr>
        <w:t>J. Immunol</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172</w:t>
      </w:r>
      <w:r w:rsidRPr="006E0529">
        <w:rPr>
          <w:rFonts w:ascii="Arial" w:hAnsi="Arial" w:cs="Arial"/>
          <w:color w:val="000000" w:themeColor="text1"/>
          <w:sz w:val="20"/>
          <w:szCs w:val="20"/>
        </w:rPr>
        <w:t>(3): 1508-1514.</w:t>
      </w:r>
    </w:p>
    <w:p w14:paraId="618F3DB5" w14:textId="335C60E9"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Liu, C., Wang, Y., Lin, C., Chuang, T. and Liao, K. (2008). Transient down regulate on of monocyte-derived dendritic cell differentiation, function, and survival during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progression and regression in an in vivo canine model of transmissible venereal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w:t>
      </w:r>
      <w:r w:rsidRPr="006E0529">
        <w:rPr>
          <w:rFonts w:ascii="Arial" w:hAnsi="Arial" w:cs="Arial"/>
          <w:i/>
          <w:iCs/>
          <w:color w:val="000000" w:themeColor="text1"/>
          <w:sz w:val="20"/>
          <w:szCs w:val="20"/>
        </w:rPr>
        <w:t>Cancer Immunol.Immunother</w:t>
      </w:r>
      <w:r w:rsidRPr="006E0529">
        <w:rPr>
          <w:rFonts w:ascii="Arial" w:hAnsi="Arial" w:cs="Arial"/>
          <w:color w:val="000000" w:themeColor="text1"/>
          <w:sz w:val="20"/>
          <w:szCs w:val="20"/>
        </w:rPr>
        <w:t>.,</w:t>
      </w:r>
      <w:r w:rsidRPr="006E0529">
        <w:rPr>
          <w:rFonts w:ascii="Arial" w:hAnsi="Arial" w:cs="Arial"/>
          <w:b/>
          <w:bCs/>
          <w:color w:val="000000" w:themeColor="text1"/>
          <w:sz w:val="20"/>
          <w:szCs w:val="20"/>
        </w:rPr>
        <w:t>57</w:t>
      </w:r>
      <w:r w:rsidRPr="006E0529">
        <w:rPr>
          <w:rFonts w:ascii="Arial" w:hAnsi="Arial" w:cs="Arial"/>
          <w:color w:val="000000" w:themeColor="text1"/>
          <w:sz w:val="20"/>
          <w:szCs w:val="20"/>
        </w:rPr>
        <w:t>(4): 479-491.</w:t>
      </w:r>
    </w:p>
    <w:p w14:paraId="4F3F2D02"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Stratton, M.R., Campbell, P.J. and </w:t>
      </w:r>
      <w:proofErr w:type="spellStart"/>
      <w:r w:rsidRPr="006E0529">
        <w:rPr>
          <w:rFonts w:ascii="Arial" w:hAnsi="Arial" w:cs="Arial"/>
          <w:color w:val="000000" w:themeColor="text1"/>
          <w:sz w:val="20"/>
          <w:szCs w:val="20"/>
        </w:rPr>
        <w:t>Futreal</w:t>
      </w:r>
      <w:proofErr w:type="spellEnd"/>
      <w:r w:rsidRPr="006E0529">
        <w:rPr>
          <w:rFonts w:ascii="Arial" w:hAnsi="Arial" w:cs="Arial"/>
          <w:color w:val="000000" w:themeColor="text1"/>
          <w:sz w:val="20"/>
          <w:szCs w:val="20"/>
        </w:rPr>
        <w:t xml:space="preserve">, P.A. (2009). The cancer genome. </w:t>
      </w:r>
      <w:r w:rsidRPr="006E0529">
        <w:rPr>
          <w:rFonts w:ascii="Arial" w:hAnsi="Arial" w:cs="Arial"/>
          <w:i/>
          <w:iCs/>
          <w:color w:val="000000" w:themeColor="text1"/>
          <w:sz w:val="20"/>
          <w:szCs w:val="20"/>
        </w:rPr>
        <w:t xml:space="preserve">Nature., </w:t>
      </w:r>
      <w:r w:rsidRPr="006E0529">
        <w:rPr>
          <w:rFonts w:ascii="Arial" w:hAnsi="Arial" w:cs="Arial"/>
          <w:b/>
          <w:bCs/>
          <w:color w:val="000000" w:themeColor="text1"/>
          <w:sz w:val="20"/>
          <w:szCs w:val="20"/>
        </w:rPr>
        <w:t>458</w:t>
      </w:r>
      <w:r w:rsidRPr="006E0529">
        <w:rPr>
          <w:rFonts w:ascii="Arial" w:hAnsi="Arial" w:cs="Arial"/>
          <w:color w:val="000000" w:themeColor="text1"/>
          <w:sz w:val="20"/>
          <w:szCs w:val="20"/>
        </w:rPr>
        <w:t>:719-724.</w:t>
      </w:r>
    </w:p>
    <w:p w14:paraId="21C91E1E" w14:textId="3713488E" w:rsidR="00D25F5F" w:rsidRPr="00802BC8" w:rsidRDefault="00887DB6" w:rsidP="001A6C20">
      <w:pPr>
        <w:pStyle w:val="BodyText"/>
        <w:numPr>
          <w:ilvl w:val="0"/>
          <w:numId w:val="1"/>
        </w:numPr>
        <w:spacing w:line="360" w:lineRule="auto"/>
        <w:ind w:right="371"/>
        <w:jc w:val="both"/>
        <w:rPr>
          <w:rFonts w:ascii="Arial" w:hAnsi="Arial" w:cs="Arial"/>
          <w:color w:val="222222"/>
          <w:sz w:val="20"/>
          <w:szCs w:val="20"/>
          <w:shd w:val="clear" w:color="auto" w:fill="FFFFFF"/>
        </w:rPr>
      </w:pPr>
      <w:r w:rsidRPr="00D1704F">
        <w:rPr>
          <w:rFonts w:ascii="Arial" w:hAnsi="Arial" w:cs="Arial"/>
          <w:color w:val="222222"/>
          <w:sz w:val="20"/>
          <w:szCs w:val="20"/>
          <w:shd w:val="clear" w:color="auto" w:fill="FFFFFF"/>
          <w:lang w:val="de-DE"/>
        </w:rPr>
        <w:t xml:space="preserve">Ju, Y. S., Alexandrov, L. B., Gerstung, M., Martincorena, I., Nik-Zainal, S., Ramakrishna, M., Davies, H. R et al, (2014). </w:t>
      </w:r>
      <w:r w:rsidRPr="006E0529">
        <w:rPr>
          <w:rFonts w:ascii="Arial" w:hAnsi="Arial" w:cs="Arial"/>
          <w:color w:val="222222"/>
          <w:sz w:val="20"/>
          <w:szCs w:val="20"/>
          <w:shd w:val="clear" w:color="auto" w:fill="FFFFFF"/>
        </w:rPr>
        <w:t>Origins and functional consequences of somatic mitochondrial DNA mutations in human cancer. </w:t>
      </w:r>
      <w:proofErr w:type="spellStart"/>
      <w:r w:rsidRPr="006E0529">
        <w:rPr>
          <w:rFonts w:ascii="Arial" w:hAnsi="Arial" w:cs="Arial"/>
          <w:i/>
          <w:iCs/>
          <w:color w:val="222222"/>
          <w:sz w:val="20"/>
          <w:szCs w:val="20"/>
          <w:shd w:val="clear" w:color="auto" w:fill="FFFFFF"/>
        </w:rPr>
        <w:t>elife</w:t>
      </w:r>
      <w:proofErr w:type="spellEnd"/>
      <w:r w:rsidRPr="006E0529">
        <w:rPr>
          <w:rFonts w:ascii="Arial" w:hAnsi="Arial" w:cs="Arial"/>
          <w:color w:val="222222"/>
          <w:sz w:val="20"/>
          <w:szCs w:val="20"/>
          <w:shd w:val="clear" w:color="auto" w:fill="FFFFFF"/>
        </w:rPr>
        <w:t>, </w:t>
      </w:r>
      <w:r w:rsidRPr="006E0529">
        <w:rPr>
          <w:rFonts w:ascii="Arial" w:hAnsi="Arial" w:cs="Arial"/>
          <w:i/>
          <w:iCs/>
          <w:color w:val="222222"/>
          <w:sz w:val="20"/>
          <w:szCs w:val="20"/>
          <w:shd w:val="clear" w:color="auto" w:fill="FFFFFF"/>
        </w:rPr>
        <w:t>3</w:t>
      </w:r>
      <w:r w:rsidRPr="006E0529">
        <w:rPr>
          <w:rFonts w:ascii="Arial" w:hAnsi="Arial" w:cs="Arial"/>
          <w:color w:val="222222"/>
          <w:sz w:val="20"/>
          <w:szCs w:val="20"/>
          <w:shd w:val="clear" w:color="auto" w:fill="FFFFFF"/>
        </w:rPr>
        <w:t>.</w:t>
      </w:r>
      <w:bookmarkEnd w:id="1"/>
    </w:p>
    <w:sectPr w:rsidR="00D25F5F" w:rsidRPr="00802B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2F1A" w14:textId="77777777" w:rsidR="002276E9" w:rsidRDefault="002276E9" w:rsidP="00D1704F">
      <w:pPr>
        <w:spacing w:after="0" w:line="240" w:lineRule="auto"/>
      </w:pPr>
      <w:r>
        <w:separator/>
      </w:r>
    </w:p>
  </w:endnote>
  <w:endnote w:type="continuationSeparator" w:id="0">
    <w:p w14:paraId="4A4FA290" w14:textId="77777777" w:rsidR="002276E9" w:rsidRDefault="002276E9" w:rsidP="00D1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7D3E" w14:textId="77777777" w:rsidR="00D1704F" w:rsidRDefault="00D17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FC78" w14:textId="77777777" w:rsidR="00D1704F" w:rsidRDefault="00D17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377D" w14:textId="77777777" w:rsidR="00D1704F" w:rsidRDefault="00D1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2F5ED" w14:textId="77777777" w:rsidR="002276E9" w:rsidRDefault="002276E9" w:rsidP="00D1704F">
      <w:pPr>
        <w:spacing w:after="0" w:line="240" w:lineRule="auto"/>
      </w:pPr>
      <w:r>
        <w:separator/>
      </w:r>
    </w:p>
  </w:footnote>
  <w:footnote w:type="continuationSeparator" w:id="0">
    <w:p w14:paraId="236C07B1" w14:textId="77777777" w:rsidR="002276E9" w:rsidRDefault="002276E9" w:rsidP="00D1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714D" w14:textId="153FF923" w:rsidR="00D1704F" w:rsidRDefault="002276E9">
    <w:pPr>
      <w:pStyle w:val="Header"/>
    </w:pPr>
    <w:r>
      <w:rPr>
        <w:noProof/>
      </w:rPr>
      <w:pict w14:anchorId="6C019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7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968C" w14:textId="0F5557D8" w:rsidR="00D1704F" w:rsidRDefault="002276E9">
    <w:pPr>
      <w:pStyle w:val="Header"/>
    </w:pPr>
    <w:r>
      <w:rPr>
        <w:noProof/>
      </w:rPr>
      <w:pict w14:anchorId="5C825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7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413D" w14:textId="23D0F751" w:rsidR="00D1704F" w:rsidRDefault="002276E9">
    <w:pPr>
      <w:pStyle w:val="Header"/>
    </w:pPr>
    <w:r>
      <w:rPr>
        <w:noProof/>
      </w:rPr>
      <w:pict w14:anchorId="26479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7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97272"/>
    <w:multiLevelType w:val="hybridMultilevel"/>
    <w:tmpl w:val="DE1C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B3CF7"/>
    <w:multiLevelType w:val="hybridMultilevel"/>
    <w:tmpl w:val="547A2674"/>
    <w:lvl w:ilvl="0" w:tplc="AE209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241CA"/>
    <w:multiLevelType w:val="hybridMultilevel"/>
    <w:tmpl w:val="2C029D10"/>
    <w:lvl w:ilvl="0" w:tplc="1B6428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E7"/>
    <w:rsid w:val="000005AF"/>
    <w:rsid w:val="001055A2"/>
    <w:rsid w:val="00127764"/>
    <w:rsid w:val="0015038E"/>
    <w:rsid w:val="001A6C20"/>
    <w:rsid w:val="001F6105"/>
    <w:rsid w:val="00207B2E"/>
    <w:rsid w:val="002276E9"/>
    <w:rsid w:val="00254E22"/>
    <w:rsid w:val="002C4ECA"/>
    <w:rsid w:val="002D282F"/>
    <w:rsid w:val="00312DFF"/>
    <w:rsid w:val="00372418"/>
    <w:rsid w:val="003E7F93"/>
    <w:rsid w:val="003F38C6"/>
    <w:rsid w:val="00431B4C"/>
    <w:rsid w:val="004E5791"/>
    <w:rsid w:val="00511800"/>
    <w:rsid w:val="0055276D"/>
    <w:rsid w:val="00682A1D"/>
    <w:rsid w:val="006D1F60"/>
    <w:rsid w:val="006D5B16"/>
    <w:rsid w:val="006E0529"/>
    <w:rsid w:val="006E51BD"/>
    <w:rsid w:val="007A23F0"/>
    <w:rsid w:val="007A277B"/>
    <w:rsid w:val="007B3F95"/>
    <w:rsid w:val="007B6DE6"/>
    <w:rsid w:val="007D0BC1"/>
    <w:rsid w:val="007E5DD6"/>
    <w:rsid w:val="008014B1"/>
    <w:rsid w:val="00802BC8"/>
    <w:rsid w:val="00846EE8"/>
    <w:rsid w:val="00855CED"/>
    <w:rsid w:val="0086736C"/>
    <w:rsid w:val="00887DB6"/>
    <w:rsid w:val="008D3AA8"/>
    <w:rsid w:val="00904D36"/>
    <w:rsid w:val="00926504"/>
    <w:rsid w:val="009B0273"/>
    <w:rsid w:val="009D7475"/>
    <w:rsid w:val="009F19A8"/>
    <w:rsid w:val="00A25C9F"/>
    <w:rsid w:val="00A31E07"/>
    <w:rsid w:val="00A6060B"/>
    <w:rsid w:val="00A66C70"/>
    <w:rsid w:val="00AF65C9"/>
    <w:rsid w:val="00B30DB4"/>
    <w:rsid w:val="00B525F6"/>
    <w:rsid w:val="00B61B21"/>
    <w:rsid w:val="00B63E35"/>
    <w:rsid w:val="00B95540"/>
    <w:rsid w:val="00BC2B9D"/>
    <w:rsid w:val="00BF0594"/>
    <w:rsid w:val="00C757EB"/>
    <w:rsid w:val="00D050F2"/>
    <w:rsid w:val="00D1704F"/>
    <w:rsid w:val="00D25F5F"/>
    <w:rsid w:val="00D7418D"/>
    <w:rsid w:val="00DF1775"/>
    <w:rsid w:val="00DF5265"/>
    <w:rsid w:val="00E21F0B"/>
    <w:rsid w:val="00E40979"/>
    <w:rsid w:val="00EC5F2F"/>
    <w:rsid w:val="00EE2207"/>
    <w:rsid w:val="00F322E7"/>
    <w:rsid w:val="00F804B0"/>
    <w:rsid w:val="00F903FA"/>
    <w:rsid w:val="00FA0563"/>
    <w:rsid w:val="00FF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D5E905"/>
  <w15:chartTrackingRefBased/>
  <w15:docId w15:val="{EC3AC44E-42B1-416D-8FBC-64C5776B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75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57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4E5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757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57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57EB"/>
    <w:rPr>
      <w:i/>
      <w:iCs/>
    </w:rPr>
  </w:style>
  <w:style w:type="character" w:customStyle="1" w:styleId="Heading4Char">
    <w:name w:val="Heading 4 Char"/>
    <w:basedOn w:val="DefaultParagraphFont"/>
    <w:link w:val="Heading4"/>
    <w:uiPriority w:val="9"/>
    <w:semiHidden/>
    <w:rsid w:val="00C757E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87DB6"/>
    <w:pPr>
      <w:ind w:left="720"/>
      <w:contextualSpacing/>
    </w:pPr>
  </w:style>
  <w:style w:type="paragraph" w:styleId="BodyText">
    <w:name w:val="Body Text"/>
    <w:basedOn w:val="Normal"/>
    <w:link w:val="BodyTextChar"/>
    <w:uiPriority w:val="1"/>
    <w:qFormat/>
    <w:rsid w:val="00887D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7DB6"/>
    <w:rPr>
      <w:rFonts w:ascii="Times New Roman" w:eastAsia="Times New Roman" w:hAnsi="Times New Roman" w:cs="Times New Roman"/>
      <w:sz w:val="24"/>
      <w:szCs w:val="24"/>
    </w:rPr>
  </w:style>
  <w:style w:type="paragraph" w:customStyle="1" w:styleId="ReferHead">
    <w:name w:val="Refer Head"/>
    <w:basedOn w:val="Normal"/>
    <w:rsid w:val="008014B1"/>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312DFF"/>
    <w:rPr>
      <w:color w:val="0563C1" w:themeColor="hyperlink"/>
      <w:u w:val="single"/>
    </w:rPr>
  </w:style>
  <w:style w:type="character" w:styleId="UnresolvedMention">
    <w:name w:val="Unresolved Mention"/>
    <w:basedOn w:val="DefaultParagraphFont"/>
    <w:uiPriority w:val="99"/>
    <w:semiHidden/>
    <w:unhideWhenUsed/>
    <w:rsid w:val="00312DFF"/>
    <w:rPr>
      <w:color w:val="605E5C"/>
      <w:shd w:val="clear" w:color="auto" w:fill="E1DFDD"/>
    </w:rPr>
  </w:style>
  <w:style w:type="paragraph" w:styleId="Header">
    <w:name w:val="header"/>
    <w:basedOn w:val="Normal"/>
    <w:link w:val="HeaderChar"/>
    <w:uiPriority w:val="99"/>
    <w:unhideWhenUsed/>
    <w:rsid w:val="00D1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4F"/>
  </w:style>
  <w:style w:type="paragraph" w:styleId="Footer">
    <w:name w:val="footer"/>
    <w:basedOn w:val="Normal"/>
    <w:link w:val="FooterChar"/>
    <w:uiPriority w:val="99"/>
    <w:unhideWhenUsed/>
    <w:rsid w:val="00D1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027">
      <w:bodyDiv w:val="1"/>
      <w:marLeft w:val="0"/>
      <w:marRight w:val="0"/>
      <w:marTop w:val="0"/>
      <w:marBottom w:val="0"/>
      <w:divBdr>
        <w:top w:val="none" w:sz="0" w:space="0" w:color="auto"/>
        <w:left w:val="none" w:sz="0" w:space="0" w:color="auto"/>
        <w:bottom w:val="none" w:sz="0" w:space="0" w:color="auto"/>
        <w:right w:val="none" w:sz="0" w:space="0" w:color="auto"/>
      </w:divBdr>
    </w:div>
    <w:div w:id="434139006">
      <w:bodyDiv w:val="1"/>
      <w:marLeft w:val="0"/>
      <w:marRight w:val="0"/>
      <w:marTop w:val="0"/>
      <w:marBottom w:val="0"/>
      <w:divBdr>
        <w:top w:val="none" w:sz="0" w:space="0" w:color="auto"/>
        <w:left w:val="none" w:sz="0" w:space="0" w:color="auto"/>
        <w:bottom w:val="none" w:sz="0" w:space="0" w:color="auto"/>
        <w:right w:val="none" w:sz="0" w:space="0" w:color="auto"/>
      </w:divBdr>
    </w:div>
    <w:div w:id="501312417">
      <w:bodyDiv w:val="1"/>
      <w:marLeft w:val="0"/>
      <w:marRight w:val="0"/>
      <w:marTop w:val="0"/>
      <w:marBottom w:val="0"/>
      <w:divBdr>
        <w:top w:val="none" w:sz="0" w:space="0" w:color="auto"/>
        <w:left w:val="none" w:sz="0" w:space="0" w:color="auto"/>
        <w:bottom w:val="none" w:sz="0" w:space="0" w:color="auto"/>
        <w:right w:val="none" w:sz="0" w:space="0" w:color="auto"/>
      </w:divBdr>
    </w:div>
    <w:div w:id="502622692">
      <w:bodyDiv w:val="1"/>
      <w:marLeft w:val="0"/>
      <w:marRight w:val="0"/>
      <w:marTop w:val="0"/>
      <w:marBottom w:val="0"/>
      <w:divBdr>
        <w:top w:val="none" w:sz="0" w:space="0" w:color="auto"/>
        <w:left w:val="none" w:sz="0" w:space="0" w:color="auto"/>
        <w:bottom w:val="none" w:sz="0" w:space="0" w:color="auto"/>
        <w:right w:val="none" w:sz="0" w:space="0" w:color="auto"/>
      </w:divBdr>
    </w:div>
    <w:div w:id="1068654106">
      <w:bodyDiv w:val="1"/>
      <w:marLeft w:val="0"/>
      <w:marRight w:val="0"/>
      <w:marTop w:val="0"/>
      <w:marBottom w:val="0"/>
      <w:divBdr>
        <w:top w:val="none" w:sz="0" w:space="0" w:color="auto"/>
        <w:left w:val="none" w:sz="0" w:space="0" w:color="auto"/>
        <w:bottom w:val="none" w:sz="0" w:space="0" w:color="auto"/>
        <w:right w:val="none" w:sz="0" w:space="0" w:color="auto"/>
      </w:divBdr>
    </w:div>
    <w:div w:id="1216893183">
      <w:bodyDiv w:val="1"/>
      <w:marLeft w:val="0"/>
      <w:marRight w:val="0"/>
      <w:marTop w:val="0"/>
      <w:marBottom w:val="0"/>
      <w:divBdr>
        <w:top w:val="none" w:sz="0" w:space="0" w:color="auto"/>
        <w:left w:val="none" w:sz="0" w:space="0" w:color="auto"/>
        <w:bottom w:val="none" w:sz="0" w:space="0" w:color="auto"/>
        <w:right w:val="none" w:sz="0" w:space="0" w:color="auto"/>
      </w:divBdr>
    </w:div>
    <w:div w:id="1280722906">
      <w:bodyDiv w:val="1"/>
      <w:marLeft w:val="0"/>
      <w:marRight w:val="0"/>
      <w:marTop w:val="0"/>
      <w:marBottom w:val="0"/>
      <w:divBdr>
        <w:top w:val="none" w:sz="0" w:space="0" w:color="auto"/>
        <w:left w:val="none" w:sz="0" w:space="0" w:color="auto"/>
        <w:bottom w:val="none" w:sz="0" w:space="0" w:color="auto"/>
        <w:right w:val="none" w:sz="0" w:space="0" w:color="auto"/>
      </w:divBdr>
    </w:div>
    <w:div w:id="1417819428">
      <w:bodyDiv w:val="1"/>
      <w:marLeft w:val="0"/>
      <w:marRight w:val="0"/>
      <w:marTop w:val="0"/>
      <w:marBottom w:val="0"/>
      <w:divBdr>
        <w:top w:val="none" w:sz="0" w:space="0" w:color="auto"/>
        <w:left w:val="none" w:sz="0" w:space="0" w:color="auto"/>
        <w:bottom w:val="none" w:sz="0" w:space="0" w:color="auto"/>
        <w:right w:val="none" w:sz="0" w:space="0" w:color="auto"/>
      </w:divBdr>
    </w:div>
    <w:div w:id="17491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Editor-14</cp:lastModifiedBy>
  <cp:revision>43</cp:revision>
  <dcterms:created xsi:type="dcterms:W3CDTF">2025-01-09T17:35:00Z</dcterms:created>
  <dcterms:modified xsi:type="dcterms:W3CDTF">2025-01-28T05:44:00Z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5248cd66113c33a04b93a001cb6c171d2e008bac09f93add2b41ddd641a60d5c</vt:lpwstr>
  </property>
</Properties>
</file>