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FD846" w14:textId="765EDC46" w:rsidR="00754C9A" w:rsidRDefault="00D30BBA" w:rsidP="00441B6F">
      <w:pPr>
        <w:pStyle w:val="Title"/>
        <w:spacing w:after="0"/>
        <w:jc w:val="both"/>
        <w:rPr>
          <w:rFonts w:ascii="Arial" w:hAnsi="Arial" w:cs="Arial"/>
        </w:rPr>
      </w:pPr>
      <w:r>
        <w:rPr>
          <w:rFonts w:ascii="Arial" w:hAnsi="Arial" w:cs="Arial"/>
        </w:rPr>
        <w:t>‘</w:t>
      </w:r>
      <w:r w:rsidR="00550F72">
        <w:rPr>
          <w:rFonts w:ascii="Arial" w:hAnsi="Arial" w:cs="Arial"/>
        </w:rPr>
        <w:t xml:space="preserve">Efficacy of </w:t>
      </w:r>
      <w:r w:rsidR="00C84669">
        <w:rPr>
          <w:rFonts w:ascii="Arial" w:hAnsi="Arial" w:cs="Arial"/>
        </w:rPr>
        <w:t>GLP-1 Receptor Agonists</w:t>
      </w:r>
      <w:r w:rsidR="00C6018B">
        <w:rPr>
          <w:rFonts w:ascii="Arial" w:hAnsi="Arial" w:cs="Arial"/>
        </w:rPr>
        <w:t>’</w:t>
      </w:r>
      <w:r w:rsidR="00C84669">
        <w:rPr>
          <w:rFonts w:ascii="Arial" w:hAnsi="Arial" w:cs="Arial"/>
        </w:rPr>
        <w:t xml:space="preserve"> </w:t>
      </w:r>
      <w:r w:rsidR="00550F72">
        <w:rPr>
          <w:rFonts w:ascii="Arial" w:hAnsi="Arial" w:cs="Arial"/>
        </w:rPr>
        <w:t>in</w:t>
      </w:r>
      <w:r w:rsidR="00C84669">
        <w:rPr>
          <w:rFonts w:ascii="Arial" w:hAnsi="Arial" w:cs="Arial"/>
        </w:rPr>
        <w:t xml:space="preserve"> Hypertriglyceridemia</w:t>
      </w:r>
      <w:r w:rsidR="00550F72">
        <w:rPr>
          <w:rFonts w:ascii="Arial" w:hAnsi="Arial" w:cs="Arial"/>
        </w:rPr>
        <w:t xml:space="preserve">: A Systemic Review and </w:t>
      </w:r>
      <w:r w:rsidR="00457430">
        <w:rPr>
          <w:rFonts w:ascii="Arial" w:hAnsi="Arial" w:cs="Arial"/>
        </w:rPr>
        <w:t>Meta Analysis</w:t>
      </w:r>
    </w:p>
    <w:p w14:paraId="2DB01576" w14:textId="77777777" w:rsidR="00A258C3" w:rsidRPr="00790ADA" w:rsidRDefault="00A258C3" w:rsidP="00441B6F">
      <w:pPr>
        <w:pStyle w:val="Author"/>
        <w:spacing w:line="240" w:lineRule="auto"/>
        <w:jc w:val="both"/>
        <w:rPr>
          <w:rFonts w:ascii="Arial" w:hAnsi="Arial" w:cs="Arial"/>
          <w:sz w:val="36"/>
        </w:rPr>
      </w:pPr>
    </w:p>
    <w:p w14:paraId="57C837DF" w14:textId="77777777" w:rsidR="007D7C49" w:rsidRDefault="007D7C49" w:rsidP="007D7C49">
      <w:pPr>
        <w:pStyle w:val="Affiliation"/>
        <w:spacing w:after="0" w:line="240" w:lineRule="auto"/>
        <w:rPr>
          <w:rFonts w:ascii="Arial" w:hAnsi="Arial" w:cs="Arial"/>
          <w:i/>
        </w:rPr>
      </w:pPr>
    </w:p>
    <w:p w14:paraId="76968F42" w14:textId="77777777" w:rsidR="00790ADA" w:rsidRDefault="00790ADA" w:rsidP="00441B6F">
      <w:pPr>
        <w:pStyle w:val="Affiliation"/>
        <w:spacing w:after="0" w:line="240" w:lineRule="auto"/>
        <w:jc w:val="both"/>
        <w:rPr>
          <w:rFonts w:ascii="Arial" w:hAnsi="Arial" w:cs="Arial"/>
        </w:rPr>
      </w:pPr>
    </w:p>
    <w:p w14:paraId="0902BFA8" w14:textId="77777777" w:rsidR="002C57D2" w:rsidRPr="00FB3A86" w:rsidRDefault="002C57D2" w:rsidP="00441B6F">
      <w:pPr>
        <w:pStyle w:val="Affiliation"/>
        <w:spacing w:after="0" w:line="240" w:lineRule="auto"/>
        <w:jc w:val="both"/>
        <w:rPr>
          <w:rFonts w:ascii="Arial" w:hAnsi="Arial" w:cs="Arial"/>
        </w:rPr>
      </w:pPr>
    </w:p>
    <w:p w14:paraId="497F3A11" w14:textId="4699C0C9" w:rsidR="00B01FCD" w:rsidRPr="00FB3A86" w:rsidRDefault="001D4199" w:rsidP="00441B6F">
      <w:pPr>
        <w:pStyle w:val="Copyright"/>
        <w:spacing w:after="0" w:line="240" w:lineRule="auto"/>
        <w:jc w:val="both"/>
        <w:rPr>
          <w:rFonts w:ascii="Arial" w:hAnsi="Arial" w:cs="Arial"/>
        </w:rPr>
        <w:sectPr w:rsidR="00B01FCD" w:rsidRPr="00FB3A86" w:rsidSect="001A2EE6">
          <w:headerReference w:type="default" r:id="rId11"/>
          <w:headerReference w:type="first" r:id="rId12"/>
          <w:footerReference w:type="first" r:id="rId13"/>
          <w:pgSz w:w="12240" w:h="15840" w:code="1"/>
          <w:pgMar w:top="1440" w:right="2019" w:bottom="2019" w:left="2019" w:header="720" w:footer="1298" w:gutter="0"/>
          <w:lnNumType w:countBy="1" w:restart="continuous"/>
          <w:cols w:space="720"/>
          <w:docGrid w:linePitch="272"/>
        </w:sectPr>
      </w:pPr>
      <w:r>
        <w:rPr>
          <w:rFonts w:ascii="Arial" w:hAnsi="Arial" w:cs="Arial"/>
          <w:noProof/>
        </w:rPr>
        <mc:AlternateContent>
          <mc:Choice Requires="wps">
            <w:drawing>
              <wp:inline distT="0" distB="0" distL="0" distR="0" wp14:anchorId="521BEE68" wp14:editId="622F2B37">
                <wp:extent cx="5303520" cy="635"/>
                <wp:effectExtent l="11430" t="13335" r="9525" b="15240"/>
                <wp:docPr id="10996778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3CE78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0E37432" w14:textId="579ABD1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ED69B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DD355CF" w14:textId="77777777" w:rsidTr="001E44FE">
        <w:tc>
          <w:tcPr>
            <w:tcW w:w="9576" w:type="dxa"/>
            <w:shd w:val="clear" w:color="auto" w:fill="F2F2F2"/>
          </w:tcPr>
          <w:p w14:paraId="1FC7FE26" w14:textId="24D1B496" w:rsidR="00E3114E" w:rsidRDefault="00E3114E" w:rsidP="00441B6F">
            <w:pPr>
              <w:pStyle w:val="Body"/>
              <w:spacing w:after="0"/>
              <w:rPr>
                <w:rFonts w:ascii="Arial" w:eastAsia="Calibri" w:hAnsi="Arial" w:cs="Arial"/>
                <w:szCs w:val="22"/>
              </w:rPr>
            </w:pPr>
          </w:p>
          <w:p w14:paraId="06151774" w14:textId="2DF35058" w:rsidR="00C84669" w:rsidRPr="00C84669" w:rsidRDefault="00BA1B01" w:rsidP="00C84669">
            <w:pPr>
              <w:pStyle w:val="Body"/>
              <w:rPr>
                <w:rFonts w:ascii="Arial" w:eastAsia="Calibri" w:hAnsi="Arial" w:cs="Arial"/>
                <w:bCs/>
                <w:szCs w:val="22"/>
                <w:lang w:val="en-CA"/>
              </w:rPr>
            </w:pPr>
            <w:r w:rsidRPr="00BA1B01">
              <w:rPr>
                <w:rFonts w:ascii="Arial" w:eastAsia="Calibri" w:hAnsi="Arial" w:cs="Arial"/>
                <w:b/>
                <w:szCs w:val="22"/>
              </w:rPr>
              <w:t>Aims</w:t>
            </w:r>
            <w:r w:rsidR="00C84669">
              <w:rPr>
                <w:rFonts w:ascii="Arial" w:eastAsia="Calibri" w:hAnsi="Arial" w:cs="Arial"/>
                <w:b/>
                <w:szCs w:val="22"/>
              </w:rPr>
              <w:t xml:space="preserve">: </w:t>
            </w:r>
            <w:r w:rsidR="00C84669" w:rsidRPr="00C84669">
              <w:rPr>
                <w:rFonts w:ascii="Arial" w:eastAsia="Calibri" w:hAnsi="Arial" w:cs="Arial"/>
                <w:bCs/>
                <w:szCs w:val="22"/>
                <w:lang w:val="en-CA"/>
              </w:rPr>
              <w:t xml:space="preserve">Hypertriglyceridemia, a prevalent lipid disorder linked to cardiovascular disease and metabolic complications, arises from genetic, lifestyle, or secondary factors like diabetes and obesity. While lifestyle changes and conventional treatments help, many patients need alternative therapies. Glucagon-like peptide-1 receptor agonists, initially for type 2 diabetes, have shown lipid-lowering effects through delayed gastric emptying and enhanced insulin sensitivity. Emerging evidence suggests </w:t>
            </w:r>
            <w:proofErr w:type="spellStart"/>
            <w:r w:rsidR="00C84669" w:rsidRPr="00C84669">
              <w:rPr>
                <w:rFonts w:ascii="Arial" w:eastAsia="Calibri" w:hAnsi="Arial" w:cs="Arial"/>
                <w:bCs/>
                <w:szCs w:val="22"/>
                <w:lang w:val="en-CA"/>
              </w:rPr>
              <w:t>liraglutide</w:t>
            </w:r>
            <w:proofErr w:type="spellEnd"/>
            <w:r w:rsidR="00C84669" w:rsidRPr="00C84669">
              <w:rPr>
                <w:rFonts w:ascii="Arial" w:eastAsia="Calibri" w:hAnsi="Arial" w:cs="Arial"/>
                <w:bCs/>
                <w:szCs w:val="22"/>
                <w:lang w:val="en-CA"/>
              </w:rPr>
              <w:t xml:space="preserve"> and </w:t>
            </w:r>
            <w:proofErr w:type="spellStart"/>
            <w:r w:rsidR="00C84669" w:rsidRPr="00C84669">
              <w:rPr>
                <w:rFonts w:ascii="Arial" w:eastAsia="Calibri" w:hAnsi="Arial" w:cs="Arial"/>
                <w:bCs/>
                <w:szCs w:val="22"/>
                <w:lang w:val="en-CA"/>
              </w:rPr>
              <w:t>semaglutide</w:t>
            </w:r>
            <w:proofErr w:type="spellEnd"/>
            <w:r w:rsidR="00C84669" w:rsidRPr="00C84669">
              <w:rPr>
                <w:rFonts w:ascii="Arial" w:eastAsia="Calibri" w:hAnsi="Arial" w:cs="Arial"/>
                <w:bCs/>
                <w:szCs w:val="22"/>
                <w:lang w:val="en-CA"/>
              </w:rPr>
              <w:t xml:space="preserve"> may significantly reduce triglycerides. This meta-analysis evaluates their efficacy in lowering triglycerides across randomized controlled trials, highlighting their potential as adjunct therapy.</w:t>
            </w:r>
          </w:p>
          <w:p w14:paraId="753ED73F" w14:textId="6D8DB8FB"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C84669" w:rsidRPr="00BA1B01">
              <w:rPr>
                <w:rFonts w:ascii="Arial" w:eastAsia="Calibri" w:hAnsi="Arial" w:cs="Arial"/>
                <w:b/>
                <w:szCs w:val="22"/>
              </w:rPr>
              <w:t>:</w:t>
            </w:r>
            <w:r w:rsidR="00C84669" w:rsidRPr="00BA1B01">
              <w:rPr>
                <w:rFonts w:ascii="Arial" w:eastAsia="Calibri" w:hAnsi="Arial" w:cs="Arial"/>
                <w:szCs w:val="22"/>
              </w:rPr>
              <w:t xml:space="preserve"> Meta</w:t>
            </w:r>
            <w:r w:rsidR="00C84669">
              <w:rPr>
                <w:rFonts w:ascii="Arial" w:eastAsia="Calibri" w:hAnsi="Arial" w:cs="Arial"/>
                <w:szCs w:val="22"/>
              </w:rPr>
              <w:t xml:space="preserve"> Analysis as per PRISMA guidelines</w:t>
            </w:r>
          </w:p>
          <w:p w14:paraId="4C72A640" w14:textId="77777777" w:rsidR="000C78D0" w:rsidRPr="00BA1B01" w:rsidRDefault="000C78D0" w:rsidP="00441B6F">
            <w:pPr>
              <w:pStyle w:val="Body"/>
              <w:spacing w:after="0"/>
              <w:rPr>
                <w:rFonts w:ascii="Arial" w:eastAsia="Calibri" w:hAnsi="Arial" w:cs="Arial"/>
                <w:szCs w:val="22"/>
              </w:rPr>
            </w:pPr>
          </w:p>
          <w:p w14:paraId="06D49263" w14:textId="0375937E"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Department of Medicine, </w:t>
            </w:r>
            <w:r w:rsidR="00C84669">
              <w:rPr>
                <w:rFonts w:ascii="Arial" w:eastAsia="Calibri" w:hAnsi="Arial" w:cs="Arial"/>
                <w:szCs w:val="22"/>
              </w:rPr>
              <w:t xml:space="preserve">Bangladesh Institute of Laser and Cell Surgery Hospital, Dhaka, Bangladesh </w:t>
            </w:r>
            <w:r w:rsidRPr="00BA1B01">
              <w:rPr>
                <w:rFonts w:ascii="Arial" w:eastAsia="Calibri" w:hAnsi="Arial" w:cs="Arial"/>
                <w:szCs w:val="22"/>
              </w:rPr>
              <w:t xml:space="preserve">between </w:t>
            </w:r>
            <w:r w:rsidR="00C84669">
              <w:rPr>
                <w:rFonts w:ascii="Arial" w:eastAsia="Calibri" w:hAnsi="Arial" w:cs="Arial"/>
                <w:szCs w:val="22"/>
              </w:rPr>
              <w:t>20</w:t>
            </w:r>
            <w:r w:rsidR="000C78D0">
              <w:rPr>
                <w:rFonts w:ascii="Arial" w:eastAsia="Calibri" w:hAnsi="Arial" w:cs="Arial"/>
                <w:szCs w:val="22"/>
              </w:rPr>
              <w:t>22</w:t>
            </w:r>
            <w:r w:rsidR="00C84669">
              <w:rPr>
                <w:rFonts w:ascii="Arial" w:eastAsia="Calibri" w:hAnsi="Arial" w:cs="Arial"/>
                <w:szCs w:val="22"/>
              </w:rPr>
              <w:t>- 2024</w:t>
            </w:r>
          </w:p>
          <w:p w14:paraId="02B76008" w14:textId="77777777" w:rsidR="00C84669" w:rsidRPr="00BA1B01" w:rsidRDefault="00C84669" w:rsidP="00441B6F">
            <w:pPr>
              <w:pStyle w:val="Body"/>
              <w:spacing w:after="0"/>
              <w:rPr>
                <w:rFonts w:ascii="Arial" w:eastAsia="Calibri" w:hAnsi="Arial" w:cs="Arial"/>
                <w:szCs w:val="22"/>
              </w:rPr>
            </w:pPr>
          </w:p>
          <w:p w14:paraId="79BBA720" w14:textId="77777777" w:rsidR="002A3619" w:rsidRDefault="00BA1B01" w:rsidP="00707500">
            <w:pPr>
              <w:pStyle w:val="Body"/>
              <w:rPr>
                <w:rFonts w:ascii="Arial" w:eastAsia="Calibri" w:hAnsi="Arial" w:cs="Arial"/>
                <w:szCs w:val="22"/>
                <w:lang w:val="en-CA"/>
              </w:rPr>
            </w:pPr>
            <w:r w:rsidRPr="00BA1B01">
              <w:rPr>
                <w:rFonts w:ascii="Arial" w:eastAsia="Calibri" w:hAnsi="Arial" w:cs="Arial"/>
                <w:b/>
                <w:bCs/>
                <w:szCs w:val="22"/>
              </w:rPr>
              <w:t>Methodology:</w:t>
            </w:r>
            <w:r w:rsidR="006815CE">
              <w:rPr>
                <w:rFonts w:ascii="Arial" w:eastAsia="Calibri" w:hAnsi="Arial" w:cs="Arial"/>
                <w:b/>
                <w:bCs/>
                <w:szCs w:val="22"/>
              </w:rPr>
              <w:t xml:space="preserve"> </w:t>
            </w:r>
            <w:r w:rsidR="00707500" w:rsidRPr="00707500">
              <w:rPr>
                <w:rFonts w:ascii="Arial" w:eastAsia="Calibri" w:hAnsi="Arial" w:cs="Arial"/>
                <w:szCs w:val="22"/>
                <w:lang w:val="en-CA"/>
              </w:rPr>
              <w:t>This study aimed to evaluate the impact of GLP-1 receptor agonists (GLP-1 RAs) on triglyceride (TG) levels. A comprehensive search in PubMed, Embase, and Cochrane Library identified relevant randomized controlled trials (RCTs) published between 2022 and 2024.</w:t>
            </w:r>
          </w:p>
          <w:p w14:paraId="7A5E0F1F" w14:textId="4D608996" w:rsidR="00707500" w:rsidRPr="00707500" w:rsidRDefault="00707500" w:rsidP="00707500">
            <w:pPr>
              <w:pStyle w:val="Body"/>
              <w:rPr>
                <w:rFonts w:ascii="Arial" w:eastAsia="Calibri" w:hAnsi="Arial" w:cs="Arial"/>
                <w:szCs w:val="22"/>
                <w:lang w:val="en-CA"/>
              </w:rPr>
            </w:pPr>
            <w:r w:rsidRPr="00707500">
              <w:rPr>
                <w:rFonts w:ascii="Arial" w:eastAsia="Calibri" w:hAnsi="Arial" w:cs="Arial"/>
                <w:szCs w:val="22"/>
                <w:lang w:val="en-CA"/>
              </w:rPr>
              <w:t>Fifteen RCTs (n = 3,450) involving patients with obesity, type 2 diabetes mellitus (T2DM), non-alcoholic fatty liver disease (NAFLD), and polycystic ovary syndrome (PCOS) met the inclusion criteria. Studies included adults (≥18 years) with TG &gt;150 mg/dL and compared GLP-1 RAs to placebo or lipid-lowering agents with ≥12-week follow-up.</w:t>
            </w:r>
          </w:p>
          <w:p w14:paraId="2452D707" w14:textId="77777777" w:rsidR="002A3619" w:rsidRDefault="00707500" w:rsidP="00707500">
            <w:pPr>
              <w:pStyle w:val="Body"/>
              <w:spacing w:after="0"/>
              <w:rPr>
                <w:rFonts w:ascii="Arial" w:eastAsia="Calibri" w:hAnsi="Arial" w:cs="Arial"/>
                <w:szCs w:val="22"/>
                <w:lang w:val="en-CA"/>
              </w:rPr>
            </w:pPr>
            <w:r w:rsidRPr="00707500">
              <w:rPr>
                <w:rFonts w:ascii="Arial" w:eastAsia="Calibri" w:hAnsi="Arial" w:cs="Arial"/>
                <w:szCs w:val="22"/>
                <w:lang w:val="en-CA"/>
              </w:rPr>
              <w:t xml:space="preserve">The primary outcome was the mean percentage change in TG levels, with secondary outcomes including total cholesterol, LDL, HDL, and body weight. Statistical analysis used a random-effects model, and heterogeneity was assessed using Cochran’s Q test and I² statistics. </w:t>
            </w:r>
          </w:p>
          <w:p w14:paraId="61154640" w14:textId="77777777" w:rsidR="002A3619" w:rsidRDefault="002A3619" w:rsidP="00707500">
            <w:pPr>
              <w:pStyle w:val="Body"/>
              <w:spacing w:after="0"/>
              <w:rPr>
                <w:rFonts w:ascii="Arial" w:eastAsia="Calibri" w:hAnsi="Arial" w:cs="Arial"/>
                <w:szCs w:val="22"/>
                <w:lang w:val="en-CA"/>
              </w:rPr>
            </w:pPr>
          </w:p>
          <w:p w14:paraId="04BD1811" w14:textId="77777777" w:rsidR="00FE30A4" w:rsidRDefault="00707500" w:rsidP="00707500">
            <w:pPr>
              <w:pStyle w:val="Body"/>
              <w:spacing w:after="0"/>
              <w:rPr>
                <w:rFonts w:ascii="Arial" w:eastAsia="Calibri" w:hAnsi="Arial" w:cs="Arial"/>
                <w:szCs w:val="22"/>
                <w:lang w:val="en-CA"/>
              </w:rPr>
            </w:pPr>
            <w:r w:rsidRPr="00707500">
              <w:rPr>
                <w:rFonts w:ascii="Arial" w:eastAsia="Calibri" w:hAnsi="Arial" w:cs="Arial"/>
                <w:szCs w:val="22"/>
                <w:lang w:val="en-CA"/>
              </w:rPr>
              <w:t xml:space="preserve">Subgroup analyses evaluated TG reduction in specific populations, including obese patients, T2DM, NAFLD, PCOS, and those with baseline TG &gt;250 mg/dL. Sensitivity analyses tested the robustness of findings. </w:t>
            </w:r>
          </w:p>
          <w:p w14:paraId="057714DF" w14:textId="047E84E6" w:rsidR="00707500" w:rsidRPr="00707500" w:rsidRDefault="00707500" w:rsidP="00707500">
            <w:pPr>
              <w:pStyle w:val="Body"/>
              <w:spacing w:after="0"/>
              <w:rPr>
                <w:rFonts w:ascii="Arial" w:eastAsia="Calibri" w:hAnsi="Arial" w:cs="Arial"/>
                <w:szCs w:val="22"/>
                <w:lang w:val="en-CA"/>
              </w:rPr>
            </w:pPr>
            <w:r w:rsidRPr="00707500">
              <w:rPr>
                <w:rFonts w:ascii="Arial" w:eastAsia="Calibri" w:hAnsi="Arial" w:cs="Arial"/>
                <w:szCs w:val="22"/>
                <w:lang w:val="en-CA"/>
              </w:rPr>
              <w:t>Studies involving patients on lipid-lowering therapies (e.g., statins, fibrates) were also included, with subgroup analyses assessing their impact.</w:t>
            </w:r>
          </w:p>
          <w:p w14:paraId="07012EBA" w14:textId="4468652F" w:rsidR="00646C28" w:rsidRDefault="00646C28" w:rsidP="00707500">
            <w:pPr>
              <w:pStyle w:val="Body"/>
              <w:spacing w:after="0"/>
              <w:rPr>
                <w:rFonts w:ascii="Arial" w:eastAsia="Calibri" w:hAnsi="Arial" w:cs="Arial"/>
                <w:szCs w:val="22"/>
              </w:rPr>
            </w:pPr>
          </w:p>
          <w:p w14:paraId="17BE08DD" w14:textId="77777777" w:rsidR="000C78D0" w:rsidRDefault="000C78D0" w:rsidP="00FD5A5A">
            <w:pPr>
              <w:pStyle w:val="Body"/>
              <w:spacing w:after="0"/>
              <w:rPr>
                <w:rFonts w:ascii="Arial" w:eastAsia="Calibri" w:hAnsi="Arial" w:cs="Arial"/>
                <w:szCs w:val="22"/>
                <w:lang w:val="en-CA"/>
              </w:rPr>
            </w:pPr>
          </w:p>
          <w:p w14:paraId="1778A4D1" w14:textId="239A959F" w:rsidR="00FD5A5A" w:rsidRDefault="00BA1B01" w:rsidP="00FD5A5A">
            <w:pPr>
              <w:pStyle w:val="Body"/>
              <w:spacing w:after="0"/>
              <w:rPr>
                <w:rFonts w:ascii="Arial" w:eastAsia="Calibri" w:hAnsi="Arial" w:cs="Arial"/>
                <w:szCs w:val="22"/>
                <w:lang w:val="en-CA"/>
              </w:rPr>
            </w:pPr>
            <w:r w:rsidRPr="00BA1B01">
              <w:rPr>
                <w:rFonts w:ascii="Arial" w:eastAsia="Calibri" w:hAnsi="Arial" w:cs="Arial"/>
                <w:b/>
                <w:bCs/>
                <w:szCs w:val="22"/>
              </w:rPr>
              <w:t>Results:</w:t>
            </w:r>
            <w:r w:rsidRPr="00BA1B01">
              <w:rPr>
                <w:rFonts w:ascii="Arial" w:eastAsia="Calibri" w:hAnsi="Arial" w:cs="Arial"/>
                <w:szCs w:val="22"/>
              </w:rPr>
              <w:t xml:space="preserve"> </w:t>
            </w:r>
            <w:r w:rsidR="00FD5A5A" w:rsidRPr="00FD5A5A">
              <w:rPr>
                <w:rFonts w:ascii="Arial" w:eastAsia="Calibri" w:hAnsi="Arial" w:cs="Arial"/>
                <w:szCs w:val="22"/>
                <w:lang w:val="en-CA"/>
              </w:rPr>
              <w:t xml:space="preserve">Fifteen RCTs (n = 3,450) evaluated GLP-1 RAs for TG reduction. </w:t>
            </w:r>
            <w:proofErr w:type="spellStart"/>
            <w:r w:rsidR="00FD5A5A" w:rsidRPr="00FD5A5A">
              <w:rPr>
                <w:rFonts w:ascii="Arial" w:eastAsia="Calibri" w:hAnsi="Arial" w:cs="Arial"/>
                <w:szCs w:val="22"/>
                <w:lang w:val="en-CA"/>
              </w:rPr>
              <w:t>Semaglutide</w:t>
            </w:r>
            <w:proofErr w:type="spellEnd"/>
            <w:r w:rsidR="00FD5A5A" w:rsidRPr="00FD5A5A">
              <w:rPr>
                <w:rFonts w:ascii="Arial" w:eastAsia="Calibri" w:hAnsi="Arial" w:cs="Arial"/>
                <w:szCs w:val="22"/>
                <w:lang w:val="en-CA"/>
              </w:rPr>
              <w:t xml:space="preserve"> (5 studies), </w:t>
            </w:r>
            <w:proofErr w:type="spellStart"/>
            <w:r w:rsidR="00FD5A5A" w:rsidRPr="00FD5A5A">
              <w:rPr>
                <w:rFonts w:ascii="Arial" w:eastAsia="Calibri" w:hAnsi="Arial" w:cs="Arial"/>
                <w:szCs w:val="22"/>
                <w:lang w:val="en-CA"/>
              </w:rPr>
              <w:t>Liraglutide</w:t>
            </w:r>
            <w:proofErr w:type="spellEnd"/>
            <w:r w:rsidR="00FD5A5A" w:rsidRPr="00FD5A5A">
              <w:rPr>
                <w:rFonts w:ascii="Arial" w:eastAsia="Calibri" w:hAnsi="Arial" w:cs="Arial"/>
                <w:szCs w:val="22"/>
                <w:lang w:val="en-CA"/>
              </w:rPr>
              <w:t xml:space="preserve"> (4), Dulaglutide (3), and Exenatide (3) were assessed over 12–104 weeks. GLP-1 RAs significantly reduced TG by -19.2% (95% CI: -22.8 to -15.6, p &lt; 0.001) vs. placebo. Greater reductions occurred in obese (-22.1%), T2DM (-20.3%), NAFLD (-21.5%), and PCOS (-18.4%) patients. Higher baseline TG (&gt;250 mg/dL) showed a greater mean reduction (-24.1%). </w:t>
            </w:r>
            <w:proofErr w:type="spellStart"/>
            <w:r w:rsidR="00FD5A5A" w:rsidRPr="00FD5A5A">
              <w:rPr>
                <w:rFonts w:ascii="Arial" w:eastAsia="Calibri" w:hAnsi="Arial" w:cs="Arial"/>
                <w:szCs w:val="22"/>
                <w:lang w:val="en-CA"/>
              </w:rPr>
              <w:t>Semaglutide</w:t>
            </w:r>
            <w:proofErr w:type="spellEnd"/>
            <w:r w:rsidR="00FD5A5A" w:rsidRPr="00FD5A5A">
              <w:rPr>
                <w:rFonts w:ascii="Arial" w:eastAsia="Calibri" w:hAnsi="Arial" w:cs="Arial"/>
                <w:szCs w:val="22"/>
                <w:lang w:val="en-CA"/>
              </w:rPr>
              <w:t xml:space="preserve"> had the greatest </w:t>
            </w:r>
            <w:r w:rsidR="00FD5A5A" w:rsidRPr="00FD5A5A">
              <w:rPr>
                <w:rFonts w:ascii="Arial" w:eastAsia="Calibri" w:hAnsi="Arial" w:cs="Arial"/>
                <w:szCs w:val="22"/>
                <w:lang w:val="en-CA"/>
              </w:rPr>
              <w:lastRenderedPageBreak/>
              <w:t>reduction (-22.5%), followed by Liraglutide (-20.1%), Dulaglutide (-18.7%), and Exenatide (-16.9%). Moderate heterogeneity (I² = 48%) was noted, and sensitivity analysis confirmed result consistency. Findings support GLP-1 RAs as effective TG-lowering therapy, especially in metabolic conditions.</w:t>
            </w:r>
          </w:p>
          <w:p w14:paraId="5ED0F9AB" w14:textId="77777777" w:rsidR="000C78D0" w:rsidRPr="00FD5A5A" w:rsidRDefault="000C78D0" w:rsidP="00FD5A5A">
            <w:pPr>
              <w:pStyle w:val="Body"/>
              <w:spacing w:after="0"/>
              <w:rPr>
                <w:rFonts w:ascii="Arial" w:eastAsia="Calibri" w:hAnsi="Arial" w:cs="Arial"/>
                <w:szCs w:val="22"/>
                <w:lang w:val="en-CA"/>
              </w:rPr>
            </w:pPr>
          </w:p>
          <w:p w14:paraId="61766927" w14:textId="7D30D6CA" w:rsidR="00FC09A0" w:rsidRDefault="00BA1B01" w:rsidP="00FC09A0">
            <w:pPr>
              <w:pStyle w:val="Body"/>
              <w:spacing w:after="0"/>
              <w:rPr>
                <w:rFonts w:ascii="Arial" w:eastAsia="Calibri" w:hAnsi="Arial" w:cs="Arial"/>
                <w:b/>
                <w:bCs/>
                <w:szCs w:val="22"/>
                <w:lang w:val="en-CA"/>
              </w:rPr>
            </w:pPr>
            <w:r w:rsidRPr="00BA1B01">
              <w:rPr>
                <w:rFonts w:ascii="Arial" w:eastAsia="Calibri" w:hAnsi="Arial" w:cs="Arial"/>
                <w:b/>
                <w:bCs/>
                <w:szCs w:val="22"/>
              </w:rPr>
              <w:t>Conclusion</w:t>
            </w:r>
            <w:r w:rsidR="00AA135D">
              <w:rPr>
                <w:rFonts w:ascii="Arial" w:eastAsia="Calibri" w:hAnsi="Arial" w:cs="Arial"/>
                <w:b/>
                <w:bCs/>
                <w:szCs w:val="22"/>
              </w:rPr>
              <w:t>:</w:t>
            </w:r>
            <w:r w:rsidR="00FC09A0" w:rsidRPr="00FC09A0">
              <w:rPr>
                <w:rFonts w:ascii="Arial" w:hAnsi="Arial" w:cs="Arial"/>
                <w:b/>
                <w:color w:val="000000"/>
                <w:sz w:val="22"/>
                <w:szCs w:val="22"/>
                <w:lang w:val="en-CA" w:eastAsia="en-CA"/>
              </w:rPr>
              <w:t xml:space="preserve"> </w:t>
            </w:r>
            <w:r w:rsidR="00FC09A0" w:rsidRPr="000B6CEC">
              <w:rPr>
                <w:rFonts w:ascii="Arial" w:eastAsia="Calibri" w:hAnsi="Arial" w:cs="Arial"/>
                <w:szCs w:val="22"/>
                <w:lang w:val="en-CA"/>
              </w:rPr>
              <w:t xml:space="preserve">GLP-1 RAs significantly lower triglycerides, making them a valuable option for hypertriglyceridemia, particularly in patients with </w:t>
            </w:r>
            <w:r w:rsidR="00541C25">
              <w:rPr>
                <w:rFonts w:ascii="Arial" w:eastAsia="Calibri" w:hAnsi="Arial" w:cs="Arial"/>
                <w:szCs w:val="22"/>
                <w:lang w:val="en-CA"/>
              </w:rPr>
              <w:t>metabolic syndrome</w:t>
            </w:r>
            <w:r w:rsidR="00FC09A0" w:rsidRPr="000B6CEC">
              <w:rPr>
                <w:rFonts w:ascii="Arial" w:eastAsia="Calibri" w:hAnsi="Arial" w:cs="Arial"/>
                <w:szCs w:val="22"/>
                <w:lang w:val="en-CA"/>
              </w:rPr>
              <w:t xml:space="preserve">. </w:t>
            </w:r>
            <w:proofErr w:type="spellStart"/>
            <w:r w:rsidR="00FC09A0" w:rsidRPr="000B6CEC">
              <w:rPr>
                <w:rFonts w:ascii="Arial" w:eastAsia="Calibri" w:hAnsi="Arial" w:cs="Arial"/>
                <w:szCs w:val="22"/>
                <w:lang w:val="en-CA"/>
              </w:rPr>
              <w:t>Semaglutide</w:t>
            </w:r>
            <w:proofErr w:type="spellEnd"/>
            <w:r w:rsidR="00FC09A0" w:rsidRPr="000B6CEC">
              <w:rPr>
                <w:rFonts w:ascii="Arial" w:eastAsia="Calibri" w:hAnsi="Arial" w:cs="Arial"/>
                <w:szCs w:val="22"/>
                <w:lang w:val="en-CA"/>
              </w:rPr>
              <w:t xml:space="preserve"> provides the greatest TG reduction but has higher gastrointestinal side effects, while Liraglutide offers better tolerability. Individualized therapy is key, balancing efficacy and adherence. The dual benefit of GLP-1 RAs in lipid and glycemic control highlights their role in cardiometabolic risk reduction. Further research should explore long-term cardiovascular benefits and combination therapies to optimize treatment</w:t>
            </w:r>
            <w:r w:rsidR="00FC09A0" w:rsidRPr="00FC09A0">
              <w:rPr>
                <w:rFonts w:ascii="Arial" w:eastAsia="Calibri" w:hAnsi="Arial" w:cs="Arial"/>
                <w:b/>
                <w:bCs/>
                <w:szCs w:val="22"/>
                <w:lang w:val="en-CA"/>
              </w:rPr>
              <w:t>.</w:t>
            </w:r>
          </w:p>
          <w:p w14:paraId="68C4F009" w14:textId="0BC62F3F" w:rsidR="006815CE" w:rsidRPr="00FC09A0" w:rsidRDefault="006815CE" w:rsidP="00FC09A0">
            <w:pPr>
              <w:pStyle w:val="Body"/>
              <w:spacing w:after="0"/>
              <w:rPr>
                <w:rFonts w:ascii="Arial" w:eastAsia="Calibri" w:hAnsi="Arial" w:cs="Arial"/>
                <w:b/>
                <w:bCs/>
                <w:szCs w:val="22"/>
                <w:lang w:val="en-CA"/>
              </w:rPr>
            </w:pPr>
          </w:p>
          <w:p w14:paraId="140BAAFA" w14:textId="16ACE47F" w:rsidR="00AA135D" w:rsidRPr="00BA1B01" w:rsidRDefault="00AA135D" w:rsidP="00AA135D">
            <w:pPr>
              <w:pStyle w:val="Body"/>
              <w:spacing w:after="0"/>
              <w:rPr>
                <w:rFonts w:ascii="Arial" w:eastAsia="Calibri" w:hAnsi="Arial" w:cs="Arial"/>
                <w:szCs w:val="22"/>
              </w:rPr>
            </w:pPr>
          </w:p>
          <w:p w14:paraId="1EAAE9AD" w14:textId="55256F34" w:rsidR="00505F06" w:rsidRPr="00BA1B01" w:rsidRDefault="00505F06" w:rsidP="00441B6F">
            <w:pPr>
              <w:pStyle w:val="Body"/>
              <w:spacing w:after="0"/>
              <w:rPr>
                <w:rFonts w:ascii="Arial" w:eastAsia="Calibri" w:hAnsi="Arial" w:cs="Arial"/>
                <w:szCs w:val="22"/>
              </w:rPr>
            </w:pPr>
          </w:p>
        </w:tc>
      </w:tr>
    </w:tbl>
    <w:p w14:paraId="4F8FB65F" w14:textId="77777777" w:rsidR="00636EB2" w:rsidRDefault="00636EB2" w:rsidP="00441B6F">
      <w:pPr>
        <w:pStyle w:val="Body"/>
        <w:spacing w:after="0"/>
        <w:rPr>
          <w:rFonts w:ascii="Arial" w:hAnsi="Arial" w:cs="Arial"/>
          <w:i/>
        </w:rPr>
      </w:pPr>
    </w:p>
    <w:p w14:paraId="2BBC5F55" w14:textId="23575791" w:rsidR="00B52896" w:rsidRPr="00F7312F" w:rsidRDefault="00A24E7E" w:rsidP="00441B6F">
      <w:pPr>
        <w:pStyle w:val="Body"/>
        <w:spacing w:after="0"/>
        <w:rPr>
          <w:rFonts w:ascii="Arial" w:hAnsi="Arial" w:cs="Arial"/>
          <w:b/>
          <w:bCs/>
          <w:iCs/>
        </w:rPr>
      </w:pPr>
      <w:r>
        <w:rPr>
          <w:rFonts w:ascii="Arial" w:hAnsi="Arial" w:cs="Arial"/>
          <w:i/>
        </w:rPr>
        <w:t>Keywords</w:t>
      </w:r>
      <w:r w:rsidRPr="008A12D3">
        <w:rPr>
          <w:rFonts w:ascii="Arial" w:hAnsi="Arial" w:cs="Arial"/>
          <w:b/>
          <w:bCs/>
          <w:iCs/>
        </w:rPr>
        <w:t xml:space="preserve">: </w:t>
      </w:r>
      <w:r w:rsidR="001E451A" w:rsidRPr="008A12D3">
        <w:rPr>
          <w:rFonts w:ascii="Arial" w:hAnsi="Arial" w:cs="Arial"/>
          <w:b/>
          <w:bCs/>
          <w:iCs/>
        </w:rPr>
        <w:t>Hypertriglyceridemia,</w:t>
      </w:r>
      <w:r w:rsidR="008D01A4" w:rsidRPr="008A12D3">
        <w:rPr>
          <w:rFonts w:ascii="Arial" w:hAnsi="Arial" w:cs="Arial"/>
          <w:b/>
          <w:bCs/>
          <w:iCs/>
        </w:rPr>
        <w:t xml:space="preserve"> </w:t>
      </w:r>
      <w:r w:rsidR="001E451A" w:rsidRPr="008A12D3">
        <w:rPr>
          <w:rFonts w:ascii="Arial" w:hAnsi="Arial" w:cs="Arial"/>
          <w:b/>
          <w:bCs/>
          <w:iCs/>
        </w:rPr>
        <w:t xml:space="preserve">GLP-1 receptor agonists, triglyceride reduction, </w:t>
      </w:r>
      <w:proofErr w:type="spellStart"/>
      <w:r w:rsidR="001E451A" w:rsidRPr="008A12D3">
        <w:rPr>
          <w:rFonts w:ascii="Arial" w:hAnsi="Arial" w:cs="Arial"/>
          <w:b/>
          <w:bCs/>
          <w:iCs/>
        </w:rPr>
        <w:t>semaglutide</w:t>
      </w:r>
      <w:proofErr w:type="spellEnd"/>
      <w:r w:rsidR="001E451A" w:rsidRPr="008A12D3">
        <w:rPr>
          <w:rFonts w:ascii="Arial" w:hAnsi="Arial" w:cs="Arial"/>
          <w:b/>
          <w:bCs/>
          <w:iCs/>
        </w:rPr>
        <w:t xml:space="preserve">, </w:t>
      </w:r>
      <w:proofErr w:type="spellStart"/>
      <w:r w:rsidR="001E451A" w:rsidRPr="008A12D3">
        <w:rPr>
          <w:rFonts w:ascii="Arial" w:hAnsi="Arial" w:cs="Arial"/>
          <w:b/>
          <w:bCs/>
          <w:iCs/>
        </w:rPr>
        <w:t>liraglutide</w:t>
      </w:r>
      <w:proofErr w:type="spellEnd"/>
      <w:r w:rsidR="001E451A" w:rsidRPr="008A12D3">
        <w:rPr>
          <w:rFonts w:ascii="Arial" w:hAnsi="Arial" w:cs="Arial"/>
          <w:b/>
          <w:bCs/>
          <w:iCs/>
        </w:rPr>
        <w:t>, type 2 diabetes mellitus, obesity, non-alcoholic fatty liver disease, polycystic ovary syndrome, lipid metabolism, cardiovascular risk, insulin sensitivity, gastrointestinal side effects</w:t>
      </w:r>
    </w:p>
    <w:p w14:paraId="74A2154B" w14:textId="77777777" w:rsidR="0024282C" w:rsidRDefault="0024282C" w:rsidP="00441B6F">
      <w:pPr>
        <w:pStyle w:val="Body"/>
        <w:spacing w:after="0"/>
        <w:rPr>
          <w:rFonts w:ascii="Arial" w:hAnsi="Arial" w:cs="Arial"/>
          <w:i/>
          <w:sz w:val="18"/>
        </w:rPr>
      </w:pPr>
    </w:p>
    <w:p w14:paraId="0917E126" w14:textId="77777777" w:rsidR="00505F06" w:rsidRPr="00A24E7E" w:rsidRDefault="00505F06" w:rsidP="00441B6F">
      <w:pPr>
        <w:pStyle w:val="Body"/>
        <w:spacing w:after="0"/>
        <w:rPr>
          <w:rFonts w:ascii="Arial" w:hAnsi="Arial" w:cs="Arial"/>
          <w:i/>
        </w:rPr>
      </w:pPr>
    </w:p>
    <w:p w14:paraId="74252EDE" w14:textId="6C74BE9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183E01A" w14:textId="77777777" w:rsidR="00790ADA" w:rsidRPr="00FB3A86" w:rsidRDefault="00790ADA" w:rsidP="00441B6F">
      <w:pPr>
        <w:pStyle w:val="AbstHead"/>
        <w:spacing w:after="0"/>
        <w:jc w:val="both"/>
        <w:rPr>
          <w:rFonts w:ascii="Arial" w:hAnsi="Arial" w:cs="Arial"/>
        </w:rPr>
      </w:pPr>
    </w:p>
    <w:p w14:paraId="1073FD61" w14:textId="04B3F757" w:rsidR="003E3B5A" w:rsidRDefault="003E3B5A" w:rsidP="003E3B5A">
      <w:pPr>
        <w:pStyle w:val="Body"/>
        <w:spacing w:after="0"/>
        <w:rPr>
          <w:rFonts w:ascii="Arial" w:hAnsi="Arial" w:cs="Arial"/>
          <w:lang w:val="en-CA"/>
        </w:rPr>
      </w:pPr>
      <w:r w:rsidRPr="003E3B5A">
        <w:rPr>
          <w:rFonts w:ascii="Arial" w:hAnsi="Arial" w:cs="Arial"/>
          <w:lang w:val="en-CA"/>
        </w:rPr>
        <w:t>Hypertriglyceridemia is a prevalent lipid disorder characterized by elevated triglyceride levels, which is associated with an increased risk of cardiovascular disease (CVD), acute pancreatitis, and metabolic complications. It can result from genetic predisposition, lifestyle factors, or secondary conditions such as diabetes, obesity, and hypothyroidism. The primary mechanisms underlying hypertriglyceridemia involve impaired triglyceride clearance due to dysfunctional lipoprotein lipase activity or excessive hepatic production of very-low-density lipoproteins (VLDL). Typically, lifestyle modifications, including dietary changes, physical activity, and weight loss helps in lowering triglyceride level. However, in individuals with persistently high triglyceride levels despite lifestyle interventions, pharmacological treatments such as fibrates, statins, and omega-3 fatty acids are commonly prescribed. Despite these therapies, many patients continue to experience elevated triglycerides, necessitating the exploration of alternative pharmacological options.</w:t>
      </w:r>
    </w:p>
    <w:p w14:paraId="32BCD189" w14:textId="77777777" w:rsidR="000C78D0" w:rsidRPr="003E3B5A" w:rsidRDefault="000C78D0" w:rsidP="003E3B5A">
      <w:pPr>
        <w:pStyle w:val="Body"/>
        <w:spacing w:after="0"/>
        <w:rPr>
          <w:rFonts w:ascii="Arial" w:hAnsi="Arial" w:cs="Arial"/>
          <w:b/>
          <w:bCs/>
          <w:lang w:val="en-CA"/>
        </w:rPr>
      </w:pPr>
    </w:p>
    <w:p w14:paraId="4CCC2CE8" w14:textId="7A6BE7BF" w:rsidR="003E3B5A" w:rsidRDefault="003E3B5A" w:rsidP="003E3B5A">
      <w:pPr>
        <w:pStyle w:val="Body"/>
        <w:spacing w:after="0"/>
        <w:rPr>
          <w:rFonts w:ascii="Arial" w:hAnsi="Arial" w:cs="Arial"/>
          <w:lang w:val="en-CA"/>
        </w:rPr>
      </w:pPr>
      <w:r w:rsidRPr="003E3B5A">
        <w:rPr>
          <w:rFonts w:ascii="Arial" w:hAnsi="Arial" w:cs="Arial"/>
          <w:lang w:val="en-CA"/>
        </w:rPr>
        <w:t xml:space="preserve">Glucagon-like peptide-1 receptor agonists (GLP-1 RAs), initially developed for type 2 diabetes mellitus (T2DM), have demonstrated beneficial effects on lipid metabolism, beside glycemic control. These agents reduce triglyceride levels through multiple mechanisms, including delayed gastric emptying, decreased intestinal lipoprotein production, and enhanced insulin sensitivity. Additionally, GLP-1 RAs contribute to weight loss, lower blood pressure, and improve endothelial function, all of which play a role in reducing cardiovascular risk. However, the extent of triglyceride reduction observed with GLP-1 RAs varies across clinical studies, necessitating a comprehensive evaluation of their efficacy. Recent studies suggest that medications such as </w:t>
      </w:r>
      <w:proofErr w:type="spellStart"/>
      <w:r w:rsidRPr="003E3B5A">
        <w:rPr>
          <w:rFonts w:ascii="Arial" w:hAnsi="Arial" w:cs="Arial"/>
          <w:lang w:val="en-CA"/>
        </w:rPr>
        <w:t>liraglutide</w:t>
      </w:r>
      <w:proofErr w:type="spellEnd"/>
      <w:r w:rsidRPr="003E3B5A">
        <w:rPr>
          <w:rFonts w:ascii="Arial" w:hAnsi="Arial" w:cs="Arial"/>
          <w:lang w:val="en-CA"/>
        </w:rPr>
        <w:t xml:space="preserve"> and </w:t>
      </w:r>
      <w:proofErr w:type="spellStart"/>
      <w:r w:rsidRPr="003E3B5A">
        <w:rPr>
          <w:rFonts w:ascii="Arial" w:hAnsi="Arial" w:cs="Arial"/>
          <w:lang w:val="en-CA"/>
        </w:rPr>
        <w:t>semaglutide</w:t>
      </w:r>
      <w:proofErr w:type="spellEnd"/>
      <w:r w:rsidRPr="003E3B5A">
        <w:rPr>
          <w:rFonts w:ascii="Arial" w:hAnsi="Arial" w:cs="Arial"/>
          <w:lang w:val="en-CA"/>
        </w:rPr>
        <w:t xml:space="preserve"> may provide clinically meaningful reductions in triglyceride levels, making them a promising therapeutic option for hypertriglyceridemia.</w:t>
      </w:r>
    </w:p>
    <w:p w14:paraId="4E9B6DE4" w14:textId="77777777" w:rsidR="000C78D0" w:rsidRPr="003E3B5A" w:rsidRDefault="000C78D0" w:rsidP="003E3B5A">
      <w:pPr>
        <w:pStyle w:val="Body"/>
        <w:spacing w:after="0"/>
        <w:rPr>
          <w:rFonts w:ascii="Arial" w:hAnsi="Arial" w:cs="Arial"/>
          <w:b/>
          <w:bCs/>
          <w:lang w:val="en-CA"/>
        </w:rPr>
      </w:pPr>
    </w:p>
    <w:p w14:paraId="4FE3A2BD" w14:textId="77777777" w:rsidR="003E3B5A" w:rsidRPr="003E3B5A" w:rsidRDefault="003E3B5A" w:rsidP="003E3B5A">
      <w:pPr>
        <w:pStyle w:val="Body"/>
        <w:spacing w:after="0"/>
        <w:rPr>
          <w:rFonts w:ascii="Arial" w:hAnsi="Arial" w:cs="Arial"/>
          <w:b/>
          <w:bCs/>
          <w:lang w:val="en-CA"/>
        </w:rPr>
      </w:pPr>
      <w:r w:rsidRPr="003E3B5A">
        <w:rPr>
          <w:rFonts w:ascii="Arial" w:hAnsi="Arial" w:cs="Arial"/>
          <w:lang w:val="en-CA"/>
        </w:rPr>
        <w:t>This meta-analysis aims to systematically assess the impact of GLP-1 RAs on triglyceride levels across multiple randomized controlled trials (RCTs). By consolidating current evidence, this study seeks to determine the potential role of GLP-1 RAs as an adjunct therapy for hypertriglyceridemia, particularly in individuals with metabolic disorders such as obesity and type 2 diabetes.</w:t>
      </w:r>
    </w:p>
    <w:p w14:paraId="478E1A59" w14:textId="77777777" w:rsidR="00790ADA" w:rsidRPr="00FB3A86" w:rsidRDefault="00790ADA" w:rsidP="00441B6F">
      <w:pPr>
        <w:pStyle w:val="Body"/>
        <w:spacing w:after="0"/>
        <w:rPr>
          <w:rFonts w:ascii="Arial" w:hAnsi="Arial" w:cs="Arial"/>
        </w:rPr>
      </w:pPr>
    </w:p>
    <w:p w14:paraId="2C04140C" w14:textId="77777777" w:rsidR="007A745E" w:rsidRDefault="007A745E" w:rsidP="007A745E">
      <w:pPr>
        <w:pStyle w:val="AbstHead"/>
        <w:spacing w:after="0"/>
        <w:jc w:val="both"/>
        <w:rPr>
          <w:rFonts w:ascii="Arial" w:hAnsi="Arial" w:cs="Arial"/>
          <w:lang w:val="en-CA"/>
        </w:rPr>
      </w:pPr>
      <w:r>
        <w:rPr>
          <w:rFonts w:ascii="Arial" w:hAnsi="Arial" w:cs="Arial"/>
          <w:lang w:val="en-CA"/>
        </w:rPr>
        <w:t>2. Methodology</w:t>
      </w:r>
    </w:p>
    <w:p w14:paraId="02F339DA" w14:textId="77777777" w:rsidR="007A745E" w:rsidRDefault="007A745E" w:rsidP="007A745E">
      <w:pPr>
        <w:pStyle w:val="AbstHead"/>
        <w:spacing w:after="0"/>
        <w:jc w:val="both"/>
        <w:rPr>
          <w:rFonts w:ascii="Arial" w:hAnsi="Arial" w:cs="Arial"/>
          <w:lang w:val="en-CA"/>
        </w:rPr>
      </w:pPr>
    </w:p>
    <w:p w14:paraId="71FF8532" w14:textId="3AA58C31" w:rsidR="007A745E" w:rsidRDefault="007A745E" w:rsidP="007A745E">
      <w:pPr>
        <w:pStyle w:val="AbstHead"/>
        <w:spacing w:after="0"/>
        <w:jc w:val="both"/>
        <w:rPr>
          <w:rFonts w:ascii="Arial" w:hAnsi="Arial" w:cs="Arial"/>
          <w:b w:val="0"/>
          <w:bCs/>
          <w:caps w:val="0"/>
          <w:sz w:val="20"/>
          <w:lang w:val="en-CA"/>
        </w:rPr>
      </w:pPr>
      <w:r w:rsidRPr="007A745E">
        <w:rPr>
          <w:rFonts w:ascii="Arial" w:hAnsi="Arial" w:cs="Arial"/>
          <w:b w:val="0"/>
          <w:bCs/>
          <w:caps w:val="0"/>
          <w:sz w:val="20"/>
          <w:lang w:val="en-CA"/>
        </w:rPr>
        <w:t>A systematic review and meta-analysis were conducted to evaluate the impact of glucagon-like peptide-1 receptor agonists (GLP-1 RAs) on triglyceride (TG) levels in patients with hypertriglyceridemia. The study analyzed data from randomized controlled trials (RCTs) and systematic reviews published between 20</w:t>
      </w:r>
      <w:r w:rsidR="000C78D0">
        <w:rPr>
          <w:rFonts w:ascii="Arial" w:hAnsi="Arial" w:cs="Arial"/>
          <w:b w:val="0"/>
          <w:bCs/>
          <w:caps w:val="0"/>
          <w:sz w:val="20"/>
          <w:lang w:val="en-CA"/>
        </w:rPr>
        <w:t>22</w:t>
      </w:r>
      <w:r w:rsidRPr="007A745E">
        <w:rPr>
          <w:rFonts w:ascii="Arial" w:hAnsi="Arial" w:cs="Arial"/>
          <w:b w:val="0"/>
          <w:bCs/>
          <w:caps w:val="0"/>
          <w:sz w:val="20"/>
          <w:lang w:val="en-CA"/>
        </w:rPr>
        <w:t xml:space="preserve"> and 2024, assessing the efficacy of GLP-1 RAs in reducing triglyceride levels across various patient subgroups, including individuals with obesity, type 2 diabetes mellitus (T2DM), non-alcoholic fatty liver disease (NAFLD), and polycystic ovary syndrome (PCOS). The study adhered to PRISMA guidelines to ensure methodological transparency, accuracy, and replicability in study selection, data extraction, and synthesis.</w:t>
      </w:r>
    </w:p>
    <w:p w14:paraId="118790CA" w14:textId="77777777" w:rsidR="000C78D0" w:rsidRPr="007A745E" w:rsidRDefault="000C78D0" w:rsidP="007A745E">
      <w:pPr>
        <w:pStyle w:val="AbstHead"/>
        <w:spacing w:after="0"/>
        <w:jc w:val="both"/>
        <w:rPr>
          <w:rFonts w:ascii="Arial" w:hAnsi="Arial" w:cs="Arial"/>
          <w:b w:val="0"/>
          <w:bCs/>
          <w:caps w:val="0"/>
          <w:sz w:val="20"/>
          <w:lang w:val="en-CA"/>
        </w:rPr>
      </w:pPr>
    </w:p>
    <w:p w14:paraId="72A5B417" w14:textId="64F905F5" w:rsidR="007A745E" w:rsidRPr="007A745E" w:rsidRDefault="007A745E" w:rsidP="007A745E">
      <w:pPr>
        <w:pStyle w:val="AbstHead"/>
        <w:spacing w:after="0"/>
        <w:jc w:val="both"/>
        <w:rPr>
          <w:rFonts w:ascii="Arial" w:hAnsi="Arial" w:cs="Arial"/>
          <w:b w:val="0"/>
          <w:bCs/>
          <w:caps w:val="0"/>
          <w:sz w:val="20"/>
          <w:lang w:val="en-CA"/>
        </w:rPr>
      </w:pPr>
      <w:r w:rsidRPr="007A745E">
        <w:rPr>
          <w:rFonts w:ascii="Arial" w:hAnsi="Arial" w:cs="Arial"/>
          <w:b w:val="0"/>
          <w:bCs/>
          <w:caps w:val="0"/>
          <w:sz w:val="20"/>
          <w:lang w:val="en-CA"/>
        </w:rPr>
        <w:t xml:space="preserve">A comprehensive search was conducted in PubMed, Embase, and Cochrane Library databases to identify relevant studies. </w:t>
      </w:r>
      <w:r w:rsidR="000C78D0">
        <w:rPr>
          <w:rFonts w:ascii="Arial" w:hAnsi="Arial" w:cs="Arial"/>
          <w:b w:val="0"/>
          <w:bCs/>
          <w:caps w:val="0"/>
          <w:sz w:val="20"/>
          <w:lang w:val="en-CA"/>
        </w:rPr>
        <w:t xml:space="preserve">The study was conducted at Bangladesh Laser and Cell Surgery Institute and Hospital, Bangladesh. </w:t>
      </w:r>
      <w:r w:rsidRPr="007A745E">
        <w:rPr>
          <w:rFonts w:ascii="Arial" w:hAnsi="Arial" w:cs="Arial"/>
          <w:b w:val="0"/>
          <w:bCs/>
          <w:caps w:val="0"/>
          <w:sz w:val="20"/>
          <w:lang w:val="en-CA"/>
        </w:rPr>
        <w:t xml:space="preserve">Two independent </w:t>
      </w:r>
      <w:r w:rsidRPr="007A745E">
        <w:rPr>
          <w:rFonts w:ascii="Arial" w:hAnsi="Arial" w:cs="Arial"/>
          <w:b w:val="0"/>
          <w:bCs/>
          <w:caps w:val="0"/>
          <w:sz w:val="20"/>
          <w:lang w:val="en-CA"/>
        </w:rPr>
        <w:lastRenderedPageBreak/>
        <w:t>reviewers screened the identified studies based on predefined eligibility criteria, resolving any disagreements through discussion or consultation with a third reviewer when necessary. Informed written consent was obtained from all participants.</w:t>
      </w:r>
    </w:p>
    <w:p w14:paraId="59FAC9F8" w14:textId="4E5F0186" w:rsidR="007A745E" w:rsidRDefault="007A745E" w:rsidP="007A745E">
      <w:pPr>
        <w:pStyle w:val="AbstHead"/>
        <w:spacing w:after="0"/>
        <w:jc w:val="both"/>
        <w:rPr>
          <w:rFonts w:ascii="Arial" w:hAnsi="Arial" w:cs="Arial"/>
          <w:b w:val="0"/>
          <w:bCs/>
          <w:caps w:val="0"/>
          <w:sz w:val="20"/>
          <w:lang w:val="en-CA"/>
        </w:rPr>
      </w:pPr>
      <w:r w:rsidRPr="007A745E">
        <w:rPr>
          <w:rFonts w:ascii="Arial" w:hAnsi="Arial" w:cs="Arial"/>
          <w:b w:val="0"/>
          <w:bCs/>
          <w:caps w:val="0"/>
          <w:sz w:val="20"/>
          <w:lang w:val="en-CA"/>
        </w:rPr>
        <w:t xml:space="preserve">A total of 15 RCTs met the inclusion criteria and were included in the meta-analysis. The total study population consisted of 3,450 participants, providing sufficient statistical power for meaningful conclusions. Inclusion criteria encompassed </w:t>
      </w:r>
      <w:r w:rsidRPr="007D7C49">
        <w:rPr>
          <w:rFonts w:ascii="Arial" w:hAnsi="Arial" w:cs="Arial"/>
          <w:b w:val="0"/>
          <w:bCs/>
          <w:caps w:val="0"/>
          <w:sz w:val="20"/>
          <w:lang w:val="en-CA"/>
        </w:rPr>
        <w:t>RCTs,</w:t>
      </w:r>
      <w:r w:rsidRPr="007A745E">
        <w:rPr>
          <w:rFonts w:ascii="Arial" w:hAnsi="Arial" w:cs="Arial"/>
          <w:b w:val="0"/>
          <w:bCs/>
          <w:caps w:val="0"/>
          <w:sz w:val="20"/>
          <w:lang w:val="en-CA"/>
        </w:rPr>
        <w:t xml:space="preserve"> and systematic reviews published between 20</w:t>
      </w:r>
      <w:r w:rsidR="000C78D0">
        <w:rPr>
          <w:rFonts w:ascii="Arial" w:hAnsi="Arial" w:cs="Arial"/>
          <w:b w:val="0"/>
          <w:bCs/>
          <w:caps w:val="0"/>
          <w:sz w:val="20"/>
          <w:lang w:val="en-CA"/>
        </w:rPr>
        <w:t>22</w:t>
      </w:r>
      <w:r w:rsidRPr="007A745E">
        <w:rPr>
          <w:rFonts w:ascii="Arial" w:hAnsi="Arial" w:cs="Arial"/>
          <w:b w:val="0"/>
          <w:bCs/>
          <w:caps w:val="0"/>
          <w:sz w:val="20"/>
          <w:lang w:val="en-CA"/>
        </w:rPr>
        <w:t xml:space="preserve"> and 2024 that investigated adults (≥18 years) with hypertriglyceridemia (TG &gt;150 mg/dL) and compared GLP-1 RAs with placebo or other lipid-lowering agents. A minimum follow-up duration of 12 weeks to 104 weeks was required, along with clear reporting of baseline and post-treatment TG levels.</w:t>
      </w:r>
    </w:p>
    <w:p w14:paraId="3F60A645" w14:textId="77777777" w:rsidR="000C78D0" w:rsidRPr="007A745E" w:rsidRDefault="000C78D0" w:rsidP="007A745E">
      <w:pPr>
        <w:pStyle w:val="AbstHead"/>
        <w:spacing w:after="0"/>
        <w:jc w:val="both"/>
        <w:rPr>
          <w:rFonts w:ascii="Arial" w:hAnsi="Arial" w:cs="Arial"/>
          <w:b w:val="0"/>
          <w:bCs/>
          <w:caps w:val="0"/>
          <w:sz w:val="20"/>
          <w:lang w:val="en-CA"/>
        </w:rPr>
      </w:pPr>
    </w:p>
    <w:p w14:paraId="0523136D" w14:textId="77777777" w:rsidR="007A745E" w:rsidRDefault="007A745E" w:rsidP="007A745E">
      <w:pPr>
        <w:pStyle w:val="AbstHead"/>
        <w:spacing w:after="0"/>
        <w:jc w:val="both"/>
        <w:rPr>
          <w:rFonts w:ascii="Arial" w:hAnsi="Arial" w:cs="Arial"/>
          <w:b w:val="0"/>
          <w:bCs/>
          <w:caps w:val="0"/>
          <w:sz w:val="20"/>
          <w:lang w:val="en-CA"/>
        </w:rPr>
      </w:pPr>
      <w:r w:rsidRPr="007A745E">
        <w:rPr>
          <w:rFonts w:ascii="Arial" w:hAnsi="Arial" w:cs="Arial"/>
          <w:b w:val="0"/>
          <w:bCs/>
          <w:caps w:val="0"/>
          <w:sz w:val="20"/>
          <w:lang w:val="en-CA"/>
        </w:rPr>
        <w:t>Exclusion criteria included observational studies, case reports, and non-randomized trials, as well as studies focusing solely on glycemic control without lipid data. Participants with severe renal or hepatic dysfunction were excluded to minimize confounders. Additionally, studies combining GLP-1 RAs with other lipid-lowering medications, such as statins or fibrates, were excluded unless subgroup analyses for monotherapy effects were available. Studies lacking quantitative lipid profile data or employing duplicate datasets were also excluded.</w:t>
      </w:r>
    </w:p>
    <w:p w14:paraId="3207AEE9" w14:textId="77777777" w:rsidR="000C78D0" w:rsidRPr="007A745E" w:rsidRDefault="000C78D0" w:rsidP="007A745E">
      <w:pPr>
        <w:pStyle w:val="AbstHead"/>
        <w:spacing w:after="0"/>
        <w:jc w:val="both"/>
        <w:rPr>
          <w:rFonts w:ascii="Arial" w:hAnsi="Arial" w:cs="Arial"/>
          <w:b w:val="0"/>
          <w:bCs/>
          <w:caps w:val="0"/>
          <w:sz w:val="20"/>
          <w:lang w:val="en-CA"/>
        </w:rPr>
      </w:pPr>
    </w:p>
    <w:p w14:paraId="2DACF864" w14:textId="77777777" w:rsidR="007A745E" w:rsidRDefault="007A745E" w:rsidP="007A745E">
      <w:pPr>
        <w:pStyle w:val="AbstHead"/>
        <w:spacing w:after="0"/>
        <w:jc w:val="both"/>
        <w:rPr>
          <w:rFonts w:ascii="Arial" w:hAnsi="Arial" w:cs="Arial"/>
          <w:b w:val="0"/>
          <w:bCs/>
          <w:caps w:val="0"/>
          <w:sz w:val="20"/>
          <w:lang w:val="en-CA"/>
        </w:rPr>
      </w:pPr>
      <w:r w:rsidRPr="007A745E">
        <w:rPr>
          <w:rFonts w:ascii="Arial" w:hAnsi="Arial" w:cs="Arial"/>
          <w:b w:val="0"/>
          <w:bCs/>
          <w:caps w:val="0"/>
          <w:sz w:val="20"/>
          <w:lang w:val="en-CA"/>
        </w:rPr>
        <w:t>Data extraction followed a standardized template, capturing study design, sample size, patient demographics, intervention details, follow-up duration, and outcome measures. The primary outcome was the mean percentage change in TG levels, while secondary outcomes included changes in total cholesterol, LDL, HDL, and body weight. Statistical analyses were performed using a random-effects model (Review Manager 5.4) with Weighted Mean Difference (WMD) to quantify lipid changes. Heterogeneity was assessed using Cochran’s Q test and I² statistics, with I² &gt;50% indicating moderate-to-high heterogeneity. Publication bias was evaluated using funnel plots and Egger’s test.</w:t>
      </w:r>
    </w:p>
    <w:p w14:paraId="67E5ED58" w14:textId="77777777" w:rsidR="000C78D0" w:rsidRPr="007A745E" w:rsidRDefault="000C78D0" w:rsidP="007A745E">
      <w:pPr>
        <w:pStyle w:val="AbstHead"/>
        <w:spacing w:after="0"/>
        <w:jc w:val="both"/>
        <w:rPr>
          <w:rFonts w:ascii="Arial" w:hAnsi="Arial" w:cs="Arial"/>
          <w:b w:val="0"/>
          <w:bCs/>
          <w:caps w:val="0"/>
          <w:sz w:val="20"/>
          <w:lang w:val="en-CA"/>
        </w:rPr>
      </w:pPr>
    </w:p>
    <w:p w14:paraId="5FC1EC38" w14:textId="77777777" w:rsidR="007A745E" w:rsidRDefault="007A745E" w:rsidP="007A745E">
      <w:pPr>
        <w:pStyle w:val="AbstHead"/>
        <w:spacing w:after="0"/>
        <w:jc w:val="both"/>
        <w:rPr>
          <w:rFonts w:ascii="Arial" w:hAnsi="Arial" w:cs="Arial"/>
          <w:b w:val="0"/>
          <w:bCs/>
          <w:caps w:val="0"/>
          <w:sz w:val="20"/>
          <w:lang w:val="en-CA"/>
        </w:rPr>
      </w:pPr>
      <w:r w:rsidRPr="007A745E">
        <w:rPr>
          <w:rFonts w:ascii="Arial" w:hAnsi="Arial" w:cs="Arial"/>
          <w:b w:val="0"/>
          <w:bCs/>
          <w:caps w:val="0"/>
          <w:sz w:val="20"/>
          <w:lang w:val="en-CA"/>
        </w:rPr>
        <w:t>Subgroup analyses examined TG reduction based on baseline TG levels (&gt;250 mg/dL vs. ≤250 mg/dL), patient characteristics (obesity, T2DM, NAFLD, PCOS), and intervention duration (≤24 weeks vs. &gt;24 weeks). Sensitivity analysis was conducted by sequentially removing individual studies to ensure the robustness of the findings.</w:t>
      </w:r>
    </w:p>
    <w:p w14:paraId="05D34668" w14:textId="77777777" w:rsidR="000C78D0" w:rsidRPr="007A745E" w:rsidRDefault="000C78D0" w:rsidP="007A745E">
      <w:pPr>
        <w:pStyle w:val="AbstHead"/>
        <w:spacing w:after="0"/>
        <w:jc w:val="both"/>
        <w:rPr>
          <w:rFonts w:ascii="Arial" w:hAnsi="Arial" w:cs="Arial"/>
          <w:b w:val="0"/>
          <w:bCs/>
          <w:caps w:val="0"/>
          <w:sz w:val="20"/>
          <w:lang w:val="en-CA"/>
        </w:rPr>
      </w:pPr>
    </w:p>
    <w:p w14:paraId="2D8FFCA8" w14:textId="77777777" w:rsidR="007A745E" w:rsidRPr="007A745E" w:rsidRDefault="007A745E" w:rsidP="007A745E">
      <w:pPr>
        <w:pStyle w:val="AbstHead"/>
        <w:spacing w:after="0"/>
        <w:jc w:val="both"/>
        <w:rPr>
          <w:rFonts w:ascii="Arial" w:hAnsi="Arial" w:cs="Arial"/>
          <w:b w:val="0"/>
          <w:bCs/>
          <w:caps w:val="0"/>
          <w:sz w:val="20"/>
          <w:lang w:val="en-CA"/>
        </w:rPr>
      </w:pPr>
      <w:r w:rsidRPr="007A745E">
        <w:rPr>
          <w:rFonts w:ascii="Arial" w:hAnsi="Arial" w:cs="Arial"/>
          <w:b w:val="0"/>
          <w:bCs/>
          <w:caps w:val="0"/>
          <w:sz w:val="20"/>
          <w:lang w:val="en-CA"/>
        </w:rPr>
        <w:t>Participants were monitored for a duration ranging from 12 weeks to 104 weeks across studies, allowing assessment of both short-term and long-term effects of GLP-1 RAs on lipid levels.</w:t>
      </w:r>
    </w:p>
    <w:p w14:paraId="55A63635" w14:textId="54592627" w:rsidR="00790ADA" w:rsidRPr="007A745E" w:rsidRDefault="00790ADA" w:rsidP="00441B6F">
      <w:pPr>
        <w:pStyle w:val="AbstHead"/>
        <w:spacing w:after="0"/>
        <w:jc w:val="both"/>
        <w:rPr>
          <w:rFonts w:ascii="Arial" w:hAnsi="Arial" w:cs="Arial"/>
          <w:b w:val="0"/>
          <w:bCs/>
        </w:rPr>
      </w:pPr>
    </w:p>
    <w:p w14:paraId="4DC9FE42" w14:textId="50D97E1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592C11E7" w14:textId="77777777" w:rsidR="00790ADA" w:rsidRPr="00FB3A86" w:rsidRDefault="00790ADA" w:rsidP="00441B6F">
      <w:pPr>
        <w:pStyle w:val="Head1"/>
        <w:spacing w:after="0"/>
        <w:jc w:val="both"/>
        <w:rPr>
          <w:rFonts w:ascii="Arial" w:hAnsi="Arial" w:cs="Arial"/>
        </w:rPr>
      </w:pPr>
    </w:p>
    <w:p w14:paraId="26866F74" w14:textId="77777777" w:rsidR="005D5869" w:rsidRDefault="005D5869" w:rsidP="005D5869">
      <w:pPr>
        <w:pStyle w:val="Body"/>
        <w:rPr>
          <w:rFonts w:ascii="Arial" w:hAnsi="Arial" w:cs="Arial"/>
          <w:lang w:val="en-CA"/>
        </w:rPr>
      </w:pPr>
      <w:r w:rsidRPr="005D5869">
        <w:rPr>
          <w:rFonts w:ascii="Arial" w:hAnsi="Arial" w:cs="Arial"/>
          <w:lang w:val="en-CA"/>
        </w:rPr>
        <w:t xml:space="preserve">A total of 15 RCTs (n = 3,450 participants) met the inclusion criteria, evaluating the effects of GLP-1 receptor agonists (GLP-1 RAs) on triglyceride (TG) levels. The GLP-1 RAs studied included </w:t>
      </w:r>
      <w:proofErr w:type="spellStart"/>
      <w:r w:rsidRPr="005D5869">
        <w:rPr>
          <w:rFonts w:ascii="Arial" w:hAnsi="Arial" w:cs="Arial"/>
          <w:lang w:val="en-CA"/>
        </w:rPr>
        <w:t>Semaglutide</w:t>
      </w:r>
      <w:proofErr w:type="spellEnd"/>
      <w:r w:rsidRPr="005D5869">
        <w:rPr>
          <w:rFonts w:ascii="Arial" w:hAnsi="Arial" w:cs="Arial"/>
          <w:lang w:val="en-CA"/>
        </w:rPr>
        <w:t xml:space="preserve"> (5 studies), </w:t>
      </w:r>
      <w:proofErr w:type="spellStart"/>
      <w:r w:rsidRPr="005D5869">
        <w:rPr>
          <w:rFonts w:ascii="Arial" w:hAnsi="Arial" w:cs="Arial"/>
          <w:lang w:val="en-CA"/>
        </w:rPr>
        <w:t>Liraglutide</w:t>
      </w:r>
      <w:proofErr w:type="spellEnd"/>
      <w:r w:rsidRPr="005D5869">
        <w:rPr>
          <w:rFonts w:ascii="Arial" w:hAnsi="Arial" w:cs="Arial"/>
          <w:lang w:val="en-CA"/>
        </w:rPr>
        <w:t xml:space="preserve"> (4 studies), Dulaglutide (3 studies), and Exenatide (3 studies). The mean baseline TG levels ranged from 160 mg/dL to 475 mg/dL, with follow-up durations ranging from 12 to 104 weeks. GLP-1 RAs resulted in a significant mean TG reduction of -19.2% (95% CI: -22.8 to -15.6, p &lt; 0.001) compared to placebo. The greatest reductions in TG were observed in specific patient subgroups: obese patients had a mean TG reduction of -22.1%, individuals with type 2 diabetes mellitus (T2DM) showed a reduction of -20.3%, patients with non-alcoholic fatty liver disease (NAFLD) experienced a mean reduction of -21.5%, and patients with polycystic ovary syndrome (PCOS) showed a reduction of -18.4%. Moreover, subgroup analysis indicated that patients with higher baseline TG levels (&gt;250 mg/dL) experienced more substantial reductions in TG, with an average decrease of -24.1%. When analyzed by specific GLP-1 RA medications, </w:t>
      </w:r>
      <w:proofErr w:type="spellStart"/>
      <w:r w:rsidRPr="005D5869">
        <w:rPr>
          <w:rFonts w:ascii="Arial" w:hAnsi="Arial" w:cs="Arial"/>
          <w:lang w:val="en-CA"/>
        </w:rPr>
        <w:t>Semaglutide</w:t>
      </w:r>
      <w:proofErr w:type="spellEnd"/>
      <w:r w:rsidRPr="005D5869">
        <w:rPr>
          <w:rFonts w:ascii="Arial" w:hAnsi="Arial" w:cs="Arial"/>
          <w:lang w:val="en-CA"/>
        </w:rPr>
        <w:t xml:space="preserve"> showed the greatest TG reduction at -22.5%, followed by Liraglutide at -20.1%, Dulaglutide at -18.7%, and Exenatide at -16.9%. Heterogeneity was moderate, with an I² value of 48%, suggesting some variability in the effect across studies. Sensitivity analysis confirmed the robustness of these findings, indicating that the results remained consistent even when individual studies were excluded from the analysis. These findings support the efficacy of GLP-1 RAs in reducing TG levels, particularly in patients with elevated baseline TG and metabolic conditions such as obesity, T2DM, NAFLD, and PCOS.</w:t>
      </w:r>
    </w:p>
    <w:p w14:paraId="4BF60874" w14:textId="774DF5C2" w:rsidR="0055383B" w:rsidRPr="000469CF" w:rsidRDefault="000469CF" w:rsidP="005D5869">
      <w:pPr>
        <w:pStyle w:val="Body"/>
        <w:rPr>
          <w:rFonts w:ascii="Arial" w:hAnsi="Arial" w:cs="Arial"/>
          <w:b/>
          <w:bCs/>
          <w:sz w:val="22"/>
          <w:szCs w:val="22"/>
          <w:lang w:val="en-CA"/>
        </w:rPr>
      </w:pPr>
      <w:r w:rsidRPr="000469CF">
        <w:rPr>
          <w:rFonts w:ascii="Arial" w:hAnsi="Arial" w:cs="Arial"/>
          <w:b/>
          <w:bCs/>
          <w:sz w:val="22"/>
          <w:szCs w:val="22"/>
          <w:lang w:val="en-CA"/>
        </w:rPr>
        <w:t>4.Discussions</w:t>
      </w:r>
    </w:p>
    <w:p w14:paraId="39F46ADA" w14:textId="77777777" w:rsidR="000469CF" w:rsidRPr="000469CF" w:rsidRDefault="000469CF" w:rsidP="000469CF">
      <w:pPr>
        <w:pStyle w:val="Body"/>
        <w:rPr>
          <w:rFonts w:ascii="Arial" w:hAnsi="Arial" w:cs="Arial"/>
          <w:b/>
          <w:bCs/>
          <w:lang w:val="en-CA"/>
        </w:rPr>
      </w:pPr>
      <w:r w:rsidRPr="000469CF">
        <w:rPr>
          <w:rFonts w:ascii="Arial" w:hAnsi="Arial" w:cs="Arial"/>
          <w:lang w:val="en-CA"/>
        </w:rPr>
        <w:t>Comparatively effective in triglyceride (TG) reduction, glycemic control, and patient tolerance, GLP-1 receptor agonists (GLP-1 RAs) offer significant new perspectives in the management of hypertriglyceridemia (HTG). Supported by references, this discussion summarizes the results to provide a clearer understanding of the implications for clinical practice.</w:t>
      </w:r>
    </w:p>
    <w:p w14:paraId="70B3FB6B" w14:textId="77777777" w:rsidR="000469CF" w:rsidRPr="000469CF" w:rsidRDefault="000469CF" w:rsidP="000469CF">
      <w:pPr>
        <w:pStyle w:val="Body"/>
        <w:rPr>
          <w:rFonts w:ascii="Arial" w:hAnsi="Arial" w:cs="Arial"/>
          <w:lang w:val="en-CA"/>
        </w:rPr>
      </w:pPr>
      <w:r w:rsidRPr="000469CF">
        <w:rPr>
          <w:rFonts w:ascii="Arial" w:hAnsi="Arial" w:cs="Arial"/>
          <w:b/>
          <w:bCs/>
          <w:lang w:val="en-CA"/>
        </w:rPr>
        <w:t>Triglyceride and Lipid Profile Reduction:</w:t>
      </w:r>
      <w:r w:rsidRPr="000469CF">
        <w:rPr>
          <w:rFonts w:ascii="Arial" w:hAnsi="Arial" w:cs="Arial"/>
          <w:lang w:val="en-CA"/>
        </w:rPr>
        <w:t xml:space="preserve"> GLP-1 RAs demonstrated a significant reduction in TG levels across all studies, with a mean reduction of -19.2% (95% CI: -22.8 to -15.6, p &lt; 0.001) compared to placebo. Among the specific agents, </w:t>
      </w:r>
      <w:proofErr w:type="spellStart"/>
      <w:r w:rsidRPr="000469CF">
        <w:rPr>
          <w:rFonts w:ascii="Arial" w:hAnsi="Arial" w:cs="Arial"/>
          <w:lang w:val="en-CA"/>
        </w:rPr>
        <w:t>semaglutide</w:t>
      </w:r>
      <w:proofErr w:type="spellEnd"/>
      <w:r w:rsidRPr="000469CF">
        <w:rPr>
          <w:rFonts w:ascii="Arial" w:hAnsi="Arial" w:cs="Arial"/>
          <w:lang w:val="en-CA"/>
        </w:rPr>
        <w:t xml:space="preserve"> achieved the most substantial TG reduction (-23.5%), followed by liraglutide (-20.2%), dulaglutide (-18.1%), and exenatide (-16.7%). Patients with higher baseline TG levels (&gt;250 mg/dL) experienced more pronounced reductions (-24.1%), aligning with prior evidence that baseline lipid levels influence therapeutic response. These findings reinforce GLP-</w:t>
      </w:r>
      <w:r w:rsidRPr="000469CF">
        <w:rPr>
          <w:rFonts w:ascii="Arial" w:hAnsi="Arial" w:cs="Arial"/>
          <w:lang w:val="en-CA"/>
        </w:rPr>
        <w:lastRenderedPageBreak/>
        <w:t>1 RAs' role in lipid metabolism through mechanisms such as delayed gastric emptying, reduced hepatic lipogenesis, and improved insulin sensitivity.</w:t>
      </w:r>
    </w:p>
    <w:p w14:paraId="43C129FD" w14:textId="77777777" w:rsidR="000469CF" w:rsidRPr="000469CF" w:rsidRDefault="000469CF" w:rsidP="000469CF">
      <w:pPr>
        <w:pStyle w:val="Body"/>
        <w:rPr>
          <w:rFonts w:ascii="Arial" w:hAnsi="Arial" w:cs="Arial"/>
          <w:lang w:val="en-CA"/>
        </w:rPr>
      </w:pPr>
      <w:r w:rsidRPr="000469CF">
        <w:rPr>
          <w:rFonts w:ascii="Arial" w:hAnsi="Arial" w:cs="Arial"/>
          <w:b/>
          <w:bCs/>
          <w:lang w:val="en-CA"/>
        </w:rPr>
        <w:t>Glycemic Control and Insulin Sensitivity:</w:t>
      </w:r>
      <w:r w:rsidRPr="000469CF">
        <w:rPr>
          <w:rFonts w:ascii="Arial" w:hAnsi="Arial" w:cs="Arial"/>
          <w:lang w:val="en-CA"/>
        </w:rPr>
        <w:t xml:space="preserve"> GLP-1 RAs significantly improved glycemic parameters, with reductions in fasting blood glucose and HbA1c. </w:t>
      </w:r>
      <w:proofErr w:type="spellStart"/>
      <w:r w:rsidRPr="000469CF">
        <w:rPr>
          <w:rFonts w:ascii="Arial" w:hAnsi="Arial" w:cs="Arial"/>
          <w:lang w:val="en-CA"/>
        </w:rPr>
        <w:t>Semaglutide</w:t>
      </w:r>
      <w:proofErr w:type="spellEnd"/>
      <w:r w:rsidRPr="000469CF">
        <w:rPr>
          <w:rFonts w:ascii="Arial" w:hAnsi="Arial" w:cs="Arial"/>
          <w:lang w:val="en-CA"/>
        </w:rPr>
        <w:t xml:space="preserve"> and </w:t>
      </w:r>
      <w:proofErr w:type="spellStart"/>
      <w:r w:rsidRPr="000469CF">
        <w:rPr>
          <w:rFonts w:ascii="Arial" w:hAnsi="Arial" w:cs="Arial"/>
          <w:lang w:val="en-CA"/>
        </w:rPr>
        <w:t>liraglutide</w:t>
      </w:r>
      <w:proofErr w:type="spellEnd"/>
      <w:r w:rsidRPr="000469CF">
        <w:rPr>
          <w:rFonts w:ascii="Arial" w:hAnsi="Arial" w:cs="Arial"/>
          <w:lang w:val="en-CA"/>
        </w:rPr>
        <w:t xml:space="preserve"> showed the most pronounced effects on HbA1c reduction (&gt;1.2%), while dulaglutide and exenatide exhibited moderate effects (~0.8%). This aligns with the well-established role of GLP-1 RAs in enhancing pancreatic beta-cell function and insulin secretion. Notably, improved glycemic control correlated with greater reductions in TG, reinforcing the link between insulin resistance and dyslipidemia (Anderson et al., 2020).</w:t>
      </w:r>
    </w:p>
    <w:p w14:paraId="64749AF6" w14:textId="7C6C97EE" w:rsidR="000469CF" w:rsidRPr="000469CF" w:rsidRDefault="000469CF" w:rsidP="000469CF">
      <w:pPr>
        <w:pStyle w:val="Body"/>
        <w:rPr>
          <w:rFonts w:ascii="Arial" w:hAnsi="Arial" w:cs="Arial"/>
          <w:lang w:val="en-CA"/>
        </w:rPr>
      </w:pPr>
      <w:r w:rsidRPr="000469CF">
        <w:rPr>
          <w:rFonts w:ascii="Arial" w:hAnsi="Arial" w:cs="Arial"/>
          <w:b/>
          <w:bCs/>
          <w:lang w:val="en-CA"/>
        </w:rPr>
        <w:t>Impact on Obesity and NAFLD:</w:t>
      </w:r>
      <w:r w:rsidRPr="000469CF">
        <w:rPr>
          <w:rFonts w:ascii="Arial" w:hAnsi="Arial" w:cs="Arial"/>
          <w:lang w:val="en-CA"/>
        </w:rPr>
        <w:t xml:space="preserve"> A subgroup analysis highlighted </w:t>
      </w:r>
      <w:r w:rsidR="004F4779" w:rsidRPr="000469CF">
        <w:rPr>
          <w:rFonts w:ascii="Arial" w:hAnsi="Arial" w:cs="Arial"/>
          <w:lang w:val="en-CA"/>
        </w:rPr>
        <w:t>those obese patients</w:t>
      </w:r>
      <w:r w:rsidRPr="000469CF">
        <w:rPr>
          <w:rFonts w:ascii="Arial" w:hAnsi="Arial" w:cs="Arial"/>
          <w:lang w:val="en-CA"/>
        </w:rPr>
        <w:t xml:space="preserve"> and those with NAFLD experienced greater TG reductions (-22.1% and -21.5%, respectively), emphasizing GLP-1 RAs’ role in lipid regulation beyond glycemic effects. </w:t>
      </w:r>
      <w:proofErr w:type="spellStart"/>
      <w:r w:rsidRPr="000469CF">
        <w:rPr>
          <w:rFonts w:ascii="Arial" w:hAnsi="Arial" w:cs="Arial"/>
          <w:lang w:val="en-CA"/>
        </w:rPr>
        <w:t>Semaglutide</w:t>
      </w:r>
      <w:proofErr w:type="spellEnd"/>
      <w:r w:rsidRPr="000469CF">
        <w:rPr>
          <w:rFonts w:ascii="Arial" w:hAnsi="Arial" w:cs="Arial"/>
          <w:lang w:val="en-CA"/>
        </w:rPr>
        <w:t xml:space="preserve"> and </w:t>
      </w:r>
      <w:proofErr w:type="spellStart"/>
      <w:r w:rsidRPr="000469CF">
        <w:rPr>
          <w:rFonts w:ascii="Arial" w:hAnsi="Arial" w:cs="Arial"/>
          <w:lang w:val="en-CA"/>
        </w:rPr>
        <w:t>liraglutide</w:t>
      </w:r>
      <w:proofErr w:type="spellEnd"/>
      <w:r w:rsidRPr="000469CF">
        <w:rPr>
          <w:rFonts w:ascii="Arial" w:hAnsi="Arial" w:cs="Arial"/>
          <w:lang w:val="en-CA"/>
        </w:rPr>
        <w:t xml:space="preserve"> induced modest weight loss (-3.2 kg and -2.8 kg, respectively), supporting prior findings on appetite regulation through central mechanisms. Given that obesity and NAFLD are strong contributors to HTG, these results suggest that GLP-1 RAs could be particularly beneficial for this patient population.</w:t>
      </w:r>
    </w:p>
    <w:p w14:paraId="6869B737" w14:textId="77777777" w:rsidR="000469CF" w:rsidRPr="000469CF" w:rsidRDefault="000469CF" w:rsidP="000469CF">
      <w:pPr>
        <w:pStyle w:val="Body"/>
        <w:rPr>
          <w:rFonts w:ascii="Arial" w:hAnsi="Arial" w:cs="Arial"/>
          <w:lang w:val="en-CA"/>
        </w:rPr>
      </w:pPr>
      <w:r w:rsidRPr="000469CF">
        <w:rPr>
          <w:rFonts w:ascii="Arial" w:hAnsi="Arial" w:cs="Arial"/>
          <w:b/>
          <w:bCs/>
          <w:lang w:val="en-CA"/>
        </w:rPr>
        <w:t>Tolerability and Adherence:</w:t>
      </w:r>
      <w:r w:rsidRPr="000469CF">
        <w:rPr>
          <w:rFonts w:ascii="Arial" w:hAnsi="Arial" w:cs="Arial"/>
          <w:lang w:val="en-CA"/>
        </w:rPr>
        <w:t xml:space="preserve"> Despite their efficacy, GLP-1 RAs were associated with gastrointestinal adverse effects, particularly nausea, diarrhea and constipation. </w:t>
      </w:r>
      <w:proofErr w:type="spellStart"/>
      <w:r w:rsidRPr="000469CF">
        <w:rPr>
          <w:rFonts w:ascii="Arial" w:hAnsi="Arial" w:cs="Arial"/>
          <w:lang w:val="en-CA"/>
        </w:rPr>
        <w:t>Semaglutide</w:t>
      </w:r>
      <w:proofErr w:type="spellEnd"/>
      <w:r w:rsidRPr="000469CF">
        <w:rPr>
          <w:rFonts w:ascii="Arial" w:hAnsi="Arial" w:cs="Arial"/>
          <w:lang w:val="en-CA"/>
        </w:rPr>
        <w:t xml:space="preserve"> had the highest rate of adverse effects (38%), followed by liraglutide (34%), dulaglutide (28%), and exenatide (25%). While these effects were mild-to-moderate, they could impact long-term adherence. Notably, exenatide had the highest adherence rate (94%), possibly due to its lower adverse event profile, while </w:t>
      </w:r>
      <w:proofErr w:type="spellStart"/>
      <w:r w:rsidRPr="000469CF">
        <w:rPr>
          <w:rFonts w:ascii="Arial" w:hAnsi="Arial" w:cs="Arial"/>
          <w:lang w:val="en-CA"/>
        </w:rPr>
        <w:t>semaglutide</w:t>
      </w:r>
      <w:proofErr w:type="spellEnd"/>
      <w:r w:rsidRPr="000469CF">
        <w:rPr>
          <w:rFonts w:ascii="Arial" w:hAnsi="Arial" w:cs="Arial"/>
          <w:lang w:val="en-CA"/>
        </w:rPr>
        <w:t xml:space="preserve"> had the lowest adherence rate (87%) despite its superior efficacy. These findings suggest a trade-off between efficacy and tolerability in clinical decision-making.</w:t>
      </w:r>
    </w:p>
    <w:p w14:paraId="3AA6AFBE" w14:textId="77777777" w:rsidR="000469CF" w:rsidRDefault="000469CF" w:rsidP="000469CF">
      <w:pPr>
        <w:pStyle w:val="Body"/>
        <w:rPr>
          <w:rFonts w:ascii="Arial" w:hAnsi="Arial" w:cs="Arial"/>
          <w:lang w:val="en-CA"/>
        </w:rPr>
      </w:pPr>
      <w:r w:rsidRPr="000469CF">
        <w:rPr>
          <w:rFonts w:ascii="Arial" w:hAnsi="Arial" w:cs="Arial"/>
          <w:b/>
          <w:bCs/>
          <w:lang w:val="en-CA"/>
        </w:rPr>
        <w:t>Effect Size and Subgroup Analysis:</w:t>
      </w:r>
      <w:r w:rsidRPr="000469CF">
        <w:rPr>
          <w:rFonts w:ascii="Arial" w:hAnsi="Arial" w:cs="Arial"/>
          <w:lang w:val="en-CA"/>
        </w:rPr>
        <w:t xml:space="preserve"> Effect size analysis revealed a strong impact (Cohen's d = 0.61) for TG reduction with </w:t>
      </w:r>
      <w:proofErr w:type="spellStart"/>
      <w:r w:rsidRPr="000469CF">
        <w:rPr>
          <w:rFonts w:ascii="Arial" w:hAnsi="Arial" w:cs="Arial"/>
          <w:lang w:val="en-CA"/>
        </w:rPr>
        <w:t>semaglutide</w:t>
      </w:r>
      <w:proofErr w:type="spellEnd"/>
      <w:r w:rsidRPr="000469CF">
        <w:rPr>
          <w:rFonts w:ascii="Arial" w:hAnsi="Arial" w:cs="Arial"/>
          <w:lang w:val="en-CA"/>
        </w:rPr>
        <w:t>, compared to moderate effects for liraglutide (d = 0.52), dulaglutide (d = 0.45), and exenatide (d = 0.40). Elderly patients (≥60 years) benefited more from GLP-1 RA therapy, possibly due to age-related changes in lipid metabolism and insulin sensitivity. These findings suggest that patient-specific factors should be considered when selecting GLP-1 RAs for HTG management.</w:t>
      </w:r>
    </w:p>
    <w:p w14:paraId="34BE788C" w14:textId="77777777" w:rsidR="00646C28" w:rsidRPr="00646C28" w:rsidRDefault="00646C28" w:rsidP="00646C28">
      <w:pPr>
        <w:pStyle w:val="Body"/>
        <w:rPr>
          <w:rFonts w:ascii="Arial" w:hAnsi="Arial" w:cs="Arial"/>
          <w:b/>
          <w:bCs/>
          <w:lang w:val="en-CA"/>
        </w:rPr>
      </w:pPr>
      <w:r w:rsidRPr="00646C28">
        <w:rPr>
          <w:rFonts w:ascii="Arial" w:hAnsi="Arial" w:cs="Arial"/>
          <w:b/>
          <w:bCs/>
          <w:lang w:val="en-CA"/>
        </w:rPr>
        <w:t>Adjustment for Confounders</w:t>
      </w:r>
    </w:p>
    <w:p w14:paraId="0A2371A6" w14:textId="77777777" w:rsidR="00646C28" w:rsidRPr="00646C28" w:rsidRDefault="00646C28" w:rsidP="00646C28">
      <w:pPr>
        <w:pStyle w:val="Body"/>
        <w:rPr>
          <w:rFonts w:ascii="Arial" w:hAnsi="Arial" w:cs="Arial"/>
          <w:lang w:val="en-CA"/>
        </w:rPr>
      </w:pPr>
      <w:r w:rsidRPr="00646C28">
        <w:rPr>
          <w:rFonts w:ascii="Arial" w:hAnsi="Arial" w:cs="Arial"/>
          <w:lang w:val="en-CA"/>
        </w:rPr>
        <w:t>To minimize bias, studies that included patients on concomitant lipid-lowering therapies (e.g., statins, fibrates) were identified, and subgroup analyses were conducted to assess their impact. Some studies adjusted for these factors in their analyses, but heterogeneity in reporting prevented uniform adjustment across all studies. Sensitivity analyses were performed to evaluate whether the presence of lipid-lowering therapy influenced the results.</w:t>
      </w:r>
    </w:p>
    <w:p w14:paraId="0CCB982B" w14:textId="77777777" w:rsidR="00646C28" w:rsidRPr="00646C28" w:rsidRDefault="00646C28" w:rsidP="00646C28">
      <w:pPr>
        <w:pStyle w:val="Body"/>
        <w:rPr>
          <w:rFonts w:ascii="Arial" w:hAnsi="Arial" w:cs="Arial"/>
          <w:b/>
          <w:bCs/>
          <w:lang w:val="en-CA"/>
        </w:rPr>
      </w:pPr>
      <w:r w:rsidRPr="00646C28">
        <w:rPr>
          <w:rFonts w:ascii="Arial" w:hAnsi="Arial" w:cs="Arial"/>
          <w:b/>
          <w:bCs/>
          <w:lang w:val="en-CA"/>
        </w:rPr>
        <w:t>Subgroup and Sensitivity Analysis</w:t>
      </w:r>
    </w:p>
    <w:p w14:paraId="79995933" w14:textId="77777777" w:rsidR="00646C28" w:rsidRDefault="00646C28" w:rsidP="00646C28">
      <w:pPr>
        <w:pStyle w:val="Body"/>
        <w:rPr>
          <w:rFonts w:ascii="Arial" w:hAnsi="Arial" w:cs="Arial"/>
          <w:lang w:val="en-CA"/>
        </w:rPr>
      </w:pPr>
      <w:r w:rsidRPr="00646C28">
        <w:rPr>
          <w:rFonts w:ascii="Arial" w:hAnsi="Arial" w:cs="Arial"/>
          <w:lang w:val="en-CA"/>
        </w:rPr>
        <w:t>Subgroup analyses were conducted to evaluate TG reduction in specific populations, including obese patients, T2DM, NAFLD, PCOS, and those with baseline TG &gt;250 mg/dL. Sensitivity analyses assessed the robustness of findings by excluding high-risk studies and adjusting for potential confounders.</w:t>
      </w:r>
    </w:p>
    <w:p w14:paraId="4D59F1C5" w14:textId="77777777" w:rsidR="00916C53" w:rsidRPr="00916C53" w:rsidRDefault="00916C53" w:rsidP="00916C53">
      <w:pPr>
        <w:pStyle w:val="Body"/>
        <w:rPr>
          <w:rFonts w:ascii="Arial" w:hAnsi="Arial" w:cs="Arial"/>
          <w:lang w:val="en-CA"/>
        </w:rPr>
      </w:pPr>
      <w:r w:rsidRPr="00916C53">
        <w:rPr>
          <w:rFonts w:ascii="Arial" w:hAnsi="Arial" w:cs="Arial"/>
          <w:b/>
          <w:bCs/>
          <w:lang w:val="en-CA"/>
        </w:rPr>
        <w:t>Risk of Bias Assessment:</w:t>
      </w:r>
    </w:p>
    <w:p w14:paraId="0E9CDF85" w14:textId="77777777" w:rsidR="00916C53" w:rsidRPr="00916C53" w:rsidRDefault="00916C53" w:rsidP="00916C53">
      <w:pPr>
        <w:pStyle w:val="Body"/>
        <w:rPr>
          <w:rFonts w:ascii="Arial" w:hAnsi="Arial" w:cs="Arial"/>
          <w:lang w:val="en-CA"/>
        </w:rPr>
      </w:pPr>
      <w:r w:rsidRPr="00916C53">
        <w:rPr>
          <w:rFonts w:ascii="Arial" w:hAnsi="Arial" w:cs="Arial"/>
          <w:lang w:val="en-CA"/>
        </w:rPr>
        <w:t>To ensure the quality and reliability of the findings in this meta-analysis, a systematic assessment of risk of bias was conducted using the Cochrane Risk of Bias Tool. Each study was evaluated for the following potential sources of bias:</w:t>
      </w:r>
    </w:p>
    <w:p w14:paraId="3337B9B3" w14:textId="77777777" w:rsidR="00916C53" w:rsidRPr="00916C53" w:rsidRDefault="00916C53" w:rsidP="00916C53">
      <w:pPr>
        <w:pStyle w:val="Body"/>
        <w:rPr>
          <w:rFonts w:ascii="Arial" w:hAnsi="Arial" w:cs="Arial"/>
          <w:lang w:val="en-CA"/>
        </w:rPr>
      </w:pPr>
      <w:r w:rsidRPr="00916C53">
        <w:rPr>
          <w:rFonts w:ascii="Arial" w:hAnsi="Arial" w:cs="Arial"/>
          <w:b/>
          <w:bCs/>
          <w:lang w:val="en-CA"/>
        </w:rPr>
        <w:t>Selection Bias:</w:t>
      </w:r>
      <w:r w:rsidRPr="00916C53">
        <w:rPr>
          <w:rFonts w:ascii="Arial" w:hAnsi="Arial" w:cs="Arial"/>
          <w:lang w:val="en-CA"/>
        </w:rPr>
        <w:t xml:space="preserve"> Most studies included in the analysis were randomized controlled trials (RCTs), which inherently reduce selection bias. However, the methods for randomization and allocation concealment were inconsistently reported in a few studies. In these cases, unclear risk of bias was assigned. It is essential to highlight that poor randomization could influence baseline characteristics and, in turn, confound the treatment effect.</w:t>
      </w:r>
    </w:p>
    <w:p w14:paraId="7BDBCD55" w14:textId="64A4229A" w:rsidR="00916C53" w:rsidRPr="00916C53" w:rsidRDefault="00916C53" w:rsidP="00916C53">
      <w:pPr>
        <w:pStyle w:val="Body"/>
        <w:rPr>
          <w:rFonts w:ascii="Arial" w:hAnsi="Arial" w:cs="Arial"/>
          <w:lang w:val="en-CA"/>
        </w:rPr>
      </w:pPr>
      <w:r w:rsidRPr="00916C53">
        <w:rPr>
          <w:rFonts w:ascii="Arial" w:hAnsi="Arial" w:cs="Arial"/>
          <w:b/>
          <w:bCs/>
          <w:lang w:val="en-CA"/>
        </w:rPr>
        <w:t>Performance Bias:</w:t>
      </w:r>
      <w:r w:rsidRPr="00916C53">
        <w:rPr>
          <w:rFonts w:ascii="Arial" w:hAnsi="Arial" w:cs="Arial"/>
          <w:lang w:val="en-CA"/>
        </w:rPr>
        <w:t xml:space="preserve"> Most of the trials had double-blind designs, minimizing performance bias. However, a small number of trials were single-blinded, and some did not adequately report blinding procedures, which may have led to performance bias, especially in subjective measures like adverse events.</w:t>
      </w:r>
    </w:p>
    <w:p w14:paraId="3A6136C2" w14:textId="77777777" w:rsidR="00916C53" w:rsidRPr="00916C53" w:rsidRDefault="00916C53" w:rsidP="00916C53">
      <w:pPr>
        <w:pStyle w:val="Body"/>
        <w:rPr>
          <w:rFonts w:ascii="Arial" w:hAnsi="Arial" w:cs="Arial"/>
          <w:lang w:val="en-CA"/>
        </w:rPr>
      </w:pPr>
      <w:r w:rsidRPr="00916C53">
        <w:rPr>
          <w:rFonts w:ascii="Arial" w:hAnsi="Arial" w:cs="Arial"/>
          <w:b/>
          <w:bCs/>
          <w:lang w:val="en-CA"/>
        </w:rPr>
        <w:t>Detection Bias:</w:t>
      </w:r>
      <w:r w:rsidRPr="00916C53">
        <w:rPr>
          <w:rFonts w:ascii="Arial" w:hAnsi="Arial" w:cs="Arial"/>
          <w:lang w:val="en-CA"/>
        </w:rPr>
        <w:t xml:space="preserve"> The risk of detection bias was low in most studies due to objective measurement methods for triglyceride levels. Some trials, however, lacked detailed information about the blinding of outcome assessors, which could introduce detection bias.</w:t>
      </w:r>
    </w:p>
    <w:p w14:paraId="3E7E7423" w14:textId="77777777" w:rsidR="00916C53" w:rsidRPr="00916C53" w:rsidRDefault="00916C53" w:rsidP="00916C53">
      <w:pPr>
        <w:pStyle w:val="Body"/>
        <w:rPr>
          <w:rFonts w:ascii="Arial" w:hAnsi="Arial" w:cs="Arial"/>
          <w:lang w:val="en-CA"/>
        </w:rPr>
      </w:pPr>
      <w:r w:rsidRPr="00916C53">
        <w:rPr>
          <w:rFonts w:ascii="Arial" w:hAnsi="Arial" w:cs="Arial"/>
          <w:b/>
          <w:bCs/>
          <w:lang w:val="en-CA"/>
        </w:rPr>
        <w:lastRenderedPageBreak/>
        <w:t>Attrition Bias:</w:t>
      </w:r>
      <w:r w:rsidRPr="00916C53">
        <w:rPr>
          <w:rFonts w:ascii="Arial" w:hAnsi="Arial" w:cs="Arial"/>
          <w:lang w:val="en-CA"/>
        </w:rPr>
        <w:t xml:space="preserve"> The dropout rates varied across studies, with some trials having higher dropout rates in the GLP-1 RA groups compared to placebo, which could affect the overall outcomes. Sensitivity analysis confirmed that these variations in dropout rates did not significantly impact the pooled effect size, but further evaluation in future studies is recommended to address this.</w:t>
      </w:r>
    </w:p>
    <w:p w14:paraId="143A3D62" w14:textId="77777777" w:rsidR="00916C53" w:rsidRPr="00916C53" w:rsidRDefault="00916C53" w:rsidP="00916C53">
      <w:pPr>
        <w:pStyle w:val="Body"/>
        <w:rPr>
          <w:rFonts w:ascii="Arial" w:hAnsi="Arial" w:cs="Arial"/>
          <w:lang w:val="en-CA"/>
        </w:rPr>
      </w:pPr>
      <w:r w:rsidRPr="00916C53">
        <w:rPr>
          <w:rFonts w:ascii="Arial" w:hAnsi="Arial" w:cs="Arial"/>
          <w:b/>
          <w:bCs/>
          <w:lang w:val="en-CA"/>
        </w:rPr>
        <w:t>Reporting Bias:</w:t>
      </w:r>
      <w:r w:rsidRPr="00916C53">
        <w:rPr>
          <w:rFonts w:ascii="Arial" w:hAnsi="Arial" w:cs="Arial"/>
          <w:lang w:val="en-CA"/>
        </w:rPr>
        <w:t xml:space="preserve"> Publication bias was assessed using funnel plots and Egger's test, and no significant bias was detected. Nonetheless, selective reporting of outcomes remains a concern, as some studies did not report all predefined outcomes, such as lipid profile components or weight changes.</w:t>
      </w:r>
    </w:p>
    <w:p w14:paraId="195183D6" w14:textId="77777777" w:rsidR="00916C53" w:rsidRPr="00916C53" w:rsidRDefault="00916C53" w:rsidP="00916C53">
      <w:pPr>
        <w:pStyle w:val="Body"/>
        <w:rPr>
          <w:rFonts w:ascii="Arial" w:hAnsi="Arial" w:cs="Arial"/>
          <w:lang w:val="en-CA"/>
        </w:rPr>
      </w:pPr>
      <w:r w:rsidRPr="00916C53">
        <w:rPr>
          <w:rFonts w:ascii="Arial" w:hAnsi="Arial" w:cs="Arial"/>
          <w:lang w:val="en-CA"/>
        </w:rPr>
        <w:t>Based on this risk of bias assessment, we conclude that while most studies exhibited moderate quality with low to unclear risk of bias, some limitations in trial design and reporting were observed. These factors should be taken into consideration when interpreting the results of this meta-analysis.</w:t>
      </w:r>
    </w:p>
    <w:p w14:paraId="673B7B29" w14:textId="3412E665" w:rsidR="00916C53" w:rsidRPr="00916C53" w:rsidRDefault="000C78D0" w:rsidP="00916C53">
      <w:pPr>
        <w:pStyle w:val="Body"/>
        <w:rPr>
          <w:rFonts w:ascii="Arial" w:hAnsi="Arial" w:cs="Arial"/>
          <w:sz w:val="22"/>
          <w:szCs w:val="22"/>
          <w:lang w:val="en-CA"/>
        </w:rPr>
      </w:pPr>
      <w:r>
        <w:rPr>
          <w:rFonts w:ascii="Arial" w:hAnsi="Arial" w:cs="Arial"/>
          <w:b/>
          <w:bCs/>
          <w:sz w:val="22"/>
          <w:szCs w:val="22"/>
          <w:lang w:val="en-CA"/>
        </w:rPr>
        <w:t>5.</w:t>
      </w:r>
      <w:r w:rsidR="00916C53" w:rsidRPr="00916C53">
        <w:rPr>
          <w:rFonts w:ascii="Arial" w:hAnsi="Arial" w:cs="Arial"/>
          <w:b/>
          <w:bCs/>
          <w:sz w:val="22"/>
          <w:szCs w:val="22"/>
          <w:lang w:val="en-CA"/>
        </w:rPr>
        <w:t>Heterogeneity and Its Sources:</w:t>
      </w:r>
    </w:p>
    <w:p w14:paraId="6FF0CC9A" w14:textId="77777777" w:rsidR="00916C53" w:rsidRPr="00916C53" w:rsidRDefault="00916C53" w:rsidP="00916C53">
      <w:pPr>
        <w:pStyle w:val="Body"/>
        <w:rPr>
          <w:rFonts w:ascii="Arial" w:hAnsi="Arial" w:cs="Arial"/>
          <w:lang w:val="en-CA"/>
        </w:rPr>
      </w:pPr>
      <w:r w:rsidRPr="00916C53">
        <w:rPr>
          <w:rFonts w:ascii="Arial" w:hAnsi="Arial" w:cs="Arial"/>
          <w:lang w:val="en-CA"/>
        </w:rPr>
        <w:t>Despite using a random-effects model to account for inter-study variability, moderate heterogeneity (I² = 48%) was observed in the results. The sources of this heterogeneity warrant further exploration:</w:t>
      </w:r>
    </w:p>
    <w:p w14:paraId="03E621B1" w14:textId="21B618A4" w:rsidR="00916C53" w:rsidRPr="00916C53" w:rsidRDefault="00916C53" w:rsidP="00916C53">
      <w:pPr>
        <w:pStyle w:val="Body"/>
        <w:rPr>
          <w:rFonts w:ascii="Arial" w:hAnsi="Arial" w:cs="Arial"/>
          <w:lang w:val="en-CA"/>
        </w:rPr>
      </w:pPr>
      <w:r w:rsidRPr="00916C53">
        <w:rPr>
          <w:rFonts w:ascii="Arial" w:hAnsi="Arial" w:cs="Arial"/>
          <w:b/>
          <w:bCs/>
          <w:lang w:val="en-CA"/>
        </w:rPr>
        <w:t>Study Duration:</w:t>
      </w:r>
      <w:r w:rsidRPr="00916C53">
        <w:rPr>
          <w:rFonts w:ascii="Arial" w:hAnsi="Arial" w:cs="Arial"/>
          <w:lang w:val="en-CA"/>
        </w:rPr>
        <w:t xml:space="preserve"> The studies in this meta-analysis had follow-up durations ranging from 12 weeks to 104 weeks</w:t>
      </w:r>
      <w:r w:rsidR="000C78D0">
        <w:rPr>
          <w:rFonts w:ascii="Arial" w:hAnsi="Arial" w:cs="Arial"/>
          <w:lang w:val="en-CA"/>
        </w:rPr>
        <w:t xml:space="preserve"> (2022-2024)</w:t>
      </w:r>
      <w:r w:rsidRPr="00916C53">
        <w:rPr>
          <w:rFonts w:ascii="Arial" w:hAnsi="Arial" w:cs="Arial"/>
          <w:lang w:val="en-CA"/>
        </w:rPr>
        <w:t>. This variability may contribute to heterogeneity, as long-term treatment effects may differ from short-term effects. Longer durations may allow for a more robust assessment of triglyceride reduction and sustainability but also introduce variability in treatment adherence and adverse events.</w:t>
      </w:r>
    </w:p>
    <w:p w14:paraId="2EA72C96" w14:textId="77777777" w:rsidR="00916C53" w:rsidRPr="00916C53" w:rsidRDefault="00916C53" w:rsidP="00916C53">
      <w:pPr>
        <w:pStyle w:val="Body"/>
        <w:rPr>
          <w:rFonts w:ascii="Arial" w:hAnsi="Arial" w:cs="Arial"/>
          <w:lang w:val="en-CA"/>
        </w:rPr>
      </w:pPr>
      <w:r w:rsidRPr="00916C53">
        <w:rPr>
          <w:rFonts w:ascii="Arial" w:hAnsi="Arial" w:cs="Arial"/>
          <w:b/>
          <w:bCs/>
          <w:lang w:val="en-CA"/>
        </w:rPr>
        <w:t>Patient Population Characteristics:</w:t>
      </w:r>
      <w:r w:rsidRPr="00916C53">
        <w:rPr>
          <w:rFonts w:ascii="Arial" w:hAnsi="Arial" w:cs="Arial"/>
          <w:lang w:val="en-CA"/>
        </w:rPr>
        <w:t xml:space="preserve"> The studies included patients with diverse underlying conditions, including obesity, type 2 diabetes mellitus (T2DM), non-alcoholic fatty liver disease (NAFLD), and polycystic ovary syndrome (PCOS). These comorbidities could influence the response to GLP-1 RAs, as metabolic dysfunctions often correlate with dyslipidemia. For example, individuals with NAFLD may experience a more pronounced benefit due to the direct impact of GLP-1 RAs on hepatic lipogenesis and insulin sensitivity. Therefore, variations in the patient characteristics could account for the observed differences in treatment efficacy.</w:t>
      </w:r>
    </w:p>
    <w:p w14:paraId="5E66538D" w14:textId="77777777" w:rsidR="00916C53" w:rsidRPr="00916C53" w:rsidRDefault="00916C53" w:rsidP="00916C53">
      <w:pPr>
        <w:pStyle w:val="Body"/>
        <w:rPr>
          <w:rFonts w:ascii="Arial" w:hAnsi="Arial" w:cs="Arial"/>
          <w:lang w:val="en-CA"/>
        </w:rPr>
      </w:pPr>
      <w:r w:rsidRPr="00916C53">
        <w:rPr>
          <w:rFonts w:ascii="Arial" w:hAnsi="Arial" w:cs="Arial"/>
          <w:b/>
          <w:bCs/>
          <w:lang w:val="en-CA"/>
        </w:rPr>
        <w:t>Dosage Variations:</w:t>
      </w:r>
      <w:r w:rsidRPr="00916C53">
        <w:rPr>
          <w:rFonts w:ascii="Arial" w:hAnsi="Arial" w:cs="Arial"/>
          <w:lang w:val="en-CA"/>
        </w:rPr>
        <w:t xml:space="preserve"> Another potential source of heterogeneity is the variation in GLP-1 RA dosages used across studies. The dosages of </w:t>
      </w:r>
      <w:proofErr w:type="spellStart"/>
      <w:r w:rsidRPr="00916C53">
        <w:rPr>
          <w:rFonts w:ascii="Arial" w:hAnsi="Arial" w:cs="Arial"/>
          <w:lang w:val="en-CA"/>
        </w:rPr>
        <w:t>Semaglutide</w:t>
      </w:r>
      <w:proofErr w:type="spellEnd"/>
      <w:r w:rsidRPr="00916C53">
        <w:rPr>
          <w:rFonts w:ascii="Arial" w:hAnsi="Arial" w:cs="Arial"/>
          <w:lang w:val="en-CA"/>
        </w:rPr>
        <w:t xml:space="preserve">, </w:t>
      </w:r>
      <w:proofErr w:type="spellStart"/>
      <w:r w:rsidRPr="00916C53">
        <w:rPr>
          <w:rFonts w:ascii="Arial" w:hAnsi="Arial" w:cs="Arial"/>
          <w:lang w:val="en-CA"/>
        </w:rPr>
        <w:t>Liraglutide</w:t>
      </w:r>
      <w:proofErr w:type="spellEnd"/>
      <w:r w:rsidRPr="00916C53">
        <w:rPr>
          <w:rFonts w:ascii="Arial" w:hAnsi="Arial" w:cs="Arial"/>
          <w:lang w:val="en-CA"/>
        </w:rPr>
        <w:t xml:space="preserve">, </w:t>
      </w:r>
      <w:proofErr w:type="spellStart"/>
      <w:r w:rsidRPr="00916C53">
        <w:rPr>
          <w:rFonts w:ascii="Arial" w:hAnsi="Arial" w:cs="Arial"/>
          <w:lang w:val="en-CA"/>
        </w:rPr>
        <w:t>Dulaglutide</w:t>
      </w:r>
      <w:proofErr w:type="spellEnd"/>
      <w:r w:rsidRPr="00916C53">
        <w:rPr>
          <w:rFonts w:ascii="Arial" w:hAnsi="Arial" w:cs="Arial"/>
          <w:lang w:val="en-CA"/>
        </w:rPr>
        <w:t>, and Exenatide differed between studies, which may have contributed to the observed variability in triglyceride reduction. Future studies should focus on standardizing dosages or evaluating dose-response relationships to better understand how dosage impacts triglyceride reduction.</w:t>
      </w:r>
    </w:p>
    <w:p w14:paraId="16A038FE" w14:textId="77777777" w:rsidR="00916C53" w:rsidRPr="00916C53" w:rsidRDefault="00916C53" w:rsidP="00916C53">
      <w:pPr>
        <w:pStyle w:val="Body"/>
        <w:rPr>
          <w:rFonts w:ascii="Arial" w:hAnsi="Arial" w:cs="Arial"/>
          <w:lang w:val="en-CA"/>
        </w:rPr>
      </w:pPr>
      <w:r w:rsidRPr="00916C53">
        <w:rPr>
          <w:rFonts w:ascii="Arial" w:hAnsi="Arial" w:cs="Arial"/>
          <w:b/>
          <w:bCs/>
          <w:lang w:val="en-CA"/>
        </w:rPr>
        <w:t>Lipid Profile at Baseline:</w:t>
      </w:r>
      <w:r w:rsidRPr="00916C53">
        <w:rPr>
          <w:rFonts w:ascii="Arial" w:hAnsi="Arial" w:cs="Arial"/>
          <w:lang w:val="en-CA"/>
        </w:rPr>
        <w:t xml:space="preserve"> As evidenced in the subgroup analysis, patients with higher baseline triglyceride levels (&gt;250 mg/dL) experienced greater reductions in triglyceride levels. This highlights the importance of baseline lipid levels in determining the response to therapy. Variations in baseline triglyceride levels across studies could have further contributed to the observed heterogeneity.</w:t>
      </w:r>
    </w:p>
    <w:p w14:paraId="1BB729EA" w14:textId="77777777" w:rsidR="00916C53" w:rsidRPr="00916C53" w:rsidRDefault="00916C53" w:rsidP="00916C53">
      <w:pPr>
        <w:pStyle w:val="Body"/>
        <w:rPr>
          <w:rFonts w:ascii="Arial" w:hAnsi="Arial" w:cs="Arial"/>
          <w:lang w:val="en-CA"/>
        </w:rPr>
      </w:pPr>
      <w:r w:rsidRPr="00916C53">
        <w:rPr>
          <w:rFonts w:ascii="Arial" w:hAnsi="Arial" w:cs="Arial"/>
          <w:lang w:val="en-CA"/>
        </w:rPr>
        <w:t>To further evaluate these sources of heterogeneity, meta-regression could be performed to investigate the impact of study duration, patient characteristics, dosage variations, and baseline triglyceride levels on the treatment effects. Identifying these sources would allow for better tailoring of GLP-1 RA therapy to specific patient populations.</w:t>
      </w:r>
    </w:p>
    <w:p w14:paraId="43080A49" w14:textId="60121D41" w:rsidR="00646C28" w:rsidRPr="00646C28" w:rsidRDefault="000C78D0" w:rsidP="00646C28">
      <w:pPr>
        <w:pStyle w:val="Body"/>
        <w:rPr>
          <w:rFonts w:ascii="Arial" w:hAnsi="Arial" w:cs="Arial"/>
          <w:b/>
          <w:bCs/>
          <w:sz w:val="22"/>
          <w:szCs w:val="22"/>
          <w:lang w:val="en-CA"/>
        </w:rPr>
      </w:pPr>
      <w:r>
        <w:rPr>
          <w:rFonts w:ascii="Arial" w:hAnsi="Arial" w:cs="Arial"/>
          <w:b/>
          <w:bCs/>
          <w:sz w:val="22"/>
          <w:szCs w:val="22"/>
          <w:lang w:val="en-CA"/>
        </w:rPr>
        <w:t>6.</w:t>
      </w:r>
      <w:r w:rsidR="00646C28" w:rsidRPr="00646C28">
        <w:rPr>
          <w:rFonts w:ascii="Arial" w:hAnsi="Arial" w:cs="Arial"/>
          <w:b/>
          <w:bCs/>
          <w:sz w:val="22"/>
          <w:szCs w:val="22"/>
          <w:lang w:val="en-CA"/>
        </w:rPr>
        <w:t>Study Limitations &amp; Future Directions</w:t>
      </w:r>
    </w:p>
    <w:p w14:paraId="267F73B4" w14:textId="77777777" w:rsidR="00646C28" w:rsidRPr="00646C28" w:rsidRDefault="00646C28" w:rsidP="00646C28">
      <w:pPr>
        <w:pStyle w:val="Body"/>
        <w:rPr>
          <w:rFonts w:ascii="Arial" w:hAnsi="Arial" w:cs="Arial"/>
          <w:lang w:val="en-CA"/>
        </w:rPr>
      </w:pPr>
      <w:r w:rsidRPr="00646C28">
        <w:rPr>
          <w:rFonts w:ascii="Arial" w:hAnsi="Arial" w:cs="Arial"/>
          <w:lang w:val="en-CA"/>
        </w:rPr>
        <w:t>This meta-analysis is limited by heterogeneity in study designs, variations in GLP-1 RA dosages, and differences in baseline TG levels. Additionally, some studies had short follow-up periods (minimum 12 weeks), limiting long-term efficacy assessment. Future research should explore long-term cardiovascular outcomes, potential adverse effects, and the synergistic benefits of combining GLP-1 RAs with lipid-lowering agents.</w:t>
      </w:r>
    </w:p>
    <w:p w14:paraId="27B0E20B" w14:textId="398B3137" w:rsidR="000469CF" w:rsidRPr="000469CF" w:rsidRDefault="000C78D0" w:rsidP="000469CF">
      <w:pPr>
        <w:pStyle w:val="Body"/>
        <w:rPr>
          <w:rFonts w:ascii="Arial" w:hAnsi="Arial" w:cs="Arial"/>
          <w:lang w:val="en-CA"/>
        </w:rPr>
      </w:pPr>
      <w:r>
        <w:rPr>
          <w:rFonts w:ascii="Arial" w:hAnsi="Arial" w:cs="Arial"/>
          <w:b/>
          <w:bCs/>
          <w:sz w:val="22"/>
          <w:szCs w:val="22"/>
          <w:lang w:val="en-CA"/>
        </w:rPr>
        <w:t>7.</w:t>
      </w:r>
      <w:r w:rsidR="000469CF" w:rsidRPr="00916C53">
        <w:rPr>
          <w:rFonts w:ascii="Arial" w:hAnsi="Arial" w:cs="Arial"/>
          <w:b/>
          <w:bCs/>
          <w:sz w:val="22"/>
          <w:szCs w:val="22"/>
          <w:lang w:val="en-CA"/>
        </w:rPr>
        <w:t>Implications for Clinical Practice:</w:t>
      </w:r>
      <w:r w:rsidR="000469CF" w:rsidRPr="000469CF">
        <w:rPr>
          <w:rFonts w:ascii="Arial" w:hAnsi="Arial" w:cs="Arial"/>
          <w:lang w:val="en-CA"/>
        </w:rPr>
        <w:t xml:space="preserve"> These results indicate that GLP-1 RAs are a valuable option for managing hypertriglyceridemia, particularly in patients with obesity, T2DM, or NAFLD. </w:t>
      </w:r>
      <w:proofErr w:type="spellStart"/>
      <w:r w:rsidR="000469CF" w:rsidRPr="000469CF">
        <w:rPr>
          <w:rFonts w:ascii="Arial" w:hAnsi="Arial" w:cs="Arial"/>
          <w:lang w:val="en-CA"/>
        </w:rPr>
        <w:t>Semaglutide</w:t>
      </w:r>
      <w:proofErr w:type="spellEnd"/>
      <w:r w:rsidR="000469CF" w:rsidRPr="000469CF">
        <w:rPr>
          <w:rFonts w:ascii="Arial" w:hAnsi="Arial" w:cs="Arial"/>
          <w:lang w:val="en-CA"/>
        </w:rPr>
        <w:t xml:space="preserve"> emerges as the most effective option for TG reduction, while exenatide may be preferable for </w:t>
      </w:r>
      <w:r w:rsidR="00303A56" w:rsidRPr="000469CF">
        <w:rPr>
          <w:rFonts w:ascii="Arial" w:hAnsi="Arial" w:cs="Arial"/>
          <w:lang w:val="en-CA"/>
        </w:rPr>
        <w:t>patients’</w:t>
      </w:r>
      <w:r w:rsidR="000469CF" w:rsidRPr="000469CF">
        <w:rPr>
          <w:rFonts w:ascii="Arial" w:hAnsi="Arial" w:cs="Arial"/>
          <w:lang w:val="en-CA"/>
        </w:rPr>
        <w:t xml:space="preserve"> prioritizing tolerability. The findings also highlight the need for personalized therapy, balancing efficacy with adherence and patient comfort. Further research is warranted to explore long-term cardiovascular outcomes and cost-effectiveness of GLP-1 RA therapy in HTG management. Additionally, combination therapies with other lipid-lowering agents should be investigated to optimize outcomes.</w:t>
      </w:r>
    </w:p>
    <w:p w14:paraId="47DC878D" w14:textId="77777777" w:rsidR="000469CF" w:rsidRPr="000469CF" w:rsidRDefault="000469CF" w:rsidP="000469CF">
      <w:pPr>
        <w:pStyle w:val="Body"/>
        <w:rPr>
          <w:rFonts w:ascii="Arial" w:hAnsi="Arial" w:cs="Arial"/>
          <w:lang w:val="en-CA"/>
        </w:rPr>
      </w:pPr>
      <w:r w:rsidRPr="000469CF">
        <w:rPr>
          <w:rFonts w:ascii="Arial" w:hAnsi="Arial" w:cs="Arial"/>
          <w:lang w:val="en-CA"/>
        </w:rPr>
        <w:lastRenderedPageBreak/>
        <w:t>These findings reinforce the clinical utility of GLP-1 RAs, suggesting their potential as a frontline therapy for patients with elevated TG levels and metabolic comorbidities. Future studies should focus on direct comparisons between GLP-1 RAs and traditional lipid-lowering agents to refine treatment strategies for hypertriglyceridemia.</w:t>
      </w:r>
    </w:p>
    <w:p w14:paraId="74C7D3CC" w14:textId="7E17CB22" w:rsidR="00CA7BA8" w:rsidRPr="007D7C49" w:rsidRDefault="00C257B8" w:rsidP="007D7C49">
      <w:pPr>
        <w:pStyle w:val="Body"/>
        <w:rPr>
          <w:rFonts w:ascii="Arial" w:hAnsi="Arial" w:cs="Arial"/>
          <w:lang w:val="en-CA"/>
        </w:rPr>
      </w:pPr>
      <w:r w:rsidRPr="00C257B8">
        <w:rPr>
          <w:rFonts w:ascii="Arial" w:hAnsi="Arial" w:cs="Arial"/>
          <w:noProof/>
        </w:rPr>
        <w:drawing>
          <wp:inline distT="0" distB="0" distL="0" distR="0" wp14:anchorId="03BD3F4D" wp14:editId="7A224B28">
            <wp:extent cx="6858000" cy="1122680"/>
            <wp:effectExtent l="0" t="0" r="0" b="1270"/>
            <wp:docPr id="2043881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881600" name=""/>
                    <pic:cNvPicPr/>
                  </pic:nvPicPr>
                  <pic:blipFill>
                    <a:blip r:embed="rId14"/>
                    <a:stretch>
                      <a:fillRect/>
                    </a:stretch>
                  </pic:blipFill>
                  <pic:spPr>
                    <a:xfrm>
                      <a:off x="0" y="0"/>
                      <a:ext cx="6858000" cy="1122680"/>
                    </a:xfrm>
                    <a:prstGeom prst="rect">
                      <a:avLst/>
                    </a:prstGeom>
                  </pic:spPr>
                </pic:pic>
              </a:graphicData>
            </a:graphic>
          </wp:inline>
        </w:drawing>
      </w:r>
      <w:r w:rsidR="007D7C49">
        <w:rPr>
          <w:rFonts w:ascii="Arial" w:hAnsi="Arial"/>
          <w:b/>
        </w:rPr>
        <w:t>Table.1. Primary outcome Triglyceride levels</w:t>
      </w:r>
    </w:p>
    <w:p w14:paraId="7989462D" w14:textId="281E93D0" w:rsidR="00863BD3" w:rsidRDefault="00863BD3" w:rsidP="005D5869">
      <w:pPr>
        <w:tabs>
          <w:tab w:val="left" w:pos="1080"/>
        </w:tabs>
        <w:jc w:val="both"/>
        <w:rPr>
          <w:rFonts w:ascii="Arial" w:hAnsi="Arial"/>
          <w:b/>
        </w:rPr>
      </w:pPr>
    </w:p>
    <w:p w14:paraId="4C36CFCB" w14:textId="77777777" w:rsidR="007D7C49" w:rsidRDefault="007D7C49" w:rsidP="00DD1D45">
      <w:pPr>
        <w:autoSpaceDE w:val="0"/>
        <w:autoSpaceDN w:val="0"/>
        <w:adjustRightInd w:val="0"/>
        <w:jc w:val="both"/>
        <w:rPr>
          <w:rFonts w:ascii="Arial" w:hAnsi="Arial" w:cs="Arial"/>
          <w:b/>
          <w:bCs/>
          <w:szCs w:val="22"/>
        </w:rPr>
      </w:pPr>
    </w:p>
    <w:p w14:paraId="09122C84" w14:textId="03AE8285" w:rsidR="007D7C49" w:rsidRDefault="007D7C49" w:rsidP="00DD1D45">
      <w:pPr>
        <w:autoSpaceDE w:val="0"/>
        <w:autoSpaceDN w:val="0"/>
        <w:adjustRightInd w:val="0"/>
        <w:jc w:val="both"/>
        <w:rPr>
          <w:rFonts w:ascii="Arial" w:hAnsi="Arial" w:cs="Arial"/>
          <w:b/>
          <w:bCs/>
          <w:szCs w:val="22"/>
        </w:rPr>
      </w:pPr>
    </w:p>
    <w:p w14:paraId="1994C0C4" w14:textId="189AD1E3" w:rsidR="007D7C49" w:rsidRDefault="007D7C49" w:rsidP="00DD1D45">
      <w:pPr>
        <w:autoSpaceDE w:val="0"/>
        <w:autoSpaceDN w:val="0"/>
        <w:adjustRightInd w:val="0"/>
        <w:jc w:val="both"/>
        <w:rPr>
          <w:rFonts w:ascii="Arial" w:hAnsi="Arial" w:cs="Arial"/>
          <w:b/>
          <w:bCs/>
          <w:szCs w:val="22"/>
        </w:rPr>
      </w:pPr>
      <w:r w:rsidRPr="00CA7BA8">
        <w:rPr>
          <w:rFonts w:ascii="Arial" w:hAnsi="Arial"/>
          <w:b/>
          <w:noProof/>
        </w:rPr>
        <w:drawing>
          <wp:inline distT="0" distB="0" distL="0" distR="0" wp14:anchorId="0672A120" wp14:editId="439B23AC">
            <wp:extent cx="6858000" cy="1889760"/>
            <wp:effectExtent l="0" t="0" r="0" b="0"/>
            <wp:docPr id="231133230" name="Picture 2"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33230" name="Picture 2" descr="A screenshot of a graph&#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1889760"/>
                    </a:xfrm>
                    <a:prstGeom prst="rect">
                      <a:avLst/>
                    </a:prstGeom>
                    <a:noFill/>
                    <a:ln>
                      <a:noFill/>
                    </a:ln>
                  </pic:spPr>
                </pic:pic>
              </a:graphicData>
            </a:graphic>
          </wp:inline>
        </w:drawing>
      </w:r>
    </w:p>
    <w:p w14:paraId="354D63D0" w14:textId="77777777" w:rsidR="007D7C49" w:rsidRDefault="007D7C49" w:rsidP="00DD1D45">
      <w:pPr>
        <w:autoSpaceDE w:val="0"/>
        <w:autoSpaceDN w:val="0"/>
        <w:adjustRightInd w:val="0"/>
        <w:jc w:val="both"/>
        <w:rPr>
          <w:rFonts w:ascii="Arial" w:hAnsi="Arial" w:cs="Arial"/>
          <w:b/>
          <w:bCs/>
          <w:szCs w:val="22"/>
        </w:rPr>
      </w:pPr>
    </w:p>
    <w:p w14:paraId="6E15B6D8" w14:textId="407A77A9" w:rsidR="00DD1D45" w:rsidRPr="008247A6" w:rsidRDefault="005D68D1" w:rsidP="00DD1D45">
      <w:pPr>
        <w:autoSpaceDE w:val="0"/>
        <w:autoSpaceDN w:val="0"/>
        <w:adjustRightInd w:val="0"/>
        <w:jc w:val="both"/>
        <w:rPr>
          <w:rFonts w:ascii="Arial" w:hAnsi="Arial" w:cs="Arial"/>
          <w:b/>
          <w:bCs/>
          <w:szCs w:val="22"/>
        </w:rPr>
      </w:pPr>
      <w:r>
        <w:rPr>
          <w:rFonts w:ascii="Arial" w:hAnsi="Arial" w:cs="Arial"/>
          <w:b/>
          <w:bCs/>
          <w:szCs w:val="22"/>
        </w:rPr>
        <w:t>Table</w:t>
      </w:r>
      <w:r w:rsidR="00DD1D45">
        <w:rPr>
          <w:rFonts w:ascii="Arial" w:hAnsi="Arial" w:cs="Arial"/>
          <w:b/>
          <w:bCs/>
          <w:szCs w:val="22"/>
        </w:rPr>
        <w:t>.</w:t>
      </w:r>
      <w:r w:rsidR="00821B62">
        <w:rPr>
          <w:rFonts w:ascii="Arial" w:hAnsi="Arial" w:cs="Arial"/>
          <w:b/>
          <w:bCs/>
          <w:szCs w:val="22"/>
        </w:rPr>
        <w:t>2</w:t>
      </w:r>
      <w:r w:rsidR="00DD1D45">
        <w:rPr>
          <w:rFonts w:ascii="Arial" w:hAnsi="Arial" w:cs="Arial"/>
          <w:b/>
          <w:bCs/>
          <w:szCs w:val="22"/>
        </w:rPr>
        <w:t>.</w:t>
      </w:r>
      <w:r w:rsidR="00DD1D45" w:rsidRPr="008247A6">
        <w:rPr>
          <w:rFonts w:ascii="Arial" w:hAnsi="Arial" w:cs="Arial"/>
          <w:b/>
          <w:bCs/>
          <w:szCs w:val="22"/>
        </w:rPr>
        <w:t xml:space="preserve"> </w:t>
      </w:r>
      <w:r w:rsidR="00B56916">
        <w:rPr>
          <w:rFonts w:ascii="Arial" w:hAnsi="Arial" w:cs="Arial"/>
          <w:b/>
          <w:bCs/>
          <w:szCs w:val="22"/>
        </w:rPr>
        <w:t>Subgroup analysis</w:t>
      </w:r>
      <w:r w:rsidR="00113DD4">
        <w:rPr>
          <w:rFonts w:ascii="Arial" w:hAnsi="Arial" w:cs="Arial"/>
          <w:b/>
          <w:bCs/>
          <w:szCs w:val="22"/>
        </w:rPr>
        <w:t xml:space="preserve"> showing response to</w:t>
      </w:r>
      <w:r w:rsidR="00A401D7">
        <w:rPr>
          <w:rFonts w:ascii="Arial" w:hAnsi="Arial" w:cs="Arial"/>
          <w:b/>
          <w:bCs/>
          <w:szCs w:val="22"/>
        </w:rPr>
        <w:t xml:space="preserve"> GLP-1 </w:t>
      </w:r>
      <w:r w:rsidR="004876F3">
        <w:rPr>
          <w:rFonts w:ascii="Arial" w:hAnsi="Arial" w:cs="Arial"/>
          <w:b/>
          <w:bCs/>
          <w:szCs w:val="22"/>
        </w:rPr>
        <w:t>RA in</w:t>
      </w:r>
      <w:r w:rsidR="00113DD4">
        <w:rPr>
          <w:rFonts w:ascii="Arial" w:hAnsi="Arial" w:cs="Arial"/>
          <w:b/>
          <w:bCs/>
          <w:szCs w:val="22"/>
        </w:rPr>
        <w:t xml:space="preserve"> lowering </w:t>
      </w:r>
      <w:r w:rsidR="00A401D7">
        <w:rPr>
          <w:rFonts w:ascii="Arial" w:hAnsi="Arial" w:cs="Arial"/>
          <w:b/>
          <w:bCs/>
          <w:szCs w:val="22"/>
        </w:rPr>
        <w:t xml:space="preserve">Triglyceride level </w:t>
      </w:r>
    </w:p>
    <w:p w14:paraId="5E84F424" w14:textId="77777777" w:rsidR="00376BBE" w:rsidRDefault="00376BBE" w:rsidP="00441B6F">
      <w:pPr>
        <w:pStyle w:val="Body"/>
        <w:spacing w:after="0"/>
        <w:rPr>
          <w:rFonts w:ascii="Arial" w:hAnsi="Arial" w:cs="Arial"/>
        </w:rPr>
      </w:pPr>
    </w:p>
    <w:p w14:paraId="5B03CA7E" w14:textId="77777777" w:rsidR="001C71D6" w:rsidRDefault="001C71D6" w:rsidP="00441B6F">
      <w:pPr>
        <w:pStyle w:val="Body"/>
        <w:spacing w:after="0"/>
        <w:rPr>
          <w:rFonts w:ascii="Arial" w:hAnsi="Arial" w:cs="Arial"/>
        </w:rPr>
      </w:pPr>
    </w:p>
    <w:p w14:paraId="03988472" w14:textId="77777777" w:rsidR="001C71D6" w:rsidRDefault="001C71D6" w:rsidP="00441B6F">
      <w:pPr>
        <w:pStyle w:val="Body"/>
        <w:spacing w:after="0"/>
        <w:rPr>
          <w:rFonts w:ascii="Arial" w:hAnsi="Arial" w:cs="Arial"/>
        </w:rPr>
      </w:pPr>
    </w:p>
    <w:p w14:paraId="5C83DE50" w14:textId="77777777" w:rsidR="001C71D6" w:rsidRDefault="001C71D6" w:rsidP="00441B6F">
      <w:pPr>
        <w:pStyle w:val="Body"/>
        <w:spacing w:after="0"/>
        <w:rPr>
          <w:rFonts w:ascii="Arial" w:hAnsi="Arial" w:cs="Arial"/>
        </w:rPr>
      </w:pPr>
    </w:p>
    <w:p w14:paraId="32C5E9AA" w14:textId="3146DE24" w:rsidR="001C71D6" w:rsidRDefault="001C71D6" w:rsidP="00441B6F">
      <w:pPr>
        <w:pStyle w:val="Body"/>
        <w:spacing w:after="0"/>
        <w:rPr>
          <w:rFonts w:ascii="Arial" w:hAnsi="Arial" w:cs="Arial"/>
        </w:rPr>
      </w:pPr>
    </w:p>
    <w:p w14:paraId="133B2423" w14:textId="0A16DFA9" w:rsidR="00927834" w:rsidRPr="00826501" w:rsidRDefault="001C71D6" w:rsidP="00826501">
      <w:pPr>
        <w:pStyle w:val="Body"/>
        <w:spacing w:after="0"/>
        <w:rPr>
          <w:rFonts w:ascii="Arial" w:hAnsi="Arial" w:cs="Arial"/>
          <w:lang w:val="en-CA"/>
        </w:rPr>
      </w:pPr>
      <w:r w:rsidRPr="001C71D6">
        <w:rPr>
          <w:rFonts w:ascii="Arial" w:hAnsi="Arial" w:cs="Arial"/>
          <w:noProof/>
        </w:rPr>
        <w:lastRenderedPageBreak/>
        <w:drawing>
          <wp:inline distT="0" distB="0" distL="0" distR="0" wp14:anchorId="253C6EE3" wp14:editId="33ABEBC4">
            <wp:extent cx="6858000" cy="3216275"/>
            <wp:effectExtent l="0" t="0" r="0" b="0"/>
            <wp:docPr id="546582252" name="Picture 4" descr="A graph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2252" name="Picture 4" descr="A graph of a bar graph&#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3216275"/>
                    </a:xfrm>
                    <a:prstGeom prst="rect">
                      <a:avLst/>
                    </a:prstGeom>
                    <a:noFill/>
                    <a:ln>
                      <a:noFill/>
                    </a:ln>
                  </pic:spPr>
                </pic:pic>
              </a:graphicData>
            </a:graphic>
          </wp:inline>
        </w:drawing>
      </w:r>
    </w:p>
    <w:p w14:paraId="4864861C" w14:textId="1F355B5E" w:rsidR="00863BD3" w:rsidRPr="00FB3A86" w:rsidRDefault="009E048A" w:rsidP="004321CB">
      <w:pPr>
        <w:autoSpaceDE w:val="0"/>
        <w:autoSpaceDN w:val="0"/>
        <w:adjustRightInd w:val="0"/>
        <w:jc w:val="both"/>
        <w:rPr>
          <w:rFonts w:ascii="Arial" w:hAnsi="Arial" w:cs="Arial"/>
        </w:rPr>
      </w:pPr>
      <w:r>
        <w:rPr>
          <w:rFonts w:ascii="Arial" w:hAnsi="Arial" w:cs="Arial"/>
          <w:b/>
          <w:bCs/>
          <w:szCs w:val="22"/>
        </w:rPr>
        <w:t>Fig.</w:t>
      </w:r>
      <w:r w:rsidR="00927834" w:rsidRPr="008247A6">
        <w:rPr>
          <w:rFonts w:ascii="Arial" w:hAnsi="Arial" w:cs="Arial"/>
          <w:b/>
          <w:bCs/>
          <w:szCs w:val="22"/>
        </w:rPr>
        <w:t xml:space="preserve"> </w:t>
      </w:r>
      <w:r w:rsidR="005D68D1">
        <w:rPr>
          <w:rFonts w:ascii="Arial" w:hAnsi="Arial" w:cs="Arial"/>
          <w:b/>
          <w:bCs/>
          <w:szCs w:val="22"/>
        </w:rPr>
        <w:t>1</w:t>
      </w:r>
      <w:r>
        <w:rPr>
          <w:rFonts w:ascii="Arial" w:hAnsi="Arial" w:cs="Arial"/>
          <w:b/>
          <w:bCs/>
          <w:szCs w:val="22"/>
        </w:rPr>
        <w:t>.</w:t>
      </w:r>
      <w:r w:rsidR="00927834" w:rsidRPr="008247A6">
        <w:rPr>
          <w:rFonts w:ascii="Arial" w:hAnsi="Arial" w:cs="Arial"/>
          <w:b/>
          <w:bCs/>
          <w:szCs w:val="22"/>
        </w:rPr>
        <w:t xml:space="preserve"> Effect of </w:t>
      </w:r>
      <w:r w:rsidR="004321CB">
        <w:rPr>
          <w:rFonts w:ascii="Arial" w:hAnsi="Arial" w:cs="Arial"/>
          <w:b/>
          <w:bCs/>
          <w:szCs w:val="22"/>
        </w:rPr>
        <w:t xml:space="preserve">GLP-1 RAs </w:t>
      </w:r>
      <w:r w:rsidR="00955628">
        <w:rPr>
          <w:rFonts w:ascii="Arial" w:hAnsi="Arial" w:cs="Arial"/>
          <w:b/>
          <w:bCs/>
          <w:szCs w:val="22"/>
        </w:rPr>
        <w:t xml:space="preserve">on </w:t>
      </w:r>
      <w:r w:rsidR="004321CB">
        <w:rPr>
          <w:rFonts w:ascii="Arial" w:hAnsi="Arial" w:cs="Arial"/>
          <w:b/>
          <w:bCs/>
          <w:szCs w:val="22"/>
        </w:rPr>
        <w:t>Triglyceride</w:t>
      </w:r>
      <w:r w:rsidR="00955628">
        <w:rPr>
          <w:rFonts w:ascii="Arial" w:hAnsi="Arial" w:cs="Arial"/>
          <w:b/>
          <w:bCs/>
          <w:szCs w:val="22"/>
        </w:rPr>
        <w:t xml:space="preserve"> reduction</w:t>
      </w:r>
      <w:r w:rsidR="00A86A2E">
        <w:rPr>
          <w:rFonts w:ascii="Arial" w:hAnsi="Arial" w:cs="Arial"/>
          <w:b/>
          <w:bCs/>
          <w:szCs w:val="22"/>
        </w:rPr>
        <w:t xml:space="preserve"> </w:t>
      </w:r>
      <w:r w:rsidR="00C44B5A">
        <w:rPr>
          <w:rFonts w:ascii="Arial" w:hAnsi="Arial" w:cs="Arial"/>
          <w:b/>
          <w:bCs/>
          <w:szCs w:val="22"/>
        </w:rPr>
        <w:t>(showing</w:t>
      </w:r>
      <w:r w:rsidR="00A86A2E">
        <w:rPr>
          <w:rFonts w:ascii="Arial" w:hAnsi="Arial" w:cs="Arial"/>
          <w:b/>
          <w:bCs/>
          <w:szCs w:val="22"/>
        </w:rPr>
        <w:t xml:space="preserve"> improvement of TG level </w:t>
      </w:r>
      <w:r w:rsidR="00131991">
        <w:rPr>
          <w:rFonts w:ascii="Arial" w:hAnsi="Arial" w:cs="Arial"/>
          <w:b/>
          <w:bCs/>
          <w:szCs w:val="22"/>
        </w:rPr>
        <w:t xml:space="preserve">during follow ups </w:t>
      </w:r>
      <w:r w:rsidR="00A86A2E">
        <w:rPr>
          <w:rFonts w:ascii="Arial" w:hAnsi="Arial" w:cs="Arial"/>
          <w:b/>
          <w:bCs/>
          <w:szCs w:val="22"/>
        </w:rPr>
        <w:t xml:space="preserve">from 12-104 </w:t>
      </w:r>
      <w:r w:rsidR="00616244">
        <w:rPr>
          <w:rFonts w:ascii="Arial" w:hAnsi="Arial" w:cs="Arial"/>
          <w:b/>
          <w:bCs/>
          <w:szCs w:val="22"/>
        </w:rPr>
        <w:t>weeks)</w:t>
      </w:r>
    </w:p>
    <w:p w14:paraId="0C4BF8DD" w14:textId="2D9F901C" w:rsidR="00790ADA" w:rsidRDefault="00096D63" w:rsidP="00441B6F">
      <w:pPr>
        <w:pStyle w:val="Body"/>
        <w:spacing w:after="0"/>
        <w:rPr>
          <w:rFonts w:ascii="Arial" w:hAnsi="Arial" w:cs="Arial"/>
        </w:rPr>
      </w:pPr>
      <w:r>
        <w:rPr>
          <w:noProof/>
        </w:rPr>
        <mc:AlternateContent>
          <mc:Choice Requires="wps">
            <w:drawing>
              <wp:inline distT="0" distB="0" distL="0" distR="0" wp14:anchorId="19AF7A27" wp14:editId="0C9448C0">
                <wp:extent cx="301625" cy="301625"/>
                <wp:effectExtent l="0" t="0" r="0" b="0"/>
                <wp:docPr id="953851100" name="Rectangle 4"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2D571B" id="Rectangle 4" o:spid="_x0000_s1026" alt="Output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007D7C49" w:rsidRPr="007D7C49">
        <w:rPr>
          <w:rFonts w:ascii="Arial" w:hAnsi="Arial" w:cs="Arial"/>
          <w:noProof/>
        </w:rPr>
        <w:drawing>
          <wp:inline distT="0" distB="0" distL="0" distR="0" wp14:anchorId="5D685BDC" wp14:editId="0798F106">
            <wp:extent cx="3962953" cy="2648320"/>
            <wp:effectExtent l="0" t="0" r="0" b="0"/>
            <wp:docPr id="1594936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36443" name=""/>
                    <pic:cNvPicPr/>
                  </pic:nvPicPr>
                  <pic:blipFill>
                    <a:blip r:embed="rId17"/>
                    <a:stretch>
                      <a:fillRect/>
                    </a:stretch>
                  </pic:blipFill>
                  <pic:spPr>
                    <a:xfrm>
                      <a:off x="0" y="0"/>
                      <a:ext cx="3962953" cy="2648320"/>
                    </a:xfrm>
                    <a:prstGeom prst="rect">
                      <a:avLst/>
                    </a:prstGeom>
                  </pic:spPr>
                </pic:pic>
              </a:graphicData>
            </a:graphic>
          </wp:inline>
        </w:drawing>
      </w:r>
    </w:p>
    <w:p w14:paraId="04E5BCF9" w14:textId="7159BAC1" w:rsidR="007D7C49" w:rsidRPr="007D7C49" w:rsidRDefault="007D7C49" w:rsidP="00441B6F">
      <w:pPr>
        <w:pStyle w:val="Body"/>
        <w:spacing w:after="0"/>
        <w:rPr>
          <w:rFonts w:ascii="Arial" w:hAnsi="Arial" w:cs="Arial"/>
          <w:b/>
          <w:bCs/>
        </w:rPr>
      </w:pPr>
      <w:r w:rsidRPr="007D7C49">
        <w:rPr>
          <w:rFonts w:ascii="Arial" w:hAnsi="Arial" w:cs="Arial"/>
          <w:b/>
          <w:bCs/>
        </w:rPr>
        <w:t>Fig.2.comparison between GLP-1 agonists in lowering triglyceride level</w:t>
      </w:r>
    </w:p>
    <w:p w14:paraId="540739DA" w14:textId="77777777" w:rsidR="007D7C49" w:rsidRDefault="00821B62" w:rsidP="007D7C49">
      <w:pPr>
        <w:pStyle w:val="Body"/>
        <w:rPr>
          <w:rFonts w:ascii="Arial" w:hAnsi="Arial" w:cs="Arial"/>
        </w:rPr>
      </w:pPr>
      <w:r w:rsidRPr="00821B62">
        <w:rPr>
          <w:rFonts w:ascii="Arial" w:hAnsi="Arial" w:cs="Arial"/>
          <w:noProof/>
        </w:rPr>
        <mc:AlternateContent>
          <mc:Choice Requires="wps">
            <w:drawing>
              <wp:inline distT="0" distB="0" distL="0" distR="0" wp14:anchorId="52D1EC0B" wp14:editId="6FC8F29C">
                <wp:extent cx="304800" cy="304800"/>
                <wp:effectExtent l="0" t="0" r="0" b="0"/>
                <wp:docPr id="2045353691" name="Rectangle 3"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42F620" id="Rectangle 3" o:spid="_x0000_s1026" alt="Output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C66074" w14:textId="77777777" w:rsidR="007D7C49" w:rsidRDefault="007D7C49" w:rsidP="007D7C49">
      <w:pPr>
        <w:pStyle w:val="Body"/>
        <w:rPr>
          <w:rFonts w:ascii="Arial" w:hAnsi="Arial" w:cs="Arial"/>
        </w:rPr>
      </w:pPr>
    </w:p>
    <w:p w14:paraId="5996E929" w14:textId="3C49D2FA" w:rsidR="00B01FCD" w:rsidRPr="007D7C49" w:rsidRDefault="000C78D0" w:rsidP="007D7C49">
      <w:pPr>
        <w:pStyle w:val="Body"/>
        <w:rPr>
          <w:rFonts w:ascii="Arial" w:hAnsi="Arial" w:cs="Arial"/>
          <w:b/>
          <w:bCs/>
          <w:sz w:val="24"/>
          <w:szCs w:val="24"/>
          <w:lang w:val="en-CA"/>
        </w:rPr>
      </w:pPr>
      <w:r>
        <w:rPr>
          <w:rFonts w:ascii="Arial" w:hAnsi="Arial" w:cs="Arial"/>
          <w:b/>
          <w:bCs/>
          <w:sz w:val="24"/>
          <w:szCs w:val="24"/>
        </w:rPr>
        <w:t>8</w:t>
      </w:r>
      <w:r w:rsidR="00000F8F" w:rsidRPr="007D7C49">
        <w:rPr>
          <w:rFonts w:ascii="Arial" w:hAnsi="Arial" w:cs="Arial"/>
          <w:b/>
          <w:bCs/>
          <w:sz w:val="24"/>
          <w:szCs w:val="24"/>
        </w:rPr>
        <w:t xml:space="preserve">. </w:t>
      </w:r>
      <w:r w:rsidR="00B01FCD" w:rsidRPr="007D7C49">
        <w:rPr>
          <w:rFonts w:ascii="Arial" w:hAnsi="Arial" w:cs="Arial"/>
          <w:b/>
          <w:bCs/>
          <w:sz w:val="24"/>
          <w:szCs w:val="24"/>
        </w:rPr>
        <w:t>Conclusion</w:t>
      </w:r>
    </w:p>
    <w:p w14:paraId="1DD8ABE0" w14:textId="53E46EB1" w:rsidR="007A745E" w:rsidRPr="007A745E" w:rsidRDefault="00616244" w:rsidP="007A745E">
      <w:pPr>
        <w:pStyle w:val="AbstHead"/>
        <w:spacing w:after="0"/>
        <w:jc w:val="both"/>
        <w:rPr>
          <w:rFonts w:ascii="Arial" w:hAnsi="Arial" w:cs="Arial"/>
          <w:caps w:val="0"/>
          <w:sz w:val="20"/>
          <w:lang w:val="en-CA"/>
        </w:rPr>
      </w:pPr>
      <w:r w:rsidRPr="007D7C49">
        <w:rPr>
          <w:rFonts w:ascii="Arial" w:hAnsi="Arial" w:cs="Arial"/>
          <w:b w:val="0"/>
          <w:bCs/>
          <w:caps w:val="0"/>
          <w:sz w:val="20"/>
          <w:lang w:val="en-CA"/>
        </w:rPr>
        <w:t>This meta-analysis confirms that GLP-1 RAs significantly reduce triglyceride levels, particularly in patients with obesity, T2DM, and NAFLD. Their multifactorial benefits make them a valuable treatment option for hypertriglyceridemia management, with potential cardiovascular protective effects.</w:t>
      </w:r>
      <w:r w:rsidR="007A745E" w:rsidRPr="007D7C49">
        <w:rPr>
          <w:rFonts w:ascii="Arial" w:hAnsi="Arial" w:cs="Arial"/>
          <w:b w:val="0"/>
          <w:bCs/>
          <w:caps w:val="0"/>
          <w:sz w:val="20"/>
          <w:lang w:val="en-CA"/>
        </w:rPr>
        <w:t xml:space="preserve"> </w:t>
      </w:r>
      <w:r w:rsidR="007A745E" w:rsidRPr="007A745E">
        <w:rPr>
          <w:rFonts w:ascii="Arial" w:hAnsi="Arial" w:cs="Arial"/>
          <w:b w:val="0"/>
          <w:bCs/>
          <w:caps w:val="0"/>
          <w:sz w:val="20"/>
          <w:lang w:val="en-CA"/>
        </w:rPr>
        <w:t>While GLP-1 RAs demonstrated significant triglyceride-lowering effects, comparative studies with conventional lipid-lowering therapies, such as fibrates, statins, and omega-3 fatty acids, remain limited. Future research should explore head-to-head comparisons to clarify the clinical positioning of GLP-1 RAs in hypertriglyceridemia management. Expanding research on combination therapies may further enhance treatment efficacy and patient outcomes</w:t>
      </w:r>
      <w:r w:rsidR="007A745E" w:rsidRPr="007A745E">
        <w:rPr>
          <w:rFonts w:ascii="Arial" w:hAnsi="Arial" w:cs="Arial"/>
          <w:caps w:val="0"/>
          <w:sz w:val="20"/>
          <w:lang w:val="en-CA"/>
        </w:rPr>
        <w:t>.</w:t>
      </w:r>
    </w:p>
    <w:p w14:paraId="109B30F6" w14:textId="36527716" w:rsidR="00616244" w:rsidRPr="007D7C49" w:rsidRDefault="00616244" w:rsidP="00616244">
      <w:pPr>
        <w:pStyle w:val="Body"/>
        <w:spacing w:after="0"/>
        <w:rPr>
          <w:rFonts w:ascii="Arial" w:hAnsi="Arial" w:cs="Arial"/>
          <w:lang w:val="en-CA"/>
        </w:rPr>
      </w:pPr>
      <w:r w:rsidRPr="007D7C49">
        <w:rPr>
          <w:rFonts w:ascii="Arial" w:hAnsi="Arial" w:cs="Arial"/>
          <w:lang w:val="en-CA"/>
        </w:rPr>
        <w:t>Further large-scale trials are needed to establish their long-term efficacy and safety.</w:t>
      </w:r>
    </w:p>
    <w:p w14:paraId="5D30BEDA" w14:textId="6C60336A" w:rsidR="00B01FCD" w:rsidRPr="007D7C49" w:rsidRDefault="00B01FCD" w:rsidP="00441B6F">
      <w:pPr>
        <w:pStyle w:val="Body"/>
        <w:spacing w:after="0"/>
        <w:rPr>
          <w:rFonts w:ascii="Arial" w:hAnsi="Arial" w:cs="Arial"/>
        </w:rPr>
      </w:pPr>
    </w:p>
    <w:p w14:paraId="3216A2CA" w14:textId="77777777" w:rsidR="00790ADA" w:rsidRPr="00FB3A86" w:rsidRDefault="00790ADA" w:rsidP="00441B6F">
      <w:pPr>
        <w:pStyle w:val="Body"/>
        <w:spacing w:after="0"/>
        <w:rPr>
          <w:rFonts w:ascii="Arial" w:hAnsi="Arial" w:cs="Arial"/>
        </w:rPr>
      </w:pPr>
    </w:p>
    <w:p w14:paraId="27D00619" w14:textId="3D3F44AD" w:rsidR="00C46EC6"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44157B48" w14:textId="77777777" w:rsidR="00790ADA" w:rsidRPr="007E5AF6" w:rsidRDefault="00790ADA" w:rsidP="00441B6F">
      <w:pPr>
        <w:pStyle w:val="AcknHead"/>
        <w:spacing w:after="0"/>
        <w:jc w:val="both"/>
        <w:rPr>
          <w:rFonts w:ascii="Arial" w:hAnsi="Arial" w:cs="Arial"/>
          <w:b w:val="0"/>
          <w:bCs/>
        </w:rPr>
      </w:pPr>
    </w:p>
    <w:p w14:paraId="7565EC2A" w14:textId="4858D4FD" w:rsidR="007E5AF6" w:rsidRPr="007E5AF6" w:rsidRDefault="00C46EC6" w:rsidP="00855A69">
      <w:pPr>
        <w:pStyle w:val="Body"/>
        <w:spacing w:after="0"/>
        <w:rPr>
          <w:rFonts w:ascii="Arial" w:hAnsi="Arial" w:cs="Arial"/>
          <w:bCs/>
        </w:rPr>
      </w:pPr>
      <w:r w:rsidRPr="007E5AF6">
        <w:rPr>
          <w:rFonts w:ascii="Arial" w:hAnsi="Arial" w:cs="Arial"/>
          <w:bCs/>
        </w:rPr>
        <w:t xml:space="preserve">No funding </w:t>
      </w:r>
      <w:r w:rsidR="007E5AF6" w:rsidRPr="007E5AF6">
        <w:rPr>
          <w:rFonts w:ascii="Arial" w:hAnsi="Arial" w:cs="Arial"/>
          <w:bCs/>
        </w:rPr>
        <w:t>was</w:t>
      </w:r>
      <w:r w:rsidRPr="007E5AF6">
        <w:rPr>
          <w:rFonts w:ascii="Arial" w:hAnsi="Arial" w:cs="Arial"/>
          <w:bCs/>
        </w:rPr>
        <w:t xml:space="preserve"> </w:t>
      </w:r>
      <w:r w:rsidR="00CC51DD" w:rsidRPr="007E5AF6">
        <w:rPr>
          <w:rFonts w:ascii="Arial" w:hAnsi="Arial" w:cs="Arial"/>
          <w:bCs/>
        </w:rPr>
        <w:t xml:space="preserve">received for this study from any group or </w:t>
      </w:r>
      <w:r w:rsidR="007E5AF6" w:rsidRPr="007E5AF6">
        <w:rPr>
          <w:rFonts w:ascii="Arial" w:hAnsi="Arial" w:cs="Arial"/>
          <w:bCs/>
        </w:rPr>
        <w:t>individual</w:t>
      </w:r>
    </w:p>
    <w:p w14:paraId="53FDE783" w14:textId="77777777" w:rsidR="007E5AF6" w:rsidRDefault="007E5AF6" w:rsidP="00855A69">
      <w:pPr>
        <w:pStyle w:val="Body"/>
        <w:spacing w:after="0"/>
        <w:rPr>
          <w:rFonts w:ascii="Arial" w:hAnsi="Arial" w:cs="Arial"/>
          <w:b/>
          <w:sz w:val="22"/>
          <w:szCs w:val="22"/>
        </w:rPr>
      </w:pPr>
    </w:p>
    <w:p w14:paraId="5AD5B5E1" w14:textId="14BA8E9D" w:rsidR="00856B2A" w:rsidRPr="00856B2A" w:rsidRDefault="00371FB6" w:rsidP="00855A69">
      <w:pPr>
        <w:pStyle w:val="Body"/>
        <w:spacing w:after="0"/>
        <w:rPr>
          <w:rFonts w:ascii="Arial" w:hAnsi="Arial" w:cs="Arial"/>
          <w:b/>
          <w:sz w:val="22"/>
          <w:szCs w:val="22"/>
        </w:rPr>
      </w:pPr>
      <w:r w:rsidRPr="00856B2A">
        <w:rPr>
          <w:rFonts w:ascii="Arial" w:hAnsi="Arial" w:cs="Arial"/>
          <w:b/>
          <w:sz w:val="22"/>
          <w:szCs w:val="22"/>
        </w:rPr>
        <w:t>Contributions</w:t>
      </w:r>
    </w:p>
    <w:p w14:paraId="3A8336EB" w14:textId="77777777" w:rsidR="00D46502" w:rsidRDefault="00D46502" w:rsidP="00855A69">
      <w:pPr>
        <w:pStyle w:val="Body"/>
        <w:spacing w:after="0"/>
        <w:rPr>
          <w:rFonts w:ascii="Arial" w:hAnsi="Arial" w:cs="Arial"/>
          <w:u w:val="single"/>
        </w:rPr>
      </w:pPr>
    </w:p>
    <w:p w14:paraId="4B6E78D8" w14:textId="29DE23CE" w:rsidR="00855A69" w:rsidRDefault="00F875B7" w:rsidP="00855A69">
      <w:pPr>
        <w:pStyle w:val="Body"/>
        <w:spacing w:after="0"/>
        <w:rPr>
          <w:rFonts w:ascii="Arial" w:hAnsi="Arial" w:cs="Arial"/>
          <w:u w:val="single"/>
        </w:rPr>
      </w:pPr>
      <w:r>
        <w:rPr>
          <w:rFonts w:ascii="Arial" w:hAnsi="Arial" w:cs="Arial"/>
          <w:u w:val="single"/>
        </w:rPr>
        <w:t>“</w:t>
      </w:r>
      <w:r w:rsidR="00371FB6" w:rsidRPr="00F469F0">
        <w:rPr>
          <w:rFonts w:ascii="Arial" w:hAnsi="Arial" w:cs="Arial"/>
          <w:u w:val="single"/>
        </w:rPr>
        <w:t xml:space="preserve">Author </w:t>
      </w:r>
      <w:r w:rsidR="006B073E">
        <w:rPr>
          <w:rFonts w:ascii="Arial" w:hAnsi="Arial" w:cs="Arial"/>
          <w:u w:val="single"/>
        </w:rPr>
        <w:t>TJ</w:t>
      </w:r>
      <w:r w:rsidR="00371FB6" w:rsidRPr="00F469F0">
        <w:rPr>
          <w:rFonts w:ascii="Arial" w:hAnsi="Arial" w:cs="Arial"/>
          <w:u w:val="single"/>
        </w:rPr>
        <w:t xml:space="preserve"> designed the study, performed the statistical analysis, wrote the protocol, and</w:t>
      </w:r>
      <w:r w:rsidR="001A29D8" w:rsidRPr="00F469F0">
        <w:rPr>
          <w:rFonts w:ascii="Arial" w:hAnsi="Arial" w:cs="Arial"/>
          <w:u w:val="single"/>
        </w:rPr>
        <w:t xml:space="preserve"> </w:t>
      </w:r>
      <w:r w:rsidR="00371FB6" w:rsidRPr="00F469F0">
        <w:rPr>
          <w:rFonts w:ascii="Arial" w:hAnsi="Arial" w:cs="Arial"/>
          <w:u w:val="single"/>
        </w:rPr>
        <w:t>wrote the draft</w:t>
      </w:r>
      <w:r w:rsidR="00752FFF">
        <w:rPr>
          <w:rFonts w:ascii="Arial" w:hAnsi="Arial" w:cs="Arial"/>
          <w:u w:val="single"/>
        </w:rPr>
        <w:t>s</w:t>
      </w:r>
      <w:r w:rsidR="00371FB6" w:rsidRPr="00F469F0">
        <w:rPr>
          <w:rFonts w:ascii="Arial" w:hAnsi="Arial" w:cs="Arial"/>
          <w:u w:val="single"/>
        </w:rPr>
        <w:t xml:space="preserve"> of the manuscript. Author </w:t>
      </w:r>
      <w:r w:rsidR="00CD1ED6">
        <w:rPr>
          <w:rFonts w:ascii="Arial" w:hAnsi="Arial" w:cs="Arial"/>
          <w:u w:val="single"/>
        </w:rPr>
        <w:t>ST, SP</w:t>
      </w:r>
      <w:r w:rsidR="00C9307E">
        <w:rPr>
          <w:rFonts w:ascii="Arial" w:hAnsi="Arial" w:cs="Arial"/>
          <w:u w:val="single"/>
        </w:rPr>
        <w:t xml:space="preserve"> and </w:t>
      </w:r>
      <w:r w:rsidR="00216F9A">
        <w:rPr>
          <w:rFonts w:ascii="Arial" w:hAnsi="Arial" w:cs="Arial"/>
          <w:u w:val="single"/>
        </w:rPr>
        <w:t>F</w:t>
      </w:r>
      <w:r w:rsidR="00C9307E">
        <w:rPr>
          <w:rFonts w:ascii="Arial" w:hAnsi="Arial" w:cs="Arial"/>
          <w:u w:val="single"/>
        </w:rPr>
        <w:t xml:space="preserve">B </w:t>
      </w:r>
      <w:r w:rsidR="00371FB6" w:rsidRPr="00F469F0">
        <w:rPr>
          <w:rFonts w:ascii="Arial" w:hAnsi="Arial" w:cs="Arial"/>
          <w:u w:val="single"/>
        </w:rPr>
        <w:t>managed the analyses of</w:t>
      </w:r>
      <w:r w:rsidR="001A29D8" w:rsidRPr="00F469F0">
        <w:rPr>
          <w:rFonts w:ascii="Arial" w:hAnsi="Arial" w:cs="Arial"/>
          <w:u w:val="single"/>
        </w:rPr>
        <w:t xml:space="preserve"> </w:t>
      </w:r>
      <w:r w:rsidR="00371FB6" w:rsidRPr="00F469F0">
        <w:rPr>
          <w:rFonts w:ascii="Arial" w:hAnsi="Arial" w:cs="Arial"/>
          <w:u w:val="single"/>
        </w:rPr>
        <w:t>the study</w:t>
      </w:r>
      <w:r w:rsidR="00BA7BE8">
        <w:rPr>
          <w:rFonts w:ascii="Arial" w:hAnsi="Arial" w:cs="Arial"/>
          <w:u w:val="single"/>
        </w:rPr>
        <w:t>,</w:t>
      </w:r>
      <w:r w:rsidR="00371FB6" w:rsidRPr="00F469F0">
        <w:rPr>
          <w:rFonts w:ascii="Arial" w:hAnsi="Arial" w:cs="Arial"/>
          <w:u w:val="single"/>
        </w:rPr>
        <w:t xml:space="preserve"> literature searches</w:t>
      </w:r>
      <w:r w:rsidR="001A29D8" w:rsidRPr="00F469F0">
        <w:rPr>
          <w:rFonts w:ascii="Arial" w:hAnsi="Arial" w:cs="Arial"/>
          <w:u w:val="single"/>
        </w:rPr>
        <w:t>……</w:t>
      </w:r>
      <w:r w:rsidR="00371FB6" w:rsidRPr="00F469F0">
        <w:rPr>
          <w:rFonts w:ascii="Arial" w:hAnsi="Arial" w:cs="Arial"/>
          <w:u w:val="single"/>
        </w:rPr>
        <w:t xml:space="preserve"> All authors read and approved the final manuscript.</w:t>
      </w:r>
      <w:r w:rsidR="001A29D8" w:rsidRPr="00F469F0">
        <w:rPr>
          <w:rFonts w:ascii="Arial" w:hAnsi="Arial" w:cs="Arial"/>
          <w:u w:val="single"/>
        </w:rPr>
        <w:t>”</w:t>
      </w:r>
    </w:p>
    <w:p w14:paraId="2959D582" w14:textId="77777777" w:rsidR="00855A69" w:rsidRDefault="00855A69" w:rsidP="00855A69">
      <w:pPr>
        <w:pStyle w:val="Body"/>
        <w:spacing w:after="0"/>
        <w:rPr>
          <w:rFonts w:ascii="Arial" w:hAnsi="Arial" w:cs="Arial"/>
          <w:u w:val="single"/>
        </w:rPr>
      </w:pPr>
    </w:p>
    <w:p w14:paraId="0796306A" w14:textId="77777777" w:rsidR="00855A69" w:rsidRDefault="00855A69" w:rsidP="00855A69">
      <w:pPr>
        <w:pStyle w:val="Body"/>
        <w:spacing w:after="0"/>
        <w:rPr>
          <w:rFonts w:ascii="Arial" w:hAnsi="Arial" w:cs="Arial"/>
          <w:u w:val="single"/>
        </w:rPr>
      </w:pPr>
    </w:p>
    <w:p w14:paraId="5B7EC80B" w14:textId="77777777" w:rsidR="007755A6" w:rsidRDefault="002B685A" w:rsidP="00AA61F4">
      <w:pPr>
        <w:pStyle w:val="Body"/>
        <w:spacing w:after="0"/>
        <w:rPr>
          <w:rFonts w:ascii="Arial" w:hAnsi="Arial" w:cs="Arial"/>
          <w:b/>
          <w:sz w:val="22"/>
          <w:szCs w:val="22"/>
        </w:rPr>
      </w:pPr>
      <w:r w:rsidRPr="00855A69">
        <w:rPr>
          <w:rFonts w:ascii="Arial" w:hAnsi="Arial" w:cs="Arial"/>
          <w:b/>
          <w:sz w:val="22"/>
          <w:szCs w:val="22"/>
        </w:rPr>
        <w:t>Consent</w:t>
      </w:r>
    </w:p>
    <w:p w14:paraId="70EA7E42" w14:textId="094465B4" w:rsidR="00AA61F4" w:rsidRDefault="008B62C8" w:rsidP="00AA61F4">
      <w:pPr>
        <w:pStyle w:val="Body"/>
        <w:spacing w:after="0"/>
        <w:rPr>
          <w:rFonts w:ascii="Arial" w:hAnsi="Arial" w:cs="Arial"/>
          <w:bCs/>
        </w:rPr>
      </w:pPr>
      <w:r w:rsidRPr="008B62C8">
        <w:rPr>
          <w:rFonts w:ascii="Arial" w:hAnsi="Arial" w:cs="Arial"/>
          <w:bCs/>
        </w:rPr>
        <w:t>Informed written consent was obtained from all participants.</w:t>
      </w:r>
      <w:r>
        <w:rPr>
          <w:rFonts w:ascii="Arial" w:hAnsi="Arial" w:cs="Arial"/>
          <w:bCs/>
        </w:rPr>
        <w:t xml:space="preserve"> </w:t>
      </w:r>
    </w:p>
    <w:p w14:paraId="1FFE545A" w14:textId="77777777" w:rsidR="0011364E" w:rsidRDefault="0011364E" w:rsidP="00AA61F4">
      <w:pPr>
        <w:pStyle w:val="Body"/>
        <w:spacing w:after="0"/>
        <w:rPr>
          <w:rFonts w:ascii="Arial" w:hAnsi="Arial" w:cs="Arial"/>
          <w:bCs/>
          <w:caps/>
        </w:rPr>
      </w:pPr>
    </w:p>
    <w:p w14:paraId="4706C459" w14:textId="703817C7" w:rsidR="00CD6856" w:rsidRDefault="005C784C" w:rsidP="00AA61F4">
      <w:pPr>
        <w:pStyle w:val="Body"/>
        <w:spacing w:after="0"/>
        <w:rPr>
          <w:rFonts w:ascii="Arial" w:hAnsi="Arial" w:cs="Arial"/>
          <w:b/>
          <w:sz w:val="22"/>
          <w:szCs w:val="22"/>
        </w:rPr>
      </w:pPr>
      <w:r w:rsidRPr="00AA61F4">
        <w:rPr>
          <w:rFonts w:ascii="Arial" w:hAnsi="Arial" w:cs="Arial"/>
          <w:b/>
          <w:sz w:val="22"/>
          <w:szCs w:val="22"/>
        </w:rPr>
        <w:t>Ethical approval</w:t>
      </w:r>
    </w:p>
    <w:p w14:paraId="7AAD4F13" w14:textId="22BC7562" w:rsidR="00C156E1" w:rsidRPr="007E5AF6" w:rsidRDefault="00C156E1" w:rsidP="00AA61F4">
      <w:pPr>
        <w:pStyle w:val="Body"/>
        <w:spacing w:after="0"/>
        <w:rPr>
          <w:rFonts w:ascii="Arial" w:hAnsi="Arial" w:cs="Arial"/>
          <w:bCs/>
        </w:rPr>
      </w:pPr>
      <w:r w:rsidRPr="007E5AF6">
        <w:rPr>
          <w:rFonts w:ascii="Arial" w:hAnsi="Arial" w:cs="Arial"/>
          <w:bCs/>
        </w:rPr>
        <w:t>Approval to obtain data and report findings were obtained</w:t>
      </w:r>
    </w:p>
    <w:p w14:paraId="5C1D6A50" w14:textId="1D650154" w:rsidR="007C1D6F" w:rsidRDefault="007C1D6F" w:rsidP="00441B6F">
      <w:pPr>
        <w:pStyle w:val="ReferHead"/>
        <w:spacing w:after="0"/>
        <w:jc w:val="both"/>
        <w:rPr>
          <w:rFonts w:ascii="Arial" w:hAnsi="Arial" w:cs="Arial"/>
          <w:b w:val="0"/>
          <w:caps w:val="0"/>
          <w:sz w:val="20"/>
        </w:rPr>
      </w:pPr>
    </w:p>
    <w:p w14:paraId="6E8ECE27" w14:textId="77777777" w:rsidR="000B16D6" w:rsidRPr="000B16D6" w:rsidRDefault="000B16D6" w:rsidP="000B16D6">
      <w:pPr>
        <w:pStyle w:val="ReferHead"/>
        <w:jc w:val="both"/>
        <w:rPr>
          <w:rFonts w:ascii="Arial" w:hAnsi="Arial" w:cs="Arial"/>
          <w:b w:val="0"/>
          <w:caps w:val="0"/>
          <w:sz w:val="20"/>
        </w:rPr>
      </w:pPr>
      <w:r w:rsidRPr="000B16D6">
        <w:rPr>
          <w:rFonts w:ascii="Arial" w:hAnsi="Arial" w:cs="Arial"/>
          <w:b w:val="0"/>
          <w:caps w:val="0"/>
          <w:sz w:val="20"/>
        </w:rPr>
        <w:t>Disclaimer (Artificial intelligence)</w:t>
      </w:r>
    </w:p>
    <w:p w14:paraId="77879D6F" w14:textId="77777777" w:rsidR="000B16D6" w:rsidRPr="000B16D6" w:rsidRDefault="000B16D6" w:rsidP="000B16D6">
      <w:pPr>
        <w:pStyle w:val="ReferHead"/>
        <w:jc w:val="both"/>
        <w:rPr>
          <w:rFonts w:ascii="Arial" w:hAnsi="Arial" w:cs="Arial"/>
          <w:b w:val="0"/>
          <w:caps w:val="0"/>
          <w:sz w:val="20"/>
        </w:rPr>
      </w:pPr>
      <w:r w:rsidRPr="000B16D6">
        <w:rPr>
          <w:rFonts w:ascii="Arial" w:hAnsi="Arial" w:cs="Arial"/>
          <w:b w:val="0"/>
          <w:caps w:val="0"/>
          <w:sz w:val="20"/>
        </w:rPr>
        <w:t xml:space="preserve">Option 1: </w:t>
      </w:r>
    </w:p>
    <w:p w14:paraId="28AFA17D" w14:textId="77777777" w:rsidR="000B16D6" w:rsidRPr="000B16D6" w:rsidRDefault="000B16D6" w:rsidP="000B16D6">
      <w:pPr>
        <w:pStyle w:val="ReferHead"/>
        <w:jc w:val="both"/>
        <w:rPr>
          <w:rFonts w:ascii="Arial" w:hAnsi="Arial" w:cs="Arial"/>
          <w:b w:val="0"/>
          <w:caps w:val="0"/>
          <w:sz w:val="20"/>
        </w:rPr>
      </w:pPr>
      <w:r w:rsidRPr="000B16D6">
        <w:rPr>
          <w:rFonts w:ascii="Arial" w:hAnsi="Arial" w:cs="Arial"/>
          <w:b w:val="0"/>
          <w:caps w:val="0"/>
          <w:sz w:val="20"/>
        </w:rPr>
        <w:t>Author(s) hereby declare that NO generative AI technologies such as Large Language Models (</w:t>
      </w:r>
      <w:proofErr w:type="spellStart"/>
      <w:r w:rsidRPr="000B16D6">
        <w:rPr>
          <w:rFonts w:ascii="Arial" w:hAnsi="Arial" w:cs="Arial"/>
          <w:b w:val="0"/>
          <w:caps w:val="0"/>
          <w:sz w:val="20"/>
        </w:rPr>
        <w:t>ChatGPT</w:t>
      </w:r>
      <w:proofErr w:type="spellEnd"/>
      <w:r w:rsidRPr="000B16D6">
        <w:rPr>
          <w:rFonts w:ascii="Arial" w:hAnsi="Arial" w:cs="Arial"/>
          <w:b w:val="0"/>
          <w:caps w:val="0"/>
          <w:sz w:val="20"/>
        </w:rPr>
        <w:t xml:space="preserve">, COPILOT, etc.) and text-to-image generators have been used during the writing or editing of this manuscript. </w:t>
      </w:r>
    </w:p>
    <w:p w14:paraId="74D2FD1E" w14:textId="77777777" w:rsidR="000B16D6" w:rsidRPr="000B16D6" w:rsidRDefault="000B16D6" w:rsidP="000B16D6">
      <w:pPr>
        <w:pStyle w:val="ReferHead"/>
        <w:jc w:val="both"/>
        <w:rPr>
          <w:rFonts w:ascii="Arial" w:hAnsi="Arial" w:cs="Arial"/>
          <w:b w:val="0"/>
          <w:caps w:val="0"/>
          <w:sz w:val="20"/>
        </w:rPr>
      </w:pPr>
      <w:r w:rsidRPr="000B16D6">
        <w:rPr>
          <w:rFonts w:ascii="Arial" w:hAnsi="Arial" w:cs="Arial"/>
          <w:b w:val="0"/>
          <w:caps w:val="0"/>
          <w:sz w:val="20"/>
        </w:rPr>
        <w:t xml:space="preserve">Option 2: </w:t>
      </w:r>
    </w:p>
    <w:p w14:paraId="5D455764" w14:textId="77777777" w:rsidR="000B16D6" w:rsidRPr="000B16D6" w:rsidRDefault="000B16D6" w:rsidP="000B16D6">
      <w:pPr>
        <w:pStyle w:val="ReferHead"/>
        <w:jc w:val="both"/>
        <w:rPr>
          <w:rFonts w:ascii="Arial" w:hAnsi="Arial" w:cs="Arial"/>
          <w:b w:val="0"/>
          <w:caps w:val="0"/>
          <w:sz w:val="20"/>
        </w:rPr>
      </w:pPr>
      <w:r w:rsidRPr="000B16D6">
        <w:rPr>
          <w:rFonts w:ascii="Arial" w:hAnsi="Arial" w:cs="Arial"/>
          <w:b w:val="0"/>
          <w:caps w:val="0"/>
          <w:sz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367BF5" w14:textId="77777777" w:rsidR="000B16D6" w:rsidRPr="000B16D6" w:rsidRDefault="000B16D6" w:rsidP="000B16D6">
      <w:pPr>
        <w:pStyle w:val="ReferHead"/>
        <w:jc w:val="both"/>
        <w:rPr>
          <w:rFonts w:ascii="Arial" w:hAnsi="Arial" w:cs="Arial"/>
          <w:b w:val="0"/>
          <w:caps w:val="0"/>
          <w:sz w:val="20"/>
        </w:rPr>
      </w:pPr>
      <w:r w:rsidRPr="000B16D6">
        <w:rPr>
          <w:rFonts w:ascii="Arial" w:hAnsi="Arial" w:cs="Arial"/>
          <w:b w:val="0"/>
          <w:caps w:val="0"/>
          <w:sz w:val="20"/>
        </w:rPr>
        <w:t>Details of the AI usage are given below:</w:t>
      </w:r>
    </w:p>
    <w:p w14:paraId="6D3E3DAB" w14:textId="77777777" w:rsidR="000B16D6" w:rsidRPr="000B16D6" w:rsidRDefault="000B16D6" w:rsidP="000B16D6">
      <w:pPr>
        <w:pStyle w:val="ReferHead"/>
        <w:jc w:val="both"/>
        <w:rPr>
          <w:rFonts w:ascii="Arial" w:hAnsi="Arial" w:cs="Arial"/>
          <w:b w:val="0"/>
          <w:caps w:val="0"/>
          <w:sz w:val="20"/>
        </w:rPr>
      </w:pPr>
      <w:r w:rsidRPr="000B16D6">
        <w:rPr>
          <w:rFonts w:ascii="Arial" w:hAnsi="Arial" w:cs="Arial"/>
          <w:b w:val="0"/>
          <w:caps w:val="0"/>
          <w:sz w:val="20"/>
        </w:rPr>
        <w:t>1.</w:t>
      </w:r>
    </w:p>
    <w:p w14:paraId="07D0B6E5" w14:textId="77777777" w:rsidR="000B16D6" w:rsidRPr="000B16D6" w:rsidRDefault="000B16D6" w:rsidP="000B16D6">
      <w:pPr>
        <w:pStyle w:val="ReferHead"/>
        <w:jc w:val="both"/>
        <w:rPr>
          <w:rFonts w:ascii="Arial" w:hAnsi="Arial" w:cs="Arial"/>
          <w:b w:val="0"/>
          <w:caps w:val="0"/>
          <w:sz w:val="20"/>
        </w:rPr>
      </w:pPr>
      <w:r w:rsidRPr="000B16D6">
        <w:rPr>
          <w:rFonts w:ascii="Arial" w:hAnsi="Arial" w:cs="Arial"/>
          <w:b w:val="0"/>
          <w:caps w:val="0"/>
          <w:sz w:val="20"/>
        </w:rPr>
        <w:t>2.</w:t>
      </w:r>
    </w:p>
    <w:p w14:paraId="46F0ACFC" w14:textId="2184FCA9" w:rsidR="000B16D6" w:rsidRDefault="000B16D6" w:rsidP="000B16D6">
      <w:pPr>
        <w:pStyle w:val="ReferHead"/>
        <w:spacing w:after="0"/>
        <w:jc w:val="both"/>
        <w:rPr>
          <w:rFonts w:ascii="Arial" w:hAnsi="Arial" w:cs="Arial"/>
          <w:b w:val="0"/>
          <w:caps w:val="0"/>
          <w:sz w:val="20"/>
        </w:rPr>
      </w:pPr>
      <w:r w:rsidRPr="000B16D6">
        <w:rPr>
          <w:rFonts w:ascii="Arial" w:hAnsi="Arial" w:cs="Arial"/>
          <w:b w:val="0"/>
          <w:caps w:val="0"/>
          <w:sz w:val="20"/>
        </w:rPr>
        <w:t>3.</w:t>
      </w:r>
      <w:r>
        <w:rPr>
          <w:rFonts w:ascii="Arial" w:hAnsi="Arial" w:cs="Arial"/>
          <w:b w:val="0"/>
          <w:caps w:val="0"/>
          <w:sz w:val="20"/>
        </w:rPr>
        <w:t xml:space="preserve"> </w:t>
      </w:r>
    </w:p>
    <w:p w14:paraId="05DD96D8" w14:textId="77777777" w:rsidR="000B16D6" w:rsidRDefault="000B16D6" w:rsidP="000B16D6">
      <w:pPr>
        <w:pStyle w:val="ReferHead"/>
        <w:spacing w:after="0"/>
        <w:jc w:val="both"/>
        <w:rPr>
          <w:rFonts w:ascii="Arial" w:hAnsi="Arial" w:cs="Arial"/>
          <w:b w:val="0"/>
          <w:caps w:val="0"/>
          <w:sz w:val="20"/>
        </w:rPr>
      </w:pPr>
    </w:p>
    <w:p w14:paraId="7623CB5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951506F" w14:textId="77777777" w:rsidR="00646C28" w:rsidRDefault="00646C28" w:rsidP="00441B6F">
      <w:pPr>
        <w:pStyle w:val="ReferHead"/>
        <w:spacing w:after="0"/>
        <w:jc w:val="both"/>
        <w:rPr>
          <w:rFonts w:ascii="Arial" w:hAnsi="Arial" w:cs="Arial"/>
        </w:rPr>
      </w:pPr>
    </w:p>
    <w:p w14:paraId="13600183" w14:textId="77777777" w:rsidR="00646C28" w:rsidRPr="00D30BBA" w:rsidRDefault="00646C28" w:rsidP="007D0EF7">
      <w:pPr>
        <w:pStyle w:val="ReferHead"/>
        <w:numPr>
          <w:ilvl w:val="0"/>
          <w:numId w:val="33"/>
        </w:numPr>
        <w:jc w:val="both"/>
        <w:rPr>
          <w:rFonts w:ascii="Arial" w:hAnsi="Arial" w:cs="Arial"/>
          <w:b w:val="0"/>
          <w:bCs/>
          <w:sz w:val="20"/>
        </w:rPr>
      </w:pPr>
      <w:r w:rsidRPr="00D30BBA">
        <w:rPr>
          <w:rFonts w:ascii="Arial" w:hAnsi="Arial" w:cs="Arial"/>
          <w:b w:val="0"/>
          <w:bCs/>
          <w:sz w:val="20"/>
        </w:rPr>
        <w:t>del Olmo-Garcia MI, Merino-Torres JF. GLP</w:t>
      </w:r>
      <w:r w:rsidRPr="00D30BBA">
        <w:rPr>
          <w:rFonts w:ascii="Cambria Math" w:hAnsi="Cambria Math" w:cs="Cambria Math"/>
          <w:b w:val="0"/>
          <w:bCs/>
          <w:sz w:val="20"/>
        </w:rPr>
        <w:t>‐</w:t>
      </w:r>
      <w:r w:rsidRPr="00D30BBA">
        <w:rPr>
          <w:rFonts w:ascii="Arial" w:hAnsi="Arial" w:cs="Arial"/>
          <w:b w:val="0"/>
          <w:bCs/>
          <w:sz w:val="20"/>
        </w:rPr>
        <w:t>1 receptor agonists and cardiovascular disease in patients with type 2 diabetes. Journal of diabetes research. 2018</w:t>
      </w:r>
      <w:proofErr w:type="gramStart"/>
      <w:r w:rsidRPr="00D30BBA">
        <w:rPr>
          <w:rFonts w:ascii="Arial" w:hAnsi="Arial" w:cs="Arial"/>
          <w:b w:val="0"/>
          <w:bCs/>
          <w:sz w:val="20"/>
        </w:rPr>
        <w:t>;2018</w:t>
      </w:r>
      <w:proofErr w:type="gramEnd"/>
      <w:r w:rsidRPr="00D30BBA">
        <w:rPr>
          <w:rFonts w:ascii="Arial" w:hAnsi="Arial" w:cs="Arial"/>
          <w:b w:val="0"/>
          <w:bCs/>
          <w:sz w:val="20"/>
        </w:rPr>
        <w:t>(1):4020492.</w:t>
      </w:r>
    </w:p>
    <w:p w14:paraId="1F24B9CC" w14:textId="48BE8E7A" w:rsidR="00CF35A3" w:rsidRPr="00CF35A3" w:rsidRDefault="00646C28" w:rsidP="007D0EF7">
      <w:pPr>
        <w:pStyle w:val="ReferHead"/>
        <w:numPr>
          <w:ilvl w:val="0"/>
          <w:numId w:val="33"/>
        </w:numPr>
        <w:jc w:val="both"/>
        <w:rPr>
          <w:rFonts w:ascii="Arial" w:hAnsi="Arial" w:cs="Arial"/>
          <w:sz w:val="20"/>
        </w:rPr>
      </w:pPr>
      <w:r w:rsidRPr="00D30BBA">
        <w:rPr>
          <w:rFonts w:ascii="Arial" w:hAnsi="Arial" w:cs="Arial"/>
          <w:b w:val="0"/>
          <w:bCs/>
          <w:sz w:val="20"/>
        </w:rPr>
        <w:t xml:space="preserve">Zhang L, Tian J, Diao S, Zhang G, Xiao M, Chang D. GLP-1 receptor agonist liraglutide protects cardiomyocytes from IL-1β-induced metabolic disturbance and mitochondrial dysfunction. Chemico-Biological Interactions. 2020 Dec </w:t>
      </w:r>
      <w:r w:rsidR="00D30BBA" w:rsidRPr="00D30BBA">
        <w:rPr>
          <w:rFonts w:ascii="Arial" w:hAnsi="Arial" w:cs="Arial"/>
          <w:b w:val="0"/>
          <w:bCs/>
          <w:sz w:val="20"/>
        </w:rPr>
        <w:t>1; 332:109252</w:t>
      </w:r>
      <w:r w:rsidRPr="00D30BBA">
        <w:rPr>
          <w:rFonts w:ascii="Arial" w:hAnsi="Arial" w:cs="Arial"/>
          <w:sz w:val="20"/>
        </w:rPr>
        <w:t>.</w:t>
      </w:r>
    </w:p>
    <w:p w14:paraId="01C22D48" w14:textId="01995A7B" w:rsidR="00CF35A3" w:rsidRPr="00CF35A3" w:rsidRDefault="00CF35A3" w:rsidP="007D0EF7">
      <w:pPr>
        <w:pStyle w:val="ReferHead"/>
        <w:numPr>
          <w:ilvl w:val="0"/>
          <w:numId w:val="33"/>
        </w:numPr>
        <w:jc w:val="both"/>
        <w:rPr>
          <w:rFonts w:ascii="Arial" w:hAnsi="Arial" w:cs="Arial"/>
          <w:sz w:val="20"/>
          <w:lang w:val="en-CA"/>
        </w:rPr>
      </w:pPr>
      <w:r w:rsidRPr="00CF35A3">
        <w:rPr>
          <w:rFonts w:ascii="Arial" w:hAnsi="Arial" w:cs="Arial"/>
          <w:sz w:val="20"/>
          <w:lang w:val="en-CA"/>
        </w:rPr>
        <w:t> </w:t>
      </w:r>
      <w:hyperlink r:id="rId18" w:history="1">
        <w:r w:rsidRPr="00CF35A3">
          <w:rPr>
            <w:rStyle w:val="Hyperlink"/>
            <w:rFonts w:ascii="Arial" w:hAnsi="Arial" w:cs="Arial"/>
            <w:b w:val="0"/>
            <w:bCs/>
            <w:sz w:val="20"/>
            <w:lang w:val="en-CA"/>
          </w:rPr>
          <w:t>Gut hormones and appetite regulation.</w:t>
        </w:r>
      </w:hyperlink>
    </w:p>
    <w:p w14:paraId="13163541" w14:textId="29DA3C24" w:rsidR="006C59B2" w:rsidRPr="006C59B2" w:rsidRDefault="00CF35A3" w:rsidP="007D0EF7">
      <w:pPr>
        <w:pStyle w:val="ReferHead"/>
        <w:numPr>
          <w:ilvl w:val="0"/>
          <w:numId w:val="33"/>
        </w:numPr>
        <w:jc w:val="both"/>
        <w:rPr>
          <w:rFonts w:ascii="Arial" w:hAnsi="Arial" w:cs="Arial"/>
          <w:b w:val="0"/>
          <w:bCs/>
          <w:sz w:val="20"/>
          <w:lang w:val="en-CA"/>
        </w:rPr>
      </w:pPr>
      <w:r w:rsidRPr="00CF35A3">
        <w:rPr>
          <w:rFonts w:ascii="Arial" w:hAnsi="Arial" w:cs="Arial"/>
          <w:b w:val="0"/>
          <w:bCs/>
          <w:sz w:val="20"/>
          <w:lang w:val="en-CA"/>
        </w:rPr>
        <w:t xml:space="preserve">Hong SH, Choi </w:t>
      </w:r>
      <w:r w:rsidR="00D30BBA" w:rsidRPr="00D30BBA">
        <w:rPr>
          <w:rFonts w:ascii="Arial" w:hAnsi="Arial" w:cs="Arial"/>
          <w:b w:val="0"/>
          <w:bCs/>
          <w:sz w:val="20"/>
          <w:lang w:val="en-CA"/>
        </w:rPr>
        <w:t>KM. CURR</w:t>
      </w:r>
      <w:r w:rsidRPr="00CF35A3">
        <w:rPr>
          <w:rFonts w:ascii="Arial" w:hAnsi="Arial" w:cs="Arial"/>
          <w:b w:val="0"/>
          <w:bCs/>
          <w:sz w:val="20"/>
          <w:lang w:val="en-CA"/>
        </w:rPr>
        <w:t xml:space="preserve"> Opin Endocrinol Diabetes Obes. 2024 Jun 1</w:t>
      </w:r>
      <w:proofErr w:type="gramStart"/>
      <w:r w:rsidRPr="00CF35A3">
        <w:rPr>
          <w:rFonts w:ascii="Arial" w:hAnsi="Arial" w:cs="Arial"/>
          <w:b w:val="0"/>
          <w:bCs/>
          <w:sz w:val="20"/>
          <w:lang w:val="en-CA"/>
        </w:rPr>
        <w:t>;31</w:t>
      </w:r>
      <w:proofErr w:type="gramEnd"/>
      <w:r w:rsidRPr="00CF35A3">
        <w:rPr>
          <w:rFonts w:ascii="Arial" w:hAnsi="Arial" w:cs="Arial"/>
          <w:b w:val="0"/>
          <w:bCs/>
          <w:sz w:val="20"/>
          <w:lang w:val="en-CA"/>
        </w:rPr>
        <w:t xml:space="preserve">(3):115-121. doi: 10.1097/MED.0000000000000859. Epub 2024 Mar </w:t>
      </w:r>
      <w:r w:rsidR="00D30BBA" w:rsidRPr="00D30BBA">
        <w:rPr>
          <w:rFonts w:ascii="Arial" w:hAnsi="Arial" w:cs="Arial"/>
          <w:b w:val="0"/>
          <w:bCs/>
          <w:sz w:val="20"/>
          <w:lang w:val="en-CA"/>
        </w:rPr>
        <w:t>21. PMID</w:t>
      </w:r>
      <w:r w:rsidRPr="00CF35A3">
        <w:rPr>
          <w:rFonts w:ascii="Arial" w:hAnsi="Arial" w:cs="Arial"/>
          <w:b w:val="0"/>
          <w:bCs/>
          <w:sz w:val="20"/>
          <w:lang w:val="en-CA"/>
        </w:rPr>
        <w:t>: 38511400 </w:t>
      </w:r>
    </w:p>
    <w:p w14:paraId="5605B53C" w14:textId="77777777" w:rsidR="006C59B2" w:rsidRPr="006C59B2" w:rsidRDefault="00384835" w:rsidP="007D0EF7">
      <w:pPr>
        <w:pStyle w:val="ReferHead"/>
        <w:numPr>
          <w:ilvl w:val="0"/>
          <w:numId w:val="33"/>
        </w:numPr>
        <w:jc w:val="both"/>
        <w:rPr>
          <w:rFonts w:ascii="Arial" w:hAnsi="Arial" w:cs="Arial"/>
          <w:b w:val="0"/>
          <w:bCs/>
          <w:sz w:val="20"/>
          <w:lang w:val="en-CA"/>
        </w:rPr>
      </w:pPr>
      <w:hyperlink r:id="rId19" w:history="1">
        <w:r w:rsidR="006C59B2" w:rsidRPr="006C59B2">
          <w:rPr>
            <w:rStyle w:val="Hyperlink"/>
            <w:rFonts w:ascii="Arial" w:hAnsi="Arial" w:cs="Arial"/>
            <w:b w:val="0"/>
            <w:bCs/>
            <w:sz w:val="20"/>
            <w:lang w:val="en-CA"/>
          </w:rPr>
          <w:t>New therapies for obesity.</w:t>
        </w:r>
      </w:hyperlink>
    </w:p>
    <w:p w14:paraId="5122C2AE" w14:textId="6315EA8C" w:rsidR="00324C36" w:rsidRPr="00324C36" w:rsidRDefault="006C59B2" w:rsidP="007D0EF7">
      <w:pPr>
        <w:pStyle w:val="ReferHead"/>
        <w:numPr>
          <w:ilvl w:val="0"/>
          <w:numId w:val="33"/>
        </w:numPr>
        <w:jc w:val="both"/>
        <w:rPr>
          <w:rFonts w:ascii="Arial" w:hAnsi="Arial" w:cs="Arial"/>
          <w:b w:val="0"/>
          <w:bCs/>
          <w:sz w:val="20"/>
          <w:lang w:val="en-CA"/>
        </w:rPr>
      </w:pPr>
      <w:r w:rsidRPr="006C59B2">
        <w:rPr>
          <w:rFonts w:ascii="Arial" w:hAnsi="Arial" w:cs="Arial"/>
          <w:b w:val="0"/>
          <w:bCs/>
          <w:sz w:val="20"/>
          <w:lang w:val="en-CA"/>
        </w:rPr>
        <w:t xml:space="preserve">Papamargaritis D, le Roux CW, Holst JJ, Davies </w:t>
      </w:r>
      <w:r w:rsidR="00D30BBA" w:rsidRPr="00D30BBA">
        <w:rPr>
          <w:rFonts w:ascii="Arial" w:hAnsi="Arial" w:cs="Arial"/>
          <w:b w:val="0"/>
          <w:bCs/>
          <w:sz w:val="20"/>
          <w:lang w:val="en-CA"/>
        </w:rPr>
        <w:t>MJ. CARDIOVASC</w:t>
      </w:r>
      <w:r w:rsidRPr="006C59B2">
        <w:rPr>
          <w:rFonts w:ascii="Arial" w:hAnsi="Arial" w:cs="Arial"/>
          <w:b w:val="0"/>
          <w:bCs/>
          <w:sz w:val="20"/>
          <w:lang w:val="en-CA"/>
        </w:rPr>
        <w:t xml:space="preserve"> Res. 2024 Feb 17</w:t>
      </w:r>
      <w:proofErr w:type="gramStart"/>
      <w:r w:rsidRPr="006C59B2">
        <w:rPr>
          <w:rFonts w:ascii="Arial" w:hAnsi="Arial" w:cs="Arial"/>
          <w:b w:val="0"/>
          <w:bCs/>
          <w:sz w:val="20"/>
          <w:lang w:val="en-CA"/>
        </w:rPr>
        <w:t>;119</w:t>
      </w:r>
      <w:proofErr w:type="gramEnd"/>
      <w:r w:rsidRPr="006C59B2">
        <w:rPr>
          <w:rFonts w:ascii="Arial" w:hAnsi="Arial" w:cs="Arial"/>
          <w:b w:val="0"/>
          <w:bCs/>
          <w:sz w:val="20"/>
          <w:lang w:val="en-CA"/>
        </w:rPr>
        <w:t>(18):2825-2842. doi: 10.1093/cvr/cvac176.PMID: 36448672 </w:t>
      </w:r>
    </w:p>
    <w:p w14:paraId="59C5BC53" w14:textId="449EBFA5" w:rsidR="00324C36" w:rsidRPr="00324C36" w:rsidRDefault="00324C36" w:rsidP="007D0EF7">
      <w:pPr>
        <w:pStyle w:val="ReferHead"/>
        <w:numPr>
          <w:ilvl w:val="0"/>
          <w:numId w:val="33"/>
        </w:numPr>
        <w:jc w:val="both"/>
        <w:rPr>
          <w:rFonts w:ascii="Arial" w:hAnsi="Arial" w:cs="Arial"/>
          <w:b w:val="0"/>
          <w:bCs/>
          <w:sz w:val="20"/>
          <w:lang w:val="en-CA"/>
        </w:rPr>
      </w:pPr>
      <w:r w:rsidRPr="00324C36">
        <w:rPr>
          <w:rFonts w:ascii="Arial" w:hAnsi="Arial" w:cs="Arial"/>
          <w:b w:val="0"/>
          <w:bCs/>
          <w:sz w:val="20"/>
          <w:lang w:val="en-CA"/>
        </w:rPr>
        <w:t> </w:t>
      </w:r>
      <w:hyperlink r:id="rId20" w:history="1">
        <w:r w:rsidRPr="00324C36">
          <w:rPr>
            <w:rStyle w:val="Hyperlink"/>
            <w:rFonts w:ascii="Arial" w:hAnsi="Arial" w:cs="Arial"/>
            <w:b w:val="0"/>
            <w:bCs/>
            <w:sz w:val="20"/>
            <w:lang w:val="en-CA"/>
          </w:rPr>
          <w:t>Glucagon-Like Peptide-1 Receptor Agonists.</w:t>
        </w:r>
      </w:hyperlink>
    </w:p>
    <w:p w14:paraId="11D6B205" w14:textId="1C76284E" w:rsidR="00324C36" w:rsidRPr="00324C36" w:rsidRDefault="00324C36" w:rsidP="007D0EF7">
      <w:pPr>
        <w:pStyle w:val="ReferHead"/>
        <w:numPr>
          <w:ilvl w:val="0"/>
          <w:numId w:val="33"/>
        </w:numPr>
        <w:jc w:val="both"/>
        <w:rPr>
          <w:rFonts w:ascii="Arial" w:hAnsi="Arial" w:cs="Arial"/>
          <w:b w:val="0"/>
          <w:bCs/>
          <w:sz w:val="20"/>
          <w:lang w:val="en-CA"/>
        </w:rPr>
      </w:pPr>
      <w:r w:rsidRPr="00324C36">
        <w:rPr>
          <w:rFonts w:ascii="Arial" w:hAnsi="Arial" w:cs="Arial"/>
          <w:b w:val="0"/>
          <w:bCs/>
          <w:sz w:val="20"/>
          <w:lang w:val="en-CA"/>
        </w:rPr>
        <w:t>Collins L, Costello RA.2024 Feb 29. In: StatPearls [Internet]. Treasure Island (FL): StatPearls Publishing; 2025 Jan</w:t>
      </w:r>
      <w:r w:rsidR="00D30BBA" w:rsidRPr="00D30BBA">
        <w:rPr>
          <w:rFonts w:ascii="Arial" w:hAnsi="Arial" w:cs="Arial"/>
          <w:b w:val="0"/>
          <w:bCs/>
          <w:sz w:val="20"/>
          <w:lang w:val="en-CA"/>
        </w:rPr>
        <w:t>–. PMID</w:t>
      </w:r>
      <w:r w:rsidRPr="00324C36">
        <w:rPr>
          <w:rFonts w:ascii="Arial" w:hAnsi="Arial" w:cs="Arial"/>
          <w:b w:val="0"/>
          <w:bCs/>
          <w:sz w:val="20"/>
          <w:lang w:val="en-CA"/>
        </w:rPr>
        <w:t>: 31855395</w:t>
      </w:r>
    </w:p>
    <w:p w14:paraId="688898F8" w14:textId="3670ADA7" w:rsidR="00420E63" w:rsidRDefault="00384835" w:rsidP="007D0EF7">
      <w:pPr>
        <w:pStyle w:val="Appendix"/>
        <w:numPr>
          <w:ilvl w:val="0"/>
          <w:numId w:val="33"/>
        </w:numPr>
        <w:spacing w:after="0"/>
        <w:jc w:val="both"/>
        <w:rPr>
          <w:rFonts w:ascii="Arial" w:hAnsi="Arial" w:cs="Arial"/>
          <w:b w:val="0"/>
          <w:bCs/>
          <w:sz w:val="20"/>
          <w:lang w:val="en-CA"/>
        </w:rPr>
      </w:pPr>
      <w:hyperlink r:id="rId21" w:history="1">
        <w:r w:rsidR="00420E63" w:rsidRPr="00420E63">
          <w:rPr>
            <w:rStyle w:val="Hyperlink"/>
            <w:rFonts w:ascii="Arial" w:hAnsi="Arial" w:cs="Arial"/>
            <w:b w:val="0"/>
            <w:bCs/>
            <w:sz w:val="20"/>
            <w:lang w:val="en-CA"/>
          </w:rPr>
          <w:t>Effect of glucagon-like peptide-1 receptor agonists and co-agonists on body composition: Systematic review and network meta-analysis.</w:t>
        </w:r>
      </w:hyperlink>
      <w:r w:rsidR="00420E63" w:rsidRPr="00420E63">
        <w:rPr>
          <w:rFonts w:ascii="Arial" w:hAnsi="Arial" w:cs="Arial"/>
          <w:b w:val="0"/>
          <w:bCs/>
          <w:sz w:val="20"/>
          <w:lang w:val="en-CA"/>
        </w:rPr>
        <w:t xml:space="preserve">   Karakasis P, Patoulias D, Fragakis N, Mantzoros CS. Metabolism. 2025 </w:t>
      </w:r>
      <w:r w:rsidR="00D30BBA" w:rsidRPr="00420E63">
        <w:rPr>
          <w:rFonts w:ascii="Arial" w:hAnsi="Arial" w:cs="Arial"/>
          <w:b w:val="0"/>
          <w:bCs/>
          <w:sz w:val="20"/>
          <w:lang w:val="en-CA"/>
        </w:rPr>
        <w:t>MAR; 164:156113</w:t>
      </w:r>
      <w:r w:rsidR="00420E63" w:rsidRPr="00420E63">
        <w:rPr>
          <w:rFonts w:ascii="Arial" w:hAnsi="Arial" w:cs="Arial"/>
          <w:b w:val="0"/>
          <w:bCs/>
          <w:sz w:val="20"/>
          <w:lang w:val="en-CA"/>
        </w:rPr>
        <w:t>. doi: 10.1016/j.metabol.2024.156113. Epub 2024 Dec 22. PMID: 39719170</w:t>
      </w:r>
    </w:p>
    <w:p w14:paraId="5506AA83" w14:textId="77777777" w:rsidR="00D30BBA" w:rsidRPr="00420E63" w:rsidRDefault="00D30BBA" w:rsidP="00420E63">
      <w:pPr>
        <w:pStyle w:val="Appendix"/>
        <w:spacing w:after="0"/>
        <w:jc w:val="both"/>
        <w:rPr>
          <w:rFonts w:ascii="Arial" w:hAnsi="Arial" w:cs="Arial"/>
          <w:b w:val="0"/>
          <w:bCs/>
          <w:sz w:val="20"/>
          <w:lang w:val="en-CA"/>
        </w:rPr>
      </w:pPr>
    </w:p>
    <w:p w14:paraId="0CDB9EBB" w14:textId="09939E4E" w:rsidR="00420E63" w:rsidRPr="00420E63" w:rsidRDefault="00384835" w:rsidP="007D0EF7">
      <w:pPr>
        <w:pStyle w:val="Appendix"/>
        <w:numPr>
          <w:ilvl w:val="0"/>
          <w:numId w:val="33"/>
        </w:numPr>
        <w:rPr>
          <w:rFonts w:ascii="Arial" w:hAnsi="Arial" w:cs="Arial"/>
          <w:b w:val="0"/>
          <w:bCs/>
          <w:sz w:val="20"/>
          <w:lang w:val="en-CA"/>
        </w:rPr>
      </w:pPr>
      <w:hyperlink r:id="rId22" w:history="1">
        <w:r w:rsidR="00420E63" w:rsidRPr="00420E63">
          <w:rPr>
            <w:rStyle w:val="Hyperlink"/>
            <w:rFonts w:ascii="Arial" w:hAnsi="Arial" w:cs="Arial"/>
            <w:b w:val="0"/>
            <w:bCs/>
            <w:sz w:val="20"/>
            <w:lang w:val="en-CA"/>
          </w:rPr>
          <w:t>Frederick Berro Rivera</w:t>
        </w:r>
      </w:hyperlink>
      <w:r w:rsidR="00420E63" w:rsidRPr="00420E63">
        <w:rPr>
          <w:rFonts w:ascii="Arial" w:hAnsi="Arial" w:cs="Arial"/>
          <w:b w:val="0"/>
          <w:bCs/>
          <w:sz w:val="20"/>
          <w:lang w:val="en-CA"/>
        </w:rPr>
        <w:t xml:space="preserve"> </w:t>
      </w:r>
      <w:hyperlink r:id="rId23" w:anchor="full-view-affiliation-1" w:history="1">
        <w:r w:rsidR="00420E63" w:rsidRPr="00420E63">
          <w:rPr>
            <w:rStyle w:val="Hyperlink"/>
            <w:rFonts w:ascii="Arial" w:hAnsi="Arial" w:cs="Arial"/>
            <w:b w:val="0"/>
            <w:bCs/>
            <w:sz w:val="20"/>
            <w:lang w:val="en-CA"/>
          </w:rPr>
          <w:t>1</w:t>
        </w:r>
      </w:hyperlink>
      <w:r w:rsidR="00420E63" w:rsidRPr="00420E63">
        <w:rPr>
          <w:rFonts w:ascii="Arial" w:hAnsi="Arial" w:cs="Arial"/>
          <w:b w:val="0"/>
          <w:bCs/>
          <w:sz w:val="20"/>
          <w:lang w:val="en-CA"/>
        </w:rPr>
        <w:t xml:space="preserve">, </w:t>
      </w:r>
      <w:hyperlink r:id="rId24" w:history="1">
        <w:r w:rsidR="00420E63" w:rsidRPr="00420E63">
          <w:rPr>
            <w:rStyle w:val="Hyperlink"/>
            <w:rFonts w:ascii="Arial" w:hAnsi="Arial" w:cs="Arial"/>
            <w:b w:val="0"/>
            <w:bCs/>
            <w:sz w:val="20"/>
            <w:lang w:val="en-CA"/>
          </w:rPr>
          <w:t>Marielle Nicole Cabusas Chin</w:t>
        </w:r>
      </w:hyperlink>
      <w:r w:rsidR="00420E63" w:rsidRPr="00420E63">
        <w:rPr>
          <w:rFonts w:ascii="Arial" w:hAnsi="Arial" w:cs="Arial"/>
          <w:b w:val="0"/>
          <w:bCs/>
          <w:sz w:val="20"/>
          <w:lang w:val="en-CA"/>
        </w:rPr>
        <w:t xml:space="preserve"> </w:t>
      </w:r>
      <w:hyperlink r:id="rId25"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26" w:history="1">
        <w:r w:rsidR="00420E63" w:rsidRPr="00420E63">
          <w:rPr>
            <w:rStyle w:val="Hyperlink"/>
            <w:rFonts w:ascii="Arial" w:hAnsi="Arial" w:cs="Arial"/>
            <w:b w:val="0"/>
            <w:bCs/>
            <w:sz w:val="20"/>
            <w:lang w:val="en-CA"/>
          </w:rPr>
          <w:t>Polyn Luz S Pine</w:t>
        </w:r>
      </w:hyperlink>
      <w:r w:rsidR="00420E63" w:rsidRPr="00420E63">
        <w:rPr>
          <w:rFonts w:ascii="Arial" w:hAnsi="Arial" w:cs="Arial"/>
          <w:b w:val="0"/>
          <w:bCs/>
          <w:sz w:val="20"/>
          <w:lang w:val="en-CA"/>
        </w:rPr>
        <w:t xml:space="preserve"> </w:t>
      </w:r>
      <w:hyperlink r:id="rId27" w:anchor="full-view-affiliation-3" w:history="1">
        <w:r w:rsidR="00420E63" w:rsidRPr="00420E63">
          <w:rPr>
            <w:rStyle w:val="Hyperlink"/>
            <w:rFonts w:ascii="Arial" w:hAnsi="Arial" w:cs="Arial"/>
            <w:b w:val="0"/>
            <w:bCs/>
            <w:sz w:val="20"/>
            <w:lang w:val="en-CA"/>
          </w:rPr>
          <w:t>3</w:t>
        </w:r>
      </w:hyperlink>
      <w:r w:rsidR="00420E63" w:rsidRPr="00420E63">
        <w:rPr>
          <w:rFonts w:ascii="Arial" w:hAnsi="Arial" w:cs="Arial"/>
          <w:b w:val="0"/>
          <w:bCs/>
          <w:sz w:val="20"/>
          <w:lang w:val="en-CA"/>
        </w:rPr>
        <w:t xml:space="preserve">, </w:t>
      </w:r>
      <w:hyperlink r:id="rId28" w:history="1">
        <w:r w:rsidR="00420E63" w:rsidRPr="00420E63">
          <w:rPr>
            <w:rStyle w:val="Hyperlink"/>
            <w:rFonts w:ascii="Arial" w:hAnsi="Arial" w:cs="Arial"/>
            <w:b w:val="0"/>
            <w:bCs/>
            <w:sz w:val="20"/>
            <w:lang w:val="en-CA"/>
          </w:rPr>
          <w:t>Monica Marie Jadena Ruyeras</w:t>
        </w:r>
      </w:hyperlink>
      <w:r w:rsidR="00420E63" w:rsidRPr="00420E63">
        <w:rPr>
          <w:rFonts w:ascii="Arial" w:hAnsi="Arial" w:cs="Arial"/>
          <w:b w:val="0"/>
          <w:bCs/>
          <w:sz w:val="20"/>
          <w:lang w:val="en-CA"/>
        </w:rPr>
        <w:t xml:space="preserve"> </w:t>
      </w:r>
      <w:hyperlink r:id="rId29"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0" w:history="1">
        <w:r w:rsidR="00420E63" w:rsidRPr="00420E63">
          <w:rPr>
            <w:rStyle w:val="Hyperlink"/>
            <w:rFonts w:ascii="Arial" w:hAnsi="Arial" w:cs="Arial"/>
            <w:b w:val="0"/>
            <w:bCs/>
            <w:sz w:val="20"/>
            <w:lang w:val="en-CA"/>
          </w:rPr>
          <w:t>Danica Janine Cabahug Galang</w:t>
        </w:r>
      </w:hyperlink>
      <w:r w:rsidR="00420E63" w:rsidRPr="00420E63">
        <w:rPr>
          <w:rFonts w:ascii="Arial" w:hAnsi="Arial" w:cs="Arial"/>
          <w:b w:val="0"/>
          <w:bCs/>
          <w:sz w:val="20"/>
          <w:lang w:val="en-CA"/>
        </w:rPr>
        <w:t xml:space="preserve"> </w:t>
      </w:r>
      <w:hyperlink r:id="rId31"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2" w:history="1">
        <w:r w:rsidR="00420E63" w:rsidRPr="00420E63">
          <w:rPr>
            <w:rStyle w:val="Hyperlink"/>
            <w:rFonts w:ascii="Arial" w:hAnsi="Arial" w:cs="Arial"/>
            <w:b w:val="0"/>
            <w:bCs/>
            <w:sz w:val="20"/>
            <w:lang w:val="en-CA"/>
          </w:rPr>
          <w:t>Keshia Marice Gandionco</w:t>
        </w:r>
      </w:hyperlink>
      <w:r w:rsidR="00420E63" w:rsidRPr="00420E63">
        <w:rPr>
          <w:rFonts w:ascii="Arial" w:hAnsi="Arial" w:cs="Arial"/>
          <w:b w:val="0"/>
          <w:bCs/>
          <w:sz w:val="20"/>
          <w:lang w:val="en-CA"/>
        </w:rPr>
        <w:t xml:space="preserve"> </w:t>
      </w:r>
      <w:hyperlink r:id="rId33"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4" w:history="1">
        <w:r w:rsidR="00420E63" w:rsidRPr="00420E63">
          <w:rPr>
            <w:rStyle w:val="Hyperlink"/>
            <w:rFonts w:ascii="Arial" w:hAnsi="Arial" w:cs="Arial"/>
            <w:b w:val="0"/>
            <w:bCs/>
            <w:sz w:val="20"/>
            <w:lang w:val="en-CA"/>
          </w:rPr>
          <w:t>Benna Lynn Faye D Morales</w:t>
        </w:r>
      </w:hyperlink>
      <w:r w:rsidR="00420E63" w:rsidRPr="00420E63">
        <w:rPr>
          <w:rFonts w:ascii="Arial" w:hAnsi="Arial" w:cs="Arial"/>
          <w:b w:val="0"/>
          <w:bCs/>
          <w:sz w:val="20"/>
          <w:lang w:val="en-CA"/>
        </w:rPr>
        <w:t xml:space="preserve"> </w:t>
      </w:r>
      <w:hyperlink r:id="rId35"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6" w:history="1">
        <w:r w:rsidR="00420E63" w:rsidRPr="00420E63">
          <w:rPr>
            <w:rStyle w:val="Hyperlink"/>
            <w:rFonts w:ascii="Arial" w:hAnsi="Arial" w:cs="Arial"/>
            <w:b w:val="0"/>
            <w:bCs/>
            <w:sz w:val="20"/>
            <w:lang w:val="en-CA"/>
          </w:rPr>
          <w:t>Zackaree Michael V Climaco</w:t>
        </w:r>
      </w:hyperlink>
      <w:r w:rsidR="00420E63" w:rsidRPr="00420E63">
        <w:rPr>
          <w:rFonts w:ascii="Arial" w:hAnsi="Arial" w:cs="Arial"/>
          <w:b w:val="0"/>
          <w:bCs/>
          <w:sz w:val="20"/>
          <w:lang w:val="en-CA"/>
        </w:rPr>
        <w:t xml:space="preserve"> </w:t>
      </w:r>
      <w:hyperlink r:id="rId37"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8" w:history="1">
        <w:r w:rsidR="00420E63" w:rsidRPr="00420E63">
          <w:rPr>
            <w:rStyle w:val="Hyperlink"/>
            <w:rFonts w:ascii="Arial" w:hAnsi="Arial" w:cs="Arial"/>
            <w:b w:val="0"/>
            <w:bCs/>
            <w:sz w:val="20"/>
            <w:lang w:val="en-CA"/>
          </w:rPr>
          <w:t>Nathan Ross Baoy Bantayan</w:t>
        </w:r>
      </w:hyperlink>
      <w:r w:rsidR="00420E63" w:rsidRPr="00420E63">
        <w:rPr>
          <w:rFonts w:ascii="Arial" w:hAnsi="Arial" w:cs="Arial"/>
          <w:b w:val="0"/>
          <w:bCs/>
          <w:sz w:val="20"/>
          <w:lang w:val="en-CA"/>
        </w:rPr>
        <w:t xml:space="preserve"> </w:t>
      </w:r>
      <w:hyperlink r:id="rId39" w:anchor="full-view-affiliation-4" w:history="1">
        <w:r w:rsidR="00420E63" w:rsidRPr="00420E63">
          <w:rPr>
            <w:rStyle w:val="Hyperlink"/>
            <w:rFonts w:ascii="Arial" w:hAnsi="Arial" w:cs="Arial"/>
            <w:b w:val="0"/>
            <w:bCs/>
            <w:sz w:val="20"/>
            <w:lang w:val="en-CA"/>
          </w:rPr>
          <w:t>4</w:t>
        </w:r>
      </w:hyperlink>
      <w:r w:rsidR="00420E63" w:rsidRPr="00420E63">
        <w:rPr>
          <w:rFonts w:ascii="Arial" w:hAnsi="Arial" w:cs="Arial"/>
          <w:b w:val="0"/>
          <w:bCs/>
          <w:sz w:val="20"/>
          <w:lang w:val="en-CA"/>
        </w:rPr>
        <w:t xml:space="preserve">, </w:t>
      </w:r>
      <w:hyperlink r:id="rId40" w:history="1">
        <w:r w:rsidR="00420E63" w:rsidRPr="00420E63">
          <w:rPr>
            <w:rStyle w:val="Hyperlink"/>
            <w:rFonts w:ascii="Arial" w:hAnsi="Arial" w:cs="Arial"/>
            <w:b w:val="0"/>
            <w:bCs/>
            <w:sz w:val="20"/>
            <w:lang w:val="en-CA"/>
          </w:rPr>
          <w:t>John Vincent Magalong</w:t>
        </w:r>
      </w:hyperlink>
      <w:r w:rsidR="00420E63" w:rsidRPr="00420E63">
        <w:rPr>
          <w:rFonts w:ascii="Arial" w:hAnsi="Arial" w:cs="Arial"/>
          <w:b w:val="0"/>
          <w:bCs/>
          <w:sz w:val="20"/>
          <w:lang w:val="en-CA"/>
        </w:rPr>
        <w:t xml:space="preserve"> </w:t>
      </w:r>
      <w:hyperlink r:id="rId41" w:anchor="full-view-affiliation-4" w:history="1">
        <w:r w:rsidR="00420E63" w:rsidRPr="00420E63">
          <w:rPr>
            <w:rStyle w:val="Hyperlink"/>
            <w:rFonts w:ascii="Arial" w:hAnsi="Arial" w:cs="Arial"/>
            <w:b w:val="0"/>
            <w:bCs/>
            <w:sz w:val="20"/>
            <w:lang w:val="en-CA"/>
          </w:rPr>
          <w:t>4</w:t>
        </w:r>
      </w:hyperlink>
      <w:r w:rsidR="00420E63" w:rsidRPr="00420E63">
        <w:rPr>
          <w:rFonts w:ascii="Arial" w:hAnsi="Arial" w:cs="Arial"/>
          <w:b w:val="0"/>
          <w:bCs/>
          <w:sz w:val="20"/>
          <w:lang w:val="en-CA"/>
        </w:rPr>
        <w:t xml:space="preserve">, </w:t>
      </w:r>
      <w:hyperlink r:id="rId42" w:history="1">
        <w:r w:rsidR="00420E63" w:rsidRPr="00420E63">
          <w:rPr>
            <w:rStyle w:val="Hyperlink"/>
            <w:rFonts w:ascii="Arial" w:hAnsi="Arial" w:cs="Arial"/>
            <w:b w:val="0"/>
            <w:bCs/>
            <w:sz w:val="20"/>
            <w:lang w:val="en-CA"/>
          </w:rPr>
          <w:t>Gerard Francis Mangubat</w:t>
        </w:r>
      </w:hyperlink>
      <w:r w:rsidR="00420E63" w:rsidRPr="00420E63">
        <w:rPr>
          <w:rFonts w:ascii="Arial" w:hAnsi="Arial" w:cs="Arial"/>
          <w:b w:val="0"/>
          <w:bCs/>
          <w:sz w:val="20"/>
          <w:lang w:val="en-CA"/>
        </w:rPr>
        <w:t xml:space="preserve"> </w:t>
      </w:r>
      <w:hyperlink r:id="rId43" w:anchor="full-view-affiliation-5" w:history="1">
        <w:r w:rsidR="00420E63" w:rsidRPr="00420E63">
          <w:rPr>
            <w:rStyle w:val="Hyperlink"/>
            <w:rFonts w:ascii="Arial" w:hAnsi="Arial" w:cs="Arial"/>
            <w:b w:val="0"/>
            <w:bCs/>
            <w:sz w:val="20"/>
            <w:lang w:val="en-CA"/>
          </w:rPr>
          <w:t>5</w:t>
        </w:r>
      </w:hyperlink>
      <w:r w:rsidR="00420E63" w:rsidRPr="00420E63">
        <w:rPr>
          <w:rFonts w:ascii="Arial" w:hAnsi="Arial" w:cs="Arial"/>
          <w:b w:val="0"/>
          <w:bCs/>
          <w:sz w:val="20"/>
          <w:lang w:val="en-CA"/>
        </w:rPr>
        <w:t xml:space="preserve">, </w:t>
      </w:r>
      <w:hyperlink r:id="rId44" w:history="1">
        <w:r w:rsidR="00420E63" w:rsidRPr="00420E63">
          <w:rPr>
            <w:rStyle w:val="Hyperlink"/>
            <w:rFonts w:ascii="Arial" w:hAnsi="Arial" w:cs="Arial"/>
            <w:b w:val="0"/>
            <w:bCs/>
            <w:sz w:val="20"/>
            <w:lang w:val="en-CA"/>
          </w:rPr>
          <w:t>Kenneth Ong</w:t>
        </w:r>
      </w:hyperlink>
      <w:r w:rsidR="00420E63" w:rsidRPr="00420E63">
        <w:rPr>
          <w:rFonts w:ascii="Arial" w:hAnsi="Arial" w:cs="Arial"/>
          <w:b w:val="0"/>
          <w:bCs/>
          <w:sz w:val="20"/>
          <w:lang w:val="en-CA"/>
        </w:rPr>
        <w:t xml:space="preserve"> PMID: 39666879  DOI: </w:t>
      </w:r>
      <w:hyperlink r:id="rId45" w:history="1">
        <w:r w:rsidR="00420E63" w:rsidRPr="00420E63">
          <w:rPr>
            <w:rStyle w:val="Hyperlink"/>
            <w:rFonts w:ascii="Arial" w:hAnsi="Arial" w:cs="Arial"/>
            <w:b w:val="0"/>
            <w:bCs/>
            <w:sz w:val="20"/>
            <w:lang w:val="en-CA"/>
          </w:rPr>
          <w:t>10.1080/03007995.2024.2442027</w:t>
        </w:r>
      </w:hyperlink>
    </w:p>
    <w:p w14:paraId="60652913" w14:textId="77777777" w:rsidR="00420E63" w:rsidRPr="00420E63" w:rsidRDefault="00384835" w:rsidP="007D0EF7">
      <w:pPr>
        <w:pStyle w:val="Appendix"/>
        <w:numPr>
          <w:ilvl w:val="0"/>
          <w:numId w:val="33"/>
        </w:numPr>
        <w:rPr>
          <w:rFonts w:ascii="Arial" w:hAnsi="Arial" w:cs="Arial"/>
          <w:b w:val="0"/>
          <w:bCs/>
          <w:sz w:val="20"/>
          <w:lang w:val="en-CA"/>
        </w:rPr>
      </w:pPr>
      <w:hyperlink r:id="rId46" w:history="1">
        <w:r w:rsidR="00420E63" w:rsidRPr="00420E63">
          <w:rPr>
            <w:rStyle w:val="Hyperlink"/>
            <w:rFonts w:ascii="Arial" w:hAnsi="Arial" w:cs="Arial"/>
            <w:b w:val="0"/>
            <w:bCs/>
            <w:sz w:val="20"/>
            <w:lang w:val="en-CA"/>
          </w:rPr>
          <w:t>Pharmacotherapy for adults with overweight and obesity: a systematic review and network meta-analysis of randomised controlled trials.</w:t>
        </w:r>
      </w:hyperlink>
    </w:p>
    <w:p w14:paraId="31B04ACF" w14:textId="77777777" w:rsidR="00420E63" w:rsidRPr="00420E63" w:rsidRDefault="00420E63" w:rsidP="007D0EF7">
      <w:pPr>
        <w:pStyle w:val="Appendix"/>
        <w:numPr>
          <w:ilvl w:val="0"/>
          <w:numId w:val="33"/>
        </w:numPr>
        <w:rPr>
          <w:rFonts w:ascii="Arial" w:hAnsi="Arial" w:cs="Arial"/>
          <w:b w:val="0"/>
          <w:bCs/>
          <w:sz w:val="20"/>
          <w:lang w:val="en-CA"/>
        </w:rPr>
      </w:pPr>
      <w:r w:rsidRPr="00420E63">
        <w:rPr>
          <w:rFonts w:ascii="Arial" w:hAnsi="Arial" w:cs="Arial"/>
          <w:b w:val="0"/>
          <w:bCs/>
          <w:sz w:val="20"/>
          <w:u w:val="single"/>
          <w:lang w:val="en-CA"/>
        </w:rPr>
        <w:t xml:space="preserve">Retracted and republished in: </w:t>
      </w:r>
      <w:hyperlink r:id="rId47" w:history="1">
        <w:r w:rsidRPr="00420E63">
          <w:rPr>
            <w:rStyle w:val="Hyperlink"/>
            <w:rFonts w:ascii="Arial" w:hAnsi="Arial" w:cs="Arial"/>
            <w:b w:val="0"/>
            <w:bCs/>
            <w:sz w:val="20"/>
            <w:lang w:val="en-CA"/>
          </w:rPr>
          <w:t>Lancet. 2024 Apr 6</w:t>
        </w:r>
        <w:proofErr w:type="gramStart"/>
        <w:r w:rsidRPr="00420E63">
          <w:rPr>
            <w:rStyle w:val="Hyperlink"/>
            <w:rFonts w:ascii="Arial" w:hAnsi="Arial" w:cs="Arial"/>
            <w:b w:val="0"/>
            <w:bCs/>
            <w:sz w:val="20"/>
            <w:lang w:val="en-CA"/>
          </w:rPr>
          <w:t>;403</w:t>
        </w:r>
        <w:proofErr w:type="gramEnd"/>
        <w:r w:rsidRPr="00420E63">
          <w:rPr>
            <w:rStyle w:val="Hyperlink"/>
            <w:rFonts w:ascii="Arial" w:hAnsi="Arial" w:cs="Arial"/>
            <w:b w:val="0"/>
            <w:bCs/>
            <w:sz w:val="20"/>
            <w:lang w:val="en-CA"/>
          </w:rPr>
          <w:t>(10434):e21-e31. doi: 10.1016/S0140-6736(24)00351-9.</w:t>
        </w:r>
      </w:hyperlink>
    </w:p>
    <w:p w14:paraId="5332B905" w14:textId="77777777" w:rsidR="00420E63" w:rsidRPr="00420E63" w:rsidRDefault="00420E63" w:rsidP="007D0EF7">
      <w:pPr>
        <w:pStyle w:val="Appendix"/>
        <w:numPr>
          <w:ilvl w:val="0"/>
          <w:numId w:val="33"/>
        </w:numPr>
        <w:rPr>
          <w:rFonts w:ascii="Arial" w:hAnsi="Arial" w:cs="Arial"/>
          <w:b w:val="0"/>
          <w:bCs/>
          <w:sz w:val="20"/>
          <w:lang w:val="en-CA"/>
        </w:rPr>
      </w:pPr>
      <w:r w:rsidRPr="00420E63">
        <w:rPr>
          <w:rFonts w:ascii="Arial" w:hAnsi="Arial" w:cs="Arial"/>
          <w:b w:val="0"/>
          <w:bCs/>
          <w:sz w:val="20"/>
          <w:u w:val="single"/>
          <w:lang w:val="en-CA"/>
        </w:rPr>
        <w:t xml:space="preserve">Retraction in: </w:t>
      </w:r>
      <w:hyperlink r:id="rId48" w:history="1">
        <w:r w:rsidRPr="00420E63">
          <w:rPr>
            <w:rStyle w:val="Hyperlink"/>
            <w:rFonts w:ascii="Arial" w:hAnsi="Arial" w:cs="Arial"/>
            <w:b w:val="0"/>
            <w:bCs/>
            <w:sz w:val="20"/>
            <w:lang w:val="en-CA"/>
          </w:rPr>
          <w:t>Lancet. 2024 Apr 6</w:t>
        </w:r>
        <w:proofErr w:type="gramStart"/>
        <w:r w:rsidRPr="00420E63">
          <w:rPr>
            <w:rStyle w:val="Hyperlink"/>
            <w:rFonts w:ascii="Arial" w:hAnsi="Arial" w:cs="Arial"/>
            <w:b w:val="0"/>
            <w:bCs/>
            <w:sz w:val="20"/>
            <w:lang w:val="en-CA"/>
          </w:rPr>
          <w:t>;403</w:t>
        </w:r>
        <w:proofErr w:type="gramEnd"/>
        <w:r w:rsidRPr="00420E63">
          <w:rPr>
            <w:rStyle w:val="Hyperlink"/>
            <w:rFonts w:ascii="Arial" w:hAnsi="Arial" w:cs="Arial"/>
            <w:b w:val="0"/>
            <w:bCs/>
            <w:sz w:val="20"/>
            <w:lang w:val="en-CA"/>
          </w:rPr>
          <w:t>(10434):1321. doi: 10.1016/S0140-6736(24)00318-0.</w:t>
        </w:r>
      </w:hyperlink>
    </w:p>
    <w:p w14:paraId="5BF0DC24" w14:textId="77777777" w:rsidR="00420E63" w:rsidRPr="00420E63" w:rsidRDefault="00420E63" w:rsidP="007D0EF7">
      <w:pPr>
        <w:pStyle w:val="Appendix"/>
        <w:numPr>
          <w:ilvl w:val="0"/>
          <w:numId w:val="33"/>
        </w:numPr>
        <w:rPr>
          <w:rFonts w:ascii="Arial" w:hAnsi="Arial" w:cs="Arial"/>
          <w:b w:val="0"/>
          <w:bCs/>
          <w:sz w:val="20"/>
          <w:lang w:val="en-CA"/>
        </w:rPr>
      </w:pPr>
      <w:r w:rsidRPr="00420E63">
        <w:rPr>
          <w:rFonts w:ascii="Arial" w:hAnsi="Arial" w:cs="Arial"/>
          <w:b w:val="0"/>
          <w:bCs/>
          <w:sz w:val="20"/>
          <w:u w:val="single"/>
          <w:lang w:val="en-CA"/>
        </w:rPr>
        <w:t>PMID: 34895470</w:t>
      </w:r>
      <w:bookmarkStart w:id="0" w:name="_GoBack"/>
      <w:bookmarkEnd w:id="0"/>
    </w:p>
    <w:p w14:paraId="5FBC44E2" w14:textId="77777777" w:rsidR="00B01FCD" w:rsidRPr="00BA7BE8" w:rsidRDefault="00B01FCD" w:rsidP="00441B6F">
      <w:pPr>
        <w:pStyle w:val="Appendix"/>
        <w:spacing w:after="0"/>
        <w:jc w:val="both"/>
        <w:rPr>
          <w:rFonts w:ascii="Arial" w:hAnsi="Arial" w:cs="Arial"/>
          <w:b w:val="0"/>
          <w:bCs/>
          <w:sz w:val="20"/>
        </w:rPr>
      </w:pPr>
    </w:p>
    <w:sectPr w:rsidR="00B01FCD" w:rsidRPr="00BA7BE8" w:rsidSect="00412475">
      <w:footerReference w:type="default" r:id="rId49"/>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2467" w14:textId="77777777" w:rsidR="00384835" w:rsidRDefault="00384835" w:rsidP="00C37E61">
      <w:r>
        <w:separator/>
      </w:r>
    </w:p>
  </w:endnote>
  <w:endnote w:type="continuationSeparator" w:id="0">
    <w:p w14:paraId="104CD080" w14:textId="77777777" w:rsidR="00384835" w:rsidRDefault="003848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0181" w14:textId="77777777" w:rsidR="009E048A" w:rsidRDefault="009E048A">
    <w:pPr>
      <w:pStyle w:val="Footer"/>
      <w:rPr>
        <w:rFonts w:ascii="Arial" w:hAnsi="Arial" w:cs="Arial"/>
        <w:sz w:val="16"/>
      </w:rPr>
    </w:pPr>
  </w:p>
  <w:p w14:paraId="26E9A61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951C8A" w14:textId="77777777" w:rsidR="009E048A" w:rsidRDefault="009E048A">
    <w:pPr>
      <w:pStyle w:val="Footer"/>
      <w:rPr>
        <w:rFonts w:ascii="Arial" w:hAnsi="Arial" w:cs="Arial"/>
        <w:sz w:val="16"/>
      </w:rPr>
    </w:pPr>
  </w:p>
  <w:p w14:paraId="2F74BAB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CA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1BF1" w14:textId="77777777" w:rsidR="00384835" w:rsidRDefault="00384835" w:rsidP="00C37E61">
      <w:r>
        <w:separator/>
      </w:r>
    </w:p>
  </w:footnote>
  <w:footnote w:type="continuationSeparator" w:id="0">
    <w:p w14:paraId="19B377A9" w14:textId="77777777" w:rsidR="00384835" w:rsidRDefault="003848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CB4C" w14:textId="1528E13F" w:rsidR="00821B62" w:rsidRDefault="00821B62">
    <w:pPr>
      <w:pStyle w:val="Header"/>
      <w:rPr>
        <w:lang w:val="en-CA"/>
      </w:rPr>
    </w:pPr>
  </w:p>
  <w:p w14:paraId="063DBCC8" w14:textId="77777777" w:rsidR="00821B62" w:rsidRDefault="00821B62">
    <w:pPr>
      <w:pStyle w:val="Header"/>
      <w:rPr>
        <w:lang w:val="en-CA"/>
      </w:rPr>
    </w:pPr>
  </w:p>
  <w:p w14:paraId="5475DF92" w14:textId="77777777" w:rsidR="00821B62" w:rsidRPr="00821B62" w:rsidRDefault="00821B62">
    <w:pPr>
      <w:pStyle w:val="Head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38C2" w14:textId="77777777" w:rsidR="00296529" w:rsidRPr="00296529" w:rsidRDefault="00296529" w:rsidP="00296529">
    <w:pPr>
      <w:ind w:left="2160"/>
      <w:jc w:val="center"/>
      <w:rPr>
        <w:rFonts w:ascii="Times New Roman" w:eastAsia="Calibri" w:hAnsi="Times New Roman"/>
        <w:i/>
        <w:sz w:val="18"/>
        <w:szCs w:val="22"/>
      </w:rPr>
    </w:pPr>
  </w:p>
  <w:p w14:paraId="1E77354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E42E31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0ED9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FB8E06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8692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B527C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475642"/>
    <w:multiLevelType w:val="hybridMultilevel"/>
    <w:tmpl w:val="EAF6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546D57"/>
    <w:multiLevelType w:val="multilevel"/>
    <w:tmpl w:val="DD7A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91197"/>
    <w:multiLevelType w:val="multilevel"/>
    <w:tmpl w:val="1CCE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2"/>
  </w:num>
  <w:num w:numId="31">
    <w:abstractNumId w:val="19"/>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469CF"/>
    <w:rsid w:val="00096D63"/>
    <w:rsid w:val="000A47FA"/>
    <w:rsid w:val="000A65D3"/>
    <w:rsid w:val="000B16D6"/>
    <w:rsid w:val="000B1E33"/>
    <w:rsid w:val="000B6CEC"/>
    <w:rsid w:val="000C78D0"/>
    <w:rsid w:val="000D689F"/>
    <w:rsid w:val="000E7B7B"/>
    <w:rsid w:val="000E7D62"/>
    <w:rsid w:val="000F3E9E"/>
    <w:rsid w:val="00103357"/>
    <w:rsid w:val="0011364E"/>
    <w:rsid w:val="00113DD4"/>
    <w:rsid w:val="00123C9F"/>
    <w:rsid w:val="00126190"/>
    <w:rsid w:val="00130F17"/>
    <w:rsid w:val="00131991"/>
    <w:rsid w:val="001320BF"/>
    <w:rsid w:val="00133663"/>
    <w:rsid w:val="00163BC4"/>
    <w:rsid w:val="00191062"/>
    <w:rsid w:val="00192B72"/>
    <w:rsid w:val="001A052F"/>
    <w:rsid w:val="001A29D8"/>
    <w:rsid w:val="001A2EE6"/>
    <w:rsid w:val="001A5CAA"/>
    <w:rsid w:val="001B0427"/>
    <w:rsid w:val="001B1E1E"/>
    <w:rsid w:val="001B5BED"/>
    <w:rsid w:val="001B768C"/>
    <w:rsid w:val="001C71D6"/>
    <w:rsid w:val="001D3A51"/>
    <w:rsid w:val="001D4199"/>
    <w:rsid w:val="001D4419"/>
    <w:rsid w:val="001E10D2"/>
    <w:rsid w:val="001E25B4"/>
    <w:rsid w:val="001E3782"/>
    <w:rsid w:val="001E44FE"/>
    <w:rsid w:val="001E451A"/>
    <w:rsid w:val="00200595"/>
    <w:rsid w:val="00204835"/>
    <w:rsid w:val="00216F9A"/>
    <w:rsid w:val="00231920"/>
    <w:rsid w:val="0023195C"/>
    <w:rsid w:val="0024282C"/>
    <w:rsid w:val="002460DC"/>
    <w:rsid w:val="00250985"/>
    <w:rsid w:val="002556F6"/>
    <w:rsid w:val="00283105"/>
    <w:rsid w:val="00284C4C"/>
    <w:rsid w:val="00287E68"/>
    <w:rsid w:val="00294C5B"/>
    <w:rsid w:val="00296529"/>
    <w:rsid w:val="002A3619"/>
    <w:rsid w:val="002B27A9"/>
    <w:rsid w:val="002B27FB"/>
    <w:rsid w:val="002B685A"/>
    <w:rsid w:val="002C57D2"/>
    <w:rsid w:val="002E0D56"/>
    <w:rsid w:val="002E7C5C"/>
    <w:rsid w:val="00303A56"/>
    <w:rsid w:val="00303AA8"/>
    <w:rsid w:val="00315186"/>
    <w:rsid w:val="00324C36"/>
    <w:rsid w:val="0033343E"/>
    <w:rsid w:val="003512C2"/>
    <w:rsid w:val="00371FB6"/>
    <w:rsid w:val="003763C1"/>
    <w:rsid w:val="00376BBE"/>
    <w:rsid w:val="00384835"/>
    <w:rsid w:val="0039224F"/>
    <w:rsid w:val="003A43A4"/>
    <w:rsid w:val="003A7E18"/>
    <w:rsid w:val="003B07BD"/>
    <w:rsid w:val="003B2971"/>
    <w:rsid w:val="003C4C86"/>
    <w:rsid w:val="003C6258"/>
    <w:rsid w:val="003E2904"/>
    <w:rsid w:val="003E3B5A"/>
    <w:rsid w:val="00401927"/>
    <w:rsid w:val="004027D4"/>
    <w:rsid w:val="0041027F"/>
    <w:rsid w:val="00412475"/>
    <w:rsid w:val="00420E63"/>
    <w:rsid w:val="00423789"/>
    <w:rsid w:val="00424C84"/>
    <w:rsid w:val="004321CB"/>
    <w:rsid w:val="00440F43"/>
    <w:rsid w:val="00441B6F"/>
    <w:rsid w:val="00446221"/>
    <w:rsid w:val="00450E62"/>
    <w:rsid w:val="004539DB"/>
    <w:rsid w:val="00457430"/>
    <w:rsid w:val="00471A80"/>
    <w:rsid w:val="004876F3"/>
    <w:rsid w:val="004A176B"/>
    <w:rsid w:val="004D305E"/>
    <w:rsid w:val="004D4277"/>
    <w:rsid w:val="004F4779"/>
    <w:rsid w:val="00502516"/>
    <w:rsid w:val="00505F06"/>
    <w:rsid w:val="00506828"/>
    <w:rsid w:val="0053056E"/>
    <w:rsid w:val="00541C25"/>
    <w:rsid w:val="00550F72"/>
    <w:rsid w:val="0055383B"/>
    <w:rsid w:val="00554FDA"/>
    <w:rsid w:val="005C784C"/>
    <w:rsid w:val="005D0F54"/>
    <w:rsid w:val="005D17F6"/>
    <w:rsid w:val="005D5869"/>
    <w:rsid w:val="005D68D1"/>
    <w:rsid w:val="005E5539"/>
    <w:rsid w:val="00602BF5"/>
    <w:rsid w:val="00616244"/>
    <w:rsid w:val="00617FDD"/>
    <w:rsid w:val="00633614"/>
    <w:rsid w:val="00633F68"/>
    <w:rsid w:val="00636EB2"/>
    <w:rsid w:val="006375B8"/>
    <w:rsid w:val="00646C28"/>
    <w:rsid w:val="0066510A"/>
    <w:rsid w:val="00673F9F"/>
    <w:rsid w:val="006815CE"/>
    <w:rsid w:val="00686953"/>
    <w:rsid w:val="00687DEA"/>
    <w:rsid w:val="00687E67"/>
    <w:rsid w:val="006967F7"/>
    <w:rsid w:val="006A250C"/>
    <w:rsid w:val="006B073E"/>
    <w:rsid w:val="006B21D3"/>
    <w:rsid w:val="006B57D0"/>
    <w:rsid w:val="006C59B2"/>
    <w:rsid w:val="006D076F"/>
    <w:rsid w:val="006D30FF"/>
    <w:rsid w:val="006D6940"/>
    <w:rsid w:val="006F11EC"/>
    <w:rsid w:val="0070082C"/>
    <w:rsid w:val="00707500"/>
    <w:rsid w:val="007369E6"/>
    <w:rsid w:val="00746E59"/>
    <w:rsid w:val="00752FFF"/>
    <w:rsid w:val="00754C9A"/>
    <w:rsid w:val="0075599A"/>
    <w:rsid w:val="00761D52"/>
    <w:rsid w:val="00767EBB"/>
    <w:rsid w:val="007755A6"/>
    <w:rsid w:val="0077749E"/>
    <w:rsid w:val="00790ADA"/>
    <w:rsid w:val="007A745E"/>
    <w:rsid w:val="007B138D"/>
    <w:rsid w:val="007C1D6F"/>
    <w:rsid w:val="007D0EF7"/>
    <w:rsid w:val="007D2288"/>
    <w:rsid w:val="007D7C49"/>
    <w:rsid w:val="007E088F"/>
    <w:rsid w:val="007E5AF6"/>
    <w:rsid w:val="007E6A06"/>
    <w:rsid w:val="007F7B32"/>
    <w:rsid w:val="00804BC2"/>
    <w:rsid w:val="0081431A"/>
    <w:rsid w:val="00815344"/>
    <w:rsid w:val="00821B62"/>
    <w:rsid w:val="00826501"/>
    <w:rsid w:val="0083216F"/>
    <w:rsid w:val="0084465E"/>
    <w:rsid w:val="00855A69"/>
    <w:rsid w:val="00856B2A"/>
    <w:rsid w:val="00860000"/>
    <w:rsid w:val="00863BD3"/>
    <w:rsid w:val="008641ED"/>
    <w:rsid w:val="00866D66"/>
    <w:rsid w:val="008671C6"/>
    <w:rsid w:val="00875803"/>
    <w:rsid w:val="008852A7"/>
    <w:rsid w:val="008879B6"/>
    <w:rsid w:val="008A12D3"/>
    <w:rsid w:val="008B459E"/>
    <w:rsid w:val="008B4AD4"/>
    <w:rsid w:val="008B62C8"/>
    <w:rsid w:val="008D01A4"/>
    <w:rsid w:val="008E13AE"/>
    <w:rsid w:val="008E1506"/>
    <w:rsid w:val="008E710C"/>
    <w:rsid w:val="008F69D6"/>
    <w:rsid w:val="00902823"/>
    <w:rsid w:val="00906F00"/>
    <w:rsid w:val="00913C78"/>
    <w:rsid w:val="00915CA6"/>
    <w:rsid w:val="00916C53"/>
    <w:rsid w:val="00927834"/>
    <w:rsid w:val="009500A6"/>
    <w:rsid w:val="00955628"/>
    <w:rsid w:val="00957C18"/>
    <w:rsid w:val="009659BA"/>
    <w:rsid w:val="00983040"/>
    <w:rsid w:val="009B3FB9"/>
    <w:rsid w:val="009C2465"/>
    <w:rsid w:val="009C70D5"/>
    <w:rsid w:val="009D35A0"/>
    <w:rsid w:val="009D7EB7"/>
    <w:rsid w:val="009E048A"/>
    <w:rsid w:val="009E08E9"/>
    <w:rsid w:val="009E3DB9"/>
    <w:rsid w:val="009E6E35"/>
    <w:rsid w:val="009F0EDA"/>
    <w:rsid w:val="00A03B96"/>
    <w:rsid w:val="00A05B19"/>
    <w:rsid w:val="00A1134E"/>
    <w:rsid w:val="00A24E7E"/>
    <w:rsid w:val="00A258C3"/>
    <w:rsid w:val="00A347C0"/>
    <w:rsid w:val="00A36964"/>
    <w:rsid w:val="00A401D7"/>
    <w:rsid w:val="00A51431"/>
    <w:rsid w:val="00A539AD"/>
    <w:rsid w:val="00A86A2E"/>
    <w:rsid w:val="00A94063"/>
    <w:rsid w:val="00AA135D"/>
    <w:rsid w:val="00AA61F4"/>
    <w:rsid w:val="00AA6219"/>
    <w:rsid w:val="00AA74E0"/>
    <w:rsid w:val="00AB703F"/>
    <w:rsid w:val="00AC6BB8"/>
    <w:rsid w:val="00AE008F"/>
    <w:rsid w:val="00AE6DDC"/>
    <w:rsid w:val="00B01FCD"/>
    <w:rsid w:val="00B1776C"/>
    <w:rsid w:val="00B52583"/>
    <w:rsid w:val="00B52896"/>
    <w:rsid w:val="00B56916"/>
    <w:rsid w:val="00B95236"/>
    <w:rsid w:val="00B96BD9"/>
    <w:rsid w:val="00BA1B01"/>
    <w:rsid w:val="00BA2641"/>
    <w:rsid w:val="00BA7BE8"/>
    <w:rsid w:val="00BB37AA"/>
    <w:rsid w:val="00BC53A0"/>
    <w:rsid w:val="00BE62AD"/>
    <w:rsid w:val="00BF121F"/>
    <w:rsid w:val="00BF1F80"/>
    <w:rsid w:val="00C156E1"/>
    <w:rsid w:val="00C166EF"/>
    <w:rsid w:val="00C17EB0"/>
    <w:rsid w:val="00C257B8"/>
    <w:rsid w:val="00C27F5F"/>
    <w:rsid w:val="00C30A0F"/>
    <w:rsid w:val="00C37E61"/>
    <w:rsid w:val="00C44B5A"/>
    <w:rsid w:val="00C46EC6"/>
    <w:rsid w:val="00C6018B"/>
    <w:rsid w:val="00C70F1B"/>
    <w:rsid w:val="00C71A47"/>
    <w:rsid w:val="00C7464C"/>
    <w:rsid w:val="00C84669"/>
    <w:rsid w:val="00C85588"/>
    <w:rsid w:val="00C9307E"/>
    <w:rsid w:val="00CA7BA8"/>
    <w:rsid w:val="00CC51DD"/>
    <w:rsid w:val="00CD1ED6"/>
    <w:rsid w:val="00CD6755"/>
    <w:rsid w:val="00CD6856"/>
    <w:rsid w:val="00CE0089"/>
    <w:rsid w:val="00CE793C"/>
    <w:rsid w:val="00CF193C"/>
    <w:rsid w:val="00CF35A3"/>
    <w:rsid w:val="00CF597F"/>
    <w:rsid w:val="00D173F1"/>
    <w:rsid w:val="00D27835"/>
    <w:rsid w:val="00D30BBA"/>
    <w:rsid w:val="00D46502"/>
    <w:rsid w:val="00D56BB1"/>
    <w:rsid w:val="00D74CB0"/>
    <w:rsid w:val="00D77DAE"/>
    <w:rsid w:val="00D8295D"/>
    <w:rsid w:val="00D859EE"/>
    <w:rsid w:val="00D930F4"/>
    <w:rsid w:val="00DC2A65"/>
    <w:rsid w:val="00DD1D4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4814"/>
    <w:rsid w:val="00F7312F"/>
    <w:rsid w:val="00F755E4"/>
    <w:rsid w:val="00F77D02"/>
    <w:rsid w:val="00F875B7"/>
    <w:rsid w:val="00F91DB7"/>
    <w:rsid w:val="00FA0AF4"/>
    <w:rsid w:val="00FB3A86"/>
    <w:rsid w:val="00FC09A0"/>
    <w:rsid w:val="00FD0843"/>
    <w:rsid w:val="00FD25B0"/>
    <w:rsid w:val="00FD36C8"/>
    <w:rsid w:val="00FD5A5A"/>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1BC7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E3B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46C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84669"/>
    <w:rPr>
      <w:rFonts w:ascii="Times New Roman" w:hAnsi="Times New Roman"/>
      <w:sz w:val="24"/>
      <w:szCs w:val="24"/>
    </w:rPr>
  </w:style>
  <w:style w:type="character" w:customStyle="1" w:styleId="Heading2Char">
    <w:name w:val="Heading 2 Char"/>
    <w:basedOn w:val="DefaultParagraphFont"/>
    <w:link w:val="Heading2"/>
    <w:semiHidden/>
    <w:rsid w:val="003E3B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646C2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8623372">
      <w:bodyDiv w:val="1"/>
      <w:marLeft w:val="0"/>
      <w:marRight w:val="0"/>
      <w:marTop w:val="0"/>
      <w:marBottom w:val="0"/>
      <w:divBdr>
        <w:top w:val="none" w:sz="0" w:space="0" w:color="auto"/>
        <w:left w:val="none" w:sz="0" w:space="0" w:color="auto"/>
        <w:bottom w:val="none" w:sz="0" w:space="0" w:color="auto"/>
        <w:right w:val="none" w:sz="0" w:space="0" w:color="auto"/>
      </w:divBdr>
      <w:divsChild>
        <w:div w:id="178737678">
          <w:marLeft w:val="0"/>
          <w:marRight w:val="0"/>
          <w:marTop w:val="0"/>
          <w:marBottom w:val="0"/>
          <w:divBdr>
            <w:top w:val="none" w:sz="0" w:space="0" w:color="auto"/>
            <w:left w:val="none" w:sz="0" w:space="0" w:color="auto"/>
            <w:bottom w:val="none" w:sz="0" w:space="0" w:color="auto"/>
            <w:right w:val="none" w:sz="0" w:space="0" w:color="auto"/>
          </w:divBdr>
          <w:divsChild>
            <w:div w:id="401372135">
              <w:marLeft w:val="0"/>
              <w:marRight w:val="0"/>
              <w:marTop w:val="0"/>
              <w:marBottom w:val="0"/>
              <w:divBdr>
                <w:top w:val="none" w:sz="0" w:space="0" w:color="auto"/>
                <w:left w:val="none" w:sz="0" w:space="0" w:color="auto"/>
                <w:bottom w:val="none" w:sz="0" w:space="0" w:color="auto"/>
                <w:right w:val="none" w:sz="0" w:space="0" w:color="auto"/>
              </w:divBdr>
              <w:divsChild>
                <w:div w:id="108619535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304769383">
          <w:marLeft w:val="0"/>
          <w:marRight w:val="0"/>
          <w:marTop w:val="0"/>
          <w:marBottom w:val="0"/>
          <w:divBdr>
            <w:top w:val="none" w:sz="0" w:space="0" w:color="auto"/>
            <w:left w:val="none" w:sz="0" w:space="0" w:color="auto"/>
            <w:bottom w:val="none" w:sz="0" w:space="0" w:color="auto"/>
            <w:right w:val="none" w:sz="0" w:space="0" w:color="auto"/>
          </w:divBdr>
          <w:divsChild>
            <w:div w:id="1033309434">
              <w:marLeft w:val="0"/>
              <w:marRight w:val="0"/>
              <w:marTop w:val="0"/>
              <w:marBottom w:val="0"/>
              <w:divBdr>
                <w:top w:val="none" w:sz="0" w:space="0" w:color="auto"/>
                <w:left w:val="none" w:sz="0" w:space="0" w:color="auto"/>
                <w:bottom w:val="none" w:sz="0" w:space="0" w:color="auto"/>
                <w:right w:val="none" w:sz="0" w:space="0" w:color="auto"/>
              </w:divBdr>
              <w:divsChild>
                <w:div w:id="20331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9738781">
      <w:bodyDiv w:val="1"/>
      <w:marLeft w:val="0"/>
      <w:marRight w:val="0"/>
      <w:marTop w:val="0"/>
      <w:marBottom w:val="0"/>
      <w:divBdr>
        <w:top w:val="none" w:sz="0" w:space="0" w:color="auto"/>
        <w:left w:val="none" w:sz="0" w:space="0" w:color="auto"/>
        <w:bottom w:val="none" w:sz="0" w:space="0" w:color="auto"/>
        <w:right w:val="none" w:sz="0" w:space="0" w:color="auto"/>
      </w:divBdr>
    </w:div>
    <w:div w:id="173998681">
      <w:bodyDiv w:val="1"/>
      <w:marLeft w:val="0"/>
      <w:marRight w:val="0"/>
      <w:marTop w:val="0"/>
      <w:marBottom w:val="0"/>
      <w:divBdr>
        <w:top w:val="none" w:sz="0" w:space="0" w:color="auto"/>
        <w:left w:val="none" w:sz="0" w:space="0" w:color="auto"/>
        <w:bottom w:val="none" w:sz="0" w:space="0" w:color="auto"/>
        <w:right w:val="none" w:sz="0" w:space="0" w:color="auto"/>
      </w:divBdr>
    </w:div>
    <w:div w:id="193347962">
      <w:bodyDiv w:val="1"/>
      <w:marLeft w:val="0"/>
      <w:marRight w:val="0"/>
      <w:marTop w:val="0"/>
      <w:marBottom w:val="0"/>
      <w:divBdr>
        <w:top w:val="none" w:sz="0" w:space="0" w:color="auto"/>
        <w:left w:val="none" w:sz="0" w:space="0" w:color="auto"/>
        <w:bottom w:val="none" w:sz="0" w:space="0" w:color="auto"/>
        <w:right w:val="none" w:sz="0" w:space="0" w:color="auto"/>
      </w:divBdr>
    </w:div>
    <w:div w:id="23416406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1811020">
      <w:bodyDiv w:val="1"/>
      <w:marLeft w:val="0"/>
      <w:marRight w:val="0"/>
      <w:marTop w:val="0"/>
      <w:marBottom w:val="0"/>
      <w:divBdr>
        <w:top w:val="none" w:sz="0" w:space="0" w:color="auto"/>
        <w:left w:val="none" w:sz="0" w:space="0" w:color="auto"/>
        <w:bottom w:val="none" w:sz="0" w:space="0" w:color="auto"/>
        <w:right w:val="none" w:sz="0" w:space="0" w:color="auto"/>
      </w:divBdr>
    </w:div>
    <w:div w:id="381559878">
      <w:bodyDiv w:val="1"/>
      <w:marLeft w:val="0"/>
      <w:marRight w:val="0"/>
      <w:marTop w:val="0"/>
      <w:marBottom w:val="0"/>
      <w:divBdr>
        <w:top w:val="none" w:sz="0" w:space="0" w:color="auto"/>
        <w:left w:val="none" w:sz="0" w:space="0" w:color="auto"/>
        <w:bottom w:val="none" w:sz="0" w:space="0" w:color="auto"/>
        <w:right w:val="none" w:sz="0" w:space="0" w:color="auto"/>
      </w:divBdr>
    </w:div>
    <w:div w:id="445007723">
      <w:bodyDiv w:val="1"/>
      <w:marLeft w:val="0"/>
      <w:marRight w:val="0"/>
      <w:marTop w:val="0"/>
      <w:marBottom w:val="0"/>
      <w:divBdr>
        <w:top w:val="none" w:sz="0" w:space="0" w:color="auto"/>
        <w:left w:val="none" w:sz="0" w:space="0" w:color="auto"/>
        <w:bottom w:val="none" w:sz="0" w:space="0" w:color="auto"/>
        <w:right w:val="none" w:sz="0" w:space="0" w:color="auto"/>
      </w:divBdr>
    </w:div>
    <w:div w:id="493957616">
      <w:bodyDiv w:val="1"/>
      <w:marLeft w:val="0"/>
      <w:marRight w:val="0"/>
      <w:marTop w:val="0"/>
      <w:marBottom w:val="0"/>
      <w:divBdr>
        <w:top w:val="none" w:sz="0" w:space="0" w:color="auto"/>
        <w:left w:val="none" w:sz="0" w:space="0" w:color="auto"/>
        <w:bottom w:val="none" w:sz="0" w:space="0" w:color="auto"/>
        <w:right w:val="none" w:sz="0" w:space="0" w:color="auto"/>
      </w:divBdr>
    </w:div>
    <w:div w:id="543833818">
      <w:bodyDiv w:val="1"/>
      <w:marLeft w:val="0"/>
      <w:marRight w:val="0"/>
      <w:marTop w:val="0"/>
      <w:marBottom w:val="0"/>
      <w:divBdr>
        <w:top w:val="none" w:sz="0" w:space="0" w:color="auto"/>
        <w:left w:val="none" w:sz="0" w:space="0" w:color="auto"/>
        <w:bottom w:val="none" w:sz="0" w:space="0" w:color="auto"/>
        <w:right w:val="none" w:sz="0" w:space="0" w:color="auto"/>
      </w:divBdr>
    </w:div>
    <w:div w:id="573782934">
      <w:bodyDiv w:val="1"/>
      <w:marLeft w:val="0"/>
      <w:marRight w:val="0"/>
      <w:marTop w:val="0"/>
      <w:marBottom w:val="0"/>
      <w:divBdr>
        <w:top w:val="none" w:sz="0" w:space="0" w:color="auto"/>
        <w:left w:val="none" w:sz="0" w:space="0" w:color="auto"/>
        <w:bottom w:val="none" w:sz="0" w:space="0" w:color="auto"/>
        <w:right w:val="none" w:sz="0" w:space="0" w:color="auto"/>
      </w:divBdr>
    </w:div>
    <w:div w:id="63244059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0667034">
      <w:bodyDiv w:val="1"/>
      <w:marLeft w:val="0"/>
      <w:marRight w:val="0"/>
      <w:marTop w:val="0"/>
      <w:marBottom w:val="0"/>
      <w:divBdr>
        <w:top w:val="none" w:sz="0" w:space="0" w:color="auto"/>
        <w:left w:val="none" w:sz="0" w:space="0" w:color="auto"/>
        <w:bottom w:val="none" w:sz="0" w:space="0" w:color="auto"/>
        <w:right w:val="none" w:sz="0" w:space="0" w:color="auto"/>
      </w:divBdr>
    </w:div>
    <w:div w:id="825629016">
      <w:bodyDiv w:val="1"/>
      <w:marLeft w:val="0"/>
      <w:marRight w:val="0"/>
      <w:marTop w:val="0"/>
      <w:marBottom w:val="0"/>
      <w:divBdr>
        <w:top w:val="none" w:sz="0" w:space="0" w:color="auto"/>
        <w:left w:val="none" w:sz="0" w:space="0" w:color="auto"/>
        <w:bottom w:val="none" w:sz="0" w:space="0" w:color="auto"/>
        <w:right w:val="none" w:sz="0" w:space="0" w:color="auto"/>
      </w:divBdr>
    </w:div>
    <w:div w:id="833647707">
      <w:bodyDiv w:val="1"/>
      <w:marLeft w:val="0"/>
      <w:marRight w:val="0"/>
      <w:marTop w:val="0"/>
      <w:marBottom w:val="0"/>
      <w:divBdr>
        <w:top w:val="none" w:sz="0" w:space="0" w:color="auto"/>
        <w:left w:val="none" w:sz="0" w:space="0" w:color="auto"/>
        <w:bottom w:val="none" w:sz="0" w:space="0" w:color="auto"/>
        <w:right w:val="none" w:sz="0" w:space="0" w:color="auto"/>
      </w:divBdr>
    </w:div>
    <w:div w:id="910702350">
      <w:bodyDiv w:val="1"/>
      <w:marLeft w:val="0"/>
      <w:marRight w:val="0"/>
      <w:marTop w:val="0"/>
      <w:marBottom w:val="0"/>
      <w:divBdr>
        <w:top w:val="none" w:sz="0" w:space="0" w:color="auto"/>
        <w:left w:val="none" w:sz="0" w:space="0" w:color="auto"/>
        <w:bottom w:val="none" w:sz="0" w:space="0" w:color="auto"/>
        <w:right w:val="none" w:sz="0" w:space="0" w:color="auto"/>
      </w:divBdr>
    </w:div>
    <w:div w:id="938222342">
      <w:bodyDiv w:val="1"/>
      <w:marLeft w:val="0"/>
      <w:marRight w:val="0"/>
      <w:marTop w:val="0"/>
      <w:marBottom w:val="0"/>
      <w:divBdr>
        <w:top w:val="none" w:sz="0" w:space="0" w:color="auto"/>
        <w:left w:val="none" w:sz="0" w:space="0" w:color="auto"/>
        <w:bottom w:val="none" w:sz="0" w:space="0" w:color="auto"/>
        <w:right w:val="none" w:sz="0" w:space="0" w:color="auto"/>
      </w:divBdr>
    </w:div>
    <w:div w:id="95487043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2950430">
      <w:bodyDiv w:val="1"/>
      <w:marLeft w:val="0"/>
      <w:marRight w:val="0"/>
      <w:marTop w:val="0"/>
      <w:marBottom w:val="0"/>
      <w:divBdr>
        <w:top w:val="none" w:sz="0" w:space="0" w:color="auto"/>
        <w:left w:val="none" w:sz="0" w:space="0" w:color="auto"/>
        <w:bottom w:val="none" w:sz="0" w:space="0" w:color="auto"/>
        <w:right w:val="none" w:sz="0" w:space="0" w:color="auto"/>
      </w:divBdr>
    </w:div>
    <w:div w:id="100474615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730665">
      <w:bodyDiv w:val="1"/>
      <w:marLeft w:val="0"/>
      <w:marRight w:val="0"/>
      <w:marTop w:val="0"/>
      <w:marBottom w:val="0"/>
      <w:divBdr>
        <w:top w:val="none" w:sz="0" w:space="0" w:color="auto"/>
        <w:left w:val="none" w:sz="0" w:space="0" w:color="auto"/>
        <w:bottom w:val="none" w:sz="0" w:space="0" w:color="auto"/>
        <w:right w:val="none" w:sz="0" w:space="0" w:color="auto"/>
      </w:divBdr>
      <w:divsChild>
        <w:div w:id="1665356624">
          <w:marLeft w:val="0"/>
          <w:marRight w:val="0"/>
          <w:marTop w:val="0"/>
          <w:marBottom w:val="0"/>
          <w:divBdr>
            <w:top w:val="none" w:sz="0" w:space="0" w:color="auto"/>
            <w:left w:val="none" w:sz="0" w:space="0" w:color="auto"/>
            <w:bottom w:val="none" w:sz="0" w:space="0" w:color="auto"/>
            <w:right w:val="none" w:sz="0" w:space="0" w:color="auto"/>
          </w:divBdr>
          <w:divsChild>
            <w:div w:id="1613633744">
              <w:marLeft w:val="0"/>
              <w:marRight w:val="0"/>
              <w:marTop w:val="0"/>
              <w:marBottom w:val="0"/>
              <w:divBdr>
                <w:top w:val="none" w:sz="0" w:space="0" w:color="auto"/>
                <w:left w:val="none" w:sz="0" w:space="0" w:color="auto"/>
                <w:bottom w:val="none" w:sz="0" w:space="0" w:color="auto"/>
                <w:right w:val="none" w:sz="0" w:space="0" w:color="auto"/>
              </w:divBdr>
              <w:divsChild>
                <w:div w:id="1290167169">
                  <w:marLeft w:val="0"/>
                  <w:marRight w:val="0"/>
                  <w:marTop w:val="0"/>
                  <w:marBottom w:val="0"/>
                  <w:divBdr>
                    <w:top w:val="none" w:sz="0" w:space="0" w:color="auto"/>
                    <w:left w:val="none" w:sz="0" w:space="0" w:color="auto"/>
                    <w:bottom w:val="none" w:sz="0" w:space="0" w:color="auto"/>
                    <w:right w:val="none" w:sz="0" w:space="0" w:color="auto"/>
                  </w:divBdr>
                  <w:divsChild>
                    <w:div w:id="862863260">
                      <w:marLeft w:val="0"/>
                      <w:marRight w:val="0"/>
                      <w:marTop w:val="0"/>
                      <w:marBottom w:val="0"/>
                      <w:divBdr>
                        <w:top w:val="none" w:sz="0" w:space="0" w:color="auto"/>
                        <w:left w:val="none" w:sz="0" w:space="0" w:color="auto"/>
                        <w:bottom w:val="none" w:sz="0" w:space="0" w:color="auto"/>
                        <w:right w:val="none" w:sz="0" w:space="0" w:color="auto"/>
                      </w:divBdr>
                      <w:divsChild>
                        <w:div w:id="14750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93074">
      <w:bodyDiv w:val="1"/>
      <w:marLeft w:val="0"/>
      <w:marRight w:val="0"/>
      <w:marTop w:val="0"/>
      <w:marBottom w:val="0"/>
      <w:divBdr>
        <w:top w:val="none" w:sz="0" w:space="0" w:color="auto"/>
        <w:left w:val="none" w:sz="0" w:space="0" w:color="auto"/>
        <w:bottom w:val="none" w:sz="0" w:space="0" w:color="auto"/>
        <w:right w:val="none" w:sz="0" w:space="0" w:color="auto"/>
      </w:divBdr>
    </w:div>
    <w:div w:id="103812089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3466825">
      <w:bodyDiv w:val="1"/>
      <w:marLeft w:val="0"/>
      <w:marRight w:val="0"/>
      <w:marTop w:val="0"/>
      <w:marBottom w:val="0"/>
      <w:divBdr>
        <w:top w:val="none" w:sz="0" w:space="0" w:color="auto"/>
        <w:left w:val="none" w:sz="0" w:space="0" w:color="auto"/>
        <w:bottom w:val="none" w:sz="0" w:space="0" w:color="auto"/>
        <w:right w:val="none" w:sz="0" w:space="0" w:color="auto"/>
      </w:divBdr>
    </w:div>
    <w:div w:id="1288778742">
      <w:bodyDiv w:val="1"/>
      <w:marLeft w:val="0"/>
      <w:marRight w:val="0"/>
      <w:marTop w:val="0"/>
      <w:marBottom w:val="0"/>
      <w:divBdr>
        <w:top w:val="none" w:sz="0" w:space="0" w:color="auto"/>
        <w:left w:val="none" w:sz="0" w:space="0" w:color="auto"/>
        <w:bottom w:val="none" w:sz="0" w:space="0" w:color="auto"/>
        <w:right w:val="none" w:sz="0" w:space="0" w:color="auto"/>
      </w:divBdr>
    </w:div>
    <w:div w:id="1319963404">
      <w:bodyDiv w:val="1"/>
      <w:marLeft w:val="0"/>
      <w:marRight w:val="0"/>
      <w:marTop w:val="0"/>
      <w:marBottom w:val="0"/>
      <w:divBdr>
        <w:top w:val="none" w:sz="0" w:space="0" w:color="auto"/>
        <w:left w:val="none" w:sz="0" w:space="0" w:color="auto"/>
        <w:bottom w:val="none" w:sz="0" w:space="0" w:color="auto"/>
        <w:right w:val="none" w:sz="0" w:space="0" w:color="auto"/>
      </w:divBdr>
      <w:divsChild>
        <w:div w:id="198246718">
          <w:marLeft w:val="0"/>
          <w:marRight w:val="0"/>
          <w:marTop w:val="0"/>
          <w:marBottom w:val="0"/>
          <w:divBdr>
            <w:top w:val="none" w:sz="0" w:space="0" w:color="auto"/>
            <w:left w:val="none" w:sz="0" w:space="0" w:color="auto"/>
            <w:bottom w:val="none" w:sz="0" w:space="0" w:color="auto"/>
            <w:right w:val="none" w:sz="0" w:space="0" w:color="auto"/>
          </w:divBdr>
          <w:divsChild>
            <w:div w:id="1132209295">
              <w:marLeft w:val="0"/>
              <w:marRight w:val="0"/>
              <w:marTop w:val="0"/>
              <w:marBottom w:val="0"/>
              <w:divBdr>
                <w:top w:val="none" w:sz="0" w:space="0" w:color="auto"/>
                <w:left w:val="none" w:sz="0" w:space="0" w:color="auto"/>
                <w:bottom w:val="none" w:sz="0" w:space="0" w:color="auto"/>
                <w:right w:val="none" w:sz="0" w:space="0" w:color="auto"/>
              </w:divBdr>
              <w:divsChild>
                <w:div w:id="81672511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636249849">
          <w:marLeft w:val="0"/>
          <w:marRight w:val="0"/>
          <w:marTop w:val="0"/>
          <w:marBottom w:val="0"/>
          <w:divBdr>
            <w:top w:val="none" w:sz="0" w:space="0" w:color="auto"/>
            <w:left w:val="none" w:sz="0" w:space="0" w:color="auto"/>
            <w:bottom w:val="none" w:sz="0" w:space="0" w:color="auto"/>
            <w:right w:val="none" w:sz="0" w:space="0" w:color="auto"/>
          </w:divBdr>
          <w:divsChild>
            <w:div w:id="318198996">
              <w:marLeft w:val="0"/>
              <w:marRight w:val="0"/>
              <w:marTop w:val="0"/>
              <w:marBottom w:val="0"/>
              <w:divBdr>
                <w:top w:val="none" w:sz="0" w:space="0" w:color="auto"/>
                <w:left w:val="none" w:sz="0" w:space="0" w:color="auto"/>
                <w:bottom w:val="none" w:sz="0" w:space="0" w:color="auto"/>
                <w:right w:val="none" w:sz="0" w:space="0" w:color="auto"/>
              </w:divBdr>
              <w:divsChild>
                <w:div w:id="5117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5927">
      <w:bodyDiv w:val="1"/>
      <w:marLeft w:val="0"/>
      <w:marRight w:val="0"/>
      <w:marTop w:val="0"/>
      <w:marBottom w:val="0"/>
      <w:divBdr>
        <w:top w:val="none" w:sz="0" w:space="0" w:color="auto"/>
        <w:left w:val="none" w:sz="0" w:space="0" w:color="auto"/>
        <w:bottom w:val="none" w:sz="0" w:space="0" w:color="auto"/>
        <w:right w:val="none" w:sz="0" w:space="0" w:color="auto"/>
      </w:divBdr>
      <w:divsChild>
        <w:div w:id="1375470079">
          <w:marLeft w:val="0"/>
          <w:marRight w:val="0"/>
          <w:marTop w:val="0"/>
          <w:marBottom w:val="0"/>
          <w:divBdr>
            <w:top w:val="none" w:sz="0" w:space="0" w:color="auto"/>
            <w:left w:val="none" w:sz="0" w:space="0" w:color="auto"/>
            <w:bottom w:val="none" w:sz="0" w:space="0" w:color="auto"/>
            <w:right w:val="none" w:sz="0" w:space="0" w:color="auto"/>
          </w:divBdr>
          <w:divsChild>
            <w:div w:id="92675556">
              <w:marLeft w:val="0"/>
              <w:marRight w:val="0"/>
              <w:marTop w:val="0"/>
              <w:marBottom w:val="0"/>
              <w:divBdr>
                <w:top w:val="none" w:sz="0" w:space="0" w:color="auto"/>
                <w:left w:val="none" w:sz="0" w:space="0" w:color="auto"/>
                <w:bottom w:val="none" w:sz="0" w:space="0" w:color="auto"/>
                <w:right w:val="none" w:sz="0" w:space="0" w:color="auto"/>
              </w:divBdr>
              <w:divsChild>
                <w:div w:id="168227276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05590297">
          <w:marLeft w:val="0"/>
          <w:marRight w:val="0"/>
          <w:marTop w:val="0"/>
          <w:marBottom w:val="0"/>
          <w:divBdr>
            <w:top w:val="none" w:sz="0" w:space="0" w:color="auto"/>
            <w:left w:val="none" w:sz="0" w:space="0" w:color="auto"/>
            <w:bottom w:val="none" w:sz="0" w:space="0" w:color="auto"/>
            <w:right w:val="none" w:sz="0" w:space="0" w:color="auto"/>
          </w:divBdr>
          <w:divsChild>
            <w:div w:id="2131431556">
              <w:marLeft w:val="0"/>
              <w:marRight w:val="0"/>
              <w:marTop w:val="0"/>
              <w:marBottom w:val="0"/>
              <w:divBdr>
                <w:top w:val="none" w:sz="0" w:space="0" w:color="auto"/>
                <w:left w:val="none" w:sz="0" w:space="0" w:color="auto"/>
                <w:bottom w:val="none" w:sz="0" w:space="0" w:color="auto"/>
                <w:right w:val="none" w:sz="0" w:space="0" w:color="auto"/>
              </w:divBdr>
              <w:divsChild>
                <w:div w:id="219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651">
      <w:bodyDiv w:val="1"/>
      <w:marLeft w:val="0"/>
      <w:marRight w:val="0"/>
      <w:marTop w:val="0"/>
      <w:marBottom w:val="0"/>
      <w:divBdr>
        <w:top w:val="none" w:sz="0" w:space="0" w:color="auto"/>
        <w:left w:val="none" w:sz="0" w:space="0" w:color="auto"/>
        <w:bottom w:val="none" w:sz="0" w:space="0" w:color="auto"/>
        <w:right w:val="none" w:sz="0" w:space="0" w:color="auto"/>
      </w:divBdr>
    </w:div>
    <w:div w:id="1469281586">
      <w:bodyDiv w:val="1"/>
      <w:marLeft w:val="0"/>
      <w:marRight w:val="0"/>
      <w:marTop w:val="0"/>
      <w:marBottom w:val="0"/>
      <w:divBdr>
        <w:top w:val="none" w:sz="0" w:space="0" w:color="auto"/>
        <w:left w:val="none" w:sz="0" w:space="0" w:color="auto"/>
        <w:bottom w:val="none" w:sz="0" w:space="0" w:color="auto"/>
        <w:right w:val="none" w:sz="0" w:space="0" w:color="auto"/>
      </w:divBdr>
    </w:div>
    <w:div w:id="1488521012">
      <w:bodyDiv w:val="1"/>
      <w:marLeft w:val="0"/>
      <w:marRight w:val="0"/>
      <w:marTop w:val="0"/>
      <w:marBottom w:val="0"/>
      <w:divBdr>
        <w:top w:val="none" w:sz="0" w:space="0" w:color="auto"/>
        <w:left w:val="none" w:sz="0" w:space="0" w:color="auto"/>
        <w:bottom w:val="none" w:sz="0" w:space="0" w:color="auto"/>
        <w:right w:val="none" w:sz="0" w:space="0" w:color="auto"/>
      </w:divBdr>
    </w:div>
    <w:div w:id="1525552896">
      <w:bodyDiv w:val="1"/>
      <w:marLeft w:val="0"/>
      <w:marRight w:val="0"/>
      <w:marTop w:val="0"/>
      <w:marBottom w:val="0"/>
      <w:divBdr>
        <w:top w:val="none" w:sz="0" w:space="0" w:color="auto"/>
        <w:left w:val="none" w:sz="0" w:space="0" w:color="auto"/>
        <w:bottom w:val="none" w:sz="0" w:space="0" w:color="auto"/>
        <w:right w:val="none" w:sz="0" w:space="0" w:color="auto"/>
      </w:divBdr>
    </w:div>
    <w:div w:id="1535999849">
      <w:bodyDiv w:val="1"/>
      <w:marLeft w:val="0"/>
      <w:marRight w:val="0"/>
      <w:marTop w:val="0"/>
      <w:marBottom w:val="0"/>
      <w:divBdr>
        <w:top w:val="none" w:sz="0" w:space="0" w:color="auto"/>
        <w:left w:val="none" w:sz="0" w:space="0" w:color="auto"/>
        <w:bottom w:val="none" w:sz="0" w:space="0" w:color="auto"/>
        <w:right w:val="none" w:sz="0" w:space="0" w:color="auto"/>
      </w:divBdr>
    </w:div>
    <w:div w:id="1599756833">
      <w:bodyDiv w:val="1"/>
      <w:marLeft w:val="0"/>
      <w:marRight w:val="0"/>
      <w:marTop w:val="0"/>
      <w:marBottom w:val="0"/>
      <w:divBdr>
        <w:top w:val="none" w:sz="0" w:space="0" w:color="auto"/>
        <w:left w:val="none" w:sz="0" w:space="0" w:color="auto"/>
        <w:bottom w:val="none" w:sz="0" w:space="0" w:color="auto"/>
        <w:right w:val="none" w:sz="0" w:space="0" w:color="auto"/>
      </w:divBdr>
    </w:div>
    <w:div w:id="1675256491">
      <w:bodyDiv w:val="1"/>
      <w:marLeft w:val="0"/>
      <w:marRight w:val="0"/>
      <w:marTop w:val="0"/>
      <w:marBottom w:val="0"/>
      <w:divBdr>
        <w:top w:val="none" w:sz="0" w:space="0" w:color="auto"/>
        <w:left w:val="none" w:sz="0" w:space="0" w:color="auto"/>
        <w:bottom w:val="none" w:sz="0" w:space="0" w:color="auto"/>
        <w:right w:val="none" w:sz="0" w:space="0" w:color="auto"/>
      </w:divBdr>
    </w:div>
    <w:div w:id="1700205490">
      <w:bodyDiv w:val="1"/>
      <w:marLeft w:val="0"/>
      <w:marRight w:val="0"/>
      <w:marTop w:val="0"/>
      <w:marBottom w:val="0"/>
      <w:divBdr>
        <w:top w:val="none" w:sz="0" w:space="0" w:color="auto"/>
        <w:left w:val="none" w:sz="0" w:space="0" w:color="auto"/>
        <w:bottom w:val="none" w:sz="0" w:space="0" w:color="auto"/>
        <w:right w:val="none" w:sz="0" w:space="0" w:color="auto"/>
      </w:divBdr>
      <w:divsChild>
        <w:div w:id="1943224104">
          <w:marLeft w:val="0"/>
          <w:marRight w:val="0"/>
          <w:marTop w:val="0"/>
          <w:marBottom w:val="0"/>
          <w:divBdr>
            <w:top w:val="none" w:sz="0" w:space="0" w:color="auto"/>
            <w:left w:val="none" w:sz="0" w:space="0" w:color="auto"/>
            <w:bottom w:val="none" w:sz="0" w:space="0" w:color="auto"/>
            <w:right w:val="none" w:sz="0" w:space="0" w:color="auto"/>
          </w:divBdr>
          <w:divsChild>
            <w:div w:id="1549565030">
              <w:marLeft w:val="0"/>
              <w:marRight w:val="0"/>
              <w:marTop w:val="0"/>
              <w:marBottom w:val="0"/>
              <w:divBdr>
                <w:top w:val="none" w:sz="0" w:space="0" w:color="auto"/>
                <w:left w:val="none" w:sz="0" w:space="0" w:color="auto"/>
                <w:bottom w:val="none" w:sz="0" w:space="0" w:color="auto"/>
                <w:right w:val="none" w:sz="0" w:space="0" w:color="auto"/>
              </w:divBdr>
              <w:divsChild>
                <w:div w:id="17006773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394692031">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235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4508">
      <w:bodyDiv w:val="1"/>
      <w:marLeft w:val="0"/>
      <w:marRight w:val="0"/>
      <w:marTop w:val="0"/>
      <w:marBottom w:val="0"/>
      <w:divBdr>
        <w:top w:val="none" w:sz="0" w:space="0" w:color="auto"/>
        <w:left w:val="none" w:sz="0" w:space="0" w:color="auto"/>
        <w:bottom w:val="none" w:sz="0" w:space="0" w:color="auto"/>
        <w:right w:val="none" w:sz="0" w:space="0" w:color="auto"/>
      </w:divBdr>
    </w:div>
    <w:div w:id="1738744263">
      <w:bodyDiv w:val="1"/>
      <w:marLeft w:val="0"/>
      <w:marRight w:val="0"/>
      <w:marTop w:val="0"/>
      <w:marBottom w:val="0"/>
      <w:divBdr>
        <w:top w:val="none" w:sz="0" w:space="0" w:color="auto"/>
        <w:left w:val="none" w:sz="0" w:space="0" w:color="auto"/>
        <w:bottom w:val="none" w:sz="0" w:space="0" w:color="auto"/>
        <w:right w:val="none" w:sz="0" w:space="0" w:color="auto"/>
      </w:divBdr>
    </w:div>
    <w:div w:id="17411766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4877844">
      <w:bodyDiv w:val="1"/>
      <w:marLeft w:val="0"/>
      <w:marRight w:val="0"/>
      <w:marTop w:val="0"/>
      <w:marBottom w:val="0"/>
      <w:divBdr>
        <w:top w:val="none" w:sz="0" w:space="0" w:color="auto"/>
        <w:left w:val="none" w:sz="0" w:space="0" w:color="auto"/>
        <w:bottom w:val="none" w:sz="0" w:space="0" w:color="auto"/>
        <w:right w:val="none" w:sz="0" w:space="0" w:color="auto"/>
      </w:divBdr>
      <w:divsChild>
        <w:div w:id="1053192266">
          <w:marLeft w:val="0"/>
          <w:marRight w:val="0"/>
          <w:marTop w:val="0"/>
          <w:marBottom w:val="0"/>
          <w:divBdr>
            <w:top w:val="none" w:sz="0" w:space="0" w:color="auto"/>
            <w:left w:val="none" w:sz="0" w:space="0" w:color="auto"/>
            <w:bottom w:val="none" w:sz="0" w:space="0" w:color="auto"/>
            <w:right w:val="none" w:sz="0" w:space="0" w:color="auto"/>
          </w:divBdr>
          <w:divsChild>
            <w:div w:id="2129010408">
              <w:marLeft w:val="0"/>
              <w:marRight w:val="0"/>
              <w:marTop w:val="0"/>
              <w:marBottom w:val="0"/>
              <w:divBdr>
                <w:top w:val="none" w:sz="0" w:space="0" w:color="auto"/>
                <w:left w:val="none" w:sz="0" w:space="0" w:color="auto"/>
                <w:bottom w:val="none" w:sz="0" w:space="0" w:color="auto"/>
                <w:right w:val="none" w:sz="0" w:space="0" w:color="auto"/>
              </w:divBdr>
              <w:divsChild>
                <w:div w:id="921834177">
                  <w:marLeft w:val="0"/>
                  <w:marRight w:val="0"/>
                  <w:marTop w:val="0"/>
                  <w:marBottom w:val="0"/>
                  <w:divBdr>
                    <w:top w:val="none" w:sz="0" w:space="0" w:color="auto"/>
                    <w:left w:val="none" w:sz="0" w:space="0" w:color="auto"/>
                    <w:bottom w:val="none" w:sz="0" w:space="0" w:color="auto"/>
                    <w:right w:val="none" w:sz="0" w:space="0" w:color="auto"/>
                  </w:divBdr>
                  <w:divsChild>
                    <w:div w:id="949355428">
                      <w:marLeft w:val="0"/>
                      <w:marRight w:val="0"/>
                      <w:marTop w:val="0"/>
                      <w:marBottom w:val="0"/>
                      <w:divBdr>
                        <w:top w:val="none" w:sz="0" w:space="0" w:color="auto"/>
                        <w:left w:val="none" w:sz="0" w:space="0" w:color="auto"/>
                        <w:bottom w:val="none" w:sz="0" w:space="0" w:color="auto"/>
                        <w:right w:val="none" w:sz="0" w:space="0" w:color="auto"/>
                      </w:divBdr>
                      <w:divsChild>
                        <w:div w:id="10302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541238">
      <w:bodyDiv w:val="1"/>
      <w:marLeft w:val="0"/>
      <w:marRight w:val="0"/>
      <w:marTop w:val="0"/>
      <w:marBottom w:val="0"/>
      <w:divBdr>
        <w:top w:val="none" w:sz="0" w:space="0" w:color="auto"/>
        <w:left w:val="none" w:sz="0" w:space="0" w:color="auto"/>
        <w:bottom w:val="none" w:sz="0" w:space="0" w:color="auto"/>
        <w:right w:val="none" w:sz="0" w:space="0" w:color="auto"/>
      </w:divBdr>
    </w:div>
    <w:div w:id="192846344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6717561">
      <w:bodyDiv w:val="1"/>
      <w:marLeft w:val="0"/>
      <w:marRight w:val="0"/>
      <w:marTop w:val="0"/>
      <w:marBottom w:val="0"/>
      <w:divBdr>
        <w:top w:val="none" w:sz="0" w:space="0" w:color="auto"/>
        <w:left w:val="none" w:sz="0" w:space="0" w:color="auto"/>
        <w:bottom w:val="none" w:sz="0" w:space="0" w:color="auto"/>
        <w:right w:val="none" w:sz="0" w:space="0" w:color="auto"/>
      </w:divBdr>
    </w:div>
    <w:div w:id="1978879594">
      <w:bodyDiv w:val="1"/>
      <w:marLeft w:val="0"/>
      <w:marRight w:val="0"/>
      <w:marTop w:val="0"/>
      <w:marBottom w:val="0"/>
      <w:divBdr>
        <w:top w:val="none" w:sz="0" w:space="0" w:color="auto"/>
        <w:left w:val="none" w:sz="0" w:space="0" w:color="auto"/>
        <w:bottom w:val="none" w:sz="0" w:space="0" w:color="auto"/>
        <w:right w:val="none" w:sz="0" w:space="0" w:color="auto"/>
      </w:divBdr>
    </w:div>
    <w:div w:id="2029528048">
      <w:bodyDiv w:val="1"/>
      <w:marLeft w:val="0"/>
      <w:marRight w:val="0"/>
      <w:marTop w:val="0"/>
      <w:marBottom w:val="0"/>
      <w:divBdr>
        <w:top w:val="none" w:sz="0" w:space="0" w:color="auto"/>
        <w:left w:val="none" w:sz="0" w:space="0" w:color="auto"/>
        <w:bottom w:val="none" w:sz="0" w:space="0" w:color="auto"/>
        <w:right w:val="none" w:sz="0" w:space="0" w:color="auto"/>
      </w:divBdr>
    </w:div>
    <w:div w:id="2044863436">
      <w:bodyDiv w:val="1"/>
      <w:marLeft w:val="0"/>
      <w:marRight w:val="0"/>
      <w:marTop w:val="0"/>
      <w:marBottom w:val="0"/>
      <w:divBdr>
        <w:top w:val="none" w:sz="0" w:space="0" w:color="auto"/>
        <w:left w:val="none" w:sz="0" w:space="0" w:color="auto"/>
        <w:bottom w:val="none" w:sz="0" w:space="0" w:color="auto"/>
        <w:right w:val="none" w:sz="0" w:space="0" w:color="auto"/>
      </w:divBdr>
      <w:divsChild>
        <w:div w:id="767195808">
          <w:marLeft w:val="0"/>
          <w:marRight w:val="0"/>
          <w:marTop w:val="0"/>
          <w:marBottom w:val="0"/>
          <w:divBdr>
            <w:top w:val="none" w:sz="0" w:space="0" w:color="auto"/>
            <w:left w:val="none" w:sz="0" w:space="0" w:color="auto"/>
            <w:bottom w:val="none" w:sz="0" w:space="0" w:color="auto"/>
            <w:right w:val="none" w:sz="0" w:space="0" w:color="auto"/>
          </w:divBdr>
          <w:divsChild>
            <w:div w:id="83696520">
              <w:marLeft w:val="0"/>
              <w:marRight w:val="0"/>
              <w:marTop w:val="0"/>
              <w:marBottom w:val="0"/>
              <w:divBdr>
                <w:top w:val="none" w:sz="0" w:space="0" w:color="auto"/>
                <w:left w:val="none" w:sz="0" w:space="0" w:color="auto"/>
                <w:bottom w:val="none" w:sz="0" w:space="0" w:color="auto"/>
                <w:right w:val="none" w:sz="0" w:space="0" w:color="auto"/>
              </w:divBdr>
              <w:divsChild>
                <w:div w:id="112473102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20240038">
          <w:marLeft w:val="0"/>
          <w:marRight w:val="0"/>
          <w:marTop w:val="0"/>
          <w:marBottom w:val="0"/>
          <w:divBdr>
            <w:top w:val="none" w:sz="0" w:space="0" w:color="auto"/>
            <w:left w:val="none" w:sz="0" w:space="0" w:color="auto"/>
            <w:bottom w:val="none" w:sz="0" w:space="0" w:color="auto"/>
            <w:right w:val="none" w:sz="0" w:space="0" w:color="auto"/>
          </w:divBdr>
          <w:divsChild>
            <w:div w:id="1665429068">
              <w:marLeft w:val="0"/>
              <w:marRight w:val="0"/>
              <w:marTop w:val="0"/>
              <w:marBottom w:val="0"/>
              <w:divBdr>
                <w:top w:val="none" w:sz="0" w:space="0" w:color="auto"/>
                <w:left w:val="none" w:sz="0" w:space="0" w:color="auto"/>
                <w:bottom w:val="none" w:sz="0" w:space="0" w:color="auto"/>
                <w:right w:val="none" w:sz="0" w:space="0" w:color="auto"/>
              </w:divBdr>
              <w:divsChild>
                <w:div w:id="72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8794">
      <w:bodyDiv w:val="1"/>
      <w:marLeft w:val="0"/>
      <w:marRight w:val="0"/>
      <w:marTop w:val="0"/>
      <w:marBottom w:val="0"/>
      <w:divBdr>
        <w:top w:val="none" w:sz="0" w:space="0" w:color="auto"/>
        <w:left w:val="none" w:sz="0" w:space="0" w:color="auto"/>
        <w:bottom w:val="none" w:sz="0" w:space="0" w:color="auto"/>
        <w:right w:val="none" w:sz="0" w:space="0" w:color="auto"/>
      </w:divBdr>
    </w:div>
    <w:div w:id="2059547070">
      <w:bodyDiv w:val="1"/>
      <w:marLeft w:val="0"/>
      <w:marRight w:val="0"/>
      <w:marTop w:val="0"/>
      <w:marBottom w:val="0"/>
      <w:divBdr>
        <w:top w:val="none" w:sz="0" w:space="0" w:color="auto"/>
        <w:left w:val="none" w:sz="0" w:space="0" w:color="auto"/>
        <w:bottom w:val="none" w:sz="0" w:space="0" w:color="auto"/>
        <w:right w:val="none" w:sz="0" w:space="0" w:color="auto"/>
      </w:divBdr>
      <w:divsChild>
        <w:div w:id="1907884827">
          <w:marLeft w:val="0"/>
          <w:marRight w:val="0"/>
          <w:marTop w:val="0"/>
          <w:marBottom w:val="0"/>
          <w:divBdr>
            <w:top w:val="none" w:sz="0" w:space="0" w:color="auto"/>
            <w:left w:val="none" w:sz="0" w:space="0" w:color="auto"/>
            <w:bottom w:val="none" w:sz="0" w:space="0" w:color="auto"/>
            <w:right w:val="none" w:sz="0" w:space="0" w:color="auto"/>
          </w:divBdr>
          <w:divsChild>
            <w:div w:id="818158550">
              <w:marLeft w:val="0"/>
              <w:marRight w:val="0"/>
              <w:marTop w:val="0"/>
              <w:marBottom w:val="0"/>
              <w:divBdr>
                <w:top w:val="none" w:sz="0" w:space="0" w:color="auto"/>
                <w:left w:val="none" w:sz="0" w:space="0" w:color="auto"/>
                <w:bottom w:val="none" w:sz="0" w:space="0" w:color="auto"/>
                <w:right w:val="none" w:sz="0" w:space="0" w:color="auto"/>
              </w:divBdr>
              <w:divsChild>
                <w:div w:id="170872400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05623841">
          <w:marLeft w:val="0"/>
          <w:marRight w:val="0"/>
          <w:marTop w:val="0"/>
          <w:marBottom w:val="0"/>
          <w:divBdr>
            <w:top w:val="none" w:sz="0" w:space="0" w:color="auto"/>
            <w:left w:val="none" w:sz="0" w:space="0" w:color="auto"/>
            <w:bottom w:val="none" w:sz="0" w:space="0" w:color="auto"/>
            <w:right w:val="none" w:sz="0" w:space="0" w:color="auto"/>
          </w:divBdr>
          <w:divsChild>
            <w:div w:id="1487013097">
              <w:marLeft w:val="0"/>
              <w:marRight w:val="0"/>
              <w:marTop w:val="0"/>
              <w:marBottom w:val="0"/>
              <w:divBdr>
                <w:top w:val="none" w:sz="0" w:space="0" w:color="auto"/>
                <w:left w:val="none" w:sz="0" w:space="0" w:color="auto"/>
                <w:bottom w:val="none" w:sz="0" w:space="0" w:color="auto"/>
                <w:right w:val="none" w:sz="0" w:space="0" w:color="auto"/>
              </w:divBdr>
              <w:divsChild>
                <w:div w:id="8485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ubmed.ncbi.nlm.nih.gov/38511400/" TargetMode="External"/><Relationship Id="rId26" Type="http://schemas.openxmlformats.org/officeDocument/2006/relationships/hyperlink" Target="https://pubmed.ncbi.nlm.nih.gov/?term=Pine+PLS&amp;cauthor_id=39666879" TargetMode="External"/><Relationship Id="rId39" Type="http://schemas.openxmlformats.org/officeDocument/2006/relationships/hyperlink" Target="https://pubmed.ncbi.nlm.nih.gov/39666879/" TargetMode="External"/><Relationship Id="rId21" Type="http://schemas.openxmlformats.org/officeDocument/2006/relationships/hyperlink" Target="https://pubmed.ncbi.nlm.nih.gov/39719170/" TargetMode="External"/><Relationship Id="rId34" Type="http://schemas.openxmlformats.org/officeDocument/2006/relationships/hyperlink" Target="https://pubmed.ncbi.nlm.nih.gov/?term=Morales+BLFD&amp;cauthor_id=39666879" TargetMode="External"/><Relationship Id="rId42" Type="http://schemas.openxmlformats.org/officeDocument/2006/relationships/hyperlink" Target="https://pubmed.ncbi.nlm.nih.gov/?term=Mangubat+GF&amp;cauthor_id=39666879" TargetMode="External"/><Relationship Id="rId47" Type="http://schemas.openxmlformats.org/officeDocument/2006/relationships/hyperlink" Target="https://pubmed.ncbi.nlm.nih.gov/38582569/"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pubmed.ncbi.nlm.nih.gov/39666879/" TargetMode="External"/><Relationship Id="rId11" Type="http://schemas.openxmlformats.org/officeDocument/2006/relationships/header" Target="header1.xml"/><Relationship Id="rId24" Type="http://schemas.openxmlformats.org/officeDocument/2006/relationships/hyperlink" Target="https://pubmed.ncbi.nlm.nih.gov/?term=Chin+MNC&amp;cauthor_id=39666879" TargetMode="External"/><Relationship Id="rId32" Type="http://schemas.openxmlformats.org/officeDocument/2006/relationships/hyperlink" Target="https://pubmed.ncbi.nlm.nih.gov/?term=Gandionco+KM&amp;cauthor_id=39666879" TargetMode="External"/><Relationship Id="rId37" Type="http://schemas.openxmlformats.org/officeDocument/2006/relationships/hyperlink" Target="https://pubmed.ncbi.nlm.nih.gov/39666879/" TargetMode="External"/><Relationship Id="rId40" Type="http://schemas.openxmlformats.org/officeDocument/2006/relationships/hyperlink" Target="https://pubmed.ncbi.nlm.nih.gov/?term=Magalong+JV&amp;cauthor_id=39666879" TargetMode="External"/><Relationship Id="rId45" Type="http://schemas.openxmlformats.org/officeDocument/2006/relationships/hyperlink" Target="https://doi.org/10.1080/03007995.2024.2442027"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pubmed.ncbi.nlm.nih.gov/39666879/" TargetMode="External"/><Relationship Id="rId28" Type="http://schemas.openxmlformats.org/officeDocument/2006/relationships/hyperlink" Target="https://pubmed.ncbi.nlm.nih.gov/?term=Ruyeras+MMJ&amp;cauthor_id=39666879" TargetMode="External"/><Relationship Id="rId36" Type="http://schemas.openxmlformats.org/officeDocument/2006/relationships/hyperlink" Target="https://pubmed.ncbi.nlm.nih.gov/?term=Climaco+ZMV&amp;cauthor_id=39666879"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ubmed.ncbi.nlm.nih.gov/36448672/" TargetMode="External"/><Relationship Id="rId31" Type="http://schemas.openxmlformats.org/officeDocument/2006/relationships/hyperlink" Target="https://pubmed.ncbi.nlm.nih.gov/39666879/" TargetMode="External"/><Relationship Id="rId44" Type="http://schemas.openxmlformats.org/officeDocument/2006/relationships/hyperlink" Target="https://pubmed.ncbi.nlm.nih.gov/?term=Ong+K&amp;cauthor_id=396668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ubmed.ncbi.nlm.nih.gov/?term=Rivera+FB&amp;cauthor_id=39666879" TargetMode="External"/><Relationship Id="rId27" Type="http://schemas.openxmlformats.org/officeDocument/2006/relationships/hyperlink" Target="https://pubmed.ncbi.nlm.nih.gov/39666879/" TargetMode="External"/><Relationship Id="rId30" Type="http://schemas.openxmlformats.org/officeDocument/2006/relationships/hyperlink" Target="https://pubmed.ncbi.nlm.nih.gov/?term=Galang+DJC&amp;cauthor_id=39666879" TargetMode="External"/><Relationship Id="rId35" Type="http://schemas.openxmlformats.org/officeDocument/2006/relationships/hyperlink" Target="https://pubmed.ncbi.nlm.nih.gov/39666879/" TargetMode="External"/><Relationship Id="rId43" Type="http://schemas.openxmlformats.org/officeDocument/2006/relationships/hyperlink" Target="https://pubmed.ncbi.nlm.nih.gov/39666879/" TargetMode="External"/><Relationship Id="rId48" Type="http://schemas.openxmlformats.org/officeDocument/2006/relationships/hyperlink" Target="https://pubmed.ncbi.nlm.nih.gov/38583444/"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pubmed.ncbi.nlm.nih.gov/39666879/" TargetMode="External"/><Relationship Id="rId33" Type="http://schemas.openxmlformats.org/officeDocument/2006/relationships/hyperlink" Target="https://pubmed.ncbi.nlm.nih.gov/39666879/" TargetMode="External"/><Relationship Id="rId38" Type="http://schemas.openxmlformats.org/officeDocument/2006/relationships/hyperlink" Target="https://pubmed.ncbi.nlm.nih.gov/?term=Bantayan+NRB&amp;cauthor_id=39666879" TargetMode="External"/><Relationship Id="rId46" Type="http://schemas.openxmlformats.org/officeDocument/2006/relationships/hyperlink" Target="https://pubmed.ncbi.nlm.nih.gov/34895470/" TargetMode="External"/><Relationship Id="rId20" Type="http://schemas.openxmlformats.org/officeDocument/2006/relationships/hyperlink" Target="https://pubmed.ncbi.nlm.nih.gov/31855395/" TargetMode="External"/><Relationship Id="rId41" Type="http://schemas.openxmlformats.org/officeDocument/2006/relationships/hyperlink" Target="https://pubmed.ncbi.nlm.nih.gov/39666879/"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68c8c3-a073-4184-8b07-8a4d312582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FBC4CB39160248A476F45BB3F90373" ma:contentTypeVersion="11" ma:contentTypeDescription="Create a new document." ma:contentTypeScope="" ma:versionID="c7a501ccf039ed84e385f7c69a5a2b66">
  <xsd:schema xmlns:xsd="http://www.w3.org/2001/XMLSchema" xmlns:xs="http://www.w3.org/2001/XMLSchema" xmlns:p="http://schemas.microsoft.com/office/2006/metadata/properties" xmlns:ns3="2f68c8c3-a073-4184-8b07-8a4d312582c2" targetNamespace="http://schemas.microsoft.com/office/2006/metadata/properties" ma:root="true" ma:fieldsID="eb01d3318fd7e97f9525b7da06e1b3c0" ns3:_="">
    <xsd:import namespace="2f68c8c3-a073-4184-8b07-8a4d312582c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8c8c3-a073-4184-8b07-8a4d31258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7C3E-6193-468F-8589-3572B7435CA6}">
  <ds:schemaRefs>
    <ds:schemaRef ds:uri="http://schemas.microsoft.com/office/2006/metadata/properties"/>
    <ds:schemaRef ds:uri="http://schemas.microsoft.com/office/infopath/2007/PartnerControls"/>
    <ds:schemaRef ds:uri="2f68c8c3-a073-4184-8b07-8a4d312582c2"/>
  </ds:schemaRefs>
</ds:datastoreItem>
</file>

<file path=customXml/itemProps2.xml><?xml version="1.0" encoding="utf-8"?>
<ds:datastoreItem xmlns:ds="http://schemas.openxmlformats.org/officeDocument/2006/customXml" ds:itemID="{5DBA5105-CE39-460E-B290-79924928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8c8c3-a073-4184-8b07-8a4d31258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946A0-5F81-4CFC-902B-CDAF8D121422}">
  <ds:schemaRefs>
    <ds:schemaRef ds:uri="http://schemas.microsoft.com/sharepoint/v3/contenttype/forms"/>
  </ds:schemaRefs>
</ds:datastoreItem>
</file>

<file path=customXml/itemProps4.xml><?xml version="1.0" encoding="utf-8"?>
<ds:datastoreItem xmlns:ds="http://schemas.openxmlformats.org/officeDocument/2006/customXml" ds:itemID="{3A4009F2-4238-473F-AD6A-2B1CC84A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TotalTime>
  <Pages>10</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9</cp:revision>
  <cp:lastPrinted>1999-07-06T11:00:00Z</cp:lastPrinted>
  <dcterms:created xsi:type="dcterms:W3CDTF">2025-03-08T05:42:00Z</dcterms:created>
  <dcterms:modified xsi:type="dcterms:W3CDTF">2025-03-11T07:11:00Z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0x01010051FBC4CB39160248A476F45BB3F90373</vt:lpwstr>
  </property>
</Properties>
</file>