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B699F" w14:textId="77777777" w:rsidR="00754C9A" w:rsidRDefault="00754C9A" w:rsidP="00441B6F">
      <w:pPr>
        <w:pStyle w:val="Title"/>
        <w:spacing w:after="0"/>
        <w:jc w:val="both"/>
        <w:rPr>
          <w:rFonts w:ascii="Arial" w:hAnsi="Arial" w:cs="Arial"/>
        </w:rPr>
      </w:pPr>
    </w:p>
    <w:p w14:paraId="38AFE722" w14:textId="26DD4F08" w:rsidR="00163BC4" w:rsidRPr="000973C4" w:rsidRDefault="002671B6" w:rsidP="00441B6F">
      <w:pPr>
        <w:pStyle w:val="Author"/>
        <w:spacing w:line="240" w:lineRule="auto"/>
        <w:rPr>
          <w:rFonts w:ascii="Arial" w:hAnsi="Arial" w:cs="Arial"/>
          <w:bCs/>
          <w:iCs/>
          <w:kern w:val="28"/>
          <w:sz w:val="36"/>
        </w:rPr>
      </w:pPr>
      <w:r w:rsidRPr="000973C4">
        <w:rPr>
          <w:rFonts w:ascii="Arial" w:hAnsi="Arial" w:cs="Arial"/>
          <w:bCs/>
          <w:iCs/>
          <w:kern w:val="28"/>
          <w:sz w:val="36"/>
        </w:rPr>
        <w:t xml:space="preserve">Prediction of Radiotherapy Dose Distribution for Glioblastoma Using Convolutional Neural Network Model </w:t>
      </w:r>
    </w:p>
    <w:p w14:paraId="4F42CC2E" w14:textId="77777777" w:rsidR="00A258C3" w:rsidRPr="000973C4" w:rsidRDefault="00A258C3" w:rsidP="00441B6F">
      <w:pPr>
        <w:pStyle w:val="Author"/>
        <w:spacing w:line="240" w:lineRule="auto"/>
        <w:jc w:val="both"/>
        <w:rPr>
          <w:rFonts w:ascii="Arial" w:hAnsi="Arial" w:cs="Arial"/>
          <w:sz w:val="36"/>
        </w:rPr>
      </w:pPr>
    </w:p>
    <w:p w14:paraId="10210EF9" w14:textId="77777777" w:rsidR="00790ADA" w:rsidRPr="000973C4" w:rsidRDefault="00790ADA" w:rsidP="00441B6F">
      <w:pPr>
        <w:pStyle w:val="Affiliation"/>
        <w:spacing w:after="0" w:line="240" w:lineRule="auto"/>
        <w:jc w:val="both"/>
        <w:rPr>
          <w:rFonts w:ascii="Arial" w:hAnsi="Arial" w:cs="Arial"/>
        </w:rPr>
      </w:pPr>
    </w:p>
    <w:p w14:paraId="698DCB59" w14:textId="77777777" w:rsidR="00330EF9" w:rsidRPr="000973C4" w:rsidRDefault="00330EF9" w:rsidP="00441B6F">
      <w:pPr>
        <w:pStyle w:val="Affiliation"/>
        <w:spacing w:after="0" w:line="240" w:lineRule="auto"/>
        <w:jc w:val="both"/>
        <w:rPr>
          <w:rFonts w:ascii="Arial" w:hAnsi="Arial" w:cs="Arial"/>
        </w:rPr>
      </w:pPr>
    </w:p>
    <w:p w14:paraId="5BECF104" w14:textId="77777777" w:rsidR="00330EF9" w:rsidRPr="000973C4" w:rsidRDefault="00330EF9" w:rsidP="00441B6F">
      <w:pPr>
        <w:pStyle w:val="Affiliation"/>
        <w:spacing w:after="0" w:line="240" w:lineRule="auto"/>
        <w:jc w:val="both"/>
        <w:rPr>
          <w:rFonts w:ascii="Arial" w:hAnsi="Arial" w:cs="Arial"/>
        </w:rPr>
      </w:pPr>
    </w:p>
    <w:p w14:paraId="5F481C07" w14:textId="77777777" w:rsidR="002C57D2" w:rsidRPr="000973C4" w:rsidRDefault="002C57D2" w:rsidP="00441B6F">
      <w:pPr>
        <w:pStyle w:val="Affiliation"/>
        <w:spacing w:after="0" w:line="240" w:lineRule="auto"/>
        <w:jc w:val="both"/>
        <w:rPr>
          <w:rFonts w:ascii="Arial" w:hAnsi="Arial" w:cs="Arial"/>
        </w:rPr>
      </w:pPr>
    </w:p>
    <w:p w14:paraId="6C6833DF" w14:textId="0F6A42E4" w:rsidR="00B01FCD" w:rsidRPr="000973C4" w:rsidRDefault="008736D4" w:rsidP="00441B6F">
      <w:pPr>
        <w:pStyle w:val="Copyright"/>
        <w:spacing w:after="0" w:line="240" w:lineRule="auto"/>
        <w:jc w:val="both"/>
        <w:rPr>
          <w:rFonts w:ascii="Arial" w:hAnsi="Arial" w:cs="Arial"/>
        </w:rPr>
        <w:sectPr w:rsidR="00B01FCD" w:rsidRPr="000973C4" w:rsidSect="00330EF9">
          <w:headerReference w:type="even" r:id="rId8"/>
          <w:headerReference w:type="default" r:id="rId9"/>
          <w:headerReference w:type="first" r:id="rId10"/>
          <w:pgSz w:w="12240" w:h="15840" w:code="1"/>
          <w:pgMar w:top="1440" w:right="2016" w:bottom="2016" w:left="2016" w:header="720" w:footer="1296" w:gutter="0"/>
          <w:cols w:space="720"/>
          <w:docGrid w:linePitch="272"/>
        </w:sectPr>
      </w:pPr>
      <w:r w:rsidRPr="000973C4">
        <w:rPr>
          <w:rFonts w:ascii="Arial" w:hAnsi="Arial" w:cs="Arial"/>
          <w:noProof/>
        </w:rPr>
        <mc:AlternateContent>
          <mc:Choice Requires="wps">
            <w:drawing>
              <wp:inline distT="0" distB="0" distL="0" distR="0" wp14:anchorId="04A75E92" wp14:editId="52EDFF5C">
                <wp:extent cx="5303520" cy="635"/>
                <wp:effectExtent l="13335" t="13335" r="17145" b="15240"/>
                <wp:docPr id="95078313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D169B8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0973C4">
        <w:rPr>
          <w:rFonts w:ascii="Arial" w:hAnsi="Arial" w:cs="Arial"/>
        </w:rPr>
        <w:t>.</w:t>
      </w:r>
    </w:p>
    <w:p w14:paraId="749AF176" w14:textId="1366CC48" w:rsidR="00B01FCD" w:rsidRPr="000973C4" w:rsidRDefault="00B01FCD" w:rsidP="009656D1">
      <w:pPr>
        <w:pStyle w:val="Heading1"/>
      </w:pPr>
      <w:r w:rsidRPr="000973C4">
        <w:t>ABSTRACT</w:t>
      </w:r>
      <w:r w:rsidR="0066510A" w:rsidRPr="000973C4">
        <w:t xml:space="preserve">  </w:t>
      </w:r>
    </w:p>
    <w:p w14:paraId="772E3B04" w14:textId="77777777" w:rsidR="00790ADA" w:rsidRPr="000973C4"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0973C4" w14:paraId="1F50CEFD" w14:textId="77777777" w:rsidTr="001E44FE">
        <w:tc>
          <w:tcPr>
            <w:tcW w:w="9576" w:type="dxa"/>
            <w:shd w:val="clear" w:color="auto" w:fill="F2F2F2"/>
          </w:tcPr>
          <w:p w14:paraId="01641E1F" w14:textId="7BA98FB7" w:rsidR="00BA1B01" w:rsidRPr="000973C4" w:rsidRDefault="00BA1B01" w:rsidP="00441B6F">
            <w:pPr>
              <w:pStyle w:val="Body"/>
              <w:spacing w:after="0"/>
              <w:rPr>
                <w:rFonts w:ascii="Arial" w:eastAsia="Calibri" w:hAnsi="Arial" w:cs="Arial"/>
                <w:szCs w:val="22"/>
              </w:rPr>
            </w:pPr>
            <w:r w:rsidRPr="000973C4">
              <w:rPr>
                <w:rFonts w:ascii="Arial" w:eastAsia="Calibri" w:hAnsi="Arial" w:cs="Arial"/>
                <w:b/>
                <w:szCs w:val="22"/>
              </w:rPr>
              <w:t xml:space="preserve">Aims: </w:t>
            </w:r>
            <w:r w:rsidR="00AF1025" w:rsidRPr="000973C4">
              <w:rPr>
                <w:rFonts w:ascii="Arial" w:eastAsia="Calibri" w:hAnsi="Arial" w:cs="Arial"/>
                <w:szCs w:val="22"/>
              </w:rPr>
              <w:t>This study aims to predict radiotherapy dose distribution for glioblastoma patients using Machine Learning with a Convolutional Neural Network (CNN) model.</w:t>
            </w:r>
          </w:p>
          <w:p w14:paraId="78E43704" w14:textId="1FD23F2C" w:rsidR="00BA1B01" w:rsidRPr="000973C4" w:rsidRDefault="00BA1B01" w:rsidP="00441B6F">
            <w:pPr>
              <w:pStyle w:val="Body"/>
              <w:spacing w:after="0"/>
              <w:rPr>
                <w:rFonts w:ascii="Arial" w:eastAsia="Calibri" w:hAnsi="Arial" w:cs="Arial"/>
                <w:szCs w:val="22"/>
              </w:rPr>
            </w:pPr>
            <w:r w:rsidRPr="000973C4">
              <w:rPr>
                <w:rFonts w:ascii="Arial" w:eastAsia="Calibri" w:hAnsi="Arial" w:cs="Arial"/>
                <w:b/>
                <w:szCs w:val="22"/>
              </w:rPr>
              <w:t>Study design:</w:t>
            </w:r>
            <w:r w:rsidRPr="000973C4">
              <w:rPr>
                <w:rFonts w:ascii="Arial" w:eastAsia="Calibri" w:hAnsi="Arial" w:cs="Arial"/>
                <w:szCs w:val="22"/>
              </w:rPr>
              <w:t xml:space="preserve">  </w:t>
            </w:r>
            <w:r w:rsidR="006E5CC3" w:rsidRPr="000973C4">
              <w:rPr>
                <w:rFonts w:ascii="Arial" w:eastAsia="Calibri" w:hAnsi="Arial" w:cs="Arial"/>
                <w:szCs w:val="22"/>
              </w:rPr>
              <w:t>This research used an experimental design with a quantitative approach to predict radiotherapy dose distribution for glioblastoma patients using a CNN model. The study involved training and testing the CNN model on medical imaging data from The Cancer Imaging Archive (TCIA), evaluating its performance based on Mean Squared Error (MSE), Root Mean Squared Error (RMSE), Structural Similarity Index Measure (SSIM)</w:t>
            </w:r>
            <w:r w:rsidR="00831F7D" w:rsidRPr="000973C4">
              <w:rPr>
                <w:rFonts w:ascii="Arial" w:eastAsia="Calibri" w:hAnsi="Arial" w:cs="Arial"/>
                <w:szCs w:val="22"/>
              </w:rPr>
              <w:t xml:space="preserve">, </w:t>
            </w:r>
            <w:r w:rsidR="00831F7D" w:rsidRPr="000973C4">
              <w:rPr>
                <w:rFonts w:ascii="Arial" w:hAnsi="Arial" w:cs="Arial"/>
              </w:rPr>
              <w:t xml:space="preserve">Dice Similarity Coefficient </w:t>
            </w:r>
            <w:r w:rsidR="00831F7D" w:rsidRPr="000973C4">
              <w:rPr>
                <w:rFonts w:ascii="Arial" w:eastAsia="Calibri" w:hAnsi="Arial" w:cs="Arial"/>
                <w:szCs w:val="22"/>
              </w:rPr>
              <w:t xml:space="preserve">(DSC), </w:t>
            </w:r>
            <w:r w:rsidR="00831F7D" w:rsidRPr="000973C4">
              <w:rPr>
                <w:rFonts w:ascii="Arial" w:hAnsi="Arial" w:cs="Arial"/>
              </w:rPr>
              <w:t xml:space="preserve">Peak Signal to Noise Ratio </w:t>
            </w:r>
            <w:r w:rsidR="00831F7D" w:rsidRPr="000973C4">
              <w:rPr>
                <w:rFonts w:ascii="Arial" w:eastAsia="Calibri" w:hAnsi="Arial" w:cs="Arial"/>
                <w:szCs w:val="22"/>
              </w:rPr>
              <w:t xml:space="preserve">(PSNR), </w:t>
            </w:r>
            <w:r w:rsidR="00831F7D" w:rsidRPr="000973C4">
              <w:rPr>
                <w:rFonts w:ascii="Arial" w:hAnsi="Arial" w:cs="Arial"/>
              </w:rPr>
              <w:t xml:space="preserve">Normalized Cross-Correlation </w:t>
            </w:r>
            <w:r w:rsidR="00831F7D" w:rsidRPr="000973C4">
              <w:rPr>
                <w:rFonts w:ascii="Arial" w:eastAsia="Calibri" w:hAnsi="Arial" w:cs="Arial"/>
                <w:szCs w:val="22"/>
              </w:rPr>
              <w:t>(NCC)</w:t>
            </w:r>
            <w:r w:rsidR="006E5CC3" w:rsidRPr="000973C4">
              <w:rPr>
                <w:rFonts w:ascii="Arial" w:eastAsia="Calibri" w:hAnsi="Arial" w:cs="Arial"/>
                <w:szCs w:val="22"/>
              </w:rPr>
              <w:t>. The results were analyzed to determine the model’s accuracy in replicating actual dose distributions, providing a data-driven assessment of its predictive capability.</w:t>
            </w:r>
          </w:p>
          <w:p w14:paraId="661F97A7" w14:textId="3F439B5D" w:rsidR="00BA1B01" w:rsidRPr="000973C4" w:rsidRDefault="00BA1B01" w:rsidP="00441B6F">
            <w:pPr>
              <w:pStyle w:val="Body"/>
              <w:spacing w:after="0"/>
              <w:rPr>
                <w:rFonts w:ascii="Arial" w:eastAsia="Calibri" w:hAnsi="Arial" w:cs="Arial"/>
                <w:szCs w:val="22"/>
              </w:rPr>
            </w:pPr>
            <w:r w:rsidRPr="000973C4">
              <w:rPr>
                <w:rFonts w:ascii="Arial" w:eastAsia="Calibri" w:hAnsi="Arial" w:cs="Arial"/>
                <w:b/>
                <w:szCs w:val="22"/>
              </w:rPr>
              <w:t>Place and Duration of Study:</w:t>
            </w:r>
            <w:r w:rsidRPr="000973C4">
              <w:rPr>
                <w:rFonts w:ascii="Arial" w:eastAsia="Calibri" w:hAnsi="Arial" w:cs="Arial"/>
                <w:szCs w:val="22"/>
              </w:rPr>
              <w:t xml:space="preserve"> </w:t>
            </w:r>
            <w:r w:rsidR="00AF1025" w:rsidRPr="000973C4">
              <w:rPr>
                <w:rFonts w:ascii="Arial" w:eastAsia="Calibri" w:hAnsi="Arial" w:cs="Arial"/>
                <w:szCs w:val="22"/>
              </w:rPr>
              <w:t xml:space="preserve">This research was conducted in the Department of Physics at Udayana University from October 2024 to </w:t>
            </w:r>
            <w:r w:rsidR="00FE0DC2" w:rsidRPr="000973C4">
              <w:rPr>
                <w:rFonts w:ascii="Arial" w:eastAsia="Calibri" w:hAnsi="Arial" w:cs="Arial"/>
                <w:szCs w:val="22"/>
              </w:rPr>
              <w:t>January</w:t>
            </w:r>
            <w:r w:rsidR="00AF1025" w:rsidRPr="000973C4">
              <w:rPr>
                <w:rFonts w:ascii="Arial" w:eastAsia="Calibri" w:hAnsi="Arial" w:cs="Arial"/>
                <w:szCs w:val="22"/>
              </w:rPr>
              <w:t xml:space="preserve"> 2025.</w:t>
            </w:r>
          </w:p>
          <w:p w14:paraId="6509C924" w14:textId="1043F534" w:rsidR="00BA1B01" w:rsidRPr="000973C4" w:rsidRDefault="00BA1B01" w:rsidP="00441B6F">
            <w:pPr>
              <w:pStyle w:val="Body"/>
              <w:spacing w:after="0"/>
              <w:rPr>
                <w:rFonts w:ascii="Arial" w:eastAsia="Calibri" w:hAnsi="Arial" w:cs="Arial"/>
                <w:szCs w:val="22"/>
              </w:rPr>
            </w:pPr>
            <w:r w:rsidRPr="000973C4">
              <w:rPr>
                <w:rFonts w:ascii="Arial" w:eastAsia="Calibri" w:hAnsi="Arial" w:cs="Arial"/>
                <w:b/>
                <w:bCs/>
                <w:szCs w:val="22"/>
              </w:rPr>
              <w:t>Methodology:</w:t>
            </w:r>
            <w:r w:rsidRPr="000973C4">
              <w:rPr>
                <w:rFonts w:ascii="Arial" w:eastAsia="Calibri" w:hAnsi="Arial" w:cs="Arial"/>
                <w:szCs w:val="22"/>
              </w:rPr>
              <w:t xml:space="preserve"> </w:t>
            </w:r>
            <w:r w:rsidR="003B08F3" w:rsidRPr="000973C4">
              <w:rPr>
                <w:rFonts w:ascii="Arial" w:eastAsia="Calibri" w:hAnsi="Arial" w:cs="Arial"/>
                <w:szCs w:val="22"/>
              </w:rPr>
              <w:t xml:space="preserve">The </w:t>
            </w:r>
            <w:r w:rsidR="006E5CC3" w:rsidRPr="000973C4">
              <w:rPr>
                <w:rFonts w:ascii="Arial" w:eastAsia="Calibri" w:hAnsi="Arial" w:cs="Arial"/>
                <w:szCs w:val="22"/>
              </w:rPr>
              <w:t>research involved</w:t>
            </w:r>
            <w:r w:rsidR="003B08F3" w:rsidRPr="000973C4">
              <w:rPr>
                <w:rFonts w:ascii="Arial" w:eastAsia="Calibri" w:hAnsi="Arial" w:cs="Arial"/>
                <w:szCs w:val="22"/>
              </w:rPr>
              <w:t xml:space="preserve"> 180 patient datasets divided into 126 training data and 54 testing data. The CNN architecture is implemented using the Google Collaboratory platform. Model evaluation is </w:t>
            </w:r>
            <w:r w:rsidR="006E5CC3" w:rsidRPr="000973C4">
              <w:rPr>
                <w:rFonts w:ascii="Arial" w:eastAsia="Calibri" w:hAnsi="Arial" w:cs="Arial"/>
                <w:szCs w:val="22"/>
              </w:rPr>
              <w:t>performed</w:t>
            </w:r>
            <w:r w:rsidR="003B08F3" w:rsidRPr="000973C4">
              <w:rPr>
                <w:rFonts w:ascii="Arial" w:eastAsia="Calibri" w:hAnsi="Arial" w:cs="Arial"/>
                <w:szCs w:val="22"/>
              </w:rPr>
              <w:t xml:space="preserve"> using MSE, RMSE, and SSIM to measure the accuracy of dose distribution prediction.</w:t>
            </w:r>
          </w:p>
          <w:p w14:paraId="4376645C" w14:textId="4C80B8A8" w:rsidR="00BA1B01" w:rsidRPr="000973C4" w:rsidRDefault="00BA1B01" w:rsidP="00441B6F">
            <w:pPr>
              <w:pStyle w:val="Body"/>
              <w:spacing w:after="0"/>
              <w:rPr>
                <w:rFonts w:ascii="Arial" w:eastAsia="Calibri" w:hAnsi="Arial" w:cs="Arial"/>
                <w:b/>
                <w:bCs/>
                <w:szCs w:val="22"/>
              </w:rPr>
            </w:pPr>
            <w:r w:rsidRPr="000973C4">
              <w:rPr>
                <w:rFonts w:ascii="Arial" w:eastAsia="Calibri" w:hAnsi="Arial" w:cs="Arial"/>
                <w:b/>
                <w:bCs/>
                <w:szCs w:val="22"/>
              </w:rPr>
              <w:t>Results:</w:t>
            </w:r>
            <w:r w:rsidRPr="000973C4">
              <w:rPr>
                <w:rFonts w:ascii="Arial" w:eastAsia="Calibri" w:hAnsi="Arial" w:cs="Arial"/>
                <w:szCs w:val="22"/>
              </w:rPr>
              <w:t xml:space="preserve"> </w:t>
            </w:r>
            <w:r w:rsidR="003B08F3" w:rsidRPr="000973C4">
              <w:rPr>
                <w:rFonts w:ascii="Arial" w:eastAsia="Calibri" w:hAnsi="Arial" w:cs="Arial"/>
                <w:szCs w:val="22"/>
              </w:rPr>
              <w:t xml:space="preserve">The </w:t>
            </w:r>
            <w:r w:rsidR="00831F7D" w:rsidRPr="000973C4">
              <w:rPr>
                <w:rFonts w:ascii="Arial" w:hAnsi="Arial" w:cs="Arial"/>
              </w:rPr>
              <w:t>MSE, RMSE, SSIM, DSC, PSNR, and NCC</w:t>
            </w:r>
            <w:r w:rsidR="00831F7D" w:rsidRPr="000973C4">
              <w:rPr>
                <w:rFonts w:ascii="Arial" w:eastAsia="Calibri" w:hAnsi="Arial" w:cs="Arial"/>
                <w:szCs w:val="22"/>
              </w:rPr>
              <w:t xml:space="preserve"> </w:t>
            </w:r>
            <w:r w:rsidR="003B08F3" w:rsidRPr="000973C4">
              <w:rPr>
                <w:rFonts w:ascii="Arial" w:eastAsia="Calibri" w:hAnsi="Arial" w:cs="Arial"/>
                <w:szCs w:val="22"/>
              </w:rPr>
              <w:t>values obtained from the CNN model are 0.00015795, 0.01256, 0.979718,</w:t>
            </w:r>
            <w:r w:rsidR="00FF5CD3" w:rsidRPr="000973C4">
              <w:rPr>
                <w:rFonts w:ascii="Arial" w:eastAsia="Calibri" w:hAnsi="Arial" w:cs="Arial"/>
                <w:szCs w:val="22"/>
              </w:rPr>
              <w:t xml:space="preserve"> 0.9711, 32dB, and 0.96289</w:t>
            </w:r>
            <w:r w:rsidR="003B08F3" w:rsidRPr="000973C4">
              <w:rPr>
                <w:rFonts w:ascii="Arial" w:eastAsia="Calibri" w:hAnsi="Arial" w:cs="Arial"/>
                <w:szCs w:val="22"/>
              </w:rPr>
              <w:t xml:space="preserve"> respectively. </w:t>
            </w:r>
            <w:r w:rsidR="00D95A50" w:rsidRPr="000973C4">
              <w:rPr>
                <w:rFonts w:ascii="Arial" w:eastAsia="Calibri" w:hAnsi="Arial" w:cs="Arial"/>
                <w:szCs w:val="22"/>
              </w:rPr>
              <w:t>The low MSE and RMSE values indicate minimal prediction error, while the high SSIM confirms strong structural similarity between the predicted and actual dose maps. The DSC demonstrates excellent spatial overlap, and the high PSNR reflects high-quality dose reconstruction. Additionally, the NCC highlights strong correlation with the ground truth. Visually, the axial, coronal, and sagittal slices closely resemble the actual dose distributions, further validating the model’s accuracy.</w:t>
            </w:r>
          </w:p>
          <w:p w14:paraId="66427A0A" w14:textId="4F7073E5" w:rsidR="00505F06" w:rsidRPr="000973C4" w:rsidRDefault="00BA1B01" w:rsidP="00740819">
            <w:pPr>
              <w:pStyle w:val="Body"/>
              <w:spacing w:after="0"/>
              <w:rPr>
                <w:rFonts w:ascii="Arial" w:eastAsia="Calibri" w:hAnsi="Arial" w:cs="Arial"/>
                <w:szCs w:val="22"/>
              </w:rPr>
            </w:pPr>
            <w:r w:rsidRPr="000973C4">
              <w:rPr>
                <w:rFonts w:ascii="Arial" w:eastAsia="Calibri" w:hAnsi="Arial" w:cs="Arial"/>
                <w:b/>
                <w:bCs/>
                <w:szCs w:val="22"/>
              </w:rPr>
              <w:t>Conclusion:</w:t>
            </w:r>
            <w:r w:rsidRPr="000973C4">
              <w:rPr>
                <w:rFonts w:ascii="Arial" w:eastAsia="Calibri" w:hAnsi="Arial" w:cs="Arial"/>
                <w:szCs w:val="22"/>
              </w:rPr>
              <w:t xml:space="preserve"> </w:t>
            </w:r>
            <w:r w:rsidR="00740819" w:rsidRPr="000973C4">
              <w:rPr>
                <w:rFonts w:ascii="Arial" w:eastAsia="Calibri" w:hAnsi="Arial" w:cs="Arial"/>
                <w:szCs w:val="22"/>
              </w:rPr>
              <w:t>The CNN model demonstrates effectiveness in predicting the dose distribution for glioblastoma radiotherapy, achieving highly accurate evaluation metrics. Visually, the model exhibit patterns highly similar to the actual dose map.</w:t>
            </w:r>
          </w:p>
        </w:tc>
      </w:tr>
    </w:tbl>
    <w:p w14:paraId="7A219553" w14:textId="77777777" w:rsidR="00636EB2" w:rsidRPr="000973C4" w:rsidRDefault="00636EB2" w:rsidP="00441B6F">
      <w:pPr>
        <w:pStyle w:val="Body"/>
        <w:spacing w:after="0"/>
        <w:rPr>
          <w:rFonts w:ascii="Arial" w:hAnsi="Arial" w:cs="Arial"/>
          <w:i/>
        </w:rPr>
      </w:pPr>
    </w:p>
    <w:p w14:paraId="72F1AA31" w14:textId="3D91E704" w:rsidR="0024282C" w:rsidRPr="000973C4" w:rsidRDefault="00A24E7E" w:rsidP="00441B6F">
      <w:pPr>
        <w:pStyle w:val="Body"/>
        <w:spacing w:after="0"/>
        <w:rPr>
          <w:rFonts w:ascii="Arial" w:hAnsi="Arial" w:cs="Arial"/>
          <w:i/>
        </w:rPr>
      </w:pPr>
      <w:r w:rsidRPr="000973C4">
        <w:rPr>
          <w:rFonts w:ascii="Arial" w:hAnsi="Arial" w:cs="Arial"/>
          <w:i/>
        </w:rPr>
        <w:t xml:space="preserve">Keywords: </w:t>
      </w:r>
      <w:r w:rsidR="00740819" w:rsidRPr="000973C4">
        <w:rPr>
          <w:rFonts w:ascii="Arial" w:hAnsi="Arial" w:cs="Arial"/>
          <w:i/>
        </w:rPr>
        <w:t>CNN, Dose Distribution, Glioblastoma, Radiotherapy, Machine Learning</w:t>
      </w:r>
    </w:p>
    <w:p w14:paraId="3C1B1DC0" w14:textId="77777777" w:rsidR="00505F06" w:rsidRPr="000973C4" w:rsidRDefault="00505F06" w:rsidP="00441B6F">
      <w:pPr>
        <w:pStyle w:val="Body"/>
        <w:spacing w:after="0"/>
        <w:rPr>
          <w:rFonts w:ascii="Arial" w:hAnsi="Arial" w:cs="Arial"/>
          <w:i/>
        </w:rPr>
      </w:pPr>
    </w:p>
    <w:p w14:paraId="775123A4" w14:textId="6F06BD3E" w:rsidR="007F7B32" w:rsidRPr="000973C4" w:rsidRDefault="00902823" w:rsidP="009656D1">
      <w:pPr>
        <w:pStyle w:val="Heading1"/>
      </w:pPr>
      <w:r w:rsidRPr="000973C4">
        <w:t xml:space="preserve">1. </w:t>
      </w:r>
      <w:r w:rsidR="00B01FCD" w:rsidRPr="000973C4">
        <w:t>INTRODUCTION</w:t>
      </w:r>
      <w:r w:rsidR="007F7B32" w:rsidRPr="000973C4">
        <w:t xml:space="preserve"> </w:t>
      </w:r>
    </w:p>
    <w:p w14:paraId="01D68C7F" w14:textId="20AD3D4B" w:rsidR="00B01FCD" w:rsidRPr="000973C4" w:rsidRDefault="00B01FCD" w:rsidP="00C42E17">
      <w:pPr>
        <w:pStyle w:val="Body"/>
        <w:spacing w:after="0"/>
        <w:rPr>
          <w:rFonts w:ascii="Arial" w:hAnsi="Arial" w:cs="Arial"/>
        </w:rPr>
      </w:pPr>
    </w:p>
    <w:p w14:paraId="7A9CDC1D" w14:textId="5D97206D" w:rsidR="0058458F" w:rsidRPr="000973C4" w:rsidRDefault="0058458F" w:rsidP="00441B6F">
      <w:pPr>
        <w:pStyle w:val="Body"/>
        <w:spacing w:after="0"/>
        <w:rPr>
          <w:rFonts w:ascii="Arial" w:hAnsi="Arial" w:cs="Arial"/>
        </w:rPr>
      </w:pPr>
      <w:r w:rsidRPr="000973C4">
        <w:rPr>
          <w:rFonts w:ascii="Arial" w:hAnsi="Arial" w:cs="Arial"/>
        </w:rPr>
        <w:t xml:space="preserve">In the human body, the brain functions as one of the most vital organs, aiding in decision-making and controlling all actions. It serves as the central regulator of the nervous system and must be protected from all types of diseases </w:t>
      </w:r>
      <w:r w:rsidR="006E00A8" w:rsidRPr="000973C4">
        <w:rPr>
          <w:rFonts w:ascii="Arial" w:hAnsi="Arial" w:cs="Arial"/>
        </w:rPr>
        <w:fldChar w:fldCharType="begin" w:fldLock="1"/>
      </w:r>
      <w:r w:rsidR="006E00A8" w:rsidRPr="000973C4">
        <w:rPr>
          <w:rFonts w:ascii="Arial" w:hAnsi="Arial" w:cs="Arial"/>
        </w:rPr>
        <w:instrText>ADDIN CSL_CITATION {"citationItems":[{"id":"ITEM-1","itemData":{"DOI":"10.1007/s42979-023-02360-5","ISBN":"0123456789","ISSN":"26618907","abstract":"Brain cancer is a disease of the brain caused by a brain tumor. A brain tumor is the development of cells in the brain that grow in an unregulated and unnatural manner. Patients may suffer irreversible brain damage or even death if these tumors are not detected and treated properly. As with all types of treatment, Positional information and tumor size are critical for conventional systems. Thus, establishing a meticulous and automated approach to providing information to medical practitioners is required. With machine learning, deep learning, and several imaging modalities, physicians may now more reliably detect tumor types in a shorter period. The paper aims to provide an overview of newly developed systems that use machine learning and deep learning approaches to analyze various medical imaging modalities in the case of diagnosing brain tumors. Datasets used by the authors, dataset partitioning strategies, and different performance evaluation matrices are also described in this paper. To better understand the policy of categorization, we propose a taxonomy here where we have categorized deep learning and machine learning based systems with respect to single classifier, multiple classifiers, single dataset and multiple dataset. Finally, we focus on the challenges of deep learning algorithms for brain tumor classification and possible future trends in this field.","author":[{"dropping-particle":"","family":"Saha","given":"Prottoy","non-dropping-particle":"","parse-names":false,"suffix":""},{"dropping-particle":"","family":"Das","given":"Shanta Kumar","non-dropping-particle":"","parse-names":false,"suffix":""},{"dropping-particle":"","family":"Das","given":"Rudra","non-dropping-particle":"","parse-names":false,"suffix":""}],"container-title":"SN Computer Science","id":"ITEM-1","issue":"1","issued":{"date-parts":[["2024"]]},"publisher":"Springer Nature Singapore","title":"A Review on Machine Learning and Deep Learning Based Systems for the Diagnosis of Brain Cancer","type":"article-journal","volume":"5"},"uris":["http://www.mendeley.com/documents/?uuid=48b52fe9-397b-4e30-82d5-a72113dc890e"]}],"mendeley":{"formattedCitation":"(Saha et al., 2024)","plainTextFormattedCitation":"(Saha et al., 2024)","previouslyFormattedCitation":"(Saha et al., 2024)"},"properties":{"noteIndex":0},"schema":"https://github.com/citation-style-language/schema/raw/master/csl-citation.json"}</w:instrText>
      </w:r>
      <w:r w:rsidR="006E00A8" w:rsidRPr="000973C4">
        <w:rPr>
          <w:rFonts w:ascii="Arial" w:hAnsi="Arial" w:cs="Arial"/>
        </w:rPr>
        <w:fldChar w:fldCharType="separate"/>
      </w:r>
      <w:r w:rsidR="006E00A8" w:rsidRPr="000973C4">
        <w:rPr>
          <w:rFonts w:ascii="Arial" w:hAnsi="Arial" w:cs="Arial"/>
          <w:noProof/>
        </w:rPr>
        <w:t>(Saha et al., 2024)</w:t>
      </w:r>
      <w:r w:rsidR="006E00A8" w:rsidRPr="000973C4">
        <w:rPr>
          <w:rFonts w:ascii="Arial" w:hAnsi="Arial" w:cs="Arial"/>
        </w:rPr>
        <w:fldChar w:fldCharType="end"/>
      </w:r>
      <w:r w:rsidRPr="000973C4">
        <w:rPr>
          <w:rFonts w:ascii="Arial" w:hAnsi="Arial" w:cs="Arial"/>
        </w:rPr>
        <w:t xml:space="preserve">. </w:t>
      </w:r>
      <w:r w:rsidR="00706896" w:rsidRPr="000973C4">
        <w:rPr>
          <w:rFonts w:ascii="Arial" w:hAnsi="Arial" w:cs="Arial"/>
        </w:rPr>
        <w:t xml:space="preserve">Due to the increase in the number and aging of the world's population, the incidence of brain cancer has increased. Glioblastoma is one of the deadliest diseases worldwide </w:t>
      </w:r>
      <w:r w:rsidR="006E00A8" w:rsidRPr="000973C4">
        <w:rPr>
          <w:rFonts w:ascii="Arial" w:hAnsi="Arial" w:cs="Arial"/>
        </w:rPr>
        <w:fldChar w:fldCharType="begin" w:fldLock="1"/>
      </w:r>
      <w:r w:rsidR="002D476B" w:rsidRPr="000973C4">
        <w:rPr>
          <w:rFonts w:ascii="Arial" w:hAnsi="Arial" w:cs="Arial"/>
        </w:rPr>
        <w:instrText>ADDIN CSL_CITATION {"citationItems":[{"id":"ITEM-1","itemData":{"DOI":"10.1007/s42979-023-02308-9","ISBN":"0123456789","ISSN":"26618907","abstract":"The growth of abnormal cells in the brain gives rise to a deadly form of cancer known as a brain tumor. The mass of brain tumors proliferates and rises very fast, and if not appropriately treated, the patient’s survival rate is less or can rapidly lead to death. A very exigent task for radiologists is early brain tumor detection which may help to evaluate the tumor and plan treatment for an effective prognosis. In this work, we used deep learning to detect and localize brain tumors from MRI slices. After the detection of the tumor, we generate a color heatmap to show the tumor’s location, severity, and possible affected regions. Our novel image processing algorithm swiftly segments the skull region from the background of MR images, augmented over heatmap for better observation. We analyzed the performance of VGG 16, Resnet 50, and EfficientNet deep learning architectures. Transfer learning on Resnet 50 model with custom top layers achieved excellent performance with 99.37% accuracy, 99.68% precision, and 99.69% specificity, which is better than most of the works in brain tumor detection using machine learning. Expert radiologists critically examined our model outcomes in detail. They found our method effective to triage people with brain tumors and helpful in decision making for the clinicians by severity indication through heatmaps. They observed the prime cause for false positives to be unbalanced contrast in some MR images. Through this work, we also made the novel dataset named as JMCD (Jabalpur Medical College Dataset) publicly available for research which contains all four MR pulse sequences annotated by expert radiologists for 140 patients. Each patient has 15–20 sequences containing 250 images. Through this work and accompanying data, we aim to give better methods for brain tumor detection and help research in the same field.","author":[{"dropping-particle":"","family":"Verma","given":"Aryan","non-dropping-particle":"","parse-names":false,"suffix":""},{"dropping-particle":"","family":"Gupta","given":"Nidhi","non-dropping-particle":"","parse-names":false,"suffix":""},{"dropping-particle":"","family":"Bhatele","given":"Pushpraj","non-dropping-particle":"","parse-names":false,"suffix":""},{"dropping-particle":"","family":"Khanna","given":"Pritee","non-dropping-particle":"","parse-names":false,"suffix":""}],"container-title":"SN Computer Science","id":"ITEM-1","issue":"6","issued":{"date-parts":[["2023"]]},"publisher":"Springer Nature Singapore","title":"JMCD Dataset for Brain Tumor Detection and Analysis Using Explainable Deep Learning","type":"article-journal","volume":"4"},"uris":["http://www.mendeley.com/documents/?uuid=ec1ef004-4853-441d-872f-4bc9a969b674"]}],"mendeley":{"formattedCitation":"(Verma et al., 2023)","plainTextFormattedCitation":"(Verma et al., 2023)","previouslyFormattedCitation":"(Verma et al., 2023)"},"properties":{"noteIndex":0},"schema":"https://github.com/citation-style-language/schema/raw/master/csl-citation.json"}</w:instrText>
      </w:r>
      <w:r w:rsidR="006E00A8" w:rsidRPr="000973C4">
        <w:rPr>
          <w:rFonts w:ascii="Arial" w:hAnsi="Arial" w:cs="Arial"/>
        </w:rPr>
        <w:fldChar w:fldCharType="separate"/>
      </w:r>
      <w:r w:rsidR="006E00A8" w:rsidRPr="000973C4">
        <w:rPr>
          <w:rFonts w:ascii="Arial" w:hAnsi="Arial" w:cs="Arial"/>
          <w:noProof/>
        </w:rPr>
        <w:t>(Verma et al., 2023)</w:t>
      </w:r>
      <w:r w:rsidR="006E00A8" w:rsidRPr="000973C4">
        <w:rPr>
          <w:rFonts w:ascii="Arial" w:hAnsi="Arial" w:cs="Arial"/>
        </w:rPr>
        <w:fldChar w:fldCharType="end"/>
      </w:r>
      <w:r w:rsidRPr="000973C4">
        <w:rPr>
          <w:rFonts w:ascii="Arial" w:hAnsi="Arial" w:cs="Arial"/>
        </w:rPr>
        <w:t>. Brain cancer is a mass that arises from the uncontrolled proliferation of brain cells and the loss of the brain's regulatory system</w:t>
      </w:r>
      <w:r w:rsidR="001B552B" w:rsidRPr="000973C4">
        <w:rPr>
          <w:rFonts w:ascii="Arial" w:hAnsi="Arial" w:cs="Arial"/>
        </w:rPr>
        <w:t xml:space="preserve"> </w:t>
      </w:r>
      <w:r w:rsidR="001B552B" w:rsidRPr="000973C4">
        <w:rPr>
          <w:rFonts w:ascii="Arial" w:hAnsi="Arial" w:cs="Arial"/>
        </w:rPr>
        <w:fldChar w:fldCharType="begin" w:fldLock="1"/>
      </w:r>
      <w:r w:rsidR="001B552B" w:rsidRPr="000973C4">
        <w:rPr>
          <w:rFonts w:ascii="Arial" w:hAnsi="Arial" w:cs="Arial"/>
        </w:rPr>
        <w:instrText>ADDIN CSL_CITATION {"citationItems":[{"id":"ITEM-1","itemData":{"DOI":"10.1002/jemt.23597","ISSN":"10970029","PMID":"32959422","abstract":"Brain tumor is one of the most dreadful natures of cancer and caused a huge number of deaths among kids and adults from the past few years. According to WHO standard, the 700,000 humans are being with a brain tumor and around 86,000 are diagnosed since 2019. While the total number of deaths due to brain tumors is 16,830 since 2019 and the average survival rate is 35%. Therefore, automated techniques are needed to grade brain tumors precisely from MRI scans. In this work, a new deep learning-based method is proposed for microscopic brain tumor detection and tumor type classification. A 3D convolutional neural network (CNN) architecture is designed at the first step to extract brain tumor and extracted tumors are passed to a pretrained CNN model for feature extraction. The extracted features are transferred to the correlation-based selection method and as the output, the best features are selected. These selected features are validated through feed-forward neural network for final classification. Three BraTS datasets 2015, 2017, and 2018 are utilized for experiments, validation, and accomplished an accuracy of 98.32, 96.97, and 92.67%, respectively. A comparison with existing techniques shows the proposed design yields comparable accuracy.","author":[{"dropping-particle":"","family":"Rehman","given":"Amjad","non-dropping-particle":"","parse-names":false,"suffix":""},{"dropping-particle":"","family":"Khan","given":"Muhammad Attique","non-dropping-particle":"","parse-names":false,"suffix":""},{"dropping-particle":"","family":"Saba","given":"Tanzila","non-dropping-particle":"","parse-names":false,"suffix":""},{"dropping-particle":"","family":"Mehmood","given":"Zahid","non-dropping-particle":"","parse-names":false,"suffix":""},{"dropping-particle":"","family":"Tariq","given":"Usman","non-dropping-particle":"","parse-names":false,"suffix":""},{"dropping-particle":"","family":"Ayesha","given":"Noor","non-dropping-particle":"","parse-names":false,"suffix":""}],"container-title":"Microscopy Research and Technique","id":"ITEM-1","issue":"1","issued":{"date-parts":[["2021"]]},"page":"133-149","title":"Microscopic brain tumor detection and classification using 3D CNN and feature selection architecture","type":"article-journal","volume":"84"},"uris":["http://www.mendeley.com/documents/?uuid=3b89487f-9337-4104-b4e8-106684b81593"]}],"mendeley":{"formattedCitation":"(Rehman et al., 2021)","plainTextFormattedCitation":"(Rehman et al., 2021)","previouslyFormattedCitation":"(Rehman et al., 2021)"},"properties":{"noteIndex":0},"schema":"https://github.com/citation-style-language/schema/raw/master/csl-citation.json"}</w:instrText>
      </w:r>
      <w:r w:rsidR="001B552B" w:rsidRPr="000973C4">
        <w:rPr>
          <w:rFonts w:ascii="Arial" w:hAnsi="Arial" w:cs="Arial"/>
        </w:rPr>
        <w:fldChar w:fldCharType="separate"/>
      </w:r>
      <w:r w:rsidR="001B552B" w:rsidRPr="000973C4">
        <w:rPr>
          <w:rFonts w:ascii="Arial" w:hAnsi="Arial" w:cs="Arial"/>
          <w:noProof/>
        </w:rPr>
        <w:t>(Rehman et al., 2021)</w:t>
      </w:r>
      <w:r w:rsidR="001B552B" w:rsidRPr="000973C4">
        <w:rPr>
          <w:rFonts w:ascii="Arial" w:hAnsi="Arial" w:cs="Arial"/>
        </w:rPr>
        <w:fldChar w:fldCharType="end"/>
      </w:r>
      <w:r w:rsidRPr="000973C4">
        <w:rPr>
          <w:rFonts w:ascii="Arial" w:hAnsi="Arial" w:cs="Arial"/>
        </w:rPr>
        <w:t xml:space="preserve">. </w:t>
      </w:r>
      <w:r w:rsidR="001B552B" w:rsidRPr="000973C4">
        <w:rPr>
          <w:rFonts w:ascii="Arial" w:hAnsi="Arial" w:cs="Arial"/>
        </w:rPr>
        <w:t xml:space="preserve">Approximately 1 million individuals in the United States are currently living with a primary brain tumor </w:t>
      </w:r>
      <w:r w:rsidR="009E71A3" w:rsidRPr="000973C4">
        <w:rPr>
          <w:rFonts w:ascii="Arial" w:hAnsi="Arial" w:cs="Arial"/>
        </w:rPr>
        <w:fldChar w:fldCharType="begin" w:fldLock="1"/>
      </w:r>
      <w:r w:rsidR="009E71A3" w:rsidRPr="000973C4">
        <w:rPr>
          <w:rFonts w:ascii="Arial" w:hAnsi="Arial" w:cs="Arial"/>
        </w:rPr>
        <w:instrText>ADDIN CSL_CITATION {"citationItems":[{"id":"ITEM-1","itemData":{"URL":"https://braintumor.org/brain-tumors/about-brain-tumors/brain-tumor-facts/","accessed":{"date-parts":[["2025","3","2"]]},"author":[{"dropping-particle":"","family":"National Brain Tumor Society","given":"","non-dropping-particle":"","parse-names":false,"suffix":""}],"id":"ITEM-1","issued":{"date-parts":[["2024"]]},"title":"Brain Tumor Facts","type":"webpage"},"uris":["http://www.mendeley.com/documents/?uuid=7aa4bdd5-e4fc-4459-abc0-c1520ad68f99"]}],"mendeley":{"formattedCitation":"(National Brain Tumor Society, 2024)","plainTextFormattedCitation":"(National Brain Tumor Society, 2024)","previouslyFormattedCitation":"(National Brain Tumor Society, 2024)"},"properties":{"noteIndex":0},"schema":"https://github.com/citation-style-language/schema/raw/master/csl-citation.json"}</w:instrText>
      </w:r>
      <w:r w:rsidR="009E71A3" w:rsidRPr="000973C4">
        <w:rPr>
          <w:rFonts w:ascii="Arial" w:hAnsi="Arial" w:cs="Arial"/>
        </w:rPr>
        <w:fldChar w:fldCharType="separate"/>
      </w:r>
      <w:r w:rsidR="009E71A3" w:rsidRPr="000973C4">
        <w:rPr>
          <w:rFonts w:ascii="Arial" w:hAnsi="Arial" w:cs="Arial"/>
          <w:noProof/>
        </w:rPr>
        <w:t>(National Brain Tumor Society, 2024)</w:t>
      </w:r>
      <w:r w:rsidR="009E71A3" w:rsidRPr="000973C4">
        <w:rPr>
          <w:rFonts w:ascii="Arial" w:hAnsi="Arial" w:cs="Arial"/>
        </w:rPr>
        <w:fldChar w:fldCharType="end"/>
      </w:r>
      <w:r w:rsidRPr="000973C4">
        <w:rPr>
          <w:rFonts w:ascii="Arial" w:hAnsi="Arial" w:cs="Arial"/>
        </w:rPr>
        <w:t xml:space="preserve">. </w:t>
      </w:r>
      <w:r w:rsidR="009E71A3" w:rsidRPr="000973C4">
        <w:rPr>
          <w:rFonts w:ascii="Arial" w:hAnsi="Arial" w:cs="Arial"/>
        </w:rPr>
        <w:t xml:space="preserve">In 2023, approximately 24,810 new cases of brain cancer were diagnosed in the United States, with an estimated 18,990 </w:t>
      </w:r>
      <w:r w:rsidR="009E71A3" w:rsidRPr="000973C4">
        <w:rPr>
          <w:rFonts w:ascii="Arial" w:hAnsi="Arial" w:cs="Arial"/>
        </w:rPr>
        <w:lastRenderedPageBreak/>
        <w:t xml:space="preserve">related fatalities </w:t>
      </w:r>
      <w:r w:rsidR="009E71A3" w:rsidRPr="000973C4">
        <w:rPr>
          <w:rFonts w:ascii="Arial" w:hAnsi="Arial" w:cs="Arial"/>
        </w:rPr>
        <w:fldChar w:fldCharType="begin" w:fldLock="1"/>
      </w:r>
      <w:r w:rsidR="009E71A3" w:rsidRPr="000973C4">
        <w:rPr>
          <w:rFonts w:ascii="Arial" w:hAnsi="Arial" w:cs="Arial"/>
        </w:rPr>
        <w:instrText>ADDIN CSL_CITATION {"citationItems":[{"id":"ITEM-1","itemData":{"DOI":"10.3322/caac.21763","ISSN":"0007-9235","PMID":"36633525","abstract":"Each year, the American Cancer Society estimates the numbers of new cancer cases and deaths in the United States and compiles the most recent data on population</w:instrText>
      </w:r>
      <w:r w:rsidR="009E71A3" w:rsidRPr="000973C4">
        <w:rPr>
          <w:rFonts w:ascii="Cambria Math" w:hAnsi="Cambria Math" w:cs="Cambria Math"/>
        </w:rPr>
        <w:instrText>‐</w:instrText>
      </w:r>
      <w:r w:rsidR="009E71A3" w:rsidRPr="000973C4">
        <w:rPr>
          <w:rFonts w:ascii="Arial" w:hAnsi="Arial" w:cs="Arial"/>
        </w:rPr>
        <w:instrText>based cancer occurrence and outcomes using incidence data collected by central cancer registries and mortality data collected by the National Center for Health Statistics. In 2023, 1,958,310 new cancer cases and 609,820 cancer deaths are projected to occur in the United States. Cancer incidence increased for prostate cancer by 3% annually from 2014 through 2019 after two decades of decline, translating to an additional 99,000 new cases; otherwise, however, incidence trends were more favorable in men compared to women. For example, lung cancer in women decreased at one half the pace of men (1.1% vs. 2.6% annually) from 2015 through 2019, and breast and uterine corpus cancers continued to increase, as did liver cancer and melanoma, both of which stabilized in men aged 50 years and older and declined in younger men. However, a 65% drop in cervical cancer incidence during 2012 through 2019 among women in their early 20s, the first cohort to receive the human papillomavirus vaccine, foreshadows steep reductions in the burden of human papillomavirus</w:instrText>
      </w:r>
      <w:r w:rsidR="009E71A3" w:rsidRPr="000973C4">
        <w:rPr>
          <w:rFonts w:ascii="Cambria Math" w:hAnsi="Cambria Math" w:cs="Cambria Math"/>
        </w:rPr>
        <w:instrText>‐</w:instrText>
      </w:r>
      <w:r w:rsidR="009E71A3" w:rsidRPr="000973C4">
        <w:rPr>
          <w:rFonts w:ascii="Arial" w:hAnsi="Arial" w:cs="Arial"/>
        </w:rPr>
        <w:instrText>associated cancers, the majority of which occur in women. Despite the pandemic, and in contrast with other leading causes of death, the cancer death rate continued to decline from 2019 to 2020 (by 1.5%), contributing to a 33% overall reduction since 1991 and an estimated 3.8 million deaths averted. This progress increasingly reflects advances in treatment, which are particularly evident in the rapid declines in mortality (approximately 2% annually during 2016 through 2020) for leukemia, melanoma, and kidney cancer, despite stable/increasing incidence, and accelerated declines for lung cancer. In summary, although cancer mortality rates continue to decline, future progress may be attenuated by rising incidence for breast, prostate, and uterine corpus cancers, which also happen to have the largest racial disparities in mortality.","author":[{"dropping-particle":"","family":"Siegel","given":"Rebecca L.","non-dropping-particle":"","parse-names":false,"suffix":""},{"dropping-particle":"","family":"Miller","given":"Kimberly D.","non-dropping-particle":"","parse-names":false,"suffix":""},{"dropping-particle":"","family":"Wagle","given":"Nikita Sandeep","non-dropping-particle":"","parse-names":false,"suffix":""},{"dropping-particle":"","family":"Jemal","given":"Ahmedin","non-dropping-particle":"","parse-names":false,"suffix":""}],"container-title":"CA: A Cancer Journal for Clinicians","id":"ITEM-1","issue":"1","issued":{"date-parts":[["2023"]]},"page":"17-48","title":"Cancer statistics, 2023","type":"article-journal","volume":"73"},"uris":["http://www.mendeley.com/documents/?uuid=0e1798af-162c-44c6-9007-541086259ede"]}],"mendeley":{"formattedCitation":"(Siegel et al., 2023)","plainTextFormattedCitation":"(Siegel et al., 2023)","previouslyFormattedCitation":"(Siegel et al., 2023)"},"properties":{"noteIndex":0},"schema":"https://github.com/citation-style-language/schema/raw/master/csl-citation.json"}</w:instrText>
      </w:r>
      <w:r w:rsidR="009E71A3" w:rsidRPr="000973C4">
        <w:rPr>
          <w:rFonts w:ascii="Arial" w:hAnsi="Arial" w:cs="Arial"/>
        </w:rPr>
        <w:fldChar w:fldCharType="separate"/>
      </w:r>
      <w:r w:rsidR="009E71A3" w:rsidRPr="000973C4">
        <w:rPr>
          <w:rFonts w:ascii="Arial" w:hAnsi="Arial" w:cs="Arial"/>
          <w:noProof/>
        </w:rPr>
        <w:t>(Siegel et al., 2023)</w:t>
      </w:r>
      <w:r w:rsidR="009E71A3" w:rsidRPr="000973C4">
        <w:rPr>
          <w:rFonts w:ascii="Arial" w:hAnsi="Arial" w:cs="Arial"/>
        </w:rPr>
        <w:fldChar w:fldCharType="end"/>
      </w:r>
      <w:r w:rsidRPr="000973C4">
        <w:rPr>
          <w:rFonts w:ascii="Arial" w:hAnsi="Arial" w:cs="Arial"/>
        </w:rPr>
        <w:t xml:space="preserve">. Glioblastoma is the most common malignant brain cancer, accounting for </w:t>
      </w:r>
      <w:r w:rsidR="009E71A3" w:rsidRPr="000973C4">
        <w:rPr>
          <w:rFonts w:ascii="Arial" w:hAnsi="Arial" w:cs="Arial"/>
        </w:rPr>
        <w:t>50</w:t>
      </w:r>
      <w:r w:rsidRPr="000973C4">
        <w:rPr>
          <w:rFonts w:ascii="Arial" w:hAnsi="Arial" w:cs="Arial"/>
        </w:rPr>
        <w:t>% of all malignant brain tumors</w:t>
      </w:r>
      <w:r w:rsidR="009E71A3" w:rsidRPr="000973C4">
        <w:rPr>
          <w:rFonts w:ascii="Arial" w:hAnsi="Arial" w:cs="Arial"/>
        </w:rPr>
        <w:t xml:space="preserve"> </w:t>
      </w:r>
      <w:r w:rsidR="009E71A3" w:rsidRPr="000973C4">
        <w:rPr>
          <w:rFonts w:ascii="Arial" w:hAnsi="Arial" w:cs="Arial"/>
        </w:rPr>
        <w:fldChar w:fldCharType="begin" w:fldLock="1"/>
      </w:r>
      <w:r w:rsidR="004E0A31" w:rsidRPr="000973C4">
        <w:rPr>
          <w:rFonts w:ascii="Arial" w:hAnsi="Arial" w:cs="Arial"/>
        </w:rPr>
        <w:instrText>ADDIN CSL_CITATION {"citationItems":[{"id":"ITEM-1","itemData":{"URL":"https://braintumor.org/brain-tumors/about-brain-tumors/brain-tumor-facts/","accessed":{"date-parts":[["2025","3","2"]]},"author":[{"dropping-particle":"","family":"National Brain Tumor Society","given":"","non-dropping-particle":"","parse-names":false,"suffix":""}],"id":"ITEM-1","issued":{"date-parts":[["2024"]]},"title":"Brain Tumor Facts","type":"webpage"},"uris":["http://www.mendeley.com/documents/?uuid=7aa4bdd5-e4fc-4459-abc0-c1520ad68f99"]}],"mendeley":{"formattedCitation":"(National Brain Tumor Society, 2024)","plainTextFormattedCitation":"(National Brain Tumor Society, 2024)","previouslyFormattedCitation":"(National Brain Tumor Society, 2024)"},"properties":{"noteIndex":0},"schema":"https://github.com/citation-style-language/schema/raw/master/csl-citation.json"}</w:instrText>
      </w:r>
      <w:r w:rsidR="009E71A3" w:rsidRPr="000973C4">
        <w:rPr>
          <w:rFonts w:ascii="Arial" w:hAnsi="Arial" w:cs="Arial"/>
        </w:rPr>
        <w:fldChar w:fldCharType="separate"/>
      </w:r>
      <w:r w:rsidR="009E71A3" w:rsidRPr="000973C4">
        <w:rPr>
          <w:rFonts w:ascii="Arial" w:hAnsi="Arial" w:cs="Arial"/>
          <w:noProof/>
        </w:rPr>
        <w:t>(National Brain Tumor Society, 2024)</w:t>
      </w:r>
      <w:r w:rsidR="009E71A3" w:rsidRPr="000973C4">
        <w:rPr>
          <w:rFonts w:ascii="Arial" w:hAnsi="Arial" w:cs="Arial"/>
        </w:rPr>
        <w:fldChar w:fldCharType="end"/>
      </w:r>
      <w:r w:rsidRPr="000973C4">
        <w:rPr>
          <w:rFonts w:ascii="Arial" w:hAnsi="Arial" w:cs="Arial"/>
        </w:rPr>
        <w:t>.</w:t>
      </w:r>
    </w:p>
    <w:p w14:paraId="267C4FED" w14:textId="12F3F763" w:rsidR="004E0A31" w:rsidRPr="000973C4" w:rsidRDefault="0058458F" w:rsidP="00441B6F">
      <w:pPr>
        <w:pStyle w:val="Body"/>
        <w:spacing w:after="0"/>
        <w:rPr>
          <w:rFonts w:ascii="Arial" w:hAnsi="Arial" w:cs="Arial"/>
        </w:rPr>
      </w:pPr>
      <w:r w:rsidRPr="000973C4">
        <w:rPr>
          <w:rFonts w:ascii="Arial" w:hAnsi="Arial" w:cs="Arial"/>
        </w:rPr>
        <w:t xml:space="preserve">Glioblastoma is a type of primary brain cancer, also known as </w:t>
      </w:r>
      <w:r w:rsidR="004E0A31" w:rsidRPr="000973C4">
        <w:rPr>
          <w:rFonts w:ascii="Arial" w:hAnsi="Arial" w:cs="Arial"/>
        </w:rPr>
        <w:t>malignant diffuse glioma of high grade</w:t>
      </w:r>
      <w:r w:rsidRPr="000973C4">
        <w:rPr>
          <w:rFonts w:ascii="Arial" w:hAnsi="Arial" w:cs="Arial"/>
        </w:rPr>
        <w:t xml:space="preserve">. It is classified as a grade </w:t>
      </w:r>
      <w:r w:rsidR="004E0A31" w:rsidRPr="000973C4">
        <w:rPr>
          <w:rFonts w:ascii="Arial" w:hAnsi="Arial" w:cs="Arial"/>
        </w:rPr>
        <w:t>4</w:t>
      </w:r>
      <w:r w:rsidRPr="000973C4">
        <w:rPr>
          <w:rFonts w:ascii="Arial" w:hAnsi="Arial" w:cs="Arial"/>
        </w:rPr>
        <w:t xml:space="preserve"> glioma, characterized by aggressive cell growth, necrosis (cell death), and rapid progression without prior lesions. The survival rate for this cancer is estimated to be approximately 12 months after diagnosis</w:t>
      </w:r>
      <w:r w:rsidR="002D476B" w:rsidRPr="000973C4">
        <w:rPr>
          <w:rFonts w:ascii="Arial" w:hAnsi="Arial" w:cs="Arial"/>
        </w:rPr>
        <w:t xml:space="preserve"> </w:t>
      </w:r>
      <w:r w:rsidR="002D476B" w:rsidRPr="000973C4">
        <w:rPr>
          <w:rFonts w:ascii="Arial" w:hAnsi="Arial" w:cs="Arial"/>
        </w:rPr>
        <w:fldChar w:fldCharType="begin" w:fldLock="1"/>
      </w:r>
      <w:r w:rsidR="002D476B" w:rsidRPr="000973C4">
        <w:rPr>
          <w:rFonts w:ascii="Arial" w:hAnsi="Arial" w:cs="Arial"/>
        </w:rPr>
        <w:instrText>ADDIN CSL_CITATION {"citationItems":[{"id":"ITEM-1","itemData":{"abstract":"… Terapi proton merupakan jenis radioterapi yang memanfaatkan proton dengan pemberian … Gy (W) dengan jumlah total 30 fraksi. Berdasarkan hasil penelitian pada jaringan berisiko …","author":[{"dropping-particle":"","family":"Mutamimah","given":"Robiatun","non-dropping-particle":"","parse-names":false,"suffix":""},{"dropping-particle":"","family":"Susilo","given":"","non-dropping-particle":"","parse-names":false,"suffix":""},{"dropping-particle":"","family":"Sardjono","given":"Yohannes","non-dropping-particle":"","parse-names":false,"suffix":""}],"container-title":"Unnes Physics Education Journal","id":"ITEM-1","issue":"1","issued":{"date-parts":[["2022"]]},"page":"26-35","title":"Aplikasi Program PHITS Versi 3.21 untuk Analisis Dosis Radiasi pada Terapi Kanker Otak dengan Metode Proton Therapy","type":"article-journal","volume":"11"},"uris":["http://www.mendeley.com/documents/?uuid=a58ab0c2-4371-493f-aedd-df10fa0ca52b"]}],"mendeley":{"formattedCitation":"(Mutamimah et al., 2022)","plainTextFormattedCitation":"(Mutamimah et al., 2022)","previouslyFormattedCitation":"(Mutamimah et al., 2022)"},"properties":{"noteIndex":0},"schema":"https://github.com/citation-style-language/schema/raw/master/csl-citation.json"}</w:instrText>
      </w:r>
      <w:r w:rsidR="002D476B" w:rsidRPr="000973C4">
        <w:rPr>
          <w:rFonts w:ascii="Arial" w:hAnsi="Arial" w:cs="Arial"/>
        </w:rPr>
        <w:fldChar w:fldCharType="separate"/>
      </w:r>
      <w:r w:rsidR="002D476B" w:rsidRPr="000973C4">
        <w:rPr>
          <w:rFonts w:ascii="Arial" w:hAnsi="Arial" w:cs="Arial"/>
          <w:noProof/>
        </w:rPr>
        <w:t>(Mutamimah et al., 2022)</w:t>
      </w:r>
      <w:r w:rsidR="002D476B" w:rsidRPr="000973C4">
        <w:rPr>
          <w:rFonts w:ascii="Arial" w:hAnsi="Arial" w:cs="Arial"/>
        </w:rPr>
        <w:fldChar w:fldCharType="end"/>
      </w:r>
      <w:r w:rsidRPr="000973C4">
        <w:rPr>
          <w:rFonts w:ascii="Arial" w:hAnsi="Arial" w:cs="Arial"/>
        </w:rPr>
        <w:t xml:space="preserve">. </w:t>
      </w:r>
      <w:r w:rsidR="004E0A31" w:rsidRPr="000973C4">
        <w:rPr>
          <w:rFonts w:ascii="Arial" w:hAnsi="Arial" w:cs="Arial"/>
        </w:rPr>
        <w:t>The high tendency to diffuse growth in brain tissue makes treatment more difficult</w:t>
      </w:r>
      <w:r w:rsidR="002D476B" w:rsidRPr="000973C4">
        <w:rPr>
          <w:rFonts w:ascii="Arial" w:hAnsi="Arial" w:cs="Arial"/>
        </w:rPr>
        <w:t xml:space="preserve"> </w:t>
      </w:r>
      <w:r w:rsidR="002D476B" w:rsidRPr="000973C4">
        <w:rPr>
          <w:rFonts w:ascii="Arial" w:hAnsi="Arial" w:cs="Arial"/>
        </w:rPr>
        <w:fldChar w:fldCharType="begin" w:fldLock="1"/>
      </w:r>
      <w:r w:rsidR="002D476B" w:rsidRPr="000973C4">
        <w:rPr>
          <w:rFonts w:ascii="Arial" w:hAnsi="Arial" w:cs="Arial"/>
        </w:rPr>
        <w:instrText>ADDIN CSL_CITATION {"citationItems":[{"id":"ITEM-1","itemData":{"DOI":"10.3322/caac.21613","ISSN":"0007-9235","PMID":"32478924","abstract":" Glioblastoma is the most common malignant primary brain tumor. Overall, the prognosis for patients with this disease is poor, with a median survival of &lt;2 years. There is a slight predominance in males, and incidence increases with age. The standard approach to therapy in the newly diagnosed setting includes surgery followed by concurrent radiotherapy with temozolomide and further adjuvant temozolomide. Tumor</w:instrText>
      </w:r>
      <w:r w:rsidR="002D476B" w:rsidRPr="000973C4">
        <w:rPr>
          <w:rFonts w:ascii="Cambria Math" w:hAnsi="Cambria Math" w:cs="Cambria Math"/>
        </w:rPr>
        <w:instrText>‐</w:instrText>
      </w:r>
      <w:r w:rsidR="002D476B" w:rsidRPr="000973C4">
        <w:rPr>
          <w:rFonts w:ascii="Arial" w:hAnsi="Arial" w:cs="Arial"/>
        </w:rPr>
        <w:instrText>treating fields, delivering low</w:instrText>
      </w:r>
      <w:r w:rsidR="002D476B" w:rsidRPr="000973C4">
        <w:rPr>
          <w:rFonts w:ascii="Cambria Math" w:hAnsi="Cambria Math" w:cs="Cambria Math"/>
        </w:rPr>
        <w:instrText>‐</w:instrText>
      </w:r>
      <w:r w:rsidR="002D476B" w:rsidRPr="000973C4">
        <w:rPr>
          <w:rFonts w:ascii="Arial" w:hAnsi="Arial" w:cs="Arial"/>
        </w:rPr>
        <w:instrText>intensity alternating electric fields, can also be given concurrently with adjuvant temozolomide. At recurrence, there is no standard of care; however, surgery, radiotherapy, and systemic therapy with chemotherapy or bevacizumab are all potential options, depending on the patient's circumstances. Supportive and palliative care remain important considerations throughout the disease course in the multimodality approach to management. The recently revised classification of glioblastoma based on molecular profiling, notably isocitrate dehydrogenase ( IDH ) mutation status, is a result of enhanced understanding of the underlying pathogenesis of disease. There is a clear need for better therapeutic options, and there have been substantial efforts exploring immunotherapy and precision oncology approaches. In contrast to other solid tumors, however, biological factors, such as the blood</w:instrText>
      </w:r>
      <w:r w:rsidR="002D476B" w:rsidRPr="000973C4">
        <w:rPr>
          <w:rFonts w:ascii="Cambria Math" w:hAnsi="Cambria Math" w:cs="Cambria Math"/>
        </w:rPr>
        <w:instrText>‐</w:instrText>
      </w:r>
      <w:r w:rsidR="002D476B" w:rsidRPr="000973C4">
        <w:rPr>
          <w:rFonts w:ascii="Arial" w:hAnsi="Arial" w:cs="Arial"/>
        </w:rPr>
        <w:instrText>brain barrier and the unique tumor and immune microenvironment, represent significant challenges in the development of novel therapies. Innovative clinical trial designs with biomarker</w:instrText>
      </w:r>
      <w:r w:rsidR="002D476B" w:rsidRPr="000973C4">
        <w:rPr>
          <w:rFonts w:ascii="Cambria Math" w:hAnsi="Cambria Math" w:cs="Cambria Math"/>
        </w:rPr>
        <w:instrText>‐</w:instrText>
      </w:r>
      <w:r w:rsidR="002D476B" w:rsidRPr="000973C4">
        <w:rPr>
          <w:rFonts w:ascii="Arial" w:hAnsi="Arial" w:cs="Arial"/>
        </w:rPr>
        <w:instrText>enrichment strategies are needed to ultimately improve the outcome of patients with glioblastoma. ","author":[{"dropping-particle":"","family":"Tan","given":"Aaron C.","non-dropping-particle":"","parse-names":false,"suffix":""},{"dropping-particle":"","family":"Ashley","given":"David M.","non-dropping-particle":"","parse-names":false,"suffix":""},{"dropping-particle":"","family":"López","given":"Giselle Y.","non-dropping-particle":"","parse-names":false,"suffix":""},{"dropping-particle":"","family":"Malinzak","given":"Michael","non-dropping-particle":"","parse-names":false,"suffix":""},{"dropping-particle":"","family":"Friedman","given":"Henry S.","non-dropping-particle":"","parse-names":false,"suffix":""},{"dropping-particle":"","family":"Khasraw","given":"Mustafa","non-dropping-particle":"","parse-names":false,"suffix":""}],"container-title":"CA: A Cancer Journal for Clinicians","id":"ITEM-1","issue":"4","issued":{"date-parts":[["2020"]]},"page":"299-312","title":"Management of glioblastoma: State of the art and future directions","type":"article-journal","volume":"70"},"uris":["http://www.mendeley.com/documents/?uuid=d455c426-7b28-46fe-aed6-8ed5aaca627b"]}],"mendeley":{"formattedCitation":"(Tan et al., 2020)","plainTextFormattedCitation":"(Tan et al., 2020)","previouslyFormattedCitation":"(Tan et al., 2020)"},"properties":{"noteIndex":0},"schema":"https://github.com/citation-style-language/schema/raw/master/csl-citation.json"}</w:instrText>
      </w:r>
      <w:r w:rsidR="002D476B" w:rsidRPr="000973C4">
        <w:rPr>
          <w:rFonts w:ascii="Arial" w:hAnsi="Arial" w:cs="Arial"/>
        </w:rPr>
        <w:fldChar w:fldCharType="separate"/>
      </w:r>
      <w:r w:rsidR="002D476B" w:rsidRPr="000973C4">
        <w:rPr>
          <w:rFonts w:ascii="Arial" w:hAnsi="Arial" w:cs="Arial"/>
          <w:noProof/>
        </w:rPr>
        <w:t>(Tan et al., 2020)</w:t>
      </w:r>
      <w:r w:rsidR="002D476B" w:rsidRPr="000973C4">
        <w:rPr>
          <w:rFonts w:ascii="Arial" w:hAnsi="Arial" w:cs="Arial"/>
        </w:rPr>
        <w:fldChar w:fldCharType="end"/>
      </w:r>
      <w:r w:rsidRPr="000973C4">
        <w:rPr>
          <w:rFonts w:ascii="Arial" w:hAnsi="Arial" w:cs="Arial"/>
        </w:rPr>
        <w:t>. Common treatment methods for brain cancer patients include oncological surgery, chemotherapy, and radiotherapy. In glioblastoma cases, tumor removal surgery is sometimes ineffective due to the possibility of residual tumor tissue remaining in the brain despite the procedure</w:t>
      </w:r>
      <w:r w:rsidR="002D476B" w:rsidRPr="000973C4">
        <w:rPr>
          <w:rFonts w:ascii="Arial" w:hAnsi="Arial" w:cs="Arial"/>
        </w:rPr>
        <w:t xml:space="preserve"> </w:t>
      </w:r>
      <w:r w:rsidR="002D476B" w:rsidRPr="000973C4">
        <w:rPr>
          <w:rFonts w:ascii="Arial" w:hAnsi="Arial" w:cs="Arial"/>
        </w:rPr>
        <w:fldChar w:fldCharType="begin" w:fldLock="1"/>
      </w:r>
      <w:r w:rsidR="002D476B" w:rsidRPr="000973C4">
        <w:rPr>
          <w:rFonts w:ascii="Arial" w:hAnsi="Arial" w:cs="Arial"/>
        </w:rPr>
        <w:instrText>ADDIN CSL_CITATION {"citationItems":[{"id":"ITEM-1","itemData":{"abstract":"MEDICAL STUDY ON USAGE OF BNCT NUCLEAR TECHNOLOGY FOR GLIOMA TYPE CEREBRAL TUMOR. Glioma is a kind of brain tumor which grows from glial cell. From several kinds of glioma, glioblastoma is a poorly differentiated glioma and is considered as a carcinoma of the brain. Most of the patients with such an invasive glioma not only have glioblastoma but also anaplastic astrocytoma and low-grade astrocytoma. At that cases, curative surgical to remove tumor tissue may causes a risk of surrounding normal brain tissue damage. Boron Neutron Capture Therapy (BNCT) is an ideal treatment choice for such malignant brain tumor because of its destructive at the cellular level without significant damage to normal brain tissue. BNCT is a treatment based on nuclear reaction that occurs intracellular between Boron (B 10) nucleus and neutron. The results of this nuclear reaction are highly energetic α particles (He 4) and Lithium (Li 7) nuclei. This highly energetic particle sthrough interaction with DNA will destruct cancer cell. This is the great potential advantage of BNCT.","author":[{"dropping-particle":"","family":"Nurwati","given":"Sri","non-dropping-particle":"","parse-names":false,"suffix":""},{"dropping-particle":"","family":"Prasetya","given":"Riska Indra","non-dropping-particle":"","parse-names":false,"suffix":""}],"container-title":"Pusat Sains dan Teknologi Akselerator-BATAN Yogyakarta","id":"ITEM-1","issue":"6","issued":{"date-parts":[["2014"]]},"page":"10-11","title":"Prosiding Pertemuan dan Presentasi Ilmiah-Penelitian Dasar Ilmu Pengetahuan dan Teknologi Nuklir","type":"article-journal"},"uris":["http://www.mendeley.com/documents/?uuid=ef125db8-eafe-48eb-a554-99fbe59a96df"]}],"mendeley":{"formattedCitation":"(Nurwati &amp; Prasetya, 2014)","plainTextFormattedCitation":"(Nurwati &amp; Prasetya, 2014)","previouslyFormattedCitation":"(Nurwati &amp; Prasetya, 2014)"},"properties":{"noteIndex":0},"schema":"https://github.com/citation-style-language/schema/raw/master/csl-citation.json"}</w:instrText>
      </w:r>
      <w:r w:rsidR="002D476B" w:rsidRPr="000973C4">
        <w:rPr>
          <w:rFonts w:ascii="Arial" w:hAnsi="Arial" w:cs="Arial"/>
        </w:rPr>
        <w:fldChar w:fldCharType="separate"/>
      </w:r>
      <w:r w:rsidR="002D476B" w:rsidRPr="000973C4">
        <w:rPr>
          <w:rFonts w:ascii="Arial" w:hAnsi="Arial" w:cs="Arial"/>
          <w:noProof/>
        </w:rPr>
        <w:t>(Nurwati &amp; Prasetya, 2014)</w:t>
      </w:r>
      <w:r w:rsidR="002D476B" w:rsidRPr="000973C4">
        <w:rPr>
          <w:rFonts w:ascii="Arial" w:hAnsi="Arial" w:cs="Arial"/>
        </w:rPr>
        <w:fldChar w:fldCharType="end"/>
      </w:r>
      <w:r w:rsidRPr="000973C4">
        <w:rPr>
          <w:rFonts w:ascii="Arial" w:hAnsi="Arial" w:cs="Arial"/>
        </w:rPr>
        <w:t xml:space="preserve">. </w:t>
      </w:r>
      <w:r w:rsidR="004E0A31" w:rsidRPr="000973C4">
        <w:rPr>
          <w:rFonts w:ascii="Arial" w:hAnsi="Arial" w:cs="Arial"/>
        </w:rPr>
        <w:t xml:space="preserve">Radiation therapy in combination with temozolomide chemotherapy is considered the most effective treatment for brain cancer </w:t>
      </w:r>
      <w:r w:rsidR="004E0A31" w:rsidRPr="000973C4">
        <w:rPr>
          <w:rFonts w:ascii="Arial" w:hAnsi="Arial" w:cs="Arial"/>
        </w:rPr>
        <w:fldChar w:fldCharType="begin" w:fldLock="1"/>
      </w:r>
      <w:r w:rsidR="004A4C5A" w:rsidRPr="000973C4">
        <w:rPr>
          <w:rFonts w:ascii="Arial" w:hAnsi="Arial" w:cs="Arial"/>
        </w:rPr>
        <w:instrText>ADDIN CSL_CITATION {"citationItems":[{"id":"ITEM-1","itemData":{"DOI":"10.1007/s11060-012-0906-4","ISSN":"0167594X","PMID":"22688802","abstract":"Survival of elderly patients with glioblastoma (GBM) is poor, but improves with tumor resection and radiotherapy (RT). Concurrent temozolomide (TMZ) chemotherapy during RT improves the survival of younger patients with GBM, but the benefit in elderly patients is unclear. Medical records of patients ≥65 years old with primary GBM, histologically confirmed at Memorial Sloan-Kettering Cancer Center and treated with RT, were reviewed. Survival was associated with patient (age, performance status), tumor (single or multiple), and treatment (extent of surgery, RT field, technique, fractionation and use of concurrent TMZ) characteristics in a multivariable Cox regression model. Grade ≥3 hematologic toxicity rates were compared to reported rates in younger patients. Median age of the 291 patients studied was 71 years. Longer survival was associated with younger age, tumor resection, and concomitant TMZ and RT (p&lt;0.01). Concurrent TMZ and RT improved median survival of patients with favorable prognostic factors from 12 to 21 months and from 10 to 13 months in patients 65-70 and ≥71 years old, respectively. Concomitant TMZ and RT increased the 2 year OS rate from 14 to 41 % and from 5 to 24 % in patients 65-70 and ≥71 years old, respectively. Grade 3-4 thrombocytopenia was significantly more frequent in the present cohort. Survival of elderly patients with GBM may be prolonged with the use of concomitant TMZ during RT. An ongoing randomized study will determine the benefit of this approach in a prospective fashion. © Springer Science+Business Media, LLC. 2012.","author":[{"dropping-particle":"","family":"Barker","given":"Christopher A.","non-dropping-particle":"","parse-names":false,"suffix":""},{"dropping-particle":"","family":"Chang","given":"Maria","non-dropping-particle":"","parse-names":false,"suffix":""},{"dropping-particle":"","family":"Chou","given":"Joanne F.","non-dropping-particle":"","parse-names":false,"suffix":""},{"dropping-particle":"","family":"Zhang","given":"Zhigang","non-dropping-particle":"","parse-names":false,"suffix":""},{"dropping-particle":"","family":"Beal","given":"Kathryn","non-dropping-particle":"","parse-names":false,"suffix":""},{"dropping-particle":"","family":"Gutin","given":"Philip H.","non-dropping-particle":"","parse-names":false,"suffix":""},{"dropping-particle":"","family":"Iwamoto","given":"Fabio M.","non-dropping-particle":"","parse-names":false,"suffix":""}],"container-title":"Journal of Neuro-Oncology","id":"ITEM-1","issue":"2","issued":{"date-parts":[["2012"]]},"page":"391-397","title":"Radiotherapy and concomitant temozolomide may improve survival of elderly patients with glioblastoma","type":"article-journal","volume":"109"},"uris":["http://www.mendeley.com/documents/?uuid=93672fb2-6cca-4fbe-94be-0fbccb50fe2c"]}],"mendeley":{"formattedCitation":"(Barker et al., 2012)","plainTextFormattedCitation":"(Barker et al., 2012)","previouslyFormattedCitation":"(Barker et al., 2012)"},"properties":{"noteIndex":0},"schema":"https://github.com/citation-style-language/schema/raw/master/csl-citation.json"}</w:instrText>
      </w:r>
      <w:r w:rsidR="004E0A31" w:rsidRPr="000973C4">
        <w:rPr>
          <w:rFonts w:ascii="Arial" w:hAnsi="Arial" w:cs="Arial"/>
        </w:rPr>
        <w:fldChar w:fldCharType="separate"/>
      </w:r>
      <w:r w:rsidR="004E0A31" w:rsidRPr="000973C4">
        <w:rPr>
          <w:rFonts w:ascii="Arial" w:hAnsi="Arial" w:cs="Arial"/>
          <w:noProof/>
        </w:rPr>
        <w:t>(Barker et al., 2012)</w:t>
      </w:r>
      <w:r w:rsidR="004E0A31" w:rsidRPr="000973C4">
        <w:rPr>
          <w:rFonts w:ascii="Arial" w:hAnsi="Arial" w:cs="Arial"/>
        </w:rPr>
        <w:fldChar w:fldCharType="end"/>
      </w:r>
      <w:r w:rsidR="004E0A31" w:rsidRPr="000973C4">
        <w:rPr>
          <w:rFonts w:ascii="Arial" w:hAnsi="Arial" w:cs="Arial"/>
        </w:rPr>
        <w:t>.</w:t>
      </w:r>
    </w:p>
    <w:p w14:paraId="5E6151D1" w14:textId="1D001041" w:rsidR="0058458F" w:rsidRPr="000973C4" w:rsidRDefault="0058458F" w:rsidP="00441B6F">
      <w:pPr>
        <w:pStyle w:val="Body"/>
        <w:spacing w:after="0"/>
        <w:rPr>
          <w:rFonts w:ascii="Arial" w:hAnsi="Arial" w:cs="Arial"/>
        </w:rPr>
      </w:pPr>
      <w:r w:rsidRPr="000973C4">
        <w:rPr>
          <w:rFonts w:ascii="Arial" w:hAnsi="Arial" w:cs="Arial"/>
        </w:rPr>
        <w:t xml:space="preserve">Radiotherapy, commonly used as a curative, adjuvant, or palliative treatment, is one of the most essential modalities for cancer patients, with more than 50% of them undergoing this treatment </w:t>
      </w:r>
      <w:r w:rsidR="002D476B" w:rsidRPr="000973C4">
        <w:rPr>
          <w:rFonts w:ascii="Arial" w:hAnsi="Arial" w:cs="Arial"/>
        </w:rPr>
        <w:fldChar w:fldCharType="begin" w:fldLock="1"/>
      </w:r>
      <w:r w:rsidR="002D476B" w:rsidRPr="000973C4">
        <w:rPr>
          <w:rFonts w:ascii="Arial" w:hAnsi="Arial" w:cs="Arial"/>
        </w:rPr>
        <w:instrText>ADDIN CSL_CITATION {"citationItems":[{"id":"ITEM-1","itemData":{"DOI":"10.1002/mp.13490","ISSN":"24734209","PMID":"30870586","abstract":"Purpose: To develop a deep learning method for prediction of three-dimensional (3D) voxel-by-voxel dose distributions of helical tomotherapy (HT). Methods: Using previously treated HT plans as training data, a deep learning model named U-ResNet-D was trained to predict a 3D dose distribution. First, the contoured structures and dose volumes were converted from plan database to 3D matrix with a program based on a developed visualization toolkit (VTK), then transferred to U-ResNet-D for correlating anatomical features and dose distributions at voxel-level. One hundred and ninety nasopharyngeal cancer (NPC) patients treated by HT with multiple planning target volumes (PTVs) in different prescription patterns were studied. The model was typically trained from scratch with weights randomly initialized rather than using transfer-learning method, and used to predict new patient's 3D dose distributions. The predictive accuracy was evaluated with three methods: (a) The dose difference at the position r, δ(r, r) = Dc(r) − Dp(r), was calculated for each voxel. The mean (μδ(r,r)) and standard deviation (σδ(r,r)) of δ(r, r) were calculated to assess the prediction bias and precision; (b) The mean absolute differences of dosimetric indexes (DIs) including maximum and mean dose, homogeneity index, conformity index, and dose spillage for PTVs and organ at risks (OARs) were calculated and statistically analyzed with the paired-samples t test; (c) Dice similarity coefficients (DSC) between predicted and clinical isodose volumes were calculated. Results: The U-ResNet-D model predicted 3D dose distribution accurately. For twenty tested patients, the prediction bias ranged from −2.0% to 2.3% and prediction error varied from 1.5% to 4.5% (relative to prescription) for 3D dose differences. The mean absolute dose differences for PTVs and OARs are within 2.0% and 4.2%, and nearly all the DIs for PTVs and OARs had no significant differences. The averaged DSC ranged from 0.95 to 1 for different isodose volumes. Conclusions: The study developed a new deep learning method for 3D voxel-by-voxel dose prediction, and shown to be able to produce accurately dose predictions for nasopharyngeal patients treated by HT. The predicted 3D dose map can be useful for improving radiotherapy planning design, ensuring plan quality and consistency, making clinical technique comparison, and guiding automatic treatment planning.","author":[{"dropping-particle":"","family":"Liu","given":"Zhiqiang","non-dropping-particle":"","parse-names":false,"suffix":""},{"dropping-particle":"","family":"Fan","given":"Jiawei","non-dropping-particle":"","parse-names":false,"suffix":""},{"dropping-particle":"","family":"Li","given":"Minghui","non-dropping-particle":"","parse-names":false,"suffix":""},{"dropping-particle":"","family":"Yan","given":"Hui","non-dropping-particle":"","parse-names":false,"suffix":""},{"dropping-particle":"","family":"Hu","given":"Zhihui","non-dropping-particle":"","parse-names":false,"suffix":""},{"dropping-particle":"","family":"Huang","given":"Peng","non-dropping-particle":"","parse-names":false,"suffix":""},{"dropping-particle":"","family":"Tian","given":"Yuan","non-dropping-particle":"","parse-names":false,"suffix":""},{"dropping-particle":"","family":"Miao","given":"Junjie","non-dropping-particle":"","parse-names":false,"suffix":""},{"dropping-particle":"","family":"Dai","given":"Jianrong","non-dropping-particle":"","parse-names":false,"suffix":""}],"container-title":"Medical Physics","id":"ITEM-1","issue":"5","issued":{"date-parts":[["2019"]]},"page":"1972-1983","title":"A deep learning method for prediction of three-dimensional dose distribution of helical tomotherapy","type":"article-journal","volume":"46"},"uris":["http://www.mendeley.com/documents/?uuid=a2e3213e-d2b3-48a8-9706-1861edddff98"]}],"mendeley":{"formattedCitation":"(Liu et al., 2019)","plainTextFormattedCitation":"(Liu et al., 2019)","previouslyFormattedCitation":"(Liu et al., 2019)"},"properties":{"noteIndex":0},"schema":"https://github.com/citation-style-language/schema/raw/master/csl-citation.json"}</w:instrText>
      </w:r>
      <w:r w:rsidR="002D476B" w:rsidRPr="000973C4">
        <w:rPr>
          <w:rFonts w:ascii="Arial" w:hAnsi="Arial" w:cs="Arial"/>
        </w:rPr>
        <w:fldChar w:fldCharType="separate"/>
      </w:r>
      <w:r w:rsidR="002D476B" w:rsidRPr="000973C4">
        <w:rPr>
          <w:rFonts w:ascii="Arial" w:hAnsi="Arial" w:cs="Arial"/>
          <w:noProof/>
        </w:rPr>
        <w:t>(Liu et al., 2019)</w:t>
      </w:r>
      <w:r w:rsidR="002D476B" w:rsidRPr="000973C4">
        <w:rPr>
          <w:rFonts w:ascii="Arial" w:hAnsi="Arial" w:cs="Arial"/>
        </w:rPr>
        <w:fldChar w:fldCharType="end"/>
      </w:r>
      <w:r w:rsidRPr="000973C4">
        <w:rPr>
          <w:rFonts w:ascii="Arial" w:hAnsi="Arial" w:cs="Arial"/>
        </w:rPr>
        <w:t>. It can be delivered through two methods</w:t>
      </w:r>
      <w:r w:rsidR="002D476B" w:rsidRPr="000973C4">
        <w:rPr>
          <w:rFonts w:ascii="Arial" w:hAnsi="Arial" w:cs="Arial"/>
        </w:rPr>
        <w:t>,</w:t>
      </w:r>
      <w:r w:rsidRPr="000973C4">
        <w:rPr>
          <w:rFonts w:ascii="Arial" w:hAnsi="Arial" w:cs="Arial"/>
        </w:rPr>
        <w:t xml:space="preserve"> external radiotherapy where radiation is applied externally using a treatment machine and brachytherapy where radioactive sources are temporarily or permanently placed inside the body</w:t>
      </w:r>
      <w:r w:rsidR="002D476B" w:rsidRPr="000973C4">
        <w:rPr>
          <w:rFonts w:ascii="Arial" w:hAnsi="Arial" w:cs="Arial"/>
        </w:rPr>
        <w:t xml:space="preserve"> </w:t>
      </w:r>
      <w:r w:rsidR="002D476B" w:rsidRPr="000973C4">
        <w:rPr>
          <w:rFonts w:ascii="Arial" w:hAnsi="Arial" w:cs="Arial"/>
        </w:rPr>
        <w:fldChar w:fldCharType="begin" w:fldLock="1"/>
      </w:r>
      <w:r w:rsidR="002D476B" w:rsidRPr="000973C4">
        <w:rPr>
          <w:rFonts w:ascii="Arial" w:hAnsi="Arial" w:cs="Arial"/>
        </w:rPr>
        <w:instrText>ADDIN CSL_CITATION {"citationItems":[{"id":"ITEM-1","itemData":{"abstract":"Kanker merupakan salah satu penyebab kematian tertinggi di dunia. Data Riskesdas tahun 2018 bahwa terjadi peningkatan prevalensi kanker di Indonesia tiap tahun dengan pengobatan dengan radiasi/ penyinaran. Tujuan penelitian ini adalah untuk mengetahui gambaran karakteristik (jenis kelamin, umur, tingkat pendidikan, pekerjaan), jenis kanker, dan lama pengobatan serta efek samping yang diperoleh pasien kanker selama menjalani atau pasca pengobatan radioterapi. Lokasi penelitian dilaksanakan di RSI. Faisal Makassar. Jenis jenelitian ini adalah deskriptif kuantitatif dengan penarikan sampel secara consecutive sampling. Pengumpulan data dilakukan dengan menggunakan rekam medis pasien kanker yang melakukan radioterapi kemudian wawancara melalui telepon berdasarkan kuesioner. Analisis data dalam penelitian ini adalah analisis univariat deksriptif kuantitatif untuk mendeskripsikan gambaran distribusi setiap variabel penelitian. Hasil penelitian didapatkan dari 49 pasien kanker yang menjalani radioterapi diperoleh karakteristik responden terbanyak yakni kelompok umur 46-52 tahun sebesar 26,5% (13 orang), berjenis kelamin perempuan sebesar 71,4% (35 orang), pendidikan terakhir SMA sebesar 44,9% (22 orang), pekerjaan sebagai ibu rumah tangga sebesar 44,9% (22 orang), jenis diagnosa kanker terbanyak adalah kanker serviks sebesar 28,6% (14 orang), lama pengobatan yang diterima selama 3 bulan sebanyak 40 kali treatment/ terapi radiasi, dan efek samping radioterapi yang dirasakan adalah lemas, nyeri, dan dermatitis di area radiasi. Cancer is one of the leading causes of death in the world. Riskesdas data in 2018, that there is an increase in the prevalence of cancer in Indonesia every year and treatment with radiation/irradiation. The purpose of this study was to describe the characteristics (gender, age, education level, occupation), type of cancer, and duration of treatment as well as side effects obtained by cancer patients during or after radiotherapy treatment. The location of the research was carried out at the RSI. Faisal Makassar. This type of research is quantitative descriptive with consecutive sampling. Data was collected using medical records of cancer patients who underwent radiotherapy and then telephone interviews based on questionnaires. Data analysis in this study is descriptive quantitative univariate analysis to describe the distribution of each research variable. Research results obtained 49 cancer patients who underwent radiotherapy, the character…","author":[{"dropping-particle":"","family":"Harun","given":"Herlinda Mahdania","non-dropping-particle":"","parse-names":false,"suffix":""},{"dropping-particle":"","family":"Jannah","given":"Nurul","non-dropping-particle":"","parse-names":false,"suffix":""},{"dropping-particle":"","family":"Idawati","given":"","non-dropping-particle":"","parse-names":false,"suffix":""},{"dropping-particle":"","family":"Ahmad","given":"Zul Fikar","non-dropping-particle":"","parse-names":false,"suffix":""}],"container-title":"Journal Syifa Sciences and Clinical Research (JSSCR)","id":"ITEM-1","issue":"3","issued":{"date-parts":[["2022"]]},"page":"662-670","title":"Evaluasi pengobatan radioterapi pada pasien kanker","type":"article-journal","volume":"4"},"uris":["http://www.mendeley.com/documents/?uuid=3147f238-d828-4072-8145-e69b9573ba18"]}],"mendeley":{"formattedCitation":"(Harun et al., 2022)","plainTextFormattedCitation":"(Harun et al., 2022)","previouslyFormattedCitation":"(Harun et al., 2022)"},"properties":{"noteIndex":0},"schema":"https://github.com/citation-style-language/schema/raw/master/csl-citation.json"}</w:instrText>
      </w:r>
      <w:r w:rsidR="002D476B" w:rsidRPr="000973C4">
        <w:rPr>
          <w:rFonts w:ascii="Arial" w:hAnsi="Arial" w:cs="Arial"/>
        </w:rPr>
        <w:fldChar w:fldCharType="separate"/>
      </w:r>
      <w:r w:rsidR="002D476B" w:rsidRPr="000973C4">
        <w:rPr>
          <w:rFonts w:ascii="Arial" w:hAnsi="Arial" w:cs="Arial"/>
          <w:noProof/>
        </w:rPr>
        <w:t>(Harun et al., 2022)</w:t>
      </w:r>
      <w:r w:rsidR="002D476B" w:rsidRPr="000973C4">
        <w:rPr>
          <w:rFonts w:ascii="Arial" w:hAnsi="Arial" w:cs="Arial"/>
        </w:rPr>
        <w:fldChar w:fldCharType="end"/>
      </w:r>
      <w:r w:rsidRPr="000973C4">
        <w:rPr>
          <w:rFonts w:ascii="Arial" w:hAnsi="Arial" w:cs="Arial"/>
        </w:rPr>
        <w:t xml:space="preserve">. Before radiation therapy is administered, a Treatment Planning System (TPS) is used to optimize treatment parameters such as the number of fields, beam angles, and dose distribution, ensuring that the maximum dose is delivered to the tumor while minimizing exposure to surrounding healthy organs </w:t>
      </w:r>
      <w:r w:rsidR="002D476B" w:rsidRPr="000973C4">
        <w:rPr>
          <w:rFonts w:ascii="Arial" w:hAnsi="Arial" w:cs="Arial"/>
        </w:rPr>
        <w:fldChar w:fldCharType="begin" w:fldLock="1"/>
      </w:r>
      <w:r w:rsidR="002D476B" w:rsidRPr="000973C4">
        <w:rPr>
          <w:rFonts w:ascii="Arial" w:hAnsi="Arial" w:cs="Arial"/>
        </w:rPr>
        <w:instrText>ADDIN CSL_CITATION {"citationItems":[{"id":"ITEM-1","itemData":{"DOI":"10.20473/jbp.v23i2.2021.75-86","ISSN":"1412-1433","abstract":"Kanker serviks merupakan salah satu kanker mematikan yang sering terjadi di Indonesia. Pada tahun 2019, Kementerian Kesehatan mencatat kanker serviks menempati peringkat kedua untuk jenis kanker yang paling banyak ditemui setelah kanker payudara. Setiap tahunnya, ada sekitar 40.000 kasus baru kanker serviks yang terdeteksi pada perempuan Indonesia. Upaya dalam menyembuhkannya melalui radioterapi dengan radiasi pengion yang untuk mematikan sel kanker. Sumber yang digunakan adalah sinar X atau foton. Salah satu jenis pesawat radioterapi eksternal adalah Akselerator Linear (Linac). Dalam melakukan kalibrasi alat – alat radioterapi khususnya LINAC dan dalam melakukan treatment planning system (TPS) pada kanker memerlukan seorang fisikawan medis. Observasi dilakukan dengan tahapan orientasi, observasi langsung, hingga konsultasi dan diskusi. Peran fisikawan medis meliputi perencanaan TPS, simulasi pada kanker pasien, pembuatan blok untuk melindungi organ sehat, perhitungan dosis serta melakukan penyinaran. Pentingnya peran seorang fisikawan medis dalam proses radioterapi untuk mengobati kanker serviks.","author":[{"dropping-particle":"","family":"Winarno","given":"","non-dropping-particle":"","parse-names":false,"suffix":""},{"dropping-particle":"","family":"Nurmansya","given":"Veren Audia","non-dropping-particle":"","parse-names":false,"suffix":""},{"dropping-particle":"","family":"Miskiyah","given":"Zakiyatul","non-dropping-particle":"","parse-names":false,"suffix":""}],"container-title":"Jurnal Biosains Pascasarjana","id":"ITEM-1","issue":"2","issued":{"date-parts":[["2021"]]},"page":"75","title":"Radioterapi Kanker Cervix Dengan Linear Accelerator (LINAC)","type":"article-journal","volume":"23"},"uris":["http://www.mendeley.com/documents/?uuid=13acaa73-a971-4194-9cbf-9162a827d5a6"]}],"mendeley":{"formattedCitation":"(Winarno et al., 2021)","plainTextFormattedCitation":"(Winarno et al., 2021)","previouslyFormattedCitation":"(Winarno et al., 2021)"},"properties":{"noteIndex":0},"schema":"https://github.com/citation-style-language/schema/raw/master/csl-citation.json"}</w:instrText>
      </w:r>
      <w:r w:rsidR="002D476B" w:rsidRPr="000973C4">
        <w:rPr>
          <w:rFonts w:ascii="Arial" w:hAnsi="Arial" w:cs="Arial"/>
        </w:rPr>
        <w:fldChar w:fldCharType="separate"/>
      </w:r>
      <w:r w:rsidR="002D476B" w:rsidRPr="000973C4">
        <w:rPr>
          <w:rFonts w:ascii="Arial" w:hAnsi="Arial" w:cs="Arial"/>
          <w:noProof/>
        </w:rPr>
        <w:t>(Winarno et al., 2021)</w:t>
      </w:r>
      <w:r w:rsidR="002D476B" w:rsidRPr="000973C4">
        <w:rPr>
          <w:rFonts w:ascii="Arial" w:hAnsi="Arial" w:cs="Arial"/>
        </w:rPr>
        <w:fldChar w:fldCharType="end"/>
      </w:r>
      <w:r w:rsidRPr="000973C4">
        <w:rPr>
          <w:rFonts w:ascii="Arial" w:hAnsi="Arial" w:cs="Arial"/>
        </w:rPr>
        <w:t xml:space="preserve">. In external radiotherapy, techniques like intensity-modulated radiotherapy (IMRT), volumetric modulated arc therapy (VMAT), and helical </w:t>
      </w:r>
      <w:proofErr w:type="spellStart"/>
      <w:r w:rsidRPr="000973C4">
        <w:rPr>
          <w:rFonts w:ascii="Arial" w:hAnsi="Arial" w:cs="Arial"/>
        </w:rPr>
        <w:t>tomotherapy</w:t>
      </w:r>
      <w:proofErr w:type="spellEnd"/>
      <w:r w:rsidRPr="000973C4">
        <w:rPr>
          <w:rFonts w:ascii="Arial" w:hAnsi="Arial" w:cs="Arial"/>
        </w:rPr>
        <w:t xml:space="preserve"> (HT) have become standard treatment approaches for various cancers </w:t>
      </w:r>
      <w:r w:rsidR="002D476B" w:rsidRPr="000973C4">
        <w:rPr>
          <w:rFonts w:ascii="Arial" w:hAnsi="Arial" w:cs="Arial"/>
        </w:rPr>
        <w:fldChar w:fldCharType="begin" w:fldLock="1"/>
      </w:r>
      <w:r w:rsidR="002D476B" w:rsidRPr="000973C4">
        <w:rPr>
          <w:rFonts w:ascii="Arial" w:hAnsi="Arial" w:cs="Arial"/>
        </w:rPr>
        <w:instrText>ADDIN CSL_CITATION {"citationItems":[{"id":"ITEM-1","itemData":{"DOI":"10.1002/mp.13490","ISSN":"24734209","PMID":"30870586","abstract":"Purpose: To develop a deep learning method for prediction of three-dimensional (3D) voxel-by-voxel dose distributions of helical tomotherapy (HT). Methods: Using previously treated HT plans as training data, a deep learning model named U-ResNet-D was trained to predict a 3D dose distribution. First, the contoured structures and dose volumes were converted from plan database to 3D matrix with a program based on a developed visualization toolkit (VTK), then transferred to U-ResNet-D for correlating anatomical features and dose distributions at voxel-level. One hundred and ninety nasopharyngeal cancer (NPC) patients treated by HT with multiple planning target volumes (PTVs) in different prescription patterns were studied. The model was typically trained from scratch with weights randomly initialized rather than using transfer-learning method, and used to predict new patient's 3D dose distributions. The predictive accuracy was evaluated with three methods: (a) The dose difference at the position r, δ(r, r) = Dc(r) − Dp(r), was calculated for each voxel. The mean (μδ(r,r)) and standard deviation (σδ(r,r)) of δ(r, r) were calculated to assess the prediction bias and precision; (b) The mean absolute differences of dosimetric indexes (DIs) including maximum and mean dose, homogeneity index, conformity index, and dose spillage for PTVs and organ at risks (OARs) were calculated and statistically analyzed with the paired-samples t test; (c) Dice similarity coefficients (DSC) between predicted and clinical isodose volumes were calculated. Results: The U-ResNet-D model predicted 3D dose distribution accurately. For twenty tested patients, the prediction bias ranged from −2.0% to 2.3% and prediction error varied from 1.5% to 4.5% (relative to prescription) for 3D dose differences. The mean absolute dose differences for PTVs and OARs are within 2.0% and 4.2%, and nearly all the DIs for PTVs and OARs had no significant differences. The averaged DSC ranged from 0.95 to 1 for different isodose volumes. Conclusions: The study developed a new deep learning method for 3D voxel-by-voxel dose prediction, and shown to be able to produce accurately dose predictions for nasopharyngeal patients treated by HT. The predicted 3D dose map can be useful for improving radiotherapy planning design, ensuring plan quality and consistency, making clinical technique comparison, and guiding automatic treatment planning.","author":[{"dropping-particle":"","family":"Liu","given":"Zhiqiang","non-dropping-particle":"","parse-names":false,"suffix":""},{"dropping-particle":"","family":"Fan","given":"Jiawei","non-dropping-particle":"","parse-names":false,"suffix":""},{"dropping-particle":"","family":"Li","given":"Minghui","non-dropping-particle":"","parse-names":false,"suffix":""},{"dropping-particle":"","family":"Yan","given":"Hui","non-dropping-particle":"","parse-names":false,"suffix":""},{"dropping-particle":"","family":"Hu","given":"Zhihui","non-dropping-particle":"","parse-names":false,"suffix":""},{"dropping-particle":"","family":"Huang","given":"Peng","non-dropping-particle":"","parse-names":false,"suffix":""},{"dropping-particle":"","family":"Tian","given":"Yuan","non-dropping-particle":"","parse-names":false,"suffix":""},{"dropping-particle":"","family":"Miao","given":"Junjie","non-dropping-particle":"","parse-names":false,"suffix":""},{"dropping-particle":"","family":"Dai","given":"Jianrong","non-dropping-particle":"","parse-names":false,"suffix":""}],"container-title":"Medical Physics","id":"ITEM-1","issue":"5","issued":{"date-parts":[["2019"]]},"page":"1972-1983","title":"A deep learning method for prediction of three-dimensional dose distribution of helical tomotherapy","type":"article-journal","volume":"46"},"uris":["http://www.mendeley.com/documents/?uuid=a2e3213e-d2b3-48a8-9706-1861edddff98"]}],"mendeley":{"formattedCitation":"(Liu et al., 2019)","plainTextFormattedCitation":"(Liu et al., 2019)","previouslyFormattedCitation":"(Liu et al., 2019)"},"properties":{"noteIndex":0},"schema":"https://github.com/citation-style-language/schema/raw/master/csl-citation.json"}</w:instrText>
      </w:r>
      <w:r w:rsidR="002D476B" w:rsidRPr="000973C4">
        <w:rPr>
          <w:rFonts w:ascii="Arial" w:hAnsi="Arial" w:cs="Arial"/>
        </w:rPr>
        <w:fldChar w:fldCharType="separate"/>
      </w:r>
      <w:r w:rsidR="002D476B" w:rsidRPr="000973C4">
        <w:rPr>
          <w:rFonts w:ascii="Arial" w:hAnsi="Arial" w:cs="Arial"/>
          <w:noProof/>
        </w:rPr>
        <w:t>(Liu et al., 2019)</w:t>
      </w:r>
      <w:r w:rsidR="002D476B" w:rsidRPr="000973C4">
        <w:rPr>
          <w:rFonts w:ascii="Arial" w:hAnsi="Arial" w:cs="Arial"/>
        </w:rPr>
        <w:fldChar w:fldCharType="end"/>
      </w:r>
      <w:r w:rsidRPr="000973C4">
        <w:rPr>
          <w:rFonts w:ascii="Arial" w:hAnsi="Arial" w:cs="Arial"/>
        </w:rPr>
        <w:t>.</w:t>
      </w:r>
    </w:p>
    <w:p w14:paraId="109250E9" w14:textId="538451F9" w:rsidR="0058458F" w:rsidRPr="000973C4" w:rsidRDefault="00C42E17" w:rsidP="00441B6F">
      <w:pPr>
        <w:pStyle w:val="Body"/>
        <w:spacing w:after="0"/>
        <w:rPr>
          <w:rFonts w:ascii="Arial" w:hAnsi="Arial" w:cs="Arial"/>
        </w:rPr>
      </w:pPr>
      <w:r w:rsidRPr="000973C4">
        <w:rPr>
          <w:rFonts w:ascii="Arial" w:hAnsi="Arial" w:cs="Arial"/>
        </w:rPr>
        <w:t xml:space="preserve">With advancements in external radiotherapy techniques, treatment planning has become more complex, leading to increased planning time and variations in quality. One major challenge is inverse planning, where clinical requirements are converted into a one-dimensional dose-volume histogram (DVH). The rationality behind setting DVH objectives and their relative weights varies among medical physicists, leading to inconsistencies in planning quality. While clinical protocols and planning templates help establish default DVH goals and weights, adjusting these parameters to achieve optimal clinical outcomes remains challenging, particularly when trade-offs are required </w:t>
      </w:r>
      <w:r w:rsidR="002D476B" w:rsidRPr="000973C4">
        <w:rPr>
          <w:rFonts w:ascii="Arial" w:hAnsi="Arial" w:cs="Arial"/>
        </w:rPr>
        <w:fldChar w:fldCharType="begin" w:fldLock="1"/>
      </w:r>
      <w:r w:rsidR="002D476B" w:rsidRPr="000973C4">
        <w:rPr>
          <w:rFonts w:ascii="Arial" w:hAnsi="Arial" w:cs="Arial"/>
        </w:rPr>
        <w:instrText>ADDIN CSL_CITATION {"citationItems":[{"id":"ITEM-1","itemData":{"DOI":"10.1002/mp.13490","ISSN":"24734209","PMID":"30870586","abstract":"Purpose: To develop a deep learning method for prediction of three-dimensional (3D) voxel-by-voxel dose distributions of helical tomotherapy (HT). Methods: Using previously treated HT plans as training data, a deep learning model named U-ResNet-D was trained to predict a 3D dose distribution. First, the contoured structures and dose volumes were converted from plan database to 3D matrix with a program based on a developed visualization toolkit (VTK), then transferred to U-ResNet-D for correlating anatomical features and dose distributions at voxel-level. One hundred and ninety nasopharyngeal cancer (NPC) patients treated by HT with multiple planning target volumes (PTVs) in different prescription patterns were studied. The model was typically trained from scratch with weights randomly initialized rather than using transfer-learning method, and used to predict new patient's 3D dose distributions. The predictive accuracy was evaluated with three methods: (a) The dose difference at the position r, δ(r, r) = Dc(r) − Dp(r), was calculated for each voxel. The mean (μδ(r,r)) and standard deviation (σδ(r,r)) of δ(r, r) were calculated to assess the prediction bias and precision; (b) The mean absolute differences of dosimetric indexes (DIs) including maximum and mean dose, homogeneity index, conformity index, and dose spillage for PTVs and organ at risks (OARs) were calculated and statistically analyzed with the paired-samples t test; (c) Dice similarity coefficients (DSC) between predicted and clinical isodose volumes were calculated. Results: The U-ResNet-D model predicted 3D dose distribution accurately. For twenty tested patients, the prediction bias ranged from −2.0% to 2.3% and prediction error varied from 1.5% to 4.5% (relative to prescription) for 3D dose differences. The mean absolute dose differences for PTVs and OARs are within 2.0% and 4.2%, and nearly all the DIs for PTVs and OARs had no significant differences. The averaged DSC ranged from 0.95 to 1 for different isodose volumes. Conclusions: The study developed a new deep learning method for 3D voxel-by-voxel dose prediction, and shown to be able to produce accurately dose predictions for nasopharyngeal patients treated by HT. The predicted 3D dose map can be useful for improving radiotherapy planning design, ensuring plan quality and consistency, making clinical technique comparison, and guiding automatic treatment planning.","author":[{"dropping-particle":"","family":"Liu","given":"Zhiqiang","non-dropping-particle":"","parse-names":false,"suffix":""},{"dropping-particle":"","family":"Fan","given":"Jiawei","non-dropping-particle":"","parse-names":false,"suffix":""},{"dropping-particle":"","family":"Li","given":"Minghui","non-dropping-particle":"","parse-names":false,"suffix":""},{"dropping-particle":"","family":"Yan","given":"Hui","non-dropping-particle":"","parse-names":false,"suffix":""},{"dropping-particle":"","family":"Hu","given":"Zhihui","non-dropping-particle":"","parse-names":false,"suffix":""},{"dropping-particle":"","family":"Huang","given":"Peng","non-dropping-particle":"","parse-names":false,"suffix":""},{"dropping-particle":"","family":"Tian","given":"Yuan","non-dropping-particle":"","parse-names":false,"suffix":""},{"dropping-particle":"","family":"Miao","given":"Junjie","non-dropping-particle":"","parse-names":false,"suffix":""},{"dropping-particle":"","family":"Dai","given":"Jianrong","non-dropping-particle":"","parse-names":false,"suffix":""}],"container-title":"Medical Physics","id":"ITEM-1","issue":"5","issued":{"date-parts":[["2019"]]},"page":"1972-1983","title":"A deep learning method for prediction of three-dimensional dose distribution of helical tomotherapy","type":"article-journal","volume":"46"},"uris":["http://www.mendeley.com/documents/?uuid=a2e3213e-d2b3-48a8-9706-1861edddff98"]}],"mendeley":{"formattedCitation":"(Liu et al., 2019)","plainTextFormattedCitation":"(Liu et al., 2019)","previouslyFormattedCitation":"(Liu et al., 2019)"},"properties":{"noteIndex":0},"schema":"https://github.com/citation-style-language/schema/raw/master/csl-citation.json"}</w:instrText>
      </w:r>
      <w:r w:rsidR="002D476B" w:rsidRPr="000973C4">
        <w:rPr>
          <w:rFonts w:ascii="Arial" w:hAnsi="Arial" w:cs="Arial"/>
        </w:rPr>
        <w:fldChar w:fldCharType="separate"/>
      </w:r>
      <w:r w:rsidR="002D476B" w:rsidRPr="000973C4">
        <w:rPr>
          <w:rFonts w:ascii="Arial" w:hAnsi="Arial" w:cs="Arial"/>
          <w:noProof/>
        </w:rPr>
        <w:t>(Liu et al., 2019)</w:t>
      </w:r>
      <w:r w:rsidR="002D476B" w:rsidRPr="000973C4">
        <w:rPr>
          <w:rFonts w:ascii="Arial" w:hAnsi="Arial" w:cs="Arial"/>
        </w:rPr>
        <w:fldChar w:fldCharType="end"/>
      </w:r>
      <w:r w:rsidRPr="000973C4">
        <w:rPr>
          <w:rFonts w:ascii="Arial" w:hAnsi="Arial" w:cs="Arial"/>
        </w:rPr>
        <w:t>.</w:t>
      </w:r>
    </w:p>
    <w:p w14:paraId="32D01B9A" w14:textId="7851CC3D" w:rsidR="00C42E17" w:rsidRPr="000973C4" w:rsidRDefault="00C42E17" w:rsidP="00441B6F">
      <w:pPr>
        <w:pStyle w:val="Body"/>
        <w:spacing w:after="0"/>
        <w:rPr>
          <w:rFonts w:ascii="Arial" w:hAnsi="Arial" w:cs="Arial"/>
        </w:rPr>
      </w:pPr>
      <w:r w:rsidRPr="000973C4">
        <w:rPr>
          <w:rFonts w:ascii="Arial" w:hAnsi="Arial" w:cs="Arial"/>
        </w:rPr>
        <w:t xml:space="preserve">Several efforts have been made to predict radiotherapy dose distribution using machine learning (ML) by leveraging previous patient plans, structural data, or dose information to automatically predict DVH curves and dose constraints. While these methods have demonstrated predictive accuracy and improved planning consistency, they still rely on manual feature extraction for input into DVH models </w:t>
      </w:r>
      <w:r w:rsidR="002D476B" w:rsidRPr="000973C4">
        <w:rPr>
          <w:rFonts w:ascii="Arial" w:hAnsi="Arial" w:cs="Arial"/>
        </w:rPr>
        <w:fldChar w:fldCharType="begin" w:fldLock="1"/>
      </w:r>
      <w:r w:rsidR="002D476B" w:rsidRPr="000973C4">
        <w:rPr>
          <w:rFonts w:ascii="Arial" w:hAnsi="Arial" w:cs="Arial"/>
        </w:rPr>
        <w:instrText>ADDIN CSL_CITATION {"citationItems":[{"id":"ITEM-1","itemData":{"DOI":"10.1002/mp.13490","ISSN":"24734209","PMID":"30870586","abstract":"Purpose: To develop a deep learning method for prediction of three-dimensional (3D) voxel-by-voxel dose distributions of helical tomotherapy (HT). Methods: Using previously treated HT plans as training data, a deep learning model named U-ResNet-D was trained to predict a 3D dose distribution. First, the contoured structures and dose volumes were converted from plan database to 3D matrix with a program based on a developed visualization toolkit (VTK), then transferred to U-ResNet-D for correlating anatomical features and dose distributions at voxel-level. One hundred and ninety nasopharyngeal cancer (NPC) patients treated by HT with multiple planning target volumes (PTVs) in different prescription patterns were studied. The model was typically trained from scratch with weights randomly initialized rather than using transfer-learning method, and used to predict new patient's 3D dose distributions. The predictive accuracy was evaluated with three methods: (a) The dose difference at the position r, δ(r, r) = Dc(r) − Dp(r), was calculated for each voxel. The mean (μδ(r,r)) and standard deviation (σδ(r,r)) of δ(r, r) were calculated to assess the prediction bias and precision; (b) The mean absolute differences of dosimetric indexes (DIs) including maximum and mean dose, homogeneity index, conformity index, and dose spillage for PTVs and organ at risks (OARs) were calculated and statistically analyzed with the paired-samples t test; (c) Dice similarity coefficients (DSC) between predicted and clinical isodose volumes were calculated. Results: The U-ResNet-D model predicted 3D dose distribution accurately. For twenty tested patients, the prediction bias ranged from −2.0% to 2.3% and prediction error varied from 1.5% to 4.5% (relative to prescription) for 3D dose differences. The mean absolute dose differences for PTVs and OARs are within 2.0% and 4.2%, and nearly all the DIs for PTVs and OARs had no significant differences. The averaged DSC ranged from 0.95 to 1 for different isodose volumes. Conclusions: The study developed a new deep learning method for 3D voxel-by-voxel dose prediction, and shown to be able to produce accurately dose predictions for nasopharyngeal patients treated by HT. The predicted 3D dose map can be useful for improving radiotherapy planning design, ensuring plan quality and consistency, making clinical technique comparison, and guiding automatic treatment planning.","author":[{"dropping-particle":"","family":"Liu","given":"Zhiqiang","non-dropping-particle":"","parse-names":false,"suffix":""},{"dropping-particle":"","family":"Fan","given":"Jiawei","non-dropping-particle":"","parse-names":false,"suffix":""},{"dropping-particle":"","family":"Li","given":"Minghui","non-dropping-particle":"","parse-names":false,"suffix":""},{"dropping-particle":"","family":"Yan","given":"Hui","non-dropping-particle":"","parse-names":false,"suffix":""},{"dropping-particle":"","family":"Hu","given":"Zhihui","non-dropping-particle":"","parse-names":false,"suffix":""},{"dropping-particle":"","family":"Huang","given":"Peng","non-dropping-particle":"","parse-names":false,"suffix":""},{"dropping-particle":"","family":"Tian","given":"Yuan","non-dropping-particle":"","parse-names":false,"suffix":""},{"dropping-particle":"","family":"Miao","given":"Junjie","non-dropping-particle":"","parse-names":false,"suffix":""},{"dropping-particle":"","family":"Dai","given":"Jianrong","non-dropping-particle":"","parse-names":false,"suffix":""}],"container-title":"Medical Physics","id":"ITEM-1","issue":"5","issued":{"date-parts":[["2019"]]},"page":"1972-1983","title":"A deep learning method for prediction of three-dimensional dose distribution of helical tomotherapy","type":"article-journal","volume":"46"},"uris":["http://www.mendeley.com/documents/?uuid=a2e3213e-d2b3-48a8-9706-1861edddff98"]}],"mendeley":{"formattedCitation":"(Liu et al., 2019)","plainTextFormattedCitation":"(Liu et al., 2019)","previouslyFormattedCitation":"(Liu et al., 2019)"},"properties":{"noteIndex":0},"schema":"https://github.com/citation-style-language/schema/raw/master/csl-citation.json"}</w:instrText>
      </w:r>
      <w:r w:rsidR="002D476B" w:rsidRPr="000973C4">
        <w:rPr>
          <w:rFonts w:ascii="Arial" w:hAnsi="Arial" w:cs="Arial"/>
        </w:rPr>
        <w:fldChar w:fldCharType="separate"/>
      </w:r>
      <w:r w:rsidR="002D476B" w:rsidRPr="000973C4">
        <w:rPr>
          <w:rFonts w:ascii="Arial" w:hAnsi="Arial" w:cs="Arial"/>
          <w:noProof/>
        </w:rPr>
        <w:t>(Liu et al., 2019)</w:t>
      </w:r>
      <w:r w:rsidR="002D476B" w:rsidRPr="000973C4">
        <w:rPr>
          <w:rFonts w:ascii="Arial" w:hAnsi="Arial" w:cs="Arial"/>
        </w:rPr>
        <w:fldChar w:fldCharType="end"/>
      </w:r>
      <w:r w:rsidRPr="000973C4">
        <w:rPr>
          <w:rFonts w:ascii="Arial" w:hAnsi="Arial" w:cs="Arial"/>
        </w:rPr>
        <w:t xml:space="preserve">. Recently, a new paradigm has emerged in three-dimensional dose distribution prediction using deep learning, which integrates imaging results with structured and unstructured planning data. This approach utilizes connected layers that are versatile, fast-converging, and architecturally simple. However, it tends to generalize poorly when dealing with high-dimensional data. One promising alternative is the Convolutional Neural Network (CNN), which is specifically designed for image segmentation problems and can be implemented using architectures such as U-Net, V-Net, or dilated convolution networks </w:t>
      </w:r>
      <w:r w:rsidR="002D476B" w:rsidRPr="000973C4">
        <w:rPr>
          <w:rFonts w:ascii="Arial" w:hAnsi="Arial" w:cs="Arial"/>
        </w:rPr>
        <w:fldChar w:fldCharType="begin" w:fldLock="1"/>
      </w:r>
      <w:r w:rsidR="00957896" w:rsidRPr="000973C4">
        <w:rPr>
          <w:rFonts w:ascii="Arial" w:hAnsi="Arial" w:cs="Arial"/>
        </w:rPr>
        <w:instrText xml:space="preserve">ADDIN CSL_CITATION {"citationItems":[{"id":"ITEM-1","itemData":{"DOI":"10.1088/1361-6560/aaef74","ISSN":"13616560","PMID":"30511663","abstract":"The goal of this study is to demonstrate the feasibility of a novel fully-convolutional volumetric dose prediction neural network (DoseNet) and test its performance on a cohort of prostate stereotactic body radiotherapy (SBRT) patients. DoseNet is suggested as a superior alternative to U-Net and fully connected distance map-based neural networks for non-coplanar SBRT prostate dose prediction. DoseNet utilizes 3D convolutional downsampling with corresponding 3D deconvolutional upsampling to preserve memory while simultaneously increasing the receptive field of the network. DoseNet was implemented on 2 Nvidia 1080 Ti graphics processing units and utilizes a 3 phase learning protocol to help achieve convergence and improve generalization. DoseNet was trained, validated, and tested with 151 patients following Kaggle completion rules. The dosimetric quality of DoseNet was evaluated by comparing the predicted dose distribution with the clinically approved delivered dose distribution in terms of conformity index, heterogeneity index, and various clinically relevant dosimetric parameters. The results indicate that the DoseNet algorithm is a superior alternative to U-Net and fully connected methods for prostate SBRT patients. DoseNet required </w:instrText>
      </w:r>
      <w:r w:rsidR="00957896" w:rsidRPr="000973C4">
        <w:rPr>
          <w:rFonts w:ascii="Cambria Math" w:hAnsi="Cambria Math" w:cs="Cambria Math"/>
        </w:rPr>
        <w:instrText>∼</w:instrText>
      </w:r>
      <w:r w:rsidR="00957896" w:rsidRPr="000973C4">
        <w:rPr>
          <w:rFonts w:ascii="Arial" w:hAnsi="Arial" w:cs="Arial"/>
        </w:rPr>
        <w:instrText xml:space="preserve">50.1 h to train, and </w:instrText>
      </w:r>
      <w:r w:rsidR="00957896" w:rsidRPr="000973C4">
        <w:rPr>
          <w:rFonts w:ascii="Cambria Math" w:hAnsi="Cambria Math" w:cs="Cambria Math"/>
        </w:rPr>
        <w:instrText>∼</w:instrText>
      </w:r>
      <w:r w:rsidR="00957896" w:rsidRPr="000973C4">
        <w:rPr>
          <w:rFonts w:ascii="Arial" w:hAnsi="Arial" w:cs="Arial"/>
        </w:rPr>
        <w:instrText>0.83 s to make a prediction on a 128 × 128 × 64 voxel image. In conclusion, DoseNet is capable of making accurate volumetric dose predictions for non-coplanar SBRT prostate patients, while simultaneously preserving computational efficiency.","author":[{"dropping-particle":"","family":"Kearney","given":"Vasant","non-dropping-particle":"","parse-names":false,"suffix":""},{"dropping-particle":"","family":"Chan","given":"Jason W.","non-dropping-particle":"","parse-names":false,"suffix":""},{"dropping-particle":"","family":"Haaf","given":"Samuel","non-dropping-particle":"","parse-names":false,"suffix":""},{"dropping-particle":"","family":"Descovich","given":"Martina","non-dropping-particle":"","parse-names":false,"suffix":""},{"dropping-particle":"","family":"Solberg","given":"Timothy D.","non-dropping-particle":"","parse-names":false,"suffix":""}],"container-title":"Physics in Medicine and Biology","id":"ITEM-1","issue":"23","issued":{"date-parts":[["2018"]]},"title":"DoseNet: A volumetric dose prediction algorithm using 3D fully-convolutional neural networks","type":"article-journal","volume":"63"},"uris":["http://www.mendeley.com/documents/?uuid=f30ecb77-cd27-45cf-966d-7235c9c026f7"]}],"mendeley":{"formattedCitation":"(Kearney et al., 2018)","plainTextFormattedCitation":"(Kearney et al., 2018)","previouslyFormattedCitation":"(Kearney et al., 2018)"},"properties":{"noteIndex":0},"schema":"https://github.com/citation-style-language/schema/raw/master/csl-citation.json"}</w:instrText>
      </w:r>
      <w:r w:rsidR="002D476B" w:rsidRPr="000973C4">
        <w:rPr>
          <w:rFonts w:ascii="Arial" w:hAnsi="Arial" w:cs="Arial"/>
        </w:rPr>
        <w:fldChar w:fldCharType="separate"/>
      </w:r>
      <w:r w:rsidR="002D476B" w:rsidRPr="000973C4">
        <w:rPr>
          <w:rFonts w:ascii="Arial" w:hAnsi="Arial" w:cs="Arial"/>
          <w:noProof/>
        </w:rPr>
        <w:t>(Kearney et al., 2018)</w:t>
      </w:r>
      <w:r w:rsidR="002D476B" w:rsidRPr="000973C4">
        <w:rPr>
          <w:rFonts w:ascii="Arial" w:hAnsi="Arial" w:cs="Arial"/>
        </w:rPr>
        <w:fldChar w:fldCharType="end"/>
      </w:r>
      <w:r w:rsidRPr="000973C4">
        <w:rPr>
          <w:rFonts w:ascii="Arial" w:hAnsi="Arial" w:cs="Arial"/>
        </w:rPr>
        <w:t>.</w:t>
      </w:r>
    </w:p>
    <w:p w14:paraId="1053BD9D" w14:textId="35D40A78" w:rsidR="00C42E17" w:rsidRPr="000973C4" w:rsidRDefault="00C42E17" w:rsidP="00441B6F">
      <w:pPr>
        <w:pStyle w:val="Body"/>
        <w:spacing w:after="0"/>
        <w:rPr>
          <w:rFonts w:ascii="Arial" w:hAnsi="Arial" w:cs="Arial"/>
        </w:rPr>
      </w:pPr>
      <w:r w:rsidRPr="000973C4">
        <w:rPr>
          <w:rFonts w:ascii="Arial" w:hAnsi="Arial" w:cs="Arial"/>
        </w:rPr>
        <w:t>Patient-specific dose distribution prediction is crucial for accelerating radiotherapy planning by medical physicists, ensuring efficient treatment for glioblastoma patients. This study aims to evaluate the performance of machine learning in predicting patient-specific radiotherapy dose distribution for glioblastoma treatment, contributing to the advancement of automated dose planning in radiation oncology. Thus, this study not only builds upon previous research in dose prediction but also focuses on improving the accuracy and efficiency of radiotherapy planning, which is expected to enhance treatment precision and patient outcomes.</w:t>
      </w:r>
    </w:p>
    <w:p w14:paraId="1ED896DE" w14:textId="77777777" w:rsidR="00790ADA" w:rsidRPr="000973C4" w:rsidRDefault="00790ADA" w:rsidP="00441B6F">
      <w:pPr>
        <w:pStyle w:val="Body"/>
        <w:spacing w:after="0"/>
        <w:rPr>
          <w:rFonts w:ascii="Arial" w:hAnsi="Arial" w:cs="Arial"/>
        </w:rPr>
      </w:pPr>
    </w:p>
    <w:p w14:paraId="76207500" w14:textId="193ECB95" w:rsidR="007F7B32" w:rsidRPr="000973C4" w:rsidRDefault="00902823" w:rsidP="009656D1">
      <w:pPr>
        <w:pStyle w:val="Heading1"/>
      </w:pPr>
      <w:r w:rsidRPr="000973C4">
        <w:t xml:space="preserve">2. </w:t>
      </w:r>
      <w:r w:rsidR="009656D1" w:rsidRPr="000973C4">
        <w:t>M</w:t>
      </w:r>
      <w:r w:rsidR="00A63C52" w:rsidRPr="000973C4">
        <w:t>ATERIALS AND METHODS</w:t>
      </w:r>
      <w:r w:rsidR="007F7B32" w:rsidRPr="000973C4">
        <w:t xml:space="preserve"> </w:t>
      </w:r>
    </w:p>
    <w:p w14:paraId="49D82D8F" w14:textId="77777777" w:rsidR="00790ADA" w:rsidRPr="000973C4" w:rsidRDefault="00790ADA" w:rsidP="00441B6F">
      <w:pPr>
        <w:pStyle w:val="Body"/>
        <w:spacing w:after="0"/>
        <w:rPr>
          <w:rFonts w:ascii="Arial" w:hAnsi="Arial" w:cs="Arial"/>
        </w:rPr>
      </w:pPr>
    </w:p>
    <w:p w14:paraId="647ADEAE" w14:textId="46BCE35D" w:rsidR="009656D1" w:rsidRPr="000973C4" w:rsidRDefault="00AA74E0" w:rsidP="008842E2">
      <w:pPr>
        <w:pStyle w:val="Heading2"/>
        <w:rPr>
          <w:rFonts w:cs="Times New Roman"/>
        </w:rPr>
      </w:pPr>
      <w:r w:rsidRPr="000973C4">
        <w:t xml:space="preserve">2.1 </w:t>
      </w:r>
      <w:r w:rsidR="00A63C52" w:rsidRPr="000973C4">
        <w:t>Materials</w:t>
      </w:r>
      <w:r w:rsidRPr="000973C4">
        <w:t xml:space="preserve">  </w:t>
      </w:r>
    </w:p>
    <w:p w14:paraId="0664830F" w14:textId="77777777" w:rsidR="008842E2" w:rsidRPr="000973C4" w:rsidRDefault="008842E2" w:rsidP="00441B6F">
      <w:pPr>
        <w:pStyle w:val="Body"/>
        <w:spacing w:after="0"/>
        <w:rPr>
          <w:rFonts w:ascii="Arial" w:hAnsi="Arial" w:cs="Arial"/>
        </w:rPr>
      </w:pPr>
    </w:p>
    <w:p w14:paraId="2943C8BF" w14:textId="18C113FA" w:rsidR="00A63C52" w:rsidRPr="000973C4" w:rsidRDefault="00A63C52" w:rsidP="00441B6F">
      <w:pPr>
        <w:pStyle w:val="Body"/>
        <w:spacing w:after="0"/>
        <w:rPr>
          <w:rFonts w:ascii="Arial" w:hAnsi="Arial" w:cs="Arial"/>
        </w:rPr>
      </w:pPr>
      <w:r w:rsidRPr="000973C4">
        <w:rPr>
          <w:rFonts w:ascii="Arial" w:hAnsi="Arial" w:cs="Arial"/>
        </w:rPr>
        <w:t xml:space="preserve">The dataset used in this study was obtained from The Cancer Imaging Archive (TCIA) under the University of Arkansas for Medical Science. The dataset titled </w:t>
      </w:r>
      <w:proofErr w:type="spellStart"/>
      <w:r w:rsidRPr="000973C4">
        <w:rPr>
          <w:rFonts w:ascii="Arial" w:hAnsi="Arial" w:cs="Arial"/>
        </w:rPr>
        <w:t>Burdenko</w:t>
      </w:r>
      <w:proofErr w:type="spellEnd"/>
      <w:r w:rsidRPr="000973C4">
        <w:rPr>
          <w:rFonts w:ascii="Arial" w:hAnsi="Arial" w:cs="Arial"/>
        </w:rPr>
        <w:t>-GBM-Progression Version 1</w:t>
      </w:r>
      <w:r w:rsidR="009656D1" w:rsidRPr="000973C4">
        <w:rPr>
          <w:rFonts w:ascii="Arial" w:hAnsi="Arial" w:cs="Arial"/>
        </w:rPr>
        <w:t xml:space="preserve"> (</w:t>
      </w:r>
      <w:proofErr w:type="spellStart"/>
      <w:r w:rsidR="009656D1" w:rsidRPr="000973C4">
        <w:rPr>
          <w:rFonts w:ascii="Arial" w:hAnsi="Arial" w:cs="Arial"/>
        </w:rPr>
        <w:t>Zolotova</w:t>
      </w:r>
      <w:proofErr w:type="spellEnd"/>
      <w:r w:rsidR="009656D1" w:rsidRPr="000973C4">
        <w:rPr>
          <w:rFonts w:ascii="Arial" w:hAnsi="Arial" w:cs="Arial"/>
        </w:rPr>
        <w:t xml:space="preserve"> et al., 2023)</w:t>
      </w:r>
      <w:r w:rsidRPr="000973C4">
        <w:rPr>
          <w:rFonts w:ascii="Arial" w:hAnsi="Arial" w:cs="Arial"/>
        </w:rPr>
        <w:t xml:space="preserve">, consists of a total of 180 patients, with 126 cases used for training and 54 cases for testing. </w:t>
      </w:r>
      <w:r w:rsidR="007A1EA2" w:rsidRPr="000973C4">
        <w:rPr>
          <w:rFonts w:ascii="Arial" w:hAnsi="Arial" w:cs="Arial"/>
        </w:rPr>
        <w:t xml:space="preserve">A restricted license agreement has been implemented to ensure compliance with regulations and ethical standards set by the dataset provider for the use of this data. </w:t>
      </w:r>
      <w:r w:rsidRPr="000973C4">
        <w:rPr>
          <w:rFonts w:ascii="Arial" w:hAnsi="Arial" w:cs="Arial"/>
        </w:rPr>
        <w:t xml:space="preserve">It includes MRI and CT images, organ contour structures, radiotherapy planning data, and patient dose distribution maps. In this study, MRI/CT images with organ contours </w:t>
      </w:r>
      <w:r w:rsidR="007C6BB2" w:rsidRPr="000973C4">
        <w:rPr>
          <w:rFonts w:ascii="Arial" w:hAnsi="Arial" w:cs="Arial"/>
        </w:rPr>
        <w:t xml:space="preserve">(RTSTRUCT) </w:t>
      </w:r>
      <w:r w:rsidRPr="000973C4">
        <w:rPr>
          <w:rFonts w:ascii="Arial" w:hAnsi="Arial" w:cs="Arial"/>
        </w:rPr>
        <w:t xml:space="preserve">serve as the input, while radiotherapy dose distribution </w:t>
      </w:r>
      <w:r w:rsidR="007C6BB2" w:rsidRPr="000973C4">
        <w:rPr>
          <w:rFonts w:ascii="Arial" w:hAnsi="Arial" w:cs="Arial"/>
        </w:rPr>
        <w:t xml:space="preserve">(RTDOSE) </w:t>
      </w:r>
      <w:r w:rsidRPr="000973C4">
        <w:rPr>
          <w:rFonts w:ascii="Arial" w:hAnsi="Arial" w:cs="Arial"/>
        </w:rPr>
        <w:t>is used as the label, forming the foundation for the CNN model to be developed.</w:t>
      </w:r>
      <w:r w:rsidR="007A1EA2" w:rsidRPr="000973C4">
        <w:rPr>
          <w:rFonts w:ascii="Arial" w:hAnsi="Arial" w:cs="Arial"/>
        </w:rPr>
        <w:t xml:space="preserve"> In general, a summary of radiotherapy dose distributions among 180 patients is presented in Table 1.</w:t>
      </w:r>
    </w:p>
    <w:p w14:paraId="3DAA3A12" w14:textId="77777777" w:rsidR="00505EEB" w:rsidRPr="000973C4" w:rsidRDefault="00505EEB" w:rsidP="00505EEB">
      <w:pPr>
        <w:pStyle w:val="Body"/>
        <w:spacing w:after="0"/>
        <w:rPr>
          <w:rFonts w:ascii="Arial" w:hAnsi="Arial" w:cs="Arial"/>
        </w:rPr>
      </w:pPr>
    </w:p>
    <w:p w14:paraId="46829FCD" w14:textId="7CFD449D" w:rsidR="00505EEB" w:rsidRPr="000973C4" w:rsidRDefault="00505EEB" w:rsidP="00505EEB">
      <w:pPr>
        <w:tabs>
          <w:tab w:val="left" w:pos="1080"/>
        </w:tabs>
        <w:jc w:val="both"/>
        <w:rPr>
          <w:rFonts w:ascii="Arial" w:hAnsi="Arial"/>
          <w:b/>
        </w:rPr>
      </w:pPr>
      <w:r w:rsidRPr="000973C4">
        <w:rPr>
          <w:rFonts w:ascii="Arial" w:hAnsi="Arial"/>
          <w:b/>
        </w:rPr>
        <w:t>Table 1.</w:t>
      </w:r>
      <w:r w:rsidRPr="000973C4">
        <w:rPr>
          <w:rFonts w:ascii="Arial" w:hAnsi="Arial"/>
          <w:b/>
        </w:rPr>
        <w:tab/>
      </w:r>
      <w:r w:rsidR="005943A0" w:rsidRPr="000973C4">
        <w:rPr>
          <w:rFonts w:ascii="Arial" w:hAnsi="Arial"/>
          <w:b/>
        </w:rPr>
        <w:t>Radiotherapy d</w:t>
      </w:r>
      <w:r w:rsidRPr="000973C4">
        <w:rPr>
          <w:rFonts w:ascii="Arial" w:hAnsi="Arial"/>
          <w:b/>
        </w:rPr>
        <w:t xml:space="preserve">ose summary statistics </w:t>
      </w:r>
    </w:p>
    <w:p w14:paraId="1C395E75" w14:textId="77777777" w:rsidR="00505EEB" w:rsidRPr="000973C4" w:rsidRDefault="00505EEB" w:rsidP="00505EEB">
      <w:pPr>
        <w:tabs>
          <w:tab w:val="left" w:pos="1080"/>
        </w:tabs>
        <w:jc w:val="both"/>
        <w:rPr>
          <w:rFonts w:ascii="Arial" w:hAnsi="Arial"/>
          <w:b/>
        </w:rPr>
      </w:pPr>
    </w:p>
    <w:tbl>
      <w:tblPr>
        <w:tblW w:w="6906" w:type="dxa"/>
        <w:jc w:val="center"/>
        <w:tblLook w:val="01E0" w:firstRow="1" w:lastRow="1" w:firstColumn="1" w:lastColumn="1" w:noHBand="0" w:noVBand="0"/>
      </w:tblPr>
      <w:tblGrid>
        <w:gridCol w:w="2410"/>
        <w:gridCol w:w="1498"/>
        <w:gridCol w:w="1499"/>
        <w:gridCol w:w="1499"/>
      </w:tblGrid>
      <w:tr w:rsidR="00505EEB" w:rsidRPr="000973C4" w14:paraId="371CC807" w14:textId="54EA4B9D" w:rsidTr="00505EEB">
        <w:trPr>
          <w:jc w:val="center"/>
        </w:trPr>
        <w:tc>
          <w:tcPr>
            <w:tcW w:w="2410" w:type="dxa"/>
            <w:tcBorders>
              <w:top w:val="single" w:sz="4" w:space="0" w:color="auto"/>
              <w:bottom w:val="single" w:sz="4" w:space="0" w:color="auto"/>
            </w:tcBorders>
          </w:tcPr>
          <w:p w14:paraId="5FE95FF4" w14:textId="01A07FBB" w:rsidR="00505EEB" w:rsidRPr="000973C4" w:rsidRDefault="00505EEB" w:rsidP="00505EEB">
            <w:pPr>
              <w:jc w:val="both"/>
              <w:rPr>
                <w:rFonts w:ascii="Arial" w:hAnsi="Arial"/>
                <w:b/>
                <w:bCs/>
              </w:rPr>
            </w:pPr>
            <w:r w:rsidRPr="000973C4">
              <w:rPr>
                <w:rFonts w:ascii="Arial" w:hAnsi="Arial" w:cs="Arial"/>
                <w:b/>
                <w:bCs/>
              </w:rPr>
              <w:t>Metric</w:t>
            </w:r>
          </w:p>
        </w:tc>
        <w:tc>
          <w:tcPr>
            <w:tcW w:w="1498" w:type="dxa"/>
            <w:tcBorders>
              <w:top w:val="single" w:sz="4" w:space="0" w:color="auto"/>
              <w:bottom w:val="single" w:sz="4" w:space="0" w:color="auto"/>
            </w:tcBorders>
          </w:tcPr>
          <w:p w14:paraId="17130F5A" w14:textId="086F8D7B" w:rsidR="00505EEB" w:rsidRPr="000973C4" w:rsidRDefault="00505EEB" w:rsidP="00505EEB">
            <w:pPr>
              <w:jc w:val="both"/>
              <w:rPr>
                <w:rFonts w:ascii="Arial" w:hAnsi="Arial"/>
                <w:b/>
                <w:bCs/>
              </w:rPr>
            </w:pPr>
            <w:r w:rsidRPr="000973C4">
              <w:rPr>
                <w:rFonts w:ascii="Arial" w:hAnsi="Arial" w:cs="Arial"/>
                <w:b/>
                <w:bCs/>
              </w:rPr>
              <w:t>Lowest</w:t>
            </w:r>
          </w:p>
        </w:tc>
        <w:tc>
          <w:tcPr>
            <w:tcW w:w="1499" w:type="dxa"/>
            <w:tcBorders>
              <w:top w:val="single" w:sz="4" w:space="0" w:color="auto"/>
              <w:bottom w:val="single" w:sz="4" w:space="0" w:color="auto"/>
            </w:tcBorders>
          </w:tcPr>
          <w:p w14:paraId="51409EE6" w14:textId="3FE800FE" w:rsidR="00505EEB" w:rsidRPr="000973C4" w:rsidRDefault="00505EEB" w:rsidP="00505EEB">
            <w:pPr>
              <w:jc w:val="both"/>
              <w:rPr>
                <w:rFonts w:ascii="Arial" w:hAnsi="Arial"/>
                <w:b/>
                <w:bCs/>
              </w:rPr>
            </w:pPr>
            <w:r w:rsidRPr="000973C4">
              <w:rPr>
                <w:rFonts w:ascii="Arial" w:hAnsi="Arial" w:cs="Arial"/>
                <w:b/>
                <w:bCs/>
              </w:rPr>
              <w:t>Highest</w:t>
            </w:r>
          </w:p>
        </w:tc>
        <w:tc>
          <w:tcPr>
            <w:tcW w:w="1499" w:type="dxa"/>
            <w:tcBorders>
              <w:top w:val="single" w:sz="4" w:space="0" w:color="auto"/>
              <w:bottom w:val="single" w:sz="4" w:space="0" w:color="auto"/>
            </w:tcBorders>
          </w:tcPr>
          <w:p w14:paraId="3B63A26C" w14:textId="427AE4F1" w:rsidR="00505EEB" w:rsidRPr="000973C4" w:rsidRDefault="00505EEB" w:rsidP="00505EEB">
            <w:pPr>
              <w:jc w:val="both"/>
              <w:rPr>
                <w:rFonts w:ascii="Arial" w:hAnsi="Arial"/>
                <w:b/>
                <w:bCs/>
              </w:rPr>
            </w:pPr>
            <w:r w:rsidRPr="000973C4">
              <w:rPr>
                <w:rFonts w:ascii="Arial" w:hAnsi="Arial" w:cs="Arial"/>
                <w:b/>
                <w:bCs/>
              </w:rPr>
              <w:t>Average</w:t>
            </w:r>
          </w:p>
        </w:tc>
      </w:tr>
      <w:tr w:rsidR="00505EEB" w:rsidRPr="000973C4" w14:paraId="0F444F23" w14:textId="09C901F3" w:rsidTr="00505EEB">
        <w:trPr>
          <w:jc w:val="center"/>
        </w:trPr>
        <w:tc>
          <w:tcPr>
            <w:tcW w:w="2410" w:type="dxa"/>
            <w:tcBorders>
              <w:top w:val="single" w:sz="4" w:space="0" w:color="auto"/>
            </w:tcBorders>
          </w:tcPr>
          <w:p w14:paraId="002FDC9C" w14:textId="098809B9" w:rsidR="00505EEB" w:rsidRPr="000973C4" w:rsidRDefault="00505EEB" w:rsidP="00505EEB">
            <w:pPr>
              <w:jc w:val="both"/>
              <w:rPr>
                <w:rFonts w:ascii="Arial" w:hAnsi="Arial" w:cs="Arial"/>
              </w:rPr>
            </w:pPr>
            <w:r w:rsidRPr="000973C4">
              <w:rPr>
                <w:rFonts w:ascii="Arial" w:hAnsi="Arial" w:cs="Arial"/>
              </w:rPr>
              <w:t>Mean Dose (Gy)</w:t>
            </w:r>
          </w:p>
        </w:tc>
        <w:tc>
          <w:tcPr>
            <w:tcW w:w="1498" w:type="dxa"/>
            <w:tcBorders>
              <w:top w:val="single" w:sz="4" w:space="0" w:color="auto"/>
            </w:tcBorders>
          </w:tcPr>
          <w:p w14:paraId="472EF343" w14:textId="42E9A937" w:rsidR="00505EEB" w:rsidRPr="000973C4" w:rsidRDefault="00505EEB" w:rsidP="00505EEB">
            <w:pPr>
              <w:jc w:val="both"/>
              <w:rPr>
                <w:rFonts w:ascii="Arial" w:hAnsi="Arial" w:cs="Arial"/>
              </w:rPr>
            </w:pPr>
            <w:r w:rsidRPr="000973C4">
              <w:rPr>
                <w:rFonts w:ascii="Arial" w:hAnsi="Arial" w:cs="Arial"/>
              </w:rPr>
              <w:t>0.128024</w:t>
            </w:r>
          </w:p>
        </w:tc>
        <w:tc>
          <w:tcPr>
            <w:tcW w:w="1499" w:type="dxa"/>
            <w:tcBorders>
              <w:top w:val="single" w:sz="4" w:space="0" w:color="auto"/>
            </w:tcBorders>
          </w:tcPr>
          <w:p w14:paraId="2469F0B6" w14:textId="190D86DD" w:rsidR="00505EEB" w:rsidRPr="000973C4" w:rsidRDefault="00505EEB" w:rsidP="00505EEB">
            <w:pPr>
              <w:jc w:val="both"/>
              <w:rPr>
                <w:rFonts w:ascii="Arial" w:hAnsi="Arial"/>
              </w:rPr>
            </w:pPr>
            <w:r w:rsidRPr="000973C4">
              <w:rPr>
                <w:rFonts w:ascii="Arial" w:hAnsi="Arial" w:cs="Arial"/>
              </w:rPr>
              <w:t>9.399805</w:t>
            </w:r>
          </w:p>
        </w:tc>
        <w:tc>
          <w:tcPr>
            <w:tcW w:w="1499" w:type="dxa"/>
            <w:tcBorders>
              <w:top w:val="single" w:sz="4" w:space="0" w:color="auto"/>
            </w:tcBorders>
          </w:tcPr>
          <w:p w14:paraId="7F5C6EFC" w14:textId="36FB84A2" w:rsidR="00505EEB" w:rsidRPr="000973C4" w:rsidRDefault="00505EEB" w:rsidP="00505EEB">
            <w:pPr>
              <w:jc w:val="both"/>
              <w:rPr>
                <w:rFonts w:ascii="Arial" w:hAnsi="Arial" w:cs="Arial"/>
              </w:rPr>
            </w:pPr>
            <w:r w:rsidRPr="000973C4">
              <w:rPr>
                <w:rFonts w:ascii="Arial" w:hAnsi="Arial" w:cs="Arial"/>
              </w:rPr>
              <w:t>4.748748</w:t>
            </w:r>
          </w:p>
        </w:tc>
      </w:tr>
      <w:tr w:rsidR="00505EEB" w:rsidRPr="000973C4" w14:paraId="15210F5E" w14:textId="181AC418" w:rsidTr="00505EEB">
        <w:trPr>
          <w:jc w:val="center"/>
        </w:trPr>
        <w:tc>
          <w:tcPr>
            <w:tcW w:w="2410" w:type="dxa"/>
          </w:tcPr>
          <w:p w14:paraId="7543A870" w14:textId="6A1C051A" w:rsidR="00505EEB" w:rsidRPr="000973C4" w:rsidRDefault="00505EEB" w:rsidP="00505EEB">
            <w:pPr>
              <w:jc w:val="both"/>
              <w:rPr>
                <w:rFonts w:ascii="Arial" w:hAnsi="Arial"/>
              </w:rPr>
            </w:pPr>
            <w:r w:rsidRPr="000973C4">
              <w:rPr>
                <w:rFonts w:ascii="Arial" w:hAnsi="Arial" w:cs="Arial"/>
              </w:rPr>
              <w:t>Max Dose (Gy)</w:t>
            </w:r>
          </w:p>
        </w:tc>
        <w:tc>
          <w:tcPr>
            <w:tcW w:w="1498" w:type="dxa"/>
          </w:tcPr>
          <w:p w14:paraId="3FA1C128" w14:textId="4FFCB6DF" w:rsidR="00505EEB" w:rsidRPr="000973C4" w:rsidRDefault="00505EEB" w:rsidP="00505EEB">
            <w:pPr>
              <w:jc w:val="both"/>
              <w:rPr>
                <w:rFonts w:ascii="Arial" w:hAnsi="Arial"/>
              </w:rPr>
            </w:pPr>
            <w:r w:rsidRPr="000973C4">
              <w:rPr>
                <w:rFonts w:ascii="Arial" w:hAnsi="Arial" w:cs="Arial"/>
              </w:rPr>
              <w:t>2.168881</w:t>
            </w:r>
          </w:p>
        </w:tc>
        <w:tc>
          <w:tcPr>
            <w:tcW w:w="1499" w:type="dxa"/>
          </w:tcPr>
          <w:p w14:paraId="1B75E6B9" w14:textId="2D006F97" w:rsidR="00505EEB" w:rsidRPr="000973C4" w:rsidRDefault="00505EEB" w:rsidP="00505EEB">
            <w:pPr>
              <w:jc w:val="both"/>
              <w:rPr>
                <w:rFonts w:ascii="Arial" w:hAnsi="Arial" w:cs="Arial"/>
              </w:rPr>
            </w:pPr>
            <w:r w:rsidRPr="000973C4">
              <w:rPr>
                <w:rFonts w:ascii="Arial" w:hAnsi="Arial" w:cs="Arial"/>
              </w:rPr>
              <w:t>82.261153</w:t>
            </w:r>
          </w:p>
        </w:tc>
        <w:tc>
          <w:tcPr>
            <w:tcW w:w="1499" w:type="dxa"/>
          </w:tcPr>
          <w:p w14:paraId="55E17AA6" w14:textId="04C5C0E3" w:rsidR="00505EEB" w:rsidRPr="000973C4" w:rsidRDefault="00505EEB" w:rsidP="00505EEB">
            <w:pPr>
              <w:jc w:val="both"/>
              <w:rPr>
                <w:rFonts w:ascii="Arial" w:hAnsi="Arial" w:cs="Arial"/>
              </w:rPr>
            </w:pPr>
            <w:r w:rsidRPr="000973C4">
              <w:rPr>
                <w:rFonts w:ascii="Arial" w:hAnsi="Arial" w:cs="Arial"/>
              </w:rPr>
              <w:t>61.005860</w:t>
            </w:r>
          </w:p>
        </w:tc>
      </w:tr>
      <w:tr w:rsidR="00505EEB" w:rsidRPr="000973C4" w14:paraId="052EAF33" w14:textId="462B1968" w:rsidTr="00505EEB">
        <w:trPr>
          <w:jc w:val="center"/>
        </w:trPr>
        <w:tc>
          <w:tcPr>
            <w:tcW w:w="2410" w:type="dxa"/>
            <w:tcBorders>
              <w:bottom w:val="single" w:sz="4" w:space="0" w:color="auto"/>
            </w:tcBorders>
          </w:tcPr>
          <w:p w14:paraId="3057398E" w14:textId="31856D74" w:rsidR="00505EEB" w:rsidRPr="000973C4" w:rsidRDefault="00505EEB" w:rsidP="00505EEB">
            <w:pPr>
              <w:jc w:val="both"/>
              <w:rPr>
                <w:rFonts w:ascii="Arial" w:hAnsi="Arial"/>
              </w:rPr>
            </w:pPr>
            <w:r w:rsidRPr="000973C4">
              <w:rPr>
                <w:rFonts w:ascii="Arial" w:hAnsi="Arial" w:cs="Arial"/>
              </w:rPr>
              <w:t>Dose Coverage (%)</w:t>
            </w:r>
          </w:p>
        </w:tc>
        <w:tc>
          <w:tcPr>
            <w:tcW w:w="1498" w:type="dxa"/>
            <w:tcBorders>
              <w:bottom w:val="single" w:sz="4" w:space="0" w:color="auto"/>
            </w:tcBorders>
          </w:tcPr>
          <w:p w14:paraId="1D47BD1A" w14:textId="66C4BC54" w:rsidR="00505EEB" w:rsidRPr="000973C4" w:rsidRDefault="00505EEB" w:rsidP="00505EEB">
            <w:pPr>
              <w:jc w:val="both"/>
              <w:rPr>
                <w:rFonts w:ascii="Arial" w:hAnsi="Arial"/>
              </w:rPr>
            </w:pPr>
            <w:r w:rsidRPr="000973C4">
              <w:rPr>
                <w:rFonts w:ascii="Arial" w:hAnsi="Arial" w:cs="Arial"/>
              </w:rPr>
              <w:t>22.957565</w:t>
            </w:r>
          </w:p>
        </w:tc>
        <w:tc>
          <w:tcPr>
            <w:tcW w:w="1499" w:type="dxa"/>
            <w:tcBorders>
              <w:bottom w:val="single" w:sz="4" w:space="0" w:color="auto"/>
            </w:tcBorders>
          </w:tcPr>
          <w:p w14:paraId="5FE59269" w14:textId="2479BD68" w:rsidR="00505EEB" w:rsidRPr="000973C4" w:rsidRDefault="00505EEB" w:rsidP="00505EEB">
            <w:pPr>
              <w:jc w:val="both"/>
              <w:rPr>
                <w:rFonts w:ascii="Arial" w:hAnsi="Arial" w:cs="Arial"/>
              </w:rPr>
            </w:pPr>
            <w:r w:rsidRPr="000973C4">
              <w:rPr>
                <w:rFonts w:ascii="Arial" w:hAnsi="Arial" w:cs="Arial"/>
              </w:rPr>
              <w:t>54.255686</w:t>
            </w:r>
          </w:p>
        </w:tc>
        <w:tc>
          <w:tcPr>
            <w:tcW w:w="1499" w:type="dxa"/>
            <w:tcBorders>
              <w:bottom w:val="single" w:sz="4" w:space="0" w:color="auto"/>
            </w:tcBorders>
          </w:tcPr>
          <w:p w14:paraId="7E7A8238" w14:textId="6D63FEEB" w:rsidR="00505EEB" w:rsidRPr="000973C4" w:rsidRDefault="00505EEB" w:rsidP="00505EEB">
            <w:pPr>
              <w:jc w:val="both"/>
              <w:rPr>
                <w:rFonts w:ascii="Arial" w:hAnsi="Arial" w:cs="Arial"/>
              </w:rPr>
            </w:pPr>
            <w:r w:rsidRPr="000973C4">
              <w:rPr>
                <w:rFonts w:ascii="Arial" w:hAnsi="Arial" w:cs="Arial"/>
              </w:rPr>
              <w:t>40.219731</w:t>
            </w:r>
          </w:p>
        </w:tc>
      </w:tr>
    </w:tbl>
    <w:p w14:paraId="2464EBEB" w14:textId="77777777" w:rsidR="00A63C52" w:rsidRPr="000973C4" w:rsidRDefault="00A63C52" w:rsidP="00441B6F">
      <w:pPr>
        <w:pStyle w:val="Body"/>
        <w:spacing w:after="0"/>
        <w:rPr>
          <w:rFonts w:ascii="Arial" w:hAnsi="Arial" w:cs="Arial"/>
        </w:rPr>
      </w:pPr>
    </w:p>
    <w:p w14:paraId="2EE870E4" w14:textId="7CF3C88E" w:rsidR="00A63C52" w:rsidRPr="000973C4" w:rsidRDefault="00A63C52" w:rsidP="008842E2">
      <w:pPr>
        <w:pStyle w:val="Heading2"/>
      </w:pPr>
      <w:r w:rsidRPr="000973C4">
        <w:rPr>
          <w:caps/>
        </w:rPr>
        <w:t xml:space="preserve">2.2 </w:t>
      </w:r>
      <w:r w:rsidRPr="000973C4">
        <w:t xml:space="preserve">Methods </w:t>
      </w:r>
    </w:p>
    <w:p w14:paraId="34F7AD3A" w14:textId="77777777" w:rsidR="00505F06" w:rsidRPr="000973C4" w:rsidRDefault="00505F06" w:rsidP="00441B6F">
      <w:pPr>
        <w:pStyle w:val="Body"/>
        <w:spacing w:after="0"/>
        <w:rPr>
          <w:rFonts w:ascii="Arial" w:hAnsi="Arial" w:cs="Arial"/>
        </w:rPr>
      </w:pPr>
    </w:p>
    <w:p w14:paraId="1CBD5D2B" w14:textId="6365DEF4" w:rsidR="00AA74E0" w:rsidRPr="000973C4" w:rsidRDefault="00AA74E0" w:rsidP="008842E2">
      <w:pPr>
        <w:pStyle w:val="Heading3"/>
        <w:rPr>
          <w:rFonts w:cs="Arial"/>
        </w:rPr>
      </w:pPr>
      <w:r w:rsidRPr="000973C4">
        <w:rPr>
          <w:rFonts w:cs="Arial"/>
        </w:rPr>
        <w:t>2.</w:t>
      </w:r>
      <w:r w:rsidR="00640791" w:rsidRPr="000973C4">
        <w:rPr>
          <w:rFonts w:cs="Arial"/>
        </w:rPr>
        <w:t>2</w:t>
      </w:r>
      <w:r w:rsidRPr="000973C4">
        <w:rPr>
          <w:rFonts w:cs="Arial"/>
        </w:rPr>
        <w:t xml:space="preserve">.1 </w:t>
      </w:r>
      <w:r w:rsidR="00E72DA9" w:rsidRPr="000973C4">
        <w:t>Data Preprocessing</w:t>
      </w:r>
      <w:r w:rsidRPr="000973C4">
        <w:rPr>
          <w:rFonts w:cs="Arial"/>
        </w:rPr>
        <w:t xml:space="preserve"> </w:t>
      </w:r>
    </w:p>
    <w:p w14:paraId="27ABFEF5" w14:textId="77777777" w:rsidR="00505F06" w:rsidRPr="000973C4" w:rsidRDefault="00505F06" w:rsidP="00441B6F">
      <w:pPr>
        <w:pStyle w:val="Body"/>
        <w:spacing w:after="0"/>
        <w:rPr>
          <w:rFonts w:ascii="Arial" w:hAnsi="Arial" w:cs="Arial"/>
        </w:rPr>
      </w:pPr>
    </w:p>
    <w:p w14:paraId="28AD2E64" w14:textId="51FB40ED" w:rsidR="0048106C" w:rsidRPr="000973C4" w:rsidRDefault="0048106C" w:rsidP="0048106C">
      <w:pPr>
        <w:pStyle w:val="Body"/>
        <w:spacing w:after="0"/>
        <w:rPr>
          <w:rFonts w:ascii="Arial" w:hAnsi="Arial" w:cs="Arial"/>
        </w:rPr>
      </w:pPr>
      <w:r w:rsidRPr="000973C4">
        <w:rPr>
          <w:rFonts w:ascii="Arial" w:hAnsi="Arial" w:cs="Arial"/>
        </w:rPr>
        <w:t>Efficient data loading and preprocessing are essential for training a CNN-based model for radiotherapy dose estimation. The dataset comprises DICOM files, including RTSTRUCT (radiotherapy contours) and RTDOSE (dose distribution), stored in a structured directory. Initially, data is split (70-30%) for training and testing, ensuring balanced evaluation. Given the large size of 3D medical images, a data generator loads small batches to prevent memory overflow. Preprocessing begins with contour extraction from RTSTRUCT, identifying critical regions of interest (ROIs) like tumors and organs at risk.</w:t>
      </w:r>
      <w:r w:rsidR="008A1CA1" w:rsidRPr="000973C4">
        <w:rPr>
          <w:rFonts w:ascii="Arial" w:hAnsi="Arial" w:cs="Arial"/>
        </w:rPr>
        <w:t xml:space="preserve"> Considering the variability in image resolution of RTDOSE, all dose maps are resampled to a uniform shape of (128, 128, 128). To ensure consistency across samples, the dose values are normalized between 0 and 1 using min-max scaling. This normalization step contributes to improved model stability by maintaining consistent numerical distributions across the dataset. To enhance generalization and mitigate overfitting, data augmentation techniques are applied during training. These augmentations include random flipping along the three spatial dimensions and small-angle rotations (±10°) around the sagittal, coronal, or axial planes. </w:t>
      </w:r>
      <w:r w:rsidRPr="000973C4">
        <w:rPr>
          <w:rFonts w:ascii="Arial" w:hAnsi="Arial" w:cs="Arial"/>
        </w:rPr>
        <w:t xml:space="preserve">The preprocessed data is fed into the model via the data generator, ensuring efficient training while preserving anatomical structures. </w:t>
      </w:r>
    </w:p>
    <w:p w14:paraId="5812DD40" w14:textId="77777777" w:rsidR="0048106C" w:rsidRPr="000973C4" w:rsidRDefault="0048106C" w:rsidP="00441B6F">
      <w:pPr>
        <w:pStyle w:val="Body"/>
        <w:spacing w:after="0"/>
        <w:rPr>
          <w:rFonts w:ascii="Arial" w:hAnsi="Arial" w:cs="Arial"/>
        </w:rPr>
      </w:pPr>
    </w:p>
    <w:p w14:paraId="3ED6439D" w14:textId="23FB12B0" w:rsidR="007C6BB2" w:rsidRPr="000973C4" w:rsidRDefault="007C6BB2" w:rsidP="008842E2">
      <w:pPr>
        <w:pStyle w:val="Heading3"/>
      </w:pPr>
      <w:r w:rsidRPr="000973C4">
        <w:t>2.</w:t>
      </w:r>
      <w:r w:rsidR="00640791" w:rsidRPr="000973C4">
        <w:t>2</w:t>
      </w:r>
      <w:r w:rsidRPr="000973C4">
        <w:t>.</w:t>
      </w:r>
      <w:r w:rsidR="00640791" w:rsidRPr="000973C4">
        <w:t>2</w:t>
      </w:r>
      <w:r w:rsidRPr="000973C4">
        <w:t xml:space="preserve"> </w:t>
      </w:r>
      <w:r w:rsidR="00E72DA9" w:rsidRPr="000973C4">
        <w:t>CNN Model</w:t>
      </w:r>
      <w:r w:rsidRPr="000973C4">
        <w:t xml:space="preserve">  </w:t>
      </w:r>
    </w:p>
    <w:p w14:paraId="0778B054" w14:textId="77777777" w:rsidR="0048106C" w:rsidRPr="000973C4" w:rsidRDefault="0048106C" w:rsidP="007C6BB2">
      <w:pPr>
        <w:pStyle w:val="Body"/>
        <w:spacing w:after="0"/>
        <w:rPr>
          <w:rFonts w:ascii="Arial" w:hAnsi="Arial" w:cs="Arial"/>
        </w:rPr>
      </w:pPr>
    </w:p>
    <w:p w14:paraId="3E36915D" w14:textId="396CBD81" w:rsidR="008A1CA1" w:rsidRPr="000973C4" w:rsidRDefault="008A1CA1" w:rsidP="00C25CBC">
      <w:pPr>
        <w:pStyle w:val="Body"/>
        <w:rPr>
          <w:rFonts w:ascii="Arial" w:hAnsi="Arial" w:cs="Arial"/>
        </w:rPr>
      </w:pPr>
      <w:r w:rsidRPr="000973C4">
        <w:rPr>
          <w:rFonts w:ascii="Arial" w:hAnsi="Arial" w:cs="Arial"/>
        </w:rPr>
        <w:t xml:space="preserve">The CNN model is designed to process 3D volumetric medical images and predict radiotherapy dose distributions with high precision. The architecture comprises several key components. Convolutional layers are employed to extract spatial features from input images, while an attention mechanism, implemented through a custom </w:t>
      </w:r>
      <w:proofErr w:type="spellStart"/>
      <w:r w:rsidRPr="000973C4">
        <w:rPr>
          <w:rFonts w:ascii="Arial" w:hAnsi="Arial" w:cs="Arial"/>
        </w:rPr>
        <w:t>AttentionLayer</w:t>
      </w:r>
      <w:proofErr w:type="spellEnd"/>
      <w:r w:rsidRPr="000973C4">
        <w:rPr>
          <w:rFonts w:ascii="Arial" w:hAnsi="Arial" w:cs="Arial"/>
        </w:rPr>
        <w:t xml:space="preserve"> with a Conv3D attention filter, enhances the model’s ability to focus on critical dose regions. Max-pooling layers are used to progressively </w:t>
      </w:r>
      <w:proofErr w:type="spellStart"/>
      <w:r w:rsidRPr="000973C4">
        <w:rPr>
          <w:rFonts w:ascii="Arial" w:hAnsi="Arial" w:cs="Arial"/>
        </w:rPr>
        <w:t>downsample</w:t>
      </w:r>
      <w:proofErr w:type="spellEnd"/>
      <w:r w:rsidRPr="000973C4">
        <w:rPr>
          <w:rFonts w:ascii="Arial" w:hAnsi="Arial" w:cs="Arial"/>
        </w:rPr>
        <w:t xml:space="preserve"> feature maps, whereas </w:t>
      </w:r>
      <w:proofErr w:type="spellStart"/>
      <w:r w:rsidRPr="000973C4">
        <w:rPr>
          <w:rFonts w:ascii="Arial" w:hAnsi="Arial" w:cs="Arial"/>
        </w:rPr>
        <w:t>upsampling</w:t>
      </w:r>
      <w:proofErr w:type="spellEnd"/>
      <w:r w:rsidRPr="000973C4">
        <w:rPr>
          <w:rFonts w:ascii="Arial" w:hAnsi="Arial" w:cs="Arial"/>
        </w:rPr>
        <w:t xml:space="preserve"> layers restore spatial resolution in the final dose prediction. The model concludes with a Conv3D output layer, utilizing a linear activation function to generate the final predicted dose distribution. To optimize performance, the model is compiled using the Adam optimizer and trained with a custom weighted loss function. This loss function assigns higher penalties to dose regions exceeding a predefined threshold (0.1 Gy), ensuring more accurate dose estimation in clinically significant areas.</w:t>
      </w:r>
    </w:p>
    <w:p w14:paraId="5F52E462" w14:textId="374D8976" w:rsidR="008A1CA1" w:rsidRPr="000973C4" w:rsidRDefault="008A1CA1" w:rsidP="00C25CBC">
      <w:pPr>
        <w:pStyle w:val="Body"/>
        <w:rPr>
          <w:rFonts w:ascii="Arial" w:hAnsi="Arial" w:cs="Arial"/>
        </w:rPr>
      </w:pPr>
      <w:r w:rsidRPr="000973C4">
        <w:rPr>
          <w:rFonts w:ascii="Arial" w:hAnsi="Arial" w:cs="Arial"/>
        </w:rPr>
        <w:t>To ensure robust model evaluation, a 5-fold cross-validation strategy is implemented. The dataset is partitioned into training and testing subsets in each fold, allowing for comprehensive performance assessment. Multiple evaluation metrics are used to quantify the accuracy of dose predictions. MSE and RMSE are employed to measure absolute prediction errors, while the SSIM evaluates the perceptual similarity between predicted and ground-truth dose maps. The Dice Score assesses the spatial overlap between predicted and actual dose regions, and the PSNR provides insight into the quality of dose predictions. Additionally, NCC quantifies the correlation between predicted and true dose distributions, while a custom accuracy metric calculates the percentage of pixels falling within a predefined error threshold.</w:t>
      </w:r>
      <w:r w:rsidRPr="000973C4">
        <w:t xml:space="preserve"> </w:t>
      </w:r>
      <w:r w:rsidRPr="000973C4">
        <w:rPr>
          <w:rFonts w:ascii="Arial" w:hAnsi="Arial" w:cs="Arial"/>
        </w:rPr>
        <w:t>To facilitate interpretation of the model’s predictions, dose distributions are visualized across the axial, coronal, and sagittal planes.</w:t>
      </w:r>
    </w:p>
    <w:p w14:paraId="744035CA" w14:textId="11B85066" w:rsidR="007C6BB2" w:rsidRPr="000973C4" w:rsidRDefault="007C6BB2" w:rsidP="008842E2">
      <w:pPr>
        <w:pStyle w:val="Heading3"/>
      </w:pPr>
      <w:r w:rsidRPr="000973C4">
        <w:t>2.</w:t>
      </w:r>
      <w:r w:rsidR="00640791" w:rsidRPr="000973C4">
        <w:t>2</w:t>
      </w:r>
      <w:r w:rsidRPr="000973C4">
        <w:t>.</w:t>
      </w:r>
      <w:r w:rsidR="00640791" w:rsidRPr="000973C4">
        <w:t>3</w:t>
      </w:r>
      <w:r w:rsidRPr="000973C4">
        <w:t xml:space="preserve"> </w:t>
      </w:r>
      <w:r w:rsidR="00E72DA9" w:rsidRPr="000973C4">
        <w:t>Quantitative Evaluations</w:t>
      </w:r>
      <w:r w:rsidRPr="000973C4">
        <w:t xml:space="preserve">  </w:t>
      </w:r>
    </w:p>
    <w:p w14:paraId="0C60C9A9" w14:textId="587798FA" w:rsidR="00AA74E0" w:rsidRPr="000973C4" w:rsidRDefault="00AA74E0" w:rsidP="00441B6F">
      <w:pPr>
        <w:pStyle w:val="Body"/>
        <w:spacing w:after="0"/>
        <w:rPr>
          <w:rFonts w:ascii="Arial" w:hAnsi="Arial" w:cs="Arial"/>
        </w:rPr>
      </w:pPr>
    </w:p>
    <w:p w14:paraId="1AF33BC2" w14:textId="56EA8574" w:rsidR="00640791" w:rsidRPr="000973C4" w:rsidRDefault="00C25CBC" w:rsidP="00640791">
      <w:pPr>
        <w:pStyle w:val="Body"/>
        <w:rPr>
          <w:rFonts w:ascii="Arial" w:hAnsi="Arial" w:cs="Arial"/>
        </w:rPr>
      </w:pPr>
      <w:r w:rsidRPr="000973C4">
        <w:rPr>
          <w:rFonts w:ascii="Arial" w:hAnsi="Arial" w:cs="Arial"/>
        </w:rPr>
        <w:t>The performance of the machine learning model is evaluated using metrics such as MSE, RMSE, SSIM</w:t>
      </w:r>
      <w:r w:rsidR="004A4C5A" w:rsidRPr="000973C4">
        <w:rPr>
          <w:rFonts w:ascii="Arial" w:hAnsi="Arial" w:cs="Arial"/>
        </w:rPr>
        <w:t>, D</w:t>
      </w:r>
      <w:r w:rsidR="00E30E2D" w:rsidRPr="000973C4">
        <w:rPr>
          <w:rFonts w:ascii="Arial" w:hAnsi="Arial" w:cs="Arial"/>
        </w:rPr>
        <w:t>SC</w:t>
      </w:r>
      <w:r w:rsidR="004A4C5A" w:rsidRPr="000973C4">
        <w:rPr>
          <w:rFonts w:ascii="Arial" w:hAnsi="Arial" w:cs="Arial"/>
        </w:rPr>
        <w:t>, PSNR, and NCC</w:t>
      </w:r>
      <w:r w:rsidRPr="000973C4">
        <w:rPr>
          <w:rFonts w:ascii="Arial" w:hAnsi="Arial" w:cs="Arial"/>
        </w:rPr>
        <w:t xml:space="preserve">. </w:t>
      </w:r>
      <w:r w:rsidR="007548EB" w:rsidRPr="000973C4">
        <w:rPr>
          <w:rFonts w:ascii="Arial" w:hAnsi="Arial" w:cs="Arial"/>
        </w:rPr>
        <w:t>Mean Squared Error is the average of the squared differences between predicted and actual values. MSE is crucial for identifying outliers and data imbalances within the dataset. Since MSE is always non-negative, a lower value indicates better model fit. A smaller MSE implies a smaller trade-off between bias and variance, improving prediction accuracy</w:t>
      </w:r>
      <w:r w:rsidR="00957896" w:rsidRPr="000973C4">
        <w:rPr>
          <w:rFonts w:ascii="Arial" w:hAnsi="Arial" w:cs="Arial"/>
        </w:rPr>
        <w:t xml:space="preserve"> </w:t>
      </w:r>
      <w:r w:rsidR="00957896" w:rsidRPr="000973C4">
        <w:rPr>
          <w:rFonts w:ascii="Arial" w:hAnsi="Arial" w:cs="Arial"/>
        </w:rPr>
        <w:fldChar w:fldCharType="begin" w:fldLock="1"/>
      </w:r>
      <w:r w:rsidR="00957896" w:rsidRPr="000973C4">
        <w:rPr>
          <w:rFonts w:ascii="Arial" w:hAnsi="Arial" w:cs="Arial"/>
        </w:rPr>
        <w:instrText>ADDIN CSL_CITATION {"citationItems":[{"id":"ITEM-1","itemData":{"DOI":"10.5194/gmd-15-5481-2022","ISSN":"19919603","abstract":"The root-mean-squared error (RMSE) and mean absolute error (MAE) are widely used metrics for evaluating models. Yet, there remains enduring confusion over their use, such that a standard practice is to present both, leaving it to the reader to decide which is more relevant. In a recent reprise to the 200-year debate over their use, and give arguments for favoring one metric or the other. However, this comparison can present a false dichotomy. Neither metric is inherently better: RMSE is optimal for normal (Gaussian) errors, and MAE is optimal for Laplacian errors. When errors deviate from these distributions, other metrics are superior.","author":[{"dropping-particle":"","family":"Hodson","given":"Timothy O.","non-dropping-particle":"","parse-names":false,"suffix":""}],"container-title":"Geoscientific Model Development","id":"ITEM-1","issue":"14","issued":{"date-parts":[["2022"]]},"page":"5481-5487","title":"Root-mean-square error (RMSE) or mean absolute error (MAE): when to use them or not","type":"article-journal","volume":"15"},"uris":["http://www.mendeley.com/documents/?uuid=a5d66dfb-0f1d-4af7-bf86-c816f857420b"]}],"mendeley":{"formattedCitation":"(Hodson, 2022)","plainTextFormattedCitation":"(Hodson, 2022)","previouslyFormattedCitation":"(Hodson, 2022)"},"properties":{"noteIndex":0},"schema":"https://github.com/citation-style-language/schema/raw/master/csl-citation.json"}</w:instrText>
      </w:r>
      <w:r w:rsidR="00957896" w:rsidRPr="000973C4">
        <w:rPr>
          <w:rFonts w:ascii="Arial" w:hAnsi="Arial" w:cs="Arial"/>
        </w:rPr>
        <w:fldChar w:fldCharType="separate"/>
      </w:r>
      <w:r w:rsidR="00957896" w:rsidRPr="000973C4">
        <w:rPr>
          <w:rFonts w:ascii="Arial" w:hAnsi="Arial" w:cs="Arial"/>
          <w:noProof/>
        </w:rPr>
        <w:t>(Hodson, 2022)</w:t>
      </w:r>
      <w:r w:rsidR="00957896" w:rsidRPr="000973C4">
        <w:rPr>
          <w:rFonts w:ascii="Arial" w:hAnsi="Arial" w:cs="Arial"/>
        </w:rPr>
        <w:fldChar w:fldCharType="end"/>
      </w:r>
      <w:r w:rsidR="007548EB" w:rsidRPr="000973C4">
        <w:rPr>
          <w:rFonts w:ascii="Arial" w:hAnsi="Arial" w:cs="Arial"/>
        </w:rPr>
        <w:t>. The MSE value can be calculated using the following equation</w:t>
      </w:r>
      <w:r w:rsidR="00957896" w:rsidRPr="000973C4">
        <w:rPr>
          <w:rFonts w:ascii="Arial" w:hAnsi="Arial" w:cs="Arial"/>
        </w:rPr>
        <w:t>.</w:t>
      </w:r>
    </w:p>
    <w:p w14:paraId="273C52B1" w14:textId="6B170ACC" w:rsidR="00640791" w:rsidRPr="000973C4" w:rsidRDefault="00640791" w:rsidP="00640791">
      <w:pPr>
        <w:pStyle w:val="Body"/>
        <w:jc w:val="center"/>
        <w:rPr>
          <w:rFonts w:ascii="Arial" w:hAnsi="Arial" w:cs="Arial"/>
        </w:rPr>
      </w:pPr>
      <m:oMathPara>
        <m:oMath>
          <m:r>
            <w:rPr>
              <w:rFonts w:ascii="Cambria Math" w:hAnsi="Cambria Math"/>
            </w:rPr>
            <m:t>MSE=</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acc>
                    <m:accPr>
                      <m:ctrlPr>
                        <w:rPr>
                          <w:rFonts w:ascii="Cambria Math" w:hAnsi="Cambria Math"/>
                          <w:i/>
                        </w:rPr>
                      </m:ctrlPr>
                    </m:accPr>
                    <m:e>
                      <m:sSub>
                        <m:sSubPr>
                          <m:ctrlPr>
                            <w:rPr>
                              <w:rFonts w:ascii="Cambria Math" w:hAnsi="Cambria Math"/>
                              <w:i/>
                            </w:rPr>
                          </m:ctrlPr>
                        </m:sSubPr>
                        <m:e>
                          <m:r>
                            <w:rPr>
                              <w:rFonts w:ascii="Cambria Math" w:hAnsi="Cambria Math"/>
                            </w:rPr>
                            <m:t>y</m:t>
                          </m:r>
                        </m:e>
                        <m:sub>
                          <m:r>
                            <w:rPr>
                              <w:rFonts w:ascii="Cambria Math" w:hAnsi="Cambria Math"/>
                            </w:rPr>
                            <m:t>i</m:t>
                          </m:r>
                        </m:sub>
                      </m:sSub>
                    </m:e>
                  </m:acc>
                  <m:r>
                    <w:rPr>
                      <w:rFonts w:ascii="Cambria Math" w:hAnsi="Cambria Math"/>
                    </w:rPr>
                    <m:t>)</m:t>
                  </m:r>
                </m:e>
                <m:sup>
                  <m:r>
                    <w:rPr>
                      <w:rFonts w:ascii="Cambria Math" w:hAnsi="Cambria Math"/>
                    </w:rPr>
                    <m:t>2</m:t>
                  </m:r>
                </m:sup>
              </m:sSup>
            </m:e>
          </m:nary>
        </m:oMath>
      </m:oMathPara>
    </w:p>
    <w:p w14:paraId="373F296B" w14:textId="25590946" w:rsidR="00640791" w:rsidRPr="000973C4" w:rsidRDefault="00640791" w:rsidP="00640791">
      <w:pPr>
        <w:pStyle w:val="Body"/>
        <w:rPr>
          <w:rFonts w:ascii="Arial" w:hAnsi="Arial" w:cs="Arial"/>
        </w:rPr>
      </w:pPr>
      <w:r w:rsidRPr="000973C4">
        <w:rPr>
          <w:rFonts w:ascii="Arial" w:hAnsi="Arial" w:cs="Arial"/>
        </w:rPr>
        <w:t xml:space="preserve">Where </w:t>
      </w:r>
      <m:oMath>
        <m:sSub>
          <m:sSubPr>
            <m:ctrlPr>
              <w:rPr>
                <w:rFonts w:ascii="Cambria Math" w:hAnsi="Cambria Math"/>
                <w:i/>
              </w:rPr>
            </m:ctrlPr>
          </m:sSubPr>
          <m:e>
            <m:r>
              <w:rPr>
                <w:rFonts w:ascii="Cambria Math" w:hAnsi="Cambria Math"/>
              </w:rPr>
              <m:t>y</m:t>
            </m:r>
          </m:e>
          <m:sub>
            <m:r>
              <w:rPr>
                <w:rFonts w:ascii="Cambria Math" w:hAnsi="Cambria Math"/>
              </w:rPr>
              <m:t>i</m:t>
            </m:r>
          </m:sub>
        </m:sSub>
      </m:oMath>
      <w:r w:rsidR="007548EB" w:rsidRPr="000973C4">
        <w:rPr>
          <w:rFonts w:ascii="Arial" w:hAnsi="Arial" w:cs="Arial"/>
        </w:rPr>
        <w:t xml:space="preserve"> </w:t>
      </w:r>
      <w:r w:rsidRPr="000973C4">
        <w:rPr>
          <w:rFonts w:ascii="Arial" w:hAnsi="Arial" w:cs="Arial"/>
        </w:rPr>
        <w:t>are</w:t>
      </w:r>
      <w:r w:rsidR="00957896" w:rsidRPr="000973C4">
        <w:rPr>
          <w:rFonts w:ascii="Arial" w:hAnsi="Arial" w:cs="Arial"/>
        </w:rPr>
        <w:t xml:space="preserve"> actual value</w:t>
      </w:r>
      <w:r w:rsidRPr="000973C4">
        <w:rPr>
          <w:rFonts w:ascii="Arial" w:hAnsi="Arial" w:cs="Arial"/>
        </w:rPr>
        <w:t xml:space="preserve"> </w:t>
      </w:r>
      <m:oMath>
        <m:sSub>
          <m:sSubPr>
            <m:ctrlPr>
              <w:rPr>
                <w:rFonts w:ascii="Cambria Math" w:hAnsi="Cambria Math"/>
                <w:i/>
              </w:rPr>
            </m:ctrlPr>
          </m:sSubPr>
          <m:e>
            <m:r>
              <w:rPr>
                <w:rFonts w:ascii="Cambria Math" w:hAnsi="Cambria Math"/>
              </w:rPr>
              <m:t>y</m:t>
            </m:r>
          </m:e>
          <m:sub>
            <m:r>
              <w:rPr>
                <w:rFonts w:ascii="Cambria Math" w:hAnsi="Cambria Math"/>
              </w:rPr>
              <m:t>i</m:t>
            </m:r>
          </m:sub>
        </m:sSub>
      </m:oMath>
      <w:r w:rsidR="00957896" w:rsidRPr="000973C4">
        <w:rPr>
          <w:rFonts w:ascii="Arial" w:hAnsi="Arial" w:cs="Arial"/>
        </w:rPr>
        <w:t xml:space="preserve"> </w:t>
      </w:r>
      <w:r w:rsidRPr="000973C4">
        <w:rPr>
          <w:rFonts w:ascii="Arial" w:hAnsi="Arial" w:cs="Arial"/>
        </w:rPr>
        <w:t>are</w:t>
      </w:r>
      <w:r w:rsidR="00957896" w:rsidRPr="000973C4">
        <w:rPr>
          <w:rFonts w:ascii="Arial" w:hAnsi="Arial" w:cs="Arial"/>
        </w:rPr>
        <w:t xml:space="preserve"> predicted value, and </w:t>
      </w:r>
      <w:r w:rsidR="00957896" w:rsidRPr="000973C4">
        <w:rPr>
          <w:rFonts w:ascii="Arial" w:hAnsi="Arial" w:cs="Arial"/>
          <w:i/>
          <w:iCs/>
        </w:rPr>
        <w:t>n</w:t>
      </w:r>
      <w:r w:rsidR="00957896" w:rsidRPr="000973C4">
        <w:rPr>
          <w:rFonts w:ascii="Arial" w:hAnsi="Arial" w:cs="Arial"/>
        </w:rPr>
        <w:t xml:space="preserve"> represent amount of data. </w:t>
      </w:r>
      <w:r w:rsidR="007548EB" w:rsidRPr="000973C4">
        <w:rPr>
          <w:rFonts w:ascii="Arial" w:hAnsi="Arial" w:cs="Arial"/>
        </w:rPr>
        <w:t xml:space="preserve">Root Mean Squared Error is the square root of MSE, restoring the error unit to the original scale of the target variable. While RMSE is still influenced by outliers, it is less sensitive compared to MSE. Due to this characteristic, RMSE is useful for detecting outliers in machine learning models. It is also intuitive since it is expressed in the same units as the predicted variable, making it a widely used metric for model comparison. In other words, when comparing multiple models and algorithms, the one with the lowest RMSE is considered the most accurate </w:t>
      </w:r>
      <w:r w:rsidR="00957896" w:rsidRPr="000973C4">
        <w:rPr>
          <w:rFonts w:ascii="Arial" w:hAnsi="Arial" w:cs="Arial"/>
        </w:rPr>
        <w:fldChar w:fldCharType="begin" w:fldLock="1"/>
      </w:r>
      <w:r w:rsidR="009D2339" w:rsidRPr="000973C4">
        <w:rPr>
          <w:rFonts w:ascii="Arial" w:hAnsi="Arial" w:cs="Arial"/>
        </w:rPr>
        <w:instrText>ADDIN CSL_CITATION {"citationItems":[{"id":"ITEM-1","itemData":{"DOI":"10.5194/gmd-15-5481-2022","ISSN":"19919603","abstract":"The root-mean-squared error (RMSE) and mean absolute error (MAE) are widely used metrics for evaluating models. Yet, there remains enduring confusion over their use, such that a standard practice is to present both, leaving it to the reader to decide which is more relevant. In a recent reprise to the 200-year debate over their use, and give arguments for favoring one metric or the other. However, this comparison can present a false dichotomy. Neither metric is inherently better: RMSE is optimal for normal (Gaussian) errors, and MAE is optimal for Laplacian errors. When errors deviate from these distributions, other metrics are superior.","author":[{"dropping-particle":"","family":"Hodson","given":"Timothy O.","non-dropping-particle":"","parse-names":false,"suffix":""}],"container-title":"Geoscientific Model Development","id":"ITEM-1","issue":"14","issued":{"date-parts":[["2022"]]},"page":"5481-5487","title":"Root-mean-square error (RMSE) or mean absolute error (MAE): when to use them or not","type":"article-journal","volume":"15"},"uris":["http://www.mendeley.com/documents/?uuid=a5d66dfb-0f1d-4af7-bf86-c816f857420b"]}],"mendeley":{"formattedCitation":"(Hodson, 2022)","plainTextFormattedCitation":"(Hodson, 2022)","previouslyFormattedCitation":"(Hodson, 2022)"},"properties":{"noteIndex":0},"schema":"https://github.com/citation-style-language/schema/raw/master/csl-citation.json"}</w:instrText>
      </w:r>
      <w:r w:rsidR="00957896" w:rsidRPr="000973C4">
        <w:rPr>
          <w:rFonts w:ascii="Arial" w:hAnsi="Arial" w:cs="Arial"/>
        </w:rPr>
        <w:fldChar w:fldCharType="separate"/>
      </w:r>
      <w:r w:rsidR="00957896" w:rsidRPr="000973C4">
        <w:rPr>
          <w:rFonts w:ascii="Arial" w:hAnsi="Arial" w:cs="Arial"/>
          <w:noProof/>
        </w:rPr>
        <w:t>(Hodson, 2022)</w:t>
      </w:r>
      <w:r w:rsidR="00957896" w:rsidRPr="000973C4">
        <w:rPr>
          <w:rFonts w:ascii="Arial" w:hAnsi="Arial" w:cs="Arial"/>
        </w:rPr>
        <w:fldChar w:fldCharType="end"/>
      </w:r>
      <w:r w:rsidR="007548EB" w:rsidRPr="000973C4">
        <w:rPr>
          <w:rFonts w:ascii="Arial" w:hAnsi="Arial" w:cs="Arial"/>
        </w:rPr>
        <w:t>. The RMSE value can be calculated using the following equation</w:t>
      </w:r>
      <w:r w:rsidR="00957896" w:rsidRPr="000973C4">
        <w:rPr>
          <w:rFonts w:ascii="Arial" w:hAnsi="Arial" w:cs="Arial"/>
        </w:rPr>
        <w:t>.</w:t>
      </w:r>
    </w:p>
    <w:p w14:paraId="59FD904E" w14:textId="03A4C36E" w:rsidR="00640791" w:rsidRPr="000973C4" w:rsidRDefault="00640791" w:rsidP="00640791">
      <w:pPr>
        <w:pStyle w:val="Body"/>
        <w:jc w:val="center"/>
        <w:rPr>
          <w:rFonts w:ascii="Arial" w:hAnsi="Arial" w:cs="Arial"/>
        </w:rPr>
      </w:pPr>
      <m:oMathPara>
        <m:oMath>
          <m:r>
            <w:rPr>
              <w:rFonts w:ascii="Cambria Math" w:hAnsi="Cambria Math"/>
            </w:rPr>
            <w:lastRenderedPageBreak/>
            <m:t>RMSE=</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acc>
                        <m:accPr>
                          <m:ctrlPr>
                            <w:rPr>
                              <w:rFonts w:ascii="Cambria Math" w:hAnsi="Cambria Math"/>
                              <w:i/>
                            </w:rPr>
                          </m:ctrlPr>
                        </m:accPr>
                        <m:e>
                          <m:sSub>
                            <m:sSubPr>
                              <m:ctrlPr>
                                <w:rPr>
                                  <w:rFonts w:ascii="Cambria Math" w:hAnsi="Cambria Math"/>
                                  <w:i/>
                                </w:rPr>
                              </m:ctrlPr>
                            </m:sSubPr>
                            <m:e>
                              <m:r>
                                <w:rPr>
                                  <w:rFonts w:ascii="Cambria Math" w:hAnsi="Cambria Math"/>
                                </w:rPr>
                                <m:t>y</m:t>
                              </m:r>
                            </m:e>
                            <m:sub>
                              <m:r>
                                <w:rPr>
                                  <w:rFonts w:ascii="Cambria Math" w:hAnsi="Cambria Math"/>
                                </w:rPr>
                                <m:t>i</m:t>
                              </m:r>
                            </m:sub>
                          </m:sSub>
                        </m:e>
                      </m:acc>
                      <m:r>
                        <w:rPr>
                          <w:rFonts w:ascii="Cambria Math" w:hAnsi="Cambria Math"/>
                        </w:rPr>
                        <m:t>)</m:t>
                      </m:r>
                    </m:e>
                    <m:sup>
                      <m:r>
                        <w:rPr>
                          <w:rFonts w:ascii="Cambria Math" w:hAnsi="Cambria Math"/>
                        </w:rPr>
                        <m:t>2</m:t>
                      </m:r>
                    </m:sup>
                  </m:sSup>
                </m:e>
              </m:nary>
            </m:e>
          </m:rad>
        </m:oMath>
      </m:oMathPara>
    </w:p>
    <w:p w14:paraId="50CB6C08" w14:textId="735D8199" w:rsidR="00957896" w:rsidRPr="000973C4" w:rsidRDefault="00640791" w:rsidP="00640791">
      <w:pPr>
        <w:pStyle w:val="Body"/>
        <w:rPr>
          <w:rFonts w:ascii="Arial" w:hAnsi="Arial" w:cs="Arial"/>
        </w:rPr>
      </w:pPr>
      <w:r w:rsidRPr="000973C4">
        <w:rPr>
          <w:rFonts w:ascii="Arial" w:hAnsi="Arial" w:cs="Arial"/>
        </w:rPr>
        <w:t>The Structural Similarity Index Measure is designed to assess visual quality and structural similarity between two images. The SSIM formula captures three key aspects</w:t>
      </w:r>
      <w:r w:rsidR="00957896" w:rsidRPr="000973C4">
        <w:rPr>
          <w:rFonts w:ascii="Arial" w:hAnsi="Arial" w:cs="Arial"/>
        </w:rPr>
        <w:t>,</w:t>
      </w:r>
      <w:r w:rsidRPr="000973C4">
        <w:rPr>
          <w:rFonts w:ascii="Arial" w:hAnsi="Arial" w:cs="Arial"/>
        </w:rPr>
        <w:t xml:space="preserve"> luminance, contrast, and structure. The overall SSIM value is computed by averaging SSIM scores across multiple local windows within the image, producing a score between -1 and 1, where a value closer to 1 indicates a higher similarity</w:t>
      </w:r>
      <w:r w:rsidR="009D2339" w:rsidRPr="000973C4">
        <w:rPr>
          <w:rFonts w:ascii="Arial" w:hAnsi="Arial" w:cs="Arial"/>
        </w:rPr>
        <w:t xml:space="preserve"> </w:t>
      </w:r>
      <w:r w:rsidR="009D2339" w:rsidRPr="000973C4">
        <w:rPr>
          <w:rFonts w:ascii="Arial" w:hAnsi="Arial" w:cs="Arial"/>
        </w:rPr>
        <w:fldChar w:fldCharType="begin" w:fldLock="1"/>
      </w:r>
      <w:r w:rsidR="00AA54B7" w:rsidRPr="000973C4">
        <w:rPr>
          <w:rFonts w:ascii="Arial" w:hAnsi="Arial" w:cs="Arial"/>
        </w:rPr>
        <w:instrText>ADDIN CSL_CITATION {"citationItems":[{"id":"ITEM-1","itemData":{"DOI":"10.1088/2632-2153/abb214","ISSN":"2632-2153","abstract":"Generalizability is a concern when applying a deep learning (DL) model trained on one dataset to other datasets. It is challenging to demonstrate a DL model’s generalizability efficiently and sufficiently before implementing the model in clinical practice. Training a universal model that works anywhere, anytime, for anybody is unrealistic. In this work, we demonstrate the generalizability problem, then explore potential solutions based on transfer learning by using the cone-beam computed tomography (CBCT) to computed tomography (CT) image conversion task as the testbed. Previous works only studied on one or two anatomical sites and used images from the same vendor’s scanners. Here, we investigated how a model trained for one machine and one anatomical site works on other machines and other anatomical sites. We trained a model on CBCT images acquired from one vendor’s scanners for head and neck cancer patients and applied it to images from another vendor’s scanners and for prostate, pancreatic, and cervical cancer patients. We found that generalizability could be a significant problem for this particular application when applying a trained DL model to datasets from another vendor’s scanners. We then explored three practical solutions based on transfer learning to solve this generalization problem: the target model, which is trained on a target dataset from scratch; the combined model, which is trained on both source and target datasets from scratch; and the adapted model, which fine-tunes the trained source model to a target dataset. We found that when there are sufficient data in the target dataset, all three models can achieve good performance. When the target dataset is limited, the adapted model works the best, which indicates that using the fine-tuning strategy to adapt the trained model to an unseen target dataset is a viable and easy way to implement DL models in the clinic.","author":[{"dropping-particle":"","family":"Liang","given":"Xiao","non-dropping-particle":"","parse-names":false,"suffix":""},{"dropping-particle":"","family":"Nguyen","given":"Dan","non-dropping-particle":"","parse-names":false,"suffix":""},{"dropping-particle":"","family":"Jiang","given":"Steve B","non-dropping-particle":"","parse-names":false,"suffix":""}],"container-title":"Machine Learning: Science and Technology","id":"ITEM-1","issue":"1","issued":{"date-parts":[["2021"]]},"page":"015007","publisher":"IOP Publishing","title":"Generalizability issues with deep learning models in medicine and their potential solutions: illustrated with cone-beam computed tomography (CBCT) to computed tomography (CT) image conversion","type":"article-journal","volume":"2"},"uris":["http://www.mendeley.com/documents/?uuid=522b60db-90e3-4ce8-9b36-756fc7364db0"]}],"mendeley":{"formattedCitation":"(Liang et al., 2021)","plainTextFormattedCitation":"(Liang et al., 2021)","previouslyFormattedCitation":"(Liang et al., 2021)"},"properties":{"noteIndex":0},"schema":"https://github.com/citation-style-language/schema/raw/master/csl-citation.json"}</w:instrText>
      </w:r>
      <w:r w:rsidR="009D2339" w:rsidRPr="000973C4">
        <w:rPr>
          <w:rFonts w:ascii="Arial" w:hAnsi="Arial" w:cs="Arial"/>
        </w:rPr>
        <w:fldChar w:fldCharType="separate"/>
      </w:r>
      <w:r w:rsidR="009D2339" w:rsidRPr="000973C4">
        <w:rPr>
          <w:rFonts w:ascii="Arial" w:hAnsi="Arial" w:cs="Arial"/>
          <w:noProof/>
        </w:rPr>
        <w:t>(Liang et al., 2021)</w:t>
      </w:r>
      <w:r w:rsidR="009D2339" w:rsidRPr="000973C4">
        <w:rPr>
          <w:rFonts w:ascii="Arial" w:hAnsi="Arial" w:cs="Arial"/>
        </w:rPr>
        <w:fldChar w:fldCharType="end"/>
      </w:r>
      <w:r w:rsidRPr="000973C4">
        <w:rPr>
          <w:rFonts w:ascii="Arial" w:hAnsi="Arial" w:cs="Arial"/>
        </w:rPr>
        <w:t xml:space="preserve">. The SSIM value can be calculated using the following equation. </w:t>
      </w:r>
    </w:p>
    <w:p w14:paraId="19CC94CE" w14:textId="42C6E39B" w:rsidR="00957896" w:rsidRPr="000973C4" w:rsidRDefault="00957896" w:rsidP="00957896">
      <w:pPr>
        <w:pStyle w:val="Body"/>
        <w:jc w:val="center"/>
        <w:rPr>
          <w:rFonts w:ascii="Arial" w:hAnsi="Arial" w:cs="Arial"/>
        </w:rPr>
      </w:pPr>
      <m:oMathPara>
        <m:oMath>
          <m:r>
            <w:rPr>
              <w:rFonts w:ascii="Cambria Math" w:hAnsi="Cambria Math"/>
            </w:rPr>
            <m:t>SSIM</m:t>
          </m:r>
          <m:d>
            <m:dPr>
              <m:ctrlPr>
                <w:rPr>
                  <w:rFonts w:ascii="Cambria Math" w:hAnsi="Cambria Math"/>
                  <w:i/>
                </w:rPr>
              </m:ctrlPr>
            </m:dPr>
            <m:e>
              <m:r>
                <w:rPr>
                  <w:rFonts w:ascii="Cambria Math" w:hAnsi="Cambria Math"/>
                </w:rPr>
                <m:t>x,y</m:t>
              </m:r>
            </m:e>
          </m:d>
          <m:r>
            <w:rPr>
              <w:rFonts w:ascii="Cambria Math" w:hAnsi="Cambria Math"/>
            </w:rPr>
            <m:t>=</m:t>
          </m:r>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μ</m:t>
                  </m:r>
                </m:e>
                <m:sub>
                  <m:r>
                    <w:rPr>
                      <w:rFonts w:ascii="Cambria Math" w:hAnsi="Cambria Math"/>
                    </w:rPr>
                    <m:t>x</m:t>
                  </m:r>
                </m:sub>
              </m:sSub>
              <m:sSub>
                <m:sSubPr>
                  <m:ctrlPr>
                    <w:rPr>
                      <w:rFonts w:ascii="Cambria Math" w:hAnsi="Cambria Math"/>
                      <w:i/>
                    </w:rPr>
                  </m:ctrlPr>
                </m:sSubPr>
                <m:e>
                  <m:r>
                    <w:rPr>
                      <w:rFonts w:ascii="Cambria Math" w:hAnsi="Cambria Math"/>
                    </w:rPr>
                    <m:t>μ</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)(2</m:t>
              </m:r>
              <m:sSub>
                <m:sSubPr>
                  <m:ctrlPr>
                    <w:rPr>
                      <w:rFonts w:ascii="Cambria Math" w:hAnsi="Cambria Math"/>
                      <w:i/>
                    </w:rPr>
                  </m:ctrlPr>
                </m:sSubPr>
                <m:e>
                  <m:r>
                    <w:rPr>
                      <w:rFonts w:ascii="Cambria Math" w:hAnsi="Cambria Math"/>
                    </w:rPr>
                    <m:t>σ</m:t>
                  </m:r>
                </m:e>
                <m:sub>
                  <m:r>
                    <w:rPr>
                      <w:rFonts w:ascii="Cambria Math" w:hAnsi="Cambria Math"/>
                    </w:rPr>
                    <m:t>xy</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num>
            <m:den>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x</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y</m:t>
                      </m:r>
                    </m:sub>
                  </m:sSub>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σ</m:t>
                      </m:r>
                    </m:e>
                    <m:sub>
                      <m:r>
                        <w:rPr>
                          <w:rFonts w:ascii="Cambria Math" w:hAnsi="Cambria Math"/>
                        </w:rPr>
                        <m:t>x</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σ</m:t>
                      </m:r>
                    </m:e>
                    <m:sub>
                      <m:r>
                        <w:rPr>
                          <w:rFonts w:ascii="Cambria Math" w:hAnsi="Cambria Math"/>
                        </w:rPr>
                        <m:t>y</m:t>
                      </m:r>
                    </m:sub>
                  </m:sSub>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den>
          </m:f>
        </m:oMath>
      </m:oMathPara>
    </w:p>
    <w:p w14:paraId="0E176C5C" w14:textId="6FDE169E" w:rsidR="00C25CBC" w:rsidRPr="000973C4" w:rsidRDefault="00640791" w:rsidP="00227062">
      <w:pPr>
        <w:pStyle w:val="Body"/>
        <w:rPr>
          <w:rFonts w:ascii="Arial" w:hAnsi="Arial" w:cs="Arial"/>
        </w:rPr>
      </w:pPr>
      <w:r w:rsidRPr="000973C4">
        <w:rPr>
          <w:rFonts w:ascii="Arial" w:hAnsi="Arial" w:cs="Arial"/>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x</m:t>
            </m:r>
          </m:sub>
        </m:sSub>
      </m:oMath>
      <w:r w:rsidRPr="000973C4">
        <w:rPr>
          <w:rFonts w:ascii="Arial" w:hAnsi="Arial" w:cs="Arial"/>
          <w:bCs/>
        </w:rPr>
        <w:t xml:space="preserve">​ and </w:t>
      </w:r>
      <m:oMath>
        <m:sSub>
          <m:sSubPr>
            <m:ctrlPr>
              <w:rPr>
                <w:rFonts w:ascii="Cambria Math" w:hAnsi="Cambria Math"/>
                <w:i/>
              </w:rPr>
            </m:ctrlPr>
          </m:sSubPr>
          <m:e>
            <m:r>
              <w:rPr>
                <w:rFonts w:ascii="Cambria Math" w:hAnsi="Cambria Math"/>
              </w:rPr>
              <m:t>μ</m:t>
            </m:r>
          </m:e>
          <m:sub>
            <m:r>
              <w:rPr>
                <w:rFonts w:ascii="Cambria Math" w:hAnsi="Cambria Math"/>
              </w:rPr>
              <m:t>y</m:t>
            </m:r>
          </m:sub>
        </m:sSub>
      </m:oMath>
      <w:r w:rsidRPr="000973C4">
        <w:rPr>
          <w:rFonts w:ascii="Arial" w:hAnsi="Arial" w:cs="Arial"/>
          <w:bCs/>
        </w:rPr>
        <w:t>​</w:t>
      </w:r>
      <w:r w:rsidRPr="000973C4">
        <w:rPr>
          <w:rFonts w:ascii="Arial" w:hAnsi="Arial" w:cs="Arial"/>
        </w:rPr>
        <w:t xml:space="preserve"> represent the </w:t>
      </w:r>
      <w:r w:rsidRPr="000973C4">
        <w:rPr>
          <w:rFonts w:ascii="Arial" w:hAnsi="Arial" w:cs="Arial"/>
          <w:bCs/>
        </w:rPr>
        <w:t>mean intensity</w:t>
      </w:r>
      <w:r w:rsidRPr="000973C4">
        <w:rPr>
          <w:rFonts w:ascii="Arial" w:hAnsi="Arial" w:cs="Arial"/>
        </w:rPr>
        <w:t xml:space="preserve"> of images </w:t>
      </w:r>
      <w:r w:rsidRPr="000973C4">
        <w:rPr>
          <w:rFonts w:ascii="Arial" w:hAnsi="Arial" w:cs="Arial"/>
          <w:bCs/>
        </w:rPr>
        <w:t>x</w:t>
      </w:r>
      <w:r w:rsidRPr="000973C4">
        <w:rPr>
          <w:rFonts w:ascii="Arial" w:hAnsi="Arial" w:cs="Arial"/>
        </w:rPr>
        <w:t xml:space="preserve"> and </w:t>
      </w:r>
      <w:r w:rsidRPr="000973C4">
        <w:rPr>
          <w:rFonts w:ascii="Arial" w:hAnsi="Arial" w:cs="Arial"/>
          <w:bCs/>
        </w:rPr>
        <w:t>y</w:t>
      </w:r>
      <w:r w:rsidRPr="000973C4">
        <w:rPr>
          <w:rFonts w:ascii="Arial" w:hAnsi="Arial" w:cs="Arial"/>
        </w:rPr>
        <w:t xml:space="preserve"> </w:t>
      </w:r>
      <w:r w:rsidR="009A2F36" w:rsidRPr="000973C4">
        <w:rPr>
          <w:rFonts w:ascii="Arial" w:hAnsi="Arial" w:cs="Arial"/>
        </w:rPr>
        <w:t>which represent</w:t>
      </w:r>
      <w:r w:rsidRPr="000973C4">
        <w:rPr>
          <w:rFonts w:ascii="Arial" w:hAnsi="Arial" w:cs="Arial"/>
        </w:rPr>
        <w:t xml:space="preserve"> </w:t>
      </w:r>
      <w:r w:rsidRPr="000973C4">
        <w:rPr>
          <w:rFonts w:ascii="Arial" w:hAnsi="Arial" w:cs="Arial"/>
          <w:bCs/>
        </w:rPr>
        <w:t>luminance</w:t>
      </w:r>
      <w:r w:rsidR="009A2F36" w:rsidRPr="000973C4">
        <w:rPr>
          <w:rFonts w:ascii="Arial" w:hAnsi="Arial" w:cs="Arial"/>
        </w:rPr>
        <w:t>,</w:t>
      </w:r>
      <w:r w:rsidRPr="000973C4">
        <w:rPr>
          <w:rFonts w:ascii="Arial" w:hAnsi="Arial" w:cs="Arial"/>
        </w:rPr>
        <w:t xml:space="preserve"> </w:t>
      </w:r>
      <m:oMath>
        <m:sSup>
          <m:sSupPr>
            <m:ctrlPr>
              <w:rPr>
                <w:rFonts w:ascii="Cambria Math" w:hAnsi="Cambria Math"/>
                <w:i/>
              </w:rPr>
            </m:ctrlPr>
          </m:sSupPr>
          <m:e>
            <m:sSub>
              <m:sSubPr>
                <m:ctrlPr>
                  <w:rPr>
                    <w:rFonts w:ascii="Cambria Math" w:hAnsi="Cambria Math"/>
                    <w:i/>
                  </w:rPr>
                </m:ctrlPr>
              </m:sSubPr>
              <m:e>
                <m:r>
                  <w:rPr>
                    <w:rFonts w:ascii="Cambria Math" w:hAnsi="Cambria Math"/>
                  </w:rPr>
                  <m:t>σ</m:t>
                </m:r>
              </m:e>
              <m:sub>
                <m:r>
                  <w:rPr>
                    <w:rFonts w:ascii="Cambria Math" w:hAnsi="Cambria Math"/>
                  </w:rPr>
                  <m:t>x</m:t>
                </m:r>
              </m:sub>
            </m:sSub>
          </m:e>
          <m:sup>
            <m:r>
              <w:rPr>
                <w:rFonts w:ascii="Cambria Math" w:hAnsi="Cambria Math"/>
              </w:rPr>
              <m:t>2</m:t>
            </m:r>
          </m:sup>
        </m:sSup>
      </m:oMath>
      <w:r w:rsidRPr="000973C4">
        <w:rPr>
          <w:rFonts w:ascii="Arial" w:hAnsi="Arial" w:cs="Arial"/>
          <w:bCs/>
        </w:rPr>
        <w:t xml:space="preserve">​ and </w:t>
      </w:r>
      <m:oMath>
        <m:sSup>
          <m:sSupPr>
            <m:ctrlPr>
              <w:rPr>
                <w:rFonts w:ascii="Cambria Math" w:hAnsi="Cambria Math"/>
                <w:i/>
              </w:rPr>
            </m:ctrlPr>
          </m:sSupPr>
          <m:e>
            <m:sSub>
              <m:sSubPr>
                <m:ctrlPr>
                  <w:rPr>
                    <w:rFonts w:ascii="Cambria Math" w:hAnsi="Cambria Math"/>
                    <w:i/>
                  </w:rPr>
                </m:ctrlPr>
              </m:sSubPr>
              <m:e>
                <m:r>
                  <w:rPr>
                    <w:rFonts w:ascii="Cambria Math" w:hAnsi="Cambria Math"/>
                  </w:rPr>
                  <m:t>σ</m:t>
                </m:r>
              </m:e>
              <m:sub>
                <m:r>
                  <w:rPr>
                    <w:rFonts w:ascii="Cambria Math" w:hAnsi="Cambria Math"/>
                  </w:rPr>
                  <m:t>y</m:t>
                </m:r>
              </m:sub>
            </m:sSub>
          </m:e>
          <m:sup>
            <m:r>
              <w:rPr>
                <w:rFonts w:ascii="Cambria Math" w:hAnsi="Cambria Math"/>
              </w:rPr>
              <m:t>2</m:t>
            </m:r>
          </m:sup>
        </m:sSup>
      </m:oMath>
      <w:r w:rsidRPr="000973C4">
        <w:rPr>
          <w:rFonts w:ascii="Arial" w:hAnsi="Arial" w:cs="Arial"/>
          <w:bCs/>
        </w:rPr>
        <w:t>​</w:t>
      </w:r>
      <w:r w:rsidRPr="000973C4">
        <w:rPr>
          <w:rFonts w:ascii="Arial" w:hAnsi="Arial" w:cs="Arial"/>
        </w:rPr>
        <w:t xml:space="preserve"> denote the </w:t>
      </w:r>
      <w:r w:rsidRPr="000973C4">
        <w:rPr>
          <w:rFonts w:ascii="Arial" w:hAnsi="Arial" w:cs="Arial"/>
          <w:bCs/>
        </w:rPr>
        <w:t>variance</w:t>
      </w:r>
      <w:r w:rsidRPr="000973C4">
        <w:rPr>
          <w:rFonts w:ascii="Arial" w:hAnsi="Arial" w:cs="Arial"/>
        </w:rPr>
        <w:t xml:space="preserve"> of images </w:t>
      </w:r>
      <w:r w:rsidRPr="000973C4">
        <w:rPr>
          <w:rFonts w:ascii="Arial" w:hAnsi="Arial" w:cs="Arial"/>
          <w:bCs/>
        </w:rPr>
        <w:t>x</w:t>
      </w:r>
      <w:r w:rsidRPr="000973C4">
        <w:rPr>
          <w:rFonts w:ascii="Arial" w:hAnsi="Arial" w:cs="Arial"/>
        </w:rPr>
        <w:t xml:space="preserve"> and </w:t>
      </w:r>
      <w:r w:rsidRPr="000973C4">
        <w:rPr>
          <w:rFonts w:ascii="Arial" w:hAnsi="Arial" w:cs="Arial"/>
          <w:bCs/>
        </w:rPr>
        <w:t>y</w:t>
      </w:r>
      <w:r w:rsidRPr="000973C4">
        <w:rPr>
          <w:rFonts w:ascii="Arial" w:hAnsi="Arial" w:cs="Arial"/>
        </w:rPr>
        <w:t xml:space="preserve"> </w:t>
      </w:r>
      <w:r w:rsidR="009A2F36" w:rsidRPr="000973C4">
        <w:rPr>
          <w:rFonts w:ascii="Arial" w:hAnsi="Arial" w:cs="Arial"/>
        </w:rPr>
        <w:t>which represent</w:t>
      </w:r>
      <w:r w:rsidRPr="000973C4">
        <w:rPr>
          <w:rFonts w:ascii="Arial" w:hAnsi="Arial" w:cs="Arial"/>
        </w:rPr>
        <w:t xml:space="preserve"> </w:t>
      </w:r>
      <w:r w:rsidRPr="000973C4">
        <w:rPr>
          <w:rFonts w:ascii="Arial" w:hAnsi="Arial" w:cs="Arial"/>
          <w:bCs/>
        </w:rPr>
        <w:t>contrast</w:t>
      </w:r>
      <w:r w:rsidR="009A2F36" w:rsidRPr="000973C4">
        <w:rPr>
          <w:rFonts w:ascii="Arial" w:hAnsi="Arial" w:cs="Arial"/>
        </w:rPr>
        <w:t>,</w:t>
      </w:r>
      <w:r w:rsidRPr="000973C4">
        <w:rPr>
          <w:rFonts w:ascii="Arial" w:hAnsi="Arial" w:cs="Arial"/>
        </w:rPr>
        <w:t xml:space="preserve"> </w:t>
      </w:r>
      <m:oMath>
        <m:sSub>
          <m:sSubPr>
            <m:ctrlPr>
              <w:rPr>
                <w:rFonts w:ascii="Cambria Math" w:hAnsi="Cambria Math"/>
                <w:i/>
              </w:rPr>
            </m:ctrlPr>
          </m:sSubPr>
          <m:e>
            <m:r>
              <w:rPr>
                <w:rFonts w:ascii="Cambria Math" w:hAnsi="Cambria Math"/>
              </w:rPr>
              <m:t>σ</m:t>
            </m:r>
          </m:e>
          <m:sub>
            <m:r>
              <w:rPr>
                <w:rFonts w:ascii="Cambria Math" w:hAnsi="Cambria Math"/>
              </w:rPr>
              <m:t>xy</m:t>
            </m:r>
          </m:sub>
        </m:sSub>
      </m:oMath>
      <w:r w:rsidRPr="000973C4">
        <w:rPr>
          <w:rFonts w:ascii="Arial" w:hAnsi="Arial" w:cs="Arial"/>
          <w:bCs/>
        </w:rPr>
        <w:t>​</w:t>
      </w:r>
      <w:r w:rsidRPr="000973C4">
        <w:rPr>
          <w:rFonts w:ascii="Arial" w:hAnsi="Arial" w:cs="Arial"/>
        </w:rPr>
        <w:t xml:space="preserve"> is the </w:t>
      </w:r>
      <w:r w:rsidRPr="000973C4">
        <w:rPr>
          <w:rFonts w:ascii="Arial" w:hAnsi="Arial" w:cs="Arial"/>
          <w:bCs/>
        </w:rPr>
        <w:t>covariance</w:t>
      </w:r>
      <w:r w:rsidRPr="000973C4">
        <w:rPr>
          <w:rFonts w:ascii="Arial" w:hAnsi="Arial" w:cs="Arial"/>
        </w:rPr>
        <w:t xml:space="preserve"> between </w:t>
      </w:r>
      <w:r w:rsidRPr="000973C4">
        <w:rPr>
          <w:rFonts w:ascii="Arial" w:hAnsi="Arial" w:cs="Arial"/>
          <w:bCs/>
        </w:rPr>
        <w:t>x</w:t>
      </w:r>
      <w:r w:rsidRPr="000973C4">
        <w:rPr>
          <w:rFonts w:ascii="Arial" w:hAnsi="Arial" w:cs="Arial"/>
        </w:rPr>
        <w:t xml:space="preserve"> and </w:t>
      </w:r>
      <w:r w:rsidRPr="000973C4">
        <w:rPr>
          <w:rFonts w:ascii="Arial" w:hAnsi="Arial" w:cs="Arial"/>
          <w:bCs/>
        </w:rPr>
        <w:t>y</w:t>
      </w:r>
      <w:r w:rsidRPr="000973C4">
        <w:rPr>
          <w:rFonts w:ascii="Arial" w:hAnsi="Arial" w:cs="Arial"/>
        </w:rPr>
        <w:t xml:space="preserve"> indicating </w:t>
      </w:r>
      <w:r w:rsidRPr="000973C4">
        <w:rPr>
          <w:rFonts w:ascii="Arial" w:hAnsi="Arial" w:cs="Arial"/>
          <w:bCs/>
        </w:rPr>
        <w:t>structural similarity</w:t>
      </w:r>
      <w:r w:rsidRPr="000973C4">
        <w:rPr>
          <w:rFonts w:ascii="Arial" w:hAnsi="Arial" w:cs="Arial"/>
        </w:rPr>
        <w:t>.</w:t>
      </w:r>
      <w:r w:rsidR="009A2F36" w:rsidRPr="000973C4">
        <w:rPr>
          <w:rFonts w:ascii="Arial" w:hAnsi="Arial" w:cs="Arial"/>
        </w:rPr>
        <w:t xml:space="preserve"> </w:t>
      </w:r>
      <w:r w:rsidRPr="000973C4">
        <w:rPr>
          <w:rFonts w:ascii="Arial" w:hAnsi="Arial" w:cs="Arial"/>
        </w:rPr>
        <w:t xml:space="preserve">Additionally, </w:t>
      </w:r>
      <m:oMath>
        <m:sSub>
          <m:sSubPr>
            <m:ctrlPr>
              <w:rPr>
                <w:rFonts w:ascii="Cambria Math" w:hAnsi="Cambria Math"/>
                <w:i/>
              </w:rPr>
            </m:ctrlPr>
          </m:sSubPr>
          <m:e>
            <m:r>
              <w:rPr>
                <w:rFonts w:ascii="Cambria Math" w:hAnsi="Cambria Math"/>
              </w:rPr>
              <m:t>C</m:t>
            </m:r>
          </m:e>
          <m:sub>
            <m:r>
              <w:rPr>
                <w:rFonts w:ascii="Cambria Math" w:hAnsi="Cambria Math"/>
              </w:rPr>
              <m:t>1</m:t>
            </m:r>
          </m:sub>
        </m:sSub>
      </m:oMath>
      <w:r w:rsidRPr="000973C4">
        <w:rPr>
          <w:rFonts w:ascii="Arial" w:hAnsi="Arial" w:cs="Arial"/>
        </w:rP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rsidRPr="000973C4">
        <w:rPr>
          <w:rFonts w:ascii="Arial" w:hAnsi="Arial" w:cs="Arial"/>
        </w:rPr>
        <w:t xml:space="preserve">​ are small constants added to stabilize the formula, particularly when the mean or variance is close to zero. </w:t>
      </w:r>
      <m:oMath>
        <m:sSub>
          <m:sSubPr>
            <m:ctrlPr>
              <w:rPr>
                <w:rFonts w:ascii="Cambria Math" w:hAnsi="Cambria Math"/>
                <w:i/>
              </w:rPr>
            </m:ctrlPr>
          </m:sSubPr>
          <m:e>
            <m:r>
              <w:rPr>
                <w:rFonts w:ascii="Cambria Math" w:hAnsi="Cambria Math"/>
              </w:rPr>
              <m:t>C</m:t>
            </m:r>
          </m:e>
          <m:sub>
            <m:r>
              <w:rPr>
                <w:rFonts w:ascii="Cambria Math" w:hAnsi="Cambria Math"/>
              </w:rPr>
              <m:t>1</m:t>
            </m:r>
          </m:sub>
        </m:sSub>
      </m:oMath>
      <w:r w:rsidR="009A2F36" w:rsidRPr="000973C4">
        <w:rPr>
          <w:rFonts w:ascii="Arial" w:hAnsi="Arial" w:cs="Arial"/>
        </w:rPr>
        <w:t xml:space="preserve"> </w:t>
      </w:r>
      <w:r w:rsidRPr="000973C4">
        <w:rPr>
          <w:rFonts w:ascii="Arial" w:hAnsi="Arial" w:cs="Arial"/>
        </w:rPr>
        <w:t>are typically defined a</w:t>
      </w:r>
      <w:r w:rsidR="009A2F36" w:rsidRPr="000973C4">
        <w:rPr>
          <w:rFonts w:ascii="Arial" w:hAnsi="Arial" w:cs="Arial"/>
        </w:rPr>
        <w:t xml:space="preserve">s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L)</m:t>
            </m:r>
          </m:e>
          <m:sup>
            <m:r>
              <w:rPr>
                <w:rFonts w:ascii="Cambria Math" w:hAnsi="Cambria Math"/>
              </w:rPr>
              <m:t>2</m:t>
            </m:r>
          </m:sup>
        </m:sSup>
      </m:oMath>
      <w:r w:rsidR="009A2F36" w:rsidRPr="000973C4">
        <w:rPr>
          <w:rFonts w:ascii="Arial" w:hAnsi="Arial" w:cs="Arial"/>
        </w:rP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rsidR="009A2F36" w:rsidRPr="000973C4">
        <w:rPr>
          <w:rFonts w:ascii="Arial" w:hAnsi="Arial" w:cs="Arial"/>
        </w:rPr>
        <w:t xml:space="preserve"> are typically defined as </w:t>
      </w:r>
      <m:oMath>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L)</m:t>
            </m:r>
          </m:e>
          <m:sup>
            <m:r>
              <w:rPr>
                <w:rFonts w:ascii="Cambria Math" w:hAnsi="Cambria Math"/>
              </w:rPr>
              <m:t>2</m:t>
            </m:r>
          </m:sup>
        </m:sSup>
      </m:oMath>
      <w:r w:rsidR="009A2F36" w:rsidRPr="000973C4">
        <w:rPr>
          <w:rFonts w:ascii="Arial" w:hAnsi="Arial" w:cs="Arial"/>
        </w:rPr>
        <w:t>,</w:t>
      </w:r>
      <w:r w:rsidR="00227062" w:rsidRPr="000973C4">
        <w:rPr>
          <w:rFonts w:ascii="Arial" w:hAnsi="Arial" w:cs="Arial"/>
        </w:rPr>
        <w:t xml:space="preserve"> </w:t>
      </w:r>
      <w:r w:rsidRPr="000973C4">
        <w:rPr>
          <w:rFonts w:ascii="Arial" w:hAnsi="Arial" w:cs="Arial"/>
        </w:rPr>
        <w:t xml:space="preserve">where </w:t>
      </w:r>
      <m:oMath>
        <m:r>
          <w:rPr>
            <w:rFonts w:ascii="Cambria Math" w:hAnsi="Cambria Math"/>
          </w:rPr>
          <m:t>L</m:t>
        </m:r>
      </m:oMath>
      <w:r w:rsidRPr="000973C4">
        <w:rPr>
          <w:rFonts w:ascii="Arial" w:hAnsi="Arial" w:cs="Arial"/>
        </w:rPr>
        <w:t xml:space="preserve"> is the dynamic range of pixel values (L=255 for 8-bit images), a</w:t>
      </w:r>
      <w:r w:rsidR="00227062" w:rsidRPr="000973C4">
        <w:rPr>
          <w:rFonts w:ascii="Arial" w:hAnsi="Arial" w:cs="Arial"/>
        </w:rPr>
        <w:t>lso</w:t>
      </w:r>
      <w:r w:rsidRPr="000973C4">
        <w:rPr>
          <w:rFonts w:ascii="Arial" w:hAnsi="Arial" w:cs="Arial"/>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0973C4">
        <w:rPr>
          <w:rFonts w:ascii="Arial" w:hAnsi="Arial" w:cs="Arial"/>
        </w:rPr>
        <w:t xml:space="preserve">​ and </w:t>
      </w:r>
      <m:oMath>
        <m:sSub>
          <m:sSubPr>
            <m:ctrlPr>
              <w:rPr>
                <w:rFonts w:ascii="Cambria Math" w:hAnsi="Cambria Math"/>
                <w:i/>
              </w:rPr>
            </m:ctrlPr>
          </m:sSubPr>
          <m:e>
            <m:r>
              <w:rPr>
                <w:rFonts w:ascii="Cambria Math" w:hAnsi="Cambria Math"/>
              </w:rPr>
              <m:t>K</m:t>
            </m:r>
          </m:e>
          <m:sub>
            <m:r>
              <w:rPr>
                <w:rFonts w:ascii="Cambria Math" w:hAnsi="Cambria Math"/>
              </w:rPr>
              <m:t>2</m:t>
            </m:r>
          </m:sub>
        </m:sSub>
      </m:oMath>
      <w:r w:rsidRPr="000973C4">
        <w:rPr>
          <w:rFonts w:ascii="Arial" w:hAnsi="Arial" w:cs="Arial"/>
        </w:rPr>
        <w:t>​ are small constants</w:t>
      </w:r>
      <w:r w:rsidR="00227062" w:rsidRPr="000973C4">
        <w:rPr>
          <w:rFonts w:ascii="Arial" w:hAnsi="Arial" w:cs="Arial"/>
        </w:rPr>
        <w:t xml:space="preserve"> (</w:t>
      </w:r>
      <w:r w:rsidRPr="000973C4">
        <w:rPr>
          <w:rFonts w:ascii="Arial" w:hAnsi="Arial" w:cs="Arial"/>
        </w:rPr>
        <w:t xml:space="preserve">commonly set to </w:t>
      </w:r>
      <w:r w:rsidR="00227062" w:rsidRPr="000973C4">
        <w:rPr>
          <w:rFonts w:ascii="Times New Roman" w:eastAsiaTheme="minorEastAsia" w:hAnsi="Times New Roman"/>
          <w:sz w:val="24"/>
          <w:szCs w:val="24"/>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=0.,01</m:t>
        </m:r>
      </m:oMath>
      <w:r w:rsidR="00227062" w:rsidRPr="000973C4">
        <w:rPr>
          <w:rFonts w:ascii="Times New Roman" w:eastAsiaTheme="minorEastAsia" w:hAnsi="Times New Roman"/>
          <w:sz w:val="24"/>
          <w:szCs w:val="24"/>
        </w:rPr>
        <w:t xml:space="preserve"> dan </w:t>
      </w:r>
      <m:oMath>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r>
          <w:rPr>
            <w:rFonts w:ascii="Cambria Math" w:hAnsi="Cambria Math" w:cs="Arial"/>
          </w:rPr>
          <m:t>=0,03</m:t>
        </m:r>
      </m:oMath>
      <w:r w:rsidR="00227062" w:rsidRPr="000973C4">
        <w:rPr>
          <w:rFonts w:ascii="Arial" w:eastAsiaTheme="minorEastAsia" w:hAnsi="Arial" w:cs="Arial"/>
        </w:rPr>
        <w:t>)</w:t>
      </w:r>
      <w:r w:rsidRPr="000973C4">
        <w:rPr>
          <w:rFonts w:ascii="Arial" w:hAnsi="Arial" w:cs="Arial"/>
        </w:rPr>
        <w:t>.</w:t>
      </w:r>
    </w:p>
    <w:p w14:paraId="6515F1D7" w14:textId="1913CABA" w:rsidR="00E30E2D" w:rsidRPr="000973C4" w:rsidRDefault="00E30E2D" w:rsidP="00E30E2D">
      <w:pPr>
        <w:pStyle w:val="Body"/>
        <w:rPr>
          <w:rFonts w:ascii="Arial" w:hAnsi="Arial" w:cs="Arial"/>
        </w:rPr>
      </w:pPr>
      <w:r w:rsidRPr="000973C4">
        <w:rPr>
          <w:rFonts w:ascii="Arial" w:hAnsi="Arial" w:cs="Arial"/>
        </w:rPr>
        <w:t xml:space="preserve">Dice Score or Dice Similarity Coefficient (DSC) is the main validation metric of spatial overlap index. The DSC measures the spatial overlap between two segmentations </w:t>
      </w:r>
      <w:r w:rsidRPr="000973C4">
        <w:rPr>
          <w:rFonts w:ascii="Arial" w:hAnsi="Arial" w:cs="Arial"/>
        </w:rPr>
        <w:fldChar w:fldCharType="begin" w:fldLock="1"/>
      </w:r>
      <w:r w:rsidR="00A11FAC" w:rsidRPr="000973C4">
        <w:rPr>
          <w:rFonts w:ascii="Arial" w:hAnsi="Arial" w:cs="Arial"/>
        </w:rPr>
        <w:instrText>ADDIN CSL_CITATION {"citationItems":[{"id":"ITEM-1","itemData":{"DOI":"10.1016/S1076-6332(03)00671-8","ISSN":"10766332","PMID":"14974593","abstract":"Rationale and Objectives. To examine a statistical validation method based on the spatial overlap between two sets of segmentations of the same anatomy. Materials and Methods. The Dice similarity coefficient (DSC) was used as a statistical validation metric to evaluate the performance of both the reproducibility of manual segmentations and the spatial overlap accuracy of automated probabilistic fractional segmentation of MR images, illustrated on two clinical examples. Example 1: 10 consecutive cases of prostate brachytherapy patients underwent both preoperative 1.5T and intraoperative 0.5T MR imaging. For each case, 5 repeated manual segmentations of the prostate peripheral zone were performed separately on preoperative and on intraoperative images. Example 2: A semi-automated probabilistic fractional segmentation algorithm was applied to MR imaging of 9 cases with 3 types of brain tumors. DSC values were computed and logit-transformed values were compared in the mean with the analysis of variance (ANOVA). Results. Example 1: The mean DSCs of 0.883 (range, 0.876-0.893) with 1.5T preoperative MRI and 0.838 (range, 0.819-0.852) with 0.5T intraoperative MRI (P &lt; .001) were within and at the margin of the range of good reproducibility, respectively. Example 2: Wide ranges of DSC were observed in brain tumor segmentations: Meningiomas (0.519-0.893), astrocytomas (0.487-0.972), and other mixed gliomas (0.490-0.899). Conclusion. The DSC value is a simple and useful summary measure of spatial overlap, which can be applied to studies of reproducibility and accuracy in image segmentation. We observed generally satisfactory but variable validation results in two clinical applications. This metric may be adapted for similar validation tasks.","author":[{"dropping-particle":"","family":"Zou","given":"Kelly H.","non-dropping-particle":"","parse-names":false,"suffix":""},{"dropping-particle":"","family":"Warfield","given":"Simon K.","non-dropping-particle":"","parse-names":false,"suffix":""},{"dropping-particle":"","family":"Bharatha","given":"Aditya","non-dropping-particle":"","parse-names":false,"suffix":""},{"dropping-particle":"","family":"Tempany","given":"Clare M.C.","non-dropping-particle":"","parse-names":false,"suffix":""},{"dropping-particle":"","family":"Kaus","given":"Michael R.","non-dropping-particle":"","parse-names":false,"suffix":""},{"dropping-particle":"","family":"Haker","given":"Steven J.","non-dropping-particle":"","parse-names":false,"suffix":""},{"dropping-particle":"","family":"Wells","given":"William M.","non-dropping-particle":"","parse-names":false,"suffix":""},{"dropping-particle":"","family":"Jolesz","given":"Ferenc A.","non-dropping-particle":"","parse-names":false,"suffix":""},{"dropping-particle":"","family":"Kikinis","given":"Ron","non-dropping-particle":"","parse-names":false,"suffix":""}],"container-title":"Academic Radiology","id":"ITEM-1","issue":"2","issued":{"date-parts":[["2004"]]},"page":"178-189","title":"Statistical Validation of Image Segmentation Quality Based on a Spatial Overlap Index","type":"article-journal","volume":"11"},"uris":["http://www.mendeley.com/documents/?uuid=f033d02e-9971-4e36-a35f-05bd423586fa"]}],"mendeley":{"formattedCitation":"(Zou et al., 2004)","plainTextFormattedCitation":"(Zou et al., 2004)","previouslyFormattedCitation":"(Zou et al., 2004)"},"properties":{"noteIndex":0},"schema":"https://github.com/citation-style-language/schema/raw/master/csl-citation.json"}</w:instrText>
      </w:r>
      <w:r w:rsidRPr="000973C4">
        <w:rPr>
          <w:rFonts w:ascii="Arial" w:hAnsi="Arial" w:cs="Arial"/>
        </w:rPr>
        <w:fldChar w:fldCharType="separate"/>
      </w:r>
      <w:r w:rsidRPr="000973C4">
        <w:rPr>
          <w:rFonts w:ascii="Arial" w:hAnsi="Arial" w:cs="Arial"/>
          <w:noProof/>
        </w:rPr>
        <w:t>(Zou et al., 2004)</w:t>
      </w:r>
      <w:r w:rsidRPr="000973C4">
        <w:rPr>
          <w:rFonts w:ascii="Arial" w:hAnsi="Arial" w:cs="Arial"/>
        </w:rPr>
        <w:fldChar w:fldCharType="end"/>
      </w:r>
      <w:r w:rsidRPr="000973C4">
        <w:rPr>
          <w:rFonts w:ascii="Arial" w:hAnsi="Arial" w:cs="Arial"/>
        </w:rPr>
        <w:t xml:space="preserve">, where A and B target regions and ∩ is the intersection, it can be calculated using the following equation. </w:t>
      </w:r>
    </w:p>
    <w:p w14:paraId="28AFD473" w14:textId="57C243DC" w:rsidR="00E30E2D" w:rsidRPr="000973C4" w:rsidRDefault="00E30E2D" w:rsidP="00B17C10">
      <w:pPr>
        <w:pStyle w:val="Body"/>
        <w:rPr>
          <w:rFonts w:ascii="Arial" w:hAnsi="Arial" w:cs="Arial"/>
        </w:rPr>
      </w:pPr>
      <m:oMathPara>
        <m:oMath>
          <m:r>
            <w:rPr>
              <w:rFonts w:ascii="Cambria Math" w:hAnsi="Cambria Math"/>
            </w:rPr>
            <m:t>DSC=</m:t>
          </m:r>
          <m:f>
            <m:fPr>
              <m:ctrlPr>
                <w:rPr>
                  <w:rFonts w:ascii="Cambria Math" w:hAnsi="Cambria Math"/>
                  <w:i/>
                </w:rPr>
              </m:ctrlPr>
            </m:fPr>
            <m:num>
              <m:r>
                <w:rPr>
                  <w:rFonts w:ascii="Cambria Math" w:hAnsi="Cambria Math"/>
                </w:rPr>
                <m:t>2</m:t>
              </m:r>
              <m:d>
                <m:dPr>
                  <m:begChr m:val="|"/>
                  <m:endChr m:val="|"/>
                  <m:ctrlPr>
                    <w:rPr>
                      <w:rFonts w:ascii="Cambria Math" w:hAnsi="Cambria Math"/>
                      <w:i/>
                    </w:rPr>
                  </m:ctrlPr>
                </m:dPr>
                <m:e>
                  <m:r>
                    <w:rPr>
                      <w:rFonts w:ascii="Cambria Math" w:hAnsi="Cambria Math"/>
                    </w:rPr>
                    <m:t>A∩B</m:t>
                  </m:r>
                </m:e>
              </m:d>
            </m:num>
            <m:den>
              <m:d>
                <m:dPr>
                  <m:begChr m:val="|"/>
                  <m:endChr m:val="|"/>
                  <m:ctrlPr>
                    <w:rPr>
                      <w:rFonts w:ascii="Cambria Math" w:hAnsi="Cambria Math"/>
                      <w:i/>
                    </w:rPr>
                  </m:ctrlPr>
                </m:dPr>
                <m:e>
                  <m:r>
                    <w:rPr>
                      <w:rFonts w:ascii="Cambria Math" w:hAnsi="Cambria Math"/>
                    </w:rPr>
                    <m:t>A</m:t>
                  </m:r>
                </m:e>
              </m:d>
              <m:r>
                <w:rPr>
                  <w:rFonts w:ascii="Cambria Math" w:hAnsi="Cambria Math"/>
                </w:rPr>
                <m:t>+</m:t>
              </m:r>
              <m:d>
                <m:dPr>
                  <m:begChr m:val="|"/>
                  <m:endChr m:val="|"/>
                  <m:ctrlPr>
                    <w:rPr>
                      <w:rFonts w:ascii="Cambria Math" w:hAnsi="Cambria Math"/>
                      <w:i/>
                    </w:rPr>
                  </m:ctrlPr>
                </m:dPr>
                <m:e>
                  <m:r>
                    <w:rPr>
                      <w:rFonts w:ascii="Cambria Math" w:hAnsi="Cambria Math"/>
                    </w:rPr>
                    <m:t>B</m:t>
                  </m:r>
                </m:e>
              </m:d>
            </m:den>
          </m:f>
        </m:oMath>
      </m:oMathPara>
    </w:p>
    <w:p w14:paraId="3B3EB17F" w14:textId="0CC2CFF0" w:rsidR="00B17C10" w:rsidRPr="000973C4" w:rsidRDefault="004A4C5A" w:rsidP="00B17C10">
      <w:pPr>
        <w:pStyle w:val="Body"/>
        <w:rPr>
          <w:rFonts w:ascii="Arial" w:hAnsi="Arial" w:cs="Arial"/>
        </w:rPr>
      </w:pPr>
      <w:r w:rsidRPr="000973C4">
        <w:rPr>
          <w:rFonts w:ascii="Arial" w:hAnsi="Arial" w:cs="Arial"/>
        </w:rPr>
        <w:t xml:space="preserve">Peak Signal to Noise Ratio (PSNR) is the ratio between the maximum possible power of a signal and the power of corrupting noise that affects the fidelity of its representation </w:t>
      </w:r>
      <w:r w:rsidRPr="000973C4">
        <w:rPr>
          <w:rFonts w:ascii="Arial" w:hAnsi="Arial" w:cs="Arial"/>
        </w:rPr>
        <w:fldChar w:fldCharType="begin" w:fldLock="1"/>
      </w:r>
      <w:r w:rsidR="00B17C10" w:rsidRPr="000973C4">
        <w:rPr>
          <w:rFonts w:ascii="Arial" w:hAnsi="Arial" w:cs="Arial"/>
        </w:rPr>
        <w:instrText>ADDIN CSL_CITATION {"citationItems":[{"id":"ITEM-1","itemData":{"DOI":"10.1080/1206212X.2019.1692442","ISSN":"19257074","abstract":"Information security involves hiding secret images, text, audio or video files within any other files that can be used to preserve the secret data from being theft by the third party. Recent works of the literature in steganography have the threat of secret information being retrieved by an anonymous user. Some techniques do not support some image formats for embedding. To overcome the disadvantages associated with the existing algorithms, we proposed encryption-based steganography. Encryption algorithms play vital roles to protect original data from unauthorized access. In this paper, the cover image is separated into RGB components separately. Multilevel discrete wavelet transform (DWT) transformation is applied over the transformed image components. Optimal pixels are selected using Multiobjective Whale Optimization. The secret image is split into RGB components. Encryption using Data Encryption Standard, Advanced Encryption Standard and Signcryption algorithms is performed over R, G and B separated components, respectively. The encrypted image is embedded into the selected pixel point of cover image. Inverse DWT is applied to retrieve the stego image. The results are analyzed to prove low error rate with high secured secret image.","author":[{"dropping-particle":"","family":"Ambika","given":"","non-dropping-particle":"","parse-names":false,"suffix":""},{"dropping-particle":"","family":"Biradar","given":"Rajkumar L.","non-dropping-particle":"","parse-names":false,"suffix":""},{"dropping-particle":"","family":"Burkpalli","given":"Vishwanath","non-dropping-particle":"","parse-names":false,"suffix":""}],"container-title":"International Journal of Computers and Applications","id":"ITEM-1","issue":"12","issued":{"date-parts":[["2022"]]},"page":"1140-1149","publisher":"Taylor &amp; Francis","title":"Encryption-based steganography of images by multiobjective whale optimal pixel selection","type":"article-journal","volume":"44"},"uris":["http://www.mendeley.com/documents/?uuid=bcc41f04-2f6d-4215-bd56-333e7e42b79b"]}],"mendeley":{"formattedCitation":"(Ambika et al., 2022)","plainTextFormattedCitation":"(Ambika et al., 2022)","previouslyFormattedCitation":"(Ambika et al., 2022)"},"properties":{"noteIndex":0},"schema":"https://github.com/citation-style-language/schema/raw/master/csl-citation.json"}</w:instrText>
      </w:r>
      <w:r w:rsidRPr="000973C4">
        <w:rPr>
          <w:rFonts w:ascii="Arial" w:hAnsi="Arial" w:cs="Arial"/>
        </w:rPr>
        <w:fldChar w:fldCharType="separate"/>
      </w:r>
      <w:r w:rsidRPr="000973C4">
        <w:rPr>
          <w:rFonts w:ascii="Arial" w:hAnsi="Arial" w:cs="Arial"/>
          <w:noProof/>
        </w:rPr>
        <w:t>(Ambika et al., 2022)</w:t>
      </w:r>
      <w:r w:rsidRPr="000973C4">
        <w:rPr>
          <w:rFonts w:ascii="Arial" w:hAnsi="Arial" w:cs="Arial"/>
        </w:rPr>
        <w:fldChar w:fldCharType="end"/>
      </w:r>
      <w:r w:rsidR="00B17C10" w:rsidRPr="000973C4">
        <w:rPr>
          <w:rFonts w:ascii="Arial" w:hAnsi="Arial" w:cs="Arial"/>
        </w:rPr>
        <w:t xml:space="preserve">. The unit of PSNR is decibel </w:t>
      </w:r>
      <w:r w:rsidRPr="000973C4">
        <w:rPr>
          <w:rFonts w:ascii="Arial" w:hAnsi="Arial" w:cs="Arial"/>
        </w:rPr>
        <w:t>and it can be calculated using the following equation.</w:t>
      </w:r>
      <w:r w:rsidR="00B17C10" w:rsidRPr="000973C4">
        <w:rPr>
          <w:rFonts w:ascii="Arial" w:hAnsi="Arial" w:cs="Arial"/>
        </w:rPr>
        <w:t xml:space="preserve"> </w:t>
      </w:r>
    </w:p>
    <w:p w14:paraId="61567BA4" w14:textId="264F95C4" w:rsidR="00B17C10" w:rsidRPr="000973C4" w:rsidRDefault="00B17C10" w:rsidP="00B17C10">
      <w:pPr>
        <w:pStyle w:val="Body"/>
        <w:jc w:val="center"/>
        <w:rPr>
          <w:rFonts w:ascii="Arial" w:hAnsi="Arial" w:cs="Arial"/>
        </w:rPr>
      </w:pPr>
      <m:oMathPara>
        <m:oMath>
          <m:r>
            <w:rPr>
              <w:rFonts w:ascii="Cambria Math" w:hAnsi="Cambria Math"/>
            </w:rPr>
            <m:t>PSNR=10×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255</m:t>
                      </m:r>
                    </m:num>
                    <m:den>
                      <m:r>
                        <w:rPr>
                          <w:rFonts w:ascii="Cambria Math" w:hAnsi="Cambria Math"/>
                        </w:rPr>
                        <m:t>MSE</m:t>
                      </m:r>
                    </m:den>
                  </m:f>
                </m:e>
              </m:d>
            </m:e>
          </m:func>
        </m:oMath>
      </m:oMathPara>
    </w:p>
    <w:p w14:paraId="106391F8" w14:textId="5B2680A0" w:rsidR="004A4C5A" w:rsidRPr="000973C4" w:rsidRDefault="00B17C10" w:rsidP="00B17C10">
      <w:pPr>
        <w:pStyle w:val="Body"/>
        <w:rPr>
          <w:rFonts w:ascii="Arial" w:hAnsi="Arial" w:cs="Arial"/>
        </w:rPr>
      </w:pPr>
      <w:r w:rsidRPr="000973C4">
        <w:rPr>
          <w:rFonts w:ascii="Arial" w:hAnsi="Arial" w:cs="Arial"/>
        </w:rPr>
        <w:t xml:space="preserve">Normalized Cross-Correlation (NCC) is a measure of similarity of two series or comparison of the processed image and reference image </w:t>
      </w:r>
      <w:r w:rsidRPr="000973C4">
        <w:rPr>
          <w:rFonts w:ascii="Arial" w:hAnsi="Arial" w:cs="Arial"/>
        </w:rPr>
        <w:fldChar w:fldCharType="begin" w:fldLock="1"/>
      </w:r>
      <w:r w:rsidR="00E30E2D" w:rsidRPr="000973C4">
        <w:rPr>
          <w:rFonts w:ascii="Arial" w:hAnsi="Arial" w:cs="Arial"/>
        </w:rPr>
        <w:instrText>ADDIN CSL_CITATION {"citationItems":[{"id":"ITEM-1","itemData":{"DOI":"10.1080/1206212X.2019.1692442","ISSN":"19257074","abstract":"Information security involves hiding secret images, text, audio or video files within any other files that can be used to preserve the secret data from being theft by the third party. Recent works of the literature in steganography have the threat of secret information being retrieved by an anonymous user. Some techniques do not support some image formats for embedding. To overcome the disadvantages associated with the existing algorithms, we proposed encryption-based steganography. Encryption algorithms play vital roles to protect original data from unauthorized access. In this paper, the cover image is separated into RGB components separately. Multilevel discrete wavelet transform (DWT) transformation is applied over the transformed image components. Optimal pixels are selected using Multiobjective Whale Optimization. The secret image is split into RGB components. Encryption using Data Encryption Standard, Advanced Encryption Standard and Signcryption algorithms is performed over R, G and B separated components, respectively. The encrypted image is embedded into the selected pixel point of cover image. Inverse DWT is applied to retrieve the stego image. The results are analyzed to prove low error rate with high secured secret image.","author":[{"dropping-particle":"","family":"Ambika","given":"","non-dropping-particle":"","parse-names":false,"suffix":""},{"dropping-particle":"","family":"Biradar","given":"Rajkumar L.","non-dropping-particle":"","parse-names":false,"suffix":""},{"dropping-particle":"","family":"Burkpalli","given":"Vishwanath","non-dropping-particle":"","parse-names":false,"suffix":""}],"container-title":"International Journal of Computers and Applications","id":"ITEM-1","issue":"12","issued":{"date-parts":[["2022"]]},"page":"1140-1149","publisher":"Taylor &amp; Francis","title":"Encryption-based steganography of images by multiobjective whale optimal pixel selection","type":"article-journal","volume":"44"},"uris":["http://www.mendeley.com/documents/?uuid=bcc41f04-2f6d-4215-bd56-333e7e42b79b"]}],"mendeley":{"formattedCitation":"(Ambika et al., 2022)","plainTextFormattedCitation":"(Ambika et al., 2022)","previouslyFormattedCitation":"(Ambika et al., 2022)"},"properties":{"noteIndex":0},"schema":"https://github.com/citation-style-language/schema/raw/master/csl-citation.json"}</w:instrText>
      </w:r>
      <w:r w:rsidRPr="000973C4">
        <w:rPr>
          <w:rFonts w:ascii="Arial" w:hAnsi="Arial" w:cs="Arial"/>
        </w:rPr>
        <w:fldChar w:fldCharType="separate"/>
      </w:r>
      <w:r w:rsidRPr="000973C4">
        <w:rPr>
          <w:rFonts w:ascii="Arial" w:hAnsi="Arial" w:cs="Arial"/>
          <w:noProof/>
        </w:rPr>
        <w:t>(Ambika et al., 2022)</w:t>
      </w:r>
      <w:r w:rsidRPr="000973C4">
        <w:rPr>
          <w:rFonts w:ascii="Arial" w:hAnsi="Arial" w:cs="Arial"/>
        </w:rPr>
        <w:fldChar w:fldCharType="end"/>
      </w:r>
      <w:r w:rsidRPr="000973C4">
        <w:rPr>
          <w:rFonts w:ascii="Arial" w:hAnsi="Arial" w:cs="Arial"/>
        </w:rPr>
        <w:t xml:space="preserve"> and it can be calculated using the following equation.</w:t>
      </w:r>
    </w:p>
    <w:p w14:paraId="1D9A3C1F" w14:textId="0262DD54" w:rsidR="00B17C10" w:rsidRPr="000973C4" w:rsidRDefault="00D71E03" w:rsidP="00B17C10">
      <w:pPr>
        <w:pStyle w:val="Body"/>
        <w:jc w:val="center"/>
        <w:rPr>
          <w:rFonts w:ascii="Arial" w:hAnsi="Arial" w:cs="Arial"/>
        </w:rPr>
      </w:pPr>
      <m:oMathPara>
        <m:oMath>
          <m:r>
            <w:rPr>
              <w:rFonts w:ascii="Cambria Math" w:hAnsi="Cambria Math"/>
            </w:rPr>
            <m:t>NCC=</m:t>
          </m:r>
          <m:nary>
            <m:naryPr>
              <m:chr m:val="∑"/>
              <m:limLoc m:val="undOvr"/>
              <m:ctrlPr>
                <w:rPr>
                  <w:rFonts w:ascii="Cambria Math" w:hAnsi="Cambria Math"/>
                  <w:i/>
                </w:rPr>
              </m:ctrlPr>
            </m:naryPr>
            <m:sub>
              <m:r>
                <w:rPr>
                  <w:rFonts w:ascii="Cambria Math" w:hAnsi="Cambria Math"/>
                </w:rPr>
                <m:t>i=1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ij</m:t>
                              </m:r>
                            </m:sub>
                          </m:sSub>
                        </m:e>
                      </m:d>
                    </m:num>
                    <m:den>
                      <m:sSubSup>
                        <m:sSubSupPr>
                          <m:ctrlPr>
                            <w:rPr>
                              <w:rFonts w:ascii="Cambria Math" w:hAnsi="Cambria Math"/>
                              <w:i/>
                            </w:rPr>
                          </m:ctrlPr>
                        </m:sSubSupPr>
                        <m:e>
                          <m:r>
                            <w:rPr>
                              <w:rFonts w:ascii="Cambria Math" w:hAnsi="Cambria Math"/>
                            </w:rPr>
                            <m:t>A</m:t>
                          </m:r>
                        </m:e>
                        <m:sub>
                          <m:r>
                            <w:rPr>
                              <w:rFonts w:ascii="Cambria Math" w:hAnsi="Cambria Math"/>
                            </w:rPr>
                            <m:t>ij</m:t>
                          </m:r>
                        </m:sub>
                        <m:sup>
                          <m:r>
                            <w:rPr>
                              <w:rFonts w:ascii="Cambria Math" w:hAnsi="Cambria Math"/>
                            </w:rPr>
                            <m:t>2</m:t>
                          </m:r>
                        </m:sup>
                      </m:sSubSup>
                    </m:den>
                  </m:f>
                </m:e>
              </m:nary>
            </m:e>
          </m:nary>
        </m:oMath>
      </m:oMathPara>
    </w:p>
    <w:p w14:paraId="782504E6" w14:textId="77777777" w:rsidR="00790ADA" w:rsidRPr="000973C4" w:rsidRDefault="00790ADA" w:rsidP="00441B6F">
      <w:pPr>
        <w:pStyle w:val="Body"/>
        <w:spacing w:after="0"/>
        <w:rPr>
          <w:rFonts w:ascii="Arial" w:hAnsi="Arial" w:cs="Arial"/>
        </w:rPr>
      </w:pPr>
    </w:p>
    <w:p w14:paraId="3F39E7B6" w14:textId="30A4CF17" w:rsidR="00902823" w:rsidRPr="000973C4" w:rsidRDefault="00000F8F" w:rsidP="009656D1">
      <w:pPr>
        <w:pStyle w:val="Heading1"/>
      </w:pPr>
      <w:r w:rsidRPr="000973C4">
        <w:t>3</w:t>
      </w:r>
      <w:r w:rsidR="00902823" w:rsidRPr="000973C4">
        <w:t xml:space="preserve">. </w:t>
      </w:r>
      <w:r w:rsidR="009656D1" w:rsidRPr="000973C4">
        <w:t>RESULTS AND DISCUSSION</w:t>
      </w:r>
    </w:p>
    <w:p w14:paraId="2B7B0A35" w14:textId="77777777" w:rsidR="00790ADA" w:rsidRPr="000973C4" w:rsidRDefault="00790ADA" w:rsidP="00441B6F">
      <w:pPr>
        <w:pStyle w:val="Head1"/>
        <w:spacing w:after="0"/>
        <w:jc w:val="both"/>
        <w:rPr>
          <w:rFonts w:ascii="Arial" w:hAnsi="Arial" w:cs="Arial"/>
        </w:rPr>
      </w:pPr>
    </w:p>
    <w:p w14:paraId="7E03683E" w14:textId="36340907" w:rsidR="00996391" w:rsidRPr="000973C4" w:rsidRDefault="00996391" w:rsidP="00996391">
      <w:pPr>
        <w:pStyle w:val="Body"/>
        <w:rPr>
          <w:rFonts w:ascii="Arial" w:hAnsi="Arial" w:cs="Arial"/>
        </w:rPr>
      </w:pPr>
      <w:r w:rsidRPr="000973C4">
        <w:rPr>
          <w:rFonts w:ascii="Arial" w:hAnsi="Arial" w:cs="Arial"/>
        </w:rPr>
        <w:t xml:space="preserve">In this research, the CNN model training process was repeated to achieve an optimal level of accuracy. The training time ranged between 5 to 8 hours, with an average duration of 1,247 seconds per epoch. The CNN model also implemented the early stopping technique with a patience value of 8, causing the training process to automatically stop. This approach prevents the model from overfitting to the training data, ensuring good generalization on new data while reducing unnecessary epochs and accelerating the training process. From these iterations, the best result was obtained with an accuracy of 97.53%. Since the CNN model in this study is solely used to predict the radiotherapy dose distribution for glioblastoma cancer without classification, accuracy is defined as the percentage of pixels where the difference between the predicted and actual values is smaller than the error threshold. Accuracy is calculated by dividing the number of pixels meeting this condition by the total number of pixels in the image, using an error threshold of 0.01.  </w:t>
      </w:r>
    </w:p>
    <w:p w14:paraId="040E9A78" w14:textId="2D45468C" w:rsidR="00906507" w:rsidRPr="000973C4" w:rsidRDefault="00906507" w:rsidP="00906507">
      <w:pPr>
        <w:pStyle w:val="Body"/>
        <w:rPr>
          <w:rFonts w:ascii="Arial" w:hAnsi="Arial" w:cs="Arial"/>
        </w:rPr>
      </w:pPr>
      <w:r w:rsidRPr="000973C4">
        <w:rPr>
          <w:rFonts w:ascii="Arial" w:hAnsi="Arial" w:cs="Arial"/>
        </w:rPr>
        <w:t xml:space="preserve">The evaluation metrics for the CNN model demonstrate strong predictive accuracy in radiotherapy dose distribution. The model achieved MSE of 0.00015795 and RMSE of 0.01256, both of which indicate minimal deviations between predicted and actual dose values. The low RMSE suggests that the model effectively captures dose variations with high numerical accuracy, ensuring precise dose estimation. Additionally, the SSIM was 0.979718, highlighting that the predicted dose distributions closely resemble the actual dose maps in terms of luminance, contrast, and structure. SSIM values near 1.0 </w:t>
      </w:r>
      <w:r w:rsidRPr="000973C4">
        <w:rPr>
          <w:rFonts w:ascii="Arial" w:hAnsi="Arial" w:cs="Arial"/>
        </w:rPr>
        <w:lastRenderedPageBreak/>
        <w:t>are desirable in radiotherapy applications as they ensure that anatomical structures and dose gradients are accurately preserved.</w:t>
      </w:r>
    </w:p>
    <w:p w14:paraId="5ECE32ED" w14:textId="56BC6A9F" w:rsidR="00906507" w:rsidRPr="000973C4" w:rsidRDefault="00906507" w:rsidP="00906507">
      <w:pPr>
        <w:pStyle w:val="Body"/>
        <w:rPr>
          <w:rFonts w:ascii="Arial" w:hAnsi="Arial" w:cs="Arial"/>
        </w:rPr>
      </w:pPr>
      <w:r w:rsidRPr="000973C4">
        <w:rPr>
          <w:rFonts w:ascii="Arial" w:hAnsi="Arial" w:cs="Arial"/>
        </w:rPr>
        <w:t xml:space="preserve">The DSC of 0.9711 further supports the model’s accuracy by measuring the spatial overlap between predicted and actual dose regions. A DSC value close to 1.0 indicates a high degree of correspondence, which is essential in ensuring that critical structures receive the planned dose while avoiding unnecessary exposure. Compared to the study by </w:t>
      </w:r>
      <w:r w:rsidRPr="000973C4">
        <w:rPr>
          <w:rFonts w:ascii="Arial" w:hAnsi="Arial" w:cs="Arial"/>
        </w:rPr>
        <w:fldChar w:fldCharType="begin" w:fldLock="1"/>
      </w:r>
      <w:r w:rsidRPr="000973C4">
        <w:rPr>
          <w:rFonts w:ascii="Arial" w:hAnsi="Arial" w:cs="Arial"/>
        </w:rPr>
        <w:instrText>ADDIN CSL_CITATION {"citationItems":[{"id":"ITEM-1","itemData":{"DOI":"10.1002/acm2.14197","ISSN":"15269914","PMID":"37933891","abstract":"Purpose: The aim of this study is to reduce treatment planning time by predicting the intensity-modulated radiotherapy 3D dose distribution using deep learning for brain cancer patients. “For this purpose, two different approaches in dose prediction, i.e., first only planning target volume (PTV) and second PTV with organs at risk (OARs) as input of the U-net model, are employed and their results are compared.”. Methods and Materials: The data of 99 patients with glioma tumors referred for IMRT treatment were used so that the images of 90 patients were regarded as training datasets and the others were for the test. All patients were manually planned and treated with sixth-field IMRT; the photon energy was 6MV. The treatment plans were done with the Collapsed Cone Convolution algorithm to deliver 60 Gy in 30 fractions. Results: The obtained accuracy and similarity for the proposed methods in dose prediction when compared to the clinical dose distributions on test patients according to MSE, dice metric and SSIM for the Only-PTV and PTV-OARs methods are on average (0.05, 0.851, 0.83) and (0.056, 0.842, 0.82) respectively. Also, dose prediction is done in an extremely short time. Conclusion: The same results of the two proposed methods prove that the presence of OARs in addition to PTV does not provide new knowledge to the network and only by defining the PTV and its location in the imaging slices, does the dose distribution become predictable. Therefore, the Only-PTV method by eliminating the process of introducing OARs can reduce the overall designing time of treatment by IMRT in patients with glioma tumors.","author":[{"dropping-particle":"","family":"Irannejad","given":"Maziar","non-dropping-particle":"","parse-names":false,"suffix":""},{"dropping-particle":"","family":"Abedi","given":"Iraj","non-dropping-particle":"","parse-names":false,"suffix":""},{"dropping-particle":"","family":"Lonbani","given":"Vida Darbaghi","non-dropping-particle":"","parse-names":false,"suffix":""},{"dropping-particle":"","family":"Hassanvand","given":"Maryam","non-dropping-particle":"","parse-names":false,"suffix":""}],"container-title":"Journal of Applied Clinical Medical Physics","id":"ITEM-1","issue":"3","issued":{"date-parts":[["2024"]]},"page":"1-10","title":"Deep-neural network approaches for predicting 3D dose distribution in intensity-modulated radiotherapy of the brain tumors","type":"article-journal","volume":"25"},"uris":["http://www.mendeley.com/documents/?uuid=dfd494a2-a573-48bb-8c0f-9c8b2137a8e3"]}],"mendeley":{"formattedCitation":"(Irannejad et al., 2024)","plainTextFormattedCitation":"(Irannejad et al., 2024)"},"properties":{"noteIndex":0},"schema":"https://github.com/citation-style-language/schema/raw/master/csl-citation.json"}</w:instrText>
      </w:r>
      <w:r w:rsidRPr="000973C4">
        <w:rPr>
          <w:rFonts w:ascii="Arial" w:hAnsi="Arial" w:cs="Arial"/>
        </w:rPr>
        <w:fldChar w:fldCharType="separate"/>
      </w:r>
      <w:r w:rsidRPr="000973C4">
        <w:rPr>
          <w:rFonts w:ascii="Arial" w:hAnsi="Arial" w:cs="Arial"/>
          <w:noProof/>
        </w:rPr>
        <w:t>(Irannejad et al., 2024)</w:t>
      </w:r>
      <w:r w:rsidRPr="000973C4">
        <w:rPr>
          <w:rFonts w:ascii="Arial" w:hAnsi="Arial" w:cs="Arial"/>
        </w:rPr>
        <w:fldChar w:fldCharType="end"/>
      </w:r>
      <w:r w:rsidRPr="000973C4">
        <w:rPr>
          <w:rFonts w:ascii="Arial" w:hAnsi="Arial" w:cs="Arial"/>
        </w:rPr>
        <w:t>, which reported DSC values in the average of 0.842 for deep learning-based dose prediction models, the proposed CNN model demonstrates a competitive or slightly improved performance in spatial dose matching. Furthermore, the Peak Signal-to-Noise Ratio (PSNR) of 32 dB suggests high fidelity in dose prediction, where higher PSNR values indicate that the predicted dose maps contain minimal noise and maintain high-quality reconstruction. Typical PSNR values reported in prior research vary between 30–35 dB, depending on dataset quality and preprocessing techniques. The Normalized Cross-Correlation (NCC) of 0.96289 reinforces this finding, showing a strong correlation between predicted and actual dose distributions. NCC values close to 1.0 suggest that the overall dose patterns remain intact, aligning with previously reported NCC values of 0.95–0.97 in dose prediction studies.</w:t>
      </w:r>
    </w:p>
    <w:p w14:paraId="4584DFB6" w14:textId="198E8C73" w:rsidR="00927834" w:rsidRPr="000973C4" w:rsidRDefault="00906507" w:rsidP="00FF5CD3">
      <w:pPr>
        <w:pStyle w:val="Body"/>
        <w:rPr>
          <w:rFonts w:ascii="Arial" w:hAnsi="Arial" w:cs="Arial"/>
        </w:rPr>
      </w:pPr>
      <w:r w:rsidRPr="000973C4">
        <w:rPr>
          <w:rFonts w:ascii="Arial" w:hAnsi="Arial" w:cs="Arial"/>
        </w:rPr>
        <w:t>Overall, these results confirm the effectiveness of the proposed CNN model in accurately predicting radiotherapy dose distributions. The high SSIM, DSC, PSNR, and NCC values indicate strong spatial agreement and structural preservation, making this approach highly applicable in clinical settings for automated dose planning. Future studies could explore further optimization strategies, such as transfer learning or hybrid architectures, to enhance prediction robustness across diverse patient datasets.</w:t>
      </w:r>
      <w:r w:rsidR="00FF5CD3" w:rsidRPr="000973C4">
        <w:rPr>
          <w:rFonts w:ascii="Arial" w:hAnsi="Arial" w:cs="Arial"/>
        </w:rPr>
        <w:t xml:space="preserve"> </w:t>
      </w:r>
      <w:r w:rsidR="000770BA" w:rsidRPr="000973C4">
        <w:rPr>
          <w:rFonts w:ascii="Arial" w:hAnsi="Arial" w:cs="Arial"/>
        </w:rPr>
        <w:t>In addition to evaluation metrics, the training results also include visualizations of the predicted radiotherapy dose distribution for glioblastoma cancer. These visualizations consist of three 2D slices from the 3D data, namely axial, coronal, and sagittal slices. Visually, the ground truth dose distribution map, shown in Figure 1, can be compared with the CNN model’s predicted dose distribution map, presented in Figure 2.</w:t>
      </w:r>
    </w:p>
    <w:p w14:paraId="4B404B0A" w14:textId="5BF7CFE1" w:rsidR="00FF5CD3" w:rsidRPr="000973C4" w:rsidRDefault="00FF5CD3" w:rsidP="00441B6F">
      <w:pPr>
        <w:autoSpaceDE w:val="0"/>
        <w:autoSpaceDN w:val="0"/>
        <w:adjustRightInd w:val="0"/>
        <w:jc w:val="both"/>
        <w:rPr>
          <w:rFonts w:ascii="Arial" w:hAnsi="Arial" w:cs="Arial"/>
          <w:b/>
          <w:bCs/>
          <w:sz w:val="22"/>
          <w:szCs w:val="22"/>
        </w:rPr>
      </w:pPr>
      <w:r w:rsidRPr="000973C4">
        <w:rPr>
          <w:rFonts w:ascii="Arial" w:hAnsi="Arial" w:cs="Arial"/>
          <w:b/>
          <w:bCs/>
          <w:noProof/>
          <w:sz w:val="22"/>
          <w:szCs w:val="22"/>
        </w:rPr>
        <w:drawing>
          <wp:inline distT="0" distB="0" distL="0" distR="0" wp14:anchorId="4CEEC002" wp14:editId="3463E3E6">
            <wp:extent cx="5234305" cy="1822930"/>
            <wp:effectExtent l="0" t="0" r="4445" b="6350"/>
            <wp:docPr id="1664808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808921" name=""/>
                    <pic:cNvPicPr/>
                  </pic:nvPicPr>
                  <pic:blipFill>
                    <a:blip r:embed="rId11"/>
                    <a:stretch>
                      <a:fillRect/>
                    </a:stretch>
                  </pic:blipFill>
                  <pic:spPr>
                    <a:xfrm>
                      <a:off x="0" y="0"/>
                      <a:ext cx="5255579" cy="1830339"/>
                    </a:xfrm>
                    <a:prstGeom prst="rect">
                      <a:avLst/>
                    </a:prstGeom>
                  </pic:spPr>
                </pic:pic>
              </a:graphicData>
            </a:graphic>
          </wp:inline>
        </w:drawing>
      </w:r>
    </w:p>
    <w:p w14:paraId="15872F3F" w14:textId="77777777" w:rsidR="00927834" w:rsidRPr="000973C4" w:rsidRDefault="00927834" w:rsidP="00441B6F">
      <w:pPr>
        <w:autoSpaceDE w:val="0"/>
        <w:autoSpaceDN w:val="0"/>
        <w:adjustRightInd w:val="0"/>
        <w:jc w:val="both"/>
        <w:rPr>
          <w:rFonts w:ascii="Arial" w:hAnsi="Arial" w:cs="Arial"/>
          <w:b/>
          <w:bCs/>
          <w:szCs w:val="22"/>
        </w:rPr>
      </w:pPr>
    </w:p>
    <w:p w14:paraId="7E2C4D76" w14:textId="566833CF" w:rsidR="00927834" w:rsidRPr="000973C4" w:rsidRDefault="009E048A" w:rsidP="00441B6F">
      <w:pPr>
        <w:autoSpaceDE w:val="0"/>
        <w:autoSpaceDN w:val="0"/>
        <w:adjustRightInd w:val="0"/>
        <w:jc w:val="both"/>
        <w:rPr>
          <w:rFonts w:ascii="Arial" w:hAnsi="Arial" w:cs="Arial"/>
          <w:b/>
          <w:bCs/>
          <w:szCs w:val="22"/>
        </w:rPr>
      </w:pPr>
      <w:r w:rsidRPr="000973C4">
        <w:rPr>
          <w:rFonts w:ascii="Arial" w:hAnsi="Arial" w:cs="Arial"/>
          <w:b/>
          <w:bCs/>
          <w:szCs w:val="22"/>
        </w:rPr>
        <w:t>Fig.</w:t>
      </w:r>
      <w:r w:rsidR="00927834" w:rsidRPr="000973C4">
        <w:rPr>
          <w:rFonts w:ascii="Arial" w:hAnsi="Arial" w:cs="Arial"/>
          <w:b/>
          <w:bCs/>
          <w:szCs w:val="22"/>
        </w:rPr>
        <w:t xml:space="preserve"> 1</w:t>
      </w:r>
      <w:r w:rsidRPr="000973C4">
        <w:rPr>
          <w:rFonts w:ascii="Arial" w:hAnsi="Arial" w:cs="Arial"/>
          <w:b/>
          <w:bCs/>
          <w:szCs w:val="22"/>
        </w:rPr>
        <w:t>.</w:t>
      </w:r>
      <w:r w:rsidR="00927834" w:rsidRPr="000973C4">
        <w:rPr>
          <w:rFonts w:ascii="Arial" w:hAnsi="Arial" w:cs="Arial"/>
          <w:b/>
          <w:bCs/>
          <w:szCs w:val="22"/>
        </w:rPr>
        <w:t xml:space="preserve"> </w:t>
      </w:r>
      <w:r w:rsidR="000770BA" w:rsidRPr="000973C4">
        <w:rPr>
          <w:rFonts w:ascii="Arial" w:hAnsi="Arial" w:cs="Arial"/>
          <w:b/>
          <w:bCs/>
          <w:szCs w:val="22"/>
        </w:rPr>
        <w:t>Ground truth dose distribution in axial slice, coronal slice, and sagittal slice</w:t>
      </w:r>
    </w:p>
    <w:p w14:paraId="45D6056E" w14:textId="5121C6E4" w:rsidR="000770BA" w:rsidRPr="000973C4" w:rsidRDefault="000770BA" w:rsidP="000770BA">
      <w:pPr>
        <w:autoSpaceDE w:val="0"/>
        <w:autoSpaceDN w:val="0"/>
        <w:adjustRightInd w:val="0"/>
        <w:jc w:val="both"/>
        <w:rPr>
          <w:rFonts w:ascii="Arial" w:hAnsi="Arial" w:cs="Arial"/>
          <w:b/>
          <w:bCs/>
          <w:sz w:val="22"/>
          <w:szCs w:val="22"/>
        </w:rPr>
      </w:pPr>
    </w:p>
    <w:p w14:paraId="0DA23DAE" w14:textId="2449FB3F" w:rsidR="00FF5CD3" w:rsidRPr="000973C4" w:rsidRDefault="00FF5CD3" w:rsidP="000770BA">
      <w:pPr>
        <w:autoSpaceDE w:val="0"/>
        <w:autoSpaceDN w:val="0"/>
        <w:adjustRightInd w:val="0"/>
        <w:jc w:val="both"/>
        <w:rPr>
          <w:rFonts w:ascii="Arial" w:hAnsi="Arial" w:cs="Arial"/>
          <w:b/>
          <w:bCs/>
          <w:sz w:val="22"/>
          <w:szCs w:val="22"/>
        </w:rPr>
      </w:pPr>
      <w:r w:rsidRPr="000973C4">
        <w:rPr>
          <w:rFonts w:ascii="Arial" w:hAnsi="Arial" w:cs="Arial"/>
          <w:b/>
          <w:bCs/>
          <w:noProof/>
          <w:sz w:val="22"/>
          <w:szCs w:val="22"/>
        </w:rPr>
        <w:drawing>
          <wp:inline distT="0" distB="0" distL="0" distR="0" wp14:anchorId="45386F76" wp14:editId="07F9E9E4">
            <wp:extent cx="5303520" cy="1747751"/>
            <wp:effectExtent l="0" t="0" r="0" b="5080"/>
            <wp:docPr id="4418703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870364" name=""/>
                    <pic:cNvPicPr/>
                  </pic:nvPicPr>
                  <pic:blipFill>
                    <a:blip r:embed="rId12"/>
                    <a:stretch>
                      <a:fillRect/>
                    </a:stretch>
                  </pic:blipFill>
                  <pic:spPr>
                    <a:xfrm>
                      <a:off x="0" y="0"/>
                      <a:ext cx="5326151" cy="1755209"/>
                    </a:xfrm>
                    <a:prstGeom prst="rect">
                      <a:avLst/>
                    </a:prstGeom>
                  </pic:spPr>
                </pic:pic>
              </a:graphicData>
            </a:graphic>
          </wp:inline>
        </w:drawing>
      </w:r>
    </w:p>
    <w:p w14:paraId="3E86E1D0" w14:textId="77777777" w:rsidR="00FF5CD3" w:rsidRPr="000973C4" w:rsidRDefault="00FF5CD3" w:rsidP="000770BA">
      <w:pPr>
        <w:autoSpaceDE w:val="0"/>
        <w:autoSpaceDN w:val="0"/>
        <w:adjustRightInd w:val="0"/>
        <w:jc w:val="both"/>
        <w:rPr>
          <w:rFonts w:ascii="Arial" w:hAnsi="Arial" w:cs="Arial"/>
          <w:b/>
          <w:bCs/>
          <w:sz w:val="22"/>
          <w:szCs w:val="22"/>
        </w:rPr>
      </w:pPr>
    </w:p>
    <w:p w14:paraId="3E9B284D" w14:textId="77777777" w:rsidR="000770BA" w:rsidRPr="000973C4" w:rsidRDefault="000770BA" w:rsidP="000770BA">
      <w:pPr>
        <w:autoSpaceDE w:val="0"/>
        <w:autoSpaceDN w:val="0"/>
        <w:adjustRightInd w:val="0"/>
        <w:jc w:val="both"/>
        <w:rPr>
          <w:rFonts w:ascii="Arial" w:hAnsi="Arial" w:cs="Arial"/>
          <w:b/>
          <w:bCs/>
          <w:szCs w:val="22"/>
        </w:rPr>
      </w:pPr>
    </w:p>
    <w:p w14:paraId="6165D58E" w14:textId="4E4811D0" w:rsidR="000770BA" w:rsidRPr="000973C4" w:rsidRDefault="000770BA" w:rsidP="000770BA">
      <w:pPr>
        <w:autoSpaceDE w:val="0"/>
        <w:autoSpaceDN w:val="0"/>
        <w:adjustRightInd w:val="0"/>
        <w:jc w:val="both"/>
        <w:rPr>
          <w:rFonts w:ascii="Arial" w:hAnsi="Arial" w:cs="Arial"/>
          <w:b/>
          <w:bCs/>
          <w:szCs w:val="22"/>
        </w:rPr>
      </w:pPr>
      <w:r w:rsidRPr="000973C4">
        <w:rPr>
          <w:rFonts w:ascii="Arial" w:hAnsi="Arial" w:cs="Arial"/>
          <w:b/>
          <w:bCs/>
          <w:szCs w:val="22"/>
        </w:rPr>
        <w:t xml:space="preserve">Fig. 2. </w:t>
      </w:r>
      <w:r w:rsidR="00E65CD8" w:rsidRPr="000973C4">
        <w:rPr>
          <w:rFonts w:ascii="Arial" w:hAnsi="Arial" w:cs="Arial"/>
          <w:b/>
          <w:bCs/>
          <w:szCs w:val="22"/>
        </w:rPr>
        <w:t>Predicted dose distribution in axial slice, coronal slice, and sagittal slice</w:t>
      </w:r>
    </w:p>
    <w:p w14:paraId="22E5441B" w14:textId="77777777" w:rsidR="00863BD3" w:rsidRPr="000973C4" w:rsidRDefault="00863BD3" w:rsidP="00441B6F">
      <w:pPr>
        <w:pStyle w:val="Body"/>
        <w:spacing w:after="0"/>
        <w:rPr>
          <w:rFonts w:ascii="Arial" w:hAnsi="Arial" w:cs="Arial"/>
        </w:rPr>
      </w:pPr>
    </w:p>
    <w:p w14:paraId="43ABE241" w14:textId="3D534B36" w:rsidR="00E053D0" w:rsidRPr="000973C4" w:rsidRDefault="000770BA" w:rsidP="00441B6F">
      <w:pPr>
        <w:pStyle w:val="Body"/>
        <w:spacing w:after="0"/>
        <w:rPr>
          <w:rFonts w:ascii="Arial" w:hAnsi="Arial" w:cs="Arial"/>
        </w:rPr>
      </w:pPr>
      <w:r w:rsidRPr="000973C4">
        <w:rPr>
          <w:rFonts w:ascii="Arial" w:hAnsi="Arial" w:cs="Arial"/>
        </w:rPr>
        <w:t>From Figure 1 and Figure 2, it can be observed that the dose distribution predicted by the CNN model closely resembles the actual dose map. The contours of high and low dose regions appear well-aligned, indicating that the CNN model has effectively learned the dose distribution patterns. Additionally, the predicted results show a high level of similarity to the ground truth, as seen in the axial, coronal, and sagittal slices.</w:t>
      </w:r>
    </w:p>
    <w:p w14:paraId="1CDCC608" w14:textId="4B69D79E" w:rsidR="008E76EA" w:rsidRPr="000973C4" w:rsidRDefault="00FF5CD3" w:rsidP="00441B6F">
      <w:pPr>
        <w:pStyle w:val="Body"/>
        <w:spacing w:after="0"/>
        <w:rPr>
          <w:rFonts w:ascii="Arial" w:hAnsi="Arial" w:cs="Arial"/>
        </w:rPr>
      </w:pPr>
      <w:r w:rsidRPr="000973C4">
        <w:rPr>
          <w:rFonts w:ascii="Arial" w:hAnsi="Arial" w:cs="Arial"/>
        </w:rPr>
        <w:lastRenderedPageBreak/>
        <w:t>T</w:t>
      </w:r>
      <w:r w:rsidR="008E76EA" w:rsidRPr="000973C4">
        <w:rPr>
          <w:rFonts w:ascii="Arial" w:hAnsi="Arial" w:cs="Arial"/>
        </w:rPr>
        <w:t>he inherently imbalanced nature of radiotherapy dose distributions can bias models toward over-predicting common dose levels while failing to accurately estimate rarer but clinically significant dose regions. On the computational side, training CNN models on high-dimensional 3D medical images requires substantial memory and processing power, necessitating specialized hardware such as high-performance GPUs or TPUs. The need for large-scale 3D convolutions, deep network architectures, and extensive hyperparameter tuning further exacerbates computational demands, making model training both time-consuming and resource-intensive.</w:t>
      </w:r>
    </w:p>
    <w:p w14:paraId="3413BD97" w14:textId="77777777" w:rsidR="00790ADA" w:rsidRPr="000973C4" w:rsidRDefault="00790ADA" w:rsidP="00441B6F">
      <w:pPr>
        <w:pStyle w:val="Body"/>
        <w:spacing w:after="0"/>
        <w:rPr>
          <w:rFonts w:ascii="Arial" w:hAnsi="Arial" w:cs="Arial"/>
        </w:rPr>
      </w:pPr>
    </w:p>
    <w:p w14:paraId="745D2BDC" w14:textId="6EFC4AF0" w:rsidR="00B01FCD" w:rsidRPr="000973C4" w:rsidRDefault="009656D1" w:rsidP="009656D1">
      <w:pPr>
        <w:pStyle w:val="Heading1"/>
      </w:pPr>
      <w:r w:rsidRPr="000973C4">
        <w:t>4. CONCLUSION</w:t>
      </w:r>
    </w:p>
    <w:p w14:paraId="3568873E" w14:textId="77777777" w:rsidR="00790ADA" w:rsidRPr="000973C4" w:rsidRDefault="00790ADA" w:rsidP="00441B6F">
      <w:pPr>
        <w:pStyle w:val="ConcHead"/>
        <w:spacing w:after="0"/>
        <w:jc w:val="both"/>
        <w:rPr>
          <w:rFonts w:ascii="Arial" w:hAnsi="Arial" w:cs="Arial"/>
        </w:rPr>
      </w:pPr>
    </w:p>
    <w:p w14:paraId="2409490D" w14:textId="3C34E332" w:rsidR="00FF5CD3" w:rsidRPr="000973C4" w:rsidRDefault="00FF5CD3" w:rsidP="00441B6F">
      <w:pPr>
        <w:pStyle w:val="Body"/>
        <w:spacing w:after="0"/>
        <w:rPr>
          <w:rFonts w:ascii="Arial" w:hAnsi="Arial" w:cs="Arial"/>
        </w:rPr>
      </w:pPr>
      <w:r w:rsidRPr="000973C4">
        <w:rPr>
          <w:rFonts w:ascii="Arial" w:hAnsi="Arial" w:cs="Arial"/>
        </w:rPr>
        <w:t>The model demonstrates high accuracy with minimal error, as evidenced by its strong performance in metrics such as SSIM, DSC, PSNR, and NCC. Although this study focuses on predicting dose distributions directly from RTDOSE data, the proposed method is generalizable and can be adapted to other dose prediction tasks, including different calculation algorithms and treatment modalities. The ability to generate high-quality dose predictions in real time has significant clinical implications, particularly in adaptive radiotherapy and automated treatment planning. Future research can explore the integration of this approach with Monte Carlo-based simulations or hybrid deep learning models to further enhance accuracy and generalizability. The use of deep learning in dose prediction represents a promising avenue for advancing precision radiotherapy and improving patient outcomes.</w:t>
      </w:r>
    </w:p>
    <w:p w14:paraId="0B19040D" w14:textId="77777777" w:rsidR="00790ADA" w:rsidRPr="000973C4" w:rsidRDefault="00790ADA" w:rsidP="00441B6F">
      <w:pPr>
        <w:pStyle w:val="Body"/>
        <w:spacing w:after="0"/>
        <w:rPr>
          <w:rFonts w:ascii="Arial" w:hAnsi="Arial" w:cs="Arial"/>
        </w:rPr>
      </w:pPr>
    </w:p>
    <w:p w14:paraId="38A2B050" w14:textId="77777777" w:rsidR="00315186" w:rsidRPr="000973C4" w:rsidRDefault="00315186" w:rsidP="00441B6F"/>
    <w:p w14:paraId="4AC6BD5B" w14:textId="71CA814C" w:rsidR="002B685A" w:rsidRPr="000973C4" w:rsidRDefault="009656D1" w:rsidP="009656D1">
      <w:pPr>
        <w:pStyle w:val="Heading1"/>
      </w:pPr>
      <w:r w:rsidRPr="000973C4">
        <w:t>CONSENT</w:t>
      </w:r>
      <w:r w:rsidR="002B685A" w:rsidRPr="000973C4">
        <w:t xml:space="preserve"> </w:t>
      </w:r>
    </w:p>
    <w:p w14:paraId="455B27FF" w14:textId="77777777" w:rsidR="002B685A" w:rsidRPr="000973C4" w:rsidRDefault="002B685A" w:rsidP="00441B6F">
      <w:pPr>
        <w:pStyle w:val="ReferHead"/>
        <w:spacing w:after="0"/>
        <w:jc w:val="both"/>
        <w:rPr>
          <w:rFonts w:ascii="Arial" w:hAnsi="Arial" w:cs="Arial"/>
          <w:bCs/>
        </w:rPr>
      </w:pPr>
    </w:p>
    <w:p w14:paraId="598CC34A" w14:textId="30B6D478" w:rsidR="001A29D8" w:rsidRPr="000973C4" w:rsidRDefault="001A29D8" w:rsidP="00441B6F">
      <w:pPr>
        <w:pStyle w:val="ReferHead"/>
        <w:spacing w:after="0"/>
        <w:jc w:val="both"/>
        <w:rPr>
          <w:rFonts w:ascii="Arial" w:hAnsi="Arial" w:cs="Arial"/>
          <w:b w:val="0"/>
          <w:caps w:val="0"/>
          <w:sz w:val="20"/>
        </w:rPr>
      </w:pPr>
      <w:r w:rsidRPr="000973C4">
        <w:rPr>
          <w:rFonts w:ascii="Arial" w:hAnsi="Arial" w:cs="Arial"/>
          <w:b w:val="0"/>
          <w:caps w:val="0"/>
          <w:sz w:val="20"/>
        </w:rPr>
        <w:t>All authors declare that ‘written informed consent was obtained from the pati</w:t>
      </w:r>
      <w:r w:rsidR="00B05483">
        <w:rPr>
          <w:rFonts w:ascii="Arial" w:hAnsi="Arial" w:cs="Arial"/>
          <w:b w:val="0"/>
          <w:caps w:val="0"/>
          <w:sz w:val="20"/>
        </w:rPr>
        <w:t>ent (or other approved parties).</w:t>
      </w:r>
      <w:bookmarkStart w:id="0" w:name="_GoBack"/>
      <w:bookmarkEnd w:id="0"/>
    </w:p>
    <w:p w14:paraId="082CE459" w14:textId="77777777" w:rsidR="005C784C" w:rsidRPr="000973C4" w:rsidRDefault="005C784C" w:rsidP="00441B6F">
      <w:pPr>
        <w:pStyle w:val="ReferHead"/>
        <w:spacing w:after="0"/>
        <w:jc w:val="both"/>
        <w:rPr>
          <w:rFonts w:ascii="Arial" w:hAnsi="Arial" w:cs="Arial"/>
          <w:b w:val="0"/>
          <w:caps w:val="0"/>
          <w:sz w:val="20"/>
        </w:rPr>
      </w:pPr>
    </w:p>
    <w:p w14:paraId="3D40E47A" w14:textId="3646B3B0" w:rsidR="005C784C" w:rsidRPr="000973C4" w:rsidRDefault="009656D1" w:rsidP="009656D1">
      <w:pPr>
        <w:pStyle w:val="Heading1"/>
      </w:pPr>
      <w:r w:rsidRPr="000973C4">
        <w:t xml:space="preserve">ETHICAL APPROVAL </w:t>
      </w:r>
    </w:p>
    <w:p w14:paraId="7D89F45C" w14:textId="77777777" w:rsidR="005C784C" w:rsidRPr="000973C4" w:rsidRDefault="005C784C" w:rsidP="00441B6F">
      <w:pPr>
        <w:pStyle w:val="ReferHead"/>
        <w:spacing w:after="0"/>
        <w:jc w:val="both"/>
        <w:rPr>
          <w:rFonts w:ascii="Arial" w:hAnsi="Arial" w:cs="Arial"/>
          <w:bCs/>
        </w:rPr>
      </w:pPr>
    </w:p>
    <w:p w14:paraId="71AB0D21" w14:textId="57270192" w:rsidR="0041027F" w:rsidRPr="000973C4" w:rsidRDefault="001A29D8" w:rsidP="00441B6F">
      <w:pPr>
        <w:pStyle w:val="ReferHead"/>
        <w:spacing w:after="0"/>
        <w:jc w:val="both"/>
        <w:rPr>
          <w:rFonts w:ascii="Arial" w:hAnsi="Arial" w:cs="Arial"/>
          <w:b w:val="0"/>
          <w:caps w:val="0"/>
          <w:sz w:val="20"/>
        </w:rPr>
      </w:pPr>
      <w:r w:rsidRPr="000973C4">
        <w:rPr>
          <w:rFonts w:ascii="Arial" w:hAnsi="Arial" w:cs="Arial"/>
          <w:b w:val="0"/>
          <w:caps w:val="0"/>
          <w:sz w:val="20"/>
        </w:rPr>
        <w:t>All authors hereby declare that a</w:t>
      </w:r>
      <w:r w:rsidR="0041027F" w:rsidRPr="000973C4">
        <w:rPr>
          <w:rFonts w:ascii="Arial" w:hAnsi="Arial" w:cs="Arial"/>
          <w:b w:val="0"/>
          <w:caps w:val="0"/>
          <w:sz w:val="20"/>
        </w:rPr>
        <w:t xml:space="preserve">ll </w:t>
      </w:r>
      <w:r w:rsidR="00F469F0" w:rsidRPr="000973C4">
        <w:rPr>
          <w:rFonts w:ascii="Arial" w:hAnsi="Arial" w:cs="Arial"/>
          <w:b w:val="0"/>
          <w:caps w:val="0"/>
          <w:sz w:val="20"/>
        </w:rPr>
        <w:t>experiments</w:t>
      </w:r>
      <w:r w:rsidR="0041027F" w:rsidRPr="000973C4">
        <w:rPr>
          <w:rFonts w:ascii="Arial" w:hAnsi="Arial" w:cs="Arial"/>
          <w:b w:val="0"/>
          <w:caps w:val="0"/>
          <w:sz w:val="20"/>
        </w:rPr>
        <w:t xml:space="preserve"> have been examined</w:t>
      </w:r>
      <w:r w:rsidRPr="000973C4">
        <w:rPr>
          <w:rFonts w:ascii="Arial" w:hAnsi="Arial" w:cs="Arial"/>
          <w:b w:val="0"/>
          <w:caps w:val="0"/>
          <w:sz w:val="20"/>
        </w:rPr>
        <w:t xml:space="preserve"> and approved</w:t>
      </w:r>
      <w:r w:rsidR="0041027F" w:rsidRPr="000973C4">
        <w:rPr>
          <w:rFonts w:ascii="Arial" w:hAnsi="Arial" w:cs="Arial"/>
          <w:b w:val="0"/>
          <w:caps w:val="0"/>
          <w:sz w:val="20"/>
        </w:rPr>
        <w:t xml:space="preserve"> by the appropriate ethics committee and have therefore been performed in accordance with the ethical standards laid down in the 1964 Declaration of Helsinki.</w:t>
      </w:r>
    </w:p>
    <w:p w14:paraId="0E7419AE" w14:textId="1709E14F" w:rsidR="00DF3C74" w:rsidRPr="000973C4" w:rsidRDefault="00DF3C74" w:rsidP="00441B6F">
      <w:pPr>
        <w:pStyle w:val="ReferHead"/>
        <w:spacing w:after="0"/>
        <w:jc w:val="both"/>
        <w:rPr>
          <w:rFonts w:ascii="Arial" w:hAnsi="Arial" w:cs="Arial"/>
          <w:b w:val="0"/>
          <w:caps w:val="0"/>
          <w:sz w:val="20"/>
        </w:rPr>
      </w:pPr>
    </w:p>
    <w:p w14:paraId="775D9029" w14:textId="77777777" w:rsidR="00DF3C74" w:rsidRPr="00885A58" w:rsidRDefault="00DF3C74" w:rsidP="00DF3C74">
      <w:pPr>
        <w:spacing w:after="200" w:line="276" w:lineRule="auto"/>
        <w:rPr>
          <w:rFonts w:ascii="Calibri" w:eastAsia="Calibri" w:hAnsi="Calibri"/>
          <w:b/>
          <w:kern w:val="2"/>
          <w:sz w:val="22"/>
          <w:szCs w:val="22"/>
          <w14:ligatures w14:val="standardContextual"/>
        </w:rPr>
      </w:pPr>
      <w:bookmarkStart w:id="1" w:name="_Hlk190852809"/>
      <w:r w:rsidRPr="00885A58">
        <w:rPr>
          <w:rFonts w:ascii="Calibri" w:eastAsia="Calibri" w:hAnsi="Calibri"/>
          <w:b/>
          <w:kern w:val="2"/>
          <w:sz w:val="22"/>
          <w:szCs w:val="22"/>
          <w14:ligatures w14:val="standardContextual"/>
        </w:rPr>
        <w:t>Disclaimer (Artificial intelligence)</w:t>
      </w:r>
    </w:p>
    <w:p w14:paraId="711556E8" w14:textId="30072783" w:rsidR="00DF3C74" w:rsidRDefault="00DF3C74" w:rsidP="005943A0">
      <w:pPr>
        <w:spacing w:after="200" w:line="276" w:lineRule="auto"/>
        <w:rPr>
          <w:rFonts w:ascii="Calibri" w:eastAsia="Calibri" w:hAnsi="Calibri"/>
          <w:kern w:val="2"/>
          <w:sz w:val="22"/>
          <w:szCs w:val="22"/>
          <w14:ligatures w14:val="standardContextual"/>
        </w:rPr>
      </w:pPr>
      <w:r w:rsidRPr="000973C4">
        <w:rPr>
          <w:rFonts w:ascii="Calibri" w:eastAsia="Calibri" w:hAnsi="Calibri"/>
          <w:kern w:val="2"/>
          <w:sz w:val="22"/>
          <w:szCs w:val="22"/>
          <w14:ligatures w14:val="standardContextual"/>
        </w:rPr>
        <w:t xml:space="preserve">Author(s) hereby declare that NO generative AI technologies such as Large Language Models (ChatGPT, COPILOT, etc.) and text-to-image generators </w:t>
      </w:r>
      <w:proofErr w:type="gramStart"/>
      <w:r w:rsidRPr="000973C4">
        <w:rPr>
          <w:rFonts w:ascii="Calibri" w:eastAsia="Calibri" w:hAnsi="Calibri"/>
          <w:kern w:val="2"/>
          <w:sz w:val="22"/>
          <w:szCs w:val="22"/>
          <w14:ligatures w14:val="standardContextual"/>
        </w:rPr>
        <w:t>have been used</w:t>
      </w:r>
      <w:proofErr w:type="gramEnd"/>
      <w:r w:rsidRPr="000973C4">
        <w:rPr>
          <w:rFonts w:ascii="Calibri" w:eastAsia="Calibri" w:hAnsi="Calibri"/>
          <w:kern w:val="2"/>
          <w:sz w:val="22"/>
          <w:szCs w:val="22"/>
          <w14:ligatures w14:val="standardContextual"/>
        </w:rPr>
        <w:t xml:space="preserve"> during the writing or editing of this manuscript. </w:t>
      </w:r>
      <w:bookmarkEnd w:id="1"/>
    </w:p>
    <w:p w14:paraId="1D83A336" w14:textId="5E190131" w:rsidR="00944195" w:rsidRDefault="00944195" w:rsidP="005943A0">
      <w:pPr>
        <w:spacing w:after="200" w:line="276" w:lineRule="auto"/>
        <w:rPr>
          <w:rFonts w:ascii="Calibri" w:eastAsia="Calibri" w:hAnsi="Calibri"/>
          <w:kern w:val="2"/>
          <w:sz w:val="22"/>
          <w:szCs w:val="22"/>
          <w14:ligatures w14:val="standardContextual"/>
        </w:rPr>
      </w:pPr>
    </w:p>
    <w:p w14:paraId="4A23A01A" w14:textId="77777777" w:rsidR="00860000" w:rsidRPr="000973C4" w:rsidRDefault="00860000" w:rsidP="00441B6F">
      <w:pPr>
        <w:pStyle w:val="ReferHead"/>
        <w:spacing w:after="0"/>
        <w:jc w:val="both"/>
        <w:rPr>
          <w:rFonts w:ascii="Arial" w:hAnsi="Arial" w:cs="Arial"/>
        </w:rPr>
      </w:pPr>
    </w:p>
    <w:p w14:paraId="53C1F29D" w14:textId="69F1FE7B" w:rsidR="00B01FCD" w:rsidRPr="000973C4" w:rsidRDefault="009656D1" w:rsidP="009656D1">
      <w:pPr>
        <w:pStyle w:val="Heading1"/>
      </w:pPr>
      <w:r w:rsidRPr="000973C4">
        <w:t>REFERENCES</w:t>
      </w:r>
    </w:p>
    <w:p w14:paraId="528563D3" w14:textId="77777777" w:rsidR="00790ADA" w:rsidRPr="000973C4" w:rsidRDefault="00790ADA" w:rsidP="00441B6F">
      <w:pPr>
        <w:pStyle w:val="ReferHead"/>
        <w:spacing w:after="0"/>
        <w:jc w:val="both"/>
        <w:rPr>
          <w:rFonts w:ascii="Arial" w:hAnsi="Arial" w:cs="Arial"/>
        </w:rPr>
      </w:pPr>
    </w:p>
    <w:p w14:paraId="6433F4A5" w14:textId="7BCD6787" w:rsidR="00906507" w:rsidRPr="000973C4" w:rsidRDefault="006E00A8" w:rsidP="00906507">
      <w:pPr>
        <w:widowControl w:val="0"/>
        <w:autoSpaceDE w:val="0"/>
        <w:autoSpaceDN w:val="0"/>
        <w:adjustRightInd w:val="0"/>
        <w:ind w:left="480" w:hanging="480"/>
        <w:rPr>
          <w:rFonts w:ascii="Arial" w:hAnsi="Arial" w:cs="Arial"/>
          <w:noProof/>
        </w:rPr>
      </w:pPr>
      <w:r w:rsidRPr="000973C4">
        <w:rPr>
          <w:rFonts w:ascii="Arial" w:hAnsi="Arial" w:cs="Arial"/>
        </w:rPr>
        <w:fldChar w:fldCharType="begin" w:fldLock="1"/>
      </w:r>
      <w:r w:rsidRPr="000973C4">
        <w:rPr>
          <w:rFonts w:ascii="Arial" w:hAnsi="Arial" w:cs="Arial"/>
        </w:rPr>
        <w:instrText xml:space="preserve">ADDIN Mendeley Bibliography CSL_BIBLIOGRAPHY </w:instrText>
      </w:r>
      <w:r w:rsidRPr="000973C4">
        <w:rPr>
          <w:rFonts w:ascii="Arial" w:hAnsi="Arial" w:cs="Arial"/>
        </w:rPr>
        <w:fldChar w:fldCharType="separate"/>
      </w:r>
      <w:r w:rsidR="00906507" w:rsidRPr="000973C4">
        <w:rPr>
          <w:rFonts w:ascii="Arial" w:hAnsi="Arial" w:cs="Arial"/>
          <w:noProof/>
        </w:rPr>
        <w:t xml:space="preserve">Ambika, Biradar, R. L., &amp; Burkpalli, V. (2022). Encryption-based steganography of images by multiobjective whale optimal pixel selection. </w:t>
      </w:r>
      <w:r w:rsidR="00906507" w:rsidRPr="000973C4">
        <w:rPr>
          <w:rFonts w:ascii="Arial" w:hAnsi="Arial" w:cs="Arial"/>
          <w:i/>
          <w:iCs/>
          <w:noProof/>
        </w:rPr>
        <w:t>International Journal of Computers and Applications</w:t>
      </w:r>
      <w:r w:rsidR="00906507" w:rsidRPr="000973C4">
        <w:rPr>
          <w:rFonts w:ascii="Arial" w:hAnsi="Arial" w:cs="Arial"/>
          <w:noProof/>
        </w:rPr>
        <w:t xml:space="preserve">, </w:t>
      </w:r>
      <w:r w:rsidR="00906507" w:rsidRPr="000973C4">
        <w:rPr>
          <w:rFonts w:ascii="Arial" w:hAnsi="Arial" w:cs="Arial"/>
          <w:i/>
          <w:iCs/>
          <w:noProof/>
        </w:rPr>
        <w:t>44</w:t>
      </w:r>
      <w:r w:rsidR="00906507" w:rsidRPr="000973C4">
        <w:rPr>
          <w:rFonts w:ascii="Arial" w:hAnsi="Arial" w:cs="Arial"/>
          <w:noProof/>
        </w:rPr>
        <w:t>(12), 1140–1149. https://doi.org/10.1080/1206212X.2019.1692442</w:t>
      </w:r>
    </w:p>
    <w:p w14:paraId="383D5C59" w14:textId="77777777" w:rsidR="00906507" w:rsidRPr="000973C4" w:rsidRDefault="00906507" w:rsidP="00906507">
      <w:pPr>
        <w:widowControl w:val="0"/>
        <w:autoSpaceDE w:val="0"/>
        <w:autoSpaceDN w:val="0"/>
        <w:adjustRightInd w:val="0"/>
        <w:ind w:left="480" w:hanging="480"/>
        <w:rPr>
          <w:rFonts w:ascii="Arial" w:hAnsi="Arial" w:cs="Arial"/>
          <w:noProof/>
        </w:rPr>
      </w:pPr>
      <w:r w:rsidRPr="000973C4">
        <w:rPr>
          <w:rFonts w:ascii="Arial" w:hAnsi="Arial" w:cs="Arial"/>
          <w:noProof/>
        </w:rPr>
        <w:t xml:space="preserve">Barker, C. A., Chang, M., Chou, J. F., Zhang, Z., Beal, K., Gutin, P. H., &amp; Iwamoto, F. M. (2012). Radiotherapy and concomitant temozolomide may improve survival of elderly patients with glioblastoma. </w:t>
      </w:r>
      <w:r w:rsidRPr="000973C4">
        <w:rPr>
          <w:rFonts w:ascii="Arial" w:hAnsi="Arial" w:cs="Arial"/>
          <w:i/>
          <w:iCs/>
          <w:noProof/>
        </w:rPr>
        <w:t>Journal of Neuro-Oncology</w:t>
      </w:r>
      <w:r w:rsidRPr="000973C4">
        <w:rPr>
          <w:rFonts w:ascii="Arial" w:hAnsi="Arial" w:cs="Arial"/>
          <w:noProof/>
        </w:rPr>
        <w:t xml:space="preserve">, </w:t>
      </w:r>
      <w:r w:rsidRPr="000973C4">
        <w:rPr>
          <w:rFonts w:ascii="Arial" w:hAnsi="Arial" w:cs="Arial"/>
          <w:i/>
          <w:iCs/>
          <w:noProof/>
        </w:rPr>
        <w:t>109</w:t>
      </w:r>
      <w:r w:rsidRPr="000973C4">
        <w:rPr>
          <w:rFonts w:ascii="Arial" w:hAnsi="Arial" w:cs="Arial"/>
          <w:noProof/>
        </w:rPr>
        <w:t>(2), 391–397. https://doi.org/10.1007/s11060-012-0906-4</w:t>
      </w:r>
    </w:p>
    <w:p w14:paraId="250C8638" w14:textId="77777777" w:rsidR="00906507" w:rsidRPr="000973C4" w:rsidRDefault="00906507" w:rsidP="00906507">
      <w:pPr>
        <w:widowControl w:val="0"/>
        <w:autoSpaceDE w:val="0"/>
        <w:autoSpaceDN w:val="0"/>
        <w:adjustRightInd w:val="0"/>
        <w:ind w:left="480" w:hanging="480"/>
        <w:rPr>
          <w:rFonts w:ascii="Arial" w:hAnsi="Arial" w:cs="Arial"/>
          <w:noProof/>
        </w:rPr>
      </w:pPr>
      <w:r w:rsidRPr="000973C4">
        <w:rPr>
          <w:rFonts w:ascii="Arial" w:hAnsi="Arial" w:cs="Arial"/>
          <w:noProof/>
        </w:rPr>
        <w:t xml:space="preserve">Harun, H. M., Jannah, N., Idawati, &amp; Ahmad, Z. F. (2022). Evaluasi pengobatan radioterapi pada pasien kanker. </w:t>
      </w:r>
      <w:r w:rsidRPr="000973C4">
        <w:rPr>
          <w:rFonts w:ascii="Arial" w:hAnsi="Arial" w:cs="Arial"/>
          <w:i/>
          <w:iCs/>
          <w:noProof/>
        </w:rPr>
        <w:t>Journal Syifa Sciences and Clinical Research (JSSCR)</w:t>
      </w:r>
      <w:r w:rsidRPr="000973C4">
        <w:rPr>
          <w:rFonts w:ascii="Arial" w:hAnsi="Arial" w:cs="Arial"/>
          <w:noProof/>
        </w:rPr>
        <w:t xml:space="preserve">, </w:t>
      </w:r>
      <w:r w:rsidRPr="000973C4">
        <w:rPr>
          <w:rFonts w:ascii="Arial" w:hAnsi="Arial" w:cs="Arial"/>
          <w:i/>
          <w:iCs/>
          <w:noProof/>
        </w:rPr>
        <w:t>4</w:t>
      </w:r>
      <w:r w:rsidRPr="000973C4">
        <w:rPr>
          <w:rFonts w:ascii="Arial" w:hAnsi="Arial" w:cs="Arial"/>
          <w:noProof/>
        </w:rPr>
        <w:t>(3), 662–670. https://ejurnal.ung.ac.id/index.php/jsscr/article/view/15794</w:t>
      </w:r>
    </w:p>
    <w:p w14:paraId="6C85DB8C" w14:textId="77777777" w:rsidR="00906507" w:rsidRPr="000973C4" w:rsidRDefault="00906507" w:rsidP="00906507">
      <w:pPr>
        <w:widowControl w:val="0"/>
        <w:autoSpaceDE w:val="0"/>
        <w:autoSpaceDN w:val="0"/>
        <w:adjustRightInd w:val="0"/>
        <w:ind w:left="480" w:hanging="480"/>
        <w:rPr>
          <w:rFonts w:ascii="Arial" w:hAnsi="Arial" w:cs="Arial"/>
          <w:noProof/>
        </w:rPr>
      </w:pPr>
      <w:r w:rsidRPr="000973C4">
        <w:rPr>
          <w:rFonts w:ascii="Arial" w:hAnsi="Arial" w:cs="Arial"/>
          <w:noProof/>
        </w:rPr>
        <w:t xml:space="preserve">Hodson, T. O. (2022). Root-mean-square error (RMSE) or mean absolute error (MAE): when to use them or not. </w:t>
      </w:r>
      <w:r w:rsidRPr="000973C4">
        <w:rPr>
          <w:rFonts w:ascii="Arial" w:hAnsi="Arial" w:cs="Arial"/>
          <w:i/>
          <w:iCs/>
          <w:noProof/>
        </w:rPr>
        <w:t>Geoscientific Model Development</w:t>
      </w:r>
      <w:r w:rsidRPr="000973C4">
        <w:rPr>
          <w:rFonts w:ascii="Arial" w:hAnsi="Arial" w:cs="Arial"/>
          <w:noProof/>
        </w:rPr>
        <w:t xml:space="preserve">, </w:t>
      </w:r>
      <w:r w:rsidRPr="000973C4">
        <w:rPr>
          <w:rFonts w:ascii="Arial" w:hAnsi="Arial" w:cs="Arial"/>
          <w:i/>
          <w:iCs/>
          <w:noProof/>
        </w:rPr>
        <w:t>15</w:t>
      </w:r>
      <w:r w:rsidRPr="000973C4">
        <w:rPr>
          <w:rFonts w:ascii="Arial" w:hAnsi="Arial" w:cs="Arial"/>
          <w:noProof/>
        </w:rPr>
        <w:t>(14), 5481–5487. https://doi.org/10.5194/gmd-15-5481-2022</w:t>
      </w:r>
    </w:p>
    <w:p w14:paraId="66447574" w14:textId="77777777" w:rsidR="00906507" w:rsidRPr="000973C4" w:rsidRDefault="00906507" w:rsidP="00906507">
      <w:pPr>
        <w:widowControl w:val="0"/>
        <w:autoSpaceDE w:val="0"/>
        <w:autoSpaceDN w:val="0"/>
        <w:adjustRightInd w:val="0"/>
        <w:ind w:left="480" w:hanging="480"/>
        <w:rPr>
          <w:rFonts w:ascii="Arial" w:hAnsi="Arial" w:cs="Arial"/>
          <w:noProof/>
        </w:rPr>
      </w:pPr>
      <w:r w:rsidRPr="000973C4">
        <w:rPr>
          <w:rFonts w:ascii="Arial" w:hAnsi="Arial" w:cs="Arial"/>
          <w:noProof/>
        </w:rPr>
        <w:t xml:space="preserve">Irannejad, M., Abedi, I., Lonbani, V. D., &amp; Hassanvand, M. (2024). Deep-neural network approaches for predicting 3D dose distribution in intensity-modulated radiotherapy of the brain tumors. </w:t>
      </w:r>
      <w:r w:rsidRPr="000973C4">
        <w:rPr>
          <w:rFonts w:ascii="Arial" w:hAnsi="Arial" w:cs="Arial"/>
          <w:i/>
          <w:iCs/>
          <w:noProof/>
        </w:rPr>
        <w:t>Journal of Applied Clinical Medical Physics</w:t>
      </w:r>
      <w:r w:rsidRPr="000973C4">
        <w:rPr>
          <w:rFonts w:ascii="Arial" w:hAnsi="Arial" w:cs="Arial"/>
          <w:noProof/>
        </w:rPr>
        <w:t xml:space="preserve">, </w:t>
      </w:r>
      <w:r w:rsidRPr="000973C4">
        <w:rPr>
          <w:rFonts w:ascii="Arial" w:hAnsi="Arial" w:cs="Arial"/>
          <w:i/>
          <w:iCs/>
          <w:noProof/>
        </w:rPr>
        <w:t>25</w:t>
      </w:r>
      <w:r w:rsidRPr="000973C4">
        <w:rPr>
          <w:rFonts w:ascii="Arial" w:hAnsi="Arial" w:cs="Arial"/>
          <w:noProof/>
        </w:rPr>
        <w:t>(3), 1–10. https://doi.org/10.1002/acm2.14197</w:t>
      </w:r>
    </w:p>
    <w:p w14:paraId="6B5ADD0C" w14:textId="77777777" w:rsidR="00906507" w:rsidRPr="000973C4" w:rsidRDefault="00906507" w:rsidP="00906507">
      <w:pPr>
        <w:widowControl w:val="0"/>
        <w:autoSpaceDE w:val="0"/>
        <w:autoSpaceDN w:val="0"/>
        <w:adjustRightInd w:val="0"/>
        <w:ind w:left="480" w:hanging="480"/>
        <w:rPr>
          <w:rFonts w:ascii="Arial" w:hAnsi="Arial" w:cs="Arial"/>
          <w:noProof/>
        </w:rPr>
      </w:pPr>
      <w:r w:rsidRPr="000973C4">
        <w:rPr>
          <w:rFonts w:ascii="Arial" w:hAnsi="Arial" w:cs="Arial"/>
          <w:noProof/>
        </w:rPr>
        <w:t xml:space="preserve">Kearney, V., Chan, J. W., Haaf, S., Descovich, M., &amp; Solberg, T. D. (2018). DoseNet: A volumetric dose prediction algorithm using 3D fully-convolutional neural networks. </w:t>
      </w:r>
      <w:r w:rsidRPr="000973C4">
        <w:rPr>
          <w:rFonts w:ascii="Arial" w:hAnsi="Arial" w:cs="Arial"/>
          <w:i/>
          <w:iCs/>
          <w:noProof/>
        </w:rPr>
        <w:t>Physics in Medicine and Biology</w:t>
      </w:r>
      <w:r w:rsidRPr="000973C4">
        <w:rPr>
          <w:rFonts w:ascii="Arial" w:hAnsi="Arial" w:cs="Arial"/>
          <w:noProof/>
        </w:rPr>
        <w:t xml:space="preserve">, </w:t>
      </w:r>
      <w:r w:rsidRPr="000973C4">
        <w:rPr>
          <w:rFonts w:ascii="Arial" w:hAnsi="Arial" w:cs="Arial"/>
          <w:i/>
          <w:iCs/>
          <w:noProof/>
        </w:rPr>
        <w:t>63</w:t>
      </w:r>
      <w:r w:rsidRPr="000973C4">
        <w:rPr>
          <w:rFonts w:ascii="Arial" w:hAnsi="Arial" w:cs="Arial"/>
          <w:noProof/>
        </w:rPr>
        <w:t>(23). https://doi.org/10.1088/1361-6560/aaef74</w:t>
      </w:r>
    </w:p>
    <w:p w14:paraId="17DF0382" w14:textId="77777777" w:rsidR="00906507" w:rsidRPr="000973C4" w:rsidRDefault="00906507" w:rsidP="00906507">
      <w:pPr>
        <w:widowControl w:val="0"/>
        <w:autoSpaceDE w:val="0"/>
        <w:autoSpaceDN w:val="0"/>
        <w:adjustRightInd w:val="0"/>
        <w:ind w:left="480" w:hanging="480"/>
        <w:rPr>
          <w:rFonts w:ascii="Arial" w:hAnsi="Arial" w:cs="Arial"/>
          <w:noProof/>
        </w:rPr>
      </w:pPr>
      <w:r w:rsidRPr="000973C4">
        <w:rPr>
          <w:rFonts w:ascii="Arial" w:hAnsi="Arial" w:cs="Arial"/>
          <w:noProof/>
        </w:rPr>
        <w:t xml:space="preserve">Liang, X., Nguyen, D., &amp; Jiang, S. B. (2021). Generalizability issues with deep learning models in medicine and their potential solutions: illustrated with cone-beam computed tomography (CBCT) to computed tomography (CT) image conversion. </w:t>
      </w:r>
      <w:r w:rsidRPr="000973C4">
        <w:rPr>
          <w:rFonts w:ascii="Arial" w:hAnsi="Arial" w:cs="Arial"/>
          <w:i/>
          <w:iCs/>
          <w:noProof/>
        </w:rPr>
        <w:t>Machine Learning: Science and Technology</w:t>
      </w:r>
      <w:r w:rsidRPr="000973C4">
        <w:rPr>
          <w:rFonts w:ascii="Arial" w:hAnsi="Arial" w:cs="Arial"/>
          <w:noProof/>
        </w:rPr>
        <w:t xml:space="preserve">, </w:t>
      </w:r>
      <w:r w:rsidRPr="000973C4">
        <w:rPr>
          <w:rFonts w:ascii="Arial" w:hAnsi="Arial" w:cs="Arial"/>
          <w:i/>
          <w:iCs/>
          <w:noProof/>
        </w:rPr>
        <w:t>2</w:t>
      </w:r>
      <w:r w:rsidRPr="000973C4">
        <w:rPr>
          <w:rFonts w:ascii="Arial" w:hAnsi="Arial" w:cs="Arial"/>
          <w:noProof/>
        </w:rPr>
        <w:t>(1), 015007. https://doi.org/10.1088/2632-2153/abb214</w:t>
      </w:r>
    </w:p>
    <w:p w14:paraId="6196464D" w14:textId="77777777" w:rsidR="00906507" w:rsidRPr="000973C4" w:rsidRDefault="00906507" w:rsidP="00906507">
      <w:pPr>
        <w:widowControl w:val="0"/>
        <w:autoSpaceDE w:val="0"/>
        <w:autoSpaceDN w:val="0"/>
        <w:adjustRightInd w:val="0"/>
        <w:ind w:left="480" w:hanging="480"/>
        <w:rPr>
          <w:rFonts w:ascii="Arial" w:hAnsi="Arial" w:cs="Arial"/>
          <w:noProof/>
        </w:rPr>
      </w:pPr>
      <w:r w:rsidRPr="000973C4">
        <w:rPr>
          <w:rFonts w:ascii="Arial" w:hAnsi="Arial" w:cs="Arial"/>
          <w:noProof/>
        </w:rPr>
        <w:lastRenderedPageBreak/>
        <w:t xml:space="preserve">Liu, Z., Fan, J., Li, M., Yan, H., Hu, Z., Huang, P., Tian, Y., Miao, J., &amp; Dai, J. (2019). A deep learning method for prediction of three-dimensional dose distribution of helical tomotherapy. </w:t>
      </w:r>
      <w:r w:rsidRPr="000973C4">
        <w:rPr>
          <w:rFonts w:ascii="Arial" w:hAnsi="Arial" w:cs="Arial"/>
          <w:i/>
          <w:iCs/>
          <w:noProof/>
        </w:rPr>
        <w:t>Medical Physics</w:t>
      </w:r>
      <w:r w:rsidRPr="000973C4">
        <w:rPr>
          <w:rFonts w:ascii="Arial" w:hAnsi="Arial" w:cs="Arial"/>
          <w:noProof/>
        </w:rPr>
        <w:t xml:space="preserve">, </w:t>
      </w:r>
      <w:r w:rsidRPr="000973C4">
        <w:rPr>
          <w:rFonts w:ascii="Arial" w:hAnsi="Arial" w:cs="Arial"/>
          <w:i/>
          <w:iCs/>
          <w:noProof/>
        </w:rPr>
        <w:t>46</w:t>
      </w:r>
      <w:r w:rsidRPr="000973C4">
        <w:rPr>
          <w:rFonts w:ascii="Arial" w:hAnsi="Arial" w:cs="Arial"/>
          <w:noProof/>
        </w:rPr>
        <w:t>(5), 1972–1983. https://doi.org/10.1002/mp.13490</w:t>
      </w:r>
    </w:p>
    <w:p w14:paraId="5D13DB07" w14:textId="77777777" w:rsidR="00906507" w:rsidRPr="000973C4" w:rsidRDefault="00906507" w:rsidP="00906507">
      <w:pPr>
        <w:widowControl w:val="0"/>
        <w:autoSpaceDE w:val="0"/>
        <w:autoSpaceDN w:val="0"/>
        <w:adjustRightInd w:val="0"/>
        <w:ind w:left="480" w:hanging="480"/>
        <w:rPr>
          <w:rFonts w:ascii="Arial" w:hAnsi="Arial" w:cs="Arial"/>
          <w:noProof/>
        </w:rPr>
      </w:pPr>
      <w:r w:rsidRPr="000973C4">
        <w:rPr>
          <w:rFonts w:ascii="Arial" w:hAnsi="Arial" w:cs="Arial"/>
          <w:noProof/>
        </w:rPr>
        <w:t xml:space="preserve">Mutamimah, R., Susilo, &amp; Sardjono, Y. (2022). Aplikasi Program PHITS Versi 3.21 untuk Analisis Dosis Radiasi pada Terapi Kanker Otak dengan Metode Proton Therapy. </w:t>
      </w:r>
      <w:r w:rsidRPr="000973C4">
        <w:rPr>
          <w:rFonts w:ascii="Arial" w:hAnsi="Arial" w:cs="Arial"/>
          <w:i/>
          <w:iCs/>
          <w:noProof/>
        </w:rPr>
        <w:t>Unnes Physics Education Journal</w:t>
      </w:r>
      <w:r w:rsidRPr="000973C4">
        <w:rPr>
          <w:rFonts w:ascii="Arial" w:hAnsi="Arial" w:cs="Arial"/>
          <w:noProof/>
        </w:rPr>
        <w:t xml:space="preserve">, </w:t>
      </w:r>
      <w:r w:rsidRPr="000973C4">
        <w:rPr>
          <w:rFonts w:ascii="Arial" w:hAnsi="Arial" w:cs="Arial"/>
          <w:i/>
          <w:iCs/>
          <w:noProof/>
        </w:rPr>
        <w:t>11</w:t>
      </w:r>
      <w:r w:rsidRPr="000973C4">
        <w:rPr>
          <w:rFonts w:ascii="Arial" w:hAnsi="Arial" w:cs="Arial"/>
          <w:noProof/>
        </w:rPr>
        <w:t>(1), 26–35. http://journal.unnes.ac.id/sju/index.php/upej</w:t>
      </w:r>
    </w:p>
    <w:p w14:paraId="5DC67A53" w14:textId="77777777" w:rsidR="00906507" w:rsidRPr="000973C4" w:rsidRDefault="00906507" w:rsidP="00906507">
      <w:pPr>
        <w:widowControl w:val="0"/>
        <w:autoSpaceDE w:val="0"/>
        <w:autoSpaceDN w:val="0"/>
        <w:adjustRightInd w:val="0"/>
        <w:ind w:left="480" w:hanging="480"/>
        <w:rPr>
          <w:rFonts w:ascii="Arial" w:hAnsi="Arial" w:cs="Arial"/>
          <w:noProof/>
        </w:rPr>
      </w:pPr>
      <w:r w:rsidRPr="000973C4">
        <w:rPr>
          <w:rFonts w:ascii="Arial" w:hAnsi="Arial" w:cs="Arial"/>
          <w:noProof/>
        </w:rPr>
        <w:t xml:space="preserve">National Brain Tumor Society. (2024). </w:t>
      </w:r>
      <w:r w:rsidRPr="000973C4">
        <w:rPr>
          <w:rFonts w:ascii="Arial" w:hAnsi="Arial" w:cs="Arial"/>
          <w:i/>
          <w:iCs/>
          <w:noProof/>
        </w:rPr>
        <w:t>Brain Tumor Facts</w:t>
      </w:r>
      <w:r w:rsidRPr="000973C4">
        <w:rPr>
          <w:rFonts w:ascii="Arial" w:hAnsi="Arial" w:cs="Arial"/>
          <w:noProof/>
        </w:rPr>
        <w:t>. https://braintumor.org/brain-tumors/about-brain-tumors/brain-tumor-facts/</w:t>
      </w:r>
    </w:p>
    <w:p w14:paraId="224FB9BD" w14:textId="77777777" w:rsidR="00906507" w:rsidRPr="000973C4" w:rsidRDefault="00906507" w:rsidP="00906507">
      <w:pPr>
        <w:widowControl w:val="0"/>
        <w:autoSpaceDE w:val="0"/>
        <w:autoSpaceDN w:val="0"/>
        <w:adjustRightInd w:val="0"/>
        <w:ind w:left="480" w:hanging="480"/>
        <w:rPr>
          <w:rFonts w:ascii="Arial" w:hAnsi="Arial" w:cs="Arial"/>
          <w:noProof/>
        </w:rPr>
      </w:pPr>
      <w:r w:rsidRPr="000973C4">
        <w:rPr>
          <w:rFonts w:ascii="Arial" w:hAnsi="Arial" w:cs="Arial"/>
          <w:noProof/>
        </w:rPr>
        <w:t xml:space="preserve">Nurwati, S., &amp; Prasetya, R. I. (2014). Prosiding Pertemuan dan Presentasi Ilmiah-Penelitian Dasar Ilmu Pengetahuan dan Teknologi Nuklir. </w:t>
      </w:r>
      <w:r w:rsidRPr="000973C4">
        <w:rPr>
          <w:rFonts w:ascii="Arial" w:hAnsi="Arial" w:cs="Arial"/>
          <w:i/>
          <w:iCs/>
          <w:noProof/>
        </w:rPr>
        <w:t>Pusat Sains Dan Teknologi Akselerator-BATAN Yogyakarta</w:t>
      </w:r>
      <w:r w:rsidRPr="000973C4">
        <w:rPr>
          <w:rFonts w:ascii="Arial" w:hAnsi="Arial" w:cs="Arial"/>
          <w:noProof/>
        </w:rPr>
        <w:t xml:space="preserve">, </w:t>
      </w:r>
      <w:r w:rsidRPr="000973C4">
        <w:rPr>
          <w:rFonts w:ascii="Arial" w:hAnsi="Arial" w:cs="Arial"/>
          <w:i/>
          <w:iCs/>
          <w:noProof/>
        </w:rPr>
        <w:t>6</w:t>
      </w:r>
      <w:r w:rsidRPr="000973C4">
        <w:rPr>
          <w:rFonts w:ascii="Arial" w:hAnsi="Arial" w:cs="Arial"/>
          <w:noProof/>
        </w:rPr>
        <w:t>, 10–11.</w:t>
      </w:r>
    </w:p>
    <w:p w14:paraId="67955D9A" w14:textId="77777777" w:rsidR="00906507" w:rsidRPr="000973C4" w:rsidRDefault="00906507" w:rsidP="00906507">
      <w:pPr>
        <w:widowControl w:val="0"/>
        <w:autoSpaceDE w:val="0"/>
        <w:autoSpaceDN w:val="0"/>
        <w:adjustRightInd w:val="0"/>
        <w:ind w:left="480" w:hanging="480"/>
        <w:rPr>
          <w:rFonts w:ascii="Arial" w:hAnsi="Arial" w:cs="Arial"/>
          <w:noProof/>
        </w:rPr>
      </w:pPr>
      <w:r w:rsidRPr="000973C4">
        <w:rPr>
          <w:rFonts w:ascii="Arial" w:hAnsi="Arial" w:cs="Arial"/>
          <w:noProof/>
        </w:rPr>
        <w:t xml:space="preserve">Rehman, A., Khan, M. A., Saba, T., Mehmood, Z., Tariq, U., &amp; Ayesha, N. (2021). Microscopic brain tumor detection and classification using 3D CNN and feature selection architecture. </w:t>
      </w:r>
      <w:r w:rsidRPr="000973C4">
        <w:rPr>
          <w:rFonts w:ascii="Arial" w:hAnsi="Arial" w:cs="Arial"/>
          <w:i/>
          <w:iCs/>
          <w:noProof/>
        </w:rPr>
        <w:t>Microscopy Research and Technique</w:t>
      </w:r>
      <w:r w:rsidRPr="000973C4">
        <w:rPr>
          <w:rFonts w:ascii="Arial" w:hAnsi="Arial" w:cs="Arial"/>
          <w:noProof/>
        </w:rPr>
        <w:t xml:space="preserve">, </w:t>
      </w:r>
      <w:r w:rsidRPr="000973C4">
        <w:rPr>
          <w:rFonts w:ascii="Arial" w:hAnsi="Arial" w:cs="Arial"/>
          <w:i/>
          <w:iCs/>
          <w:noProof/>
        </w:rPr>
        <w:t>84</w:t>
      </w:r>
      <w:r w:rsidRPr="000973C4">
        <w:rPr>
          <w:rFonts w:ascii="Arial" w:hAnsi="Arial" w:cs="Arial"/>
          <w:noProof/>
        </w:rPr>
        <w:t>(1), 133–149. https://doi.org/10.1002/jemt.23597</w:t>
      </w:r>
    </w:p>
    <w:p w14:paraId="6834C3E5" w14:textId="77777777" w:rsidR="00906507" w:rsidRPr="000973C4" w:rsidRDefault="00906507" w:rsidP="00906507">
      <w:pPr>
        <w:widowControl w:val="0"/>
        <w:autoSpaceDE w:val="0"/>
        <w:autoSpaceDN w:val="0"/>
        <w:adjustRightInd w:val="0"/>
        <w:ind w:left="480" w:hanging="480"/>
        <w:rPr>
          <w:rFonts w:ascii="Arial" w:hAnsi="Arial" w:cs="Arial"/>
          <w:noProof/>
        </w:rPr>
      </w:pPr>
      <w:r w:rsidRPr="000973C4">
        <w:rPr>
          <w:rFonts w:ascii="Arial" w:hAnsi="Arial" w:cs="Arial"/>
          <w:noProof/>
        </w:rPr>
        <w:t xml:space="preserve">Saha, P., Das, S. K., &amp; Das, R. (2024). A Review on Machine Learning and Deep Learning Based Systems for the Diagnosis of Brain Cancer. </w:t>
      </w:r>
      <w:r w:rsidRPr="000973C4">
        <w:rPr>
          <w:rFonts w:ascii="Arial" w:hAnsi="Arial" w:cs="Arial"/>
          <w:i/>
          <w:iCs/>
          <w:noProof/>
        </w:rPr>
        <w:t>SN Computer Science</w:t>
      </w:r>
      <w:r w:rsidRPr="000973C4">
        <w:rPr>
          <w:rFonts w:ascii="Arial" w:hAnsi="Arial" w:cs="Arial"/>
          <w:noProof/>
        </w:rPr>
        <w:t xml:space="preserve">, </w:t>
      </w:r>
      <w:r w:rsidRPr="000973C4">
        <w:rPr>
          <w:rFonts w:ascii="Arial" w:hAnsi="Arial" w:cs="Arial"/>
          <w:i/>
          <w:iCs/>
          <w:noProof/>
        </w:rPr>
        <w:t>5</w:t>
      </w:r>
      <w:r w:rsidRPr="000973C4">
        <w:rPr>
          <w:rFonts w:ascii="Arial" w:hAnsi="Arial" w:cs="Arial"/>
          <w:noProof/>
        </w:rPr>
        <w:t>(1). https://doi.org/10.1007/s42979-023-02360-5</w:t>
      </w:r>
    </w:p>
    <w:p w14:paraId="4B4C180F" w14:textId="77777777" w:rsidR="00906507" w:rsidRPr="000973C4" w:rsidRDefault="00906507" w:rsidP="00906507">
      <w:pPr>
        <w:widowControl w:val="0"/>
        <w:autoSpaceDE w:val="0"/>
        <w:autoSpaceDN w:val="0"/>
        <w:adjustRightInd w:val="0"/>
        <w:ind w:left="480" w:hanging="480"/>
        <w:rPr>
          <w:rFonts w:ascii="Arial" w:hAnsi="Arial" w:cs="Arial"/>
          <w:noProof/>
        </w:rPr>
      </w:pPr>
      <w:r w:rsidRPr="000973C4">
        <w:rPr>
          <w:rFonts w:ascii="Arial" w:hAnsi="Arial" w:cs="Arial"/>
          <w:noProof/>
        </w:rPr>
        <w:t xml:space="preserve">Siegel, R. L., Miller, K. D., Wagle, N. S., &amp; Jemal, A. (2023). Cancer statistics, 2023. </w:t>
      </w:r>
      <w:r w:rsidRPr="000973C4">
        <w:rPr>
          <w:rFonts w:ascii="Arial" w:hAnsi="Arial" w:cs="Arial"/>
          <w:i/>
          <w:iCs/>
          <w:noProof/>
        </w:rPr>
        <w:t>CA: A Cancer Journal for Clinicians</w:t>
      </w:r>
      <w:r w:rsidRPr="000973C4">
        <w:rPr>
          <w:rFonts w:ascii="Arial" w:hAnsi="Arial" w:cs="Arial"/>
          <w:noProof/>
        </w:rPr>
        <w:t xml:space="preserve">, </w:t>
      </w:r>
      <w:r w:rsidRPr="000973C4">
        <w:rPr>
          <w:rFonts w:ascii="Arial" w:hAnsi="Arial" w:cs="Arial"/>
          <w:i/>
          <w:iCs/>
          <w:noProof/>
        </w:rPr>
        <w:t>73</w:t>
      </w:r>
      <w:r w:rsidRPr="000973C4">
        <w:rPr>
          <w:rFonts w:ascii="Arial" w:hAnsi="Arial" w:cs="Arial"/>
          <w:noProof/>
        </w:rPr>
        <w:t>(1), 17–48. https://doi.org/10.3322/caac.21763</w:t>
      </w:r>
    </w:p>
    <w:p w14:paraId="4143D88E" w14:textId="77777777" w:rsidR="00906507" w:rsidRPr="000973C4" w:rsidRDefault="00906507" w:rsidP="00906507">
      <w:pPr>
        <w:widowControl w:val="0"/>
        <w:autoSpaceDE w:val="0"/>
        <w:autoSpaceDN w:val="0"/>
        <w:adjustRightInd w:val="0"/>
        <w:ind w:left="480" w:hanging="480"/>
        <w:rPr>
          <w:rFonts w:ascii="Arial" w:hAnsi="Arial" w:cs="Arial"/>
          <w:noProof/>
        </w:rPr>
      </w:pPr>
      <w:r w:rsidRPr="000973C4">
        <w:rPr>
          <w:rFonts w:ascii="Arial" w:hAnsi="Arial" w:cs="Arial"/>
          <w:noProof/>
        </w:rPr>
        <w:t xml:space="preserve">Tan, A. C., Ashley, D. M., López, G. Y., Malinzak, M., Friedman, H. S., &amp; Khasraw, M. (2020). Management of glioblastoma: State of the art and future directions. </w:t>
      </w:r>
      <w:r w:rsidRPr="000973C4">
        <w:rPr>
          <w:rFonts w:ascii="Arial" w:hAnsi="Arial" w:cs="Arial"/>
          <w:i/>
          <w:iCs/>
          <w:noProof/>
        </w:rPr>
        <w:t>CA: A Cancer Journal for Clinicians</w:t>
      </w:r>
      <w:r w:rsidRPr="000973C4">
        <w:rPr>
          <w:rFonts w:ascii="Arial" w:hAnsi="Arial" w:cs="Arial"/>
          <w:noProof/>
        </w:rPr>
        <w:t xml:space="preserve">, </w:t>
      </w:r>
      <w:r w:rsidRPr="000973C4">
        <w:rPr>
          <w:rFonts w:ascii="Arial" w:hAnsi="Arial" w:cs="Arial"/>
          <w:i/>
          <w:iCs/>
          <w:noProof/>
        </w:rPr>
        <w:t>70</w:t>
      </w:r>
      <w:r w:rsidRPr="000973C4">
        <w:rPr>
          <w:rFonts w:ascii="Arial" w:hAnsi="Arial" w:cs="Arial"/>
          <w:noProof/>
        </w:rPr>
        <w:t>(4), 299–312. https://doi.org/10.3322/caac.21613</w:t>
      </w:r>
    </w:p>
    <w:p w14:paraId="62D7A902" w14:textId="77777777" w:rsidR="00906507" w:rsidRPr="000973C4" w:rsidRDefault="00906507" w:rsidP="00906507">
      <w:pPr>
        <w:widowControl w:val="0"/>
        <w:autoSpaceDE w:val="0"/>
        <w:autoSpaceDN w:val="0"/>
        <w:adjustRightInd w:val="0"/>
        <w:ind w:left="480" w:hanging="480"/>
        <w:rPr>
          <w:rFonts w:ascii="Arial" w:hAnsi="Arial" w:cs="Arial"/>
          <w:noProof/>
        </w:rPr>
      </w:pPr>
      <w:r w:rsidRPr="000973C4">
        <w:rPr>
          <w:rFonts w:ascii="Arial" w:hAnsi="Arial" w:cs="Arial"/>
          <w:noProof/>
        </w:rPr>
        <w:t xml:space="preserve">Verma, A., Gupta, N., Bhatele, P., &amp; Khanna, P. (2023). JMCD Dataset for Brain Tumor Detection and Analysis Using Explainable Deep Learning. </w:t>
      </w:r>
      <w:r w:rsidRPr="000973C4">
        <w:rPr>
          <w:rFonts w:ascii="Arial" w:hAnsi="Arial" w:cs="Arial"/>
          <w:i/>
          <w:iCs/>
          <w:noProof/>
        </w:rPr>
        <w:t>SN Computer Science</w:t>
      </w:r>
      <w:r w:rsidRPr="000973C4">
        <w:rPr>
          <w:rFonts w:ascii="Arial" w:hAnsi="Arial" w:cs="Arial"/>
          <w:noProof/>
        </w:rPr>
        <w:t xml:space="preserve">, </w:t>
      </w:r>
      <w:r w:rsidRPr="000973C4">
        <w:rPr>
          <w:rFonts w:ascii="Arial" w:hAnsi="Arial" w:cs="Arial"/>
          <w:i/>
          <w:iCs/>
          <w:noProof/>
        </w:rPr>
        <w:t>4</w:t>
      </w:r>
      <w:r w:rsidRPr="000973C4">
        <w:rPr>
          <w:rFonts w:ascii="Arial" w:hAnsi="Arial" w:cs="Arial"/>
          <w:noProof/>
        </w:rPr>
        <w:t>(6). https://doi.org/10.1007/s42979-023-02308-9</w:t>
      </w:r>
    </w:p>
    <w:p w14:paraId="067BA160" w14:textId="77777777" w:rsidR="00906507" w:rsidRPr="000973C4" w:rsidRDefault="00906507" w:rsidP="00906507">
      <w:pPr>
        <w:widowControl w:val="0"/>
        <w:autoSpaceDE w:val="0"/>
        <w:autoSpaceDN w:val="0"/>
        <w:adjustRightInd w:val="0"/>
        <w:ind w:left="480" w:hanging="480"/>
        <w:rPr>
          <w:rFonts w:ascii="Arial" w:hAnsi="Arial" w:cs="Arial"/>
          <w:noProof/>
        </w:rPr>
      </w:pPr>
      <w:r w:rsidRPr="000973C4">
        <w:rPr>
          <w:rFonts w:ascii="Arial" w:hAnsi="Arial" w:cs="Arial"/>
          <w:noProof/>
        </w:rPr>
        <w:t xml:space="preserve">Winarno, Nurmansya, V. A., &amp; Miskiyah, Z. (2021). Radioterapi Kanker Cervix Dengan Linear Accelerator (LINAC). </w:t>
      </w:r>
      <w:r w:rsidRPr="000973C4">
        <w:rPr>
          <w:rFonts w:ascii="Arial" w:hAnsi="Arial" w:cs="Arial"/>
          <w:i/>
          <w:iCs/>
          <w:noProof/>
        </w:rPr>
        <w:t>Jurnal Biosains Pascasarjana</w:t>
      </w:r>
      <w:r w:rsidRPr="000973C4">
        <w:rPr>
          <w:rFonts w:ascii="Arial" w:hAnsi="Arial" w:cs="Arial"/>
          <w:noProof/>
        </w:rPr>
        <w:t xml:space="preserve">, </w:t>
      </w:r>
      <w:r w:rsidRPr="000973C4">
        <w:rPr>
          <w:rFonts w:ascii="Arial" w:hAnsi="Arial" w:cs="Arial"/>
          <w:i/>
          <w:iCs/>
          <w:noProof/>
        </w:rPr>
        <w:t>23</w:t>
      </w:r>
      <w:r w:rsidRPr="000973C4">
        <w:rPr>
          <w:rFonts w:ascii="Arial" w:hAnsi="Arial" w:cs="Arial"/>
          <w:noProof/>
        </w:rPr>
        <w:t>(2), 75. https://doi.org/10.20473/jbp.v23i2.2021.75-86</w:t>
      </w:r>
    </w:p>
    <w:p w14:paraId="4FEA85B7" w14:textId="77777777" w:rsidR="00906507" w:rsidRPr="000973C4" w:rsidRDefault="00906507" w:rsidP="00906507">
      <w:pPr>
        <w:widowControl w:val="0"/>
        <w:autoSpaceDE w:val="0"/>
        <w:autoSpaceDN w:val="0"/>
        <w:adjustRightInd w:val="0"/>
        <w:ind w:left="480" w:hanging="480"/>
        <w:rPr>
          <w:rFonts w:ascii="Arial" w:hAnsi="Arial" w:cs="Arial"/>
          <w:noProof/>
        </w:rPr>
      </w:pPr>
      <w:r w:rsidRPr="000973C4">
        <w:rPr>
          <w:rFonts w:ascii="Arial" w:hAnsi="Arial" w:cs="Arial"/>
          <w:noProof/>
        </w:rPr>
        <w:t xml:space="preserve">Zou, K. H., Warfield, S. K., Bharatha, A., Tempany, C. M. C., Kaus, M. R., Haker, S. J., Wells, W. M., Jolesz, F. A., &amp; Kikinis, R. (2004). Statistical Validation of Image Segmentation Quality Based on a Spatial Overlap Index. </w:t>
      </w:r>
      <w:r w:rsidRPr="000973C4">
        <w:rPr>
          <w:rFonts w:ascii="Arial" w:hAnsi="Arial" w:cs="Arial"/>
          <w:i/>
          <w:iCs/>
          <w:noProof/>
        </w:rPr>
        <w:t>Academic Radiology</w:t>
      </w:r>
      <w:r w:rsidRPr="000973C4">
        <w:rPr>
          <w:rFonts w:ascii="Arial" w:hAnsi="Arial" w:cs="Arial"/>
          <w:noProof/>
        </w:rPr>
        <w:t xml:space="preserve">, </w:t>
      </w:r>
      <w:r w:rsidRPr="000973C4">
        <w:rPr>
          <w:rFonts w:ascii="Arial" w:hAnsi="Arial" w:cs="Arial"/>
          <w:i/>
          <w:iCs/>
          <w:noProof/>
        </w:rPr>
        <w:t>11</w:t>
      </w:r>
      <w:r w:rsidRPr="000973C4">
        <w:rPr>
          <w:rFonts w:ascii="Arial" w:hAnsi="Arial" w:cs="Arial"/>
          <w:noProof/>
        </w:rPr>
        <w:t>(2), 178–189. https://doi.org/10.1016/S1076-6332(03)00671-8</w:t>
      </w:r>
    </w:p>
    <w:p w14:paraId="1CA625BB" w14:textId="2EFD157B" w:rsidR="009656D1" w:rsidRDefault="006E00A8" w:rsidP="009656D1">
      <w:pPr>
        <w:widowControl w:val="0"/>
        <w:autoSpaceDE w:val="0"/>
        <w:autoSpaceDN w:val="0"/>
        <w:adjustRightInd w:val="0"/>
        <w:spacing w:after="120"/>
        <w:ind w:left="480" w:hanging="480"/>
        <w:jc w:val="both"/>
      </w:pPr>
      <w:r w:rsidRPr="000973C4">
        <w:rPr>
          <w:rFonts w:ascii="Arial" w:hAnsi="Arial" w:cs="Arial"/>
        </w:rPr>
        <w:fldChar w:fldCharType="end"/>
      </w:r>
      <w:r w:rsidR="009656D1" w:rsidRPr="000973C4">
        <w:rPr>
          <w:rFonts w:ascii="Arial" w:hAnsi="Arial" w:cs="Arial"/>
          <w:noProof/>
        </w:rPr>
        <w:t>Zolotova, S. V., Golanov, A. V., Pronin, I. N., Dalechina, A. V., Nikolaeva, A. A., Belyashova, A. S., Usachev, D. Y., Kondrateva, E. A., Druzhinina, P. V., Shirokikh, B. N., Saparov, T. N., Belyaev, M. G., &amp; Kurmukov, A. I. (2023). Burdenko’s Glioblastoma Progression Dataset (Burdenko-GBM-Progression) (Version 1) [Data set]. The Cancer Imaging Archive. </w:t>
      </w:r>
      <w:hyperlink r:id="rId13" w:history="1">
        <w:r w:rsidR="009656D1" w:rsidRPr="000973C4">
          <w:rPr>
            <w:rStyle w:val="Hyperlink"/>
            <w:rFonts w:ascii="Arial" w:hAnsi="Arial" w:cs="Arial"/>
            <w:noProof/>
            <w:color w:val="auto"/>
            <w:u w:val="none"/>
          </w:rPr>
          <w:t>https://doi.org/10.7937/E1QP-D183</w:t>
        </w:r>
      </w:hyperlink>
    </w:p>
    <w:p w14:paraId="074142AA" w14:textId="77777777" w:rsidR="00706896" w:rsidRPr="009656D1" w:rsidRDefault="00706896" w:rsidP="009656D1">
      <w:pPr>
        <w:widowControl w:val="0"/>
        <w:autoSpaceDE w:val="0"/>
        <w:autoSpaceDN w:val="0"/>
        <w:adjustRightInd w:val="0"/>
        <w:spacing w:after="120"/>
        <w:ind w:left="480" w:hanging="480"/>
        <w:jc w:val="both"/>
        <w:rPr>
          <w:rFonts w:ascii="Arial" w:hAnsi="Arial" w:cs="Arial"/>
          <w:noProof/>
        </w:rPr>
      </w:pPr>
    </w:p>
    <w:p w14:paraId="12AC3DCB" w14:textId="2D024948" w:rsidR="006E00A8" w:rsidRPr="006E00A8" w:rsidRDefault="006E00A8" w:rsidP="009D2339">
      <w:pPr>
        <w:pStyle w:val="Body"/>
        <w:spacing w:after="0"/>
        <w:rPr>
          <w:rFonts w:ascii="Arial" w:hAnsi="Arial" w:cs="Arial"/>
        </w:rPr>
      </w:pPr>
    </w:p>
    <w:p w14:paraId="262D5148" w14:textId="77777777" w:rsidR="00441B6F" w:rsidRPr="006E00A8" w:rsidRDefault="00441B6F" w:rsidP="006E00A8">
      <w:pPr>
        <w:pStyle w:val="Body"/>
        <w:spacing w:after="0"/>
        <w:rPr>
          <w:rFonts w:ascii="Arial" w:hAnsi="Arial" w:cs="Arial"/>
        </w:rPr>
      </w:pPr>
    </w:p>
    <w:p w14:paraId="3393F68C" w14:textId="77777777" w:rsidR="00441B6F" w:rsidRPr="006E00A8" w:rsidRDefault="00441B6F" w:rsidP="006E00A8">
      <w:pPr>
        <w:pStyle w:val="Body"/>
        <w:spacing w:after="0"/>
        <w:rPr>
          <w:rFonts w:ascii="Arial" w:hAnsi="Arial" w:cs="Arial"/>
        </w:rPr>
      </w:pPr>
    </w:p>
    <w:p w14:paraId="4E6625F6" w14:textId="77777777" w:rsidR="00B01FCD" w:rsidRPr="00FB3A86" w:rsidRDefault="00B01FCD" w:rsidP="00441B6F">
      <w:pPr>
        <w:pStyle w:val="Reference"/>
        <w:numPr>
          <w:ilvl w:val="0"/>
          <w:numId w:val="0"/>
        </w:numPr>
        <w:spacing w:line="240" w:lineRule="auto"/>
        <w:rPr>
          <w:rFonts w:ascii="Arial" w:hAnsi="Arial" w:cs="Arial"/>
        </w:rPr>
      </w:pPr>
    </w:p>
    <w:p w14:paraId="78C3A53F" w14:textId="77777777" w:rsidR="00B01FCD" w:rsidRPr="00FB3A86" w:rsidRDefault="00B01FCD" w:rsidP="00441B6F">
      <w:pPr>
        <w:pStyle w:val="Appendix"/>
        <w:spacing w:after="0"/>
        <w:jc w:val="both"/>
        <w:rPr>
          <w:rFonts w:ascii="Arial" w:hAnsi="Arial" w:cs="Arial"/>
          <w:b w:val="0"/>
        </w:rPr>
      </w:pPr>
    </w:p>
    <w:sectPr w:rsidR="00B01FCD" w:rsidRPr="00FB3A86" w:rsidSect="00330EF9">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7F6C1" w14:textId="77777777" w:rsidR="00A46315" w:rsidRDefault="00A46315" w:rsidP="00C37E61">
      <w:r>
        <w:separator/>
      </w:r>
    </w:p>
  </w:endnote>
  <w:endnote w:type="continuationSeparator" w:id="0">
    <w:p w14:paraId="46D8385A" w14:textId="77777777" w:rsidR="00A46315" w:rsidRDefault="00A4631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B199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CBA24" w14:textId="77777777" w:rsidR="00A46315" w:rsidRDefault="00A46315" w:rsidP="00C37E61">
      <w:r>
        <w:separator/>
      </w:r>
    </w:p>
  </w:footnote>
  <w:footnote w:type="continuationSeparator" w:id="0">
    <w:p w14:paraId="34FD642A" w14:textId="77777777" w:rsidR="00A46315" w:rsidRDefault="00A4631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F128C" w14:textId="31015568" w:rsidR="004C5BA4" w:rsidRDefault="00A46315">
    <w:pPr>
      <w:pStyle w:val="Header"/>
    </w:pPr>
    <w:r>
      <w:rPr>
        <w:noProof/>
      </w:rPr>
      <w:pict w14:anchorId="31FC24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688797"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521D6" w14:textId="2AEAF8A2" w:rsidR="004C5BA4" w:rsidRDefault="00A46315">
    <w:pPr>
      <w:pStyle w:val="Header"/>
    </w:pPr>
    <w:r>
      <w:rPr>
        <w:noProof/>
      </w:rPr>
      <w:pict w14:anchorId="343330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688798"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6C0D" w14:textId="7919F926" w:rsidR="00296529" w:rsidRPr="00296529" w:rsidRDefault="00A46315" w:rsidP="00296529">
    <w:pPr>
      <w:ind w:left="2160"/>
      <w:jc w:val="center"/>
      <w:rPr>
        <w:rFonts w:ascii="Times New Roman" w:eastAsia="Calibri" w:hAnsi="Times New Roman"/>
        <w:i/>
        <w:sz w:val="18"/>
        <w:szCs w:val="22"/>
      </w:rPr>
    </w:pPr>
    <w:r>
      <w:rPr>
        <w:noProof/>
      </w:rPr>
      <w:pict w14:anchorId="167A9E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688796"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1EBE9B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271034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4972AF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658E9E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C11188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6E6F14D"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2824F" w14:textId="4B246160" w:rsidR="004C5BA4" w:rsidRDefault="00A46315">
    <w:pPr>
      <w:pStyle w:val="Header"/>
    </w:pPr>
    <w:r>
      <w:rPr>
        <w:noProof/>
      </w:rPr>
      <w:pict w14:anchorId="6D50AD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688800"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51D6D" w14:textId="19C30F06" w:rsidR="004C5BA4" w:rsidRDefault="00A46315">
    <w:pPr>
      <w:pStyle w:val="Header"/>
    </w:pPr>
    <w:r>
      <w:rPr>
        <w:noProof/>
      </w:rPr>
      <w:pict w14:anchorId="631AE4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688801"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092E4" w14:textId="7824AB35" w:rsidR="004C5BA4" w:rsidRDefault="00A46315">
    <w:pPr>
      <w:pStyle w:val="Header"/>
    </w:pPr>
    <w:r>
      <w:rPr>
        <w:noProof/>
      </w:rPr>
      <w:pict w14:anchorId="656BEB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688799"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25BA3"/>
    <w:rsid w:val="00030174"/>
    <w:rsid w:val="0004579C"/>
    <w:rsid w:val="000770BA"/>
    <w:rsid w:val="000973C4"/>
    <w:rsid w:val="000A47FA"/>
    <w:rsid w:val="000A61D3"/>
    <w:rsid w:val="000A65D3"/>
    <w:rsid w:val="000B1E33"/>
    <w:rsid w:val="000D55FE"/>
    <w:rsid w:val="000D689F"/>
    <w:rsid w:val="000E7B7B"/>
    <w:rsid w:val="000E7D62"/>
    <w:rsid w:val="00103357"/>
    <w:rsid w:val="00123C9F"/>
    <w:rsid w:val="00126190"/>
    <w:rsid w:val="00130F17"/>
    <w:rsid w:val="001320BF"/>
    <w:rsid w:val="001404D5"/>
    <w:rsid w:val="0014111D"/>
    <w:rsid w:val="001628CE"/>
    <w:rsid w:val="00163BC4"/>
    <w:rsid w:val="00191062"/>
    <w:rsid w:val="00192B72"/>
    <w:rsid w:val="001A29D8"/>
    <w:rsid w:val="001A5CAA"/>
    <w:rsid w:val="001B0427"/>
    <w:rsid w:val="001B552B"/>
    <w:rsid w:val="001D3A51"/>
    <w:rsid w:val="001E0696"/>
    <w:rsid w:val="001E10D2"/>
    <w:rsid w:val="001E25B4"/>
    <w:rsid w:val="001E44FE"/>
    <w:rsid w:val="00200595"/>
    <w:rsid w:val="00204835"/>
    <w:rsid w:val="002124ED"/>
    <w:rsid w:val="00221DEA"/>
    <w:rsid w:val="00227062"/>
    <w:rsid w:val="00231920"/>
    <w:rsid w:val="0023195C"/>
    <w:rsid w:val="0024282C"/>
    <w:rsid w:val="002460DC"/>
    <w:rsid w:val="00250985"/>
    <w:rsid w:val="002556F6"/>
    <w:rsid w:val="002671B6"/>
    <w:rsid w:val="00283105"/>
    <w:rsid w:val="00284C4C"/>
    <w:rsid w:val="00287E68"/>
    <w:rsid w:val="00296529"/>
    <w:rsid w:val="002A355C"/>
    <w:rsid w:val="002B27FB"/>
    <w:rsid w:val="002B685A"/>
    <w:rsid w:val="002C57D2"/>
    <w:rsid w:val="002C697C"/>
    <w:rsid w:val="002D476B"/>
    <w:rsid w:val="002E0D56"/>
    <w:rsid w:val="00315186"/>
    <w:rsid w:val="00330EF9"/>
    <w:rsid w:val="0033343E"/>
    <w:rsid w:val="003512C2"/>
    <w:rsid w:val="00371FB6"/>
    <w:rsid w:val="003763C1"/>
    <w:rsid w:val="00376BBE"/>
    <w:rsid w:val="00380602"/>
    <w:rsid w:val="0039224F"/>
    <w:rsid w:val="0039394D"/>
    <w:rsid w:val="003A43A4"/>
    <w:rsid w:val="003A753A"/>
    <w:rsid w:val="003A7E18"/>
    <w:rsid w:val="003B08F3"/>
    <w:rsid w:val="003C4C86"/>
    <w:rsid w:val="003C6258"/>
    <w:rsid w:val="003E2904"/>
    <w:rsid w:val="00401927"/>
    <w:rsid w:val="0041027F"/>
    <w:rsid w:val="00412475"/>
    <w:rsid w:val="00423789"/>
    <w:rsid w:val="00440F43"/>
    <w:rsid w:val="00441B6F"/>
    <w:rsid w:val="00446221"/>
    <w:rsid w:val="00450E62"/>
    <w:rsid w:val="004539DB"/>
    <w:rsid w:val="00471A80"/>
    <w:rsid w:val="0048106C"/>
    <w:rsid w:val="004A4C5A"/>
    <w:rsid w:val="004C5BA4"/>
    <w:rsid w:val="004D305E"/>
    <w:rsid w:val="004D4277"/>
    <w:rsid w:val="004E0A31"/>
    <w:rsid w:val="00502516"/>
    <w:rsid w:val="00505EEB"/>
    <w:rsid w:val="00505F06"/>
    <w:rsid w:val="00506828"/>
    <w:rsid w:val="005104FE"/>
    <w:rsid w:val="0053056E"/>
    <w:rsid w:val="00554E31"/>
    <w:rsid w:val="00554FDA"/>
    <w:rsid w:val="0058458F"/>
    <w:rsid w:val="005943A0"/>
    <w:rsid w:val="005A1933"/>
    <w:rsid w:val="005B3517"/>
    <w:rsid w:val="005C784C"/>
    <w:rsid w:val="005D17F6"/>
    <w:rsid w:val="005E5539"/>
    <w:rsid w:val="00602BF5"/>
    <w:rsid w:val="00617FDD"/>
    <w:rsid w:val="00624229"/>
    <w:rsid w:val="00633614"/>
    <w:rsid w:val="00633F68"/>
    <w:rsid w:val="00636EB2"/>
    <w:rsid w:val="006375B8"/>
    <w:rsid w:val="00640791"/>
    <w:rsid w:val="0066510A"/>
    <w:rsid w:val="00673F9F"/>
    <w:rsid w:val="00686953"/>
    <w:rsid w:val="00687DEA"/>
    <w:rsid w:val="00687E67"/>
    <w:rsid w:val="006967F7"/>
    <w:rsid w:val="006A250C"/>
    <w:rsid w:val="006B21D3"/>
    <w:rsid w:val="006B57D0"/>
    <w:rsid w:val="006D30FF"/>
    <w:rsid w:val="006D6940"/>
    <w:rsid w:val="006E00A8"/>
    <w:rsid w:val="006E5CC3"/>
    <w:rsid w:val="006F11EC"/>
    <w:rsid w:val="0070082C"/>
    <w:rsid w:val="00706896"/>
    <w:rsid w:val="007369E6"/>
    <w:rsid w:val="00740819"/>
    <w:rsid w:val="00746E59"/>
    <w:rsid w:val="0075155F"/>
    <w:rsid w:val="007548EB"/>
    <w:rsid w:val="00754C9A"/>
    <w:rsid w:val="0075599A"/>
    <w:rsid w:val="00761D52"/>
    <w:rsid w:val="0077090B"/>
    <w:rsid w:val="00773BB2"/>
    <w:rsid w:val="0077749E"/>
    <w:rsid w:val="00790ADA"/>
    <w:rsid w:val="00797003"/>
    <w:rsid w:val="007A1EA2"/>
    <w:rsid w:val="007C6BB2"/>
    <w:rsid w:val="007D0544"/>
    <w:rsid w:val="007D2288"/>
    <w:rsid w:val="007E088F"/>
    <w:rsid w:val="007F7B32"/>
    <w:rsid w:val="00804BC2"/>
    <w:rsid w:val="0081431A"/>
    <w:rsid w:val="00831F7D"/>
    <w:rsid w:val="0083216F"/>
    <w:rsid w:val="00835133"/>
    <w:rsid w:val="00860000"/>
    <w:rsid w:val="00863BD3"/>
    <w:rsid w:val="008641ED"/>
    <w:rsid w:val="00866D66"/>
    <w:rsid w:val="008671C6"/>
    <w:rsid w:val="008719D4"/>
    <w:rsid w:val="008736D4"/>
    <w:rsid w:val="00875803"/>
    <w:rsid w:val="008842E2"/>
    <w:rsid w:val="00885A58"/>
    <w:rsid w:val="008A1CA1"/>
    <w:rsid w:val="008B459E"/>
    <w:rsid w:val="008E13AE"/>
    <w:rsid w:val="008E1506"/>
    <w:rsid w:val="008E1D4E"/>
    <w:rsid w:val="008E710C"/>
    <w:rsid w:val="008E72F0"/>
    <w:rsid w:val="008E76EA"/>
    <w:rsid w:val="008F69D6"/>
    <w:rsid w:val="00902823"/>
    <w:rsid w:val="00906507"/>
    <w:rsid w:val="00915CA6"/>
    <w:rsid w:val="00927834"/>
    <w:rsid w:val="00944195"/>
    <w:rsid w:val="009500A6"/>
    <w:rsid w:val="00954044"/>
    <w:rsid w:val="00957896"/>
    <w:rsid w:val="00957C18"/>
    <w:rsid w:val="00960EF1"/>
    <w:rsid w:val="009656D1"/>
    <w:rsid w:val="009659BA"/>
    <w:rsid w:val="00983040"/>
    <w:rsid w:val="00983400"/>
    <w:rsid w:val="00984C8C"/>
    <w:rsid w:val="009872FE"/>
    <w:rsid w:val="0099582A"/>
    <w:rsid w:val="00996391"/>
    <w:rsid w:val="009A2F36"/>
    <w:rsid w:val="009B3FB9"/>
    <w:rsid w:val="009C2465"/>
    <w:rsid w:val="009D2339"/>
    <w:rsid w:val="009D35A0"/>
    <w:rsid w:val="009D4676"/>
    <w:rsid w:val="009D7EB7"/>
    <w:rsid w:val="009E048A"/>
    <w:rsid w:val="009E08E9"/>
    <w:rsid w:val="009E3DB9"/>
    <w:rsid w:val="009E6E35"/>
    <w:rsid w:val="009E71A3"/>
    <w:rsid w:val="009F0EDA"/>
    <w:rsid w:val="00A00E5B"/>
    <w:rsid w:val="00A01C38"/>
    <w:rsid w:val="00A028EC"/>
    <w:rsid w:val="00A03B96"/>
    <w:rsid w:val="00A05B19"/>
    <w:rsid w:val="00A1134E"/>
    <w:rsid w:val="00A11FAC"/>
    <w:rsid w:val="00A24DCF"/>
    <w:rsid w:val="00A24E7E"/>
    <w:rsid w:val="00A258C3"/>
    <w:rsid w:val="00A27E39"/>
    <w:rsid w:val="00A347C0"/>
    <w:rsid w:val="00A46315"/>
    <w:rsid w:val="00A51431"/>
    <w:rsid w:val="00A539AD"/>
    <w:rsid w:val="00A63C52"/>
    <w:rsid w:val="00A94063"/>
    <w:rsid w:val="00AA54B7"/>
    <w:rsid w:val="00AA6219"/>
    <w:rsid w:val="00AA74E0"/>
    <w:rsid w:val="00AB703F"/>
    <w:rsid w:val="00AC6BB8"/>
    <w:rsid w:val="00AD3E6D"/>
    <w:rsid w:val="00AE008F"/>
    <w:rsid w:val="00AF1025"/>
    <w:rsid w:val="00B01FCD"/>
    <w:rsid w:val="00B02D9B"/>
    <w:rsid w:val="00B05483"/>
    <w:rsid w:val="00B1776C"/>
    <w:rsid w:val="00B17C10"/>
    <w:rsid w:val="00B52583"/>
    <w:rsid w:val="00B52896"/>
    <w:rsid w:val="00B84314"/>
    <w:rsid w:val="00B95236"/>
    <w:rsid w:val="00B96BD9"/>
    <w:rsid w:val="00BA1B01"/>
    <w:rsid w:val="00BA2641"/>
    <w:rsid w:val="00BB37AA"/>
    <w:rsid w:val="00BC53A0"/>
    <w:rsid w:val="00BE62AD"/>
    <w:rsid w:val="00BF121F"/>
    <w:rsid w:val="00BF1F80"/>
    <w:rsid w:val="00BF5E01"/>
    <w:rsid w:val="00C166EF"/>
    <w:rsid w:val="00C17EB0"/>
    <w:rsid w:val="00C25CBC"/>
    <w:rsid w:val="00C27F5F"/>
    <w:rsid w:val="00C30A0F"/>
    <w:rsid w:val="00C37998"/>
    <w:rsid w:val="00C37E61"/>
    <w:rsid w:val="00C42E17"/>
    <w:rsid w:val="00C70F1B"/>
    <w:rsid w:val="00C71A47"/>
    <w:rsid w:val="00C7464C"/>
    <w:rsid w:val="00C85588"/>
    <w:rsid w:val="00CD6755"/>
    <w:rsid w:val="00CD6856"/>
    <w:rsid w:val="00CD72D0"/>
    <w:rsid w:val="00CE0089"/>
    <w:rsid w:val="00CE379D"/>
    <w:rsid w:val="00CE793C"/>
    <w:rsid w:val="00CF193C"/>
    <w:rsid w:val="00D173F1"/>
    <w:rsid w:val="00D71E03"/>
    <w:rsid w:val="00D74CB0"/>
    <w:rsid w:val="00D8295D"/>
    <w:rsid w:val="00D95A50"/>
    <w:rsid w:val="00DC2A65"/>
    <w:rsid w:val="00DE15F0"/>
    <w:rsid w:val="00DE5663"/>
    <w:rsid w:val="00DE78AA"/>
    <w:rsid w:val="00DF3C74"/>
    <w:rsid w:val="00E053D0"/>
    <w:rsid w:val="00E15994"/>
    <w:rsid w:val="00E30E2D"/>
    <w:rsid w:val="00E3114E"/>
    <w:rsid w:val="00E31A70"/>
    <w:rsid w:val="00E35B02"/>
    <w:rsid w:val="00E65CD8"/>
    <w:rsid w:val="00E66496"/>
    <w:rsid w:val="00E66B35"/>
    <w:rsid w:val="00E66E10"/>
    <w:rsid w:val="00E72DA9"/>
    <w:rsid w:val="00E769F6"/>
    <w:rsid w:val="00E8407C"/>
    <w:rsid w:val="00E84F3C"/>
    <w:rsid w:val="00E926C9"/>
    <w:rsid w:val="00EA012C"/>
    <w:rsid w:val="00EC6A55"/>
    <w:rsid w:val="00ED0288"/>
    <w:rsid w:val="00EE52CB"/>
    <w:rsid w:val="00EF3A91"/>
    <w:rsid w:val="00EF581D"/>
    <w:rsid w:val="00EF7FD8"/>
    <w:rsid w:val="00F06F59"/>
    <w:rsid w:val="00F17988"/>
    <w:rsid w:val="00F37265"/>
    <w:rsid w:val="00F44B5A"/>
    <w:rsid w:val="00F469F0"/>
    <w:rsid w:val="00F53273"/>
    <w:rsid w:val="00F755E4"/>
    <w:rsid w:val="00F77D02"/>
    <w:rsid w:val="00FB3A86"/>
    <w:rsid w:val="00FD36C8"/>
    <w:rsid w:val="00FE0DC2"/>
    <w:rsid w:val="00FF5CD3"/>
    <w:rsid w:val="00FF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3E81C5C"/>
  <w15:docId w15:val="{A47A0741-DFC4-4363-9FB7-9700C13E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2E2"/>
    <w:rPr>
      <w:rFonts w:ascii="Helvetica" w:hAnsi="Helvetica"/>
    </w:rPr>
  </w:style>
  <w:style w:type="paragraph" w:styleId="Heading1">
    <w:name w:val="heading 1"/>
    <w:basedOn w:val="Normal"/>
    <w:next w:val="Normal"/>
    <w:qFormat/>
    <w:rsid w:val="009656D1"/>
    <w:pPr>
      <w:keepNext/>
      <w:outlineLvl w:val="0"/>
    </w:pPr>
    <w:rPr>
      <w:rFonts w:ascii="Arial" w:hAnsi="Arial"/>
      <w:b/>
      <w:kern w:val="28"/>
      <w:sz w:val="22"/>
    </w:rPr>
  </w:style>
  <w:style w:type="paragraph" w:styleId="Heading2">
    <w:name w:val="heading 2"/>
    <w:basedOn w:val="Normal"/>
    <w:next w:val="Normal"/>
    <w:link w:val="Heading2Char"/>
    <w:unhideWhenUsed/>
    <w:qFormat/>
    <w:rsid w:val="008842E2"/>
    <w:pPr>
      <w:keepNext/>
      <w:keepLines/>
      <w:outlineLvl w:val="1"/>
    </w:pPr>
    <w:rPr>
      <w:rFonts w:ascii="Arial" w:eastAsiaTheme="majorEastAsia" w:hAnsi="Arial" w:cstheme="majorBidi"/>
      <w:b/>
      <w:sz w:val="22"/>
      <w:szCs w:val="26"/>
    </w:rPr>
  </w:style>
  <w:style w:type="paragraph" w:styleId="Heading3">
    <w:name w:val="heading 3"/>
    <w:basedOn w:val="Normal"/>
    <w:next w:val="Normal"/>
    <w:link w:val="Heading3Char"/>
    <w:unhideWhenUsed/>
    <w:qFormat/>
    <w:rsid w:val="008842E2"/>
    <w:pPr>
      <w:keepNext/>
      <w:keepLines/>
      <w:outlineLvl w:val="2"/>
    </w:pPr>
    <w:rPr>
      <w:rFonts w:ascii="Arial" w:eastAsiaTheme="majorEastAsia" w:hAnsi="Arial" w:cstheme="majorBidi"/>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C25CBC"/>
    <w:rPr>
      <w:rFonts w:ascii="Times New Roman" w:hAnsi="Times New Roman"/>
      <w:sz w:val="24"/>
      <w:szCs w:val="24"/>
    </w:rPr>
  </w:style>
  <w:style w:type="character" w:customStyle="1" w:styleId="Heading2Char">
    <w:name w:val="Heading 2 Char"/>
    <w:basedOn w:val="DefaultParagraphFont"/>
    <w:link w:val="Heading2"/>
    <w:rsid w:val="008842E2"/>
    <w:rPr>
      <w:rFonts w:ascii="Arial" w:eastAsiaTheme="majorEastAsia" w:hAnsi="Arial" w:cstheme="majorBidi"/>
      <w:b/>
      <w:sz w:val="22"/>
      <w:szCs w:val="26"/>
    </w:rPr>
  </w:style>
  <w:style w:type="character" w:customStyle="1" w:styleId="Heading3Char">
    <w:name w:val="Heading 3 Char"/>
    <w:basedOn w:val="DefaultParagraphFont"/>
    <w:link w:val="Heading3"/>
    <w:rsid w:val="008842E2"/>
    <w:rPr>
      <w:rFonts w:ascii="Arial" w:eastAsiaTheme="majorEastAsia" w:hAnsi="Arial" w:cstheme="majorBidi"/>
      <w:b/>
      <w:szCs w:val="24"/>
      <w:u w:val="single"/>
    </w:rPr>
  </w:style>
  <w:style w:type="character" w:customStyle="1" w:styleId="UnresolvedMention">
    <w:name w:val="Unresolved Mention"/>
    <w:basedOn w:val="DefaultParagraphFont"/>
    <w:uiPriority w:val="99"/>
    <w:semiHidden/>
    <w:unhideWhenUsed/>
    <w:rsid w:val="00A11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41318721">
      <w:bodyDiv w:val="1"/>
      <w:marLeft w:val="0"/>
      <w:marRight w:val="0"/>
      <w:marTop w:val="0"/>
      <w:marBottom w:val="0"/>
      <w:divBdr>
        <w:top w:val="none" w:sz="0" w:space="0" w:color="auto"/>
        <w:left w:val="none" w:sz="0" w:space="0" w:color="auto"/>
        <w:bottom w:val="none" w:sz="0" w:space="0" w:color="auto"/>
        <w:right w:val="none" w:sz="0" w:space="0" w:color="auto"/>
      </w:divBdr>
    </w:div>
    <w:div w:id="14270350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772106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7776390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2209788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01153725">
      <w:bodyDiv w:val="1"/>
      <w:marLeft w:val="0"/>
      <w:marRight w:val="0"/>
      <w:marTop w:val="0"/>
      <w:marBottom w:val="0"/>
      <w:divBdr>
        <w:top w:val="none" w:sz="0" w:space="0" w:color="auto"/>
        <w:left w:val="none" w:sz="0" w:space="0" w:color="auto"/>
        <w:bottom w:val="none" w:sz="0" w:space="0" w:color="auto"/>
        <w:right w:val="none" w:sz="0" w:space="0" w:color="auto"/>
      </w:divBdr>
    </w:div>
    <w:div w:id="1351101236">
      <w:bodyDiv w:val="1"/>
      <w:marLeft w:val="0"/>
      <w:marRight w:val="0"/>
      <w:marTop w:val="0"/>
      <w:marBottom w:val="0"/>
      <w:divBdr>
        <w:top w:val="none" w:sz="0" w:space="0" w:color="auto"/>
        <w:left w:val="none" w:sz="0" w:space="0" w:color="auto"/>
        <w:bottom w:val="none" w:sz="0" w:space="0" w:color="auto"/>
        <w:right w:val="none" w:sz="0" w:space="0" w:color="auto"/>
      </w:divBdr>
    </w:div>
    <w:div w:id="1441491528">
      <w:bodyDiv w:val="1"/>
      <w:marLeft w:val="0"/>
      <w:marRight w:val="0"/>
      <w:marTop w:val="0"/>
      <w:marBottom w:val="0"/>
      <w:divBdr>
        <w:top w:val="none" w:sz="0" w:space="0" w:color="auto"/>
        <w:left w:val="none" w:sz="0" w:space="0" w:color="auto"/>
        <w:bottom w:val="none" w:sz="0" w:space="0" w:color="auto"/>
        <w:right w:val="none" w:sz="0" w:space="0" w:color="auto"/>
      </w:divBdr>
      <w:divsChild>
        <w:div w:id="1155681511">
          <w:marLeft w:val="0"/>
          <w:marRight w:val="0"/>
          <w:marTop w:val="0"/>
          <w:marBottom w:val="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4677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7937/E1QP-D18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4A37F-8783-4728-8A4E-83A60D43E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TotalTime>
  <Pages>7</Pages>
  <Words>14087</Words>
  <Characters>80296</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94195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1117</cp:lastModifiedBy>
  <cp:revision>23</cp:revision>
  <cp:lastPrinted>1999-07-06T11:00:00Z</cp:lastPrinted>
  <dcterms:created xsi:type="dcterms:W3CDTF">2025-03-03T05:27:00Z</dcterms:created>
  <dcterms:modified xsi:type="dcterms:W3CDTF">2025-03-04T05:30:00Z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471819f1-76b7-329c-a7ee-b48f5cb6d9a5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