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CE0BD" w14:textId="71ADCF70" w:rsidR="00754C9A" w:rsidRPr="004D113C" w:rsidRDefault="00D95875" w:rsidP="00441B6F">
      <w:pPr>
        <w:pStyle w:val="Title"/>
        <w:spacing w:after="0"/>
        <w:jc w:val="both"/>
        <w:rPr>
          <w:rFonts w:ascii="Arial" w:hAnsi="Arial" w:cs="Arial"/>
        </w:rPr>
      </w:pPr>
      <w:r w:rsidRPr="004D113C">
        <w:rPr>
          <w:rFonts w:ascii="Arial" w:hAnsi="Arial" w:cs="Arial"/>
        </w:rPr>
        <w:t>Original Research Article</w:t>
      </w:r>
    </w:p>
    <w:p w14:paraId="69693CD7" w14:textId="77777777" w:rsidR="00D95875" w:rsidRPr="004D113C" w:rsidRDefault="00D95875" w:rsidP="00441B6F">
      <w:pPr>
        <w:pStyle w:val="Title"/>
        <w:spacing w:after="0"/>
        <w:jc w:val="both"/>
        <w:rPr>
          <w:rFonts w:ascii="Arial" w:hAnsi="Arial" w:cs="Arial"/>
        </w:rPr>
      </w:pPr>
    </w:p>
    <w:p w14:paraId="445740EC" w14:textId="7CDE909B" w:rsidR="002F2C69" w:rsidRPr="004D113C" w:rsidRDefault="00794793" w:rsidP="00794793">
      <w:pPr>
        <w:pStyle w:val="Author"/>
        <w:spacing w:line="240" w:lineRule="auto"/>
        <w:rPr>
          <w:rFonts w:ascii="Arial" w:hAnsi="Arial" w:cs="Arial"/>
          <w:bCs/>
          <w:iCs/>
          <w:kern w:val="28"/>
          <w:sz w:val="36"/>
          <w:szCs w:val="36"/>
        </w:rPr>
      </w:pPr>
      <w:r w:rsidRPr="004D113C">
        <w:rPr>
          <w:rFonts w:ascii="Arial" w:hAnsi="Arial" w:cs="Arial"/>
          <w:sz w:val="36"/>
          <w:szCs w:val="36"/>
        </w:rPr>
        <w:t>Evaluation of Thyroid Function in Beta-Thalassemia Major Patients Treated with Deferiprone at Ulin Banjarmasin General Hospital</w:t>
      </w:r>
    </w:p>
    <w:p w14:paraId="484AEB8F" w14:textId="77777777" w:rsidR="00B01FCD" w:rsidRPr="004D113C" w:rsidRDefault="00E977EA" w:rsidP="00441B6F">
      <w:pPr>
        <w:pStyle w:val="Copyright"/>
        <w:spacing w:after="0" w:line="240" w:lineRule="auto"/>
        <w:jc w:val="both"/>
        <w:rPr>
          <w:rFonts w:ascii="Arial" w:hAnsi="Arial" w:cs="Arial"/>
        </w:rPr>
        <w:sectPr w:rsidR="00B01FCD" w:rsidRPr="004D113C" w:rsidSect="0071441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4D113C">
        <w:rPr>
          <w:rFonts w:ascii="Arial" w:hAnsi="Arial" w:cs="Arial"/>
          <w:noProof/>
        </w:rPr>
        <mc:AlternateContent>
          <mc:Choice Requires="wps">
            <w:drawing>
              <wp:inline distT="0" distB="0" distL="0" distR="0" wp14:anchorId="39DC8DCB" wp14:editId="5D386A81">
                <wp:extent cx="5303520" cy="635"/>
                <wp:effectExtent l="0" t="12700" r="5080" b="12065"/>
                <wp:docPr id="17770019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924FB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sidRPr="004D113C">
        <w:rPr>
          <w:rFonts w:ascii="Arial" w:hAnsi="Arial" w:cs="Arial"/>
        </w:rPr>
        <w:t>.</w:t>
      </w:r>
    </w:p>
    <w:p w14:paraId="7D3B9673" w14:textId="77777777" w:rsidR="00B01FCD" w:rsidRPr="004D113C" w:rsidRDefault="00B01FCD" w:rsidP="00441B6F">
      <w:pPr>
        <w:pStyle w:val="AbstHead"/>
        <w:spacing w:after="0"/>
        <w:jc w:val="both"/>
        <w:rPr>
          <w:rFonts w:ascii="Arial" w:hAnsi="Arial" w:cs="Arial"/>
        </w:rPr>
      </w:pPr>
      <w:r w:rsidRPr="004D113C">
        <w:rPr>
          <w:rFonts w:ascii="Arial" w:hAnsi="Arial" w:cs="Arial"/>
        </w:rPr>
        <w:t>ABSTRACT</w:t>
      </w:r>
    </w:p>
    <w:p w14:paraId="7207C13F" w14:textId="77777777" w:rsidR="00790ADA" w:rsidRPr="004D113C"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4D113C" w14:paraId="6D5D55D2" w14:textId="77777777" w:rsidTr="0028779E">
        <w:trPr>
          <w:trHeight w:val="3251"/>
        </w:trPr>
        <w:tc>
          <w:tcPr>
            <w:tcW w:w="9576" w:type="dxa"/>
            <w:shd w:val="clear" w:color="auto" w:fill="F2F2F2"/>
          </w:tcPr>
          <w:p w14:paraId="287BA222" w14:textId="77777777" w:rsidR="00CC6910" w:rsidRPr="004D113C" w:rsidRDefault="00BA1B01" w:rsidP="0028779E">
            <w:pPr>
              <w:pStyle w:val="Body"/>
              <w:spacing w:after="0" w:line="480" w:lineRule="auto"/>
              <w:rPr>
                <w:rFonts w:ascii="Arial" w:hAnsi="Arial" w:cs="Arial"/>
                <w:color w:val="000000"/>
              </w:rPr>
            </w:pPr>
            <w:r w:rsidRPr="004D113C">
              <w:rPr>
                <w:rFonts w:ascii="Arial" w:eastAsia="Calibri" w:hAnsi="Arial" w:cs="Arial"/>
                <w:b/>
              </w:rPr>
              <w:t xml:space="preserve">Aims: </w:t>
            </w:r>
            <w:r w:rsidR="00CC6910" w:rsidRPr="004D113C">
              <w:rPr>
                <w:rFonts w:ascii="Arial" w:hAnsi="Arial" w:cs="Arial"/>
                <w:color w:val="000000"/>
              </w:rPr>
              <w:t>This study aims to analyze thyroid function in beta-thalassemia major patients receiving transfusions at Ulin Regional General Hospital, Banjarmasin, based on the duration of deferiprone therapy and the patients' age.</w:t>
            </w:r>
          </w:p>
          <w:p w14:paraId="676E390A" w14:textId="41DE98BA" w:rsidR="00BA1B01" w:rsidRPr="004D113C" w:rsidRDefault="00BA1B01" w:rsidP="0028779E">
            <w:pPr>
              <w:pStyle w:val="Body"/>
              <w:spacing w:after="0" w:line="480" w:lineRule="auto"/>
              <w:rPr>
                <w:rFonts w:ascii="Arial" w:eastAsia="Calibri" w:hAnsi="Arial" w:cs="Arial"/>
                <w:szCs w:val="22"/>
              </w:rPr>
            </w:pPr>
            <w:r w:rsidRPr="004D113C">
              <w:rPr>
                <w:rFonts w:ascii="Arial" w:eastAsia="Calibri" w:hAnsi="Arial" w:cs="Arial"/>
                <w:b/>
                <w:szCs w:val="22"/>
              </w:rPr>
              <w:t>Study design:</w:t>
            </w:r>
            <w:r w:rsidRPr="004D113C">
              <w:rPr>
                <w:rFonts w:ascii="Arial" w:eastAsia="Calibri" w:hAnsi="Arial" w:cs="Arial"/>
                <w:szCs w:val="22"/>
              </w:rPr>
              <w:t xml:space="preserve">  </w:t>
            </w:r>
            <w:r w:rsidR="00691DE6" w:rsidRPr="004D113C">
              <w:rPr>
                <w:rFonts w:ascii="Arial" w:eastAsia="Calibri" w:hAnsi="Arial" w:cs="Arial"/>
                <w:szCs w:val="22"/>
              </w:rPr>
              <w:t xml:space="preserve">This is </w:t>
            </w:r>
            <w:r w:rsidR="00794793" w:rsidRPr="004D113C">
              <w:rPr>
                <w:rFonts w:ascii="Arial" w:eastAsia="Calibri" w:hAnsi="Arial" w:cs="Arial"/>
                <w:szCs w:val="22"/>
              </w:rPr>
              <w:t>analytical observational research</w:t>
            </w:r>
            <w:r w:rsidR="00691DE6" w:rsidRPr="004D113C">
              <w:rPr>
                <w:rFonts w:ascii="Arial" w:eastAsia="Calibri" w:hAnsi="Arial" w:cs="Arial"/>
                <w:szCs w:val="22"/>
              </w:rPr>
              <w:t xml:space="preserve"> with a cross-sectional design.</w:t>
            </w:r>
          </w:p>
          <w:p w14:paraId="0A8F264D" w14:textId="130C4AF0" w:rsidR="00BA1B01" w:rsidRPr="004D113C" w:rsidRDefault="00BA1B01" w:rsidP="0028779E">
            <w:pPr>
              <w:pStyle w:val="Body"/>
              <w:spacing w:after="0" w:line="480" w:lineRule="auto"/>
              <w:rPr>
                <w:rFonts w:ascii="Arial" w:eastAsia="Calibri" w:hAnsi="Arial" w:cs="Arial"/>
                <w:szCs w:val="22"/>
              </w:rPr>
            </w:pPr>
            <w:r w:rsidRPr="004D113C">
              <w:rPr>
                <w:rFonts w:ascii="Arial" w:eastAsia="Calibri" w:hAnsi="Arial" w:cs="Arial"/>
                <w:b/>
                <w:szCs w:val="22"/>
              </w:rPr>
              <w:t>Place and Duration of Study:</w:t>
            </w:r>
            <w:r w:rsidRPr="004D113C">
              <w:rPr>
                <w:rFonts w:ascii="Arial" w:eastAsia="Calibri" w:hAnsi="Arial" w:cs="Arial"/>
                <w:szCs w:val="22"/>
              </w:rPr>
              <w:t xml:space="preserve"> </w:t>
            </w:r>
            <w:r w:rsidR="00691DE6" w:rsidRPr="004D113C">
              <w:rPr>
                <w:rFonts w:ascii="Arial" w:eastAsia="Calibri" w:hAnsi="Arial" w:cs="Arial"/>
                <w:szCs w:val="22"/>
              </w:rPr>
              <w:t>Pediatric patients diagnosed with beta-thalassemia major who received oral deferiprone iron chelation for</w:t>
            </w:r>
            <w:r w:rsidR="00CC6910" w:rsidRPr="004D113C">
              <w:rPr>
                <w:rFonts w:ascii="Arial" w:hAnsi="Arial" w:cs="Arial"/>
                <w:color w:val="000000"/>
              </w:rPr>
              <w:t xml:space="preserve"> at least one </w:t>
            </w:r>
            <w:r w:rsidR="00794793" w:rsidRPr="004D113C">
              <w:rPr>
                <w:rFonts w:ascii="Arial" w:hAnsi="Arial" w:cs="Arial"/>
                <w:color w:val="000000"/>
              </w:rPr>
              <w:t>year</w:t>
            </w:r>
            <w:r w:rsidR="00794793" w:rsidRPr="004D113C">
              <w:rPr>
                <w:rFonts w:ascii="Arial" w:eastAsia="Calibri" w:hAnsi="Arial" w:cs="Arial"/>
              </w:rPr>
              <w:t xml:space="preserve"> at</w:t>
            </w:r>
            <w:r w:rsidR="00691DE6" w:rsidRPr="004D113C">
              <w:rPr>
                <w:rFonts w:ascii="Arial" w:eastAsia="Calibri" w:hAnsi="Arial" w:cs="Arial"/>
                <w:szCs w:val="22"/>
              </w:rPr>
              <w:t xml:space="preserve"> the Department of Child Health, Ulin Banjarmasin General Hospital, during the period from January 2022 to July 2024.</w:t>
            </w:r>
          </w:p>
          <w:p w14:paraId="6EA91710" w14:textId="77777777" w:rsidR="00CC6910" w:rsidRPr="004D113C" w:rsidRDefault="00BA1B01" w:rsidP="0028779E">
            <w:pPr>
              <w:pStyle w:val="Body"/>
              <w:spacing w:after="0" w:line="480" w:lineRule="auto"/>
              <w:rPr>
                <w:rFonts w:ascii="Arial" w:hAnsi="Arial" w:cs="Arial"/>
                <w:color w:val="000000"/>
              </w:rPr>
            </w:pPr>
            <w:r w:rsidRPr="004D113C">
              <w:rPr>
                <w:rFonts w:ascii="Arial" w:eastAsia="Calibri" w:hAnsi="Arial" w:cs="Arial"/>
                <w:b/>
                <w:bCs/>
                <w:szCs w:val="22"/>
              </w:rPr>
              <w:t>Methodology:</w:t>
            </w:r>
            <w:r w:rsidRPr="004D113C">
              <w:rPr>
                <w:rFonts w:ascii="Arial" w:eastAsia="Calibri" w:hAnsi="Arial" w:cs="Arial"/>
                <w:szCs w:val="22"/>
              </w:rPr>
              <w:t xml:space="preserve"> </w:t>
            </w:r>
            <w:r w:rsidR="00CC6910" w:rsidRPr="004D113C">
              <w:rPr>
                <w:rFonts w:ascii="Arial" w:hAnsi="Arial" w:cs="Arial"/>
                <w:color w:val="000000"/>
              </w:rPr>
              <w:t>The study samples were collected using total population sampling, with a total of 37 participants. Bivariate analysis was performed using the Fisher's Exact test with a 95% confidence level.</w:t>
            </w:r>
          </w:p>
          <w:p w14:paraId="215E7F66" w14:textId="01D3D8CB" w:rsidR="00CC6910" w:rsidRPr="004D113C" w:rsidRDefault="00BA1B01" w:rsidP="0028779E">
            <w:pPr>
              <w:spacing w:line="480" w:lineRule="auto"/>
              <w:jc w:val="both"/>
              <w:rPr>
                <w:rFonts w:ascii="Arial" w:hAnsi="Arial" w:cs="Arial"/>
                <w:color w:val="000000"/>
              </w:rPr>
            </w:pPr>
            <w:r w:rsidRPr="004D113C">
              <w:rPr>
                <w:rFonts w:ascii="Arial" w:eastAsia="Calibri" w:hAnsi="Arial" w:cs="Arial"/>
                <w:b/>
                <w:bCs/>
              </w:rPr>
              <w:t>R</w:t>
            </w:r>
            <w:r w:rsidRPr="004D113C">
              <w:rPr>
                <w:rFonts w:ascii="Arial" w:eastAsia="Calibri" w:hAnsi="Arial" w:cs="Arial"/>
                <w:b/>
                <w:bCs/>
                <w:szCs w:val="22"/>
              </w:rPr>
              <w:t>esults:</w:t>
            </w:r>
            <w:r w:rsidRPr="004D113C">
              <w:rPr>
                <w:rFonts w:ascii="Arial" w:eastAsia="Calibri" w:hAnsi="Arial" w:cs="Arial"/>
                <w:szCs w:val="22"/>
              </w:rPr>
              <w:t xml:space="preserve"> </w:t>
            </w:r>
            <w:r w:rsidR="00691DE6" w:rsidRPr="004D113C">
              <w:rPr>
                <w:rFonts w:ascii="Arial" w:eastAsia="Calibri" w:hAnsi="Arial" w:cs="Arial"/>
                <w:szCs w:val="22"/>
              </w:rPr>
              <w:t>The mean age of the total 37 samples was 11.12 ± 4.61 years, with a predominance of male patients at 64</w:t>
            </w:r>
            <w:r w:rsidR="00794793" w:rsidRPr="004D113C">
              <w:rPr>
                <w:rFonts w:ascii="Arial" w:eastAsia="Calibri" w:hAnsi="Arial" w:cs="Arial"/>
                <w:szCs w:val="22"/>
              </w:rPr>
              <w:t>%. The</w:t>
            </w:r>
            <w:r w:rsidR="00691DE6" w:rsidRPr="004D113C">
              <w:rPr>
                <w:rFonts w:ascii="Arial" w:eastAsia="Calibri" w:hAnsi="Arial" w:cs="Arial"/>
                <w:szCs w:val="22"/>
              </w:rPr>
              <w:t xml:space="preserve"> average levels of ferritin and hemoglobin were 4990.07 ± 2856.37 ng/mL and 8.42 ± 1.35 g/dL, respectively. A total of 36 samples were in a euthyroid state and 1 sample was in a hypothyroid state. </w:t>
            </w:r>
            <w:r w:rsidR="00CC6910" w:rsidRPr="004D113C">
              <w:rPr>
                <w:rFonts w:ascii="Arial" w:hAnsi="Arial" w:cs="Arial"/>
                <w:color w:val="000000"/>
              </w:rPr>
              <w:t>Bivariate analysis using Fisher's Exact test showed no significant association between age, the duration of deferiprone therapy, and thyroid function in beta-thalassemia major patients at Ulin Regional General Hospital, with p-values of 1.00 and 0.378, respectively.</w:t>
            </w:r>
          </w:p>
          <w:p w14:paraId="00CDAC73" w14:textId="15F76ECC" w:rsidR="00505F06" w:rsidRPr="004D113C" w:rsidRDefault="00BA1B01" w:rsidP="0028779E">
            <w:pPr>
              <w:spacing w:line="480" w:lineRule="auto"/>
              <w:jc w:val="both"/>
              <w:rPr>
                <w:rFonts w:ascii="Arial" w:eastAsia="Calibri" w:hAnsi="Arial" w:cs="Arial"/>
                <w:szCs w:val="22"/>
              </w:rPr>
            </w:pPr>
            <w:r w:rsidRPr="004D113C">
              <w:rPr>
                <w:rFonts w:ascii="Arial" w:eastAsia="Calibri" w:hAnsi="Arial" w:cs="Arial"/>
                <w:b/>
                <w:bCs/>
                <w:szCs w:val="22"/>
              </w:rPr>
              <w:lastRenderedPageBreak/>
              <w:t>Conclusion:</w:t>
            </w:r>
            <w:r w:rsidRPr="004D113C">
              <w:rPr>
                <w:rFonts w:ascii="Arial" w:eastAsia="Calibri" w:hAnsi="Arial" w:cs="Arial"/>
                <w:szCs w:val="22"/>
              </w:rPr>
              <w:t xml:space="preserve"> </w:t>
            </w:r>
            <w:r w:rsidR="00CC6910" w:rsidRPr="004D113C">
              <w:rPr>
                <w:rFonts w:ascii="Arial" w:hAnsi="Arial" w:cs="Arial"/>
                <w:color w:val="000000"/>
              </w:rPr>
              <w:t>Most beta-thalassemia major patients at Ulin Regional General Hospital receiving deferiprone iron chelation therapy exhibited normal thyroid function, with only 1 patient found to be hypothyroid. There is no significant relationship between age or the duration of deferiprone therapy and thyroid function in beta-thalassemia major patients at Ulin Regional General Hospital.</w:t>
            </w:r>
          </w:p>
        </w:tc>
      </w:tr>
    </w:tbl>
    <w:p w14:paraId="5225BF02" w14:textId="21CFFC65" w:rsidR="0028779E" w:rsidRPr="004D113C" w:rsidRDefault="00A24E7E" w:rsidP="0028779E">
      <w:pPr>
        <w:pStyle w:val="Body"/>
        <w:spacing w:after="0" w:line="480" w:lineRule="auto"/>
        <w:rPr>
          <w:rFonts w:ascii="Arial" w:hAnsi="Arial" w:cs="Arial"/>
          <w:i/>
        </w:rPr>
      </w:pPr>
      <w:r w:rsidRPr="004D113C">
        <w:rPr>
          <w:rFonts w:ascii="Arial" w:hAnsi="Arial" w:cs="Arial"/>
          <w:i/>
        </w:rPr>
        <w:lastRenderedPageBreak/>
        <w:t xml:space="preserve">Keywords: </w:t>
      </w:r>
      <w:r w:rsidR="00691DE6" w:rsidRPr="004D113C">
        <w:rPr>
          <w:rFonts w:ascii="Arial" w:hAnsi="Arial" w:cs="Arial"/>
          <w:i/>
        </w:rPr>
        <w:t>Thyroid function, Beta major thalassemia transfusion dependent, Deferiprone</w:t>
      </w:r>
    </w:p>
    <w:p w14:paraId="2798BD8E" w14:textId="77777777" w:rsidR="0028779E" w:rsidRPr="004D113C" w:rsidRDefault="0028779E" w:rsidP="0028779E">
      <w:pPr>
        <w:pStyle w:val="Body"/>
        <w:spacing w:after="0"/>
        <w:rPr>
          <w:rFonts w:ascii="Arial" w:hAnsi="Arial" w:cs="Arial"/>
          <w:i/>
        </w:rPr>
      </w:pPr>
    </w:p>
    <w:p w14:paraId="39D72DF7" w14:textId="2BB6A5C6" w:rsidR="00790ADA" w:rsidRPr="004D113C" w:rsidRDefault="00902823" w:rsidP="0028779E">
      <w:pPr>
        <w:pStyle w:val="AbstHead"/>
        <w:spacing w:after="0" w:line="480" w:lineRule="auto"/>
        <w:rPr>
          <w:rFonts w:ascii="Arial" w:hAnsi="Arial" w:cs="Arial"/>
        </w:rPr>
      </w:pPr>
      <w:r w:rsidRPr="004D113C">
        <w:rPr>
          <w:rFonts w:ascii="Arial" w:hAnsi="Arial" w:cs="Arial"/>
        </w:rPr>
        <w:t xml:space="preserve">1. </w:t>
      </w:r>
      <w:r w:rsidR="00B01FCD" w:rsidRPr="004D113C">
        <w:rPr>
          <w:rFonts w:ascii="Arial" w:hAnsi="Arial" w:cs="Arial"/>
        </w:rPr>
        <w:t>INTRODUCTION</w:t>
      </w:r>
      <w:r w:rsidR="007F7B32" w:rsidRPr="004D113C">
        <w:rPr>
          <w:rFonts w:ascii="Arial" w:hAnsi="Arial" w:cs="Arial"/>
        </w:rPr>
        <w:t xml:space="preserve"> </w:t>
      </w:r>
    </w:p>
    <w:p w14:paraId="59FA8C62" w14:textId="77777777" w:rsidR="0028779E" w:rsidRPr="004D113C" w:rsidRDefault="0028779E" w:rsidP="0028779E">
      <w:pPr>
        <w:pStyle w:val="AbstHead"/>
        <w:spacing w:after="0" w:line="480" w:lineRule="auto"/>
        <w:rPr>
          <w:rFonts w:ascii="Arial" w:hAnsi="Arial" w:cs="Arial"/>
        </w:rPr>
      </w:pPr>
    </w:p>
    <w:p w14:paraId="0F0B1D66" w14:textId="074B7BA9" w:rsidR="00B12A7B" w:rsidRPr="004D113C" w:rsidRDefault="00B12A7B" w:rsidP="0028779E">
      <w:pPr>
        <w:pStyle w:val="Body"/>
        <w:spacing w:line="480" w:lineRule="auto"/>
        <w:rPr>
          <w:rFonts w:ascii="Arial" w:hAnsi="Arial" w:cs="Arial"/>
        </w:rPr>
      </w:pPr>
      <w:r w:rsidRPr="004D113C">
        <w:rPr>
          <w:rFonts w:ascii="Arial" w:hAnsi="Arial" w:cs="Arial"/>
        </w:rPr>
        <w:t>Blood transfusion therapy plays an important role in thalassemia patients to treat anemia, but iron deposition as a side effect of transfusion can trigger problems in the body's endocrine and metabolic processes.</w:t>
      </w:r>
      <w:sdt>
        <w:sdtPr>
          <w:rPr>
            <w:rFonts w:ascii="Arial" w:hAnsi="Arial" w:cs="Arial"/>
            <w:color w:val="000000"/>
            <w:vertAlign w:val="superscript"/>
          </w:rPr>
          <w:tag w:val="MENDELEY_CITATION_v3_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"/>
          <w:id w:val="-1529253440"/>
          <w:placeholder>
            <w:docPart w:val="DefaultPlaceholder_-1854013440"/>
          </w:placeholder>
        </w:sdtPr>
        <w:sdtEndPr/>
        <w:sdtContent>
          <w:r w:rsidR="0028779E" w:rsidRPr="004D113C">
            <w:rPr>
              <w:rFonts w:ascii="Arial" w:hAnsi="Arial" w:cs="Arial"/>
              <w:color w:val="000000"/>
            </w:rPr>
            <w:t>[1]</w:t>
          </w:r>
        </w:sdtContent>
      </w:sdt>
      <w:r w:rsidRPr="004D113C">
        <w:rPr>
          <w:rFonts w:ascii="Arial" w:hAnsi="Arial" w:cs="Arial"/>
        </w:rPr>
        <w:t xml:space="preserve"> The </w:t>
      </w:r>
      <w:r w:rsidR="00794793" w:rsidRPr="004D113C">
        <w:rPr>
          <w:rFonts w:ascii="Arial" w:hAnsi="Arial" w:cs="Arial"/>
        </w:rPr>
        <w:t>Patho mechanism</w:t>
      </w:r>
      <w:r w:rsidRPr="004D113C">
        <w:rPr>
          <w:rFonts w:ascii="Arial" w:hAnsi="Arial" w:cs="Arial"/>
        </w:rPr>
        <w:t xml:space="preserve"> of endocrine gland damage is triggered by iron deposition directly in the endocrine gland itself as primary hypothyroidism or through the hypothalamic-pituitary axis resulting in central hypothyroidism.</w:t>
      </w:r>
      <w:sdt>
        <w:sdtPr>
          <w:rPr>
            <w:rFonts w:ascii="Arial" w:hAnsi="Arial" w:cs="Arial"/>
            <w:color w:val="000000"/>
            <w:vertAlign w:val="superscript"/>
          </w:rPr>
          <w:tag w:val="MENDELEY_CITATION_v3_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"/>
          <w:id w:val="-1510666675"/>
          <w:placeholder>
            <w:docPart w:val="DefaultPlaceholder_-1854013440"/>
          </w:placeholder>
        </w:sdtPr>
        <w:sdtEndPr/>
        <w:sdtContent>
          <w:sdt>
            <w:sdtPr>
              <w:rPr>
                <w:rFonts w:ascii="Arial" w:hAnsi="Arial" w:cs="Arial"/>
                <w:color w:val="000000"/>
                <w:vertAlign w:val="superscript"/>
              </w:rPr>
              <w:tag w:val="MENDELEY_CITATION_v3_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"/>
              <w:id w:val="-1007205331"/>
              <w:placeholder>
                <w:docPart w:val="B579E97B33663D4A9C4BCB90DD4F14D1"/>
              </w:placeholder>
            </w:sdtPr>
            <w:sdtEndPr/>
            <w:sdtContent>
              <w:r w:rsidR="0028779E" w:rsidRPr="004D113C">
                <w:rPr>
                  <w:rFonts w:ascii="Arial" w:hAnsi="Arial" w:cs="Arial"/>
                  <w:color w:val="000000"/>
                </w:rPr>
                <w:t>[2]</w:t>
              </w:r>
            </w:sdtContent>
          </w:sdt>
        </w:sdtContent>
      </w:sdt>
      <w:r w:rsidRPr="004D113C">
        <w:rPr>
          <w:rFonts w:ascii="Arial" w:hAnsi="Arial" w:cs="Arial"/>
        </w:rPr>
        <w:t xml:space="preserve"> Both primary and central hypothyroidism are affected by iron deposition. High ferritin levels, non-compliance with iron chelation therapy, and splenectomy increase the risk of endocrine disease in patients with thalassemia.</w:t>
      </w:r>
      <w:sdt>
        <w:sdtPr>
          <w:rPr>
            <w:rFonts w:ascii="Arial" w:hAnsi="Arial" w:cs="Arial"/>
            <w:color w:val="000000"/>
            <w:vertAlign w:val="superscript"/>
          </w:rPr>
          <w:tag w:val="MENDELEY_CITATION_v3_eyJjaXRhdGlvbklEIjoiTUVOREVMRVlfQ0lUQVRJT05fZDg4NWE2YjMtZmVlNC00NjFiLThkZWItMDUxN2VhMTFhZGNm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
          <w:id w:val="-1167787497"/>
          <w:placeholder>
            <w:docPart w:val="DefaultPlaceholder_-1854013440"/>
          </w:placeholder>
        </w:sdtPr>
        <w:sdtEndPr/>
        <w:sdtContent>
          <w:sdt>
            <w:sdtPr>
              <w:rPr>
                <w:rFonts w:ascii="Arial" w:hAnsi="Arial" w:cs="Arial"/>
                <w:color w:val="000000"/>
                <w:vertAlign w:val="superscript"/>
              </w:rPr>
              <w:tag w:val="MENDELEY_CITATION_v3_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"/>
              <w:id w:val="346987231"/>
              <w:placeholder>
                <w:docPart w:val="BC8759ADF5BFC347B92F1CCBD412A434"/>
              </w:placeholder>
            </w:sdtPr>
            <w:sdtEndPr/>
            <w:sdtContent>
              <w:r w:rsidR="0028779E" w:rsidRPr="004D113C">
                <w:rPr>
                  <w:rFonts w:ascii="Arial" w:hAnsi="Arial" w:cs="Arial"/>
                  <w:color w:val="000000"/>
                </w:rPr>
                <w:t>[3]</w:t>
              </w:r>
            </w:sdtContent>
          </w:sdt>
        </w:sdtContent>
      </w:sdt>
      <w:r w:rsidRPr="004D113C">
        <w:rPr>
          <w:rFonts w:ascii="Arial" w:hAnsi="Arial" w:cs="Arial"/>
        </w:rPr>
        <w:t xml:space="preserve"> Iron's direct cytotoxicity to the thyroid gland is primarily responsible for thyroid dysfunction in patients with thalassemia.</w:t>
      </w:r>
      <w:sdt>
        <w:sdtPr>
          <w:rPr>
            <w:rFonts w:ascii="Arial" w:hAnsi="Arial" w:cs="Arial"/>
            <w:color w:val="000000"/>
            <w:vertAlign w:val="superscript"/>
          </w:rPr>
          <w:tag w:val="MENDELEY_CITATION_v3_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"/>
          <w:id w:val="-595321680"/>
          <w:placeholder>
            <w:docPart w:val="DefaultPlaceholder_-1854013440"/>
          </w:placeholder>
        </w:sdtPr>
        <w:sdtEndPr/>
        <w:sdtContent>
          <w:sdt>
            <w:sdtPr>
              <w:rPr>
                <w:rFonts w:ascii="Arial" w:hAnsi="Arial" w:cs="Arial"/>
                <w:color w:val="000000"/>
                <w:vertAlign w:val="superscript"/>
              </w:rPr>
              <w:tag w:val="MENDELEY_CITATION_v3_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"/>
              <w:id w:val="-640575406"/>
              <w:placeholder>
                <w:docPart w:val="17FCDFC28BF42542975DC1DFC621600C"/>
              </w:placeholder>
            </w:sdtPr>
            <w:sdtEndPr/>
            <w:sdtContent>
              <w:r w:rsidR="0028779E" w:rsidRPr="004D113C">
                <w:rPr>
                  <w:rFonts w:ascii="Arial" w:hAnsi="Arial" w:cs="Arial"/>
                  <w:color w:val="000000"/>
                </w:rPr>
                <w:t>[3,4]</w:t>
              </w:r>
            </w:sdtContent>
          </w:sdt>
        </w:sdtContent>
      </w:sdt>
    </w:p>
    <w:p w14:paraId="75645BAD" w14:textId="54964D76" w:rsidR="00CC6910" w:rsidRPr="004D113C" w:rsidRDefault="00B12A7B" w:rsidP="0028779E">
      <w:pPr>
        <w:pStyle w:val="Body"/>
        <w:spacing w:line="480" w:lineRule="auto"/>
        <w:rPr>
          <w:rFonts w:ascii="Arial" w:hAnsi="Arial" w:cs="Arial"/>
        </w:rPr>
      </w:pPr>
      <w:r w:rsidRPr="004D113C">
        <w:rPr>
          <w:rFonts w:ascii="Arial" w:hAnsi="Arial" w:cs="Arial"/>
        </w:rPr>
        <w:t>Besides blood transfusion, iron chelation is the standard therapy for thalassemia beta major. A lower prevalence of hypothyroidism is reported in patients with lower iron levels as assessed by ferritin levels.</w:t>
      </w:r>
      <w:sdt>
        <w:sdtPr>
          <w:rPr>
            <w:rFonts w:ascii="Arial" w:hAnsi="Arial" w:cs="Arial"/>
            <w:color w:val="000000"/>
            <w:vertAlign w:val="superscript"/>
          </w:rPr>
          <w:tag w:val="MENDELEY_CITATION_v3_eyJjaXRhdGlvbklEIjoiTUVOREVMRVlfQ0lUQVRJT05fNWY5YjRmMmQtMzRkMC00NGI4LWJiOGUtNTJkN2FhOTQ1Y2Iy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
          <w:id w:val="-618527826"/>
          <w:placeholder>
            <w:docPart w:val="DefaultPlaceholder_-1854013440"/>
          </w:placeholder>
        </w:sdtPr>
        <w:sdtEndPr/>
        <w:sdtContent>
          <w:sdt>
            <w:sdtPr>
              <w:rPr>
                <w:rFonts w:ascii="Arial" w:hAnsi="Arial" w:cs="Arial"/>
                <w:color w:val="000000"/>
                <w:vertAlign w:val="superscript"/>
              </w:rPr>
              <w:tag w:val="MENDELEY_CITATION_v3_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"/>
              <w:id w:val="670215462"/>
              <w:placeholder>
                <w:docPart w:val="D33E9E77FD6BE647B7AF315C4BA58679"/>
              </w:placeholder>
            </w:sdtPr>
            <w:sdtEndPr/>
            <w:sdtContent>
              <w:r w:rsidR="0028779E" w:rsidRPr="004D113C">
                <w:rPr>
                  <w:rFonts w:ascii="Arial" w:hAnsi="Arial" w:cs="Arial"/>
                  <w:color w:val="000000"/>
                </w:rPr>
                <w:t>[3]</w:t>
              </w:r>
            </w:sdtContent>
          </w:sdt>
        </w:sdtContent>
      </w:sdt>
      <w:r w:rsidRPr="004D113C">
        <w:rPr>
          <w:rFonts w:ascii="Arial" w:hAnsi="Arial" w:cs="Arial"/>
        </w:rPr>
        <w:t xml:space="preserve"> Deferiprone (DFP) is an oral iron chelation that has better compliance than </w:t>
      </w:r>
      <w:r w:rsidR="00794793" w:rsidRPr="004D113C">
        <w:rPr>
          <w:rFonts w:ascii="Arial" w:hAnsi="Arial" w:cs="Arial"/>
        </w:rPr>
        <w:t>deferoxamine</w:t>
      </w:r>
      <w:r w:rsidRPr="004D113C">
        <w:rPr>
          <w:rFonts w:ascii="Arial" w:hAnsi="Arial" w:cs="Arial"/>
        </w:rPr>
        <w:t xml:space="preserve">. It is able to mobilize iron from tissues into the circulation for excretion, mainly through urine (DFP). However, various clinical studies have shown a decrease in thyroid levels in pediatric patients receiving oral iron chelation. </w:t>
      </w:r>
      <w:r w:rsidR="00CC6910" w:rsidRPr="004D113C">
        <w:rPr>
          <w:rFonts w:ascii="Arial" w:hAnsi="Arial" w:cs="Arial"/>
          <w:color w:val="000000"/>
        </w:rPr>
        <w:t xml:space="preserve">Therefore, this study aims to analyze thyroid </w:t>
      </w:r>
      <w:r w:rsidR="00CC6910" w:rsidRPr="004D113C">
        <w:rPr>
          <w:rFonts w:ascii="Arial" w:hAnsi="Arial" w:cs="Arial"/>
          <w:color w:val="000000"/>
        </w:rPr>
        <w:lastRenderedPageBreak/>
        <w:t>function in beta-thalassemia major patients receiving transfusions at Ulin Regional General Hospital, Banjarmasin, based on the duration of deferiprone therapy and the patients' age.</w:t>
      </w:r>
    </w:p>
    <w:p w14:paraId="416F343E" w14:textId="2AD98231" w:rsidR="007F7B32" w:rsidRPr="004D113C" w:rsidRDefault="00902823" w:rsidP="0028779E">
      <w:pPr>
        <w:pStyle w:val="AbstHead"/>
        <w:spacing w:after="0" w:line="480" w:lineRule="auto"/>
        <w:jc w:val="both"/>
        <w:rPr>
          <w:rFonts w:ascii="Arial" w:hAnsi="Arial" w:cs="Arial"/>
        </w:rPr>
      </w:pPr>
      <w:r w:rsidRPr="004D113C">
        <w:rPr>
          <w:rFonts w:ascii="Arial" w:hAnsi="Arial" w:cs="Arial"/>
        </w:rPr>
        <w:t xml:space="preserve">2. </w:t>
      </w:r>
      <w:r w:rsidR="00255FC7" w:rsidRPr="004D113C">
        <w:rPr>
          <w:rFonts w:ascii="Arial" w:hAnsi="Arial" w:cs="Arial"/>
        </w:rPr>
        <w:t>METHODOLOGY</w:t>
      </w:r>
    </w:p>
    <w:p w14:paraId="62341852" w14:textId="77777777" w:rsidR="00790ADA" w:rsidRPr="004D113C" w:rsidRDefault="00790ADA" w:rsidP="0028779E">
      <w:pPr>
        <w:pStyle w:val="AbstHead"/>
        <w:spacing w:after="0" w:line="480" w:lineRule="auto"/>
        <w:jc w:val="both"/>
        <w:rPr>
          <w:rFonts w:ascii="Arial" w:hAnsi="Arial" w:cs="Arial"/>
        </w:rPr>
      </w:pPr>
    </w:p>
    <w:p w14:paraId="0395EDEA" w14:textId="51D4C838" w:rsidR="002626F0" w:rsidRPr="004D113C" w:rsidRDefault="002626F0" w:rsidP="0028779E">
      <w:pPr>
        <w:pStyle w:val="Body"/>
        <w:spacing w:line="480" w:lineRule="auto"/>
        <w:rPr>
          <w:rFonts w:ascii="Arial" w:hAnsi="Arial" w:cs="Arial"/>
        </w:rPr>
      </w:pPr>
      <w:r w:rsidRPr="004D113C">
        <w:rPr>
          <w:rFonts w:ascii="Arial" w:hAnsi="Arial" w:cs="Arial"/>
        </w:rPr>
        <w:t xml:space="preserve">This study was an analytical observational study with a </w:t>
      </w:r>
      <w:r w:rsidR="00794793" w:rsidRPr="004D113C">
        <w:rPr>
          <w:rFonts w:ascii="Arial" w:hAnsi="Arial" w:cs="Arial"/>
        </w:rPr>
        <w:t>cross-sectional</w:t>
      </w:r>
      <w:r w:rsidRPr="004D113C">
        <w:rPr>
          <w:rFonts w:ascii="Arial" w:hAnsi="Arial" w:cs="Arial"/>
        </w:rPr>
        <w:t xml:space="preserve"> research design in pediatric patients with a diagnosis of thalassemia beta major who received Deferiprone oral iron chelation for at least 1 year. Then laboratory examinations (pre-transfusion hemoglobin, ferritin, TSH and fT4) were conducted based on the Schwartz method. The study was conducted at the Department of Pediatrics (IKA) of Ulin Regional General Hospital Banjarmasin, Department of Clinical Pathology of Ulin Regional General Hospital Banjarmasin. Basic patient data was obtained by taking data from medical records. Laboratory examination data (pre-transfusion hemoglobin, ferritin, fT4 and TSH) were obtained from the outpatient and inpatient units of the IKA Department of Ulin Hospital, in collaboration with the Clinical Pathology Department of Ulin Hospital Banjarmasin from January 2022 to July 2024.</w:t>
      </w:r>
    </w:p>
    <w:p w14:paraId="29D4E19B" w14:textId="3A758115" w:rsidR="002626F0" w:rsidRPr="004D113C" w:rsidRDefault="002626F0" w:rsidP="0028779E">
      <w:pPr>
        <w:pStyle w:val="Body"/>
        <w:spacing w:line="480" w:lineRule="auto"/>
        <w:rPr>
          <w:rFonts w:ascii="Arial" w:hAnsi="Arial" w:cs="Arial"/>
        </w:rPr>
      </w:pPr>
      <w:r w:rsidRPr="004D113C">
        <w:rPr>
          <w:rFonts w:ascii="Arial" w:hAnsi="Arial" w:cs="Arial"/>
        </w:rPr>
        <w:t>The sampling of this study was conducted using the total population sampling method, in which the entire sample population that met the inclusion criteria was included without randomization. The study sample consisted of subjects who fit the inclusion criteria, namely: pediatric patients aged 2 to 18 years; pediatric patients with thalassemia beta major who had received oral iron chelation therapy using deferiprone for at least one year at the Department of Pediatrics of Ulin Hospital Banjarmasin in the period January 2022 to July 2024; and patients who agreed to participate and signed informed consent. Meanwhile, the exclusion criteria included: patients with incomplete medical record data; patients who were non-compliant or irregularly taking deferiprone (less than 75 mg/kg/day); patients with a history of thyroid dysfunction before deferiprone therapy; patients with other hematologic or oncologic comorbidities; patients who had undergone splenectomy; and patients with acute infections.</w:t>
      </w:r>
    </w:p>
    <w:p w14:paraId="66DFC89B" w14:textId="77777777" w:rsidR="002626F0" w:rsidRPr="004D113C" w:rsidRDefault="002626F0" w:rsidP="0028779E">
      <w:pPr>
        <w:pStyle w:val="Body"/>
        <w:spacing w:line="480" w:lineRule="auto"/>
        <w:rPr>
          <w:rFonts w:ascii="Arial" w:hAnsi="Arial" w:cs="Arial"/>
        </w:rPr>
      </w:pPr>
      <w:r w:rsidRPr="004D113C">
        <w:rPr>
          <w:rFonts w:ascii="Arial" w:hAnsi="Arial" w:cs="Arial"/>
        </w:rPr>
        <w:lastRenderedPageBreak/>
        <w:t xml:space="preserve">Data were collected from the study subject population by considering the inclusion and exclusion criteria. Data were collected from the hematology clinic of Ulin Hospital Banjarmasin and inpatients diagnosed with transfusion-dependent Beta Major Thalassemia. The characteristics of the study subjects were then taken in the form of age, gender, and treatment received. Patients had been given iron chelation therapy for at least 1 year. Patients were then subjected to ferritin examination and fT4 and TSH examination. </w:t>
      </w:r>
    </w:p>
    <w:p w14:paraId="321FBF39" w14:textId="77777777" w:rsidR="002626F0" w:rsidRPr="004D113C" w:rsidRDefault="002626F0" w:rsidP="0028779E">
      <w:pPr>
        <w:pStyle w:val="Body"/>
        <w:spacing w:after="0" w:line="480" w:lineRule="auto"/>
        <w:rPr>
          <w:rFonts w:ascii="Arial" w:hAnsi="Arial" w:cs="Arial"/>
        </w:rPr>
      </w:pPr>
      <w:r w:rsidRPr="004D113C">
        <w:rPr>
          <w:rFonts w:ascii="Arial" w:hAnsi="Arial" w:cs="Arial"/>
        </w:rPr>
        <w:t>The statistical program used to process the data was SPSS version 23.0. Sample data in each study group were presented in tabular form and statistically tested to determine whether there was a relationship between variables. To analyze the relationship between the duration of deferiprone administration and thyroid function, the Fischer exact test was performed. All analyses were performed at the 95% confidence level.</w:t>
      </w:r>
    </w:p>
    <w:p w14:paraId="06F7AA2E" w14:textId="77777777" w:rsidR="00A03B96" w:rsidRPr="004D113C" w:rsidRDefault="00A03B96" w:rsidP="0028779E">
      <w:pPr>
        <w:pStyle w:val="Body"/>
        <w:spacing w:after="0" w:line="480" w:lineRule="auto"/>
        <w:rPr>
          <w:rFonts w:ascii="Arial" w:hAnsi="Arial" w:cs="Arial"/>
        </w:rPr>
      </w:pPr>
    </w:p>
    <w:p w14:paraId="66484A3A" w14:textId="77777777" w:rsidR="00790ADA" w:rsidRPr="004D113C" w:rsidRDefault="00790ADA" w:rsidP="0028779E">
      <w:pPr>
        <w:pStyle w:val="Body"/>
        <w:spacing w:after="0" w:line="480" w:lineRule="auto"/>
        <w:rPr>
          <w:rFonts w:ascii="Arial" w:hAnsi="Arial" w:cs="Arial"/>
        </w:rPr>
      </w:pPr>
    </w:p>
    <w:p w14:paraId="7E5470A7" w14:textId="77777777" w:rsidR="00902823" w:rsidRPr="004D113C" w:rsidRDefault="00000F8F" w:rsidP="0028779E">
      <w:pPr>
        <w:pStyle w:val="Head1"/>
        <w:spacing w:after="0" w:line="480" w:lineRule="auto"/>
        <w:jc w:val="both"/>
        <w:rPr>
          <w:rFonts w:ascii="Arial" w:hAnsi="Arial" w:cs="Arial"/>
        </w:rPr>
      </w:pPr>
      <w:r w:rsidRPr="004D113C">
        <w:rPr>
          <w:rFonts w:ascii="Arial" w:hAnsi="Arial" w:cs="Arial"/>
        </w:rPr>
        <w:t>3</w:t>
      </w:r>
      <w:r w:rsidR="00902823" w:rsidRPr="004D113C">
        <w:rPr>
          <w:rFonts w:ascii="Arial" w:hAnsi="Arial" w:cs="Arial"/>
        </w:rPr>
        <w:t xml:space="preserve">. </w:t>
      </w:r>
      <w:r w:rsidRPr="004D113C">
        <w:rPr>
          <w:rFonts w:ascii="Arial" w:hAnsi="Arial" w:cs="Arial"/>
        </w:rPr>
        <w:t>results and discussion</w:t>
      </w:r>
    </w:p>
    <w:p w14:paraId="0872B1DB" w14:textId="77777777" w:rsidR="00376BBE" w:rsidRPr="004D113C" w:rsidRDefault="00376BBE" w:rsidP="0028779E">
      <w:pPr>
        <w:pStyle w:val="Body"/>
        <w:spacing w:after="0" w:line="480" w:lineRule="auto"/>
        <w:rPr>
          <w:rFonts w:ascii="Arial" w:hAnsi="Arial" w:cs="Arial"/>
        </w:rPr>
      </w:pPr>
    </w:p>
    <w:p w14:paraId="331DC359" w14:textId="77777777" w:rsidR="00C30A0F" w:rsidRPr="004D113C" w:rsidRDefault="00C30A0F" w:rsidP="0028779E">
      <w:pPr>
        <w:pStyle w:val="Body"/>
        <w:spacing w:after="0" w:line="480" w:lineRule="auto"/>
        <w:rPr>
          <w:rFonts w:ascii="Arial" w:hAnsi="Arial" w:cs="Arial"/>
          <w:b/>
          <w:sz w:val="22"/>
        </w:rPr>
      </w:pPr>
      <w:r w:rsidRPr="004D113C">
        <w:rPr>
          <w:rFonts w:ascii="Arial" w:hAnsi="Arial" w:cs="Arial"/>
          <w:b/>
          <w:caps/>
          <w:sz w:val="22"/>
        </w:rPr>
        <w:t xml:space="preserve">3.1 </w:t>
      </w:r>
      <w:r w:rsidR="00506198" w:rsidRPr="004D113C">
        <w:rPr>
          <w:rFonts w:ascii="Arial" w:hAnsi="Arial" w:cs="Arial"/>
          <w:b/>
          <w:sz w:val="22"/>
        </w:rPr>
        <w:t>Subject characteristics</w:t>
      </w:r>
    </w:p>
    <w:p w14:paraId="17DC0E4B" w14:textId="77777777" w:rsidR="00506198" w:rsidRPr="004D113C" w:rsidRDefault="00506198" w:rsidP="0028779E">
      <w:pPr>
        <w:pStyle w:val="Body"/>
        <w:spacing w:after="0" w:line="480" w:lineRule="auto"/>
        <w:rPr>
          <w:rFonts w:ascii="Arial" w:hAnsi="Arial" w:cs="Arial"/>
        </w:rPr>
      </w:pPr>
      <w:r w:rsidRPr="004D113C">
        <w:rPr>
          <w:rFonts w:ascii="Arial" w:hAnsi="Arial" w:cs="Arial"/>
        </w:rPr>
        <w:tab/>
      </w:r>
    </w:p>
    <w:p w14:paraId="701D085E" w14:textId="0FAC78E1" w:rsidR="00506198" w:rsidRPr="004D113C" w:rsidRDefault="00506198" w:rsidP="0028779E">
      <w:pPr>
        <w:pStyle w:val="Body"/>
        <w:spacing w:after="0" w:line="480" w:lineRule="auto"/>
        <w:rPr>
          <w:rFonts w:ascii="Arial" w:hAnsi="Arial" w:cs="Arial"/>
        </w:rPr>
      </w:pPr>
      <w:r w:rsidRPr="004D113C">
        <w:rPr>
          <w:rFonts w:ascii="Arial" w:hAnsi="Arial" w:cs="Arial"/>
        </w:rPr>
        <w:tab/>
        <w:t xml:space="preserve">The number of research subjects obtained were 59 subjects, of which 37 subjects used deferiprone iron flat and 22 subjects used </w:t>
      </w:r>
      <w:proofErr w:type="spellStart"/>
      <w:r w:rsidRPr="004D113C">
        <w:rPr>
          <w:rFonts w:ascii="Arial" w:hAnsi="Arial" w:cs="Arial"/>
        </w:rPr>
        <w:t>d</w:t>
      </w:r>
      <w:r w:rsidR="00794793" w:rsidRPr="004D113C">
        <w:rPr>
          <w:rFonts w:ascii="Arial" w:hAnsi="Arial" w:cs="Arial"/>
        </w:rPr>
        <w:t>e</w:t>
      </w:r>
      <w:r w:rsidRPr="004D113C">
        <w:rPr>
          <w:rFonts w:ascii="Arial" w:hAnsi="Arial" w:cs="Arial"/>
        </w:rPr>
        <w:t>sferasirox</w:t>
      </w:r>
      <w:proofErr w:type="spellEnd"/>
      <w:r w:rsidRPr="004D113C">
        <w:rPr>
          <w:rFonts w:ascii="Arial" w:hAnsi="Arial" w:cs="Arial"/>
        </w:rPr>
        <w:t xml:space="preserve"> iron flat. The results of the analysis can be seen in the table below, table 1.</w:t>
      </w:r>
    </w:p>
    <w:p w14:paraId="24D6F609" w14:textId="77777777" w:rsidR="00506198" w:rsidRPr="004D113C" w:rsidRDefault="00506198" w:rsidP="0028779E">
      <w:pPr>
        <w:pStyle w:val="Body"/>
        <w:spacing w:after="0" w:line="480" w:lineRule="auto"/>
        <w:rPr>
          <w:rFonts w:ascii="Arial" w:hAnsi="Arial" w:cs="Arial"/>
        </w:rPr>
      </w:pPr>
    </w:p>
    <w:p w14:paraId="3308C9AD" w14:textId="3D784EE8" w:rsidR="00506198" w:rsidRPr="004D113C" w:rsidRDefault="00506198" w:rsidP="0028779E">
      <w:pPr>
        <w:tabs>
          <w:tab w:val="left" w:pos="1080"/>
        </w:tabs>
        <w:spacing w:line="480" w:lineRule="auto"/>
        <w:jc w:val="both"/>
        <w:rPr>
          <w:rFonts w:ascii="Arial" w:hAnsi="Arial"/>
          <w:b/>
        </w:rPr>
      </w:pPr>
      <w:r w:rsidRPr="004D113C">
        <w:rPr>
          <w:rFonts w:ascii="Arial" w:hAnsi="Arial"/>
          <w:b/>
        </w:rPr>
        <w:t>Table 1. Subject characteristics</w:t>
      </w:r>
    </w:p>
    <w:tbl>
      <w:tblPr>
        <w:tblStyle w:val="PlainTable2"/>
        <w:tblW w:w="8222" w:type="dxa"/>
        <w:tblLook w:val="04A0" w:firstRow="1" w:lastRow="0" w:firstColumn="1" w:lastColumn="0" w:noHBand="0" w:noVBand="1"/>
      </w:tblPr>
      <w:tblGrid>
        <w:gridCol w:w="3823"/>
        <w:gridCol w:w="2273"/>
        <w:gridCol w:w="2126"/>
      </w:tblGrid>
      <w:tr w:rsidR="00506198" w:rsidRPr="004D113C" w14:paraId="723DADE3" w14:textId="77777777" w:rsidTr="002D42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32DBCD9" w14:textId="77777777" w:rsidR="00506198" w:rsidRPr="004D113C" w:rsidRDefault="00506198" w:rsidP="0028779E">
            <w:pPr>
              <w:spacing w:line="480" w:lineRule="auto"/>
              <w:jc w:val="center"/>
              <w:rPr>
                <w:rFonts w:ascii="Arial" w:hAnsi="Arial" w:cs="Arial"/>
                <w:sz w:val="20"/>
                <w:szCs w:val="20"/>
              </w:rPr>
            </w:pPr>
            <w:r w:rsidRPr="004D113C">
              <w:rPr>
                <w:rFonts w:ascii="Arial" w:hAnsi="Arial" w:cs="Arial"/>
                <w:sz w:val="20"/>
                <w:szCs w:val="20"/>
              </w:rPr>
              <w:t>Variable</w:t>
            </w:r>
          </w:p>
        </w:tc>
        <w:tc>
          <w:tcPr>
            <w:tcW w:w="2273" w:type="dxa"/>
          </w:tcPr>
          <w:p w14:paraId="3CB2CA37" w14:textId="77777777" w:rsidR="00506198" w:rsidRPr="004D113C" w:rsidRDefault="00506198" w:rsidP="0028779E">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D113C">
              <w:rPr>
                <w:rFonts w:ascii="Arial" w:hAnsi="Arial" w:cs="Arial"/>
                <w:sz w:val="20"/>
                <w:szCs w:val="20"/>
              </w:rPr>
              <w:t>Mean</w:t>
            </w:r>
          </w:p>
        </w:tc>
        <w:tc>
          <w:tcPr>
            <w:tcW w:w="2126" w:type="dxa"/>
          </w:tcPr>
          <w:p w14:paraId="320483B6" w14:textId="77777777" w:rsidR="00506198" w:rsidRPr="004D113C" w:rsidRDefault="00506198" w:rsidP="0028779E">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D113C">
              <w:rPr>
                <w:rFonts w:ascii="Arial" w:hAnsi="Arial" w:cs="Arial"/>
                <w:sz w:val="20"/>
                <w:szCs w:val="20"/>
              </w:rPr>
              <w:t>N (%)</w:t>
            </w:r>
          </w:p>
        </w:tc>
      </w:tr>
      <w:tr w:rsidR="00506198" w:rsidRPr="004D113C" w14:paraId="56B3DDF5" w14:textId="77777777" w:rsidTr="002D4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344D653" w14:textId="77777777" w:rsidR="00506198" w:rsidRPr="004D113C" w:rsidRDefault="00506198" w:rsidP="0028779E">
            <w:pPr>
              <w:spacing w:line="480" w:lineRule="auto"/>
              <w:rPr>
                <w:rFonts w:ascii="Arial" w:hAnsi="Arial" w:cs="Arial"/>
                <w:b w:val="0"/>
                <w:sz w:val="20"/>
                <w:szCs w:val="20"/>
              </w:rPr>
            </w:pPr>
            <w:r w:rsidRPr="004D113C">
              <w:rPr>
                <w:rFonts w:ascii="Arial" w:hAnsi="Arial" w:cs="Arial"/>
                <w:b w:val="0"/>
                <w:sz w:val="20"/>
                <w:szCs w:val="20"/>
              </w:rPr>
              <w:t xml:space="preserve">Age (years) </w:t>
            </w:r>
            <m:oMath>
              <m:r>
                <m:rPr>
                  <m:sty m:val="bi"/>
                </m:rPr>
                <w:rPr>
                  <w:rFonts w:ascii="Cambria Math" w:hAnsi="Cambria Math" w:cs="Arial"/>
                  <w:sz w:val="20"/>
                  <w:szCs w:val="20"/>
                </w:rPr>
                <m:t>±</m:t>
              </m:r>
            </m:oMath>
            <w:r w:rsidRPr="004D113C">
              <w:rPr>
                <w:rFonts w:ascii="Arial" w:hAnsi="Arial" w:cs="Arial"/>
                <w:b w:val="0"/>
                <w:sz w:val="20"/>
                <w:szCs w:val="20"/>
              </w:rPr>
              <w:t xml:space="preserve"> SD</w:t>
            </w:r>
          </w:p>
        </w:tc>
        <w:tc>
          <w:tcPr>
            <w:tcW w:w="2273" w:type="dxa"/>
          </w:tcPr>
          <w:p w14:paraId="42DF078B" w14:textId="77777777" w:rsidR="00506198" w:rsidRPr="004D113C"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D113C">
              <w:rPr>
                <w:rFonts w:ascii="Arial" w:hAnsi="Arial" w:cs="Arial"/>
                <w:sz w:val="20"/>
                <w:szCs w:val="20"/>
              </w:rPr>
              <w:t xml:space="preserve">11.12 </w:t>
            </w:r>
            <m:oMath>
              <m:r>
                <w:rPr>
                  <w:rFonts w:ascii="Cambria Math" w:hAnsi="Cambria Math" w:cs="Arial"/>
                  <w:sz w:val="20"/>
                  <w:szCs w:val="20"/>
                </w:rPr>
                <m:t>±</m:t>
              </m:r>
            </m:oMath>
            <w:r w:rsidRPr="004D113C">
              <w:rPr>
                <w:rFonts w:ascii="Arial" w:hAnsi="Arial" w:cs="Arial"/>
                <w:sz w:val="20"/>
                <w:szCs w:val="20"/>
              </w:rPr>
              <w:t xml:space="preserve"> 4.61</w:t>
            </w:r>
          </w:p>
        </w:tc>
        <w:tc>
          <w:tcPr>
            <w:tcW w:w="2126" w:type="dxa"/>
          </w:tcPr>
          <w:p w14:paraId="01312DBA" w14:textId="77777777" w:rsidR="00506198" w:rsidRPr="004D113C"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06198" w:rsidRPr="004D113C" w14:paraId="7EA7F864" w14:textId="77777777" w:rsidTr="002D42F9">
        <w:tc>
          <w:tcPr>
            <w:cnfStyle w:val="001000000000" w:firstRow="0" w:lastRow="0" w:firstColumn="1" w:lastColumn="0" w:oddVBand="0" w:evenVBand="0" w:oddHBand="0" w:evenHBand="0" w:firstRowFirstColumn="0" w:firstRowLastColumn="0" w:lastRowFirstColumn="0" w:lastRowLastColumn="0"/>
            <w:tcW w:w="3823" w:type="dxa"/>
          </w:tcPr>
          <w:p w14:paraId="4D56F258" w14:textId="77777777" w:rsidR="00506198" w:rsidRPr="004D113C" w:rsidRDefault="00506198" w:rsidP="0028779E">
            <w:pPr>
              <w:spacing w:line="480" w:lineRule="auto"/>
              <w:rPr>
                <w:rFonts w:ascii="Arial" w:hAnsi="Arial" w:cs="Arial"/>
                <w:b w:val="0"/>
                <w:sz w:val="20"/>
                <w:szCs w:val="20"/>
              </w:rPr>
            </w:pPr>
            <w:r w:rsidRPr="004D113C">
              <w:rPr>
                <w:rFonts w:ascii="Arial" w:hAnsi="Arial" w:cs="Arial"/>
                <w:b w:val="0"/>
                <w:sz w:val="20"/>
                <w:szCs w:val="20"/>
              </w:rPr>
              <w:t>Sex</w:t>
            </w:r>
          </w:p>
        </w:tc>
        <w:tc>
          <w:tcPr>
            <w:tcW w:w="2273" w:type="dxa"/>
          </w:tcPr>
          <w:p w14:paraId="1B9C0651" w14:textId="77777777" w:rsidR="00506198" w:rsidRPr="004D113C"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26" w:type="dxa"/>
          </w:tcPr>
          <w:p w14:paraId="4BAB1DED" w14:textId="77777777" w:rsidR="00506198" w:rsidRPr="004D113C"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06198" w:rsidRPr="004D113C" w14:paraId="61FCD780" w14:textId="77777777" w:rsidTr="002D4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CF118BB" w14:textId="77777777" w:rsidR="00506198" w:rsidRPr="004D113C" w:rsidRDefault="00506198" w:rsidP="0028779E">
            <w:pPr>
              <w:pStyle w:val="ListParagraph"/>
              <w:numPr>
                <w:ilvl w:val="0"/>
                <w:numId w:val="31"/>
              </w:numPr>
              <w:spacing w:line="480" w:lineRule="auto"/>
              <w:rPr>
                <w:rFonts w:ascii="Arial" w:hAnsi="Arial" w:cs="Arial"/>
                <w:b w:val="0"/>
                <w:sz w:val="20"/>
                <w:szCs w:val="20"/>
                <w:lang w:val="en-US"/>
              </w:rPr>
            </w:pPr>
            <w:r w:rsidRPr="004D113C">
              <w:rPr>
                <w:rFonts w:ascii="Arial" w:hAnsi="Arial" w:cs="Arial"/>
                <w:b w:val="0"/>
                <w:sz w:val="20"/>
                <w:szCs w:val="20"/>
                <w:lang w:val="en-US"/>
              </w:rPr>
              <w:t>Male</w:t>
            </w:r>
          </w:p>
        </w:tc>
        <w:tc>
          <w:tcPr>
            <w:tcW w:w="2273" w:type="dxa"/>
          </w:tcPr>
          <w:p w14:paraId="184E6FEA" w14:textId="77777777" w:rsidR="00506198" w:rsidRPr="004D113C"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26" w:type="dxa"/>
          </w:tcPr>
          <w:p w14:paraId="14281D68" w14:textId="77777777" w:rsidR="00506198" w:rsidRPr="004D113C"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D113C">
              <w:rPr>
                <w:rFonts w:ascii="Arial" w:hAnsi="Arial" w:cs="Arial"/>
                <w:sz w:val="20"/>
                <w:szCs w:val="20"/>
              </w:rPr>
              <w:t>24 (64.9)</w:t>
            </w:r>
          </w:p>
        </w:tc>
      </w:tr>
      <w:tr w:rsidR="00506198" w:rsidRPr="004D113C" w14:paraId="418F6869" w14:textId="77777777" w:rsidTr="002D42F9">
        <w:tc>
          <w:tcPr>
            <w:cnfStyle w:val="001000000000" w:firstRow="0" w:lastRow="0" w:firstColumn="1" w:lastColumn="0" w:oddVBand="0" w:evenVBand="0" w:oddHBand="0" w:evenHBand="0" w:firstRowFirstColumn="0" w:firstRowLastColumn="0" w:lastRowFirstColumn="0" w:lastRowLastColumn="0"/>
            <w:tcW w:w="3823" w:type="dxa"/>
          </w:tcPr>
          <w:p w14:paraId="3BE43699" w14:textId="77777777" w:rsidR="00506198" w:rsidRPr="004D113C" w:rsidRDefault="00506198" w:rsidP="0028779E">
            <w:pPr>
              <w:pStyle w:val="ListParagraph"/>
              <w:numPr>
                <w:ilvl w:val="0"/>
                <w:numId w:val="31"/>
              </w:numPr>
              <w:spacing w:line="480" w:lineRule="auto"/>
              <w:rPr>
                <w:rFonts w:ascii="Arial" w:hAnsi="Arial" w:cs="Arial"/>
                <w:b w:val="0"/>
                <w:sz w:val="20"/>
                <w:szCs w:val="20"/>
                <w:lang w:val="en-US"/>
              </w:rPr>
            </w:pPr>
            <w:r w:rsidRPr="004D113C">
              <w:rPr>
                <w:rFonts w:ascii="Arial" w:hAnsi="Arial" w:cs="Arial"/>
                <w:b w:val="0"/>
                <w:sz w:val="20"/>
                <w:szCs w:val="20"/>
                <w:lang w:val="en-US"/>
              </w:rPr>
              <w:lastRenderedPageBreak/>
              <w:t>Female</w:t>
            </w:r>
          </w:p>
        </w:tc>
        <w:tc>
          <w:tcPr>
            <w:tcW w:w="2273" w:type="dxa"/>
          </w:tcPr>
          <w:p w14:paraId="3D0F510B" w14:textId="77777777" w:rsidR="00506198" w:rsidRPr="004D113C"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26" w:type="dxa"/>
          </w:tcPr>
          <w:p w14:paraId="0FA4D516" w14:textId="77777777" w:rsidR="00506198" w:rsidRPr="004D113C"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113C">
              <w:rPr>
                <w:rFonts w:ascii="Arial" w:hAnsi="Arial" w:cs="Arial"/>
                <w:sz w:val="20"/>
                <w:szCs w:val="20"/>
              </w:rPr>
              <w:t>13 (35.1)</w:t>
            </w:r>
          </w:p>
        </w:tc>
      </w:tr>
      <w:tr w:rsidR="00506198" w:rsidRPr="004D113C" w14:paraId="1FCB85C8" w14:textId="77777777" w:rsidTr="002D4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5A55F8F" w14:textId="77777777" w:rsidR="00506198" w:rsidRPr="004D113C" w:rsidRDefault="00506198" w:rsidP="0028779E">
            <w:pPr>
              <w:spacing w:line="480" w:lineRule="auto"/>
              <w:rPr>
                <w:rFonts w:ascii="Arial" w:hAnsi="Arial" w:cs="Arial"/>
                <w:b w:val="0"/>
                <w:sz w:val="20"/>
                <w:szCs w:val="20"/>
              </w:rPr>
            </w:pPr>
            <w:r w:rsidRPr="004D113C">
              <w:rPr>
                <w:rFonts w:ascii="Arial" w:hAnsi="Arial" w:cs="Arial"/>
                <w:b w:val="0"/>
                <w:sz w:val="20"/>
                <w:szCs w:val="20"/>
              </w:rPr>
              <w:t>Ferritin Serum (ng/mL)</w:t>
            </w:r>
          </w:p>
        </w:tc>
        <w:tc>
          <w:tcPr>
            <w:tcW w:w="2273" w:type="dxa"/>
          </w:tcPr>
          <w:p w14:paraId="244FBB81" w14:textId="77777777" w:rsidR="00506198" w:rsidRPr="004D113C"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D113C">
              <w:rPr>
                <w:rFonts w:ascii="Arial" w:hAnsi="Arial" w:cs="Arial"/>
                <w:sz w:val="20"/>
                <w:szCs w:val="20"/>
              </w:rPr>
              <w:t xml:space="preserve">4990.07 </w:t>
            </w:r>
            <m:oMath>
              <m:r>
                <w:rPr>
                  <w:rFonts w:ascii="Cambria Math" w:hAnsi="Cambria Math" w:cs="Arial"/>
                  <w:sz w:val="20"/>
                  <w:szCs w:val="20"/>
                </w:rPr>
                <m:t>±</m:t>
              </m:r>
            </m:oMath>
            <w:r w:rsidRPr="004D113C">
              <w:rPr>
                <w:rFonts w:ascii="Arial" w:hAnsi="Arial" w:cs="Arial"/>
                <w:sz w:val="20"/>
                <w:szCs w:val="20"/>
              </w:rPr>
              <w:t xml:space="preserve"> 2856.37</w:t>
            </w:r>
          </w:p>
        </w:tc>
        <w:tc>
          <w:tcPr>
            <w:tcW w:w="2126" w:type="dxa"/>
          </w:tcPr>
          <w:p w14:paraId="21D91370" w14:textId="77777777" w:rsidR="00506198" w:rsidRPr="004D113C"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06198" w:rsidRPr="004D113C" w14:paraId="4ACAD676" w14:textId="77777777" w:rsidTr="002D42F9">
        <w:tc>
          <w:tcPr>
            <w:cnfStyle w:val="001000000000" w:firstRow="0" w:lastRow="0" w:firstColumn="1" w:lastColumn="0" w:oddVBand="0" w:evenVBand="0" w:oddHBand="0" w:evenHBand="0" w:firstRowFirstColumn="0" w:firstRowLastColumn="0" w:lastRowFirstColumn="0" w:lastRowLastColumn="0"/>
            <w:tcW w:w="3823" w:type="dxa"/>
          </w:tcPr>
          <w:p w14:paraId="5DD8182E" w14:textId="5E216A96" w:rsidR="00506198" w:rsidRPr="004D113C" w:rsidRDefault="00794793" w:rsidP="0028779E">
            <w:pPr>
              <w:spacing w:line="480" w:lineRule="auto"/>
              <w:rPr>
                <w:rFonts w:ascii="Arial" w:hAnsi="Arial" w:cs="Arial"/>
                <w:b w:val="0"/>
                <w:sz w:val="20"/>
                <w:szCs w:val="20"/>
              </w:rPr>
            </w:pPr>
            <w:r w:rsidRPr="004D113C">
              <w:rPr>
                <w:rFonts w:ascii="Arial" w:hAnsi="Arial" w:cs="Arial"/>
                <w:b w:val="0"/>
                <w:sz w:val="20"/>
                <w:szCs w:val="20"/>
              </w:rPr>
              <w:t>Haemoglobin</w:t>
            </w:r>
            <w:r w:rsidR="00506198" w:rsidRPr="004D113C">
              <w:rPr>
                <w:rFonts w:ascii="Arial" w:hAnsi="Arial" w:cs="Arial"/>
                <w:b w:val="0"/>
                <w:sz w:val="20"/>
                <w:szCs w:val="20"/>
              </w:rPr>
              <w:t xml:space="preserve"> (g/dL)</w:t>
            </w:r>
          </w:p>
        </w:tc>
        <w:tc>
          <w:tcPr>
            <w:tcW w:w="2273" w:type="dxa"/>
          </w:tcPr>
          <w:p w14:paraId="46248456" w14:textId="77777777" w:rsidR="00506198" w:rsidRPr="004D113C"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113C">
              <w:rPr>
                <w:rFonts w:ascii="Arial" w:hAnsi="Arial" w:cs="Arial"/>
                <w:sz w:val="20"/>
                <w:szCs w:val="20"/>
              </w:rPr>
              <w:t xml:space="preserve">8.42 </w:t>
            </w:r>
            <m:oMath>
              <m:r>
                <w:rPr>
                  <w:rFonts w:ascii="Cambria Math" w:hAnsi="Cambria Math" w:cs="Arial"/>
                  <w:sz w:val="20"/>
                  <w:szCs w:val="20"/>
                </w:rPr>
                <m:t>±</m:t>
              </m:r>
            </m:oMath>
            <w:r w:rsidRPr="004D113C">
              <w:rPr>
                <w:rFonts w:ascii="Arial" w:hAnsi="Arial" w:cs="Arial"/>
                <w:sz w:val="20"/>
                <w:szCs w:val="20"/>
              </w:rPr>
              <w:t xml:space="preserve"> 1.35</w:t>
            </w:r>
          </w:p>
        </w:tc>
        <w:tc>
          <w:tcPr>
            <w:tcW w:w="2126" w:type="dxa"/>
          </w:tcPr>
          <w:p w14:paraId="01F5B91A" w14:textId="77777777" w:rsidR="00506198" w:rsidRPr="004D113C"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06198" w:rsidRPr="004D113C" w14:paraId="4E5144DE" w14:textId="77777777" w:rsidTr="002D4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29259AA" w14:textId="77777777" w:rsidR="00506198" w:rsidRPr="004D113C" w:rsidRDefault="00506198" w:rsidP="0028779E">
            <w:pPr>
              <w:spacing w:line="480" w:lineRule="auto"/>
              <w:rPr>
                <w:rFonts w:ascii="Arial" w:hAnsi="Arial" w:cs="Arial"/>
                <w:b w:val="0"/>
                <w:color w:val="000000" w:themeColor="text1"/>
                <w:sz w:val="20"/>
                <w:szCs w:val="20"/>
              </w:rPr>
            </w:pPr>
            <w:r w:rsidRPr="004D113C">
              <w:rPr>
                <w:rFonts w:ascii="Arial" w:hAnsi="Arial" w:cs="Arial"/>
                <w:b w:val="0"/>
                <w:color w:val="000000" w:themeColor="text1"/>
                <w:sz w:val="20"/>
                <w:szCs w:val="20"/>
              </w:rPr>
              <w:t>Iron Chelation Duration</w:t>
            </w:r>
          </w:p>
        </w:tc>
        <w:tc>
          <w:tcPr>
            <w:tcW w:w="2273" w:type="dxa"/>
          </w:tcPr>
          <w:p w14:paraId="2386B5B6" w14:textId="77777777" w:rsidR="00506198" w:rsidRPr="004D113C"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2126" w:type="dxa"/>
          </w:tcPr>
          <w:p w14:paraId="01F5D0A0" w14:textId="77777777" w:rsidR="00506198" w:rsidRPr="004D113C"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506198" w:rsidRPr="004D113C" w14:paraId="721326A6" w14:textId="77777777" w:rsidTr="002D42F9">
        <w:tc>
          <w:tcPr>
            <w:cnfStyle w:val="001000000000" w:firstRow="0" w:lastRow="0" w:firstColumn="1" w:lastColumn="0" w:oddVBand="0" w:evenVBand="0" w:oddHBand="0" w:evenHBand="0" w:firstRowFirstColumn="0" w:firstRowLastColumn="0" w:lastRowFirstColumn="0" w:lastRowLastColumn="0"/>
            <w:tcW w:w="3823" w:type="dxa"/>
          </w:tcPr>
          <w:p w14:paraId="1ECBE214" w14:textId="77777777" w:rsidR="00506198" w:rsidRPr="004D113C" w:rsidRDefault="00506198" w:rsidP="0028779E">
            <w:pPr>
              <w:pStyle w:val="ListParagraph"/>
              <w:numPr>
                <w:ilvl w:val="0"/>
                <w:numId w:val="32"/>
              </w:numPr>
              <w:spacing w:line="480" w:lineRule="auto"/>
              <w:rPr>
                <w:rFonts w:ascii="Arial" w:hAnsi="Arial" w:cs="Arial"/>
                <w:b w:val="0"/>
                <w:color w:val="000000" w:themeColor="text1"/>
                <w:sz w:val="20"/>
                <w:szCs w:val="20"/>
                <w:lang w:val="en-US"/>
              </w:rPr>
            </w:pPr>
            <w:r w:rsidRPr="004D113C">
              <w:rPr>
                <w:rFonts w:ascii="Arial" w:hAnsi="Arial" w:cs="Arial"/>
                <w:b w:val="0"/>
                <w:color w:val="000000" w:themeColor="text1"/>
                <w:sz w:val="20"/>
                <w:szCs w:val="20"/>
                <w:lang w:val="en-US"/>
              </w:rPr>
              <w:t>1-10 years</w:t>
            </w:r>
          </w:p>
        </w:tc>
        <w:tc>
          <w:tcPr>
            <w:tcW w:w="2273" w:type="dxa"/>
          </w:tcPr>
          <w:p w14:paraId="0EACD330" w14:textId="77777777" w:rsidR="00506198" w:rsidRPr="004D113C"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2126" w:type="dxa"/>
          </w:tcPr>
          <w:p w14:paraId="172E9B93" w14:textId="77777777" w:rsidR="00506198" w:rsidRPr="004D113C"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D113C">
              <w:rPr>
                <w:rFonts w:ascii="Arial" w:hAnsi="Arial" w:cs="Arial"/>
                <w:color w:val="000000" w:themeColor="text1"/>
                <w:sz w:val="20"/>
                <w:szCs w:val="20"/>
              </w:rPr>
              <w:t>23 (62.2)</w:t>
            </w:r>
          </w:p>
        </w:tc>
      </w:tr>
      <w:tr w:rsidR="00506198" w:rsidRPr="004D113C" w14:paraId="7D48C7DD" w14:textId="77777777" w:rsidTr="002D4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3BE9CBF" w14:textId="77777777" w:rsidR="00506198" w:rsidRPr="004D113C" w:rsidRDefault="00506198" w:rsidP="0028779E">
            <w:pPr>
              <w:pStyle w:val="ListParagraph"/>
              <w:numPr>
                <w:ilvl w:val="0"/>
                <w:numId w:val="32"/>
              </w:numPr>
              <w:spacing w:line="480" w:lineRule="auto"/>
              <w:rPr>
                <w:rFonts w:ascii="Arial" w:hAnsi="Arial" w:cs="Arial"/>
                <w:b w:val="0"/>
                <w:color w:val="000000" w:themeColor="text1"/>
                <w:sz w:val="20"/>
                <w:szCs w:val="20"/>
                <w:lang w:val="en-US"/>
              </w:rPr>
            </w:pPr>
            <w:r w:rsidRPr="004D113C">
              <w:rPr>
                <w:rFonts w:ascii="Arial" w:hAnsi="Arial" w:cs="Arial"/>
                <w:b w:val="0"/>
                <w:color w:val="000000" w:themeColor="text1"/>
                <w:sz w:val="20"/>
                <w:szCs w:val="20"/>
                <w:lang w:val="en-US"/>
              </w:rPr>
              <w:t>&gt;10 years</w:t>
            </w:r>
          </w:p>
        </w:tc>
        <w:tc>
          <w:tcPr>
            <w:tcW w:w="2273" w:type="dxa"/>
          </w:tcPr>
          <w:p w14:paraId="229041B3" w14:textId="77777777" w:rsidR="00506198" w:rsidRPr="004D113C"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2126" w:type="dxa"/>
          </w:tcPr>
          <w:p w14:paraId="1335429A" w14:textId="77777777" w:rsidR="00506198" w:rsidRPr="004D113C"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D113C">
              <w:rPr>
                <w:rFonts w:ascii="Arial" w:hAnsi="Arial" w:cs="Arial"/>
                <w:color w:val="000000" w:themeColor="text1"/>
                <w:sz w:val="20"/>
                <w:szCs w:val="20"/>
              </w:rPr>
              <w:t>14 (37.8)</w:t>
            </w:r>
          </w:p>
        </w:tc>
      </w:tr>
      <w:tr w:rsidR="00506198" w:rsidRPr="004D113C" w14:paraId="6C17E579" w14:textId="77777777" w:rsidTr="002D42F9">
        <w:tc>
          <w:tcPr>
            <w:cnfStyle w:val="001000000000" w:firstRow="0" w:lastRow="0" w:firstColumn="1" w:lastColumn="0" w:oddVBand="0" w:evenVBand="0" w:oddHBand="0" w:evenHBand="0" w:firstRowFirstColumn="0" w:firstRowLastColumn="0" w:lastRowFirstColumn="0" w:lastRowLastColumn="0"/>
            <w:tcW w:w="3823" w:type="dxa"/>
          </w:tcPr>
          <w:p w14:paraId="6C2852C8" w14:textId="77777777" w:rsidR="00506198" w:rsidRPr="004D113C" w:rsidRDefault="00506198" w:rsidP="0028779E">
            <w:pPr>
              <w:spacing w:line="480" w:lineRule="auto"/>
              <w:rPr>
                <w:rFonts w:ascii="Arial" w:hAnsi="Arial" w:cs="Arial"/>
                <w:b w:val="0"/>
                <w:sz w:val="20"/>
                <w:szCs w:val="20"/>
              </w:rPr>
            </w:pPr>
            <w:r w:rsidRPr="004D113C">
              <w:rPr>
                <w:rFonts w:ascii="Arial" w:hAnsi="Arial" w:cs="Arial"/>
                <w:b w:val="0"/>
                <w:sz w:val="20"/>
                <w:szCs w:val="20"/>
              </w:rPr>
              <w:t>FT4 level (</w:t>
            </w:r>
            <w:proofErr w:type="spellStart"/>
            <w:r w:rsidRPr="004D113C">
              <w:rPr>
                <w:rFonts w:ascii="Arial" w:hAnsi="Arial" w:cs="Arial"/>
                <w:b w:val="0"/>
                <w:sz w:val="20"/>
                <w:szCs w:val="20"/>
              </w:rPr>
              <w:t>pmol</w:t>
            </w:r>
            <w:proofErr w:type="spellEnd"/>
            <w:r w:rsidRPr="004D113C">
              <w:rPr>
                <w:rFonts w:ascii="Arial" w:hAnsi="Arial" w:cs="Arial"/>
                <w:b w:val="0"/>
                <w:sz w:val="20"/>
                <w:szCs w:val="20"/>
              </w:rPr>
              <w:t>/L)</w:t>
            </w:r>
          </w:p>
        </w:tc>
        <w:tc>
          <w:tcPr>
            <w:tcW w:w="2273" w:type="dxa"/>
          </w:tcPr>
          <w:p w14:paraId="61FCB944" w14:textId="77777777" w:rsidR="00506198" w:rsidRPr="004D113C"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26" w:type="dxa"/>
          </w:tcPr>
          <w:p w14:paraId="375C5439" w14:textId="77777777" w:rsidR="00506198" w:rsidRPr="004D113C"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06198" w:rsidRPr="004D113C" w14:paraId="547048B4" w14:textId="77777777" w:rsidTr="002D4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BCB39D5" w14:textId="77777777" w:rsidR="00506198" w:rsidRPr="004D113C" w:rsidRDefault="00506198" w:rsidP="0028779E">
            <w:pPr>
              <w:pStyle w:val="ListParagraph"/>
              <w:numPr>
                <w:ilvl w:val="0"/>
                <w:numId w:val="34"/>
              </w:numPr>
              <w:spacing w:line="480" w:lineRule="auto"/>
              <w:rPr>
                <w:rFonts w:ascii="Arial" w:hAnsi="Arial" w:cs="Arial"/>
                <w:b w:val="0"/>
                <w:sz w:val="20"/>
                <w:szCs w:val="20"/>
                <w:lang w:val="en-US"/>
              </w:rPr>
            </w:pPr>
            <w:r w:rsidRPr="004D113C">
              <w:rPr>
                <w:rFonts w:ascii="Arial" w:hAnsi="Arial" w:cs="Arial"/>
                <w:b w:val="0"/>
                <w:sz w:val="20"/>
                <w:szCs w:val="20"/>
                <w:lang w:val="en-US"/>
              </w:rPr>
              <w:t xml:space="preserve">Low (&lt;10.6 </w:t>
            </w:r>
            <w:proofErr w:type="spellStart"/>
            <w:r w:rsidRPr="004D113C">
              <w:rPr>
                <w:rFonts w:ascii="Arial" w:hAnsi="Arial" w:cs="Arial"/>
                <w:b w:val="0"/>
                <w:sz w:val="20"/>
                <w:szCs w:val="20"/>
                <w:lang w:val="en-US"/>
              </w:rPr>
              <w:t>pmol</w:t>
            </w:r>
            <w:proofErr w:type="spellEnd"/>
            <w:r w:rsidRPr="004D113C">
              <w:rPr>
                <w:rFonts w:ascii="Arial" w:hAnsi="Arial" w:cs="Arial"/>
                <w:b w:val="0"/>
                <w:sz w:val="20"/>
                <w:szCs w:val="20"/>
                <w:lang w:val="en-US"/>
              </w:rPr>
              <w:t>/L)</w:t>
            </w:r>
          </w:p>
        </w:tc>
        <w:tc>
          <w:tcPr>
            <w:tcW w:w="2273" w:type="dxa"/>
          </w:tcPr>
          <w:p w14:paraId="6E76895A" w14:textId="77777777" w:rsidR="00506198" w:rsidRPr="004D113C"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26" w:type="dxa"/>
          </w:tcPr>
          <w:p w14:paraId="54802DF7" w14:textId="77777777" w:rsidR="00506198" w:rsidRPr="004D113C"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D113C">
              <w:rPr>
                <w:rFonts w:ascii="Arial" w:hAnsi="Arial" w:cs="Arial"/>
                <w:sz w:val="20"/>
                <w:szCs w:val="20"/>
              </w:rPr>
              <w:t>4 (10.8)</w:t>
            </w:r>
          </w:p>
        </w:tc>
      </w:tr>
      <w:tr w:rsidR="00506198" w:rsidRPr="004D113C" w14:paraId="45341110" w14:textId="77777777" w:rsidTr="002D42F9">
        <w:tc>
          <w:tcPr>
            <w:cnfStyle w:val="001000000000" w:firstRow="0" w:lastRow="0" w:firstColumn="1" w:lastColumn="0" w:oddVBand="0" w:evenVBand="0" w:oddHBand="0" w:evenHBand="0" w:firstRowFirstColumn="0" w:firstRowLastColumn="0" w:lastRowFirstColumn="0" w:lastRowLastColumn="0"/>
            <w:tcW w:w="3823" w:type="dxa"/>
          </w:tcPr>
          <w:p w14:paraId="72A1F169" w14:textId="77777777" w:rsidR="00506198" w:rsidRPr="004D113C" w:rsidRDefault="00506198" w:rsidP="0028779E">
            <w:pPr>
              <w:pStyle w:val="ListParagraph"/>
              <w:numPr>
                <w:ilvl w:val="0"/>
                <w:numId w:val="34"/>
              </w:numPr>
              <w:spacing w:line="480" w:lineRule="auto"/>
              <w:rPr>
                <w:rFonts w:ascii="Arial" w:hAnsi="Arial" w:cs="Arial"/>
                <w:b w:val="0"/>
                <w:sz w:val="20"/>
                <w:szCs w:val="20"/>
                <w:lang w:val="en-US"/>
              </w:rPr>
            </w:pPr>
            <w:r w:rsidRPr="004D113C">
              <w:rPr>
                <w:rFonts w:ascii="Arial" w:hAnsi="Arial" w:cs="Arial"/>
                <w:b w:val="0"/>
                <w:sz w:val="20"/>
                <w:szCs w:val="20"/>
                <w:lang w:val="en-US"/>
              </w:rPr>
              <w:t xml:space="preserve">Normal (10.6-19.4 </w:t>
            </w:r>
            <w:proofErr w:type="spellStart"/>
            <w:r w:rsidRPr="004D113C">
              <w:rPr>
                <w:rFonts w:ascii="Arial" w:hAnsi="Arial" w:cs="Arial"/>
                <w:b w:val="0"/>
                <w:sz w:val="20"/>
                <w:szCs w:val="20"/>
                <w:lang w:val="en-US"/>
              </w:rPr>
              <w:t>pmol</w:t>
            </w:r>
            <w:proofErr w:type="spellEnd"/>
            <w:r w:rsidRPr="004D113C">
              <w:rPr>
                <w:rFonts w:ascii="Arial" w:hAnsi="Arial" w:cs="Arial"/>
                <w:b w:val="0"/>
                <w:sz w:val="20"/>
                <w:szCs w:val="20"/>
                <w:lang w:val="en-US"/>
              </w:rPr>
              <w:t>/L)</w:t>
            </w:r>
          </w:p>
        </w:tc>
        <w:tc>
          <w:tcPr>
            <w:tcW w:w="2273" w:type="dxa"/>
          </w:tcPr>
          <w:p w14:paraId="49B7490C" w14:textId="77777777" w:rsidR="00506198" w:rsidRPr="004D113C"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26" w:type="dxa"/>
          </w:tcPr>
          <w:p w14:paraId="177A2D99" w14:textId="77777777" w:rsidR="00506198" w:rsidRPr="004D113C"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113C">
              <w:rPr>
                <w:rFonts w:ascii="Arial" w:hAnsi="Arial" w:cs="Arial"/>
                <w:sz w:val="20"/>
                <w:szCs w:val="20"/>
              </w:rPr>
              <w:t>32 (86.5)</w:t>
            </w:r>
          </w:p>
        </w:tc>
      </w:tr>
      <w:tr w:rsidR="00506198" w:rsidRPr="004D113C" w14:paraId="2DA1C43A" w14:textId="77777777" w:rsidTr="002D4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97F5B6A" w14:textId="77777777" w:rsidR="00506198" w:rsidRPr="004D113C" w:rsidRDefault="00506198" w:rsidP="0028779E">
            <w:pPr>
              <w:pStyle w:val="ListParagraph"/>
              <w:numPr>
                <w:ilvl w:val="0"/>
                <w:numId w:val="34"/>
              </w:numPr>
              <w:spacing w:line="480" w:lineRule="auto"/>
              <w:rPr>
                <w:rFonts w:ascii="Arial" w:hAnsi="Arial" w:cs="Arial"/>
                <w:b w:val="0"/>
                <w:sz w:val="20"/>
                <w:szCs w:val="20"/>
                <w:lang w:val="en-US"/>
              </w:rPr>
            </w:pPr>
            <w:r w:rsidRPr="004D113C">
              <w:rPr>
                <w:rFonts w:ascii="Arial" w:hAnsi="Arial" w:cs="Arial"/>
                <w:b w:val="0"/>
                <w:sz w:val="20"/>
                <w:szCs w:val="20"/>
                <w:lang w:val="en-US"/>
              </w:rPr>
              <w:t xml:space="preserve">High (&gt;19.4 </w:t>
            </w:r>
            <w:proofErr w:type="spellStart"/>
            <w:r w:rsidRPr="004D113C">
              <w:rPr>
                <w:rFonts w:ascii="Arial" w:hAnsi="Arial" w:cs="Arial"/>
                <w:b w:val="0"/>
                <w:sz w:val="20"/>
                <w:szCs w:val="20"/>
                <w:lang w:val="en-US"/>
              </w:rPr>
              <w:t>pmol</w:t>
            </w:r>
            <w:proofErr w:type="spellEnd"/>
            <w:r w:rsidRPr="004D113C">
              <w:rPr>
                <w:rFonts w:ascii="Arial" w:hAnsi="Arial" w:cs="Arial"/>
                <w:b w:val="0"/>
                <w:sz w:val="20"/>
                <w:szCs w:val="20"/>
                <w:lang w:val="en-US"/>
              </w:rPr>
              <w:t>/L)</w:t>
            </w:r>
          </w:p>
        </w:tc>
        <w:tc>
          <w:tcPr>
            <w:tcW w:w="2273" w:type="dxa"/>
          </w:tcPr>
          <w:p w14:paraId="25E2F216" w14:textId="77777777" w:rsidR="00506198" w:rsidRPr="004D113C"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26" w:type="dxa"/>
          </w:tcPr>
          <w:p w14:paraId="0E6E0425" w14:textId="77777777" w:rsidR="00506198" w:rsidRPr="004D113C"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D113C">
              <w:rPr>
                <w:rFonts w:ascii="Arial" w:hAnsi="Arial" w:cs="Arial"/>
                <w:sz w:val="20"/>
                <w:szCs w:val="20"/>
              </w:rPr>
              <w:t>1 (2.7)</w:t>
            </w:r>
          </w:p>
        </w:tc>
      </w:tr>
      <w:tr w:rsidR="00506198" w:rsidRPr="004D113C" w14:paraId="465643CB" w14:textId="77777777" w:rsidTr="002D42F9">
        <w:tc>
          <w:tcPr>
            <w:cnfStyle w:val="001000000000" w:firstRow="0" w:lastRow="0" w:firstColumn="1" w:lastColumn="0" w:oddVBand="0" w:evenVBand="0" w:oddHBand="0" w:evenHBand="0" w:firstRowFirstColumn="0" w:firstRowLastColumn="0" w:lastRowFirstColumn="0" w:lastRowLastColumn="0"/>
            <w:tcW w:w="3823" w:type="dxa"/>
          </w:tcPr>
          <w:p w14:paraId="31F1B52B" w14:textId="77777777" w:rsidR="00506198" w:rsidRPr="004D113C" w:rsidRDefault="00506198" w:rsidP="0028779E">
            <w:pPr>
              <w:spacing w:line="480" w:lineRule="auto"/>
              <w:rPr>
                <w:rFonts w:ascii="Arial" w:hAnsi="Arial" w:cs="Arial"/>
                <w:b w:val="0"/>
                <w:sz w:val="20"/>
                <w:szCs w:val="20"/>
              </w:rPr>
            </w:pPr>
            <w:r w:rsidRPr="004D113C">
              <w:rPr>
                <w:rFonts w:ascii="Arial" w:hAnsi="Arial" w:cs="Arial"/>
                <w:b w:val="0"/>
                <w:sz w:val="20"/>
                <w:szCs w:val="20"/>
              </w:rPr>
              <w:t>TSH level (</w:t>
            </w:r>
            <w:proofErr w:type="spellStart"/>
            <w:r w:rsidRPr="004D113C">
              <w:rPr>
                <w:rFonts w:ascii="Arial" w:hAnsi="Arial" w:cs="Arial"/>
                <w:b w:val="0"/>
                <w:sz w:val="20"/>
                <w:szCs w:val="20"/>
              </w:rPr>
              <w:t>uIU</w:t>
            </w:r>
            <w:proofErr w:type="spellEnd"/>
            <w:r w:rsidRPr="004D113C">
              <w:rPr>
                <w:rFonts w:ascii="Arial" w:hAnsi="Arial" w:cs="Arial"/>
                <w:b w:val="0"/>
                <w:sz w:val="20"/>
                <w:szCs w:val="20"/>
              </w:rPr>
              <w:t>/mL)</w:t>
            </w:r>
          </w:p>
        </w:tc>
        <w:tc>
          <w:tcPr>
            <w:tcW w:w="2273" w:type="dxa"/>
          </w:tcPr>
          <w:p w14:paraId="20C01322" w14:textId="77777777" w:rsidR="00506198" w:rsidRPr="004D113C"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126" w:type="dxa"/>
          </w:tcPr>
          <w:p w14:paraId="03AAB108" w14:textId="77777777" w:rsidR="00506198" w:rsidRPr="004D113C"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06198" w:rsidRPr="004D113C" w14:paraId="3438ED84" w14:textId="77777777" w:rsidTr="002D4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6738BF3" w14:textId="77777777" w:rsidR="00506198" w:rsidRPr="004D113C" w:rsidRDefault="00506198" w:rsidP="0028779E">
            <w:pPr>
              <w:pStyle w:val="ListParagraph"/>
              <w:numPr>
                <w:ilvl w:val="0"/>
                <w:numId w:val="33"/>
              </w:numPr>
              <w:spacing w:line="480" w:lineRule="auto"/>
              <w:rPr>
                <w:rFonts w:ascii="Arial" w:hAnsi="Arial" w:cs="Arial"/>
                <w:b w:val="0"/>
                <w:sz w:val="20"/>
                <w:szCs w:val="20"/>
                <w:lang w:val="en-US"/>
              </w:rPr>
            </w:pPr>
            <w:r w:rsidRPr="004D113C">
              <w:rPr>
                <w:rFonts w:ascii="Arial" w:hAnsi="Arial" w:cs="Arial"/>
                <w:b w:val="0"/>
                <w:sz w:val="20"/>
                <w:szCs w:val="20"/>
                <w:lang w:val="en-US"/>
              </w:rPr>
              <w:t xml:space="preserve">Low (&lt;0.25 </w:t>
            </w:r>
            <w:proofErr w:type="spellStart"/>
            <w:r w:rsidRPr="004D113C">
              <w:rPr>
                <w:rFonts w:ascii="Arial" w:hAnsi="Arial" w:cs="Arial"/>
                <w:b w:val="0"/>
                <w:sz w:val="20"/>
                <w:szCs w:val="20"/>
                <w:lang w:val="en-US"/>
              </w:rPr>
              <w:t>uIU</w:t>
            </w:r>
            <w:proofErr w:type="spellEnd"/>
            <w:r w:rsidRPr="004D113C">
              <w:rPr>
                <w:rFonts w:ascii="Arial" w:hAnsi="Arial" w:cs="Arial"/>
                <w:b w:val="0"/>
                <w:sz w:val="20"/>
                <w:szCs w:val="20"/>
                <w:lang w:val="en-US"/>
              </w:rPr>
              <w:t>/L)</w:t>
            </w:r>
          </w:p>
        </w:tc>
        <w:tc>
          <w:tcPr>
            <w:tcW w:w="2273" w:type="dxa"/>
          </w:tcPr>
          <w:p w14:paraId="49CCD4E0" w14:textId="77777777" w:rsidR="00506198" w:rsidRPr="004D113C"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2126" w:type="dxa"/>
          </w:tcPr>
          <w:p w14:paraId="520F68EB" w14:textId="77777777" w:rsidR="00506198" w:rsidRPr="004D113C"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D113C">
              <w:rPr>
                <w:rFonts w:ascii="Arial" w:hAnsi="Arial" w:cs="Arial"/>
                <w:sz w:val="20"/>
                <w:szCs w:val="20"/>
              </w:rPr>
              <w:t>0 (0)</w:t>
            </w:r>
          </w:p>
        </w:tc>
      </w:tr>
      <w:tr w:rsidR="00506198" w:rsidRPr="004D113C" w14:paraId="78265AC7" w14:textId="77777777" w:rsidTr="002D42F9">
        <w:tc>
          <w:tcPr>
            <w:cnfStyle w:val="001000000000" w:firstRow="0" w:lastRow="0" w:firstColumn="1" w:lastColumn="0" w:oddVBand="0" w:evenVBand="0" w:oddHBand="0" w:evenHBand="0" w:firstRowFirstColumn="0" w:firstRowLastColumn="0" w:lastRowFirstColumn="0" w:lastRowLastColumn="0"/>
            <w:tcW w:w="3823" w:type="dxa"/>
          </w:tcPr>
          <w:p w14:paraId="06FCBB3F" w14:textId="77777777" w:rsidR="00506198" w:rsidRPr="004D113C" w:rsidRDefault="00506198" w:rsidP="0028779E">
            <w:pPr>
              <w:pStyle w:val="ListParagraph"/>
              <w:numPr>
                <w:ilvl w:val="0"/>
                <w:numId w:val="33"/>
              </w:numPr>
              <w:spacing w:line="480" w:lineRule="auto"/>
              <w:rPr>
                <w:rFonts w:ascii="Arial" w:hAnsi="Arial" w:cs="Arial"/>
                <w:b w:val="0"/>
                <w:sz w:val="20"/>
                <w:szCs w:val="20"/>
                <w:lang w:val="en-US"/>
              </w:rPr>
            </w:pPr>
            <w:r w:rsidRPr="004D113C">
              <w:rPr>
                <w:rFonts w:ascii="Arial" w:hAnsi="Arial" w:cs="Arial"/>
                <w:b w:val="0"/>
                <w:sz w:val="20"/>
                <w:szCs w:val="20"/>
                <w:lang w:val="en-US"/>
              </w:rPr>
              <w:t xml:space="preserve">Normal (0.25-5 </w:t>
            </w:r>
            <w:proofErr w:type="spellStart"/>
            <w:r w:rsidRPr="004D113C">
              <w:rPr>
                <w:rFonts w:ascii="Arial" w:hAnsi="Arial" w:cs="Arial"/>
                <w:b w:val="0"/>
                <w:sz w:val="20"/>
                <w:szCs w:val="20"/>
                <w:lang w:val="en-US"/>
              </w:rPr>
              <w:t>uIU</w:t>
            </w:r>
            <w:proofErr w:type="spellEnd"/>
            <w:r w:rsidRPr="004D113C">
              <w:rPr>
                <w:rFonts w:ascii="Arial" w:hAnsi="Arial" w:cs="Arial"/>
                <w:b w:val="0"/>
                <w:sz w:val="20"/>
                <w:szCs w:val="20"/>
                <w:lang w:val="en-US"/>
              </w:rPr>
              <w:t>/L)</w:t>
            </w:r>
          </w:p>
        </w:tc>
        <w:tc>
          <w:tcPr>
            <w:tcW w:w="2273" w:type="dxa"/>
          </w:tcPr>
          <w:p w14:paraId="28A80EA5" w14:textId="77777777" w:rsidR="00506198" w:rsidRPr="004D113C"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126" w:type="dxa"/>
          </w:tcPr>
          <w:p w14:paraId="5246909B" w14:textId="77777777" w:rsidR="00506198" w:rsidRPr="004D113C"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113C">
              <w:rPr>
                <w:rFonts w:ascii="Arial" w:hAnsi="Arial" w:cs="Arial"/>
                <w:sz w:val="20"/>
                <w:szCs w:val="20"/>
              </w:rPr>
              <w:t>35 (94.6)</w:t>
            </w:r>
          </w:p>
        </w:tc>
      </w:tr>
      <w:tr w:rsidR="00506198" w:rsidRPr="004D113C" w14:paraId="03777C5D" w14:textId="77777777" w:rsidTr="002D4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27587A4" w14:textId="77777777" w:rsidR="00506198" w:rsidRPr="004D113C" w:rsidRDefault="00506198" w:rsidP="0028779E">
            <w:pPr>
              <w:pStyle w:val="ListParagraph"/>
              <w:numPr>
                <w:ilvl w:val="0"/>
                <w:numId w:val="33"/>
              </w:numPr>
              <w:spacing w:line="480" w:lineRule="auto"/>
              <w:rPr>
                <w:rFonts w:ascii="Arial" w:hAnsi="Arial" w:cs="Arial"/>
                <w:b w:val="0"/>
                <w:sz w:val="20"/>
                <w:szCs w:val="20"/>
                <w:lang w:val="en-US"/>
              </w:rPr>
            </w:pPr>
            <w:r w:rsidRPr="004D113C">
              <w:rPr>
                <w:rFonts w:ascii="Arial" w:hAnsi="Arial" w:cs="Arial"/>
                <w:b w:val="0"/>
                <w:sz w:val="20"/>
                <w:szCs w:val="20"/>
                <w:lang w:val="en-US"/>
              </w:rPr>
              <w:t xml:space="preserve">High (&gt;5 </w:t>
            </w:r>
            <w:proofErr w:type="spellStart"/>
            <w:r w:rsidRPr="004D113C">
              <w:rPr>
                <w:rFonts w:ascii="Arial" w:hAnsi="Arial" w:cs="Arial"/>
                <w:b w:val="0"/>
                <w:sz w:val="20"/>
                <w:szCs w:val="20"/>
                <w:lang w:val="en-US"/>
              </w:rPr>
              <w:t>uIU</w:t>
            </w:r>
            <w:proofErr w:type="spellEnd"/>
            <w:r w:rsidRPr="004D113C">
              <w:rPr>
                <w:rFonts w:ascii="Arial" w:hAnsi="Arial" w:cs="Arial"/>
                <w:b w:val="0"/>
                <w:sz w:val="20"/>
                <w:szCs w:val="20"/>
                <w:lang w:val="en-US"/>
              </w:rPr>
              <w:t>/L)</w:t>
            </w:r>
          </w:p>
        </w:tc>
        <w:tc>
          <w:tcPr>
            <w:tcW w:w="2273" w:type="dxa"/>
          </w:tcPr>
          <w:p w14:paraId="21E18874" w14:textId="77777777" w:rsidR="00506198" w:rsidRPr="004D113C"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2126" w:type="dxa"/>
          </w:tcPr>
          <w:p w14:paraId="643C96F1" w14:textId="77777777" w:rsidR="00506198" w:rsidRPr="004D113C"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D113C">
              <w:rPr>
                <w:rFonts w:ascii="Arial" w:hAnsi="Arial" w:cs="Arial"/>
                <w:sz w:val="20"/>
                <w:szCs w:val="20"/>
              </w:rPr>
              <w:t>2 (5.4)</w:t>
            </w:r>
          </w:p>
        </w:tc>
      </w:tr>
      <w:tr w:rsidR="00506198" w:rsidRPr="004D113C" w14:paraId="2C049EA8" w14:textId="77777777" w:rsidTr="002D42F9">
        <w:tc>
          <w:tcPr>
            <w:cnfStyle w:val="001000000000" w:firstRow="0" w:lastRow="0" w:firstColumn="1" w:lastColumn="0" w:oddVBand="0" w:evenVBand="0" w:oddHBand="0" w:evenHBand="0" w:firstRowFirstColumn="0" w:firstRowLastColumn="0" w:lastRowFirstColumn="0" w:lastRowLastColumn="0"/>
            <w:tcW w:w="3823" w:type="dxa"/>
          </w:tcPr>
          <w:p w14:paraId="19EAA2FA" w14:textId="77777777" w:rsidR="00506198" w:rsidRPr="004D113C" w:rsidRDefault="00506198" w:rsidP="0028779E">
            <w:pPr>
              <w:spacing w:line="480" w:lineRule="auto"/>
              <w:rPr>
                <w:rFonts w:ascii="Arial" w:hAnsi="Arial" w:cs="Arial"/>
                <w:b w:val="0"/>
                <w:sz w:val="20"/>
                <w:szCs w:val="20"/>
              </w:rPr>
            </w:pPr>
            <w:r w:rsidRPr="004D113C">
              <w:rPr>
                <w:rFonts w:ascii="Arial" w:hAnsi="Arial" w:cs="Arial"/>
                <w:b w:val="0"/>
                <w:sz w:val="20"/>
                <w:szCs w:val="20"/>
              </w:rPr>
              <w:t>Thyroid function</w:t>
            </w:r>
          </w:p>
        </w:tc>
        <w:tc>
          <w:tcPr>
            <w:tcW w:w="2273" w:type="dxa"/>
          </w:tcPr>
          <w:p w14:paraId="597B0438" w14:textId="77777777" w:rsidR="00506198" w:rsidRPr="004D113C"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126" w:type="dxa"/>
          </w:tcPr>
          <w:p w14:paraId="5F5DC969" w14:textId="77777777" w:rsidR="00506198" w:rsidRPr="004D113C"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06198" w:rsidRPr="004D113C" w14:paraId="2CBB7397" w14:textId="77777777" w:rsidTr="002D4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84760E2" w14:textId="77777777" w:rsidR="00506198" w:rsidRPr="004D113C" w:rsidRDefault="00506198" w:rsidP="0028779E">
            <w:pPr>
              <w:pStyle w:val="ListParagraph"/>
              <w:numPr>
                <w:ilvl w:val="0"/>
                <w:numId w:val="33"/>
              </w:numPr>
              <w:spacing w:line="480" w:lineRule="auto"/>
              <w:rPr>
                <w:rFonts w:ascii="Arial" w:hAnsi="Arial" w:cs="Arial"/>
                <w:b w:val="0"/>
                <w:sz w:val="20"/>
                <w:szCs w:val="20"/>
                <w:lang w:val="en-US"/>
              </w:rPr>
            </w:pPr>
            <w:r w:rsidRPr="004D113C">
              <w:rPr>
                <w:rFonts w:ascii="Arial" w:hAnsi="Arial" w:cs="Arial"/>
                <w:b w:val="0"/>
                <w:sz w:val="20"/>
                <w:szCs w:val="20"/>
                <w:lang w:val="en-US"/>
              </w:rPr>
              <w:t>Hypothyroidism</w:t>
            </w:r>
          </w:p>
        </w:tc>
        <w:tc>
          <w:tcPr>
            <w:tcW w:w="2273" w:type="dxa"/>
          </w:tcPr>
          <w:p w14:paraId="755C8D5F" w14:textId="77777777" w:rsidR="00506198" w:rsidRPr="004D113C"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2126" w:type="dxa"/>
          </w:tcPr>
          <w:p w14:paraId="7AA87C74" w14:textId="77777777" w:rsidR="00506198" w:rsidRPr="004D113C"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D113C">
              <w:rPr>
                <w:rFonts w:ascii="Arial" w:hAnsi="Arial" w:cs="Arial"/>
                <w:sz w:val="20"/>
                <w:szCs w:val="20"/>
              </w:rPr>
              <w:t>1 (2.7)</w:t>
            </w:r>
          </w:p>
        </w:tc>
      </w:tr>
      <w:tr w:rsidR="00506198" w:rsidRPr="004D113C" w14:paraId="19060094" w14:textId="77777777" w:rsidTr="002D42F9">
        <w:tc>
          <w:tcPr>
            <w:cnfStyle w:val="001000000000" w:firstRow="0" w:lastRow="0" w:firstColumn="1" w:lastColumn="0" w:oddVBand="0" w:evenVBand="0" w:oddHBand="0" w:evenHBand="0" w:firstRowFirstColumn="0" w:firstRowLastColumn="0" w:lastRowFirstColumn="0" w:lastRowLastColumn="0"/>
            <w:tcW w:w="3823" w:type="dxa"/>
          </w:tcPr>
          <w:p w14:paraId="2E4E2EAA" w14:textId="77777777" w:rsidR="00506198" w:rsidRPr="004D113C" w:rsidRDefault="00506198" w:rsidP="0028779E">
            <w:pPr>
              <w:pStyle w:val="ListParagraph"/>
              <w:numPr>
                <w:ilvl w:val="0"/>
                <w:numId w:val="33"/>
              </w:numPr>
              <w:spacing w:line="480" w:lineRule="auto"/>
              <w:rPr>
                <w:rFonts w:ascii="Arial" w:hAnsi="Arial" w:cs="Arial"/>
                <w:b w:val="0"/>
                <w:sz w:val="20"/>
                <w:szCs w:val="20"/>
                <w:lang w:val="en-US"/>
              </w:rPr>
            </w:pPr>
            <w:r w:rsidRPr="004D113C">
              <w:rPr>
                <w:rFonts w:ascii="Arial" w:hAnsi="Arial" w:cs="Arial"/>
                <w:b w:val="0"/>
                <w:sz w:val="20"/>
                <w:szCs w:val="20"/>
                <w:lang w:val="en-US"/>
              </w:rPr>
              <w:t>Euthyroid</w:t>
            </w:r>
          </w:p>
        </w:tc>
        <w:tc>
          <w:tcPr>
            <w:tcW w:w="2273" w:type="dxa"/>
          </w:tcPr>
          <w:p w14:paraId="0860FC30" w14:textId="77777777" w:rsidR="00506198" w:rsidRPr="004D113C"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2126" w:type="dxa"/>
          </w:tcPr>
          <w:p w14:paraId="0BB77B68" w14:textId="77777777" w:rsidR="00506198" w:rsidRPr="004D113C"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D113C">
              <w:rPr>
                <w:rFonts w:ascii="Arial" w:hAnsi="Arial" w:cs="Arial"/>
                <w:sz w:val="20"/>
                <w:szCs w:val="20"/>
              </w:rPr>
              <w:t>36 (97.3)</w:t>
            </w:r>
          </w:p>
        </w:tc>
      </w:tr>
    </w:tbl>
    <w:p w14:paraId="1650DF4C" w14:textId="77777777" w:rsidR="00506198" w:rsidRPr="004D113C" w:rsidRDefault="00506198" w:rsidP="0028779E">
      <w:pPr>
        <w:pStyle w:val="BodyText3"/>
        <w:tabs>
          <w:tab w:val="left" w:pos="1080"/>
        </w:tabs>
        <w:spacing w:after="0" w:line="480" w:lineRule="auto"/>
        <w:ind w:left="1080" w:hanging="1080"/>
        <w:jc w:val="both"/>
        <w:rPr>
          <w:rFonts w:ascii="Arial" w:hAnsi="Arial"/>
          <w:b/>
          <w:sz w:val="20"/>
          <w:szCs w:val="20"/>
        </w:rPr>
      </w:pPr>
    </w:p>
    <w:p w14:paraId="37931C8F" w14:textId="77777777" w:rsidR="005D26F8" w:rsidRPr="004D113C" w:rsidRDefault="005D26F8" w:rsidP="0028779E">
      <w:pPr>
        <w:pStyle w:val="Body"/>
        <w:spacing w:after="0" w:line="480" w:lineRule="auto"/>
        <w:rPr>
          <w:rFonts w:ascii="Arial" w:hAnsi="Arial" w:cs="Arial"/>
        </w:rPr>
      </w:pPr>
    </w:p>
    <w:p w14:paraId="5E8670D1" w14:textId="77777777" w:rsidR="00794793" w:rsidRPr="004D113C" w:rsidRDefault="00794793" w:rsidP="0028779E">
      <w:pPr>
        <w:pStyle w:val="Body"/>
        <w:spacing w:after="0" w:line="480" w:lineRule="auto"/>
        <w:rPr>
          <w:rFonts w:ascii="Arial" w:hAnsi="Arial" w:cs="Arial"/>
        </w:rPr>
      </w:pPr>
    </w:p>
    <w:p w14:paraId="13E67C92" w14:textId="77777777" w:rsidR="00794793" w:rsidRPr="004D113C" w:rsidRDefault="00794793" w:rsidP="0028779E">
      <w:pPr>
        <w:pStyle w:val="Body"/>
        <w:spacing w:after="0" w:line="480" w:lineRule="auto"/>
        <w:rPr>
          <w:rFonts w:ascii="Arial" w:hAnsi="Arial" w:cs="Arial"/>
        </w:rPr>
      </w:pPr>
    </w:p>
    <w:p w14:paraId="69FA2DC8" w14:textId="77777777" w:rsidR="00794793" w:rsidRPr="004D113C" w:rsidRDefault="00794793" w:rsidP="0028779E">
      <w:pPr>
        <w:pStyle w:val="Body"/>
        <w:spacing w:after="0" w:line="480" w:lineRule="auto"/>
        <w:rPr>
          <w:rFonts w:ascii="Arial" w:hAnsi="Arial" w:cs="Arial"/>
        </w:rPr>
      </w:pPr>
    </w:p>
    <w:p w14:paraId="53CAB2EA" w14:textId="77777777" w:rsidR="00794793" w:rsidRPr="004D113C" w:rsidRDefault="00794793" w:rsidP="0028779E">
      <w:pPr>
        <w:pStyle w:val="Body"/>
        <w:spacing w:after="0" w:line="480" w:lineRule="auto"/>
        <w:rPr>
          <w:rFonts w:ascii="Arial" w:hAnsi="Arial" w:cs="Arial"/>
        </w:rPr>
      </w:pPr>
    </w:p>
    <w:p w14:paraId="58D5187D" w14:textId="77777777" w:rsidR="00794793" w:rsidRPr="004D113C" w:rsidRDefault="00794793" w:rsidP="0028779E">
      <w:pPr>
        <w:pStyle w:val="Body"/>
        <w:spacing w:after="0" w:line="480" w:lineRule="auto"/>
        <w:rPr>
          <w:rFonts w:ascii="Arial" w:hAnsi="Arial" w:cs="Arial"/>
        </w:rPr>
      </w:pPr>
    </w:p>
    <w:p w14:paraId="23F1112B" w14:textId="77777777" w:rsidR="00794793" w:rsidRPr="004D113C" w:rsidRDefault="00794793" w:rsidP="0028779E">
      <w:pPr>
        <w:pStyle w:val="Body"/>
        <w:spacing w:after="0" w:line="480" w:lineRule="auto"/>
        <w:rPr>
          <w:rFonts w:ascii="Arial" w:hAnsi="Arial" w:cs="Arial"/>
        </w:rPr>
      </w:pPr>
    </w:p>
    <w:p w14:paraId="21BB6B66" w14:textId="77777777" w:rsidR="00506198" w:rsidRPr="004D113C" w:rsidRDefault="00506198" w:rsidP="0028779E">
      <w:pPr>
        <w:pStyle w:val="Body"/>
        <w:spacing w:after="0" w:line="480" w:lineRule="auto"/>
        <w:rPr>
          <w:rFonts w:ascii="Arial" w:hAnsi="Arial" w:cs="Arial"/>
          <w:b/>
          <w:sz w:val="22"/>
        </w:rPr>
      </w:pPr>
      <w:r w:rsidRPr="004D113C">
        <w:rPr>
          <w:rFonts w:ascii="Arial" w:hAnsi="Arial" w:cs="Arial"/>
          <w:b/>
          <w:caps/>
          <w:sz w:val="22"/>
        </w:rPr>
        <w:lastRenderedPageBreak/>
        <w:t xml:space="preserve">3.2 </w:t>
      </w:r>
      <w:r w:rsidRPr="004D113C">
        <w:rPr>
          <w:rFonts w:ascii="Arial" w:hAnsi="Arial" w:cs="Arial"/>
          <w:b/>
          <w:sz w:val="22"/>
        </w:rPr>
        <w:t>Relationship between Duration of Iron Chelation Deferiprone and Thyroid Function</w:t>
      </w:r>
    </w:p>
    <w:p w14:paraId="2E13EC8A" w14:textId="77777777" w:rsidR="00506198" w:rsidRPr="004D113C" w:rsidRDefault="00506198" w:rsidP="0028779E">
      <w:pPr>
        <w:tabs>
          <w:tab w:val="left" w:pos="1080"/>
        </w:tabs>
        <w:spacing w:line="480" w:lineRule="auto"/>
        <w:jc w:val="both"/>
        <w:rPr>
          <w:rFonts w:ascii="Arial" w:hAnsi="Arial" w:cs="Arial"/>
          <w:bCs/>
          <w:sz w:val="22"/>
        </w:rPr>
      </w:pPr>
    </w:p>
    <w:p w14:paraId="676737D5" w14:textId="1E393E8A" w:rsidR="00506198" w:rsidRPr="004D113C" w:rsidRDefault="00506198" w:rsidP="0028779E">
      <w:pPr>
        <w:tabs>
          <w:tab w:val="left" w:pos="1080"/>
        </w:tabs>
        <w:spacing w:line="480" w:lineRule="auto"/>
        <w:jc w:val="both"/>
        <w:rPr>
          <w:rFonts w:ascii="Arial" w:hAnsi="Arial"/>
          <w:b/>
        </w:rPr>
      </w:pPr>
      <w:r w:rsidRPr="004D113C">
        <w:rPr>
          <w:rFonts w:ascii="Arial" w:hAnsi="Arial"/>
          <w:b/>
        </w:rPr>
        <w:t>Table 2. Relationship between the duration of iron chelation deferiprone administration and thyroid function</w:t>
      </w:r>
    </w:p>
    <w:tbl>
      <w:tblPr>
        <w:tblStyle w:val="PlainTable2"/>
        <w:tblW w:w="0" w:type="auto"/>
        <w:tblLook w:val="04A0" w:firstRow="1" w:lastRow="0" w:firstColumn="1" w:lastColumn="0" w:noHBand="0" w:noVBand="1"/>
      </w:tblPr>
      <w:tblGrid>
        <w:gridCol w:w="2337"/>
        <w:gridCol w:w="2000"/>
        <w:gridCol w:w="2542"/>
        <w:gridCol w:w="1329"/>
      </w:tblGrid>
      <w:tr w:rsidR="00506198" w:rsidRPr="004D113C" w14:paraId="5F361B54" w14:textId="77777777" w:rsidTr="005061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1" w:type="dxa"/>
            <w:vMerge w:val="restart"/>
          </w:tcPr>
          <w:p w14:paraId="7DD5E348" w14:textId="77777777" w:rsidR="00506198" w:rsidRPr="004D113C" w:rsidRDefault="00506198" w:rsidP="0028779E">
            <w:pPr>
              <w:spacing w:line="480" w:lineRule="auto"/>
              <w:jc w:val="center"/>
              <w:rPr>
                <w:rFonts w:ascii="Arial" w:hAnsi="Arial" w:cs="Arial"/>
                <w:color w:val="000000" w:themeColor="text1"/>
                <w:sz w:val="20"/>
                <w:szCs w:val="20"/>
              </w:rPr>
            </w:pPr>
            <w:r w:rsidRPr="004D113C">
              <w:rPr>
                <w:rFonts w:ascii="Arial" w:hAnsi="Arial" w:cs="Arial"/>
                <w:b w:val="0"/>
                <w:color w:val="000000" w:themeColor="text1"/>
                <w:sz w:val="20"/>
                <w:szCs w:val="20"/>
              </w:rPr>
              <w:t>Deferiprone iron chelation duration</w:t>
            </w:r>
          </w:p>
        </w:tc>
        <w:tc>
          <w:tcPr>
            <w:tcW w:w="4652" w:type="dxa"/>
            <w:gridSpan w:val="2"/>
          </w:tcPr>
          <w:p w14:paraId="117D397F" w14:textId="77777777" w:rsidR="00506198" w:rsidRPr="004D113C" w:rsidRDefault="00506198" w:rsidP="0028779E">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4D113C">
              <w:rPr>
                <w:rFonts w:ascii="Arial" w:hAnsi="Arial" w:cs="Arial"/>
                <w:color w:val="000000" w:themeColor="text1"/>
                <w:sz w:val="20"/>
                <w:szCs w:val="20"/>
              </w:rPr>
              <w:t>Thyroid function</w:t>
            </w:r>
          </w:p>
        </w:tc>
        <w:tc>
          <w:tcPr>
            <w:tcW w:w="1371" w:type="dxa"/>
            <w:vMerge w:val="restart"/>
          </w:tcPr>
          <w:p w14:paraId="0C1365D4" w14:textId="3E3B67D4" w:rsidR="00506198" w:rsidRPr="004D113C" w:rsidRDefault="00255FC7" w:rsidP="0028779E">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000000" w:themeColor="text1"/>
                <w:sz w:val="20"/>
                <w:szCs w:val="20"/>
              </w:rPr>
            </w:pPr>
            <w:r w:rsidRPr="004D113C">
              <w:rPr>
                <w:rFonts w:ascii="Arial" w:hAnsi="Arial" w:cs="Arial"/>
                <w:b w:val="0"/>
                <w:i/>
                <w:color w:val="000000" w:themeColor="text1"/>
                <w:sz w:val="20"/>
                <w:szCs w:val="20"/>
              </w:rPr>
              <w:t>P</w:t>
            </w:r>
          </w:p>
        </w:tc>
      </w:tr>
      <w:tr w:rsidR="00506198" w:rsidRPr="004D113C" w14:paraId="071D8157" w14:textId="77777777" w:rsidTr="00506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1" w:type="dxa"/>
            <w:vMerge/>
          </w:tcPr>
          <w:p w14:paraId="39C350E3" w14:textId="77777777" w:rsidR="00506198" w:rsidRPr="004D113C" w:rsidRDefault="00506198" w:rsidP="0028779E">
            <w:pPr>
              <w:spacing w:line="480" w:lineRule="auto"/>
              <w:jc w:val="center"/>
              <w:rPr>
                <w:rFonts w:ascii="Arial" w:hAnsi="Arial" w:cs="Arial"/>
                <w:b w:val="0"/>
                <w:color w:val="000000" w:themeColor="text1"/>
                <w:sz w:val="20"/>
                <w:szCs w:val="20"/>
              </w:rPr>
            </w:pPr>
          </w:p>
        </w:tc>
        <w:tc>
          <w:tcPr>
            <w:tcW w:w="2055" w:type="dxa"/>
          </w:tcPr>
          <w:p w14:paraId="1502F979" w14:textId="77777777" w:rsidR="00506198" w:rsidRPr="004D113C"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4D113C">
              <w:rPr>
                <w:rFonts w:ascii="Arial" w:hAnsi="Arial" w:cs="Arial"/>
                <w:color w:val="000000" w:themeColor="text1"/>
                <w:sz w:val="20"/>
                <w:szCs w:val="20"/>
              </w:rPr>
              <w:t>Euthyroid</w:t>
            </w:r>
          </w:p>
        </w:tc>
        <w:tc>
          <w:tcPr>
            <w:tcW w:w="2597" w:type="dxa"/>
          </w:tcPr>
          <w:p w14:paraId="2E2944BD" w14:textId="77777777" w:rsidR="00506198" w:rsidRPr="004D113C"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4D113C">
              <w:rPr>
                <w:rFonts w:ascii="Arial" w:hAnsi="Arial" w:cs="Arial"/>
                <w:color w:val="000000" w:themeColor="text1"/>
                <w:sz w:val="20"/>
                <w:szCs w:val="20"/>
              </w:rPr>
              <w:t>Hypothyroidism</w:t>
            </w:r>
          </w:p>
        </w:tc>
        <w:tc>
          <w:tcPr>
            <w:tcW w:w="1371" w:type="dxa"/>
            <w:vMerge/>
          </w:tcPr>
          <w:p w14:paraId="003EDFD4" w14:textId="77777777" w:rsidR="00506198" w:rsidRPr="004D113C"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000000" w:themeColor="text1"/>
                <w:sz w:val="20"/>
                <w:szCs w:val="20"/>
              </w:rPr>
            </w:pPr>
          </w:p>
        </w:tc>
      </w:tr>
      <w:tr w:rsidR="00506198" w:rsidRPr="004D113C" w14:paraId="4DC10D6F" w14:textId="77777777" w:rsidTr="00506198">
        <w:tc>
          <w:tcPr>
            <w:cnfStyle w:val="001000000000" w:firstRow="0" w:lastRow="0" w:firstColumn="1" w:lastColumn="0" w:oddVBand="0" w:evenVBand="0" w:oddHBand="0" w:evenHBand="0" w:firstRowFirstColumn="0" w:firstRowLastColumn="0" w:lastRowFirstColumn="0" w:lastRowLastColumn="0"/>
            <w:tcW w:w="2401" w:type="dxa"/>
          </w:tcPr>
          <w:p w14:paraId="11F7985D" w14:textId="77777777" w:rsidR="00506198" w:rsidRPr="004D113C" w:rsidRDefault="00506198" w:rsidP="0028779E">
            <w:pPr>
              <w:spacing w:line="480" w:lineRule="auto"/>
              <w:rPr>
                <w:rFonts w:ascii="Arial" w:hAnsi="Arial" w:cs="Arial"/>
                <w:b w:val="0"/>
                <w:color w:val="000000" w:themeColor="text1"/>
                <w:sz w:val="20"/>
                <w:szCs w:val="20"/>
              </w:rPr>
            </w:pPr>
            <w:r w:rsidRPr="004D113C">
              <w:rPr>
                <w:rFonts w:ascii="Arial" w:hAnsi="Arial" w:cs="Arial"/>
                <w:b w:val="0"/>
                <w:color w:val="000000" w:themeColor="text1"/>
                <w:sz w:val="20"/>
                <w:szCs w:val="20"/>
              </w:rPr>
              <w:t>1-10 years</w:t>
            </w:r>
          </w:p>
        </w:tc>
        <w:tc>
          <w:tcPr>
            <w:tcW w:w="2055" w:type="dxa"/>
            <w:vAlign w:val="center"/>
          </w:tcPr>
          <w:p w14:paraId="629CDAA6" w14:textId="77777777" w:rsidR="00506198" w:rsidRPr="004D113C"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D113C">
              <w:rPr>
                <w:rFonts w:ascii="Arial" w:hAnsi="Arial" w:cs="Arial"/>
                <w:color w:val="000000" w:themeColor="text1"/>
                <w:sz w:val="20"/>
                <w:szCs w:val="20"/>
              </w:rPr>
              <w:t>23</w:t>
            </w:r>
          </w:p>
        </w:tc>
        <w:tc>
          <w:tcPr>
            <w:tcW w:w="2597" w:type="dxa"/>
            <w:vAlign w:val="center"/>
          </w:tcPr>
          <w:p w14:paraId="367D1013" w14:textId="77777777" w:rsidR="00506198" w:rsidRPr="004D113C"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D113C">
              <w:rPr>
                <w:rFonts w:ascii="Arial" w:hAnsi="Arial" w:cs="Arial"/>
                <w:color w:val="000000" w:themeColor="text1"/>
                <w:sz w:val="20"/>
                <w:szCs w:val="20"/>
              </w:rPr>
              <w:t>0</w:t>
            </w:r>
          </w:p>
        </w:tc>
        <w:tc>
          <w:tcPr>
            <w:tcW w:w="1371" w:type="dxa"/>
            <w:vMerge w:val="restart"/>
            <w:vAlign w:val="center"/>
          </w:tcPr>
          <w:p w14:paraId="76DE6B23" w14:textId="3CE8A6F5" w:rsidR="00506198" w:rsidRPr="004D113C"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D113C">
              <w:rPr>
                <w:rFonts w:ascii="Arial" w:hAnsi="Arial" w:cs="Arial"/>
                <w:color w:val="000000" w:themeColor="text1"/>
                <w:sz w:val="20"/>
                <w:szCs w:val="20"/>
              </w:rPr>
              <w:t>0.3</w:t>
            </w:r>
            <w:r w:rsidR="0028779E" w:rsidRPr="004D113C">
              <w:rPr>
                <w:rFonts w:ascii="Arial" w:hAnsi="Arial" w:cs="Arial"/>
                <w:color w:val="000000" w:themeColor="text1"/>
                <w:sz w:val="20"/>
                <w:szCs w:val="20"/>
              </w:rPr>
              <w:t>8</w:t>
            </w:r>
          </w:p>
        </w:tc>
      </w:tr>
      <w:tr w:rsidR="00506198" w:rsidRPr="004D113C" w14:paraId="7E090BE2" w14:textId="77777777" w:rsidTr="00506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1" w:type="dxa"/>
          </w:tcPr>
          <w:p w14:paraId="022D2E93" w14:textId="77777777" w:rsidR="00506198" w:rsidRPr="004D113C" w:rsidRDefault="00506198" w:rsidP="0028779E">
            <w:pPr>
              <w:spacing w:line="480" w:lineRule="auto"/>
              <w:rPr>
                <w:rFonts w:ascii="Arial" w:hAnsi="Arial" w:cs="Arial"/>
                <w:b w:val="0"/>
                <w:color w:val="000000" w:themeColor="text1"/>
                <w:sz w:val="20"/>
                <w:szCs w:val="20"/>
              </w:rPr>
            </w:pPr>
            <w:r w:rsidRPr="004D113C">
              <w:rPr>
                <w:rFonts w:ascii="Arial" w:hAnsi="Arial" w:cs="Arial"/>
                <w:b w:val="0"/>
                <w:color w:val="000000" w:themeColor="text1"/>
                <w:sz w:val="20"/>
                <w:szCs w:val="20"/>
              </w:rPr>
              <w:t>&gt;10 years</w:t>
            </w:r>
          </w:p>
        </w:tc>
        <w:tc>
          <w:tcPr>
            <w:tcW w:w="2055" w:type="dxa"/>
            <w:vAlign w:val="center"/>
          </w:tcPr>
          <w:p w14:paraId="1A606950" w14:textId="77777777" w:rsidR="00506198" w:rsidRPr="004D113C" w:rsidRDefault="00506198" w:rsidP="0028779E">
            <w:pPr>
              <w:spacing w:line="480" w:lineRule="auto"/>
              <w:ind w:right="-22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D113C">
              <w:rPr>
                <w:rFonts w:ascii="Arial" w:hAnsi="Arial" w:cs="Arial"/>
                <w:color w:val="000000" w:themeColor="text1"/>
                <w:sz w:val="20"/>
                <w:szCs w:val="20"/>
              </w:rPr>
              <w:t xml:space="preserve">            13</w:t>
            </w:r>
          </w:p>
        </w:tc>
        <w:tc>
          <w:tcPr>
            <w:tcW w:w="2597" w:type="dxa"/>
            <w:vAlign w:val="center"/>
          </w:tcPr>
          <w:p w14:paraId="7FB4E679" w14:textId="77777777" w:rsidR="00506198" w:rsidRPr="004D113C"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D113C">
              <w:rPr>
                <w:rFonts w:ascii="Arial" w:hAnsi="Arial" w:cs="Arial"/>
                <w:color w:val="000000" w:themeColor="text1"/>
                <w:sz w:val="20"/>
                <w:szCs w:val="20"/>
              </w:rPr>
              <w:t>1</w:t>
            </w:r>
          </w:p>
        </w:tc>
        <w:tc>
          <w:tcPr>
            <w:tcW w:w="1371" w:type="dxa"/>
            <w:vMerge/>
            <w:vAlign w:val="center"/>
          </w:tcPr>
          <w:p w14:paraId="59FA9A94" w14:textId="77777777" w:rsidR="00506198" w:rsidRPr="004D113C"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bl>
    <w:p w14:paraId="3BFBCE52" w14:textId="73F904F8" w:rsidR="00CF366F" w:rsidRPr="004D113C" w:rsidRDefault="00506198" w:rsidP="0028779E">
      <w:pPr>
        <w:spacing w:line="480" w:lineRule="auto"/>
        <w:rPr>
          <w:i/>
          <w:color w:val="000000" w:themeColor="text1"/>
        </w:rPr>
      </w:pPr>
      <w:r w:rsidRPr="004D113C">
        <w:rPr>
          <w:i/>
          <w:color w:val="000000" w:themeColor="text1"/>
        </w:rPr>
        <w:t>*Fischer exact test</w:t>
      </w:r>
    </w:p>
    <w:p w14:paraId="54F99DFF" w14:textId="77777777" w:rsidR="00CF366F" w:rsidRPr="004D113C" w:rsidRDefault="00CF366F" w:rsidP="0028779E">
      <w:pPr>
        <w:spacing w:line="480" w:lineRule="auto"/>
        <w:rPr>
          <w:i/>
          <w:color w:val="000000" w:themeColor="text1"/>
        </w:rPr>
      </w:pPr>
    </w:p>
    <w:p w14:paraId="4F330918" w14:textId="79154E80" w:rsidR="00B57B50" w:rsidRPr="004D113C" w:rsidRDefault="00506198" w:rsidP="0028779E">
      <w:pPr>
        <w:pStyle w:val="Body"/>
        <w:spacing w:line="480" w:lineRule="auto"/>
        <w:rPr>
          <w:rFonts w:ascii="Arial" w:hAnsi="Arial" w:cs="Arial"/>
          <w:bCs/>
        </w:rPr>
      </w:pPr>
      <w:r w:rsidRPr="004D113C">
        <w:rPr>
          <w:rFonts w:ascii="Arial" w:hAnsi="Arial" w:cs="Arial"/>
          <w:bCs/>
        </w:rPr>
        <w:t xml:space="preserve">Tables 2 and 3 are 2x2 tables of Fischer exact test results that combine the cell values of subclinical hypothyroidism and primary hypothyroidism into “hypothyroidism”. Based on table 2, in the study sample given deferiprone iron chelation for 1-10 years, it is known that none of them had impaired thyroid function (euthyroid). In the study samples given deferiprone iron chelation for &gt;10 years, 13 samples were in normal condition (euthyroid) and only 1 sample experienced hypothyroidism. Therefore, it can be concluded that there is no relationship between deferiprone chelation and thyroid function in the 1-10 years and &gt;10 years groups. This was further proven by the results of the Fischer exact test, which showed a </w:t>
      </w:r>
      <w:r w:rsidR="0028779E" w:rsidRPr="004D113C">
        <w:rPr>
          <w:rFonts w:ascii="Arial" w:hAnsi="Arial" w:cs="Arial"/>
          <w:bCs/>
          <w:i/>
          <w:iCs/>
        </w:rPr>
        <w:t>P</w:t>
      </w:r>
      <w:r w:rsidRPr="004D113C">
        <w:rPr>
          <w:rFonts w:ascii="Arial" w:hAnsi="Arial" w:cs="Arial"/>
          <w:bCs/>
        </w:rPr>
        <w:t xml:space="preserve"> value of 0.3</w:t>
      </w:r>
      <w:r w:rsidR="0028779E" w:rsidRPr="004D113C">
        <w:rPr>
          <w:rFonts w:ascii="Arial" w:hAnsi="Arial" w:cs="Arial"/>
          <w:bCs/>
        </w:rPr>
        <w:t>8</w:t>
      </w:r>
      <w:r w:rsidR="00255FC7" w:rsidRPr="004D113C">
        <w:rPr>
          <w:rFonts w:ascii="Arial" w:hAnsi="Arial" w:cs="Arial"/>
          <w:bCs/>
        </w:rPr>
        <w:t>.</w:t>
      </w:r>
    </w:p>
    <w:p w14:paraId="58CF8D0E" w14:textId="7FACD9C0" w:rsidR="005D26F8" w:rsidRPr="004D113C" w:rsidRDefault="00DA77C9" w:rsidP="0028779E">
      <w:pPr>
        <w:pStyle w:val="Body"/>
        <w:spacing w:line="480" w:lineRule="auto"/>
        <w:rPr>
          <w:rFonts w:ascii="Arial" w:hAnsi="Arial" w:cs="Arial"/>
          <w:bCs/>
        </w:rPr>
      </w:pPr>
      <w:r w:rsidRPr="004D113C">
        <w:rPr>
          <w:rFonts w:ascii="Arial" w:hAnsi="Arial" w:cs="Arial"/>
          <w:bCs/>
        </w:rPr>
        <w:t xml:space="preserve">In this study, there was no statistically significant relationship between the duration of deferiprone iron chelation and thyroid function, as shown by the </w:t>
      </w:r>
      <w:r w:rsidR="0028779E" w:rsidRPr="004D113C">
        <w:rPr>
          <w:rFonts w:ascii="Arial" w:hAnsi="Arial" w:cs="Arial"/>
          <w:bCs/>
          <w:i/>
          <w:iCs/>
        </w:rPr>
        <w:t>P</w:t>
      </w:r>
      <w:r w:rsidRPr="004D113C">
        <w:rPr>
          <w:rFonts w:ascii="Arial" w:hAnsi="Arial" w:cs="Arial"/>
          <w:bCs/>
        </w:rPr>
        <w:t xml:space="preserve"> value of 0.42 in thalassemia patients who were given deferiprone iron chelation therapy. Research conducted by Basher et al also showed no significant relationship between the duration of iron chelation therapy and the type of iron chelation therapy given to thyroid function. In the study, 43 samples received deferiprone iron chelation therapy (70.5%), 8 samples received deferasirox iron </w:t>
      </w:r>
      <w:r w:rsidRPr="004D113C">
        <w:rPr>
          <w:rFonts w:ascii="Arial" w:hAnsi="Arial" w:cs="Arial"/>
          <w:bCs/>
        </w:rPr>
        <w:lastRenderedPageBreak/>
        <w:t xml:space="preserve">chelation therapy (13.1%), 2 samples received a combination of deferiprone and deferoxamine iron chelation therapy (3.3%), and 8 samples received a combination of deferiprone and deferasirox iron chelation therapy (13.1%). The mean duration of iron chelation therapy was 17.93 ± 15.52 months, and the </w:t>
      </w:r>
      <w:r w:rsidR="0028779E" w:rsidRPr="004D113C">
        <w:rPr>
          <w:rFonts w:ascii="Arial" w:hAnsi="Arial" w:cs="Arial"/>
          <w:bCs/>
          <w:i/>
          <w:iCs/>
        </w:rPr>
        <w:t>P</w:t>
      </w:r>
      <w:r w:rsidRPr="004D113C">
        <w:rPr>
          <w:rFonts w:ascii="Arial" w:hAnsi="Arial" w:cs="Arial"/>
          <w:bCs/>
        </w:rPr>
        <w:t xml:space="preserve"> value was 0.1</w:t>
      </w:r>
      <w:r w:rsidR="0028779E" w:rsidRPr="004D113C">
        <w:rPr>
          <w:rFonts w:ascii="Arial" w:hAnsi="Arial" w:cs="Arial"/>
          <w:bCs/>
        </w:rPr>
        <w:t>8</w:t>
      </w:r>
      <w:r w:rsidRPr="004D113C">
        <w:rPr>
          <w:rFonts w:ascii="Arial" w:hAnsi="Arial" w:cs="Arial"/>
          <w:bCs/>
        </w:rPr>
        <w:t>, which is not statistically significant. The most likely explanation for this is thought to be because hypothyroidism may occur due to several other factors such as anemia and chronic hypoxia in patients with thalassemia.</w:t>
      </w:r>
      <w:sdt>
        <w:sdtPr>
          <w:rPr>
            <w:rFonts w:ascii="Arial" w:hAnsi="Arial" w:cs="Arial"/>
            <w:bCs/>
            <w:color w:val="000000"/>
            <w:vertAlign w:val="superscript"/>
          </w:rPr>
          <w:tag w:val="MENDELEY_CITATION_v3_eyJjaXRhdGlvbklEIjoiTUVOREVMRVlfQ0lUQVRJT05fNTIzZjllNmMtYjcxMS00MjZmLTg5NjUtNGMyMTZjMWZkYTc3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
          <w:id w:val="-707724509"/>
          <w:placeholder>
            <w:docPart w:val="DefaultPlaceholder_-1854013440"/>
          </w:placeholder>
        </w:sdtPr>
        <w:sdtEndPr/>
        <w:sdtContent>
          <w:r w:rsidR="00C2054D" w:rsidRPr="004D113C">
            <w:rPr>
              <w:rFonts w:ascii="Arial" w:hAnsi="Arial" w:cs="Arial"/>
              <w:bCs/>
              <w:color w:val="000000"/>
              <w:vertAlign w:val="superscript"/>
            </w:rPr>
            <w:t>3</w:t>
          </w:r>
        </w:sdtContent>
      </w:sdt>
      <w:r w:rsidRPr="004D113C">
        <w:rPr>
          <w:rFonts w:ascii="Arial" w:hAnsi="Arial" w:cs="Arial"/>
          <w:bCs/>
        </w:rPr>
        <w:t xml:space="preserve"> </w:t>
      </w:r>
      <w:proofErr w:type="spellStart"/>
      <w:r w:rsidRPr="004D113C">
        <w:rPr>
          <w:rFonts w:ascii="Arial" w:hAnsi="Arial" w:cs="Arial"/>
          <w:bCs/>
        </w:rPr>
        <w:t>Bilgin</w:t>
      </w:r>
      <w:proofErr w:type="spellEnd"/>
      <w:r w:rsidRPr="004D113C">
        <w:rPr>
          <w:rFonts w:ascii="Arial" w:hAnsi="Arial" w:cs="Arial"/>
          <w:bCs/>
        </w:rPr>
        <w:t xml:space="preserve"> </w:t>
      </w:r>
      <w:r w:rsidR="00794793" w:rsidRPr="004D113C">
        <w:rPr>
          <w:rFonts w:ascii="Arial" w:hAnsi="Arial" w:cs="Arial"/>
          <w:bCs/>
        </w:rPr>
        <w:t xml:space="preserve">et al </w:t>
      </w:r>
      <w:r w:rsidRPr="004D113C">
        <w:rPr>
          <w:rFonts w:ascii="Arial" w:hAnsi="Arial" w:cs="Arial"/>
          <w:bCs/>
        </w:rPr>
        <w:t>mentioned in his study that the administration of iron chelation therapy with deferoxamine showed little impact on the course of progressive endocrine dysfunction and only aggressive iron chelation therapy with a combination of two drugs, deferoxamine and deferiprone, achieved better results regarding endocrine complications.</w:t>
      </w:r>
      <w:sdt>
        <w:sdtPr>
          <w:rPr>
            <w:rFonts w:ascii="Arial" w:hAnsi="Arial" w:cs="Arial"/>
            <w:bCs/>
            <w:color w:val="000000"/>
            <w:vertAlign w:val="superscript"/>
          </w:rPr>
          <w:tag w:val="MENDELEY_CITATION_v3_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"/>
          <w:id w:val="429549901"/>
          <w:placeholder>
            <w:docPart w:val="DefaultPlaceholder_-1854013440"/>
          </w:placeholder>
        </w:sdtPr>
        <w:sdtEndPr/>
        <w:sdtContent>
          <w:sdt>
            <w:sdtPr>
              <w:rPr>
                <w:rFonts w:ascii="Arial" w:hAnsi="Arial" w:cs="Arial"/>
                <w:color w:val="000000"/>
                <w:vertAlign w:val="superscript"/>
              </w:rPr>
              <w:tag w:val="MENDELEY_CITATION_v3_eyJjaXRhdGlvbklEIjoiTUVOREVMRVlfQ0lUQVRJT05fYjNkNzlmNGMtZDMwZS00NTAxLTllZmUtZjkzNTM3YTQwODFk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
              <w:id w:val="1038782364"/>
              <w:placeholder>
                <w:docPart w:val="79719B26759200429DB14116C713BBA2"/>
              </w:placeholder>
            </w:sdtPr>
            <w:sdtEndPr/>
            <w:sdtContent>
              <w:r w:rsidR="0028779E" w:rsidRPr="004D113C">
                <w:rPr>
                  <w:rFonts w:ascii="Arial" w:hAnsi="Arial" w:cs="Arial"/>
                  <w:color w:val="000000"/>
                </w:rPr>
                <w:t>[5]</w:t>
              </w:r>
            </w:sdtContent>
          </w:sdt>
        </w:sdtContent>
      </w:sdt>
    </w:p>
    <w:p w14:paraId="2D634327" w14:textId="77777777" w:rsidR="005D26F8" w:rsidRPr="004D113C" w:rsidRDefault="005D26F8" w:rsidP="0028779E">
      <w:pPr>
        <w:pStyle w:val="Body"/>
        <w:spacing w:after="0" w:line="480" w:lineRule="auto"/>
        <w:rPr>
          <w:rFonts w:ascii="Arial" w:hAnsi="Arial" w:cs="Arial"/>
          <w:b/>
          <w:sz w:val="22"/>
        </w:rPr>
      </w:pPr>
    </w:p>
    <w:p w14:paraId="54140CAD" w14:textId="77777777" w:rsidR="00506198" w:rsidRPr="004D113C" w:rsidRDefault="00506198" w:rsidP="0028779E">
      <w:pPr>
        <w:pStyle w:val="Body"/>
        <w:spacing w:after="0" w:line="480" w:lineRule="auto"/>
        <w:rPr>
          <w:rFonts w:ascii="Arial" w:hAnsi="Arial" w:cs="Arial"/>
          <w:b/>
          <w:sz w:val="22"/>
        </w:rPr>
      </w:pPr>
      <w:r w:rsidRPr="004D113C">
        <w:rPr>
          <w:rFonts w:ascii="Arial" w:hAnsi="Arial" w:cs="Arial"/>
          <w:b/>
          <w:caps/>
          <w:sz w:val="22"/>
        </w:rPr>
        <w:t xml:space="preserve">3.3 </w:t>
      </w:r>
      <w:r w:rsidRPr="004D113C">
        <w:rPr>
          <w:rFonts w:ascii="Arial" w:hAnsi="Arial" w:cs="Arial"/>
          <w:b/>
          <w:sz w:val="22"/>
        </w:rPr>
        <w:t xml:space="preserve">Relationship between </w:t>
      </w:r>
      <w:r w:rsidR="00DA77C9" w:rsidRPr="004D113C">
        <w:rPr>
          <w:rFonts w:ascii="Arial" w:hAnsi="Arial" w:cs="Arial"/>
          <w:b/>
          <w:sz w:val="22"/>
        </w:rPr>
        <w:t>Age</w:t>
      </w:r>
      <w:r w:rsidRPr="004D113C">
        <w:rPr>
          <w:rFonts w:ascii="Arial" w:hAnsi="Arial" w:cs="Arial"/>
          <w:b/>
          <w:sz w:val="22"/>
        </w:rPr>
        <w:t xml:space="preserve"> and Thyroid Function</w:t>
      </w:r>
    </w:p>
    <w:p w14:paraId="20373D10" w14:textId="77777777" w:rsidR="00506198" w:rsidRPr="004D113C" w:rsidRDefault="00506198" w:rsidP="0028779E">
      <w:pPr>
        <w:pStyle w:val="Body"/>
        <w:spacing w:after="0" w:line="480" w:lineRule="auto"/>
        <w:rPr>
          <w:rFonts w:ascii="Arial" w:hAnsi="Arial" w:cs="Arial"/>
          <w:b/>
          <w:sz w:val="22"/>
        </w:rPr>
      </w:pPr>
    </w:p>
    <w:p w14:paraId="47DC5293" w14:textId="3458A6F6" w:rsidR="00506198" w:rsidRPr="004D113C" w:rsidRDefault="00506198" w:rsidP="0028779E">
      <w:pPr>
        <w:tabs>
          <w:tab w:val="left" w:pos="1080"/>
        </w:tabs>
        <w:spacing w:line="480" w:lineRule="auto"/>
        <w:jc w:val="both"/>
        <w:rPr>
          <w:rFonts w:ascii="Arial" w:hAnsi="Arial"/>
          <w:b/>
        </w:rPr>
      </w:pPr>
      <w:r w:rsidRPr="004D113C">
        <w:rPr>
          <w:rFonts w:ascii="Arial" w:hAnsi="Arial"/>
          <w:b/>
        </w:rPr>
        <w:t>Table 3. Relationship between age and thyroid function</w:t>
      </w:r>
    </w:p>
    <w:tbl>
      <w:tblPr>
        <w:tblStyle w:val="PlainTable2"/>
        <w:tblW w:w="0" w:type="auto"/>
        <w:tblLook w:val="04A0" w:firstRow="1" w:lastRow="0" w:firstColumn="1" w:lastColumn="0" w:noHBand="0" w:noVBand="1"/>
      </w:tblPr>
      <w:tblGrid>
        <w:gridCol w:w="1445"/>
        <w:gridCol w:w="2865"/>
        <w:gridCol w:w="2407"/>
        <w:gridCol w:w="1491"/>
      </w:tblGrid>
      <w:tr w:rsidR="00506198" w:rsidRPr="004D113C" w14:paraId="5DCD9E3C" w14:textId="77777777" w:rsidTr="002D42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Pr>
          <w:p w14:paraId="6A58B069" w14:textId="77777777" w:rsidR="00506198" w:rsidRPr="004D113C" w:rsidRDefault="00506198" w:rsidP="0028779E">
            <w:pPr>
              <w:spacing w:line="480" w:lineRule="auto"/>
              <w:jc w:val="center"/>
              <w:rPr>
                <w:rFonts w:ascii="Arial" w:hAnsi="Arial" w:cs="Arial"/>
                <w:color w:val="000000" w:themeColor="text1"/>
                <w:sz w:val="20"/>
                <w:szCs w:val="20"/>
              </w:rPr>
            </w:pPr>
            <w:r w:rsidRPr="004D113C">
              <w:rPr>
                <w:rFonts w:ascii="Arial" w:hAnsi="Arial" w:cs="Arial"/>
                <w:color w:val="000000" w:themeColor="text1"/>
                <w:sz w:val="20"/>
                <w:szCs w:val="20"/>
              </w:rPr>
              <w:t>Age</w:t>
            </w:r>
          </w:p>
        </w:tc>
        <w:tc>
          <w:tcPr>
            <w:tcW w:w="5680" w:type="dxa"/>
            <w:gridSpan w:val="2"/>
          </w:tcPr>
          <w:p w14:paraId="6774A946" w14:textId="77777777" w:rsidR="00506198" w:rsidRPr="004D113C" w:rsidRDefault="00506198" w:rsidP="0028779E">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4D113C">
              <w:rPr>
                <w:rFonts w:ascii="Arial" w:hAnsi="Arial" w:cs="Arial"/>
                <w:color w:val="000000" w:themeColor="text1"/>
                <w:sz w:val="20"/>
                <w:szCs w:val="20"/>
              </w:rPr>
              <w:t>Thyroid function</w:t>
            </w:r>
          </w:p>
        </w:tc>
        <w:tc>
          <w:tcPr>
            <w:tcW w:w="1629" w:type="dxa"/>
            <w:vMerge w:val="restart"/>
          </w:tcPr>
          <w:p w14:paraId="018EC94F" w14:textId="2C6C862E" w:rsidR="00506198" w:rsidRPr="004D113C" w:rsidRDefault="00255FC7" w:rsidP="0028779E">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000000" w:themeColor="text1"/>
                <w:sz w:val="20"/>
                <w:szCs w:val="20"/>
              </w:rPr>
            </w:pPr>
            <w:r w:rsidRPr="004D113C">
              <w:rPr>
                <w:rFonts w:ascii="Arial" w:hAnsi="Arial" w:cs="Arial"/>
                <w:b w:val="0"/>
                <w:i/>
                <w:color w:val="000000" w:themeColor="text1"/>
                <w:sz w:val="20"/>
                <w:szCs w:val="20"/>
              </w:rPr>
              <w:t>P</w:t>
            </w:r>
          </w:p>
        </w:tc>
      </w:tr>
      <w:tr w:rsidR="00506198" w:rsidRPr="004D113C" w14:paraId="384B04F5" w14:textId="77777777" w:rsidTr="002D4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Pr>
          <w:p w14:paraId="343C4907" w14:textId="77777777" w:rsidR="00506198" w:rsidRPr="004D113C" w:rsidRDefault="00506198" w:rsidP="0028779E">
            <w:pPr>
              <w:spacing w:line="480" w:lineRule="auto"/>
              <w:jc w:val="center"/>
              <w:rPr>
                <w:rFonts w:ascii="Arial" w:hAnsi="Arial" w:cs="Arial"/>
                <w:b w:val="0"/>
                <w:color w:val="000000" w:themeColor="text1"/>
                <w:sz w:val="20"/>
                <w:szCs w:val="20"/>
              </w:rPr>
            </w:pPr>
          </w:p>
        </w:tc>
        <w:tc>
          <w:tcPr>
            <w:tcW w:w="3146" w:type="dxa"/>
          </w:tcPr>
          <w:p w14:paraId="07CA5FB2" w14:textId="77777777" w:rsidR="00506198" w:rsidRPr="004D113C"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4D113C">
              <w:rPr>
                <w:rFonts w:ascii="Arial" w:hAnsi="Arial" w:cs="Arial"/>
                <w:color w:val="000000" w:themeColor="text1"/>
                <w:sz w:val="20"/>
                <w:szCs w:val="20"/>
              </w:rPr>
              <w:t>Euthyroid</w:t>
            </w:r>
          </w:p>
        </w:tc>
        <w:tc>
          <w:tcPr>
            <w:tcW w:w="2534" w:type="dxa"/>
          </w:tcPr>
          <w:p w14:paraId="79C5F472" w14:textId="77777777" w:rsidR="00506198" w:rsidRPr="004D113C"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20"/>
                <w:szCs w:val="20"/>
              </w:rPr>
            </w:pPr>
            <w:r w:rsidRPr="004D113C">
              <w:rPr>
                <w:rFonts w:ascii="Arial" w:hAnsi="Arial" w:cs="Arial"/>
                <w:color w:val="000000" w:themeColor="text1"/>
                <w:sz w:val="20"/>
                <w:szCs w:val="20"/>
              </w:rPr>
              <w:t>Hypothyroidism</w:t>
            </w:r>
          </w:p>
        </w:tc>
        <w:tc>
          <w:tcPr>
            <w:tcW w:w="1629" w:type="dxa"/>
            <w:vMerge/>
          </w:tcPr>
          <w:p w14:paraId="3A3FAFE0" w14:textId="77777777" w:rsidR="00506198" w:rsidRPr="004D113C"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000000" w:themeColor="text1"/>
                <w:sz w:val="20"/>
                <w:szCs w:val="20"/>
              </w:rPr>
            </w:pPr>
          </w:p>
        </w:tc>
      </w:tr>
      <w:tr w:rsidR="00506198" w:rsidRPr="004D113C" w14:paraId="41CF3781" w14:textId="77777777" w:rsidTr="002D42F9">
        <w:tc>
          <w:tcPr>
            <w:cnfStyle w:val="001000000000" w:firstRow="0" w:lastRow="0" w:firstColumn="1" w:lastColumn="0" w:oddVBand="0" w:evenVBand="0" w:oddHBand="0" w:evenHBand="0" w:firstRowFirstColumn="0" w:firstRowLastColumn="0" w:lastRowFirstColumn="0" w:lastRowLastColumn="0"/>
            <w:tcW w:w="1560" w:type="dxa"/>
          </w:tcPr>
          <w:p w14:paraId="310A0A04" w14:textId="77777777" w:rsidR="00506198" w:rsidRPr="004D113C" w:rsidRDefault="00506198" w:rsidP="0028779E">
            <w:pPr>
              <w:spacing w:line="480" w:lineRule="auto"/>
              <w:rPr>
                <w:rFonts w:ascii="Arial" w:hAnsi="Arial" w:cs="Arial"/>
                <w:b w:val="0"/>
                <w:color w:val="000000" w:themeColor="text1"/>
                <w:sz w:val="20"/>
                <w:szCs w:val="20"/>
              </w:rPr>
            </w:pPr>
            <w:r w:rsidRPr="004D113C">
              <w:rPr>
                <w:rFonts w:ascii="Arial" w:hAnsi="Arial" w:cs="Arial"/>
                <w:b w:val="0"/>
                <w:color w:val="000000" w:themeColor="text1"/>
                <w:sz w:val="20"/>
                <w:szCs w:val="20"/>
              </w:rPr>
              <w:t>2-10 years</w:t>
            </w:r>
          </w:p>
        </w:tc>
        <w:tc>
          <w:tcPr>
            <w:tcW w:w="3146" w:type="dxa"/>
          </w:tcPr>
          <w:p w14:paraId="692EFB37" w14:textId="77777777" w:rsidR="00506198" w:rsidRPr="004D113C"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D113C">
              <w:rPr>
                <w:rFonts w:ascii="Arial" w:hAnsi="Arial" w:cs="Arial"/>
                <w:color w:val="000000" w:themeColor="text1"/>
                <w:sz w:val="20"/>
                <w:szCs w:val="20"/>
              </w:rPr>
              <w:t xml:space="preserve">   14</w:t>
            </w:r>
          </w:p>
        </w:tc>
        <w:tc>
          <w:tcPr>
            <w:tcW w:w="2534" w:type="dxa"/>
          </w:tcPr>
          <w:p w14:paraId="4A685CEC" w14:textId="77777777" w:rsidR="00506198" w:rsidRPr="004D113C"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D113C">
              <w:rPr>
                <w:rFonts w:ascii="Arial" w:hAnsi="Arial" w:cs="Arial"/>
                <w:color w:val="000000" w:themeColor="text1"/>
                <w:sz w:val="20"/>
                <w:szCs w:val="20"/>
              </w:rPr>
              <w:t>0</w:t>
            </w:r>
          </w:p>
        </w:tc>
        <w:tc>
          <w:tcPr>
            <w:tcW w:w="1629" w:type="dxa"/>
            <w:vMerge w:val="restart"/>
            <w:vAlign w:val="center"/>
          </w:tcPr>
          <w:p w14:paraId="20C1B1D0" w14:textId="77777777" w:rsidR="00506198" w:rsidRPr="004D113C" w:rsidRDefault="00506198" w:rsidP="0028779E">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4D113C">
              <w:rPr>
                <w:rFonts w:ascii="Arial" w:hAnsi="Arial" w:cs="Arial"/>
                <w:color w:val="000000" w:themeColor="text1"/>
                <w:sz w:val="20"/>
                <w:szCs w:val="20"/>
              </w:rPr>
              <w:t>1.00</w:t>
            </w:r>
          </w:p>
        </w:tc>
      </w:tr>
      <w:tr w:rsidR="00506198" w:rsidRPr="004D113C" w14:paraId="2C690EF3" w14:textId="77777777" w:rsidTr="002D4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5911985" w14:textId="77777777" w:rsidR="00506198" w:rsidRPr="004D113C" w:rsidRDefault="00506198" w:rsidP="0028779E">
            <w:pPr>
              <w:spacing w:line="480" w:lineRule="auto"/>
              <w:rPr>
                <w:rFonts w:ascii="Arial" w:hAnsi="Arial" w:cs="Arial"/>
                <w:b w:val="0"/>
                <w:color w:val="000000" w:themeColor="text1"/>
                <w:sz w:val="20"/>
                <w:szCs w:val="20"/>
              </w:rPr>
            </w:pPr>
            <w:r w:rsidRPr="004D113C">
              <w:rPr>
                <w:rFonts w:ascii="Arial" w:hAnsi="Arial" w:cs="Arial"/>
                <w:b w:val="0"/>
                <w:color w:val="000000" w:themeColor="text1"/>
                <w:sz w:val="20"/>
                <w:szCs w:val="20"/>
              </w:rPr>
              <w:t>&gt;10-18 years</w:t>
            </w:r>
          </w:p>
        </w:tc>
        <w:tc>
          <w:tcPr>
            <w:tcW w:w="3146" w:type="dxa"/>
          </w:tcPr>
          <w:p w14:paraId="6A8CCBFF" w14:textId="77777777" w:rsidR="00506198" w:rsidRPr="004D113C" w:rsidRDefault="00506198" w:rsidP="0028779E">
            <w:pPr>
              <w:spacing w:line="480" w:lineRule="auto"/>
              <w:ind w:right="-22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D113C">
              <w:rPr>
                <w:rFonts w:ascii="Arial" w:hAnsi="Arial" w:cs="Arial"/>
                <w:color w:val="000000" w:themeColor="text1"/>
                <w:sz w:val="20"/>
                <w:szCs w:val="20"/>
              </w:rPr>
              <w:t>22</w:t>
            </w:r>
          </w:p>
        </w:tc>
        <w:tc>
          <w:tcPr>
            <w:tcW w:w="2534" w:type="dxa"/>
          </w:tcPr>
          <w:p w14:paraId="367AD6D2" w14:textId="77777777" w:rsidR="00506198" w:rsidRPr="004D113C"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4D113C">
              <w:rPr>
                <w:rFonts w:ascii="Arial" w:hAnsi="Arial" w:cs="Arial"/>
                <w:color w:val="000000" w:themeColor="text1"/>
                <w:sz w:val="20"/>
                <w:szCs w:val="20"/>
              </w:rPr>
              <w:t>1</w:t>
            </w:r>
          </w:p>
        </w:tc>
        <w:tc>
          <w:tcPr>
            <w:tcW w:w="1629" w:type="dxa"/>
            <w:vMerge/>
          </w:tcPr>
          <w:p w14:paraId="21900052" w14:textId="77777777" w:rsidR="00506198" w:rsidRPr="004D113C" w:rsidRDefault="00506198" w:rsidP="0028779E">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bl>
    <w:p w14:paraId="556F4CDA" w14:textId="77777777" w:rsidR="00506198" w:rsidRPr="004D113C" w:rsidRDefault="00506198" w:rsidP="0028779E">
      <w:pPr>
        <w:spacing w:line="480" w:lineRule="auto"/>
        <w:rPr>
          <w:i/>
          <w:color w:val="000000" w:themeColor="text1"/>
        </w:rPr>
      </w:pPr>
      <w:r w:rsidRPr="004D113C">
        <w:rPr>
          <w:i/>
          <w:color w:val="000000" w:themeColor="text1"/>
        </w:rPr>
        <w:t>*Fischer exact test</w:t>
      </w:r>
    </w:p>
    <w:p w14:paraId="0FF2073A" w14:textId="77777777" w:rsidR="00CF366F" w:rsidRPr="004D113C" w:rsidRDefault="00CF366F" w:rsidP="0028779E">
      <w:pPr>
        <w:spacing w:line="480" w:lineRule="auto"/>
        <w:rPr>
          <w:i/>
          <w:color w:val="000000" w:themeColor="text1"/>
        </w:rPr>
      </w:pPr>
    </w:p>
    <w:p w14:paraId="2122EDC8" w14:textId="31D231F3" w:rsidR="00116BAB" w:rsidRPr="004D113C" w:rsidRDefault="00116BAB" w:rsidP="0028779E">
      <w:pPr>
        <w:pStyle w:val="Body"/>
        <w:spacing w:line="480" w:lineRule="auto"/>
        <w:rPr>
          <w:rFonts w:ascii="Arial" w:hAnsi="Arial" w:cs="Arial"/>
          <w:bCs/>
        </w:rPr>
      </w:pPr>
      <w:r w:rsidRPr="004D113C">
        <w:rPr>
          <w:rFonts w:ascii="Arial" w:hAnsi="Arial" w:cs="Arial"/>
          <w:bCs/>
        </w:rPr>
        <w:t xml:space="preserve">Among </w:t>
      </w:r>
      <w:r w:rsidR="00794793" w:rsidRPr="004D113C">
        <w:rPr>
          <w:rFonts w:ascii="Arial" w:hAnsi="Arial" w:cs="Arial"/>
          <w:bCs/>
        </w:rPr>
        <w:t xml:space="preserve">37 </w:t>
      </w:r>
      <w:r w:rsidRPr="004D113C">
        <w:rPr>
          <w:rFonts w:ascii="Arial" w:hAnsi="Arial" w:cs="Arial"/>
          <w:bCs/>
        </w:rPr>
        <w:t xml:space="preserve">subjects, 1 subject was identified with hypothyroidism. The patient is a 15-year-old female presenting with a body weight of 29 kg, height of 145 cm, and arm circumference of 17 cm. The patient was diagnosed with Thalassemia Beta in 2013 and has taken long-term iron chelation therapy with Deferiprone for a duration of 11 years and 6 months. Lab results shown a hemoglobin level of 10.8 g/dL, with levels consistent for transfusion-dependent thalassemia patients, and a ferritin level of 5005.74, indicating a severe iron overload despite </w:t>
      </w:r>
      <w:r w:rsidRPr="004D113C">
        <w:rPr>
          <w:rFonts w:ascii="Arial" w:hAnsi="Arial" w:cs="Arial"/>
          <w:bCs/>
        </w:rPr>
        <w:lastRenderedPageBreak/>
        <w:t>an evidently adequate hemoglobin level. Additionally, during the observed time, her hypothyroidism markers show a low FT4 of 9.47mIU/L and a normal TSH of 2.309mIU/L, which may suggest the presence of subclinical hypothyroidism and the need for additional attention.</w:t>
      </w:r>
    </w:p>
    <w:p w14:paraId="337D3DC8" w14:textId="7734877E" w:rsidR="00505F06" w:rsidRPr="004D113C" w:rsidRDefault="00C83F88" w:rsidP="0028779E">
      <w:pPr>
        <w:pStyle w:val="Body"/>
        <w:spacing w:after="0" w:line="480" w:lineRule="auto"/>
        <w:rPr>
          <w:rFonts w:ascii="Arial" w:hAnsi="Arial" w:cs="Arial"/>
        </w:rPr>
      </w:pPr>
      <w:r w:rsidRPr="004D113C">
        <w:rPr>
          <w:rFonts w:ascii="Arial" w:hAnsi="Arial" w:cs="Arial"/>
        </w:rPr>
        <w:t xml:space="preserve">Based on Table 3, all samples in the 2-10 years age group had no thyroid dysfunction (euthyroid). In the study samples who were in the age group &gt;10-18 years, it was found that 22 of them did not have any thyroid dysfunction (euthyroid), and only 1 sample had hypothyroidism. Therefore, it can be concluded that there is no relationship between the patient's age at the time of the study and thyroid function in the 2-10 years and &gt;10-18 years age groups. This was further proven by the results of the Fischer exact test, which showed a </w:t>
      </w:r>
      <w:r w:rsidR="0028779E" w:rsidRPr="004D113C">
        <w:rPr>
          <w:rFonts w:ascii="Arial" w:hAnsi="Arial" w:cs="Arial"/>
          <w:i/>
          <w:iCs/>
        </w:rPr>
        <w:t xml:space="preserve">P </w:t>
      </w:r>
      <w:r w:rsidRPr="004D113C">
        <w:rPr>
          <w:rFonts w:ascii="Arial" w:hAnsi="Arial" w:cs="Arial"/>
        </w:rPr>
        <w:t>value of 1.00.</w:t>
      </w:r>
    </w:p>
    <w:p w14:paraId="66B7FA4B" w14:textId="77777777" w:rsidR="00C83F88" w:rsidRPr="004D113C" w:rsidRDefault="00C83F88" w:rsidP="0028779E">
      <w:pPr>
        <w:pStyle w:val="Body"/>
        <w:spacing w:after="0" w:line="480" w:lineRule="auto"/>
        <w:rPr>
          <w:rFonts w:ascii="Arial" w:hAnsi="Arial" w:cs="Arial"/>
        </w:rPr>
      </w:pPr>
    </w:p>
    <w:p w14:paraId="3B0A0AE1" w14:textId="4902E3D4" w:rsidR="00C83F88" w:rsidRPr="004D113C" w:rsidRDefault="00DB1B5A" w:rsidP="0028779E">
      <w:pPr>
        <w:pStyle w:val="Body"/>
        <w:spacing w:after="0" w:line="480" w:lineRule="auto"/>
        <w:rPr>
          <w:rFonts w:ascii="Arial" w:hAnsi="Arial" w:cs="Arial"/>
        </w:rPr>
      </w:pPr>
      <w:r w:rsidRPr="004D113C">
        <w:rPr>
          <w:rFonts w:ascii="Arial" w:hAnsi="Arial" w:cs="Arial"/>
        </w:rPr>
        <w:t xml:space="preserve">This is in line with research conducted by Basher et al. The study states that there is no relationship between age and thyroid function among thalassemia patients. The mean age of euthyroid patients in the study was 12.28 ± 3.95 and the mean age of patients experiencing hypothyroidism was 13.89 ± 3.48 with a </w:t>
      </w:r>
      <w:r w:rsidR="0028779E" w:rsidRPr="004D113C">
        <w:rPr>
          <w:rFonts w:ascii="Arial" w:hAnsi="Arial" w:cs="Arial"/>
          <w:i/>
          <w:iCs/>
        </w:rPr>
        <w:t>P</w:t>
      </w:r>
      <w:r w:rsidRPr="004D113C">
        <w:rPr>
          <w:rFonts w:ascii="Arial" w:hAnsi="Arial" w:cs="Arial"/>
        </w:rPr>
        <w:t xml:space="preserve"> value of 0.2</w:t>
      </w:r>
      <w:r w:rsidR="0028779E" w:rsidRPr="004D113C">
        <w:rPr>
          <w:rFonts w:ascii="Arial" w:hAnsi="Arial" w:cs="Arial"/>
        </w:rPr>
        <w:t>5.</w:t>
      </w:r>
      <w:r w:rsidRPr="004D113C">
        <w:rPr>
          <w:rFonts w:ascii="Arial" w:hAnsi="Arial" w:cs="Arial"/>
        </w:rPr>
        <w:t xml:space="preserve"> This is because based on theory, complications from iron overload in the form of thyroid dysfunction will usually only appear in the second decade of life so it will be less significant, and its severity will increase gradually in the third and fourth decades of life of thalassemia patients who receive transfusion and iron chelation therapy.</w:t>
      </w:r>
      <w:sdt>
        <w:sdtPr>
          <w:rPr>
            <w:rFonts w:ascii="Arial" w:hAnsi="Arial" w:cs="Arial"/>
            <w:color w:val="000000"/>
            <w:vertAlign w:val="superscript"/>
          </w:rPr>
          <w:tag w:val="MENDELEY_CITATION_v3_eyJjaXRhdGlvbklEIjoiTUVOREVMRVlfQ0lUQVRJT05fYjNkNzlmNGMtZDMwZS00NTAxLTllZmUtZjkzNTM3YTQwODFk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
          <w:id w:val="7809108"/>
          <w:placeholder>
            <w:docPart w:val="DefaultPlaceholder_-1854013440"/>
          </w:placeholder>
        </w:sdtPr>
        <w:sdtEndPr/>
        <w:sdtContent>
          <w:r w:rsidR="0028779E" w:rsidRPr="004D113C">
            <w:rPr>
              <w:rFonts w:ascii="Arial" w:hAnsi="Arial" w:cs="Arial"/>
              <w:color w:val="000000"/>
            </w:rPr>
            <w:t>[3]</w:t>
          </w:r>
        </w:sdtContent>
      </w:sdt>
      <w:r w:rsidRPr="004D113C">
        <w:rPr>
          <w:rFonts w:ascii="Arial" w:hAnsi="Arial" w:cs="Arial"/>
        </w:rPr>
        <w:t xml:space="preserve"> Another study conducted by </w:t>
      </w:r>
      <w:proofErr w:type="spellStart"/>
      <w:r w:rsidRPr="004D113C">
        <w:rPr>
          <w:rFonts w:ascii="Arial" w:hAnsi="Arial" w:cs="Arial"/>
        </w:rPr>
        <w:t>Ansaf</w:t>
      </w:r>
      <w:proofErr w:type="spellEnd"/>
      <w:r w:rsidRPr="004D113C">
        <w:rPr>
          <w:rFonts w:ascii="Arial" w:hAnsi="Arial" w:cs="Arial"/>
        </w:rPr>
        <w:t xml:space="preserve"> et al also showed no relationship between age and thyroid function in thalassemia patients </w:t>
      </w:r>
      <w:r w:rsidR="00255FC7" w:rsidRPr="004D113C">
        <w:rPr>
          <w:rFonts w:ascii="Arial" w:hAnsi="Arial" w:cs="Arial"/>
        </w:rPr>
        <w:t>(</w:t>
      </w:r>
      <w:r w:rsidR="00255FC7" w:rsidRPr="004D113C">
        <w:rPr>
          <w:rFonts w:ascii="Arial" w:hAnsi="Arial" w:cs="Arial"/>
          <w:i/>
          <w:iCs/>
        </w:rPr>
        <w:t>P=</w:t>
      </w:r>
      <w:r w:rsidR="00255FC7" w:rsidRPr="004D113C">
        <w:rPr>
          <w:rFonts w:ascii="Arial" w:hAnsi="Arial" w:cs="Arial"/>
        </w:rPr>
        <w:t xml:space="preserve"> </w:t>
      </w:r>
      <w:r w:rsidR="0028779E" w:rsidRPr="004D113C">
        <w:rPr>
          <w:rFonts w:ascii="Arial" w:hAnsi="Arial" w:cs="Arial"/>
        </w:rPr>
        <w:t>0</w:t>
      </w:r>
      <w:r w:rsidRPr="004D113C">
        <w:rPr>
          <w:rFonts w:ascii="Arial" w:hAnsi="Arial" w:cs="Arial"/>
        </w:rPr>
        <w:t>.89). Of all thalassemia patients in the age group ≤15 years, 7 patients were euthyroid (53.8%), 2 patients had primary hypothyroidism (15.4%), 3 patients had subclinical hypothyroidism (23.1%), and 1 patient had central hypothyroidism (7.7%). Of all thalassemia patients in the age group &gt;15 years, 28 patients were euthyroid (532.8%), 5 patients with primary hypothyroidism (9.4%), 13 patients with subclinical hypothyroidism (24.5%), and 7 patients with central hypothyroidism (13.2%).</w:t>
      </w:r>
      <w:sdt>
        <w:sdtPr>
          <w:rPr>
            <w:rFonts w:ascii="Arial" w:hAnsi="Arial" w:cs="Arial"/>
            <w:color w:val="000000"/>
            <w:vertAlign w:val="superscript"/>
          </w:rPr>
          <w:tag w:val="MENDELEY_CITATION_v3_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"/>
          <w:id w:val="1878281835"/>
          <w:placeholder>
            <w:docPart w:val="DefaultPlaceholder_-1854013440"/>
          </w:placeholder>
        </w:sdtPr>
        <w:sdtEndPr/>
        <w:sdtContent>
          <w:sdt>
            <w:sdtPr>
              <w:rPr>
                <w:rFonts w:ascii="Arial" w:hAnsi="Arial" w:cs="Arial"/>
                <w:color w:val="000000"/>
                <w:vertAlign w:val="superscript"/>
              </w:rPr>
              <w:tag w:val="MENDELEY_CITATION_v3_eyJjaXRhdGlvbklEIjoiTUVOREVMRVlfQ0lUQVRJT05fYjNkNzlmNGMtZDMwZS00NTAxLTllZmUtZjkzNTM3YTQwODFk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
              <w:id w:val="-1766373134"/>
              <w:placeholder>
                <w:docPart w:val="9BE04F617F29B441B345432611908A24"/>
              </w:placeholder>
            </w:sdtPr>
            <w:sdtEndPr/>
            <w:sdtContent>
              <w:r w:rsidR="0028779E" w:rsidRPr="004D113C">
                <w:rPr>
                  <w:rFonts w:ascii="Arial" w:hAnsi="Arial" w:cs="Arial"/>
                  <w:color w:val="000000"/>
                </w:rPr>
                <w:t>[6]</w:t>
              </w:r>
            </w:sdtContent>
          </w:sdt>
        </w:sdtContent>
      </w:sdt>
      <w:r w:rsidRPr="004D113C">
        <w:rPr>
          <w:rFonts w:ascii="Arial" w:hAnsi="Arial" w:cs="Arial"/>
        </w:rPr>
        <w:t xml:space="preserve"> This is also in line with a study conducted by </w:t>
      </w:r>
      <w:proofErr w:type="spellStart"/>
      <w:r w:rsidRPr="004D113C">
        <w:rPr>
          <w:rFonts w:ascii="Arial" w:hAnsi="Arial" w:cs="Arial"/>
        </w:rPr>
        <w:t>Bordbar</w:t>
      </w:r>
      <w:proofErr w:type="spellEnd"/>
      <w:r w:rsidRPr="004D113C">
        <w:rPr>
          <w:rFonts w:ascii="Arial" w:hAnsi="Arial" w:cs="Arial"/>
        </w:rPr>
        <w:t xml:space="preserve"> et al in 2019 in Iran. The </w:t>
      </w:r>
      <w:r w:rsidRPr="004D113C">
        <w:rPr>
          <w:rFonts w:ascii="Arial" w:hAnsi="Arial" w:cs="Arial"/>
        </w:rPr>
        <w:lastRenderedPageBreak/>
        <w:t xml:space="preserve">study found that the incidence of hypothyroidism in thalassemia patients aged &lt;18 years was 12.2% (2 people), age 18-30 years was 63.5% (47 people), age &gt;30 years was 24.3% (18 people), with a </w:t>
      </w:r>
      <w:r w:rsidR="0028779E" w:rsidRPr="004D113C">
        <w:rPr>
          <w:rFonts w:ascii="Arial" w:hAnsi="Arial" w:cs="Arial"/>
          <w:i/>
          <w:iCs/>
        </w:rPr>
        <w:t>P</w:t>
      </w:r>
      <w:r w:rsidRPr="004D113C">
        <w:rPr>
          <w:rFonts w:ascii="Arial" w:hAnsi="Arial" w:cs="Arial"/>
        </w:rPr>
        <w:t xml:space="preserve"> value of 0.22 which also showed that age was not statistically significant to thyroid function.</w:t>
      </w:r>
      <w:r w:rsidR="0028779E" w:rsidRPr="004D113C">
        <w:rPr>
          <w:rFonts w:ascii="Arial" w:hAnsi="Arial" w:cs="Arial"/>
          <w:color w:val="000000"/>
          <w:vertAlign w:val="superscript"/>
        </w:rPr>
        <w:t xml:space="preserve"> </w:t>
      </w:r>
      <w:sdt>
        <w:sdtPr>
          <w:rPr>
            <w:rFonts w:ascii="Arial" w:hAnsi="Arial" w:cs="Arial"/>
            <w:color w:val="000000"/>
            <w:vertAlign w:val="superscript"/>
          </w:rPr>
          <w:tag w:val="MENDELEY_CITATION_v3_eyJjaXRhdGlvbklEIjoiTUVOREVMRVlfQ0lUQVRJT05fYjNkNzlmNGMtZDMwZS00NTAxLTllZmUtZjkzNTM3YTQwODFk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
          <w:id w:val="184183365"/>
          <w:placeholder>
            <w:docPart w:val="7D52D0421E7A524682D95C83CCD689E3"/>
          </w:placeholder>
        </w:sdtPr>
        <w:sdtEndPr/>
        <w:sdtContent>
          <w:r w:rsidR="0028779E" w:rsidRPr="004D113C">
            <w:rPr>
              <w:rFonts w:ascii="Arial" w:hAnsi="Arial" w:cs="Arial"/>
              <w:color w:val="000000"/>
            </w:rPr>
            <w:t>[7]</w:t>
          </w:r>
        </w:sdtContent>
      </w:sdt>
    </w:p>
    <w:p w14:paraId="0B502857" w14:textId="77777777" w:rsidR="00E053D0" w:rsidRPr="004D113C" w:rsidRDefault="00E053D0" w:rsidP="0028779E">
      <w:pPr>
        <w:pStyle w:val="Body"/>
        <w:spacing w:after="0" w:line="480" w:lineRule="auto"/>
        <w:rPr>
          <w:rFonts w:ascii="Arial" w:hAnsi="Arial" w:cs="Arial"/>
        </w:rPr>
      </w:pPr>
    </w:p>
    <w:p w14:paraId="1D2859D7" w14:textId="0D08CC60" w:rsidR="00DC4E01" w:rsidRPr="004D113C" w:rsidRDefault="00DC4E01" w:rsidP="0028779E">
      <w:pPr>
        <w:pStyle w:val="Body"/>
        <w:spacing w:after="0" w:line="480" w:lineRule="auto"/>
        <w:rPr>
          <w:rFonts w:ascii="Arial" w:hAnsi="Arial" w:cs="Arial"/>
        </w:rPr>
      </w:pPr>
      <w:r w:rsidRPr="004D113C">
        <w:rPr>
          <w:rFonts w:ascii="Arial" w:hAnsi="Arial" w:cs="Arial"/>
        </w:rPr>
        <w:t>In thalassemia patients under the age of 5 years, growth retardation is usually caused because they do not receive regular blood transfusions, while in thalassemia patients aged 5-10 years, growth retardation is often caused by inadequate iron chelation therapy and as a result of iron accumulation due to blood transfusions which disrupts the IGF-1 growth hormone axis and consequently affects linear growth. The most commonly used types of iron chelation therapy are deferiprone and deferasirox, both given orally, and deferoxamine. One study showed that deferiprone had a favorable effect on serum ferritin concentrations and had an acceptable safety profile for children</w:t>
      </w:r>
      <w:r w:rsidR="0028779E" w:rsidRPr="004D113C">
        <w:rPr>
          <w:rFonts w:ascii="Arial" w:hAnsi="Arial" w:cs="Arial"/>
          <w:color w:val="000000"/>
          <w:vertAlign w:val="superscript"/>
        </w:rPr>
        <w:t xml:space="preserve"> </w:t>
      </w:r>
      <w:sdt>
        <w:sdtPr>
          <w:rPr>
            <w:rFonts w:ascii="Arial" w:hAnsi="Arial" w:cs="Arial"/>
            <w:color w:val="000000"/>
            <w:vertAlign w:val="superscript"/>
          </w:rPr>
          <w:tag w:val="MENDELEY_CITATION_v3_eyJjaXRhdGlvbklEIjoiTUVOREVMRVlfQ0lUQVRJT05fYjNkNzlmNGMtZDMwZS00NTAxLTllZmUtZjkzNTM3YTQwODFk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
          <w:id w:val="-831516279"/>
          <w:placeholder>
            <w:docPart w:val="E5F1590B0AD43A43A5388D7AC95CEE71"/>
          </w:placeholder>
        </w:sdtPr>
        <w:sdtEndPr/>
        <w:sdtContent>
          <w:r w:rsidR="0028779E" w:rsidRPr="004D113C">
            <w:rPr>
              <w:rFonts w:ascii="Arial" w:hAnsi="Arial" w:cs="Arial"/>
              <w:color w:val="000000"/>
            </w:rPr>
            <w:t>[8-10]</w:t>
          </w:r>
        </w:sdtContent>
      </w:sdt>
    </w:p>
    <w:p w14:paraId="300B447B" w14:textId="77777777" w:rsidR="00DC4E01" w:rsidRPr="004D113C" w:rsidRDefault="00DC4E01" w:rsidP="0028779E">
      <w:pPr>
        <w:pStyle w:val="Body"/>
        <w:spacing w:after="0" w:line="480" w:lineRule="auto"/>
        <w:rPr>
          <w:rFonts w:ascii="Arial" w:hAnsi="Arial" w:cs="Arial"/>
        </w:rPr>
      </w:pPr>
    </w:p>
    <w:p w14:paraId="3B4EDF14" w14:textId="447D3BE9" w:rsidR="00C2054D" w:rsidRPr="004D113C" w:rsidRDefault="00C2054D" w:rsidP="0028779E">
      <w:pPr>
        <w:pStyle w:val="Body"/>
        <w:spacing w:line="480" w:lineRule="auto"/>
        <w:rPr>
          <w:rFonts w:ascii="Arial" w:hAnsi="Arial" w:cs="Arial"/>
        </w:rPr>
      </w:pPr>
      <w:r w:rsidRPr="004D113C">
        <w:rPr>
          <w:rFonts w:ascii="Arial" w:hAnsi="Arial" w:cs="Arial"/>
        </w:rPr>
        <w:t>One of the things that plays an important role in the effect of iron chelation on thyroid function in thalassemia patients is patient compliance in consuming it. Side effects that arise are known to affect patient compliance with the use of iron chelation therapy.</w:t>
      </w:r>
      <w:sdt>
        <w:sdtPr>
          <w:rPr>
            <w:rFonts w:ascii="Arial" w:hAnsi="Arial" w:cs="Arial"/>
            <w:color w:val="000000"/>
            <w:vertAlign w:val="superscript"/>
          </w:rPr>
          <w:tag w:val="MENDELEY_CITATION_v3_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"/>
          <w:id w:val="1827319030"/>
          <w:placeholder>
            <w:docPart w:val="DefaultPlaceholder_-1854013440"/>
          </w:placeholder>
        </w:sdtPr>
        <w:sdtEndPr/>
        <w:sdtContent>
          <w:sdt>
            <w:sdtPr>
              <w:rPr>
                <w:rFonts w:ascii="Arial" w:hAnsi="Arial" w:cs="Arial"/>
                <w:color w:val="000000"/>
                <w:vertAlign w:val="superscript"/>
              </w:rPr>
              <w:tag w:val="MENDELEY_CITATION_v3_eyJjaXRhdGlvbklEIjoiTUVOREVMRVlfQ0lUQVRJT05fYjNkNzlmNGMtZDMwZS00NTAxLTllZmUtZjkzNTM3YTQwODFk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
              <w:id w:val="-1822873871"/>
              <w:placeholder>
                <w:docPart w:val="49E8DB2B74D5BE4680A8925E4A1630AF"/>
              </w:placeholder>
            </w:sdtPr>
            <w:sdtEndPr/>
            <w:sdtContent>
              <w:r w:rsidR="0028779E" w:rsidRPr="004D113C">
                <w:rPr>
                  <w:rFonts w:ascii="Arial" w:hAnsi="Arial" w:cs="Arial"/>
                  <w:color w:val="000000"/>
                </w:rPr>
                <w:t>[11]</w:t>
              </w:r>
            </w:sdtContent>
          </w:sdt>
        </w:sdtContent>
      </w:sdt>
      <w:r w:rsidRPr="004D113C">
        <w:rPr>
          <w:rFonts w:ascii="Arial" w:hAnsi="Arial" w:cs="Arial"/>
        </w:rPr>
        <w:t xml:space="preserve"> In a study conducted by </w:t>
      </w:r>
      <w:proofErr w:type="spellStart"/>
      <w:r w:rsidRPr="004D113C">
        <w:rPr>
          <w:rFonts w:ascii="Arial" w:hAnsi="Arial" w:cs="Arial"/>
        </w:rPr>
        <w:t>Yassouf</w:t>
      </w:r>
      <w:proofErr w:type="spellEnd"/>
      <w:r w:rsidRPr="004D113C">
        <w:rPr>
          <w:rFonts w:ascii="Arial" w:hAnsi="Arial" w:cs="Arial"/>
        </w:rPr>
        <w:t xml:space="preserve"> et al in 2019, it was found that among 45 patients who were compliant with taking iron chelation (23 men and 22 women), only 4 patients (8.89%) had subclinical hypothyroidism, and 41 other patients (91.11%) had normal thyroid function levels. The study also found that the risk of thyroid dysfunction in patients who were not compliant with iron chelation was 6.38x greater than in patients who were compliant with iron chelation [risk ratio (RR) = 6.385; 95%CI, 2.40-16.95]. This was a result of excessive iron overload which was associated with increased serum ferritin levels in the iron chelation non-compliant group compared to the iron chelation compliant group (ferritin 6953±2690ng/mL, 3970±1524ng/mL, respectively, </w:t>
      </w:r>
      <w:r w:rsidR="0028779E" w:rsidRPr="004D113C">
        <w:rPr>
          <w:rFonts w:ascii="Arial" w:hAnsi="Arial" w:cs="Arial"/>
          <w:i/>
          <w:iCs/>
        </w:rPr>
        <w:t>P</w:t>
      </w:r>
      <w:r w:rsidRPr="004D113C">
        <w:rPr>
          <w:rFonts w:ascii="Arial" w:hAnsi="Arial" w:cs="Arial"/>
        </w:rPr>
        <w:t xml:space="preserve">&lt;0.0001). Better thyroid function was more associated with adherence to iron chelation therapy. These results emphasize the importance of adherence to iron chelation </w:t>
      </w:r>
      <w:r w:rsidRPr="004D113C">
        <w:rPr>
          <w:rFonts w:ascii="Arial" w:hAnsi="Arial" w:cs="Arial"/>
        </w:rPr>
        <w:lastRenderedPageBreak/>
        <w:t>therapy to minimize the risk of thyroid dysfunction, rather than focusing on the relationship between the type and duration of iron chelation therapy.</w:t>
      </w:r>
      <w:sdt>
        <w:sdtPr>
          <w:rPr>
            <w:rFonts w:ascii="Arial" w:hAnsi="Arial" w:cs="Arial"/>
            <w:color w:val="000000"/>
            <w:vertAlign w:val="superscript"/>
          </w:rPr>
          <w:tag w:val="MENDELEY_CITATION_v3_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"/>
          <w:id w:val="733976308"/>
          <w:placeholder>
            <w:docPart w:val="DefaultPlaceholder_-1854013440"/>
          </w:placeholder>
        </w:sdtPr>
        <w:sdtEndPr/>
        <w:sdtContent>
          <w:sdt>
            <w:sdtPr>
              <w:rPr>
                <w:rFonts w:ascii="Arial" w:hAnsi="Arial" w:cs="Arial"/>
                <w:color w:val="000000"/>
                <w:vertAlign w:val="superscript"/>
              </w:rPr>
              <w:tag w:val="MENDELEY_CITATION_v3_eyJjaXRhdGlvbklEIjoiTUVOREVMRVlfQ0lUQVRJT05fYjNkNzlmNGMtZDMwZS00NTAxLTllZmUtZjkzNTM3YTQwODFk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
              <w:id w:val="-995794248"/>
              <w:placeholder>
                <w:docPart w:val="F3CE2F9C60BB034F916001AE7BF2F37E"/>
              </w:placeholder>
            </w:sdtPr>
            <w:sdtEndPr/>
            <w:sdtContent>
              <w:r w:rsidR="009A3BDF" w:rsidRPr="004D113C">
                <w:rPr>
                  <w:rFonts w:ascii="Arial" w:hAnsi="Arial" w:cs="Arial"/>
                  <w:color w:val="000000"/>
                </w:rPr>
                <w:t>[12]</w:t>
              </w:r>
            </w:sdtContent>
          </w:sdt>
        </w:sdtContent>
      </w:sdt>
      <w:r w:rsidRPr="004D113C">
        <w:rPr>
          <w:rFonts w:ascii="Arial" w:hAnsi="Arial" w:cs="Arial"/>
        </w:rPr>
        <w:t xml:space="preserve"> </w:t>
      </w:r>
      <w:proofErr w:type="spellStart"/>
      <w:r w:rsidRPr="004D113C">
        <w:rPr>
          <w:rFonts w:ascii="Arial" w:hAnsi="Arial" w:cs="Arial"/>
        </w:rPr>
        <w:t>Faranoush</w:t>
      </w:r>
      <w:proofErr w:type="spellEnd"/>
      <w:r w:rsidRPr="004D113C">
        <w:rPr>
          <w:rFonts w:ascii="Arial" w:hAnsi="Arial" w:cs="Arial"/>
        </w:rPr>
        <w:t xml:space="preserve"> in his study also mentioned that the level of adherence of thalassemia patients to iron chelation therapy varies widely. This level of adherence may affect the outcome of thyroid function, regardless of the type or duration of iron chelation therapy.</w:t>
      </w:r>
      <w:sdt>
        <w:sdtPr>
          <w:rPr>
            <w:rFonts w:ascii="Arial" w:hAnsi="Arial" w:cs="Arial"/>
            <w:color w:val="000000"/>
            <w:vertAlign w:val="superscript"/>
          </w:rPr>
          <w:tag w:val="MENDELEY_CITATION_v3_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"/>
          <w:id w:val="-934205586"/>
          <w:placeholder>
            <w:docPart w:val="DefaultPlaceholder_-1854013440"/>
          </w:placeholder>
        </w:sdtPr>
        <w:sdtEndPr/>
        <w:sdtContent>
          <w:sdt>
            <w:sdtPr>
              <w:rPr>
                <w:rFonts w:ascii="Arial" w:hAnsi="Arial" w:cs="Arial"/>
                <w:color w:val="000000"/>
                <w:vertAlign w:val="superscript"/>
              </w:rPr>
              <w:tag w:val="MENDELEY_CITATION_v3_eyJjaXRhdGlvbklEIjoiTUVOREVMRVlfQ0lUQVRJT05fYjNkNzlmNGMtZDMwZS00NTAxLTllZmUtZjkzNTM3YTQwODFk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
              <w:id w:val="1506094749"/>
              <w:placeholder>
                <w:docPart w:val="E7A2961A6536604C87B938C6C57844C0"/>
              </w:placeholder>
            </w:sdtPr>
            <w:sdtEndPr/>
            <w:sdtContent>
              <w:r w:rsidR="009A3BDF" w:rsidRPr="004D113C">
                <w:rPr>
                  <w:rFonts w:ascii="Arial" w:hAnsi="Arial" w:cs="Arial"/>
                  <w:color w:val="000000"/>
                </w:rPr>
                <w:t>[13]</w:t>
              </w:r>
            </w:sdtContent>
          </w:sdt>
        </w:sdtContent>
      </w:sdt>
      <w:r w:rsidRPr="004D113C">
        <w:rPr>
          <w:rFonts w:ascii="Arial" w:hAnsi="Arial" w:cs="Arial"/>
        </w:rPr>
        <w:t xml:space="preserve"> </w:t>
      </w:r>
    </w:p>
    <w:p w14:paraId="5BD0C52D" w14:textId="5833293A" w:rsidR="00C2054D" w:rsidRPr="004D113C" w:rsidRDefault="00C2054D" w:rsidP="0028779E">
      <w:pPr>
        <w:pStyle w:val="Body"/>
        <w:spacing w:after="0" w:line="480" w:lineRule="auto"/>
        <w:rPr>
          <w:rFonts w:ascii="Arial" w:hAnsi="Arial" w:cs="Arial"/>
          <w:sz w:val="22"/>
          <w:szCs w:val="22"/>
        </w:rPr>
      </w:pPr>
      <w:r w:rsidRPr="004D113C">
        <w:rPr>
          <w:rFonts w:ascii="Arial" w:hAnsi="Arial" w:cs="Arial"/>
        </w:rPr>
        <w:t xml:space="preserve">In the literature, it is stated that the incidence of hypothyroidism arising from endocrine abnormalities in patients with thalassemia (whether clinically or </w:t>
      </w:r>
      <w:r w:rsidR="00794793" w:rsidRPr="004D113C">
        <w:rPr>
          <w:rFonts w:ascii="Arial" w:hAnsi="Arial" w:cs="Arial"/>
        </w:rPr>
        <w:t>sub clinically</w:t>
      </w:r>
      <w:r w:rsidRPr="004D113C">
        <w:rPr>
          <w:rFonts w:ascii="Arial" w:hAnsi="Arial" w:cs="Arial"/>
        </w:rPr>
        <w:t xml:space="preserve"> manifested, whether primary or secondary) depends on the study, criteria, population, disease control, and therapy applied for beta thalassemia. Risk factors include: high ferritin levels (OR 0.98; 95% CI 0.96-0.99, </w:t>
      </w:r>
      <w:r w:rsidR="00255FC7" w:rsidRPr="004D113C">
        <w:rPr>
          <w:rFonts w:ascii="Arial" w:hAnsi="Arial" w:cs="Arial"/>
          <w:i/>
          <w:iCs/>
        </w:rPr>
        <w:t>P</w:t>
      </w:r>
      <w:r w:rsidRPr="004D113C">
        <w:rPr>
          <w:rFonts w:ascii="Arial" w:hAnsi="Arial" w:cs="Arial"/>
        </w:rPr>
        <w:t xml:space="preserve">= </w:t>
      </w:r>
      <w:r w:rsidR="009A3BDF" w:rsidRPr="004D113C">
        <w:rPr>
          <w:rFonts w:ascii="Arial" w:hAnsi="Arial" w:cs="Arial"/>
        </w:rPr>
        <w:t>0</w:t>
      </w:r>
      <w:r w:rsidRPr="004D113C">
        <w:rPr>
          <w:rFonts w:ascii="Arial" w:hAnsi="Arial" w:cs="Arial"/>
        </w:rPr>
        <w:t xml:space="preserve">.003), poor adherence to thalassemia beta major therapy (OR 0.38; 95% CI 0.16-093, </w:t>
      </w:r>
      <w:r w:rsidR="00255FC7" w:rsidRPr="004D113C">
        <w:rPr>
          <w:rFonts w:ascii="Arial" w:hAnsi="Arial" w:cs="Arial"/>
          <w:i/>
          <w:iCs/>
        </w:rPr>
        <w:t>P</w:t>
      </w:r>
      <w:r w:rsidRPr="004D113C">
        <w:rPr>
          <w:rFonts w:ascii="Arial" w:hAnsi="Arial" w:cs="Arial"/>
        </w:rPr>
        <w:t xml:space="preserve">= </w:t>
      </w:r>
      <w:r w:rsidR="009A3BDF" w:rsidRPr="004D113C">
        <w:rPr>
          <w:rFonts w:ascii="Arial" w:hAnsi="Arial" w:cs="Arial"/>
        </w:rPr>
        <w:t>0</w:t>
      </w:r>
      <w:r w:rsidR="00255FC7" w:rsidRPr="004D113C">
        <w:rPr>
          <w:rFonts w:ascii="Arial" w:hAnsi="Arial" w:cs="Arial"/>
        </w:rPr>
        <w:t>.</w:t>
      </w:r>
      <w:r w:rsidRPr="004D113C">
        <w:rPr>
          <w:rFonts w:ascii="Arial" w:hAnsi="Arial" w:cs="Arial"/>
        </w:rPr>
        <w:t>03), and use of combination iron chelation therapy as combination therapy is known to reduce the risk of endocrinopathies compared to monotherapy (</w:t>
      </w:r>
      <w:r w:rsidR="00255FC7" w:rsidRPr="004D113C">
        <w:rPr>
          <w:rFonts w:ascii="Arial" w:hAnsi="Arial" w:cs="Arial"/>
          <w:i/>
          <w:iCs/>
        </w:rPr>
        <w:t>P=</w:t>
      </w:r>
      <w:r w:rsidR="00255FC7" w:rsidRPr="004D113C">
        <w:rPr>
          <w:rFonts w:ascii="Arial" w:hAnsi="Arial" w:cs="Arial"/>
        </w:rPr>
        <w:t xml:space="preserve"> </w:t>
      </w:r>
      <w:r w:rsidRPr="004D113C">
        <w:rPr>
          <w:rFonts w:ascii="Arial" w:hAnsi="Arial" w:cs="Arial"/>
        </w:rPr>
        <w:t>.04). However, not all studies agree on the effect of iron chelation therapy on the incidence of thyroid dysfunction. FT4 and TSH did not correlate with serum ferritin levels, nor with the type and duration of oral iron chelation therapy and transfusion. The presumed mechanism that dominates this is a central process, i.e. mostly related to the pituitary.</w:t>
      </w:r>
      <w:sdt>
        <w:sdtPr>
          <w:rPr>
            <w:rFonts w:ascii="Arial" w:hAnsi="Arial" w:cs="Arial"/>
            <w:color w:val="000000"/>
            <w:vertAlign w:val="superscript"/>
          </w:rPr>
          <w:tag w:val="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"/>
          <w:id w:val="-1575358829"/>
          <w:placeholder>
            <w:docPart w:val="DefaultPlaceholder_-1854013440"/>
          </w:placeholder>
        </w:sdtPr>
        <w:sdtEndPr/>
        <w:sdtContent>
          <w:sdt>
            <w:sdtPr>
              <w:rPr>
                <w:rFonts w:ascii="Arial" w:hAnsi="Arial" w:cs="Arial"/>
                <w:color w:val="000000"/>
                <w:vertAlign w:val="superscript"/>
              </w:rPr>
              <w:tag w:val="MENDELEY_CITATION_v3_eyJjaXRhdGlvbklEIjoiTUVOREVMRVlfQ0lUQVRJT05fYjNkNzlmNGMtZDMwZS00NTAxLTllZmUtZjkzNTM3YTQwODFk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
              <w:id w:val="406813527"/>
              <w:placeholder>
                <w:docPart w:val="1A97A10BDCBA3343B29C1D480ADD269D"/>
              </w:placeholder>
            </w:sdtPr>
            <w:sdtEndPr/>
            <w:sdtContent>
              <w:r w:rsidR="009A3BDF" w:rsidRPr="004D113C">
                <w:rPr>
                  <w:rFonts w:ascii="Arial" w:hAnsi="Arial" w:cs="Arial"/>
                  <w:color w:val="000000"/>
                </w:rPr>
                <w:t>[14]</w:t>
              </w:r>
            </w:sdtContent>
          </w:sdt>
        </w:sdtContent>
      </w:sdt>
      <w:r w:rsidRPr="004D113C">
        <w:rPr>
          <w:rFonts w:ascii="Arial" w:hAnsi="Arial" w:cs="Arial"/>
        </w:rPr>
        <w:t xml:space="preserve"> However, one thing that is known for sure is that the administration of iron chelation therapy will help balance the amount of iron accumulated in blood transfusions by increasing iron removal in urine and/or feces with chelation. Due to the promising results of using iron chelation both monotherapy and in combination for the treatment of iron overload, research on iron-specific chelators including deferiprone (DFP), deferoxamine (DFO), and deferasirox (DFX) continues to grow.</w:t>
      </w:r>
      <w:sdt>
        <w:sdtPr>
          <w:rPr>
            <w:rFonts w:ascii="Arial" w:hAnsi="Arial" w:cs="Arial"/>
            <w:color w:val="000000"/>
            <w:vertAlign w:val="superscript"/>
          </w:rPr>
          <w:tag w:val="MENDELEY_CITATION_v3_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"/>
          <w:id w:val="875827343"/>
          <w:placeholder>
            <w:docPart w:val="DefaultPlaceholder_-1854013440"/>
          </w:placeholder>
        </w:sdtPr>
        <w:sdtEndPr/>
        <w:sdtContent>
          <w:sdt>
            <w:sdtPr>
              <w:rPr>
                <w:rFonts w:ascii="Arial" w:hAnsi="Arial" w:cs="Arial"/>
                <w:color w:val="000000"/>
                <w:vertAlign w:val="superscript"/>
              </w:rPr>
              <w:tag w:val="MENDELEY_CITATION_v3_eyJjaXRhdGlvbklEIjoiTUVOREVMRVlfQ0lUQVRJT05fYjNkNzlmNGMtZDMwZS00NTAxLTllZmUtZjkzNTM3YTQwODFk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
              <w:id w:val="-1663462544"/>
              <w:placeholder>
                <w:docPart w:val="7A13282F35CAFC419D1CA3F299D235A7"/>
              </w:placeholder>
            </w:sdtPr>
            <w:sdtEndPr/>
            <w:sdtContent>
              <w:r w:rsidR="009A3BDF" w:rsidRPr="004D113C">
                <w:rPr>
                  <w:rFonts w:ascii="Arial" w:hAnsi="Arial" w:cs="Arial"/>
                  <w:color w:val="000000"/>
                </w:rPr>
                <w:t>[15]</w:t>
              </w:r>
            </w:sdtContent>
          </w:sdt>
        </w:sdtContent>
      </w:sdt>
    </w:p>
    <w:p w14:paraId="7329310D" w14:textId="77777777" w:rsidR="00C2054D" w:rsidRPr="004D113C" w:rsidRDefault="00C2054D" w:rsidP="0028779E">
      <w:pPr>
        <w:pStyle w:val="Body"/>
        <w:spacing w:after="0" w:line="480" w:lineRule="auto"/>
        <w:rPr>
          <w:rFonts w:ascii="Arial" w:hAnsi="Arial" w:cs="Arial"/>
          <w:sz w:val="22"/>
          <w:szCs w:val="22"/>
        </w:rPr>
      </w:pPr>
    </w:p>
    <w:p w14:paraId="0E4BBA89" w14:textId="77777777" w:rsidR="00DB1B5A" w:rsidRPr="004D113C" w:rsidRDefault="00DB1B5A" w:rsidP="0028779E">
      <w:pPr>
        <w:pStyle w:val="Body"/>
        <w:spacing w:after="0" w:line="480" w:lineRule="auto"/>
        <w:rPr>
          <w:rFonts w:ascii="Arial" w:hAnsi="Arial" w:cs="Arial"/>
          <w:b/>
          <w:bCs/>
          <w:sz w:val="22"/>
          <w:szCs w:val="22"/>
        </w:rPr>
      </w:pPr>
      <w:r w:rsidRPr="004D113C">
        <w:rPr>
          <w:rFonts w:ascii="Arial" w:hAnsi="Arial" w:cs="Arial"/>
          <w:b/>
          <w:bCs/>
          <w:sz w:val="22"/>
          <w:szCs w:val="22"/>
        </w:rPr>
        <w:t>3.4 Strengths and limitations</w:t>
      </w:r>
    </w:p>
    <w:p w14:paraId="0A3FC229" w14:textId="6B2227DD" w:rsidR="00DB1B5A" w:rsidRPr="004D113C" w:rsidRDefault="00DB1B5A" w:rsidP="0028779E">
      <w:pPr>
        <w:pStyle w:val="Body"/>
        <w:spacing w:after="0" w:line="480" w:lineRule="auto"/>
      </w:pPr>
      <w:r w:rsidRPr="004D113C">
        <w:t xml:space="preserve">This study addresses the rare investigation of the relationship between age, duration of deferiprone iron chelation therapy, and thyroid function in patients with beta-thalassemia </w:t>
      </w:r>
      <w:r w:rsidRPr="004D113C">
        <w:lastRenderedPageBreak/>
        <w:t>major. Data collection involved comprehensive records, including medical records and laboratory results (pre-transfusion hemoglobin, ferritin, FT4, and TSH), from both inpatient and outpatient services at the Pediatric Department of RSUD Ulin, in collaboration with the Clinical Pathology Department. This approach enhances data accuracy. Additionally, the study focuses on deferiprone, the most commonly used iron chelation regimen, providing insights into its mechanism of action, efficacy, side effects, and recommended dosage.</w:t>
      </w:r>
    </w:p>
    <w:p w14:paraId="18602D3E" w14:textId="77777777" w:rsidR="00B57B50" w:rsidRPr="004D113C" w:rsidRDefault="00B57B50" w:rsidP="0028779E">
      <w:pPr>
        <w:pStyle w:val="Body"/>
        <w:spacing w:after="0" w:line="480" w:lineRule="auto"/>
      </w:pPr>
    </w:p>
    <w:p w14:paraId="4B084EB3" w14:textId="52B5F651" w:rsidR="00DB1B5A" w:rsidRPr="004D113C" w:rsidRDefault="00DB1B5A" w:rsidP="0028779E">
      <w:pPr>
        <w:pStyle w:val="Body"/>
        <w:spacing w:after="0" w:line="480" w:lineRule="auto"/>
        <w:rPr>
          <w:rFonts w:ascii="Arial" w:hAnsi="Arial" w:cs="Arial"/>
        </w:rPr>
      </w:pPr>
      <w:r w:rsidRPr="004D113C">
        <w:rPr>
          <w:rFonts w:ascii="Arial" w:hAnsi="Arial" w:cs="Arial"/>
        </w:rPr>
        <w:t xml:space="preserve">However, </w:t>
      </w:r>
      <w:r w:rsidRPr="004D113C">
        <w:t>this study does not account for confounding variables and fails to identify other risk factors for thyroid dysfunction in patients with beta-thalassemia major undergoing iron chelation therapy. These include nutritional status, monthly transfusion frequency, transfusion duration, age at first transfusion and iron chelation therapy, iron chelation regimen dosage, patient compliance, and whether monotherapy or combination therapy was used.</w:t>
      </w:r>
    </w:p>
    <w:p w14:paraId="18BFFE86" w14:textId="77777777" w:rsidR="00790ADA" w:rsidRPr="004D113C" w:rsidRDefault="00790ADA" w:rsidP="0028779E">
      <w:pPr>
        <w:pStyle w:val="Body"/>
        <w:spacing w:after="0" w:line="480" w:lineRule="auto"/>
        <w:rPr>
          <w:rFonts w:ascii="Arial" w:hAnsi="Arial" w:cs="Arial"/>
        </w:rPr>
      </w:pPr>
    </w:p>
    <w:p w14:paraId="189417D3" w14:textId="77777777" w:rsidR="00B01FCD" w:rsidRPr="004D113C" w:rsidRDefault="00000F8F" w:rsidP="0028779E">
      <w:pPr>
        <w:pStyle w:val="ConcHead"/>
        <w:spacing w:after="0" w:line="480" w:lineRule="auto"/>
        <w:jc w:val="both"/>
        <w:rPr>
          <w:rFonts w:ascii="Arial" w:hAnsi="Arial" w:cs="Arial"/>
          <w:szCs w:val="22"/>
        </w:rPr>
      </w:pPr>
      <w:r w:rsidRPr="004D113C">
        <w:rPr>
          <w:rFonts w:ascii="Arial" w:hAnsi="Arial" w:cs="Arial"/>
          <w:szCs w:val="22"/>
        </w:rPr>
        <w:t xml:space="preserve">4. </w:t>
      </w:r>
      <w:r w:rsidR="00B01FCD" w:rsidRPr="004D113C">
        <w:rPr>
          <w:rFonts w:ascii="Arial" w:hAnsi="Arial" w:cs="Arial"/>
          <w:szCs w:val="22"/>
        </w:rPr>
        <w:t>Conclusion</w:t>
      </w:r>
    </w:p>
    <w:p w14:paraId="06A0EC59" w14:textId="5BF94B6D" w:rsidR="00CC6910" w:rsidRPr="004D113C" w:rsidRDefault="00CC6910" w:rsidP="0028779E">
      <w:pPr>
        <w:pStyle w:val="NormalWeb"/>
        <w:spacing w:line="480" w:lineRule="auto"/>
        <w:jc w:val="both"/>
        <w:rPr>
          <w:rFonts w:ascii="Arial" w:hAnsi="Arial" w:cs="Arial"/>
          <w:color w:val="000000"/>
          <w:sz w:val="20"/>
          <w:szCs w:val="20"/>
        </w:rPr>
      </w:pPr>
      <w:r w:rsidRPr="004D113C">
        <w:rPr>
          <w:rFonts w:ascii="Arial" w:hAnsi="Arial" w:cs="Arial"/>
          <w:color w:val="000000"/>
          <w:sz w:val="20"/>
          <w:szCs w:val="20"/>
        </w:rPr>
        <w:t>The conclusion of this study is that neither the duration of deferiprone iron chelation therapy nor age is associated with thyroid function (euthyroid or hypothyroidism) in beta-thalassemia major patients at Ulin Regional General Hospital, Banjarmasin.</w:t>
      </w:r>
    </w:p>
    <w:p w14:paraId="308D2C8A" w14:textId="5CE4D99C" w:rsidR="00E977EA" w:rsidRPr="004D113C" w:rsidRDefault="00CC6910" w:rsidP="0028779E">
      <w:pPr>
        <w:pStyle w:val="NormalWeb"/>
        <w:spacing w:line="480" w:lineRule="auto"/>
        <w:jc w:val="both"/>
        <w:rPr>
          <w:rFonts w:ascii="Arial" w:hAnsi="Arial" w:cs="Arial"/>
          <w:color w:val="000000"/>
          <w:sz w:val="20"/>
          <w:szCs w:val="20"/>
        </w:rPr>
      </w:pPr>
      <w:r w:rsidRPr="004D113C">
        <w:rPr>
          <w:rStyle w:val="Strong"/>
          <w:rFonts w:ascii="Arial" w:hAnsi="Arial" w:cs="Arial"/>
          <w:color w:val="000000"/>
          <w:sz w:val="20"/>
          <w:szCs w:val="20"/>
        </w:rPr>
        <w:t>Recommendations:</w:t>
      </w:r>
      <w:r w:rsidRPr="004D113C">
        <w:rPr>
          <w:rStyle w:val="apple-converted-space"/>
          <w:rFonts w:ascii="Arial" w:hAnsi="Arial" w:cs="Arial"/>
          <w:color w:val="000000"/>
          <w:sz w:val="20"/>
          <w:szCs w:val="20"/>
        </w:rPr>
        <w:t> </w:t>
      </w:r>
      <w:r w:rsidRPr="004D113C">
        <w:rPr>
          <w:rFonts w:ascii="Arial" w:hAnsi="Arial" w:cs="Arial"/>
          <w:color w:val="000000"/>
          <w:sz w:val="20"/>
          <w:szCs w:val="20"/>
        </w:rPr>
        <w:t>Further research with a better study design, a larger sample size, and longer patient follow-up is needed to identify other risk factors affecting thyroid function in beta-thalassemia major patients undergoing iron chelation therapy. Additionally, more research and educational initiatives are required to establish and disseminate optimal iron chelation regimens, including type, formulation, dosage, and the use of monotherapy or combination therapy, for both physicians and patients.</w:t>
      </w:r>
    </w:p>
    <w:p w14:paraId="05775106" w14:textId="77777777" w:rsidR="00CC6910" w:rsidRPr="004D113C" w:rsidRDefault="00CC6910" w:rsidP="0028779E">
      <w:pPr>
        <w:pStyle w:val="NormalWeb"/>
        <w:spacing w:line="480" w:lineRule="auto"/>
        <w:jc w:val="both"/>
        <w:rPr>
          <w:rFonts w:ascii="Arial" w:hAnsi="Arial" w:cs="Arial"/>
          <w:color w:val="000000"/>
          <w:sz w:val="20"/>
          <w:szCs w:val="20"/>
        </w:rPr>
      </w:pPr>
    </w:p>
    <w:p w14:paraId="5F020CFB" w14:textId="77777777" w:rsidR="00CC6910" w:rsidRPr="004D113C" w:rsidRDefault="00CC6910" w:rsidP="0028779E">
      <w:pPr>
        <w:pStyle w:val="NormalWeb"/>
        <w:spacing w:line="480" w:lineRule="auto"/>
        <w:jc w:val="both"/>
        <w:rPr>
          <w:rFonts w:ascii="Arial" w:hAnsi="Arial" w:cs="Arial"/>
          <w:color w:val="000000"/>
          <w:sz w:val="20"/>
          <w:szCs w:val="20"/>
        </w:rPr>
      </w:pPr>
    </w:p>
    <w:p w14:paraId="76246964" w14:textId="77777777" w:rsidR="00CC6910" w:rsidRPr="004D113C" w:rsidRDefault="00CC6910" w:rsidP="0028779E">
      <w:pPr>
        <w:pStyle w:val="NormalWeb"/>
        <w:spacing w:line="480" w:lineRule="auto"/>
        <w:jc w:val="both"/>
        <w:rPr>
          <w:rFonts w:ascii="Arial" w:hAnsi="Arial" w:cs="Arial"/>
          <w:color w:val="000000"/>
          <w:sz w:val="20"/>
          <w:szCs w:val="20"/>
        </w:rPr>
      </w:pPr>
    </w:p>
    <w:p w14:paraId="52721EF2" w14:textId="77777777" w:rsidR="00C2199A" w:rsidRPr="004D113C" w:rsidRDefault="00C2199A" w:rsidP="0028779E">
      <w:pPr>
        <w:pStyle w:val="AcknHead"/>
        <w:spacing w:after="0" w:line="480" w:lineRule="auto"/>
        <w:jc w:val="both"/>
        <w:rPr>
          <w:rFonts w:ascii="Arial" w:hAnsi="Arial" w:cs="Arial"/>
        </w:rPr>
      </w:pPr>
      <w:r w:rsidRPr="004D113C">
        <w:rPr>
          <w:rFonts w:ascii="Arial" w:hAnsi="Arial" w:cs="Arial"/>
        </w:rPr>
        <w:t>CONSENT AND ETHICAL APPROVAL</w:t>
      </w:r>
    </w:p>
    <w:p w14:paraId="7F1A13EF" w14:textId="77777777" w:rsidR="00C2199A" w:rsidRPr="004D113C" w:rsidRDefault="00C2199A" w:rsidP="0028779E">
      <w:pPr>
        <w:pStyle w:val="AcknHead"/>
        <w:spacing w:after="0" w:line="480" w:lineRule="auto"/>
        <w:jc w:val="both"/>
        <w:rPr>
          <w:rFonts w:ascii="Arial" w:hAnsi="Arial" w:cs="Arial"/>
        </w:rPr>
      </w:pPr>
    </w:p>
    <w:p w14:paraId="1832ED8F" w14:textId="6D4FED19" w:rsidR="00C2199A" w:rsidRPr="004D113C" w:rsidRDefault="00C2199A" w:rsidP="0028779E">
      <w:pPr>
        <w:pStyle w:val="AcknHead"/>
        <w:spacing w:after="0" w:line="480" w:lineRule="auto"/>
        <w:jc w:val="both"/>
        <w:rPr>
          <w:rFonts w:ascii="Arial" w:hAnsi="Arial" w:cs="Arial"/>
          <w:b w:val="0"/>
          <w:bCs/>
          <w:caps w:val="0"/>
          <w:sz w:val="20"/>
        </w:rPr>
      </w:pPr>
      <w:r w:rsidRPr="004D113C">
        <w:rPr>
          <w:rFonts w:ascii="Arial" w:hAnsi="Arial" w:cs="Arial"/>
          <w:b w:val="0"/>
          <w:bCs/>
          <w:caps w:val="0"/>
          <w:sz w:val="20"/>
        </w:rPr>
        <w:t xml:space="preserve">The study was non-invasive. The prior written permission   of   the   institutional   authority   was taken.    The    written    </w:t>
      </w:r>
      <w:r w:rsidR="00794793" w:rsidRPr="004D113C">
        <w:rPr>
          <w:rFonts w:ascii="Arial" w:hAnsi="Arial" w:cs="Arial"/>
          <w:b w:val="0"/>
          <w:bCs/>
          <w:caps w:val="0"/>
          <w:sz w:val="20"/>
        </w:rPr>
        <w:t>informed consent was</w:t>
      </w:r>
      <w:r w:rsidRPr="004D113C">
        <w:rPr>
          <w:rFonts w:ascii="Arial" w:hAnsi="Arial" w:cs="Arial"/>
          <w:b w:val="0"/>
          <w:bCs/>
          <w:caps w:val="0"/>
          <w:sz w:val="20"/>
        </w:rPr>
        <w:t xml:space="preserve"> obtained from the study participants and their parents   after   the   purpose   of   the   study   was explained. Participants were informed that the data obtained from them would be kept confidential.</w:t>
      </w:r>
    </w:p>
    <w:p w14:paraId="3A5E9661" w14:textId="59BBC966" w:rsidR="008C4D66" w:rsidRPr="004D113C" w:rsidRDefault="008C4D66" w:rsidP="0028779E">
      <w:pPr>
        <w:pStyle w:val="AcknHead"/>
        <w:spacing w:after="0" w:line="480" w:lineRule="auto"/>
        <w:jc w:val="both"/>
        <w:rPr>
          <w:rFonts w:ascii="Arial" w:hAnsi="Arial" w:cs="Arial"/>
          <w:b w:val="0"/>
          <w:bCs/>
          <w:caps w:val="0"/>
          <w:sz w:val="20"/>
        </w:rPr>
      </w:pPr>
    </w:p>
    <w:p w14:paraId="7C6456A2" w14:textId="77777777" w:rsidR="00FB7A13" w:rsidRPr="004D113C" w:rsidRDefault="00FB7A13" w:rsidP="00FB7A13">
      <w:pPr>
        <w:spacing w:after="200" w:line="276" w:lineRule="auto"/>
        <w:rPr>
          <w:rFonts w:ascii="Calibri" w:eastAsia="Calibri" w:hAnsi="Calibri"/>
          <w:kern w:val="2"/>
          <w:sz w:val="22"/>
          <w:szCs w:val="22"/>
          <w14:ligatures w14:val="standardContextual"/>
        </w:rPr>
      </w:pPr>
      <w:bookmarkStart w:id="0" w:name="_Hlk190852809"/>
      <w:r w:rsidRPr="004D113C">
        <w:rPr>
          <w:rFonts w:ascii="Calibri" w:eastAsia="Calibri" w:hAnsi="Calibri"/>
          <w:kern w:val="2"/>
          <w:sz w:val="22"/>
          <w:szCs w:val="22"/>
          <w14:ligatures w14:val="standardContextual"/>
        </w:rPr>
        <w:t>Disclaimer (Artificial intelligence)</w:t>
      </w:r>
    </w:p>
    <w:p w14:paraId="305C8EF2" w14:textId="77777777" w:rsidR="00FB7A13" w:rsidRPr="004D113C" w:rsidRDefault="00FB7A13" w:rsidP="00FB7A13">
      <w:pPr>
        <w:spacing w:after="200" w:line="276" w:lineRule="auto"/>
        <w:rPr>
          <w:rFonts w:ascii="Calibri" w:eastAsia="Calibri" w:hAnsi="Calibri"/>
          <w:kern w:val="2"/>
          <w:sz w:val="22"/>
          <w:szCs w:val="22"/>
          <w14:ligatures w14:val="standardContextual"/>
        </w:rPr>
      </w:pPr>
      <w:r w:rsidRPr="004D113C">
        <w:rPr>
          <w:rFonts w:ascii="Calibri" w:eastAsia="Calibri" w:hAnsi="Calibri"/>
          <w:kern w:val="2"/>
          <w:sz w:val="22"/>
          <w:szCs w:val="22"/>
          <w14:ligatures w14:val="standardContextual"/>
        </w:rPr>
        <w:t xml:space="preserve">Option 1: </w:t>
      </w:r>
    </w:p>
    <w:p w14:paraId="69E4AAC2" w14:textId="77777777" w:rsidR="00FB7A13" w:rsidRPr="004D113C" w:rsidRDefault="00FB7A13" w:rsidP="00FB7A13">
      <w:pPr>
        <w:spacing w:after="200" w:line="276" w:lineRule="auto"/>
        <w:rPr>
          <w:rFonts w:ascii="Calibri" w:eastAsia="Calibri" w:hAnsi="Calibri"/>
          <w:kern w:val="2"/>
          <w:sz w:val="22"/>
          <w:szCs w:val="22"/>
          <w14:ligatures w14:val="standardContextual"/>
        </w:rPr>
      </w:pPr>
      <w:r w:rsidRPr="004D113C">
        <w:rPr>
          <w:rFonts w:ascii="Calibri" w:eastAsia="Calibri" w:hAnsi="Calibri"/>
          <w:kern w:val="2"/>
          <w:sz w:val="22"/>
          <w:szCs w:val="22"/>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0477D44F" w14:textId="77777777" w:rsidR="00FB7A13" w:rsidRPr="004D113C" w:rsidRDefault="00FB7A13" w:rsidP="00FB7A13">
      <w:pPr>
        <w:spacing w:after="200" w:line="276" w:lineRule="auto"/>
        <w:rPr>
          <w:rFonts w:ascii="Calibri" w:eastAsia="Calibri" w:hAnsi="Calibri"/>
          <w:kern w:val="2"/>
          <w:sz w:val="22"/>
          <w:szCs w:val="22"/>
          <w14:ligatures w14:val="standardContextual"/>
        </w:rPr>
      </w:pPr>
      <w:r w:rsidRPr="004D113C">
        <w:rPr>
          <w:rFonts w:ascii="Calibri" w:eastAsia="Calibri" w:hAnsi="Calibri"/>
          <w:kern w:val="2"/>
          <w:sz w:val="22"/>
          <w:szCs w:val="22"/>
          <w14:ligatures w14:val="standardContextual"/>
        </w:rPr>
        <w:t xml:space="preserve">Option 2: </w:t>
      </w:r>
    </w:p>
    <w:p w14:paraId="04188989" w14:textId="77777777" w:rsidR="00FB7A13" w:rsidRPr="004D113C" w:rsidRDefault="00FB7A13" w:rsidP="00FB7A13">
      <w:pPr>
        <w:spacing w:after="200" w:line="276" w:lineRule="auto"/>
        <w:rPr>
          <w:rFonts w:ascii="Calibri" w:eastAsia="Calibri" w:hAnsi="Calibri"/>
          <w:kern w:val="2"/>
          <w:sz w:val="22"/>
          <w:szCs w:val="22"/>
          <w14:ligatures w14:val="standardContextual"/>
        </w:rPr>
      </w:pPr>
      <w:r w:rsidRPr="004D113C">
        <w:rPr>
          <w:rFonts w:ascii="Calibri" w:eastAsia="Calibri" w:hAnsi="Calibri"/>
          <w:kern w:val="2"/>
          <w:sz w:val="22"/>
          <w:szCs w:val="2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C60EE0A" w14:textId="77777777" w:rsidR="00FB7A13" w:rsidRPr="004D113C" w:rsidRDefault="00FB7A13" w:rsidP="00FB7A13">
      <w:pPr>
        <w:spacing w:after="200" w:line="276" w:lineRule="auto"/>
        <w:rPr>
          <w:rFonts w:ascii="Calibri" w:eastAsia="Calibri" w:hAnsi="Calibri"/>
          <w:kern w:val="2"/>
          <w:sz w:val="22"/>
          <w:szCs w:val="22"/>
          <w14:ligatures w14:val="standardContextual"/>
        </w:rPr>
      </w:pPr>
      <w:r w:rsidRPr="004D113C">
        <w:rPr>
          <w:rFonts w:ascii="Calibri" w:eastAsia="Calibri" w:hAnsi="Calibri"/>
          <w:kern w:val="2"/>
          <w:sz w:val="22"/>
          <w:szCs w:val="22"/>
          <w14:ligatures w14:val="standardContextual"/>
        </w:rPr>
        <w:t>Details of the AI usage are given below:</w:t>
      </w:r>
    </w:p>
    <w:p w14:paraId="6D98C1FB" w14:textId="77777777" w:rsidR="00FB7A13" w:rsidRPr="004D113C" w:rsidRDefault="00FB7A13" w:rsidP="00FB7A13">
      <w:pPr>
        <w:spacing w:after="200" w:line="276" w:lineRule="auto"/>
        <w:rPr>
          <w:rFonts w:ascii="Calibri" w:eastAsia="Calibri" w:hAnsi="Calibri"/>
          <w:kern w:val="2"/>
          <w:sz w:val="22"/>
          <w:szCs w:val="22"/>
          <w14:ligatures w14:val="standardContextual"/>
        </w:rPr>
      </w:pPr>
      <w:r w:rsidRPr="004D113C">
        <w:rPr>
          <w:rFonts w:ascii="Calibri" w:eastAsia="Calibri" w:hAnsi="Calibri"/>
          <w:kern w:val="2"/>
          <w:sz w:val="22"/>
          <w:szCs w:val="22"/>
          <w14:ligatures w14:val="standardContextual"/>
        </w:rPr>
        <w:t>1.</w:t>
      </w:r>
    </w:p>
    <w:p w14:paraId="1856BDE9" w14:textId="77777777" w:rsidR="00FB7A13" w:rsidRPr="004D113C" w:rsidRDefault="00FB7A13" w:rsidP="00FB7A13">
      <w:pPr>
        <w:spacing w:after="200" w:line="276" w:lineRule="auto"/>
        <w:rPr>
          <w:rFonts w:ascii="Calibri" w:eastAsia="Calibri" w:hAnsi="Calibri"/>
          <w:kern w:val="2"/>
          <w:sz w:val="22"/>
          <w:szCs w:val="22"/>
          <w14:ligatures w14:val="standardContextual"/>
        </w:rPr>
      </w:pPr>
      <w:r w:rsidRPr="004D113C">
        <w:rPr>
          <w:rFonts w:ascii="Calibri" w:eastAsia="Calibri" w:hAnsi="Calibri"/>
          <w:kern w:val="2"/>
          <w:sz w:val="22"/>
          <w:szCs w:val="22"/>
          <w14:ligatures w14:val="standardContextual"/>
        </w:rPr>
        <w:t>2.</w:t>
      </w:r>
    </w:p>
    <w:p w14:paraId="52C053B5" w14:textId="77777777" w:rsidR="00FB7A13" w:rsidRPr="004D113C" w:rsidRDefault="00FB7A13" w:rsidP="00FB7A13">
      <w:pPr>
        <w:spacing w:after="200" w:line="276" w:lineRule="auto"/>
        <w:rPr>
          <w:rFonts w:ascii="Calibri" w:eastAsia="Calibri" w:hAnsi="Calibri"/>
          <w:kern w:val="2"/>
          <w:sz w:val="22"/>
          <w:szCs w:val="22"/>
          <w14:ligatures w14:val="standardContextual"/>
        </w:rPr>
      </w:pPr>
      <w:r w:rsidRPr="004D113C">
        <w:rPr>
          <w:rFonts w:ascii="Calibri" w:eastAsia="Calibri" w:hAnsi="Calibri"/>
          <w:kern w:val="2"/>
          <w:sz w:val="22"/>
          <w:szCs w:val="22"/>
          <w14:ligatures w14:val="standardContextual"/>
        </w:rPr>
        <w:t>3.</w:t>
      </w:r>
    </w:p>
    <w:bookmarkEnd w:id="0"/>
    <w:p w14:paraId="37582C35" w14:textId="77777777" w:rsidR="00FB7A13" w:rsidRPr="004D113C" w:rsidRDefault="00FB7A13" w:rsidP="00FB7A13">
      <w:pPr>
        <w:spacing w:after="200" w:line="276" w:lineRule="auto"/>
        <w:rPr>
          <w:rFonts w:ascii="Calibri" w:eastAsia="Calibri" w:hAnsi="Calibri"/>
          <w:kern w:val="2"/>
          <w:sz w:val="22"/>
          <w:szCs w:val="22"/>
          <w14:ligatures w14:val="standardContextual"/>
        </w:rPr>
      </w:pPr>
    </w:p>
    <w:p w14:paraId="142A36CF" w14:textId="77777777" w:rsidR="008C4D66" w:rsidRPr="004D113C" w:rsidRDefault="008C4D66" w:rsidP="0028779E">
      <w:pPr>
        <w:pStyle w:val="AcknHead"/>
        <w:spacing w:after="0" w:line="480" w:lineRule="auto"/>
        <w:jc w:val="both"/>
        <w:rPr>
          <w:rFonts w:ascii="Arial" w:hAnsi="Arial" w:cs="Arial"/>
          <w:b w:val="0"/>
          <w:bCs/>
          <w:caps w:val="0"/>
          <w:sz w:val="20"/>
        </w:rPr>
      </w:pPr>
    </w:p>
    <w:p w14:paraId="18759A41" w14:textId="77777777" w:rsidR="00860000" w:rsidRPr="004D113C" w:rsidRDefault="00860000" w:rsidP="0028779E">
      <w:pPr>
        <w:pStyle w:val="ReferHead"/>
        <w:spacing w:after="0" w:line="480" w:lineRule="auto"/>
        <w:jc w:val="both"/>
        <w:rPr>
          <w:rFonts w:ascii="Arial" w:hAnsi="Arial" w:cs="Arial"/>
          <w:sz w:val="20"/>
        </w:rPr>
      </w:pPr>
    </w:p>
    <w:p w14:paraId="72AB6C74" w14:textId="42BF8453" w:rsidR="00B01FCD" w:rsidRPr="004D113C" w:rsidRDefault="00B01FCD" w:rsidP="0028779E">
      <w:pPr>
        <w:pStyle w:val="ReferHead"/>
        <w:spacing w:after="0" w:line="480" w:lineRule="auto"/>
        <w:jc w:val="both"/>
        <w:rPr>
          <w:rFonts w:ascii="Arial" w:hAnsi="Arial" w:cs="Arial"/>
        </w:rPr>
      </w:pPr>
      <w:r w:rsidRPr="004D113C">
        <w:rPr>
          <w:rFonts w:ascii="Arial" w:hAnsi="Arial" w:cs="Arial"/>
        </w:rPr>
        <w:t>References</w:t>
      </w:r>
    </w:p>
    <w:p w14:paraId="48442FD4" w14:textId="77777777" w:rsidR="00B57B50" w:rsidRPr="004D113C" w:rsidRDefault="00B57B50" w:rsidP="0028779E">
      <w:pPr>
        <w:pStyle w:val="ReferHead"/>
        <w:spacing w:after="0" w:line="480" w:lineRule="auto"/>
        <w:jc w:val="both"/>
        <w:rPr>
          <w:rFonts w:ascii="Arial" w:hAnsi="Arial" w:cs="Arial"/>
        </w:rPr>
      </w:pPr>
    </w:p>
    <w:sdt>
      <w:sdtPr>
        <w:rPr>
          <w:rFonts w:ascii="Arial" w:hAnsi="Arial" w:cs="Arial"/>
          <w:b/>
          <w:caps/>
          <w:color w:val="000000"/>
          <w:sz w:val="22"/>
        </w:rPr>
        <w:tag w:val="MENDELEY_BIBLIOGRAPHY"/>
        <w:id w:val="-127019685"/>
        <w:placeholder>
          <w:docPart w:val="DefaultPlaceholder_-1854013440"/>
        </w:placeholder>
      </w:sdtPr>
      <w:sdtEndPr/>
      <w:sdtContent>
        <w:p w14:paraId="356C8ADD" w14:textId="77777777" w:rsidR="00C2054D" w:rsidRPr="004D113C" w:rsidRDefault="00C2054D" w:rsidP="0028779E">
          <w:pPr>
            <w:autoSpaceDE w:val="0"/>
            <w:autoSpaceDN w:val="0"/>
            <w:spacing w:line="480" w:lineRule="auto"/>
            <w:ind w:hanging="640"/>
            <w:jc w:val="both"/>
            <w:divId w:val="775096858"/>
            <w:rPr>
              <w:sz w:val="24"/>
              <w:szCs w:val="24"/>
            </w:rPr>
          </w:pPr>
          <w:r w:rsidRPr="004D113C">
            <w:t xml:space="preserve">1. </w:t>
          </w:r>
          <w:r w:rsidRPr="004D113C">
            <w:tab/>
            <w:t xml:space="preserve">Ibrahim AS, El-Fatah AHA, El-Halim AFA, Mohamed FF. Assessment of hypothyroidism among adult patients suffering from beta thalassemia major. Mansoura Medical Journal. 2023;52(1). </w:t>
          </w:r>
        </w:p>
        <w:p w14:paraId="20180958" w14:textId="77777777" w:rsidR="00C2054D" w:rsidRPr="004D113C" w:rsidRDefault="00C2054D" w:rsidP="0028779E">
          <w:pPr>
            <w:autoSpaceDE w:val="0"/>
            <w:autoSpaceDN w:val="0"/>
            <w:spacing w:line="480" w:lineRule="auto"/>
            <w:ind w:hanging="640"/>
            <w:jc w:val="both"/>
            <w:divId w:val="79060169"/>
          </w:pPr>
          <w:r w:rsidRPr="004D113C">
            <w:t xml:space="preserve">2. </w:t>
          </w:r>
          <w:r w:rsidRPr="004D113C">
            <w:tab/>
          </w:r>
          <w:proofErr w:type="spellStart"/>
          <w:r w:rsidRPr="004D113C">
            <w:t>Haghpanah</w:t>
          </w:r>
          <w:proofErr w:type="spellEnd"/>
          <w:r w:rsidRPr="004D113C">
            <w:t xml:space="preserve"> S, Hosseini-</w:t>
          </w:r>
          <w:proofErr w:type="spellStart"/>
          <w:r w:rsidRPr="004D113C">
            <w:t>Bensenjan</w:t>
          </w:r>
          <w:proofErr w:type="spellEnd"/>
          <w:r w:rsidRPr="004D113C">
            <w:t xml:space="preserve"> M, </w:t>
          </w:r>
          <w:proofErr w:type="spellStart"/>
          <w:r w:rsidRPr="004D113C">
            <w:t>Sayadi</w:t>
          </w:r>
          <w:proofErr w:type="spellEnd"/>
          <w:r w:rsidRPr="004D113C">
            <w:t xml:space="preserve"> M, </w:t>
          </w:r>
          <w:proofErr w:type="spellStart"/>
          <w:r w:rsidRPr="004D113C">
            <w:t>Karimi</w:t>
          </w:r>
          <w:proofErr w:type="spellEnd"/>
          <w:r w:rsidRPr="004D113C">
            <w:t xml:space="preserve"> M, de </w:t>
          </w:r>
          <w:proofErr w:type="spellStart"/>
          <w:r w:rsidRPr="004D113C">
            <w:t>Sanctis</w:t>
          </w:r>
          <w:proofErr w:type="spellEnd"/>
          <w:r w:rsidRPr="004D113C">
            <w:t xml:space="preserve"> V, </w:t>
          </w:r>
          <w:proofErr w:type="spellStart"/>
          <w:r w:rsidRPr="004D113C">
            <w:t>Ramzi</w:t>
          </w:r>
          <w:proofErr w:type="spellEnd"/>
          <w:r w:rsidRPr="004D113C">
            <w:t xml:space="preserve"> M, et al. The Prevalence of Hypothyroidism among Patients With β-Thalassemia: A Systematic Review and Meta-Analysis of Cross-Sectional Studies. Vol. 45, Hemoglobin. 2021. </w:t>
          </w:r>
        </w:p>
        <w:p w14:paraId="552B2C44" w14:textId="77777777" w:rsidR="00C2054D" w:rsidRPr="004D113C" w:rsidRDefault="00C2054D" w:rsidP="0028779E">
          <w:pPr>
            <w:autoSpaceDE w:val="0"/>
            <w:autoSpaceDN w:val="0"/>
            <w:spacing w:line="480" w:lineRule="auto"/>
            <w:ind w:hanging="640"/>
            <w:jc w:val="both"/>
            <w:divId w:val="467821856"/>
          </w:pPr>
          <w:r w:rsidRPr="004D113C">
            <w:t xml:space="preserve">3. </w:t>
          </w:r>
          <w:r w:rsidRPr="004D113C">
            <w:tab/>
            <w:t xml:space="preserve">De </w:t>
          </w:r>
          <w:proofErr w:type="spellStart"/>
          <w:r w:rsidRPr="004D113C">
            <w:t>Sanctis</w:t>
          </w:r>
          <w:proofErr w:type="spellEnd"/>
          <w:r w:rsidRPr="004D113C">
            <w:t xml:space="preserve"> V, </w:t>
          </w:r>
          <w:proofErr w:type="spellStart"/>
          <w:r w:rsidRPr="004D113C">
            <w:t>Soliman</w:t>
          </w:r>
          <w:proofErr w:type="spellEnd"/>
          <w:r w:rsidRPr="004D113C">
            <w:t xml:space="preserve"> A, </w:t>
          </w:r>
          <w:proofErr w:type="spellStart"/>
          <w:r w:rsidRPr="004D113C">
            <w:t>Candini</w:t>
          </w:r>
          <w:proofErr w:type="spellEnd"/>
          <w:r w:rsidRPr="004D113C">
            <w:t xml:space="preserve"> G, </w:t>
          </w:r>
          <w:proofErr w:type="spellStart"/>
          <w:r w:rsidRPr="004D113C">
            <w:t>Campisi</w:t>
          </w:r>
          <w:proofErr w:type="spellEnd"/>
          <w:r w:rsidRPr="004D113C">
            <w:t xml:space="preserve"> S, Anastasi S, </w:t>
          </w:r>
          <w:proofErr w:type="spellStart"/>
          <w:r w:rsidRPr="004D113C">
            <w:t>Iassin</w:t>
          </w:r>
          <w:proofErr w:type="spellEnd"/>
          <w:r w:rsidRPr="004D113C">
            <w:t xml:space="preserve"> M. High prevalence of central hypothyroidism in adult patients with β-thalassemia major. Georgian Med News. 2013;(222). </w:t>
          </w:r>
        </w:p>
        <w:p w14:paraId="744E087D" w14:textId="77777777" w:rsidR="00C2054D" w:rsidRPr="004D113C" w:rsidRDefault="00C2054D" w:rsidP="0028779E">
          <w:pPr>
            <w:autoSpaceDE w:val="0"/>
            <w:autoSpaceDN w:val="0"/>
            <w:spacing w:line="480" w:lineRule="auto"/>
            <w:ind w:hanging="640"/>
            <w:jc w:val="both"/>
            <w:divId w:val="529222784"/>
          </w:pPr>
          <w:r w:rsidRPr="004D113C">
            <w:t xml:space="preserve">4. </w:t>
          </w:r>
          <w:r w:rsidRPr="004D113C">
            <w:tab/>
            <w:t xml:space="preserve">Singhal A, Goyal H. Thyroid dysfunction in beta thalassemia major patients. Thyroid Research and Practice. 2020;17(2). </w:t>
          </w:r>
        </w:p>
        <w:p w14:paraId="70A890CE" w14:textId="77777777" w:rsidR="00C2054D" w:rsidRPr="004D113C" w:rsidRDefault="00C2054D" w:rsidP="0028779E">
          <w:pPr>
            <w:autoSpaceDE w:val="0"/>
            <w:autoSpaceDN w:val="0"/>
            <w:spacing w:line="480" w:lineRule="auto"/>
            <w:ind w:hanging="640"/>
            <w:jc w:val="both"/>
            <w:divId w:val="2051605900"/>
          </w:pPr>
          <w:r w:rsidRPr="004D113C">
            <w:t xml:space="preserve">5. </w:t>
          </w:r>
          <w:r w:rsidRPr="004D113C">
            <w:tab/>
          </w:r>
          <w:proofErr w:type="spellStart"/>
          <w:r w:rsidRPr="004D113C">
            <w:t>Bilgin</w:t>
          </w:r>
          <w:proofErr w:type="spellEnd"/>
          <w:r w:rsidRPr="004D113C">
            <w:t xml:space="preserve"> BK, </w:t>
          </w:r>
          <w:proofErr w:type="spellStart"/>
          <w:r w:rsidRPr="004D113C">
            <w:t>Yozgat</w:t>
          </w:r>
          <w:proofErr w:type="spellEnd"/>
          <w:r w:rsidRPr="004D113C">
            <w:t xml:space="preserve"> AK, </w:t>
          </w:r>
          <w:proofErr w:type="spellStart"/>
          <w:r w:rsidRPr="004D113C">
            <w:t>Isik</w:t>
          </w:r>
          <w:proofErr w:type="spellEnd"/>
          <w:r w:rsidRPr="004D113C">
            <w:t xml:space="preserve"> P, </w:t>
          </w:r>
          <w:proofErr w:type="spellStart"/>
          <w:r w:rsidRPr="004D113C">
            <w:t>Çulha</w:t>
          </w:r>
          <w:proofErr w:type="spellEnd"/>
          <w:r w:rsidRPr="004D113C">
            <w:t xml:space="preserve"> V, </w:t>
          </w:r>
          <w:proofErr w:type="spellStart"/>
          <w:r w:rsidRPr="004D113C">
            <w:t>Kacar</w:t>
          </w:r>
          <w:proofErr w:type="spellEnd"/>
          <w:r w:rsidRPr="004D113C">
            <w:t xml:space="preserve"> D, Kara A, et al. The effect of deferasirox on endocrine complications in children with thalassemia. </w:t>
          </w:r>
          <w:proofErr w:type="spellStart"/>
          <w:r w:rsidRPr="004D113C">
            <w:t>Pediatr</w:t>
          </w:r>
          <w:proofErr w:type="spellEnd"/>
          <w:r w:rsidRPr="004D113C">
            <w:t xml:space="preserve"> </w:t>
          </w:r>
          <w:proofErr w:type="spellStart"/>
          <w:r w:rsidRPr="004D113C">
            <w:t>Hematol</w:t>
          </w:r>
          <w:proofErr w:type="spellEnd"/>
          <w:r w:rsidRPr="004D113C">
            <w:t xml:space="preserve"> </w:t>
          </w:r>
          <w:proofErr w:type="spellStart"/>
          <w:r w:rsidRPr="004D113C">
            <w:t>Oncol</w:t>
          </w:r>
          <w:proofErr w:type="spellEnd"/>
          <w:r w:rsidRPr="004D113C">
            <w:t xml:space="preserve">. 2020;37(6). </w:t>
          </w:r>
        </w:p>
        <w:p w14:paraId="0DC8102C" w14:textId="77777777" w:rsidR="00C2054D" w:rsidRPr="004D113C" w:rsidRDefault="00C2054D" w:rsidP="0028779E">
          <w:pPr>
            <w:autoSpaceDE w:val="0"/>
            <w:autoSpaceDN w:val="0"/>
            <w:spacing w:line="480" w:lineRule="auto"/>
            <w:ind w:hanging="640"/>
            <w:jc w:val="both"/>
            <w:divId w:val="1231766757"/>
          </w:pPr>
          <w:r w:rsidRPr="004D113C">
            <w:t xml:space="preserve">6. </w:t>
          </w:r>
          <w:r w:rsidRPr="004D113C">
            <w:tab/>
            <w:t xml:space="preserve">Chaker L, Bianco AC, </w:t>
          </w:r>
          <w:proofErr w:type="spellStart"/>
          <w:r w:rsidRPr="004D113C">
            <w:t>Jonklaas</w:t>
          </w:r>
          <w:proofErr w:type="spellEnd"/>
          <w:r w:rsidRPr="004D113C">
            <w:t xml:space="preserve"> J, </w:t>
          </w:r>
          <w:proofErr w:type="spellStart"/>
          <w:r w:rsidRPr="004D113C">
            <w:t>Peeters</w:t>
          </w:r>
          <w:proofErr w:type="spellEnd"/>
          <w:r w:rsidRPr="004D113C">
            <w:t xml:space="preserve"> RP. Hypothyroidism. Lancet [Internet]. 2017 Sep 23 [cited 2024 Dec 2];390(10101):1550–62. Available from: https://pubmed.ncbi.nlm.nih.gov/28336049/</w:t>
          </w:r>
        </w:p>
        <w:p w14:paraId="4F2119A9" w14:textId="77777777" w:rsidR="00C2054D" w:rsidRPr="004D113C" w:rsidRDefault="00C2054D" w:rsidP="0028779E">
          <w:pPr>
            <w:autoSpaceDE w:val="0"/>
            <w:autoSpaceDN w:val="0"/>
            <w:spacing w:line="480" w:lineRule="auto"/>
            <w:ind w:hanging="640"/>
            <w:jc w:val="both"/>
            <w:divId w:val="617490426"/>
          </w:pPr>
          <w:r w:rsidRPr="004D113C">
            <w:t xml:space="preserve">7. </w:t>
          </w:r>
          <w:r w:rsidRPr="004D113C">
            <w:tab/>
          </w:r>
          <w:proofErr w:type="spellStart"/>
          <w:r w:rsidRPr="004D113C">
            <w:t>Bordbar</w:t>
          </w:r>
          <w:proofErr w:type="spellEnd"/>
          <w:r w:rsidRPr="004D113C">
            <w:t xml:space="preserve"> M, </w:t>
          </w:r>
          <w:proofErr w:type="spellStart"/>
          <w:r w:rsidRPr="004D113C">
            <w:t>Bozorgi</w:t>
          </w:r>
          <w:proofErr w:type="spellEnd"/>
          <w:r w:rsidRPr="004D113C">
            <w:t xml:space="preserve"> H, Saki F, </w:t>
          </w:r>
          <w:proofErr w:type="spellStart"/>
          <w:r w:rsidRPr="004D113C">
            <w:t>Haghpanah</w:t>
          </w:r>
          <w:proofErr w:type="spellEnd"/>
          <w:r w:rsidRPr="004D113C">
            <w:t xml:space="preserve"> S, </w:t>
          </w:r>
          <w:proofErr w:type="spellStart"/>
          <w:r w:rsidRPr="004D113C">
            <w:t>Karimi</w:t>
          </w:r>
          <w:proofErr w:type="spellEnd"/>
          <w:r w:rsidRPr="004D113C">
            <w:t xml:space="preserve"> M, </w:t>
          </w:r>
          <w:proofErr w:type="spellStart"/>
          <w:r w:rsidRPr="004D113C">
            <w:t>Bazrafshan</w:t>
          </w:r>
          <w:proofErr w:type="spellEnd"/>
          <w:r w:rsidRPr="004D113C">
            <w:t xml:space="preserve"> A, et al. Prevalence of endocrine disorders and their associated factors in transfusion-dependent thalassemia patients: a historical cohort study in Southern Iran. J Endocrinol Invest. 2019;42(12). </w:t>
          </w:r>
        </w:p>
        <w:p w14:paraId="43E252A5" w14:textId="77777777" w:rsidR="00C2054D" w:rsidRPr="004D113C" w:rsidRDefault="00C2054D" w:rsidP="0028779E">
          <w:pPr>
            <w:autoSpaceDE w:val="0"/>
            <w:autoSpaceDN w:val="0"/>
            <w:spacing w:line="480" w:lineRule="auto"/>
            <w:ind w:hanging="640"/>
            <w:jc w:val="both"/>
            <w:divId w:val="845248018"/>
          </w:pPr>
          <w:r w:rsidRPr="004D113C">
            <w:lastRenderedPageBreak/>
            <w:t xml:space="preserve">8. </w:t>
          </w:r>
          <w:r w:rsidRPr="004D113C">
            <w:tab/>
          </w:r>
          <w:proofErr w:type="spellStart"/>
          <w:r w:rsidRPr="004D113C">
            <w:t>Rindang</w:t>
          </w:r>
          <w:proofErr w:type="spellEnd"/>
          <w:r w:rsidRPr="004D113C">
            <w:t xml:space="preserve"> C, Batubara JRL, </w:t>
          </w:r>
          <w:proofErr w:type="spellStart"/>
          <w:r w:rsidRPr="004D113C">
            <w:t>Amalia</w:t>
          </w:r>
          <w:proofErr w:type="spellEnd"/>
          <w:r w:rsidRPr="004D113C">
            <w:t xml:space="preserve"> P, </w:t>
          </w:r>
          <w:proofErr w:type="spellStart"/>
          <w:r w:rsidRPr="004D113C">
            <w:t>Satari</w:t>
          </w:r>
          <w:proofErr w:type="spellEnd"/>
          <w:r w:rsidRPr="004D113C">
            <w:t xml:space="preserve"> H. Some aspects of thyroid dysfunction in thalassemia major patients with severe iron overload. </w:t>
          </w:r>
          <w:proofErr w:type="spellStart"/>
          <w:r w:rsidRPr="004D113C">
            <w:t>Paediatr</w:t>
          </w:r>
          <w:proofErr w:type="spellEnd"/>
          <w:r w:rsidRPr="004D113C">
            <w:t xml:space="preserve"> </w:t>
          </w:r>
          <w:proofErr w:type="spellStart"/>
          <w:r w:rsidRPr="004D113C">
            <w:t>Indones</w:t>
          </w:r>
          <w:proofErr w:type="spellEnd"/>
          <w:r w:rsidRPr="004D113C">
            <w:t xml:space="preserve">. 2011;51(2). </w:t>
          </w:r>
        </w:p>
        <w:p w14:paraId="5C894D25" w14:textId="77777777" w:rsidR="00C2054D" w:rsidRPr="004D113C" w:rsidRDefault="00C2054D" w:rsidP="0028779E">
          <w:pPr>
            <w:autoSpaceDE w:val="0"/>
            <w:autoSpaceDN w:val="0"/>
            <w:spacing w:line="480" w:lineRule="auto"/>
            <w:ind w:hanging="640"/>
            <w:jc w:val="both"/>
            <w:divId w:val="1276018620"/>
          </w:pPr>
          <w:r w:rsidRPr="004D113C">
            <w:t xml:space="preserve">9. </w:t>
          </w:r>
          <w:r w:rsidRPr="004D113C">
            <w:tab/>
            <w:t xml:space="preserve">Maggio A, </w:t>
          </w:r>
          <w:proofErr w:type="spellStart"/>
          <w:r w:rsidRPr="004D113C">
            <w:t>Kattamis</w:t>
          </w:r>
          <w:proofErr w:type="spellEnd"/>
          <w:r w:rsidRPr="004D113C">
            <w:t xml:space="preserve"> A, </w:t>
          </w:r>
          <w:proofErr w:type="spellStart"/>
          <w:r w:rsidRPr="004D113C">
            <w:t>Felisi</w:t>
          </w:r>
          <w:proofErr w:type="spellEnd"/>
          <w:r w:rsidRPr="004D113C">
            <w:t xml:space="preserve"> M, </w:t>
          </w:r>
          <w:proofErr w:type="spellStart"/>
          <w:r w:rsidRPr="004D113C">
            <w:t>Reggiardo</w:t>
          </w:r>
          <w:proofErr w:type="spellEnd"/>
          <w:r w:rsidRPr="004D113C">
            <w:t xml:space="preserve"> G, El-</w:t>
          </w:r>
          <w:proofErr w:type="spellStart"/>
          <w:r w:rsidRPr="004D113C">
            <w:t>Beshlawy</w:t>
          </w:r>
          <w:proofErr w:type="spellEnd"/>
          <w:r w:rsidRPr="004D113C">
            <w:t xml:space="preserve"> A, </w:t>
          </w:r>
          <w:proofErr w:type="spellStart"/>
          <w:r w:rsidRPr="004D113C">
            <w:t>Bejaoui</w:t>
          </w:r>
          <w:proofErr w:type="spellEnd"/>
          <w:r w:rsidRPr="004D113C">
            <w:t xml:space="preserve"> M, et al. Evaluation of the efficacy and safety of deferiprone compared with </w:t>
          </w:r>
          <w:proofErr w:type="spellStart"/>
          <w:r w:rsidRPr="004D113C">
            <w:t>deferasirox</w:t>
          </w:r>
          <w:proofErr w:type="spellEnd"/>
          <w:r w:rsidRPr="004D113C">
            <w:t xml:space="preserve"> in </w:t>
          </w:r>
          <w:proofErr w:type="spellStart"/>
          <w:r w:rsidRPr="004D113C">
            <w:t>paediatric</w:t>
          </w:r>
          <w:proofErr w:type="spellEnd"/>
          <w:r w:rsidRPr="004D113C">
            <w:t xml:space="preserve"> patients with transfusion-dependent </w:t>
          </w:r>
          <w:proofErr w:type="spellStart"/>
          <w:r w:rsidRPr="004D113C">
            <w:t>haemoglobinopathies</w:t>
          </w:r>
          <w:proofErr w:type="spellEnd"/>
          <w:r w:rsidRPr="004D113C">
            <w:t xml:space="preserve"> (DEEP-2): a </w:t>
          </w:r>
          <w:proofErr w:type="spellStart"/>
          <w:r w:rsidRPr="004D113C">
            <w:t>multicentre</w:t>
          </w:r>
          <w:proofErr w:type="spellEnd"/>
          <w:r w:rsidRPr="004D113C">
            <w:t xml:space="preserve">, </w:t>
          </w:r>
          <w:proofErr w:type="spellStart"/>
          <w:r w:rsidRPr="004D113C">
            <w:t>randomised</w:t>
          </w:r>
          <w:proofErr w:type="spellEnd"/>
          <w:r w:rsidRPr="004D113C">
            <w:t xml:space="preserve">, open-label, non-inferiority, phase 3 trial. Lancet </w:t>
          </w:r>
          <w:proofErr w:type="spellStart"/>
          <w:r w:rsidRPr="004D113C">
            <w:t>Haematol</w:t>
          </w:r>
          <w:proofErr w:type="spellEnd"/>
          <w:r w:rsidRPr="004D113C">
            <w:t xml:space="preserve">. 2020;7(6). </w:t>
          </w:r>
        </w:p>
        <w:p w14:paraId="1A61700B" w14:textId="77777777" w:rsidR="00C2054D" w:rsidRPr="004D113C" w:rsidRDefault="00C2054D" w:rsidP="0028779E">
          <w:pPr>
            <w:autoSpaceDE w:val="0"/>
            <w:autoSpaceDN w:val="0"/>
            <w:spacing w:line="480" w:lineRule="auto"/>
            <w:ind w:hanging="640"/>
            <w:jc w:val="both"/>
            <w:divId w:val="2089576093"/>
          </w:pPr>
          <w:r w:rsidRPr="004D113C">
            <w:t xml:space="preserve">10. </w:t>
          </w:r>
          <w:r w:rsidRPr="004D113C">
            <w:tab/>
            <w:t xml:space="preserve">Gaya ML, Rini EA, Izzah AZ. </w:t>
          </w:r>
          <w:proofErr w:type="spellStart"/>
          <w:r w:rsidRPr="004D113C">
            <w:t>Hubungan</w:t>
          </w:r>
          <w:proofErr w:type="spellEnd"/>
          <w:r w:rsidRPr="004D113C">
            <w:t xml:space="preserve"> Kadar Ferritin Serum </w:t>
          </w:r>
          <w:proofErr w:type="spellStart"/>
          <w:r w:rsidRPr="004D113C">
            <w:t>dengan</w:t>
          </w:r>
          <w:proofErr w:type="spellEnd"/>
          <w:r w:rsidRPr="004D113C">
            <w:t xml:space="preserve"> </w:t>
          </w:r>
          <w:proofErr w:type="spellStart"/>
          <w:r w:rsidRPr="004D113C">
            <w:t>Fungsi</w:t>
          </w:r>
          <w:proofErr w:type="spellEnd"/>
          <w:r w:rsidRPr="004D113C">
            <w:t xml:space="preserve"> </w:t>
          </w:r>
          <w:proofErr w:type="spellStart"/>
          <w:r w:rsidRPr="004D113C">
            <w:t>Tiroid</w:t>
          </w:r>
          <w:proofErr w:type="spellEnd"/>
          <w:r w:rsidRPr="004D113C">
            <w:t xml:space="preserve"> </w:t>
          </w:r>
          <w:proofErr w:type="spellStart"/>
          <w:r w:rsidRPr="004D113C">
            <w:t>pada</w:t>
          </w:r>
          <w:proofErr w:type="spellEnd"/>
          <w:r w:rsidRPr="004D113C">
            <w:t xml:space="preserve"> </w:t>
          </w:r>
          <w:proofErr w:type="spellStart"/>
          <w:r w:rsidRPr="004D113C">
            <w:t>Anak</w:t>
          </w:r>
          <w:proofErr w:type="spellEnd"/>
          <w:r w:rsidRPr="004D113C">
            <w:t xml:space="preserve"> </w:t>
          </w:r>
          <w:proofErr w:type="spellStart"/>
          <w:r w:rsidRPr="004D113C">
            <w:t>dengan</w:t>
          </w:r>
          <w:proofErr w:type="spellEnd"/>
          <w:r w:rsidRPr="004D113C">
            <w:t xml:space="preserve"> Thalassemia beta Mayor. Sari </w:t>
          </w:r>
          <w:proofErr w:type="spellStart"/>
          <w:r w:rsidRPr="004D113C">
            <w:t>Pediatri</w:t>
          </w:r>
          <w:proofErr w:type="spellEnd"/>
          <w:r w:rsidRPr="004D113C">
            <w:t xml:space="preserve">. 2023;25(1). </w:t>
          </w:r>
        </w:p>
        <w:p w14:paraId="2714032E" w14:textId="77777777" w:rsidR="00C2054D" w:rsidRPr="004D113C" w:rsidRDefault="00C2054D" w:rsidP="0028779E">
          <w:pPr>
            <w:autoSpaceDE w:val="0"/>
            <w:autoSpaceDN w:val="0"/>
            <w:spacing w:line="480" w:lineRule="auto"/>
            <w:ind w:hanging="640"/>
            <w:jc w:val="both"/>
            <w:divId w:val="796874286"/>
          </w:pPr>
          <w:r w:rsidRPr="004D113C">
            <w:t xml:space="preserve">11. </w:t>
          </w:r>
          <w:r w:rsidRPr="004D113C">
            <w:tab/>
            <w:t xml:space="preserve">Lee WJ, Mohd Tahir NA, Chun GY, Li SC. The impact of chelation compliance in health outcome and health related quality of life in </w:t>
          </w:r>
          <w:proofErr w:type="spellStart"/>
          <w:r w:rsidRPr="004D113C">
            <w:t>thalassaemia</w:t>
          </w:r>
          <w:proofErr w:type="spellEnd"/>
          <w:r w:rsidRPr="004D113C">
            <w:t xml:space="preserve"> patients: a systematic review. Vol. 22, Health and Quality of Life Outcomes. 2024. </w:t>
          </w:r>
        </w:p>
        <w:p w14:paraId="45CAC37E" w14:textId="77777777" w:rsidR="00C2054D" w:rsidRPr="004D113C" w:rsidRDefault="00C2054D" w:rsidP="0028779E">
          <w:pPr>
            <w:autoSpaceDE w:val="0"/>
            <w:autoSpaceDN w:val="0"/>
            <w:spacing w:line="480" w:lineRule="auto"/>
            <w:ind w:hanging="640"/>
            <w:jc w:val="both"/>
            <w:divId w:val="1228420878"/>
          </w:pPr>
          <w:r w:rsidRPr="004D113C">
            <w:t xml:space="preserve">12. </w:t>
          </w:r>
          <w:r w:rsidRPr="004D113C">
            <w:tab/>
          </w:r>
          <w:proofErr w:type="spellStart"/>
          <w:r w:rsidRPr="004D113C">
            <w:t>Yassouf</w:t>
          </w:r>
          <w:proofErr w:type="spellEnd"/>
          <w:r w:rsidRPr="004D113C">
            <w:t xml:space="preserve"> MY, </w:t>
          </w:r>
          <w:proofErr w:type="spellStart"/>
          <w:r w:rsidRPr="004D113C">
            <w:t>Alquobaili</w:t>
          </w:r>
          <w:proofErr w:type="spellEnd"/>
          <w:r w:rsidRPr="004D113C">
            <w:t xml:space="preserve"> F, </w:t>
          </w:r>
          <w:proofErr w:type="spellStart"/>
          <w:r w:rsidRPr="004D113C">
            <w:t>Kabalan</w:t>
          </w:r>
          <w:proofErr w:type="spellEnd"/>
          <w:r w:rsidRPr="004D113C">
            <w:t xml:space="preserve"> Y, </w:t>
          </w:r>
          <w:proofErr w:type="spellStart"/>
          <w:r w:rsidRPr="004D113C">
            <w:t>Mukhalalaty</w:t>
          </w:r>
          <w:proofErr w:type="spellEnd"/>
          <w:r w:rsidRPr="004D113C">
            <w:t xml:space="preserve"> Y. Compliance with Deferoxamine Therapy and Thyroid Dysfunction of Patients with β-Thalassemia Major in Syria. Hemoglobin. 2019;43(3). </w:t>
          </w:r>
        </w:p>
        <w:p w14:paraId="0EBA9311" w14:textId="77777777" w:rsidR="00C2054D" w:rsidRPr="004D113C" w:rsidRDefault="00C2054D" w:rsidP="0028779E">
          <w:pPr>
            <w:autoSpaceDE w:val="0"/>
            <w:autoSpaceDN w:val="0"/>
            <w:spacing w:line="480" w:lineRule="auto"/>
            <w:ind w:hanging="640"/>
            <w:jc w:val="both"/>
            <w:divId w:val="944844567"/>
          </w:pPr>
          <w:r w:rsidRPr="004D113C">
            <w:t xml:space="preserve">13. </w:t>
          </w:r>
          <w:r w:rsidRPr="004D113C">
            <w:tab/>
          </w:r>
          <w:proofErr w:type="spellStart"/>
          <w:r w:rsidRPr="004D113C">
            <w:t>Faranoush</w:t>
          </w:r>
          <w:proofErr w:type="spellEnd"/>
          <w:r w:rsidRPr="004D113C">
            <w:t xml:space="preserve"> M, </w:t>
          </w:r>
          <w:proofErr w:type="spellStart"/>
          <w:r w:rsidRPr="004D113C">
            <w:t>Faranoush</w:t>
          </w:r>
          <w:proofErr w:type="spellEnd"/>
          <w:r w:rsidRPr="004D113C">
            <w:t xml:space="preserve"> P, </w:t>
          </w:r>
          <w:proofErr w:type="spellStart"/>
          <w:r w:rsidRPr="004D113C">
            <w:t>Heydari</w:t>
          </w:r>
          <w:proofErr w:type="spellEnd"/>
          <w:r w:rsidRPr="004D113C">
            <w:t xml:space="preserve"> I, </w:t>
          </w:r>
          <w:proofErr w:type="spellStart"/>
          <w:r w:rsidRPr="004D113C">
            <w:t>Foroughi-Gilvaee</w:t>
          </w:r>
          <w:proofErr w:type="spellEnd"/>
          <w:r w:rsidRPr="004D113C">
            <w:t xml:space="preserve"> MR, </w:t>
          </w:r>
          <w:proofErr w:type="spellStart"/>
          <w:r w:rsidRPr="004D113C">
            <w:t>Azarkeivan</w:t>
          </w:r>
          <w:proofErr w:type="spellEnd"/>
          <w:r w:rsidRPr="004D113C">
            <w:t xml:space="preserve"> A, </w:t>
          </w:r>
          <w:proofErr w:type="spellStart"/>
          <w:r w:rsidRPr="004D113C">
            <w:t>Parsai</w:t>
          </w:r>
          <w:proofErr w:type="spellEnd"/>
          <w:r w:rsidRPr="004D113C">
            <w:t xml:space="preserve"> Kia A, et al. Complications in patients with transfusion dependent thalassemia: A descriptive cross-sectional study. Health Sci Rep. 2023;6(10). </w:t>
          </w:r>
        </w:p>
        <w:p w14:paraId="26A8A1EF" w14:textId="77777777" w:rsidR="00C2054D" w:rsidRPr="004D113C" w:rsidRDefault="00C2054D" w:rsidP="0028779E">
          <w:pPr>
            <w:autoSpaceDE w:val="0"/>
            <w:autoSpaceDN w:val="0"/>
            <w:spacing w:line="480" w:lineRule="auto"/>
            <w:ind w:hanging="640"/>
            <w:jc w:val="both"/>
            <w:divId w:val="168181744"/>
          </w:pPr>
          <w:r w:rsidRPr="004D113C">
            <w:t xml:space="preserve">14. </w:t>
          </w:r>
          <w:r w:rsidRPr="004D113C">
            <w:tab/>
          </w:r>
          <w:proofErr w:type="spellStart"/>
          <w:r w:rsidRPr="004D113C">
            <w:t>Carsote</w:t>
          </w:r>
          <w:proofErr w:type="spellEnd"/>
          <w:r w:rsidRPr="004D113C">
            <w:t xml:space="preserve"> M, </w:t>
          </w:r>
          <w:proofErr w:type="spellStart"/>
          <w:r w:rsidRPr="004D113C">
            <w:t>Vasiliu</w:t>
          </w:r>
          <w:proofErr w:type="spellEnd"/>
          <w:r w:rsidRPr="004D113C">
            <w:t xml:space="preserve"> C, </w:t>
          </w:r>
          <w:proofErr w:type="spellStart"/>
          <w:r w:rsidRPr="004D113C">
            <w:t>Trandafir</w:t>
          </w:r>
          <w:proofErr w:type="spellEnd"/>
          <w:r w:rsidRPr="004D113C">
            <w:t xml:space="preserve"> AI, </w:t>
          </w:r>
          <w:proofErr w:type="spellStart"/>
          <w:r w:rsidRPr="004D113C">
            <w:t>Albu</w:t>
          </w:r>
          <w:proofErr w:type="spellEnd"/>
          <w:r w:rsidRPr="004D113C">
            <w:t xml:space="preserve"> SE, </w:t>
          </w:r>
          <w:proofErr w:type="spellStart"/>
          <w:r w:rsidRPr="004D113C">
            <w:t>Dumitrascu</w:t>
          </w:r>
          <w:proofErr w:type="spellEnd"/>
          <w:r w:rsidRPr="004D113C">
            <w:t xml:space="preserve"> MC, </w:t>
          </w:r>
          <w:proofErr w:type="spellStart"/>
          <w:r w:rsidRPr="004D113C">
            <w:t>Popa</w:t>
          </w:r>
          <w:proofErr w:type="spellEnd"/>
          <w:r w:rsidRPr="004D113C">
            <w:t xml:space="preserve"> A, et al. New Entity—Thalassemic Endocrine Disease: Major Beta-Thalassemia and Endocrine Involvement. Vol. 12, Diagnostics. 2022. </w:t>
          </w:r>
        </w:p>
        <w:p w14:paraId="2E590E7D" w14:textId="77777777" w:rsidR="00C2054D" w:rsidRPr="004D113C" w:rsidRDefault="00C2054D" w:rsidP="0028779E">
          <w:pPr>
            <w:autoSpaceDE w:val="0"/>
            <w:autoSpaceDN w:val="0"/>
            <w:spacing w:line="480" w:lineRule="auto"/>
            <w:ind w:hanging="640"/>
            <w:jc w:val="both"/>
            <w:divId w:val="1982615206"/>
          </w:pPr>
          <w:r w:rsidRPr="004D113C">
            <w:t xml:space="preserve">15. </w:t>
          </w:r>
          <w:r w:rsidRPr="004D113C">
            <w:tab/>
          </w:r>
          <w:proofErr w:type="spellStart"/>
          <w:r w:rsidRPr="004D113C">
            <w:t>Entezari</w:t>
          </w:r>
          <w:proofErr w:type="spellEnd"/>
          <w:r w:rsidRPr="004D113C">
            <w:t xml:space="preserve"> S, </w:t>
          </w:r>
          <w:proofErr w:type="spellStart"/>
          <w:r w:rsidRPr="004D113C">
            <w:t>Haghi</w:t>
          </w:r>
          <w:proofErr w:type="spellEnd"/>
          <w:r w:rsidRPr="004D113C">
            <w:t xml:space="preserve"> SM, </w:t>
          </w:r>
          <w:proofErr w:type="spellStart"/>
          <w:r w:rsidRPr="004D113C">
            <w:t>Norouzkhani</w:t>
          </w:r>
          <w:proofErr w:type="spellEnd"/>
          <w:r w:rsidRPr="004D113C">
            <w:t xml:space="preserve"> N, </w:t>
          </w:r>
          <w:proofErr w:type="spellStart"/>
          <w:r w:rsidRPr="004D113C">
            <w:t>Sahebnazar</w:t>
          </w:r>
          <w:proofErr w:type="spellEnd"/>
          <w:r w:rsidRPr="004D113C">
            <w:t xml:space="preserve"> B, </w:t>
          </w:r>
          <w:proofErr w:type="spellStart"/>
          <w:r w:rsidRPr="004D113C">
            <w:t>Vosoughian</w:t>
          </w:r>
          <w:proofErr w:type="spellEnd"/>
          <w:r w:rsidRPr="004D113C">
            <w:t xml:space="preserve"> F, </w:t>
          </w:r>
          <w:proofErr w:type="spellStart"/>
          <w:r w:rsidRPr="004D113C">
            <w:t>Akbarzadeh</w:t>
          </w:r>
          <w:proofErr w:type="spellEnd"/>
          <w:r w:rsidRPr="004D113C">
            <w:t xml:space="preserve"> D, et al. Iron Chelators in Treatment of Iron Overload. Vol. 2022, Journal of Toxicology. 2022. </w:t>
          </w:r>
        </w:p>
        <w:p w14:paraId="298DA1E3" w14:textId="22FDB421" w:rsidR="00DC4E01" w:rsidRPr="00FB3A86" w:rsidRDefault="00607841" w:rsidP="005D26F8">
          <w:pPr>
            <w:pStyle w:val="Appendix"/>
            <w:spacing w:after="0"/>
            <w:jc w:val="both"/>
            <w:rPr>
              <w:rFonts w:ascii="Arial" w:hAnsi="Arial" w:cs="Arial"/>
              <w:b w:val="0"/>
            </w:rPr>
            <w:sectPr w:rsidR="00DC4E01" w:rsidRPr="00FB3A86" w:rsidSect="0071441E">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sdtContent>
    </w:sdt>
    <w:bookmarkStart w:id="1" w:name="_GoBack" w:displacedByCustomXml="prev"/>
    <w:bookmarkEnd w:id="1" w:displacedByCustomXml="prev"/>
    <w:p w14:paraId="39883817" w14:textId="3B28C96B" w:rsidR="00B01FCD" w:rsidRDefault="00B01FCD" w:rsidP="00441B6F">
      <w:pPr>
        <w:pStyle w:val="Appendix"/>
        <w:spacing w:after="0"/>
        <w:jc w:val="both"/>
        <w:rPr>
          <w:rFonts w:ascii="Arial" w:hAnsi="Arial" w:cs="Arial"/>
          <w:b w:val="0"/>
        </w:rPr>
      </w:pPr>
    </w:p>
    <w:p w14:paraId="26C3DA00" w14:textId="117D63A0" w:rsidR="005B6FA8" w:rsidRDefault="005B6FA8" w:rsidP="00441B6F">
      <w:pPr>
        <w:pStyle w:val="Appendix"/>
        <w:spacing w:after="0"/>
        <w:jc w:val="both"/>
        <w:rPr>
          <w:rFonts w:ascii="Arial" w:hAnsi="Arial" w:cs="Arial"/>
          <w:b w:val="0"/>
        </w:rPr>
      </w:pPr>
    </w:p>
    <w:p w14:paraId="1263A50E" w14:textId="30716803" w:rsidR="005B6FA8" w:rsidRPr="00FB3A86" w:rsidRDefault="005B6FA8" w:rsidP="00441B6F">
      <w:pPr>
        <w:pStyle w:val="Appendix"/>
        <w:spacing w:after="0"/>
        <w:jc w:val="both"/>
        <w:rPr>
          <w:rFonts w:ascii="Arial" w:hAnsi="Arial" w:cs="Arial"/>
          <w:b w:val="0"/>
        </w:rPr>
      </w:pPr>
    </w:p>
    <w:sectPr w:rsidR="005B6FA8" w:rsidRPr="00FB3A86" w:rsidSect="0071441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A2004" w14:textId="77777777" w:rsidR="00607841" w:rsidRDefault="00607841" w:rsidP="00C37E61">
      <w:r>
        <w:separator/>
      </w:r>
    </w:p>
  </w:endnote>
  <w:endnote w:type="continuationSeparator" w:id="0">
    <w:p w14:paraId="2C48AC3C" w14:textId="77777777" w:rsidR="00607841" w:rsidRDefault="0060784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89F86" w14:textId="77777777" w:rsidR="0071441E" w:rsidRDefault="00714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C9F48" w14:textId="77777777" w:rsidR="0071441E" w:rsidRDefault="007144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89A2C" w14:textId="77777777" w:rsidR="009E048A" w:rsidRDefault="009E048A">
    <w:pPr>
      <w:pStyle w:val="Footer"/>
      <w:rPr>
        <w:rFonts w:ascii="Arial" w:hAnsi="Arial" w:cs="Arial"/>
        <w:sz w:val="16"/>
      </w:rPr>
    </w:pPr>
  </w:p>
  <w:p w14:paraId="251F3BD0"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A466C63" w14:textId="77777777" w:rsidR="009E048A" w:rsidRDefault="009E048A">
    <w:pPr>
      <w:pStyle w:val="Footer"/>
      <w:rPr>
        <w:rFonts w:ascii="Arial" w:hAnsi="Arial" w:cs="Arial"/>
        <w:sz w:val="16"/>
      </w:rPr>
    </w:pPr>
  </w:p>
  <w:p w14:paraId="3AB8D2EE"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D73E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3ABBD" w14:textId="77777777" w:rsidR="00607841" w:rsidRDefault="00607841" w:rsidP="00C37E61">
      <w:r>
        <w:separator/>
      </w:r>
    </w:p>
  </w:footnote>
  <w:footnote w:type="continuationSeparator" w:id="0">
    <w:p w14:paraId="08F24CA0" w14:textId="77777777" w:rsidR="00607841" w:rsidRDefault="0060784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0395D" w14:textId="790DFAC7" w:rsidR="0071441E" w:rsidRDefault="00607841">
    <w:pPr>
      <w:pStyle w:val="Header"/>
    </w:pPr>
    <w:r>
      <w:rPr>
        <w:noProof/>
      </w:rPr>
      <w:pict w14:anchorId="7A9674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57891" o:spid="_x0000_s2054"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A1C8D" w14:textId="567E1A84" w:rsidR="0071441E" w:rsidRDefault="00607841">
    <w:pPr>
      <w:pStyle w:val="Header"/>
    </w:pPr>
    <w:r>
      <w:rPr>
        <w:noProof/>
      </w:rPr>
      <w:pict w14:anchorId="171688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57892" o:spid="_x0000_s2053"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0F4B9" w14:textId="791CA0B5" w:rsidR="00296529" w:rsidRPr="00296529" w:rsidRDefault="00607841" w:rsidP="00296529">
    <w:pPr>
      <w:ind w:left="2160"/>
      <w:jc w:val="center"/>
      <w:rPr>
        <w:rFonts w:ascii="Times New Roman" w:eastAsia="Calibri" w:hAnsi="Times New Roman"/>
        <w:i/>
        <w:sz w:val="18"/>
        <w:szCs w:val="22"/>
      </w:rPr>
    </w:pPr>
    <w:r>
      <w:rPr>
        <w:noProof/>
      </w:rPr>
      <w:pict w14:anchorId="59B112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57890" o:spid="_x0000_s2052"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5C49358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F981B9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9685B7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38A6AD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0321FF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E01EAE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D5C2C" w14:textId="027C8500" w:rsidR="0071441E" w:rsidRDefault="00607841">
    <w:pPr>
      <w:pStyle w:val="Header"/>
    </w:pPr>
    <w:r>
      <w:rPr>
        <w:noProof/>
      </w:rPr>
      <w:pict w14:anchorId="47B4E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57894" o:spid="_x0000_s2051"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B5A34" w14:textId="06304889" w:rsidR="0071441E" w:rsidRDefault="00607841">
    <w:pPr>
      <w:pStyle w:val="Header"/>
    </w:pPr>
    <w:r>
      <w:rPr>
        <w:noProof/>
      </w:rPr>
      <w:pict w14:anchorId="62738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57895" o:spid="_x0000_s2050"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1FAFA" w14:textId="6E0390B4" w:rsidR="0071441E" w:rsidRDefault="00607841">
    <w:pPr>
      <w:pStyle w:val="Header"/>
    </w:pPr>
    <w:r>
      <w:rPr>
        <w:noProof/>
      </w:rPr>
      <w:pict w14:anchorId="0CC7F4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57893" o:spid="_x0000_s2049"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BE42B03"/>
    <w:multiLevelType w:val="hybridMultilevel"/>
    <w:tmpl w:val="BF8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08E23D7"/>
    <w:multiLevelType w:val="hybridMultilevel"/>
    <w:tmpl w:val="AC74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C284840"/>
    <w:multiLevelType w:val="hybridMultilevel"/>
    <w:tmpl w:val="6EE6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20F29AB"/>
    <w:multiLevelType w:val="hybridMultilevel"/>
    <w:tmpl w:val="A09E4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42FE9"/>
    <w:multiLevelType w:val="hybridMultilevel"/>
    <w:tmpl w:val="B4B2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5"/>
  </w:num>
  <w:num w:numId="9">
    <w:abstractNumId w:val="30"/>
  </w:num>
  <w:num w:numId="10">
    <w:abstractNumId w:val="2"/>
  </w:num>
  <w:num w:numId="11">
    <w:abstractNumId w:val="23"/>
  </w:num>
  <w:num w:numId="12">
    <w:abstractNumId w:val="3"/>
  </w:num>
  <w:num w:numId="13">
    <w:abstractNumId w:val="22"/>
  </w:num>
  <w:num w:numId="14">
    <w:abstractNumId w:val="9"/>
  </w:num>
  <w:num w:numId="15">
    <w:abstractNumId w:val="26"/>
  </w:num>
  <w:num w:numId="16">
    <w:abstractNumId w:val="5"/>
  </w:num>
  <w:num w:numId="17">
    <w:abstractNumId w:val="27"/>
  </w:num>
  <w:num w:numId="18">
    <w:abstractNumId w:val="17"/>
  </w:num>
  <w:num w:numId="19">
    <w:abstractNumId w:val="33"/>
  </w:num>
  <w:num w:numId="20">
    <w:abstractNumId w:val="13"/>
  </w:num>
  <w:num w:numId="21">
    <w:abstractNumId w:val="11"/>
  </w:num>
  <w:num w:numId="22">
    <w:abstractNumId w:val="16"/>
  </w:num>
  <w:num w:numId="23">
    <w:abstractNumId w:val="24"/>
  </w:num>
  <w:num w:numId="24">
    <w:abstractNumId w:val="31"/>
  </w:num>
  <w:num w:numId="25">
    <w:abstractNumId w:val="4"/>
  </w:num>
  <w:num w:numId="26">
    <w:abstractNumId w:val="21"/>
  </w:num>
  <w:num w:numId="27">
    <w:abstractNumId w:val="25"/>
  </w:num>
  <w:num w:numId="28">
    <w:abstractNumId w:val="32"/>
  </w:num>
  <w:num w:numId="29">
    <w:abstractNumId w:val="29"/>
  </w:num>
  <w:num w:numId="30">
    <w:abstractNumId w:val="12"/>
  </w:num>
  <w:num w:numId="31">
    <w:abstractNumId w:val="19"/>
  </w:num>
  <w:num w:numId="32">
    <w:abstractNumId w:val="14"/>
  </w:num>
  <w:num w:numId="33">
    <w:abstractNumId w:val="10"/>
  </w:num>
  <w:num w:numId="34">
    <w:abstractNumId w:val="8"/>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22BBE"/>
    <w:rsid w:val="00030174"/>
    <w:rsid w:val="00037C9A"/>
    <w:rsid w:val="0004579C"/>
    <w:rsid w:val="00047F47"/>
    <w:rsid w:val="00062FD0"/>
    <w:rsid w:val="00094103"/>
    <w:rsid w:val="000A47FA"/>
    <w:rsid w:val="000A65D3"/>
    <w:rsid w:val="000B1E33"/>
    <w:rsid w:val="000D689F"/>
    <w:rsid w:val="000E7B7B"/>
    <w:rsid w:val="000E7D62"/>
    <w:rsid w:val="00103357"/>
    <w:rsid w:val="00116BAB"/>
    <w:rsid w:val="00123C9F"/>
    <w:rsid w:val="00126190"/>
    <w:rsid w:val="00130F17"/>
    <w:rsid w:val="001320BF"/>
    <w:rsid w:val="00163BC4"/>
    <w:rsid w:val="001859E0"/>
    <w:rsid w:val="00191062"/>
    <w:rsid w:val="00192B72"/>
    <w:rsid w:val="001A29D8"/>
    <w:rsid w:val="001A5CAA"/>
    <w:rsid w:val="001B0427"/>
    <w:rsid w:val="001B4271"/>
    <w:rsid w:val="001D2242"/>
    <w:rsid w:val="001D3A51"/>
    <w:rsid w:val="001E10D2"/>
    <w:rsid w:val="001E25B4"/>
    <w:rsid w:val="001E44FE"/>
    <w:rsid w:val="001F1621"/>
    <w:rsid w:val="00200595"/>
    <w:rsid w:val="00204835"/>
    <w:rsid w:val="00220755"/>
    <w:rsid w:val="00220EC1"/>
    <w:rsid w:val="00221631"/>
    <w:rsid w:val="00231920"/>
    <w:rsid w:val="0023195C"/>
    <w:rsid w:val="0024282C"/>
    <w:rsid w:val="002460DC"/>
    <w:rsid w:val="00250985"/>
    <w:rsid w:val="002556F6"/>
    <w:rsid w:val="00255FC7"/>
    <w:rsid w:val="002626F0"/>
    <w:rsid w:val="00283105"/>
    <w:rsid w:val="00284C4C"/>
    <w:rsid w:val="0028779E"/>
    <w:rsid w:val="00287E68"/>
    <w:rsid w:val="00296529"/>
    <w:rsid w:val="002B27FB"/>
    <w:rsid w:val="002B685A"/>
    <w:rsid w:val="002C57D2"/>
    <w:rsid w:val="002E0D56"/>
    <w:rsid w:val="002F2C69"/>
    <w:rsid w:val="00315186"/>
    <w:rsid w:val="0033343E"/>
    <w:rsid w:val="003512C2"/>
    <w:rsid w:val="00371FB6"/>
    <w:rsid w:val="003763C1"/>
    <w:rsid w:val="00376BBE"/>
    <w:rsid w:val="0039224F"/>
    <w:rsid w:val="003A43A4"/>
    <w:rsid w:val="003A7E18"/>
    <w:rsid w:val="003C4C86"/>
    <w:rsid w:val="003C6258"/>
    <w:rsid w:val="003D40FF"/>
    <w:rsid w:val="003E2904"/>
    <w:rsid w:val="00400D97"/>
    <w:rsid w:val="00401927"/>
    <w:rsid w:val="0041027F"/>
    <w:rsid w:val="00412475"/>
    <w:rsid w:val="00423789"/>
    <w:rsid w:val="00440F43"/>
    <w:rsid w:val="00441B6F"/>
    <w:rsid w:val="00446221"/>
    <w:rsid w:val="00450E62"/>
    <w:rsid w:val="004539DB"/>
    <w:rsid w:val="00471A80"/>
    <w:rsid w:val="004948F9"/>
    <w:rsid w:val="004A6BCA"/>
    <w:rsid w:val="004D113C"/>
    <w:rsid w:val="004D305E"/>
    <w:rsid w:val="004D4277"/>
    <w:rsid w:val="004F30DE"/>
    <w:rsid w:val="00502516"/>
    <w:rsid w:val="00505F06"/>
    <w:rsid w:val="00506198"/>
    <w:rsid w:val="00506828"/>
    <w:rsid w:val="0051261C"/>
    <w:rsid w:val="0053056E"/>
    <w:rsid w:val="00554FDA"/>
    <w:rsid w:val="005942A6"/>
    <w:rsid w:val="005B6FA8"/>
    <w:rsid w:val="005C1FD3"/>
    <w:rsid w:val="005C784C"/>
    <w:rsid w:val="005D17F6"/>
    <w:rsid w:val="005D26F8"/>
    <w:rsid w:val="005E5539"/>
    <w:rsid w:val="00602BF5"/>
    <w:rsid w:val="00607841"/>
    <w:rsid w:val="00617FDD"/>
    <w:rsid w:val="00633614"/>
    <w:rsid w:val="00633F68"/>
    <w:rsid w:val="00636EB2"/>
    <w:rsid w:val="006375B8"/>
    <w:rsid w:val="00637677"/>
    <w:rsid w:val="0066510A"/>
    <w:rsid w:val="00673F9F"/>
    <w:rsid w:val="00686953"/>
    <w:rsid w:val="00687DEA"/>
    <w:rsid w:val="00687E67"/>
    <w:rsid w:val="00690C46"/>
    <w:rsid w:val="00691DE6"/>
    <w:rsid w:val="006967F7"/>
    <w:rsid w:val="006A250C"/>
    <w:rsid w:val="006B21D3"/>
    <w:rsid w:val="006B3717"/>
    <w:rsid w:val="006B57D0"/>
    <w:rsid w:val="006C0315"/>
    <w:rsid w:val="006D30FF"/>
    <w:rsid w:val="006D6940"/>
    <w:rsid w:val="006F11EC"/>
    <w:rsid w:val="0070082C"/>
    <w:rsid w:val="00705D31"/>
    <w:rsid w:val="0071441E"/>
    <w:rsid w:val="00717AF8"/>
    <w:rsid w:val="00726C14"/>
    <w:rsid w:val="007304DB"/>
    <w:rsid w:val="007369E6"/>
    <w:rsid w:val="00740C8F"/>
    <w:rsid w:val="00746E59"/>
    <w:rsid w:val="00754C9A"/>
    <w:rsid w:val="0075599A"/>
    <w:rsid w:val="00761D52"/>
    <w:rsid w:val="0077749E"/>
    <w:rsid w:val="00790ADA"/>
    <w:rsid w:val="00794793"/>
    <w:rsid w:val="007B335F"/>
    <w:rsid w:val="007D2288"/>
    <w:rsid w:val="007D2F79"/>
    <w:rsid w:val="007E088F"/>
    <w:rsid w:val="007F060B"/>
    <w:rsid w:val="007F29ED"/>
    <w:rsid w:val="007F7B32"/>
    <w:rsid w:val="0080405F"/>
    <w:rsid w:val="00804BC2"/>
    <w:rsid w:val="0081431A"/>
    <w:rsid w:val="0083216F"/>
    <w:rsid w:val="00860000"/>
    <w:rsid w:val="00863BD3"/>
    <w:rsid w:val="008641ED"/>
    <w:rsid w:val="00866D66"/>
    <w:rsid w:val="008671C6"/>
    <w:rsid w:val="00875803"/>
    <w:rsid w:val="008B459E"/>
    <w:rsid w:val="008C4D66"/>
    <w:rsid w:val="008E13AE"/>
    <w:rsid w:val="008E1506"/>
    <w:rsid w:val="008E710C"/>
    <w:rsid w:val="008F69D6"/>
    <w:rsid w:val="00902823"/>
    <w:rsid w:val="00915CA6"/>
    <w:rsid w:val="00927834"/>
    <w:rsid w:val="009500A6"/>
    <w:rsid w:val="00957C18"/>
    <w:rsid w:val="009659BA"/>
    <w:rsid w:val="00983040"/>
    <w:rsid w:val="009938A8"/>
    <w:rsid w:val="009A3BDF"/>
    <w:rsid w:val="009B3FB9"/>
    <w:rsid w:val="009C2465"/>
    <w:rsid w:val="009D35A0"/>
    <w:rsid w:val="009D7EB7"/>
    <w:rsid w:val="009E048A"/>
    <w:rsid w:val="009E08E9"/>
    <w:rsid w:val="009E3DB9"/>
    <w:rsid w:val="009E6E35"/>
    <w:rsid w:val="009F0EDA"/>
    <w:rsid w:val="00A03B96"/>
    <w:rsid w:val="00A05B19"/>
    <w:rsid w:val="00A1134E"/>
    <w:rsid w:val="00A16232"/>
    <w:rsid w:val="00A24E7E"/>
    <w:rsid w:val="00A258C3"/>
    <w:rsid w:val="00A26C4C"/>
    <w:rsid w:val="00A347C0"/>
    <w:rsid w:val="00A51431"/>
    <w:rsid w:val="00A539AD"/>
    <w:rsid w:val="00A84DFD"/>
    <w:rsid w:val="00A94063"/>
    <w:rsid w:val="00AA6219"/>
    <w:rsid w:val="00AA74E0"/>
    <w:rsid w:val="00AB3AA6"/>
    <w:rsid w:val="00AB703F"/>
    <w:rsid w:val="00AC6BB8"/>
    <w:rsid w:val="00AE008F"/>
    <w:rsid w:val="00AF7279"/>
    <w:rsid w:val="00B01FCD"/>
    <w:rsid w:val="00B12A7B"/>
    <w:rsid w:val="00B133E9"/>
    <w:rsid w:val="00B1776C"/>
    <w:rsid w:val="00B52583"/>
    <w:rsid w:val="00B52896"/>
    <w:rsid w:val="00B57B50"/>
    <w:rsid w:val="00B6314B"/>
    <w:rsid w:val="00B6519F"/>
    <w:rsid w:val="00B95236"/>
    <w:rsid w:val="00B96BD9"/>
    <w:rsid w:val="00BA1B01"/>
    <w:rsid w:val="00BA2641"/>
    <w:rsid w:val="00BB37AA"/>
    <w:rsid w:val="00BC53A0"/>
    <w:rsid w:val="00BE62AD"/>
    <w:rsid w:val="00BF121F"/>
    <w:rsid w:val="00BF1F80"/>
    <w:rsid w:val="00BF5FA6"/>
    <w:rsid w:val="00C05D6A"/>
    <w:rsid w:val="00C166EF"/>
    <w:rsid w:val="00C17EB0"/>
    <w:rsid w:val="00C2054D"/>
    <w:rsid w:val="00C2199A"/>
    <w:rsid w:val="00C27F5F"/>
    <w:rsid w:val="00C30A0F"/>
    <w:rsid w:val="00C37E61"/>
    <w:rsid w:val="00C50D54"/>
    <w:rsid w:val="00C70F1B"/>
    <w:rsid w:val="00C71A47"/>
    <w:rsid w:val="00C7464C"/>
    <w:rsid w:val="00C83F88"/>
    <w:rsid w:val="00C85588"/>
    <w:rsid w:val="00CC6910"/>
    <w:rsid w:val="00CD6755"/>
    <w:rsid w:val="00CD6856"/>
    <w:rsid w:val="00CE0089"/>
    <w:rsid w:val="00CE793C"/>
    <w:rsid w:val="00CF0B17"/>
    <w:rsid w:val="00CF193C"/>
    <w:rsid w:val="00CF366F"/>
    <w:rsid w:val="00D13CFF"/>
    <w:rsid w:val="00D173F1"/>
    <w:rsid w:val="00D3280F"/>
    <w:rsid w:val="00D74CB0"/>
    <w:rsid w:val="00D8295D"/>
    <w:rsid w:val="00D82ADB"/>
    <w:rsid w:val="00D95875"/>
    <w:rsid w:val="00DA77C9"/>
    <w:rsid w:val="00DB1B5A"/>
    <w:rsid w:val="00DC2A65"/>
    <w:rsid w:val="00DC4E01"/>
    <w:rsid w:val="00DE15F0"/>
    <w:rsid w:val="00DE5663"/>
    <w:rsid w:val="00DE78AA"/>
    <w:rsid w:val="00E053D0"/>
    <w:rsid w:val="00E15994"/>
    <w:rsid w:val="00E3114E"/>
    <w:rsid w:val="00E31A70"/>
    <w:rsid w:val="00E35B02"/>
    <w:rsid w:val="00E439FE"/>
    <w:rsid w:val="00E66496"/>
    <w:rsid w:val="00E66B35"/>
    <w:rsid w:val="00E66E10"/>
    <w:rsid w:val="00E7240F"/>
    <w:rsid w:val="00E769F6"/>
    <w:rsid w:val="00E8407C"/>
    <w:rsid w:val="00E84F3C"/>
    <w:rsid w:val="00E977EA"/>
    <w:rsid w:val="00EA012C"/>
    <w:rsid w:val="00EC6A55"/>
    <w:rsid w:val="00ED0288"/>
    <w:rsid w:val="00EE52CB"/>
    <w:rsid w:val="00EF581D"/>
    <w:rsid w:val="00EF7FD8"/>
    <w:rsid w:val="00F06F59"/>
    <w:rsid w:val="00F17988"/>
    <w:rsid w:val="00F335BA"/>
    <w:rsid w:val="00F469F0"/>
    <w:rsid w:val="00F53273"/>
    <w:rsid w:val="00F755E4"/>
    <w:rsid w:val="00F77D02"/>
    <w:rsid w:val="00FB3A86"/>
    <w:rsid w:val="00FB5B41"/>
    <w:rsid w:val="00FB7A13"/>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2963C1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198"/>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aliases w:val="Ket Tabel"/>
    <w:basedOn w:val="Normal"/>
    <w:link w:val="ListParagraphChar"/>
    <w:uiPriority w:val="1"/>
    <w:qFormat/>
    <w:rsid w:val="004948F9"/>
    <w:pPr>
      <w:spacing w:line="276" w:lineRule="auto"/>
      <w:ind w:left="720"/>
      <w:contextualSpacing/>
      <w:jc w:val="both"/>
    </w:pPr>
    <w:rPr>
      <w:rFonts w:ascii="Times New Roman" w:eastAsia="Calibri" w:hAnsi="Times New Roman"/>
      <w:sz w:val="24"/>
      <w:szCs w:val="22"/>
      <w:lang w:val="id-ID"/>
    </w:rPr>
  </w:style>
  <w:style w:type="table" w:styleId="PlainTable2">
    <w:name w:val="Plain Table 2"/>
    <w:basedOn w:val="TableNormal"/>
    <w:uiPriority w:val="42"/>
    <w:rsid w:val="004948F9"/>
    <w:rPr>
      <w:rFonts w:asciiTheme="minorHAnsi" w:eastAsiaTheme="minorHAnsi" w:hAnsiTheme="minorHAnsi" w:cstheme="minorBidi"/>
      <w:sz w:val="24"/>
      <w:szCs w:val="24"/>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Ket Tabel Char"/>
    <w:link w:val="ListParagraph"/>
    <w:uiPriority w:val="1"/>
    <w:locked/>
    <w:rsid w:val="004948F9"/>
    <w:rPr>
      <w:rFonts w:eastAsia="Calibri"/>
      <w:sz w:val="24"/>
      <w:szCs w:val="22"/>
      <w:lang w:val="id-ID"/>
    </w:rPr>
  </w:style>
  <w:style w:type="character" w:styleId="PlaceholderText">
    <w:name w:val="Placeholder Text"/>
    <w:basedOn w:val="DefaultParagraphFont"/>
    <w:uiPriority w:val="99"/>
    <w:semiHidden/>
    <w:rsid w:val="001F1621"/>
    <w:rPr>
      <w:color w:val="808080"/>
    </w:rPr>
  </w:style>
  <w:style w:type="paragraph" w:styleId="NormalWeb">
    <w:name w:val="Normal (Web)"/>
    <w:basedOn w:val="Normal"/>
    <w:uiPriority w:val="99"/>
    <w:unhideWhenUsed/>
    <w:rsid w:val="00CC6910"/>
    <w:pPr>
      <w:spacing w:before="100" w:beforeAutospacing="1" w:after="100" w:afterAutospacing="1"/>
    </w:pPr>
    <w:rPr>
      <w:rFonts w:ascii="Times New Roman" w:hAnsi="Times New Roman"/>
      <w:sz w:val="24"/>
      <w:szCs w:val="24"/>
      <w:lang w:val="id-ID" w:eastAsia="id-ID"/>
    </w:rPr>
  </w:style>
  <w:style w:type="character" w:styleId="Strong">
    <w:name w:val="Strong"/>
    <w:basedOn w:val="DefaultParagraphFont"/>
    <w:uiPriority w:val="22"/>
    <w:qFormat/>
    <w:rsid w:val="00CC6910"/>
    <w:rPr>
      <w:b/>
      <w:bCs/>
    </w:rPr>
  </w:style>
  <w:style w:type="character" w:customStyle="1" w:styleId="apple-converted-space">
    <w:name w:val="apple-converted-space"/>
    <w:basedOn w:val="DefaultParagraphFont"/>
    <w:rsid w:val="00CC6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3731453">
      <w:bodyDiv w:val="1"/>
      <w:marLeft w:val="0"/>
      <w:marRight w:val="0"/>
      <w:marTop w:val="0"/>
      <w:marBottom w:val="0"/>
      <w:divBdr>
        <w:top w:val="none" w:sz="0" w:space="0" w:color="auto"/>
        <w:left w:val="none" w:sz="0" w:space="0" w:color="auto"/>
        <w:bottom w:val="none" w:sz="0" w:space="0" w:color="auto"/>
        <w:right w:val="none" w:sz="0" w:space="0" w:color="auto"/>
      </w:divBdr>
      <w:divsChild>
        <w:div w:id="1292131814">
          <w:marLeft w:val="640"/>
          <w:marRight w:val="0"/>
          <w:marTop w:val="0"/>
          <w:marBottom w:val="0"/>
          <w:divBdr>
            <w:top w:val="none" w:sz="0" w:space="0" w:color="auto"/>
            <w:left w:val="none" w:sz="0" w:space="0" w:color="auto"/>
            <w:bottom w:val="none" w:sz="0" w:space="0" w:color="auto"/>
            <w:right w:val="none" w:sz="0" w:space="0" w:color="auto"/>
          </w:divBdr>
        </w:div>
        <w:div w:id="1765303160">
          <w:marLeft w:val="640"/>
          <w:marRight w:val="0"/>
          <w:marTop w:val="0"/>
          <w:marBottom w:val="0"/>
          <w:divBdr>
            <w:top w:val="none" w:sz="0" w:space="0" w:color="auto"/>
            <w:left w:val="none" w:sz="0" w:space="0" w:color="auto"/>
            <w:bottom w:val="none" w:sz="0" w:space="0" w:color="auto"/>
            <w:right w:val="none" w:sz="0" w:space="0" w:color="auto"/>
          </w:divBdr>
        </w:div>
        <w:div w:id="426049615">
          <w:marLeft w:val="640"/>
          <w:marRight w:val="0"/>
          <w:marTop w:val="0"/>
          <w:marBottom w:val="0"/>
          <w:divBdr>
            <w:top w:val="none" w:sz="0" w:space="0" w:color="auto"/>
            <w:left w:val="none" w:sz="0" w:space="0" w:color="auto"/>
            <w:bottom w:val="none" w:sz="0" w:space="0" w:color="auto"/>
            <w:right w:val="none" w:sz="0" w:space="0" w:color="auto"/>
          </w:divBdr>
        </w:div>
        <w:div w:id="1357461118">
          <w:marLeft w:val="640"/>
          <w:marRight w:val="0"/>
          <w:marTop w:val="0"/>
          <w:marBottom w:val="0"/>
          <w:divBdr>
            <w:top w:val="none" w:sz="0" w:space="0" w:color="auto"/>
            <w:left w:val="none" w:sz="0" w:space="0" w:color="auto"/>
            <w:bottom w:val="none" w:sz="0" w:space="0" w:color="auto"/>
            <w:right w:val="none" w:sz="0" w:space="0" w:color="auto"/>
          </w:divBdr>
        </w:div>
        <w:div w:id="260114480">
          <w:marLeft w:val="640"/>
          <w:marRight w:val="0"/>
          <w:marTop w:val="0"/>
          <w:marBottom w:val="0"/>
          <w:divBdr>
            <w:top w:val="none" w:sz="0" w:space="0" w:color="auto"/>
            <w:left w:val="none" w:sz="0" w:space="0" w:color="auto"/>
            <w:bottom w:val="none" w:sz="0" w:space="0" w:color="auto"/>
            <w:right w:val="none" w:sz="0" w:space="0" w:color="auto"/>
          </w:divBdr>
        </w:div>
        <w:div w:id="716703515">
          <w:marLeft w:val="640"/>
          <w:marRight w:val="0"/>
          <w:marTop w:val="0"/>
          <w:marBottom w:val="0"/>
          <w:divBdr>
            <w:top w:val="none" w:sz="0" w:space="0" w:color="auto"/>
            <w:left w:val="none" w:sz="0" w:space="0" w:color="auto"/>
            <w:bottom w:val="none" w:sz="0" w:space="0" w:color="auto"/>
            <w:right w:val="none" w:sz="0" w:space="0" w:color="auto"/>
          </w:divBdr>
        </w:div>
        <w:div w:id="777214575">
          <w:marLeft w:val="640"/>
          <w:marRight w:val="0"/>
          <w:marTop w:val="0"/>
          <w:marBottom w:val="0"/>
          <w:divBdr>
            <w:top w:val="none" w:sz="0" w:space="0" w:color="auto"/>
            <w:left w:val="none" w:sz="0" w:space="0" w:color="auto"/>
            <w:bottom w:val="none" w:sz="0" w:space="0" w:color="auto"/>
            <w:right w:val="none" w:sz="0" w:space="0" w:color="auto"/>
          </w:divBdr>
        </w:div>
        <w:div w:id="1790316055">
          <w:marLeft w:val="640"/>
          <w:marRight w:val="0"/>
          <w:marTop w:val="0"/>
          <w:marBottom w:val="0"/>
          <w:divBdr>
            <w:top w:val="none" w:sz="0" w:space="0" w:color="auto"/>
            <w:left w:val="none" w:sz="0" w:space="0" w:color="auto"/>
            <w:bottom w:val="none" w:sz="0" w:space="0" w:color="auto"/>
            <w:right w:val="none" w:sz="0" w:space="0" w:color="auto"/>
          </w:divBdr>
        </w:div>
        <w:div w:id="365713232">
          <w:marLeft w:val="640"/>
          <w:marRight w:val="0"/>
          <w:marTop w:val="0"/>
          <w:marBottom w:val="0"/>
          <w:divBdr>
            <w:top w:val="none" w:sz="0" w:space="0" w:color="auto"/>
            <w:left w:val="none" w:sz="0" w:space="0" w:color="auto"/>
            <w:bottom w:val="none" w:sz="0" w:space="0" w:color="auto"/>
            <w:right w:val="none" w:sz="0" w:space="0" w:color="auto"/>
          </w:divBdr>
        </w:div>
        <w:div w:id="1143080865">
          <w:marLeft w:val="640"/>
          <w:marRight w:val="0"/>
          <w:marTop w:val="0"/>
          <w:marBottom w:val="0"/>
          <w:divBdr>
            <w:top w:val="none" w:sz="0" w:space="0" w:color="auto"/>
            <w:left w:val="none" w:sz="0" w:space="0" w:color="auto"/>
            <w:bottom w:val="none" w:sz="0" w:space="0" w:color="auto"/>
            <w:right w:val="none" w:sz="0" w:space="0" w:color="auto"/>
          </w:divBdr>
        </w:div>
        <w:div w:id="943028546">
          <w:marLeft w:val="640"/>
          <w:marRight w:val="0"/>
          <w:marTop w:val="0"/>
          <w:marBottom w:val="0"/>
          <w:divBdr>
            <w:top w:val="none" w:sz="0" w:space="0" w:color="auto"/>
            <w:left w:val="none" w:sz="0" w:space="0" w:color="auto"/>
            <w:bottom w:val="none" w:sz="0" w:space="0" w:color="auto"/>
            <w:right w:val="none" w:sz="0" w:space="0" w:color="auto"/>
          </w:divBdr>
        </w:div>
      </w:divsChild>
    </w:div>
    <w:div w:id="392697332">
      <w:bodyDiv w:val="1"/>
      <w:marLeft w:val="0"/>
      <w:marRight w:val="0"/>
      <w:marTop w:val="0"/>
      <w:marBottom w:val="0"/>
      <w:divBdr>
        <w:top w:val="none" w:sz="0" w:space="0" w:color="auto"/>
        <w:left w:val="none" w:sz="0" w:space="0" w:color="auto"/>
        <w:bottom w:val="none" w:sz="0" w:space="0" w:color="auto"/>
        <w:right w:val="none" w:sz="0" w:space="0" w:color="auto"/>
      </w:divBdr>
      <w:divsChild>
        <w:div w:id="948660402">
          <w:marLeft w:val="640"/>
          <w:marRight w:val="0"/>
          <w:marTop w:val="0"/>
          <w:marBottom w:val="0"/>
          <w:divBdr>
            <w:top w:val="none" w:sz="0" w:space="0" w:color="auto"/>
            <w:left w:val="none" w:sz="0" w:space="0" w:color="auto"/>
            <w:bottom w:val="none" w:sz="0" w:space="0" w:color="auto"/>
            <w:right w:val="none" w:sz="0" w:space="0" w:color="auto"/>
          </w:divBdr>
        </w:div>
        <w:div w:id="362940834">
          <w:marLeft w:val="640"/>
          <w:marRight w:val="0"/>
          <w:marTop w:val="0"/>
          <w:marBottom w:val="0"/>
          <w:divBdr>
            <w:top w:val="none" w:sz="0" w:space="0" w:color="auto"/>
            <w:left w:val="none" w:sz="0" w:space="0" w:color="auto"/>
            <w:bottom w:val="none" w:sz="0" w:space="0" w:color="auto"/>
            <w:right w:val="none" w:sz="0" w:space="0" w:color="auto"/>
          </w:divBdr>
        </w:div>
        <w:div w:id="123159430">
          <w:marLeft w:val="640"/>
          <w:marRight w:val="0"/>
          <w:marTop w:val="0"/>
          <w:marBottom w:val="0"/>
          <w:divBdr>
            <w:top w:val="none" w:sz="0" w:space="0" w:color="auto"/>
            <w:left w:val="none" w:sz="0" w:space="0" w:color="auto"/>
            <w:bottom w:val="none" w:sz="0" w:space="0" w:color="auto"/>
            <w:right w:val="none" w:sz="0" w:space="0" w:color="auto"/>
          </w:divBdr>
        </w:div>
        <w:div w:id="280964097">
          <w:marLeft w:val="640"/>
          <w:marRight w:val="0"/>
          <w:marTop w:val="0"/>
          <w:marBottom w:val="0"/>
          <w:divBdr>
            <w:top w:val="none" w:sz="0" w:space="0" w:color="auto"/>
            <w:left w:val="none" w:sz="0" w:space="0" w:color="auto"/>
            <w:bottom w:val="none" w:sz="0" w:space="0" w:color="auto"/>
            <w:right w:val="none" w:sz="0" w:space="0" w:color="auto"/>
          </w:divBdr>
        </w:div>
        <w:div w:id="966398291">
          <w:marLeft w:val="640"/>
          <w:marRight w:val="0"/>
          <w:marTop w:val="0"/>
          <w:marBottom w:val="0"/>
          <w:divBdr>
            <w:top w:val="none" w:sz="0" w:space="0" w:color="auto"/>
            <w:left w:val="none" w:sz="0" w:space="0" w:color="auto"/>
            <w:bottom w:val="none" w:sz="0" w:space="0" w:color="auto"/>
            <w:right w:val="none" w:sz="0" w:space="0" w:color="auto"/>
          </w:divBdr>
        </w:div>
      </w:divsChild>
    </w:div>
    <w:div w:id="611136427">
      <w:bodyDiv w:val="1"/>
      <w:marLeft w:val="0"/>
      <w:marRight w:val="0"/>
      <w:marTop w:val="0"/>
      <w:marBottom w:val="0"/>
      <w:divBdr>
        <w:top w:val="none" w:sz="0" w:space="0" w:color="auto"/>
        <w:left w:val="none" w:sz="0" w:space="0" w:color="auto"/>
        <w:bottom w:val="none" w:sz="0" w:space="0" w:color="auto"/>
        <w:right w:val="none" w:sz="0" w:space="0" w:color="auto"/>
      </w:divBdr>
      <w:divsChild>
        <w:div w:id="1497647884">
          <w:marLeft w:val="0"/>
          <w:marRight w:val="0"/>
          <w:marTop w:val="0"/>
          <w:marBottom w:val="0"/>
          <w:divBdr>
            <w:top w:val="none" w:sz="0" w:space="0" w:color="auto"/>
            <w:left w:val="none" w:sz="0" w:space="0" w:color="auto"/>
            <w:bottom w:val="none" w:sz="0" w:space="0" w:color="auto"/>
            <w:right w:val="none" w:sz="0" w:space="0" w:color="auto"/>
          </w:divBdr>
          <w:divsChild>
            <w:div w:id="2017540396">
              <w:marLeft w:val="0"/>
              <w:marRight w:val="0"/>
              <w:marTop w:val="0"/>
              <w:marBottom w:val="0"/>
              <w:divBdr>
                <w:top w:val="none" w:sz="0" w:space="0" w:color="auto"/>
                <w:left w:val="none" w:sz="0" w:space="0" w:color="auto"/>
                <w:bottom w:val="none" w:sz="0" w:space="0" w:color="auto"/>
                <w:right w:val="none" w:sz="0" w:space="0" w:color="auto"/>
              </w:divBdr>
              <w:divsChild>
                <w:div w:id="859586841">
                  <w:marLeft w:val="0"/>
                  <w:marRight w:val="0"/>
                  <w:marTop w:val="0"/>
                  <w:marBottom w:val="0"/>
                  <w:divBdr>
                    <w:top w:val="none" w:sz="0" w:space="0" w:color="auto"/>
                    <w:left w:val="none" w:sz="0" w:space="0" w:color="auto"/>
                    <w:bottom w:val="none" w:sz="0" w:space="0" w:color="auto"/>
                    <w:right w:val="none" w:sz="0" w:space="0" w:color="auto"/>
                  </w:divBdr>
                  <w:divsChild>
                    <w:div w:id="106838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434553">
      <w:bodyDiv w:val="1"/>
      <w:marLeft w:val="0"/>
      <w:marRight w:val="0"/>
      <w:marTop w:val="0"/>
      <w:marBottom w:val="0"/>
      <w:divBdr>
        <w:top w:val="none" w:sz="0" w:space="0" w:color="auto"/>
        <w:left w:val="none" w:sz="0" w:space="0" w:color="auto"/>
        <w:bottom w:val="none" w:sz="0" w:space="0" w:color="auto"/>
        <w:right w:val="none" w:sz="0" w:space="0" w:color="auto"/>
      </w:divBdr>
      <w:divsChild>
        <w:div w:id="777601644">
          <w:marLeft w:val="640"/>
          <w:marRight w:val="0"/>
          <w:marTop w:val="0"/>
          <w:marBottom w:val="0"/>
          <w:divBdr>
            <w:top w:val="none" w:sz="0" w:space="0" w:color="auto"/>
            <w:left w:val="none" w:sz="0" w:space="0" w:color="auto"/>
            <w:bottom w:val="none" w:sz="0" w:space="0" w:color="auto"/>
            <w:right w:val="none" w:sz="0" w:space="0" w:color="auto"/>
          </w:divBdr>
        </w:div>
        <w:div w:id="877930601">
          <w:marLeft w:val="640"/>
          <w:marRight w:val="0"/>
          <w:marTop w:val="0"/>
          <w:marBottom w:val="0"/>
          <w:divBdr>
            <w:top w:val="none" w:sz="0" w:space="0" w:color="auto"/>
            <w:left w:val="none" w:sz="0" w:space="0" w:color="auto"/>
            <w:bottom w:val="none" w:sz="0" w:space="0" w:color="auto"/>
            <w:right w:val="none" w:sz="0" w:space="0" w:color="auto"/>
          </w:divBdr>
        </w:div>
        <w:div w:id="1327366674">
          <w:marLeft w:val="640"/>
          <w:marRight w:val="0"/>
          <w:marTop w:val="0"/>
          <w:marBottom w:val="0"/>
          <w:divBdr>
            <w:top w:val="none" w:sz="0" w:space="0" w:color="auto"/>
            <w:left w:val="none" w:sz="0" w:space="0" w:color="auto"/>
            <w:bottom w:val="none" w:sz="0" w:space="0" w:color="auto"/>
            <w:right w:val="none" w:sz="0" w:space="0" w:color="auto"/>
          </w:divBdr>
        </w:div>
        <w:div w:id="1820876692">
          <w:marLeft w:val="640"/>
          <w:marRight w:val="0"/>
          <w:marTop w:val="0"/>
          <w:marBottom w:val="0"/>
          <w:divBdr>
            <w:top w:val="none" w:sz="0" w:space="0" w:color="auto"/>
            <w:left w:val="none" w:sz="0" w:space="0" w:color="auto"/>
            <w:bottom w:val="none" w:sz="0" w:space="0" w:color="auto"/>
            <w:right w:val="none" w:sz="0" w:space="0" w:color="auto"/>
          </w:divBdr>
        </w:div>
        <w:div w:id="1559852964">
          <w:marLeft w:val="640"/>
          <w:marRight w:val="0"/>
          <w:marTop w:val="0"/>
          <w:marBottom w:val="0"/>
          <w:divBdr>
            <w:top w:val="none" w:sz="0" w:space="0" w:color="auto"/>
            <w:left w:val="none" w:sz="0" w:space="0" w:color="auto"/>
            <w:bottom w:val="none" w:sz="0" w:space="0" w:color="auto"/>
            <w:right w:val="none" w:sz="0" w:space="0" w:color="auto"/>
          </w:divBdr>
        </w:div>
        <w:div w:id="8065112">
          <w:marLeft w:val="640"/>
          <w:marRight w:val="0"/>
          <w:marTop w:val="0"/>
          <w:marBottom w:val="0"/>
          <w:divBdr>
            <w:top w:val="none" w:sz="0" w:space="0" w:color="auto"/>
            <w:left w:val="none" w:sz="0" w:space="0" w:color="auto"/>
            <w:bottom w:val="none" w:sz="0" w:space="0" w:color="auto"/>
            <w:right w:val="none" w:sz="0" w:space="0" w:color="auto"/>
          </w:divBdr>
        </w:div>
        <w:div w:id="448934488">
          <w:marLeft w:val="640"/>
          <w:marRight w:val="0"/>
          <w:marTop w:val="0"/>
          <w:marBottom w:val="0"/>
          <w:divBdr>
            <w:top w:val="none" w:sz="0" w:space="0" w:color="auto"/>
            <w:left w:val="none" w:sz="0" w:space="0" w:color="auto"/>
            <w:bottom w:val="none" w:sz="0" w:space="0" w:color="auto"/>
            <w:right w:val="none" w:sz="0" w:space="0" w:color="auto"/>
          </w:divBdr>
        </w:div>
        <w:div w:id="26832599">
          <w:marLeft w:val="640"/>
          <w:marRight w:val="0"/>
          <w:marTop w:val="0"/>
          <w:marBottom w:val="0"/>
          <w:divBdr>
            <w:top w:val="none" w:sz="0" w:space="0" w:color="auto"/>
            <w:left w:val="none" w:sz="0" w:space="0" w:color="auto"/>
            <w:bottom w:val="none" w:sz="0" w:space="0" w:color="auto"/>
            <w:right w:val="none" w:sz="0" w:space="0" w:color="auto"/>
          </w:divBdr>
        </w:div>
        <w:div w:id="1343967589">
          <w:marLeft w:val="64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2320760">
      <w:bodyDiv w:val="1"/>
      <w:marLeft w:val="0"/>
      <w:marRight w:val="0"/>
      <w:marTop w:val="0"/>
      <w:marBottom w:val="0"/>
      <w:divBdr>
        <w:top w:val="none" w:sz="0" w:space="0" w:color="auto"/>
        <w:left w:val="none" w:sz="0" w:space="0" w:color="auto"/>
        <w:bottom w:val="none" w:sz="0" w:space="0" w:color="auto"/>
        <w:right w:val="none" w:sz="0" w:space="0" w:color="auto"/>
      </w:divBdr>
      <w:divsChild>
        <w:div w:id="1977948798">
          <w:marLeft w:val="640"/>
          <w:marRight w:val="0"/>
          <w:marTop w:val="0"/>
          <w:marBottom w:val="0"/>
          <w:divBdr>
            <w:top w:val="none" w:sz="0" w:space="0" w:color="auto"/>
            <w:left w:val="none" w:sz="0" w:space="0" w:color="auto"/>
            <w:bottom w:val="none" w:sz="0" w:space="0" w:color="auto"/>
            <w:right w:val="none" w:sz="0" w:space="0" w:color="auto"/>
          </w:divBdr>
        </w:div>
        <w:div w:id="1385332194">
          <w:marLeft w:val="640"/>
          <w:marRight w:val="0"/>
          <w:marTop w:val="0"/>
          <w:marBottom w:val="0"/>
          <w:divBdr>
            <w:top w:val="none" w:sz="0" w:space="0" w:color="auto"/>
            <w:left w:val="none" w:sz="0" w:space="0" w:color="auto"/>
            <w:bottom w:val="none" w:sz="0" w:space="0" w:color="auto"/>
            <w:right w:val="none" w:sz="0" w:space="0" w:color="auto"/>
          </w:divBdr>
        </w:div>
        <w:div w:id="1792629175">
          <w:marLeft w:val="640"/>
          <w:marRight w:val="0"/>
          <w:marTop w:val="0"/>
          <w:marBottom w:val="0"/>
          <w:divBdr>
            <w:top w:val="none" w:sz="0" w:space="0" w:color="auto"/>
            <w:left w:val="none" w:sz="0" w:space="0" w:color="auto"/>
            <w:bottom w:val="none" w:sz="0" w:space="0" w:color="auto"/>
            <w:right w:val="none" w:sz="0" w:space="0" w:color="auto"/>
          </w:divBdr>
        </w:div>
        <w:div w:id="1414401044">
          <w:marLeft w:val="640"/>
          <w:marRight w:val="0"/>
          <w:marTop w:val="0"/>
          <w:marBottom w:val="0"/>
          <w:divBdr>
            <w:top w:val="none" w:sz="0" w:space="0" w:color="auto"/>
            <w:left w:val="none" w:sz="0" w:space="0" w:color="auto"/>
            <w:bottom w:val="none" w:sz="0" w:space="0" w:color="auto"/>
            <w:right w:val="none" w:sz="0" w:space="0" w:color="auto"/>
          </w:divBdr>
        </w:div>
        <w:div w:id="1713723397">
          <w:marLeft w:val="640"/>
          <w:marRight w:val="0"/>
          <w:marTop w:val="0"/>
          <w:marBottom w:val="0"/>
          <w:divBdr>
            <w:top w:val="none" w:sz="0" w:space="0" w:color="auto"/>
            <w:left w:val="none" w:sz="0" w:space="0" w:color="auto"/>
            <w:bottom w:val="none" w:sz="0" w:space="0" w:color="auto"/>
            <w:right w:val="none" w:sz="0" w:space="0" w:color="auto"/>
          </w:divBdr>
        </w:div>
        <w:div w:id="1477145999">
          <w:marLeft w:val="640"/>
          <w:marRight w:val="0"/>
          <w:marTop w:val="0"/>
          <w:marBottom w:val="0"/>
          <w:divBdr>
            <w:top w:val="none" w:sz="0" w:space="0" w:color="auto"/>
            <w:left w:val="none" w:sz="0" w:space="0" w:color="auto"/>
            <w:bottom w:val="none" w:sz="0" w:space="0" w:color="auto"/>
            <w:right w:val="none" w:sz="0" w:space="0" w:color="auto"/>
          </w:divBdr>
        </w:div>
        <w:div w:id="294261543">
          <w:marLeft w:val="640"/>
          <w:marRight w:val="0"/>
          <w:marTop w:val="0"/>
          <w:marBottom w:val="0"/>
          <w:divBdr>
            <w:top w:val="none" w:sz="0" w:space="0" w:color="auto"/>
            <w:left w:val="none" w:sz="0" w:space="0" w:color="auto"/>
            <w:bottom w:val="none" w:sz="0" w:space="0" w:color="auto"/>
            <w:right w:val="none" w:sz="0" w:space="0" w:color="auto"/>
          </w:divBdr>
        </w:div>
        <w:div w:id="1602950340">
          <w:marLeft w:val="640"/>
          <w:marRight w:val="0"/>
          <w:marTop w:val="0"/>
          <w:marBottom w:val="0"/>
          <w:divBdr>
            <w:top w:val="none" w:sz="0" w:space="0" w:color="auto"/>
            <w:left w:val="none" w:sz="0" w:space="0" w:color="auto"/>
            <w:bottom w:val="none" w:sz="0" w:space="0" w:color="auto"/>
            <w:right w:val="none" w:sz="0" w:space="0" w:color="auto"/>
          </w:divBdr>
        </w:div>
        <w:div w:id="829980474">
          <w:marLeft w:val="640"/>
          <w:marRight w:val="0"/>
          <w:marTop w:val="0"/>
          <w:marBottom w:val="0"/>
          <w:divBdr>
            <w:top w:val="none" w:sz="0" w:space="0" w:color="auto"/>
            <w:left w:val="none" w:sz="0" w:space="0" w:color="auto"/>
            <w:bottom w:val="none" w:sz="0" w:space="0" w:color="auto"/>
            <w:right w:val="none" w:sz="0" w:space="0" w:color="auto"/>
          </w:divBdr>
        </w:div>
        <w:div w:id="2140685149">
          <w:marLeft w:val="640"/>
          <w:marRight w:val="0"/>
          <w:marTop w:val="0"/>
          <w:marBottom w:val="0"/>
          <w:divBdr>
            <w:top w:val="none" w:sz="0" w:space="0" w:color="auto"/>
            <w:left w:val="none" w:sz="0" w:space="0" w:color="auto"/>
            <w:bottom w:val="none" w:sz="0" w:space="0" w:color="auto"/>
            <w:right w:val="none" w:sz="0" w:space="0" w:color="auto"/>
          </w:divBdr>
        </w:div>
        <w:div w:id="1591574270">
          <w:marLeft w:val="640"/>
          <w:marRight w:val="0"/>
          <w:marTop w:val="0"/>
          <w:marBottom w:val="0"/>
          <w:divBdr>
            <w:top w:val="none" w:sz="0" w:space="0" w:color="auto"/>
            <w:left w:val="none" w:sz="0" w:space="0" w:color="auto"/>
            <w:bottom w:val="none" w:sz="0" w:space="0" w:color="auto"/>
            <w:right w:val="none" w:sz="0" w:space="0" w:color="auto"/>
          </w:divBdr>
        </w:div>
        <w:div w:id="185603945">
          <w:marLeft w:val="640"/>
          <w:marRight w:val="0"/>
          <w:marTop w:val="0"/>
          <w:marBottom w:val="0"/>
          <w:divBdr>
            <w:top w:val="none" w:sz="0" w:space="0" w:color="auto"/>
            <w:left w:val="none" w:sz="0" w:space="0" w:color="auto"/>
            <w:bottom w:val="none" w:sz="0" w:space="0" w:color="auto"/>
            <w:right w:val="none" w:sz="0" w:space="0" w:color="auto"/>
          </w:divBdr>
        </w:div>
      </w:divsChild>
    </w:div>
    <w:div w:id="787353747">
      <w:bodyDiv w:val="1"/>
      <w:marLeft w:val="0"/>
      <w:marRight w:val="0"/>
      <w:marTop w:val="0"/>
      <w:marBottom w:val="0"/>
      <w:divBdr>
        <w:top w:val="none" w:sz="0" w:space="0" w:color="auto"/>
        <w:left w:val="none" w:sz="0" w:space="0" w:color="auto"/>
        <w:bottom w:val="none" w:sz="0" w:space="0" w:color="auto"/>
        <w:right w:val="none" w:sz="0" w:space="0" w:color="auto"/>
      </w:divBdr>
      <w:divsChild>
        <w:div w:id="556742809">
          <w:marLeft w:val="640"/>
          <w:marRight w:val="0"/>
          <w:marTop w:val="0"/>
          <w:marBottom w:val="0"/>
          <w:divBdr>
            <w:top w:val="none" w:sz="0" w:space="0" w:color="auto"/>
            <w:left w:val="none" w:sz="0" w:space="0" w:color="auto"/>
            <w:bottom w:val="none" w:sz="0" w:space="0" w:color="auto"/>
            <w:right w:val="none" w:sz="0" w:space="0" w:color="auto"/>
          </w:divBdr>
        </w:div>
        <w:div w:id="1481530855">
          <w:marLeft w:val="640"/>
          <w:marRight w:val="0"/>
          <w:marTop w:val="0"/>
          <w:marBottom w:val="0"/>
          <w:divBdr>
            <w:top w:val="none" w:sz="0" w:space="0" w:color="auto"/>
            <w:left w:val="none" w:sz="0" w:space="0" w:color="auto"/>
            <w:bottom w:val="none" w:sz="0" w:space="0" w:color="auto"/>
            <w:right w:val="none" w:sz="0" w:space="0" w:color="auto"/>
          </w:divBdr>
        </w:div>
        <w:div w:id="269162420">
          <w:marLeft w:val="640"/>
          <w:marRight w:val="0"/>
          <w:marTop w:val="0"/>
          <w:marBottom w:val="0"/>
          <w:divBdr>
            <w:top w:val="none" w:sz="0" w:space="0" w:color="auto"/>
            <w:left w:val="none" w:sz="0" w:space="0" w:color="auto"/>
            <w:bottom w:val="none" w:sz="0" w:space="0" w:color="auto"/>
            <w:right w:val="none" w:sz="0" w:space="0" w:color="auto"/>
          </w:divBdr>
        </w:div>
        <w:div w:id="1501046116">
          <w:marLeft w:val="640"/>
          <w:marRight w:val="0"/>
          <w:marTop w:val="0"/>
          <w:marBottom w:val="0"/>
          <w:divBdr>
            <w:top w:val="none" w:sz="0" w:space="0" w:color="auto"/>
            <w:left w:val="none" w:sz="0" w:space="0" w:color="auto"/>
            <w:bottom w:val="none" w:sz="0" w:space="0" w:color="auto"/>
            <w:right w:val="none" w:sz="0" w:space="0" w:color="auto"/>
          </w:divBdr>
        </w:div>
        <w:div w:id="1878422672">
          <w:marLeft w:val="640"/>
          <w:marRight w:val="0"/>
          <w:marTop w:val="0"/>
          <w:marBottom w:val="0"/>
          <w:divBdr>
            <w:top w:val="none" w:sz="0" w:space="0" w:color="auto"/>
            <w:left w:val="none" w:sz="0" w:space="0" w:color="auto"/>
            <w:bottom w:val="none" w:sz="0" w:space="0" w:color="auto"/>
            <w:right w:val="none" w:sz="0" w:space="0" w:color="auto"/>
          </w:divBdr>
        </w:div>
        <w:div w:id="1613130585">
          <w:marLeft w:val="640"/>
          <w:marRight w:val="0"/>
          <w:marTop w:val="0"/>
          <w:marBottom w:val="0"/>
          <w:divBdr>
            <w:top w:val="none" w:sz="0" w:space="0" w:color="auto"/>
            <w:left w:val="none" w:sz="0" w:space="0" w:color="auto"/>
            <w:bottom w:val="none" w:sz="0" w:space="0" w:color="auto"/>
            <w:right w:val="none" w:sz="0" w:space="0" w:color="auto"/>
          </w:divBdr>
        </w:div>
        <w:div w:id="1746804287">
          <w:marLeft w:val="640"/>
          <w:marRight w:val="0"/>
          <w:marTop w:val="0"/>
          <w:marBottom w:val="0"/>
          <w:divBdr>
            <w:top w:val="none" w:sz="0" w:space="0" w:color="auto"/>
            <w:left w:val="none" w:sz="0" w:space="0" w:color="auto"/>
            <w:bottom w:val="none" w:sz="0" w:space="0" w:color="auto"/>
            <w:right w:val="none" w:sz="0" w:space="0" w:color="auto"/>
          </w:divBdr>
        </w:div>
        <w:div w:id="1833061423">
          <w:marLeft w:val="640"/>
          <w:marRight w:val="0"/>
          <w:marTop w:val="0"/>
          <w:marBottom w:val="0"/>
          <w:divBdr>
            <w:top w:val="none" w:sz="0" w:space="0" w:color="auto"/>
            <w:left w:val="none" w:sz="0" w:space="0" w:color="auto"/>
            <w:bottom w:val="none" w:sz="0" w:space="0" w:color="auto"/>
            <w:right w:val="none" w:sz="0" w:space="0" w:color="auto"/>
          </w:divBdr>
        </w:div>
        <w:div w:id="873687899">
          <w:marLeft w:val="640"/>
          <w:marRight w:val="0"/>
          <w:marTop w:val="0"/>
          <w:marBottom w:val="0"/>
          <w:divBdr>
            <w:top w:val="none" w:sz="0" w:space="0" w:color="auto"/>
            <w:left w:val="none" w:sz="0" w:space="0" w:color="auto"/>
            <w:bottom w:val="none" w:sz="0" w:space="0" w:color="auto"/>
            <w:right w:val="none" w:sz="0" w:space="0" w:color="auto"/>
          </w:divBdr>
        </w:div>
        <w:div w:id="742604696">
          <w:marLeft w:val="640"/>
          <w:marRight w:val="0"/>
          <w:marTop w:val="0"/>
          <w:marBottom w:val="0"/>
          <w:divBdr>
            <w:top w:val="none" w:sz="0" w:space="0" w:color="auto"/>
            <w:left w:val="none" w:sz="0" w:space="0" w:color="auto"/>
            <w:bottom w:val="none" w:sz="0" w:space="0" w:color="auto"/>
            <w:right w:val="none" w:sz="0" w:space="0" w:color="auto"/>
          </w:divBdr>
        </w:div>
        <w:div w:id="1238327111">
          <w:marLeft w:val="640"/>
          <w:marRight w:val="0"/>
          <w:marTop w:val="0"/>
          <w:marBottom w:val="0"/>
          <w:divBdr>
            <w:top w:val="none" w:sz="0" w:space="0" w:color="auto"/>
            <w:left w:val="none" w:sz="0" w:space="0" w:color="auto"/>
            <w:bottom w:val="none" w:sz="0" w:space="0" w:color="auto"/>
            <w:right w:val="none" w:sz="0" w:space="0" w:color="auto"/>
          </w:divBdr>
        </w:div>
        <w:div w:id="1439642439">
          <w:marLeft w:val="640"/>
          <w:marRight w:val="0"/>
          <w:marTop w:val="0"/>
          <w:marBottom w:val="0"/>
          <w:divBdr>
            <w:top w:val="none" w:sz="0" w:space="0" w:color="auto"/>
            <w:left w:val="none" w:sz="0" w:space="0" w:color="auto"/>
            <w:bottom w:val="none" w:sz="0" w:space="0" w:color="auto"/>
            <w:right w:val="none" w:sz="0" w:space="0" w:color="auto"/>
          </w:divBdr>
        </w:div>
        <w:div w:id="962619079">
          <w:marLeft w:val="640"/>
          <w:marRight w:val="0"/>
          <w:marTop w:val="0"/>
          <w:marBottom w:val="0"/>
          <w:divBdr>
            <w:top w:val="none" w:sz="0" w:space="0" w:color="auto"/>
            <w:left w:val="none" w:sz="0" w:space="0" w:color="auto"/>
            <w:bottom w:val="none" w:sz="0" w:space="0" w:color="auto"/>
            <w:right w:val="none" w:sz="0" w:space="0" w:color="auto"/>
          </w:divBdr>
        </w:div>
        <w:div w:id="103355611">
          <w:marLeft w:val="640"/>
          <w:marRight w:val="0"/>
          <w:marTop w:val="0"/>
          <w:marBottom w:val="0"/>
          <w:divBdr>
            <w:top w:val="none" w:sz="0" w:space="0" w:color="auto"/>
            <w:left w:val="none" w:sz="0" w:space="0" w:color="auto"/>
            <w:bottom w:val="none" w:sz="0" w:space="0" w:color="auto"/>
            <w:right w:val="none" w:sz="0" w:space="0" w:color="auto"/>
          </w:divBdr>
        </w:div>
      </w:divsChild>
    </w:div>
    <w:div w:id="910582191">
      <w:bodyDiv w:val="1"/>
      <w:marLeft w:val="0"/>
      <w:marRight w:val="0"/>
      <w:marTop w:val="0"/>
      <w:marBottom w:val="0"/>
      <w:divBdr>
        <w:top w:val="none" w:sz="0" w:space="0" w:color="auto"/>
        <w:left w:val="none" w:sz="0" w:space="0" w:color="auto"/>
        <w:bottom w:val="none" w:sz="0" w:space="0" w:color="auto"/>
        <w:right w:val="none" w:sz="0" w:space="0" w:color="auto"/>
      </w:divBdr>
      <w:divsChild>
        <w:div w:id="869800650">
          <w:marLeft w:val="640"/>
          <w:marRight w:val="0"/>
          <w:marTop w:val="0"/>
          <w:marBottom w:val="0"/>
          <w:divBdr>
            <w:top w:val="none" w:sz="0" w:space="0" w:color="auto"/>
            <w:left w:val="none" w:sz="0" w:space="0" w:color="auto"/>
            <w:bottom w:val="none" w:sz="0" w:space="0" w:color="auto"/>
            <w:right w:val="none" w:sz="0" w:space="0" w:color="auto"/>
          </w:divBdr>
        </w:div>
        <w:div w:id="1029447774">
          <w:marLeft w:val="640"/>
          <w:marRight w:val="0"/>
          <w:marTop w:val="0"/>
          <w:marBottom w:val="0"/>
          <w:divBdr>
            <w:top w:val="none" w:sz="0" w:space="0" w:color="auto"/>
            <w:left w:val="none" w:sz="0" w:space="0" w:color="auto"/>
            <w:bottom w:val="none" w:sz="0" w:space="0" w:color="auto"/>
            <w:right w:val="none" w:sz="0" w:space="0" w:color="auto"/>
          </w:divBdr>
        </w:div>
        <w:div w:id="964893057">
          <w:marLeft w:val="640"/>
          <w:marRight w:val="0"/>
          <w:marTop w:val="0"/>
          <w:marBottom w:val="0"/>
          <w:divBdr>
            <w:top w:val="none" w:sz="0" w:space="0" w:color="auto"/>
            <w:left w:val="none" w:sz="0" w:space="0" w:color="auto"/>
            <w:bottom w:val="none" w:sz="0" w:space="0" w:color="auto"/>
            <w:right w:val="none" w:sz="0" w:space="0" w:color="auto"/>
          </w:divBdr>
        </w:div>
        <w:div w:id="5181433">
          <w:marLeft w:val="640"/>
          <w:marRight w:val="0"/>
          <w:marTop w:val="0"/>
          <w:marBottom w:val="0"/>
          <w:divBdr>
            <w:top w:val="none" w:sz="0" w:space="0" w:color="auto"/>
            <w:left w:val="none" w:sz="0" w:space="0" w:color="auto"/>
            <w:bottom w:val="none" w:sz="0" w:space="0" w:color="auto"/>
            <w:right w:val="none" w:sz="0" w:space="0" w:color="auto"/>
          </w:divBdr>
        </w:div>
        <w:div w:id="1313095968">
          <w:marLeft w:val="640"/>
          <w:marRight w:val="0"/>
          <w:marTop w:val="0"/>
          <w:marBottom w:val="0"/>
          <w:divBdr>
            <w:top w:val="none" w:sz="0" w:space="0" w:color="auto"/>
            <w:left w:val="none" w:sz="0" w:space="0" w:color="auto"/>
            <w:bottom w:val="none" w:sz="0" w:space="0" w:color="auto"/>
            <w:right w:val="none" w:sz="0" w:space="0" w:color="auto"/>
          </w:divBdr>
        </w:div>
        <w:div w:id="107433392">
          <w:marLeft w:val="640"/>
          <w:marRight w:val="0"/>
          <w:marTop w:val="0"/>
          <w:marBottom w:val="0"/>
          <w:divBdr>
            <w:top w:val="none" w:sz="0" w:space="0" w:color="auto"/>
            <w:left w:val="none" w:sz="0" w:space="0" w:color="auto"/>
            <w:bottom w:val="none" w:sz="0" w:space="0" w:color="auto"/>
            <w:right w:val="none" w:sz="0" w:space="0" w:color="auto"/>
          </w:divBdr>
        </w:div>
        <w:div w:id="1729374777">
          <w:marLeft w:val="640"/>
          <w:marRight w:val="0"/>
          <w:marTop w:val="0"/>
          <w:marBottom w:val="0"/>
          <w:divBdr>
            <w:top w:val="none" w:sz="0" w:space="0" w:color="auto"/>
            <w:left w:val="none" w:sz="0" w:space="0" w:color="auto"/>
            <w:bottom w:val="none" w:sz="0" w:space="0" w:color="auto"/>
            <w:right w:val="none" w:sz="0" w:space="0" w:color="auto"/>
          </w:divBdr>
        </w:div>
        <w:div w:id="1655068932">
          <w:marLeft w:val="640"/>
          <w:marRight w:val="0"/>
          <w:marTop w:val="0"/>
          <w:marBottom w:val="0"/>
          <w:divBdr>
            <w:top w:val="none" w:sz="0" w:space="0" w:color="auto"/>
            <w:left w:val="none" w:sz="0" w:space="0" w:color="auto"/>
            <w:bottom w:val="none" w:sz="0" w:space="0" w:color="auto"/>
            <w:right w:val="none" w:sz="0" w:space="0" w:color="auto"/>
          </w:divBdr>
        </w:div>
        <w:div w:id="430128088">
          <w:marLeft w:val="640"/>
          <w:marRight w:val="0"/>
          <w:marTop w:val="0"/>
          <w:marBottom w:val="0"/>
          <w:divBdr>
            <w:top w:val="none" w:sz="0" w:space="0" w:color="auto"/>
            <w:left w:val="none" w:sz="0" w:space="0" w:color="auto"/>
            <w:bottom w:val="none" w:sz="0" w:space="0" w:color="auto"/>
            <w:right w:val="none" w:sz="0" w:space="0" w:color="auto"/>
          </w:divBdr>
        </w:div>
        <w:div w:id="1673992322">
          <w:marLeft w:val="640"/>
          <w:marRight w:val="0"/>
          <w:marTop w:val="0"/>
          <w:marBottom w:val="0"/>
          <w:divBdr>
            <w:top w:val="none" w:sz="0" w:space="0" w:color="auto"/>
            <w:left w:val="none" w:sz="0" w:space="0" w:color="auto"/>
            <w:bottom w:val="none" w:sz="0" w:space="0" w:color="auto"/>
            <w:right w:val="none" w:sz="0" w:space="0" w:color="auto"/>
          </w:divBdr>
        </w:div>
      </w:divsChild>
    </w:div>
    <w:div w:id="966818811">
      <w:bodyDiv w:val="1"/>
      <w:marLeft w:val="0"/>
      <w:marRight w:val="0"/>
      <w:marTop w:val="0"/>
      <w:marBottom w:val="0"/>
      <w:divBdr>
        <w:top w:val="none" w:sz="0" w:space="0" w:color="auto"/>
        <w:left w:val="none" w:sz="0" w:space="0" w:color="auto"/>
        <w:bottom w:val="none" w:sz="0" w:space="0" w:color="auto"/>
        <w:right w:val="none" w:sz="0" w:space="0" w:color="auto"/>
      </w:divBdr>
      <w:divsChild>
        <w:div w:id="812599918">
          <w:marLeft w:val="640"/>
          <w:marRight w:val="0"/>
          <w:marTop w:val="0"/>
          <w:marBottom w:val="0"/>
          <w:divBdr>
            <w:top w:val="none" w:sz="0" w:space="0" w:color="auto"/>
            <w:left w:val="none" w:sz="0" w:space="0" w:color="auto"/>
            <w:bottom w:val="none" w:sz="0" w:space="0" w:color="auto"/>
            <w:right w:val="none" w:sz="0" w:space="0" w:color="auto"/>
          </w:divBdr>
        </w:div>
        <w:div w:id="108858190">
          <w:marLeft w:val="640"/>
          <w:marRight w:val="0"/>
          <w:marTop w:val="0"/>
          <w:marBottom w:val="0"/>
          <w:divBdr>
            <w:top w:val="none" w:sz="0" w:space="0" w:color="auto"/>
            <w:left w:val="none" w:sz="0" w:space="0" w:color="auto"/>
            <w:bottom w:val="none" w:sz="0" w:space="0" w:color="auto"/>
            <w:right w:val="none" w:sz="0" w:space="0" w:color="auto"/>
          </w:divBdr>
        </w:div>
        <w:div w:id="1165047937">
          <w:marLeft w:val="640"/>
          <w:marRight w:val="0"/>
          <w:marTop w:val="0"/>
          <w:marBottom w:val="0"/>
          <w:divBdr>
            <w:top w:val="none" w:sz="0" w:space="0" w:color="auto"/>
            <w:left w:val="none" w:sz="0" w:space="0" w:color="auto"/>
            <w:bottom w:val="none" w:sz="0" w:space="0" w:color="auto"/>
            <w:right w:val="none" w:sz="0" w:space="0" w:color="auto"/>
          </w:divBdr>
        </w:div>
        <w:div w:id="1463959462">
          <w:marLeft w:val="640"/>
          <w:marRight w:val="0"/>
          <w:marTop w:val="0"/>
          <w:marBottom w:val="0"/>
          <w:divBdr>
            <w:top w:val="none" w:sz="0" w:space="0" w:color="auto"/>
            <w:left w:val="none" w:sz="0" w:space="0" w:color="auto"/>
            <w:bottom w:val="none" w:sz="0" w:space="0" w:color="auto"/>
            <w:right w:val="none" w:sz="0" w:space="0" w:color="auto"/>
          </w:divBdr>
        </w:div>
        <w:div w:id="1557662640">
          <w:marLeft w:val="640"/>
          <w:marRight w:val="0"/>
          <w:marTop w:val="0"/>
          <w:marBottom w:val="0"/>
          <w:divBdr>
            <w:top w:val="none" w:sz="0" w:space="0" w:color="auto"/>
            <w:left w:val="none" w:sz="0" w:space="0" w:color="auto"/>
            <w:bottom w:val="none" w:sz="0" w:space="0" w:color="auto"/>
            <w:right w:val="none" w:sz="0" w:space="0" w:color="auto"/>
          </w:divBdr>
        </w:div>
        <w:div w:id="1632053231">
          <w:marLeft w:val="640"/>
          <w:marRight w:val="0"/>
          <w:marTop w:val="0"/>
          <w:marBottom w:val="0"/>
          <w:divBdr>
            <w:top w:val="none" w:sz="0" w:space="0" w:color="auto"/>
            <w:left w:val="none" w:sz="0" w:space="0" w:color="auto"/>
            <w:bottom w:val="none" w:sz="0" w:space="0" w:color="auto"/>
            <w:right w:val="none" w:sz="0" w:space="0" w:color="auto"/>
          </w:divBdr>
        </w:div>
        <w:div w:id="78455338">
          <w:marLeft w:val="640"/>
          <w:marRight w:val="0"/>
          <w:marTop w:val="0"/>
          <w:marBottom w:val="0"/>
          <w:divBdr>
            <w:top w:val="none" w:sz="0" w:space="0" w:color="auto"/>
            <w:left w:val="none" w:sz="0" w:space="0" w:color="auto"/>
            <w:bottom w:val="none" w:sz="0" w:space="0" w:color="auto"/>
            <w:right w:val="none" w:sz="0" w:space="0" w:color="auto"/>
          </w:divBdr>
        </w:div>
        <w:div w:id="630670216">
          <w:marLeft w:val="640"/>
          <w:marRight w:val="0"/>
          <w:marTop w:val="0"/>
          <w:marBottom w:val="0"/>
          <w:divBdr>
            <w:top w:val="none" w:sz="0" w:space="0" w:color="auto"/>
            <w:left w:val="none" w:sz="0" w:space="0" w:color="auto"/>
            <w:bottom w:val="none" w:sz="0" w:space="0" w:color="auto"/>
            <w:right w:val="none" w:sz="0" w:space="0" w:color="auto"/>
          </w:divBdr>
        </w:div>
        <w:div w:id="1498568438">
          <w:marLeft w:val="64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6442132">
      <w:bodyDiv w:val="1"/>
      <w:marLeft w:val="0"/>
      <w:marRight w:val="0"/>
      <w:marTop w:val="0"/>
      <w:marBottom w:val="0"/>
      <w:divBdr>
        <w:top w:val="none" w:sz="0" w:space="0" w:color="auto"/>
        <w:left w:val="none" w:sz="0" w:space="0" w:color="auto"/>
        <w:bottom w:val="none" w:sz="0" w:space="0" w:color="auto"/>
        <w:right w:val="none" w:sz="0" w:space="0" w:color="auto"/>
      </w:divBdr>
      <w:divsChild>
        <w:div w:id="1918130058">
          <w:marLeft w:val="640"/>
          <w:marRight w:val="0"/>
          <w:marTop w:val="0"/>
          <w:marBottom w:val="0"/>
          <w:divBdr>
            <w:top w:val="none" w:sz="0" w:space="0" w:color="auto"/>
            <w:left w:val="none" w:sz="0" w:space="0" w:color="auto"/>
            <w:bottom w:val="none" w:sz="0" w:space="0" w:color="auto"/>
            <w:right w:val="none" w:sz="0" w:space="0" w:color="auto"/>
          </w:divBdr>
        </w:div>
        <w:div w:id="1789542809">
          <w:marLeft w:val="640"/>
          <w:marRight w:val="0"/>
          <w:marTop w:val="0"/>
          <w:marBottom w:val="0"/>
          <w:divBdr>
            <w:top w:val="none" w:sz="0" w:space="0" w:color="auto"/>
            <w:left w:val="none" w:sz="0" w:space="0" w:color="auto"/>
            <w:bottom w:val="none" w:sz="0" w:space="0" w:color="auto"/>
            <w:right w:val="none" w:sz="0" w:space="0" w:color="auto"/>
          </w:divBdr>
        </w:div>
        <w:div w:id="477917949">
          <w:marLeft w:val="640"/>
          <w:marRight w:val="0"/>
          <w:marTop w:val="0"/>
          <w:marBottom w:val="0"/>
          <w:divBdr>
            <w:top w:val="none" w:sz="0" w:space="0" w:color="auto"/>
            <w:left w:val="none" w:sz="0" w:space="0" w:color="auto"/>
            <w:bottom w:val="none" w:sz="0" w:space="0" w:color="auto"/>
            <w:right w:val="none" w:sz="0" w:space="0" w:color="auto"/>
          </w:divBdr>
        </w:div>
        <w:div w:id="1934967732">
          <w:marLeft w:val="640"/>
          <w:marRight w:val="0"/>
          <w:marTop w:val="0"/>
          <w:marBottom w:val="0"/>
          <w:divBdr>
            <w:top w:val="none" w:sz="0" w:space="0" w:color="auto"/>
            <w:left w:val="none" w:sz="0" w:space="0" w:color="auto"/>
            <w:bottom w:val="none" w:sz="0" w:space="0" w:color="auto"/>
            <w:right w:val="none" w:sz="0" w:space="0" w:color="auto"/>
          </w:divBdr>
        </w:div>
        <w:div w:id="1525751253">
          <w:marLeft w:val="640"/>
          <w:marRight w:val="0"/>
          <w:marTop w:val="0"/>
          <w:marBottom w:val="0"/>
          <w:divBdr>
            <w:top w:val="none" w:sz="0" w:space="0" w:color="auto"/>
            <w:left w:val="none" w:sz="0" w:space="0" w:color="auto"/>
            <w:bottom w:val="none" w:sz="0" w:space="0" w:color="auto"/>
            <w:right w:val="none" w:sz="0" w:space="0" w:color="auto"/>
          </w:divBdr>
        </w:div>
        <w:div w:id="202333020">
          <w:marLeft w:val="640"/>
          <w:marRight w:val="0"/>
          <w:marTop w:val="0"/>
          <w:marBottom w:val="0"/>
          <w:divBdr>
            <w:top w:val="none" w:sz="0" w:space="0" w:color="auto"/>
            <w:left w:val="none" w:sz="0" w:space="0" w:color="auto"/>
            <w:bottom w:val="none" w:sz="0" w:space="0" w:color="auto"/>
            <w:right w:val="none" w:sz="0" w:space="0" w:color="auto"/>
          </w:divBdr>
        </w:div>
        <w:div w:id="2090761741">
          <w:marLeft w:val="640"/>
          <w:marRight w:val="0"/>
          <w:marTop w:val="0"/>
          <w:marBottom w:val="0"/>
          <w:divBdr>
            <w:top w:val="none" w:sz="0" w:space="0" w:color="auto"/>
            <w:left w:val="none" w:sz="0" w:space="0" w:color="auto"/>
            <w:bottom w:val="none" w:sz="0" w:space="0" w:color="auto"/>
            <w:right w:val="none" w:sz="0" w:space="0" w:color="auto"/>
          </w:divBdr>
        </w:div>
        <w:div w:id="1846943341">
          <w:marLeft w:val="640"/>
          <w:marRight w:val="0"/>
          <w:marTop w:val="0"/>
          <w:marBottom w:val="0"/>
          <w:divBdr>
            <w:top w:val="none" w:sz="0" w:space="0" w:color="auto"/>
            <w:left w:val="none" w:sz="0" w:space="0" w:color="auto"/>
            <w:bottom w:val="none" w:sz="0" w:space="0" w:color="auto"/>
            <w:right w:val="none" w:sz="0" w:space="0" w:color="auto"/>
          </w:divBdr>
        </w:div>
      </w:divsChild>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37086867">
      <w:bodyDiv w:val="1"/>
      <w:marLeft w:val="0"/>
      <w:marRight w:val="0"/>
      <w:marTop w:val="0"/>
      <w:marBottom w:val="0"/>
      <w:divBdr>
        <w:top w:val="none" w:sz="0" w:space="0" w:color="auto"/>
        <w:left w:val="none" w:sz="0" w:space="0" w:color="auto"/>
        <w:bottom w:val="none" w:sz="0" w:space="0" w:color="auto"/>
        <w:right w:val="none" w:sz="0" w:space="0" w:color="auto"/>
      </w:divBdr>
      <w:divsChild>
        <w:div w:id="1526557075">
          <w:marLeft w:val="640"/>
          <w:marRight w:val="0"/>
          <w:marTop w:val="0"/>
          <w:marBottom w:val="0"/>
          <w:divBdr>
            <w:top w:val="none" w:sz="0" w:space="0" w:color="auto"/>
            <w:left w:val="none" w:sz="0" w:space="0" w:color="auto"/>
            <w:bottom w:val="none" w:sz="0" w:space="0" w:color="auto"/>
            <w:right w:val="none" w:sz="0" w:space="0" w:color="auto"/>
          </w:divBdr>
        </w:div>
        <w:div w:id="1450586568">
          <w:marLeft w:val="640"/>
          <w:marRight w:val="0"/>
          <w:marTop w:val="0"/>
          <w:marBottom w:val="0"/>
          <w:divBdr>
            <w:top w:val="none" w:sz="0" w:space="0" w:color="auto"/>
            <w:left w:val="none" w:sz="0" w:space="0" w:color="auto"/>
            <w:bottom w:val="none" w:sz="0" w:space="0" w:color="auto"/>
            <w:right w:val="none" w:sz="0" w:space="0" w:color="auto"/>
          </w:divBdr>
        </w:div>
        <w:div w:id="1272006218">
          <w:marLeft w:val="640"/>
          <w:marRight w:val="0"/>
          <w:marTop w:val="0"/>
          <w:marBottom w:val="0"/>
          <w:divBdr>
            <w:top w:val="none" w:sz="0" w:space="0" w:color="auto"/>
            <w:left w:val="none" w:sz="0" w:space="0" w:color="auto"/>
            <w:bottom w:val="none" w:sz="0" w:space="0" w:color="auto"/>
            <w:right w:val="none" w:sz="0" w:space="0" w:color="auto"/>
          </w:divBdr>
        </w:div>
        <w:div w:id="408313246">
          <w:marLeft w:val="640"/>
          <w:marRight w:val="0"/>
          <w:marTop w:val="0"/>
          <w:marBottom w:val="0"/>
          <w:divBdr>
            <w:top w:val="none" w:sz="0" w:space="0" w:color="auto"/>
            <w:left w:val="none" w:sz="0" w:space="0" w:color="auto"/>
            <w:bottom w:val="none" w:sz="0" w:space="0" w:color="auto"/>
            <w:right w:val="none" w:sz="0" w:space="0" w:color="auto"/>
          </w:divBdr>
        </w:div>
        <w:div w:id="553078745">
          <w:marLeft w:val="640"/>
          <w:marRight w:val="0"/>
          <w:marTop w:val="0"/>
          <w:marBottom w:val="0"/>
          <w:divBdr>
            <w:top w:val="none" w:sz="0" w:space="0" w:color="auto"/>
            <w:left w:val="none" w:sz="0" w:space="0" w:color="auto"/>
            <w:bottom w:val="none" w:sz="0" w:space="0" w:color="auto"/>
            <w:right w:val="none" w:sz="0" w:space="0" w:color="auto"/>
          </w:divBdr>
        </w:div>
        <w:div w:id="1674717960">
          <w:marLeft w:val="640"/>
          <w:marRight w:val="0"/>
          <w:marTop w:val="0"/>
          <w:marBottom w:val="0"/>
          <w:divBdr>
            <w:top w:val="none" w:sz="0" w:space="0" w:color="auto"/>
            <w:left w:val="none" w:sz="0" w:space="0" w:color="auto"/>
            <w:bottom w:val="none" w:sz="0" w:space="0" w:color="auto"/>
            <w:right w:val="none" w:sz="0" w:space="0" w:color="auto"/>
          </w:divBdr>
        </w:div>
        <w:div w:id="1973628759">
          <w:marLeft w:val="640"/>
          <w:marRight w:val="0"/>
          <w:marTop w:val="0"/>
          <w:marBottom w:val="0"/>
          <w:divBdr>
            <w:top w:val="none" w:sz="0" w:space="0" w:color="auto"/>
            <w:left w:val="none" w:sz="0" w:space="0" w:color="auto"/>
            <w:bottom w:val="none" w:sz="0" w:space="0" w:color="auto"/>
            <w:right w:val="none" w:sz="0" w:space="0" w:color="auto"/>
          </w:divBdr>
        </w:div>
        <w:div w:id="604459623">
          <w:marLeft w:val="640"/>
          <w:marRight w:val="0"/>
          <w:marTop w:val="0"/>
          <w:marBottom w:val="0"/>
          <w:divBdr>
            <w:top w:val="none" w:sz="0" w:space="0" w:color="auto"/>
            <w:left w:val="none" w:sz="0" w:space="0" w:color="auto"/>
            <w:bottom w:val="none" w:sz="0" w:space="0" w:color="auto"/>
            <w:right w:val="none" w:sz="0" w:space="0" w:color="auto"/>
          </w:divBdr>
        </w:div>
        <w:div w:id="1554271197">
          <w:marLeft w:val="640"/>
          <w:marRight w:val="0"/>
          <w:marTop w:val="0"/>
          <w:marBottom w:val="0"/>
          <w:divBdr>
            <w:top w:val="none" w:sz="0" w:space="0" w:color="auto"/>
            <w:left w:val="none" w:sz="0" w:space="0" w:color="auto"/>
            <w:bottom w:val="none" w:sz="0" w:space="0" w:color="auto"/>
            <w:right w:val="none" w:sz="0" w:space="0" w:color="auto"/>
          </w:divBdr>
        </w:div>
        <w:div w:id="1932349774">
          <w:marLeft w:val="640"/>
          <w:marRight w:val="0"/>
          <w:marTop w:val="0"/>
          <w:marBottom w:val="0"/>
          <w:divBdr>
            <w:top w:val="none" w:sz="0" w:space="0" w:color="auto"/>
            <w:left w:val="none" w:sz="0" w:space="0" w:color="auto"/>
            <w:bottom w:val="none" w:sz="0" w:space="0" w:color="auto"/>
            <w:right w:val="none" w:sz="0" w:space="0" w:color="auto"/>
          </w:divBdr>
        </w:div>
      </w:divsChild>
    </w:div>
    <w:div w:id="1253393322">
      <w:bodyDiv w:val="1"/>
      <w:marLeft w:val="0"/>
      <w:marRight w:val="0"/>
      <w:marTop w:val="0"/>
      <w:marBottom w:val="0"/>
      <w:divBdr>
        <w:top w:val="none" w:sz="0" w:space="0" w:color="auto"/>
        <w:left w:val="none" w:sz="0" w:space="0" w:color="auto"/>
        <w:bottom w:val="none" w:sz="0" w:space="0" w:color="auto"/>
        <w:right w:val="none" w:sz="0" w:space="0" w:color="auto"/>
      </w:divBdr>
      <w:divsChild>
        <w:div w:id="1022586305">
          <w:marLeft w:val="640"/>
          <w:marRight w:val="0"/>
          <w:marTop w:val="0"/>
          <w:marBottom w:val="0"/>
          <w:divBdr>
            <w:top w:val="none" w:sz="0" w:space="0" w:color="auto"/>
            <w:left w:val="none" w:sz="0" w:space="0" w:color="auto"/>
            <w:bottom w:val="none" w:sz="0" w:space="0" w:color="auto"/>
            <w:right w:val="none" w:sz="0" w:space="0" w:color="auto"/>
          </w:divBdr>
        </w:div>
        <w:div w:id="999390169">
          <w:marLeft w:val="640"/>
          <w:marRight w:val="0"/>
          <w:marTop w:val="0"/>
          <w:marBottom w:val="0"/>
          <w:divBdr>
            <w:top w:val="none" w:sz="0" w:space="0" w:color="auto"/>
            <w:left w:val="none" w:sz="0" w:space="0" w:color="auto"/>
            <w:bottom w:val="none" w:sz="0" w:space="0" w:color="auto"/>
            <w:right w:val="none" w:sz="0" w:space="0" w:color="auto"/>
          </w:divBdr>
        </w:div>
        <w:div w:id="1661957471">
          <w:marLeft w:val="640"/>
          <w:marRight w:val="0"/>
          <w:marTop w:val="0"/>
          <w:marBottom w:val="0"/>
          <w:divBdr>
            <w:top w:val="none" w:sz="0" w:space="0" w:color="auto"/>
            <w:left w:val="none" w:sz="0" w:space="0" w:color="auto"/>
            <w:bottom w:val="none" w:sz="0" w:space="0" w:color="auto"/>
            <w:right w:val="none" w:sz="0" w:space="0" w:color="auto"/>
          </w:divBdr>
        </w:div>
        <w:div w:id="1877156456">
          <w:marLeft w:val="640"/>
          <w:marRight w:val="0"/>
          <w:marTop w:val="0"/>
          <w:marBottom w:val="0"/>
          <w:divBdr>
            <w:top w:val="none" w:sz="0" w:space="0" w:color="auto"/>
            <w:left w:val="none" w:sz="0" w:space="0" w:color="auto"/>
            <w:bottom w:val="none" w:sz="0" w:space="0" w:color="auto"/>
            <w:right w:val="none" w:sz="0" w:space="0" w:color="auto"/>
          </w:divBdr>
        </w:div>
        <w:div w:id="2114086614">
          <w:marLeft w:val="640"/>
          <w:marRight w:val="0"/>
          <w:marTop w:val="0"/>
          <w:marBottom w:val="0"/>
          <w:divBdr>
            <w:top w:val="none" w:sz="0" w:space="0" w:color="auto"/>
            <w:left w:val="none" w:sz="0" w:space="0" w:color="auto"/>
            <w:bottom w:val="none" w:sz="0" w:space="0" w:color="auto"/>
            <w:right w:val="none" w:sz="0" w:space="0" w:color="auto"/>
          </w:divBdr>
        </w:div>
        <w:div w:id="978847986">
          <w:marLeft w:val="640"/>
          <w:marRight w:val="0"/>
          <w:marTop w:val="0"/>
          <w:marBottom w:val="0"/>
          <w:divBdr>
            <w:top w:val="none" w:sz="0" w:space="0" w:color="auto"/>
            <w:left w:val="none" w:sz="0" w:space="0" w:color="auto"/>
            <w:bottom w:val="none" w:sz="0" w:space="0" w:color="auto"/>
            <w:right w:val="none" w:sz="0" w:space="0" w:color="auto"/>
          </w:divBdr>
        </w:div>
        <w:div w:id="628170427">
          <w:marLeft w:val="640"/>
          <w:marRight w:val="0"/>
          <w:marTop w:val="0"/>
          <w:marBottom w:val="0"/>
          <w:divBdr>
            <w:top w:val="none" w:sz="0" w:space="0" w:color="auto"/>
            <w:left w:val="none" w:sz="0" w:space="0" w:color="auto"/>
            <w:bottom w:val="none" w:sz="0" w:space="0" w:color="auto"/>
            <w:right w:val="none" w:sz="0" w:space="0" w:color="auto"/>
          </w:divBdr>
        </w:div>
        <w:div w:id="1783069046">
          <w:marLeft w:val="640"/>
          <w:marRight w:val="0"/>
          <w:marTop w:val="0"/>
          <w:marBottom w:val="0"/>
          <w:divBdr>
            <w:top w:val="none" w:sz="0" w:space="0" w:color="auto"/>
            <w:left w:val="none" w:sz="0" w:space="0" w:color="auto"/>
            <w:bottom w:val="none" w:sz="0" w:space="0" w:color="auto"/>
            <w:right w:val="none" w:sz="0" w:space="0" w:color="auto"/>
          </w:divBdr>
        </w:div>
        <w:div w:id="1638030405">
          <w:marLeft w:val="640"/>
          <w:marRight w:val="0"/>
          <w:marTop w:val="0"/>
          <w:marBottom w:val="0"/>
          <w:divBdr>
            <w:top w:val="none" w:sz="0" w:space="0" w:color="auto"/>
            <w:left w:val="none" w:sz="0" w:space="0" w:color="auto"/>
            <w:bottom w:val="none" w:sz="0" w:space="0" w:color="auto"/>
            <w:right w:val="none" w:sz="0" w:space="0" w:color="auto"/>
          </w:divBdr>
        </w:div>
        <w:div w:id="1695963092">
          <w:marLeft w:val="640"/>
          <w:marRight w:val="0"/>
          <w:marTop w:val="0"/>
          <w:marBottom w:val="0"/>
          <w:divBdr>
            <w:top w:val="none" w:sz="0" w:space="0" w:color="auto"/>
            <w:left w:val="none" w:sz="0" w:space="0" w:color="auto"/>
            <w:bottom w:val="none" w:sz="0" w:space="0" w:color="auto"/>
            <w:right w:val="none" w:sz="0" w:space="0" w:color="auto"/>
          </w:divBdr>
        </w:div>
        <w:div w:id="2027633573">
          <w:marLeft w:val="640"/>
          <w:marRight w:val="0"/>
          <w:marTop w:val="0"/>
          <w:marBottom w:val="0"/>
          <w:divBdr>
            <w:top w:val="none" w:sz="0" w:space="0" w:color="auto"/>
            <w:left w:val="none" w:sz="0" w:space="0" w:color="auto"/>
            <w:bottom w:val="none" w:sz="0" w:space="0" w:color="auto"/>
            <w:right w:val="none" w:sz="0" w:space="0" w:color="auto"/>
          </w:divBdr>
        </w:div>
      </w:divsChild>
    </w:div>
    <w:div w:id="1254165535">
      <w:bodyDiv w:val="1"/>
      <w:marLeft w:val="0"/>
      <w:marRight w:val="0"/>
      <w:marTop w:val="0"/>
      <w:marBottom w:val="0"/>
      <w:divBdr>
        <w:top w:val="none" w:sz="0" w:space="0" w:color="auto"/>
        <w:left w:val="none" w:sz="0" w:space="0" w:color="auto"/>
        <w:bottom w:val="none" w:sz="0" w:space="0" w:color="auto"/>
        <w:right w:val="none" w:sz="0" w:space="0" w:color="auto"/>
      </w:divBdr>
      <w:divsChild>
        <w:div w:id="775096858">
          <w:marLeft w:val="640"/>
          <w:marRight w:val="0"/>
          <w:marTop w:val="0"/>
          <w:marBottom w:val="0"/>
          <w:divBdr>
            <w:top w:val="none" w:sz="0" w:space="0" w:color="auto"/>
            <w:left w:val="none" w:sz="0" w:space="0" w:color="auto"/>
            <w:bottom w:val="none" w:sz="0" w:space="0" w:color="auto"/>
            <w:right w:val="none" w:sz="0" w:space="0" w:color="auto"/>
          </w:divBdr>
        </w:div>
        <w:div w:id="79060169">
          <w:marLeft w:val="640"/>
          <w:marRight w:val="0"/>
          <w:marTop w:val="0"/>
          <w:marBottom w:val="0"/>
          <w:divBdr>
            <w:top w:val="none" w:sz="0" w:space="0" w:color="auto"/>
            <w:left w:val="none" w:sz="0" w:space="0" w:color="auto"/>
            <w:bottom w:val="none" w:sz="0" w:space="0" w:color="auto"/>
            <w:right w:val="none" w:sz="0" w:space="0" w:color="auto"/>
          </w:divBdr>
        </w:div>
        <w:div w:id="467821856">
          <w:marLeft w:val="640"/>
          <w:marRight w:val="0"/>
          <w:marTop w:val="0"/>
          <w:marBottom w:val="0"/>
          <w:divBdr>
            <w:top w:val="none" w:sz="0" w:space="0" w:color="auto"/>
            <w:left w:val="none" w:sz="0" w:space="0" w:color="auto"/>
            <w:bottom w:val="none" w:sz="0" w:space="0" w:color="auto"/>
            <w:right w:val="none" w:sz="0" w:space="0" w:color="auto"/>
          </w:divBdr>
        </w:div>
        <w:div w:id="529222784">
          <w:marLeft w:val="640"/>
          <w:marRight w:val="0"/>
          <w:marTop w:val="0"/>
          <w:marBottom w:val="0"/>
          <w:divBdr>
            <w:top w:val="none" w:sz="0" w:space="0" w:color="auto"/>
            <w:left w:val="none" w:sz="0" w:space="0" w:color="auto"/>
            <w:bottom w:val="none" w:sz="0" w:space="0" w:color="auto"/>
            <w:right w:val="none" w:sz="0" w:space="0" w:color="auto"/>
          </w:divBdr>
        </w:div>
        <w:div w:id="2051605900">
          <w:marLeft w:val="640"/>
          <w:marRight w:val="0"/>
          <w:marTop w:val="0"/>
          <w:marBottom w:val="0"/>
          <w:divBdr>
            <w:top w:val="none" w:sz="0" w:space="0" w:color="auto"/>
            <w:left w:val="none" w:sz="0" w:space="0" w:color="auto"/>
            <w:bottom w:val="none" w:sz="0" w:space="0" w:color="auto"/>
            <w:right w:val="none" w:sz="0" w:space="0" w:color="auto"/>
          </w:divBdr>
        </w:div>
        <w:div w:id="1231766757">
          <w:marLeft w:val="640"/>
          <w:marRight w:val="0"/>
          <w:marTop w:val="0"/>
          <w:marBottom w:val="0"/>
          <w:divBdr>
            <w:top w:val="none" w:sz="0" w:space="0" w:color="auto"/>
            <w:left w:val="none" w:sz="0" w:space="0" w:color="auto"/>
            <w:bottom w:val="none" w:sz="0" w:space="0" w:color="auto"/>
            <w:right w:val="none" w:sz="0" w:space="0" w:color="auto"/>
          </w:divBdr>
        </w:div>
        <w:div w:id="617490426">
          <w:marLeft w:val="640"/>
          <w:marRight w:val="0"/>
          <w:marTop w:val="0"/>
          <w:marBottom w:val="0"/>
          <w:divBdr>
            <w:top w:val="none" w:sz="0" w:space="0" w:color="auto"/>
            <w:left w:val="none" w:sz="0" w:space="0" w:color="auto"/>
            <w:bottom w:val="none" w:sz="0" w:space="0" w:color="auto"/>
            <w:right w:val="none" w:sz="0" w:space="0" w:color="auto"/>
          </w:divBdr>
        </w:div>
        <w:div w:id="845248018">
          <w:marLeft w:val="640"/>
          <w:marRight w:val="0"/>
          <w:marTop w:val="0"/>
          <w:marBottom w:val="0"/>
          <w:divBdr>
            <w:top w:val="none" w:sz="0" w:space="0" w:color="auto"/>
            <w:left w:val="none" w:sz="0" w:space="0" w:color="auto"/>
            <w:bottom w:val="none" w:sz="0" w:space="0" w:color="auto"/>
            <w:right w:val="none" w:sz="0" w:space="0" w:color="auto"/>
          </w:divBdr>
        </w:div>
        <w:div w:id="1276018620">
          <w:marLeft w:val="640"/>
          <w:marRight w:val="0"/>
          <w:marTop w:val="0"/>
          <w:marBottom w:val="0"/>
          <w:divBdr>
            <w:top w:val="none" w:sz="0" w:space="0" w:color="auto"/>
            <w:left w:val="none" w:sz="0" w:space="0" w:color="auto"/>
            <w:bottom w:val="none" w:sz="0" w:space="0" w:color="auto"/>
            <w:right w:val="none" w:sz="0" w:space="0" w:color="auto"/>
          </w:divBdr>
        </w:div>
        <w:div w:id="2089576093">
          <w:marLeft w:val="640"/>
          <w:marRight w:val="0"/>
          <w:marTop w:val="0"/>
          <w:marBottom w:val="0"/>
          <w:divBdr>
            <w:top w:val="none" w:sz="0" w:space="0" w:color="auto"/>
            <w:left w:val="none" w:sz="0" w:space="0" w:color="auto"/>
            <w:bottom w:val="none" w:sz="0" w:space="0" w:color="auto"/>
            <w:right w:val="none" w:sz="0" w:space="0" w:color="auto"/>
          </w:divBdr>
        </w:div>
        <w:div w:id="796874286">
          <w:marLeft w:val="640"/>
          <w:marRight w:val="0"/>
          <w:marTop w:val="0"/>
          <w:marBottom w:val="0"/>
          <w:divBdr>
            <w:top w:val="none" w:sz="0" w:space="0" w:color="auto"/>
            <w:left w:val="none" w:sz="0" w:space="0" w:color="auto"/>
            <w:bottom w:val="none" w:sz="0" w:space="0" w:color="auto"/>
            <w:right w:val="none" w:sz="0" w:space="0" w:color="auto"/>
          </w:divBdr>
        </w:div>
        <w:div w:id="1228420878">
          <w:marLeft w:val="640"/>
          <w:marRight w:val="0"/>
          <w:marTop w:val="0"/>
          <w:marBottom w:val="0"/>
          <w:divBdr>
            <w:top w:val="none" w:sz="0" w:space="0" w:color="auto"/>
            <w:left w:val="none" w:sz="0" w:space="0" w:color="auto"/>
            <w:bottom w:val="none" w:sz="0" w:space="0" w:color="auto"/>
            <w:right w:val="none" w:sz="0" w:space="0" w:color="auto"/>
          </w:divBdr>
        </w:div>
        <w:div w:id="944844567">
          <w:marLeft w:val="640"/>
          <w:marRight w:val="0"/>
          <w:marTop w:val="0"/>
          <w:marBottom w:val="0"/>
          <w:divBdr>
            <w:top w:val="none" w:sz="0" w:space="0" w:color="auto"/>
            <w:left w:val="none" w:sz="0" w:space="0" w:color="auto"/>
            <w:bottom w:val="none" w:sz="0" w:space="0" w:color="auto"/>
            <w:right w:val="none" w:sz="0" w:space="0" w:color="auto"/>
          </w:divBdr>
        </w:div>
        <w:div w:id="168181744">
          <w:marLeft w:val="640"/>
          <w:marRight w:val="0"/>
          <w:marTop w:val="0"/>
          <w:marBottom w:val="0"/>
          <w:divBdr>
            <w:top w:val="none" w:sz="0" w:space="0" w:color="auto"/>
            <w:left w:val="none" w:sz="0" w:space="0" w:color="auto"/>
            <w:bottom w:val="none" w:sz="0" w:space="0" w:color="auto"/>
            <w:right w:val="none" w:sz="0" w:space="0" w:color="auto"/>
          </w:divBdr>
        </w:div>
        <w:div w:id="1982615206">
          <w:marLeft w:val="640"/>
          <w:marRight w:val="0"/>
          <w:marTop w:val="0"/>
          <w:marBottom w:val="0"/>
          <w:divBdr>
            <w:top w:val="none" w:sz="0" w:space="0" w:color="auto"/>
            <w:left w:val="none" w:sz="0" w:space="0" w:color="auto"/>
            <w:bottom w:val="none" w:sz="0" w:space="0" w:color="auto"/>
            <w:right w:val="none" w:sz="0" w:space="0" w:color="auto"/>
          </w:divBdr>
        </w:div>
      </w:divsChild>
    </w:div>
    <w:div w:id="1679771178">
      <w:bodyDiv w:val="1"/>
      <w:marLeft w:val="0"/>
      <w:marRight w:val="0"/>
      <w:marTop w:val="0"/>
      <w:marBottom w:val="0"/>
      <w:divBdr>
        <w:top w:val="none" w:sz="0" w:space="0" w:color="auto"/>
        <w:left w:val="none" w:sz="0" w:space="0" w:color="auto"/>
        <w:bottom w:val="none" w:sz="0" w:space="0" w:color="auto"/>
        <w:right w:val="none" w:sz="0" w:space="0" w:color="auto"/>
      </w:divBdr>
      <w:divsChild>
        <w:div w:id="766732843">
          <w:marLeft w:val="640"/>
          <w:marRight w:val="0"/>
          <w:marTop w:val="0"/>
          <w:marBottom w:val="0"/>
          <w:divBdr>
            <w:top w:val="none" w:sz="0" w:space="0" w:color="auto"/>
            <w:left w:val="none" w:sz="0" w:space="0" w:color="auto"/>
            <w:bottom w:val="none" w:sz="0" w:space="0" w:color="auto"/>
            <w:right w:val="none" w:sz="0" w:space="0" w:color="auto"/>
          </w:divBdr>
        </w:div>
        <w:div w:id="558051876">
          <w:marLeft w:val="640"/>
          <w:marRight w:val="0"/>
          <w:marTop w:val="0"/>
          <w:marBottom w:val="0"/>
          <w:divBdr>
            <w:top w:val="none" w:sz="0" w:space="0" w:color="auto"/>
            <w:left w:val="none" w:sz="0" w:space="0" w:color="auto"/>
            <w:bottom w:val="none" w:sz="0" w:space="0" w:color="auto"/>
            <w:right w:val="none" w:sz="0" w:space="0" w:color="auto"/>
          </w:divBdr>
        </w:div>
        <w:div w:id="557207140">
          <w:marLeft w:val="640"/>
          <w:marRight w:val="0"/>
          <w:marTop w:val="0"/>
          <w:marBottom w:val="0"/>
          <w:divBdr>
            <w:top w:val="none" w:sz="0" w:space="0" w:color="auto"/>
            <w:left w:val="none" w:sz="0" w:space="0" w:color="auto"/>
            <w:bottom w:val="none" w:sz="0" w:space="0" w:color="auto"/>
            <w:right w:val="none" w:sz="0" w:space="0" w:color="auto"/>
          </w:divBdr>
        </w:div>
        <w:div w:id="2029915063">
          <w:marLeft w:val="640"/>
          <w:marRight w:val="0"/>
          <w:marTop w:val="0"/>
          <w:marBottom w:val="0"/>
          <w:divBdr>
            <w:top w:val="none" w:sz="0" w:space="0" w:color="auto"/>
            <w:left w:val="none" w:sz="0" w:space="0" w:color="auto"/>
            <w:bottom w:val="none" w:sz="0" w:space="0" w:color="auto"/>
            <w:right w:val="none" w:sz="0" w:space="0" w:color="auto"/>
          </w:divBdr>
        </w:div>
        <w:div w:id="1836721761">
          <w:marLeft w:val="640"/>
          <w:marRight w:val="0"/>
          <w:marTop w:val="0"/>
          <w:marBottom w:val="0"/>
          <w:divBdr>
            <w:top w:val="none" w:sz="0" w:space="0" w:color="auto"/>
            <w:left w:val="none" w:sz="0" w:space="0" w:color="auto"/>
            <w:bottom w:val="none" w:sz="0" w:space="0" w:color="auto"/>
            <w:right w:val="none" w:sz="0" w:space="0" w:color="auto"/>
          </w:divBdr>
        </w:div>
        <w:div w:id="2082675986">
          <w:marLeft w:val="640"/>
          <w:marRight w:val="0"/>
          <w:marTop w:val="0"/>
          <w:marBottom w:val="0"/>
          <w:divBdr>
            <w:top w:val="none" w:sz="0" w:space="0" w:color="auto"/>
            <w:left w:val="none" w:sz="0" w:space="0" w:color="auto"/>
            <w:bottom w:val="none" w:sz="0" w:space="0" w:color="auto"/>
            <w:right w:val="none" w:sz="0" w:space="0" w:color="auto"/>
          </w:divBdr>
        </w:div>
        <w:div w:id="1060445023">
          <w:marLeft w:val="640"/>
          <w:marRight w:val="0"/>
          <w:marTop w:val="0"/>
          <w:marBottom w:val="0"/>
          <w:divBdr>
            <w:top w:val="none" w:sz="0" w:space="0" w:color="auto"/>
            <w:left w:val="none" w:sz="0" w:space="0" w:color="auto"/>
            <w:bottom w:val="none" w:sz="0" w:space="0" w:color="auto"/>
            <w:right w:val="none" w:sz="0" w:space="0" w:color="auto"/>
          </w:divBdr>
        </w:div>
        <w:div w:id="285502272">
          <w:marLeft w:val="640"/>
          <w:marRight w:val="0"/>
          <w:marTop w:val="0"/>
          <w:marBottom w:val="0"/>
          <w:divBdr>
            <w:top w:val="none" w:sz="0" w:space="0" w:color="auto"/>
            <w:left w:val="none" w:sz="0" w:space="0" w:color="auto"/>
            <w:bottom w:val="none" w:sz="0" w:space="0" w:color="auto"/>
            <w:right w:val="none" w:sz="0" w:space="0" w:color="auto"/>
          </w:divBdr>
        </w:div>
        <w:div w:id="621347270">
          <w:marLeft w:val="640"/>
          <w:marRight w:val="0"/>
          <w:marTop w:val="0"/>
          <w:marBottom w:val="0"/>
          <w:divBdr>
            <w:top w:val="none" w:sz="0" w:space="0" w:color="auto"/>
            <w:left w:val="none" w:sz="0" w:space="0" w:color="auto"/>
            <w:bottom w:val="none" w:sz="0" w:space="0" w:color="auto"/>
            <w:right w:val="none" w:sz="0" w:space="0" w:color="auto"/>
          </w:divBdr>
        </w:div>
        <w:div w:id="27462640">
          <w:marLeft w:val="640"/>
          <w:marRight w:val="0"/>
          <w:marTop w:val="0"/>
          <w:marBottom w:val="0"/>
          <w:divBdr>
            <w:top w:val="none" w:sz="0" w:space="0" w:color="auto"/>
            <w:left w:val="none" w:sz="0" w:space="0" w:color="auto"/>
            <w:bottom w:val="none" w:sz="0" w:space="0" w:color="auto"/>
            <w:right w:val="none" w:sz="0" w:space="0" w:color="auto"/>
          </w:divBdr>
        </w:div>
        <w:div w:id="2081974287">
          <w:marLeft w:val="640"/>
          <w:marRight w:val="0"/>
          <w:marTop w:val="0"/>
          <w:marBottom w:val="0"/>
          <w:divBdr>
            <w:top w:val="none" w:sz="0" w:space="0" w:color="auto"/>
            <w:left w:val="none" w:sz="0" w:space="0" w:color="auto"/>
            <w:bottom w:val="none" w:sz="0" w:space="0" w:color="auto"/>
            <w:right w:val="none" w:sz="0" w:space="0" w:color="auto"/>
          </w:divBdr>
        </w:div>
        <w:div w:id="828638053">
          <w:marLeft w:val="640"/>
          <w:marRight w:val="0"/>
          <w:marTop w:val="0"/>
          <w:marBottom w:val="0"/>
          <w:divBdr>
            <w:top w:val="none" w:sz="0" w:space="0" w:color="auto"/>
            <w:left w:val="none" w:sz="0" w:space="0" w:color="auto"/>
            <w:bottom w:val="none" w:sz="0" w:space="0" w:color="auto"/>
            <w:right w:val="none" w:sz="0" w:space="0" w:color="auto"/>
          </w:divBdr>
        </w:div>
        <w:div w:id="1243642631">
          <w:marLeft w:val="64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4785843">
      <w:bodyDiv w:val="1"/>
      <w:marLeft w:val="0"/>
      <w:marRight w:val="0"/>
      <w:marTop w:val="0"/>
      <w:marBottom w:val="0"/>
      <w:divBdr>
        <w:top w:val="none" w:sz="0" w:space="0" w:color="auto"/>
        <w:left w:val="none" w:sz="0" w:space="0" w:color="auto"/>
        <w:bottom w:val="none" w:sz="0" w:space="0" w:color="auto"/>
        <w:right w:val="none" w:sz="0" w:space="0" w:color="auto"/>
      </w:divBdr>
      <w:divsChild>
        <w:div w:id="22675982">
          <w:marLeft w:val="640"/>
          <w:marRight w:val="0"/>
          <w:marTop w:val="0"/>
          <w:marBottom w:val="0"/>
          <w:divBdr>
            <w:top w:val="none" w:sz="0" w:space="0" w:color="auto"/>
            <w:left w:val="none" w:sz="0" w:space="0" w:color="auto"/>
            <w:bottom w:val="none" w:sz="0" w:space="0" w:color="auto"/>
            <w:right w:val="none" w:sz="0" w:space="0" w:color="auto"/>
          </w:divBdr>
        </w:div>
        <w:div w:id="1743215287">
          <w:marLeft w:val="640"/>
          <w:marRight w:val="0"/>
          <w:marTop w:val="0"/>
          <w:marBottom w:val="0"/>
          <w:divBdr>
            <w:top w:val="none" w:sz="0" w:space="0" w:color="auto"/>
            <w:left w:val="none" w:sz="0" w:space="0" w:color="auto"/>
            <w:bottom w:val="none" w:sz="0" w:space="0" w:color="auto"/>
            <w:right w:val="none" w:sz="0" w:space="0" w:color="auto"/>
          </w:divBdr>
        </w:div>
        <w:div w:id="1292246055">
          <w:marLeft w:val="640"/>
          <w:marRight w:val="0"/>
          <w:marTop w:val="0"/>
          <w:marBottom w:val="0"/>
          <w:divBdr>
            <w:top w:val="none" w:sz="0" w:space="0" w:color="auto"/>
            <w:left w:val="none" w:sz="0" w:space="0" w:color="auto"/>
            <w:bottom w:val="none" w:sz="0" w:space="0" w:color="auto"/>
            <w:right w:val="none" w:sz="0" w:space="0" w:color="auto"/>
          </w:divBdr>
        </w:div>
        <w:div w:id="279264260">
          <w:marLeft w:val="640"/>
          <w:marRight w:val="0"/>
          <w:marTop w:val="0"/>
          <w:marBottom w:val="0"/>
          <w:divBdr>
            <w:top w:val="none" w:sz="0" w:space="0" w:color="auto"/>
            <w:left w:val="none" w:sz="0" w:space="0" w:color="auto"/>
            <w:bottom w:val="none" w:sz="0" w:space="0" w:color="auto"/>
            <w:right w:val="none" w:sz="0" w:space="0" w:color="auto"/>
          </w:divBdr>
        </w:div>
        <w:div w:id="179321412">
          <w:marLeft w:val="64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0455538">
      <w:bodyDiv w:val="1"/>
      <w:marLeft w:val="0"/>
      <w:marRight w:val="0"/>
      <w:marTop w:val="0"/>
      <w:marBottom w:val="0"/>
      <w:divBdr>
        <w:top w:val="none" w:sz="0" w:space="0" w:color="auto"/>
        <w:left w:val="none" w:sz="0" w:space="0" w:color="auto"/>
        <w:bottom w:val="none" w:sz="0" w:space="0" w:color="auto"/>
        <w:right w:val="none" w:sz="0" w:space="0" w:color="auto"/>
      </w:divBdr>
      <w:divsChild>
        <w:div w:id="1501308306">
          <w:marLeft w:val="640"/>
          <w:marRight w:val="0"/>
          <w:marTop w:val="0"/>
          <w:marBottom w:val="0"/>
          <w:divBdr>
            <w:top w:val="none" w:sz="0" w:space="0" w:color="auto"/>
            <w:left w:val="none" w:sz="0" w:space="0" w:color="auto"/>
            <w:bottom w:val="none" w:sz="0" w:space="0" w:color="auto"/>
            <w:right w:val="none" w:sz="0" w:space="0" w:color="auto"/>
          </w:divBdr>
        </w:div>
        <w:div w:id="1997416281">
          <w:marLeft w:val="640"/>
          <w:marRight w:val="0"/>
          <w:marTop w:val="0"/>
          <w:marBottom w:val="0"/>
          <w:divBdr>
            <w:top w:val="none" w:sz="0" w:space="0" w:color="auto"/>
            <w:left w:val="none" w:sz="0" w:space="0" w:color="auto"/>
            <w:bottom w:val="none" w:sz="0" w:space="0" w:color="auto"/>
            <w:right w:val="none" w:sz="0" w:space="0" w:color="auto"/>
          </w:divBdr>
        </w:div>
        <w:div w:id="601568522">
          <w:marLeft w:val="640"/>
          <w:marRight w:val="0"/>
          <w:marTop w:val="0"/>
          <w:marBottom w:val="0"/>
          <w:divBdr>
            <w:top w:val="none" w:sz="0" w:space="0" w:color="auto"/>
            <w:left w:val="none" w:sz="0" w:space="0" w:color="auto"/>
            <w:bottom w:val="none" w:sz="0" w:space="0" w:color="auto"/>
            <w:right w:val="none" w:sz="0" w:space="0" w:color="auto"/>
          </w:divBdr>
        </w:div>
        <w:div w:id="1377045449">
          <w:marLeft w:val="640"/>
          <w:marRight w:val="0"/>
          <w:marTop w:val="0"/>
          <w:marBottom w:val="0"/>
          <w:divBdr>
            <w:top w:val="none" w:sz="0" w:space="0" w:color="auto"/>
            <w:left w:val="none" w:sz="0" w:space="0" w:color="auto"/>
            <w:bottom w:val="none" w:sz="0" w:space="0" w:color="auto"/>
            <w:right w:val="none" w:sz="0" w:space="0" w:color="auto"/>
          </w:divBdr>
        </w:div>
        <w:div w:id="674040151">
          <w:marLeft w:val="640"/>
          <w:marRight w:val="0"/>
          <w:marTop w:val="0"/>
          <w:marBottom w:val="0"/>
          <w:divBdr>
            <w:top w:val="none" w:sz="0" w:space="0" w:color="auto"/>
            <w:left w:val="none" w:sz="0" w:space="0" w:color="auto"/>
            <w:bottom w:val="none" w:sz="0" w:space="0" w:color="auto"/>
            <w:right w:val="none" w:sz="0" w:space="0" w:color="auto"/>
          </w:divBdr>
        </w:div>
        <w:div w:id="1769734881">
          <w:marLeft w:val="640"/>
          <w:marRight w:val="0"/>
          <w:marTop w:val="0"/>
          <w:marBottom w:val="0"/>
          <w:divBdr>
            <w:top w:val="none" w:sz="0" w:space="0" w:color="auto"/>
            <w:left w:val="none" w:sz="0" w:space="0" w:color="auto"/>
            <w:bottom w:val="none" w:sz="0" w:space="0" w:color="auto"/>
            <w:right w:val="none" w:sz="0" w:space="0" w:color="auto"/>
          </w:divBdr>
        </w:div>
        <w:div w:id="2038235837">
          <w:marLeft w:val="640"/>
          <w:marRight w:val="0"/>
          <w:marTop w:val="0"/>
          <w:marBottom w:val="0"/>
          <w:divBdr>
            <w:top w:val="none" w:sz="0" w:space="0" w:color="auto"/>
            <w:left w:val="none" w:sz="0" w:space="0" w:color="auto"/>
            <w:bottom w:val="none" w:sz="0" w:space="0" w:color="auto"/>
            <w:right w:val="none" w:sz="0" w:space="0" w:color="auto"/>
          </w:divBdr>
        </w:div>
        <w:div w:id="678310311">
          <w:marLeft w:val="640"/>
          <w:marRight w:val="0"/>
          <w:marTop w:val="0"/>
          <w:marBottom w:val="0"/>
          <w:divBdr>
            <w:top w:val="none" w:sz="0" w:space="0" w:color="auto"/>
            <w:left w:val="none" w:sz="0" w:space="0" w:color="auto"/>
            <w:bottom w:val="none" w:sz="0" w:space="0" w:color="auto"/>
            <w:right w:val="none" w:sz="0" w:space="0" w:color="auto"/>
          </w:divBdr>
        </w:div>
      </w:divsChild>
    </w:div>
    <w:div w:id="2060668437">
      <w:bodyDiv w:val="1"/>
      <w:marLeft w:val="0"/>
      <w:marRight w:val="0"/>
      <w:marTop w:val="0"/>
      <w:marBottom w:val="0"/>
      <w:divBdr>
        <w:top w:val="none" w:sz="0" w:space="0" w:color="auto"/>
        <w:left w:val="none" w:sz="0" w:space="0" w:color="auto"/>
        <w:bottom w:val="none" w:sz="0" w:space="0" w:color="auto"/>
        <w:right w:val="none" w:sz="0" w:space="0" w:color="auto"/>
      </w:divBdr>
      <w:divsChild>
        <w:div w:id="397561525">
          <w:marLeft w:val="640"/>
          <w:marRight w:val="0"/>
          <w:marTop w:val="0"/>
          <w:marBottom w:val="0"/>
          <w:divBdr>
            <w:top w:val="none" w:sz="0" w:space="0" w:color="auto"/>
            <w:left w:val="none" w:sz="0" w:space="0" w:color="auto"/>
            <w:bottom w:val="none" w:sz="0" w:space="0" w:color="auto"/>
            <w:right w:val="none" w:sz="0" w:space="0" w:color="auto"/>
          </w:divBdr>
        </w:div>
        <w:div w:id="389578110">
          <w:marLeft w:val="640"/>
          <w:marRight w:val="0"/>
          <w:marTop w:val="0"/>
          <w:marBottom w:val="0"/>
          <w:divBdr>
            <w:top w:val="none" w:sz="0" w:space="0" w:color="auto"/>
            <w:left w:val="none" w:sz="0" w:space="0" w:color="auto"/>
            <w:bottom w:val="none" w:sz="0" w:space="0" w:color="auto"/>
            <w:right w:val="none" w:sz="0" w:space="0" w:color="auto"/>
          </w:divBdr>
        </w:div>
        <w:div w:id="1917087417">
          <w:marLeft w:val="640"/>
          <w:marRight w:val="0"/>
          <w:marTop w:val="0"/>
          <w:marBottom w:val="0"/>
          <w:divBdr>
            <w:top w:val="none" w:sz="0" w:space="0" w:color="auto"/>
            <w:left w:val="none" w:sz="0" w:space="0" w:color="auto"/>
            <w:bottom w:val="none" w:sz="0" w:space="0" w:color="auto"/>
            <w:right w:val="none" w:sz="0" w:space="0" w:color="auto"/>
          </w:divBdr>
        </w:div>
        <w:div w:id="1168787581">
          <w:marLeft w:val="640"/>
          <w:marRight w:val="0"/>
          <w:marTop w:val="0"/>
          <w:marBottom w:val="0"/>
          <w:divBdr>
            <w:top w:val="none" w:sz="0" w:space="0" w:color="auto"/>
            <w:left w:val="none" w:sz="0" w:space="0" w:color="auto"/>
            <w:bottom w:val="none" w:sz="0" w:space="0" w:color="auto"/>
            <w:right w:val="none" w:sz="0" w:space="0" w:color="auto"/>
          </w:divBdr>
        </w:div>
        <w:div w:id="182285562">
          <w:marLeft w:val="640"/>
          <w:marRight w:val="0"/>
          <w:marTop w:val="0"/>
          <w:marBottom w:val="0"/>
          <w:divBdr>
            <w:top w:val="none" w:sz="0" w:space="0" w:color="auto"/>
            <w:left w:val="none" w:sz="0" w:space="0" w:color="auto"/>
            <w:bottom w:val="none" w:sz="0" w:space="0" w:color="auto"/>
            <w:right w:val="none" w:sz="0" w:space="0" w:color="auto"/>
          </w:divBdr>
        </w:div>
        <w:div w:id="935404179">
          <w:marLeft w:val="640"/>
          <w:marRight w:val="0"/>
          <w:marTop w:val="0"/>
          <w:marBottom w:val="0"/>
          <w:divBdr>
            <w:top w:val="none" w:sz="0" w:space="0" w:color="auto"/>
            <w:left w:val="none" w:sz="0" w:space="0" w:color="auto"/>
            <w:bottom w:val="none" w:sz="0" w:space="0" w:color="auto"/>
            <w:right w:val="none" w:sz="0" w:space="0" w:color="auto"/>
          </w:divBdr>
        </w:div>
        <w:div w:id="1830514346">
          <w:marLeft w:val="640"/>
          <w:marRight w:val="0"/>
          <w:marTop w:val="0"/>
          <w:marBottom w:val="0"/>
          <w:divBdr>
            <w:top w:val="none" w:sz="0" w:space="0" w:color="auto"/>
            <w:left w:val="none" w:sz="0" w:space="0" w:color="auto"/>
            <w:bottom w:val="none" w:sz="0" w:space="0" w:color="auto"/>
            <w:right w:val="none" w:sz="0" w:space="0" w:color="auto"/>
          </w:divBdr>
        </w:div>
        <w:div w:id="224879837">
          <w:marLeft w:val="640"/>
          <w:marRight w:val="0"/>
          <w:marTop w:val="0"/>
          <w:marBottom w:val="0"/>
          <w:divBdr>
            <w:top w:val="none" w:sz="0" w:space="0" w:color="auto"/>
            <w:left w:val="none" w:sz="0" w:space="0" w:color="auto"/>
            <w:bottom w:val="none" w:sz="0" w:space="0" w:color="auto"/>
            <w:right w:val="none" w:sz="0" w:space="0" w:color="auto"/>
          </w:divBdr>
        </w:div>
        <w:div w:id="94909172">
          <w:marLeft w:val="640"/>
          <w:marRight w:val="0"/>
          <w:marTop w:val="0"/>
          <w:marBottom w:val="0"/>
          <w:divBdr>
            <w:top w:val="none" w:sz="0" w:space="0" w:color="auto"/>
            <w:left w:val="none" w:sz="0" w:space="0" w:color="auto"/>
            <w:bottom w:val="none" w:sz="0" w:space="0" w:color="auto"/>
            <w:right w:val="none" w:sz="0" w:space="0" w:color="auto"/>
          </w:divBdr>
        </w:div>
        <w:div w:id="1199972467">
          <w:marLeft w:val="640"/>
          <w:marRight w:val="0"/>
          <w:marTop w:val="0"/>
          <w:marBottom w:val="0"/>
          <w:divBdr>
            <w:top w:val="none" w:sz="0" w:space="0" w:color="auto"/>
            <w:left w:val="none" w:sz="0" w:space="0" w:color="auto"/>
            <w:bottom w:val="none" w:sz="0" w:space="0" w:color="auto"/>
            <w:right w:val="none" w:sz="0" w:space="0" w:color="auto"/>
          </w:divBdr>
        </w:div>
        <w:div w:id="181714434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D42A1A4-22BD-4E76-A617-33F4A23CAB20}"/>
      </w:docPartPr>
      <w:docPartBody>
        <w:p w:rsidR="000C1008" w:rsidRDefault="001C515A">
          <w:r w:rsidRPr="00E12EDD">
            <w:rPr>
              <w:rStyle w:val="PlaceholderText"/>
            </w:rPr>
            <w:t>Click or tap here to enter text.</w:t>
          </w:r>
        </w:p>
      </w:docPartBody>
    </w:docPart>
    <w:docPart>
      <w:docPartPr>
        <w:name w:val="B579E97B33663D4A9C4BCB90DD4F14D1"/>
        <w:category>
          <w:name w:val="General"/>
          <w:gallery w:val="placeholder"/>
        </w:category>
        <w:types>
          <w:type w:val="bbPlcHdr"/>
        </w:types>
        <w:behaviors>
          <w:behavior w:val="content"/>
        </w:behaviors>
        <w:guid w:val="{E2BD9383-7FFB-6046-AF6D-9CBF1195D4C7}"/>
      </w:docPartPr>
      <w:docPartBody>
        <w:p w:rsidR="00716933" w:rsidRDefault="00572F8D" w:rsidP="00572F8D">
          <w:pPr>
            <w:pStyle w:val="B579E97B33663D4A9C4BCB90DD4F14D1"/>
          </w:pPr>
          <w:r w:rsidRPr="00E12EDD">
            <w:rPr>
              <w:rStyle w:val="PlaceholderText"/>
            </w:rPr>
            <w:t>Click or tap here to enter text.</w:t>
          </w:r>
        </w:p>
      </w:docPartBody>
    </w:docPart>
    <w:docPart>
      <w:docPartPr>
        <w:name w:val="BC8759ADF5BFC347B92F1CCBD412A434"/>
        <w:category>
          <w:name w:val="General"/>
          <w:gallery w:val="placeholder"/>
        </w:category>
        <w:types>
          <w:type w:val="bbPlcHdr"/>
        </w:types>
        <w:behaviors>
          <w:behavior w:val="content"/>
        </w:behaviors>
        <w:guid w:val="{099F45C8-16D6-D24C-B449-CA09BBAF6C33}"/>
      </w:docPartPr>
      <w:docPartBody>
        <w:p w:rsidR="00716933" w:rsidRDefault="00572F8D" w:rsidP="00572F8D">
          <w:pPr>
            <w:pStyle w:val="BC8759ADF5BFC347B92F1CCBD412A434"/>
          </w:pPr>
          <w:r w:rsidRPr="00E12EDD">
            <w:rPr>
              <w:rStyle w:val="PlaceholderText"/>
            </w:rPr>
            <w:t>Click or tap here to enter text.</w:t>
          </w:r>
        </w:p>
      </w:docPartBody>
    </w:docPart>
    <w:docPart>
      <w:docPartPr>
        <w:name w:val="17FCDFC28BF42542975DC1DFC621600C"/>
        <w:category>
          <w:name w:val="General"/>
          <w:gallery w:val="placeholder"/>
        </w:category>
        <w:types>
          <w:type w:val="bbPlcHdr"/>
        </w:types>
        <w:behaviors>
          <w:behavior w:val="content"/>
        </w:behaviors>
        <w:guid w:val="{B43BE6D9-82A5-6749-ACAD-B2B5AE008840}"/>
      </w:docPartPr>
      <w:docPartBody>
        <w:p w:rsidR="00716933" w:rsidRDefault="00572F8D" w:rsidP="00572F8D">
          <w:pPr>
            <w:pStyle w:val="17FCDFC28BF42542975DC1DFC621600C"/>
          </w:pPr>
          <w:r w:rsidRPr="00E12EDD">
            <w:rPr>
              <w:rStyle w:val="PlaceholderText"/>
            </w:rPr>
            <w:t>Click or tap here to enter text.</w:t>
          </w:r>
        </w:p>
      </w:docPartBody>
    </w:docPart>
    <w:docPart>
      <w:docPartPr>
        <w:name w:val="D33E9E77FD6BE647B7AF315C4BA58679"/>
        <w:category>
          <w:name w:val="General"/>
          <w:gallery w:val="placeholder"/>
        </w:category>
        <w:types>
          <w:type w:val="bbPlcHdr"/>
        </w:types>
        <w:behaviors>
          <w:behavior w:val="content"/>
        </w:behaviors>
        <w:guid w:val="{83FDF7F3-1BBC-3E47-9CC0-E178779AA9F8}"/>
      </w:docPartPr>
      <w:docPartBody>
        <w:p w:rsidR="00716933" w:rsidRDefault="00572F8D" w:rsidP="00572F8D">
          <w:pPr>
            <w:pStyle w:val="D33E9E77FD6BE647B7AF315C4BA58679"/>
          </w:pPr>
          <w:r w:rsidRPr="00E12EDD">
            <w:rPr>
              <w:rStyle w:val="PlaceholderText"/>
            </w:rPr>
            <w:t>Click or tap here to enter text.</w:t>
          </w:r>
        </w:p>
      </w:docPartBody>
    </w:docPart>
    <w:docPart>
      <w:docPartPr>
        <w:name w:val="9BE04F617F29B441B345432611908A24"/>
        <w:category>
          <w:name w:val="General"/>
          <w:gallery w:val="placeholder"/>
        </w:category>
        <w:types>
          <w:type w:val="bbPlcHdr"/>
        </w:types>
        <w:behaviors>
          <w:behavior w:val="content"/>
        </w:behaviors>
        <w:guid w:val="{90BA0470-E41B-5747-B135-AF479AF2C188}"/>
      </w:docPartPr>
      <w:docPartBody>
        <w:p w:rsidR="00716933" w:rsidRDefault="00572F8D" w:rsidP="00572F8D">
          <w:pPr>
            <w:pStyle w:val="9BE04F617F29B441B345432611908A24"/>
          </w:pPr>
          <w:r w:rsidRPr="00E12EDD">
            <w:rPr>
              <w:rStyle w:val="PlaceholderText"/>
            </w:rPr>
            <w:t>Click or tap here to enter text.</w:t>
          </w:r>
        </w:p>
      </w:docPartBody>
    </w:docPart>
    <w:docPart>
      <w:docPartPr>
        <w:name w:val="7D52D0421E7A524682D95C83CCD689E3"/>
        <w:category>
          <w:name w:val="General"/>
          <w:gallery w:val="placeholder"/>
        </w:category>
        <w:types>
          <w:type w:val="bbPlcHdr"/>
        </w:types>
        <w:behaviors>
          <w:behavior w:val="content"/>
        </w:behaviors>
        <w:guid w:val="{97BF02B4-0B2C-5E48-BD1D-D81EC4DFD3A3}"/>
      </w:docPartPr>
      <w:docPartBody>
        <w:p w:rsidR="00716933" w:rsidRDefault="00572F8D" w:rsidP="00572F8D">
          <w:pPr>
            <w:pStyle w:val="7D52D0421E7A524682D95C83CCD689E3"/>
          </w:pPr>
          <w:r w:rsidRPr="00E12EDD">
            <w:rPr>
              <w:rStyle w:val="PlaceholderText"/>
            </w:rPr>
            <w:t>Click or tap here to enter text.</w:t>
          </w:r>
        </w:p>
      </w:docPartBody>
    </w:docPart>
    <w:docPart>
      <w:docPartPr>
        <w:name w:val="79719B26759200429DB14116C713BBA2"/>
        <w:category>
          <w:name w:val="General"/>
          <w:gallery w:val="placeholder"/>
        </w:category>
        <w:types>
          <w:type w:val="bbPlcHdr"/>
        </w:types>
        <w:behaviors>
          <w:behavior w:val="content"/>
        </w:behaviors>
        <w:guid w:val="{C55E1622-6177-5345-9978-B89098E0B4A3}"/>
      </w:docPartPr>
      <w:docPartBody>
        <w:p w:rsidR="00716933" w:rsidRDefault="00572F8D" w:rsidP="00572F8D">
          <w:pPr>
            <w:pStyle w:val="79719B26759200429DB14116C713BBA2"/>
          </w:pPr>
          <w:r w:rsidRPr="00E12EDD">
            <w:rPr>
              <w:rStyle w:val="PlaceholderText"/>
            </w:rPr>
            <w:t>Click or tap here to enter text.</w:t>
          </w:r>
        </w:p>
      </w:docPartBody>
    </w:docPart>
    <w:docPart>
      <w:docPartPr>
        <w:name w:val="E5F1590B0AD43A43A5388D7AC95CEE71"/>
        <w:category>
          <w:name w:val="General"/>
          <w:gallery w:val="placeholder"/>
        </w:category>
        <w:types>
          <w:type w:val="bbPlcHdr"/>
        </w:types>
        <w:behaviors>
          <w:behavior w:val="content"/>
        </w:behaviors>
        <w:guid w:val="{BAAF2BAF-31BC-C344-9BF2-7C317232E04C}"/>
      </w:docPartPr>
      <w:docPartBody>
        <w:p w:rsidR="00716933" w:rsidRDefault="00572F8D" w:rsidP="00572F8D">
          <w:pPr>
            <w:pStyle w:val="E5F1590B0AD43A43A5388D7AC95CEE71"/>
          </w:pPr>
          <w:r w:rsidRPr="00E12EDD">
            <w:rPr>
              <w:rStyle w:val="PlaceholderText"/>
            </w:rPr>
            <w:t>Click or tap here to enter text.</w:t>
          </w:r>
        </w:p>
      </w:docPartBody>
    </w:docPart>
    <w:docPart>
      <w:docPartPr>
        <w:name w:val="49E8DB2B74D5BE4680A8925E4A1630AF"/>
        <w:category>
          <w:name w:val="General"/>
          <w:gallery w:val="placeholder"/>
        </w:category>
        <w:types>
          <w:type w:val="bbPlcHdr"/>
        </w:types>
        <w:behaviors>
          <w:behavior w:val="content"/>
        </w:behaviors>
        <w:guid w:val="{9C5A831D-77C1-7545-8D6D-B263A667B452}"/>
      </w:docPartPr>
      <w:docPartBody>
        <w:p w:rsidR="00716933" w:rsidRDefault="00572F8D" w:rsidP="00572F8D">
          <w:pPr>
            <w:pStyle w:val="49E8DB2B74D5BE4680A8925E4A1630AF"/>
          </w:pPr>
          <w:r w:rsidRPr="00E12EDD">
            <w:rPr>
              <w:rStyle w:val="PlaceholderText"/>
            </w:rPr>
            <w:t>Click or tap here to enter text.</w:t>
          </w:r>
        </w:p>
      </w:docPartBody>
    </w:docPart>
    <w:docPart>
      <w:docPartPr>
        <w:name w:val="F3CE2F9C60BB034F916001AE7BF2F37E"/>
        <w:category>
          <w:name w:val="General"/>
          <w:gallery w:val="placeholder"/>
        </w:category>
        <w:types>
          <w:type w:val="bbPlcHdr"/>
        </w:types>
        <w:behaviors>
          <w:behavior w:val="content"/>
        </w:behaviors>
        <w:guid w:val="{3BF15E8B-1895-A14E-9C09-60BAB63496DB}"/>
      </w:docPartPr>
      <w:docPartBody>
        <w:p w:rsidR="00716933" w:rsidRDefault="00572F8D" w:rsidP="00572F8D">
          <w:pPr>
            <w:pStyle w:val="F3CE2F9C60BB034F916001AE7BF2F37E"/>
          </w:pPr>
          <w:r w:rsidRPr="00E12EDD">
            <w:rPr>
              <w:rStyle w:val="PlaceholderText"/>
            </w:rPr>
            <w:t>Click or tap here to enter text.</w:t>
          </w:r>
        </w:p>
      </w:docPartBody>
    </w:docPart>
    <w:docPart>
      <w:docPartPr>
        <w:name w:val="E7A2961A6536604C87B938C6C57844C0"/>
        <w:category>
          <w:name w:val="General"/>
          <w:gallery w:val="placeholder"/>
        </w:category>
        <w:types>
          <w:type w:val="bbPlcHdr"/>
        </w:types>
        <w:behaviors>
          <w:behavior w:val="content"/>
        </w:behaviors>
        <w:guid w:val="{0FB54948-DCA4-AE4E-9577-0769CC59421A}"/>
      </w:docPartPr>
      <w:docPartBody>
        <w:p w:rsidR="00716933" w:rsidRDefault="00572F8D" w:rsidP="00572F8D">
          <w:pPr>
            <w:pStyle w:val="E7A2961A6536604C87B938C6C57844C0"/>
          </w:pPr>
          <w:r w:rsidRPr="00E12EDD">
            <w:rPr>
              <w:rStyle w:val="PlaceholderText"/>
            </w:rPr>
            <w:t>Click or tap here to enter text.</w:t>
          </w:r>
        </w:p>
      </w:docPartBody>
    </w:docPart>
    <w:docPart>
      <w:docPartPr>
        <w:name w:val="1A97A10BDCBA3343B29C1D480ADD269D"/>
        <w:category>
          <w:name w:val="General"/>
          <w:gallery w:val="placeholder"/>
        </w:category>
        <w:types>
          <w:type w:val="bbPlcHdr"/>
        </w:types>
        <w:behaviors>
          <w:behavior w:val="content"/>
        </w:behaviors>
        <w:guid w:val="{27A4F808-E7CB-3647-A6B2-9CDF7068995A}"/>
      </w:docPartPr>
      <w:docPartBody>
        <w:p w:rsidR="00716933" w:rsidRDefault="00572F8D" w:rsidP="00572F8D">
          <w:pPr>
            <w:pStyle w:val="1A97A10BDCBA3343B29C1D480ADD269D"/>
          </w:pPr>
          <w:r w:rsidRPr="00E12EDD">
            <w:rPr>
              <w:rStyle w:val="PlaceholderText"/>
            </w:rPr>
            <w:t>Click or tap here to enter text.</w:t>
          </w:r>
        </w:p>
      </w:docPartBody>
    </w:docPart>
    <w:docPart>
      <w:docPartPr>
        <w:name w:val="7A13282F35CAFC419D1CA3F299D235A7"/>
        <w:category>
          <w:name w:val="General"/>
          <w:gallery w:val="placeholder"/>
        </w:category>
        <w:types>
          <w:type w:val="bbPlcHdr"/>
        </w:types>
        <w:behaviors>
          <w:behavior w:val="content"/>
        </w:behaviors>
        <w:guid w:val="{536EF8BC-6955-884F-B08A-99ADC2CE687D}"/>
      </w:docPartPr>
      <w:docPartBody>
        <w:p w:rsidR="00716933" w:rsidRDefault="00572F8D" w:rsidP="00572F8D">
          <w:pPr>
            <w:pStyle w:val="7A13282F35CAFC419D1CA3F299D235A7"/>
          </w:pPr>
          <w:r w:rsidRPr="00E12E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15A"/>
    <w:rsid w:val="00022BBE"/>
    <w:rsid w:val="000370A3"/>
    <w:rsid w:val="00037C9A"/>
    <w:rsid w:val="000C1008"/>
    <w:rsid w:val="001C346C"/>
    <w:rsid w:val="001C515A"/>
    <w:rsid w:val="002314BF"/>
    <w:rsid w:val="002F797A"/>
    <w:rsid w:val="0051261C"/>
    <w:rsid w:val="00572F8D"/>
    <w:rsid w:val="006028F3"/>
    <w:rsid w:val="006768BC"/>
    <w:rsid w:val="006C0315"/>
    <w:rsid w:val="006D7C76"/>
    <w:rsid w:val="00716933"/>
    <w:rsid w:val="00717AF8"/>
    <w:rsid w:val="007B335F"/>
    <w:rsid w:val="008E5772"/>
    <w:rsid w:val="009C1AFA"/>
    <w:rsid w:val="00AA3A4F"/>
    <w:rsid w:val="00B340F8"/>
    <w:rsid w:val="00B76CEB"/>
    <w:rsid w:val="00BF5FA6"/>
    <w:rsid w:val="00D13CFF"/>
    <w:rsid w:val="00D17E60"/>
    <w:rsid w:val="00E7240F"/>
    <w:rsid w:val="00FA57E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2F8D"/>
    <w:rPr>
      <w:color w:val="808080"/>
    </w:rPr>
  </w:style>
  <w:style w:type="paragraph" w:customStyle="1" w:styleId="B579E97B33663D4A9C4BCB90DD4F14D1">
    <w:name w:val="B579E97B33663D4A9C4BCB90DD4F14D1"/>
    <w:rsid w:val="00572F8D"/>
    <w:pPr>
      <w:spacing w:line="278" w:lineRule="auto"/>
    </w:pPr>
    <w:rPr>
      <w:kern w:val="2"/>
      <w:sz w:val="24"/>
      <w:szCs w:val="24"/>
      <w:lang w:eastAsia="en-US"/>
      <w14:ligatures w14:val="standardContextual"/>
    </w:rPr>
  </w:style>
  <w:style w:type="paragraph" w:customStyle="1" w:styleId="BC8759ADF5BFC347B92F1CCBD412A434">
    <w:name w:val="BC8759ADF5BFC347B92F1CCBD412A434"/>
    <w:rsid w:val="00572F8D"/>
    <w:pPr>
      <w:spacing w:line="278" w:lineRule="auto"/>
    </w:pPr>
    <w:rPr>
      <w:kern w:val="2"/>
      <w:sz w:val="24"/>
      <w:szCs w:val="24"/>
      <w:lang w:eastAsia="en-US"/>
      <w14:ligatures w14:val="standardContextual"/>
    </w:rPr>
  </w:style>
  <w:style w:type="paragraph" w:customStyle="1" w:styleId="17FCDFC28BF42542975DC1DFC621600C">
    <w:name w:val="17FCDFC28BF42542975DC1DFC621600C"/>
    <w:rsid w:val="00572F8D"/>
    <w:pPr>
      <w:spacing w:line="278" w:lineRule="auto"/>
    </w:pPr>
    <w:rPr>
      <w:kern w:val="2"/>
      <w:sz w:val="24"/>
      <w:szCs w:val="24"/>
      <w:lang w:eastAsia="en-US"/>
      <w14:ligatures w14:val="standardContextual"/>
    </w:rPr>
  </w:style>
  <w:style w:type="paragraph" w:customStyle="1" w:styleId="D33E9E77FD6BE647B7AF315C4BA58679">
    <w:name w:val="D33E9E77FD6BE647B7AF315C4BA58679"/>
    <w:rsid w:val="00572F8D"/>
    <w:pPr>
      <w:spacing w:line="278" w:lineRule="auto"/>
    </w:pPr>
    <w:rPr>
      <w:kern w:val="2"/>
      <w:sz w:val="24"/>
      <w:szCs w:val="24"/>
      <w:lang w:eastAsia="en-US"/>
      <w14:ligatures w14:val="standardContextual"/>
    </w:rPr>
  </w:style>
  <w:style w:type="paragraph" w:customStyle="1" w:styleId="9BE04F617F29B441B345432611908A24">
    <w:name w:val="9BE04F617F29B441B345432611908A24"/>
    <w:rsid w:val="00572F8D"/>
    <w:pPr>
      <w:spacing w:line="278" w:lineRule="auto"/>
    </w:pPr>
    <w:rPr>
      <w:kern w:val="2"/>
      <w:sz w:val="24"/>
      <w:szCs w:val="24"/>
      <w:lang w:eastAsia="en-US"/>
      <w14:ligatures w14:val="standardContextual"/>
    </w:rPr>
  </w:style>
  <w:style w:type="paragraph" w:customStyle="1" w:styleId="7D52D0421E7A524682D95C83CCD689E3">
    <w:name w:val="7D52D0421E7A524682D95C83CCD689E3"/>
    <w:rsid w:val="00572F8D"/>
    <w:pPr>
      <w:spacing w:line="278" w:lineRule="auto"/>
    </w:pPr>
    <w:rPr>
      <w:kern w:val="2"/>
      <w:sz w:val="24"/>
      <w:szCs w:val="24"/>
      <w:lang w:eastAsia="en-US"/>
      <w14:ligatures w14:val="standardContextual"/>
    </w:rPr>
  </w:style>
  <w:style w:type="paragraph" w:customStyle="1" w:styleId="79719B26759200429DB14116C713BBA2">
    <w:name w:val="79719B26759200429DB14116C713BBA2"/>
    <w:rsid w:val="00572F8D"/>
    <w:pPr>
      <w:spacing w:line="278" w:lineRule="auto"/>
    </w:pPr>
    <w:rPr>
      <w:kern w:val="2"/>
      <w:sz w:val="24"/>
      <w:szCs w:val="24"/>
      <w:lang w:eastAsia="en-US"/>
      <w14:ligatures w14:val="standardContextual"/>
    </w:rPr>
  </w:style>
  <w:style w:type="paragraph" w:customStyle="1" w:styleId="E5F1590B0AD43A43A5388D7AC95CEE71">
    <w:name w:val="E5F1590B0AD43A43A5388D7AC95CEE71"/>
    <w:rsid w:val="00572F8D"/>
    <w:pPr>
      <w:spacing w:line="278" w:lineRule="auto"/>
    </w:pPr>
    <w:rPr>
      <w:kern w:val="2"/>
      <w:sz w:val="24"/>
      <w:szCs w:val="24"/>
      <w:lang w:eastAsia="en-US"/>
      <w14:ligatures w14:val="standardContextual"/>
    </w:rPr>
  </w:style>
  <w:style w:type="paragraph" w:customStyle="1" w:styleId="49E8DB2B74D5BE4680A8925E4A1630AF">
    <w:name w:val="49E8DB2B74D5BE4680A8925E4A1630AF"/>
    <w:rsid w:val="00572F8D"/>
    <w:pPr>
      <w:spacing w:line="278" w:lineRule="auto"/>
    </w:pPr>
    <w:rPr>
      <w:kern w:val="2"/>
      <w:sz w:val="24"/>
      <w:szCs w:val="24"/>
      <w:lang w:eastAsia="en-US"/>
      <w14:ligatures w14:val="standardContextual"/>
    </w:rPr>
  </w:style>
  <w:style w:type="paragraph" w:customStyle="1" w:styleId="F3CE2F9C60BB034F916001AE7BF2F37E">
    <w:name w:val="F3CE2F9C60BB034F916001AE7BF2F37E"/>
    <w:rsid w:val="00572F8D"/>
    <w:pPr>
      <w:spacing w:line="278" w:lineRule="auto"/>
    </w:pPr>
    <w:rPr>
      <w:kern w:val="2"/>
      <w:sz w:val="24"/>
      <w:szCs w:val="24"/>
      <w:lang w:eastAsia="en-US"/>
      <w14:ligatures w14:val="standardContextual"/>
    </w:rPr>
  </w:style>
  <w:style w:type="paragraph" w:customStyle="1" w:styleId="E7A2961A6536604C87B938C6C57844C0">
    <w:name w:val="E7A2961A6536604C87B938C6C57844C0"/>
    <w:rsid w:val="00572F8D"/>
    <w:pPr>
      <w:spacing w:line="278" w:lineRule="auto"/>
    </w:pPr>
    <w:rPr>
      <w:kern w:val="2"/>
      <w:sz w:val="24"/>
      <w:szCs w:val="24"/>
      <w:lang w:eastAsia="en-US"/>
      <w14:ligatures w14:val="standardContextual"/>
    </w:rPr>
  </w:style>
  <w:style w:type="paragraph" w:customStyle="1" w:styleId="1A97A10BDCBA3343B29C1D480ADD269D">
    <w:name w:val="1A97A10BDCBA3343B29C1D480ADD269D"/>
    <w:rsid w:val="00572F8D"/>
    <w:pPr>
      <w:spacing w:line="278" w:lineRule="auto"/>
    </w:pPr>
    <w:rPr>
      <w:kern w:val="2"/>
      <w:sz w:val="24"/>
      <w:szCs w:val="24"/>
      <w:lang w:eastAsia="en-US"/>
      <w14:ligatures w14:val="standardContextual"/>
    </w:rPr>
  </w:style>
  <w:style w:type="paragraph" w:customStyle="1" w:styleId="7A13282F35CAFC419D1CA3F299D235A7">
    <w:name w:val="7A13282F35CAFC419D1CA3F299D235A7"/>
    <w:rsid w:val="00572F8D"/>
    <w:pPr>
      <w:spacing w:line="278" w:lineRule="auto"/>
    </w:pPr>
    <w:rPr>
      <w:kern w:val="2"/>
      <w:sz w:val="24"/>
      <w:szCs w:val="24"/>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0C6CA7-F882-4507-88CB-CD02184AEC5C}">
  <we:reference id="wa104382081" version="1.55.1.0" store="id-ID" storeType="OMEX"/>
  <we:alternateReferences>
    <we:reference id="WA104382081" version="1.55.1.0" store="" storeType="OMEX"/>
  </we:alternateReferences>
  <we:properties>
    <we:property name="MENDELEY_CITATIONS" value="[{&quot;citationID&quot;:&quot;MENDELEY_CITATION_290b1e98-791e-4f60-a252-fd2ea6a1c982&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&quot;,&quot;citationItems&quot;:[{&quot;id&quot;:&quot;d9793596-1039-343e-a7cc-a466562680dc&quot;,&quot;itemData&quot;:{&quot;type&quot;:&quot;article-journal&quot;,&quot;id&quot;:&quot;d9793596-1039-343e-a7cc-a466562680dc&quot;,&quot;title&quot;:&quot;Assessment of hypothyroidism among adult patients suffering from beta thalassemia major&quot;,&quot;author&quot;:[{&quot;family&quot;:&quot;Ibrahim&quot;,&quot;given&quot;:&quot;Ahmed Saleh&quot;,&quot;parse-names&quot;:false,&quot;dropping-particle&quot;:&quot;&quot;,&quot;non-dropping-particle&quot;:&quot;&quot;},{&quot;family&quot;:&quot;El-Fatah&quot;,&quot;given&quot;:&quot;Azza Hasan Abd&quot;,&quot;parse-names&quot;:false,&quot;dropping-particle&quot;:&quot;&quot;,&quot;non-dropping-particle&quot;:&quot;&quot;},{&quot;family&quot;:&quot;El-Halim&quot;,&quot;given&quot;:&quot;Ayman Fathy Abd&quot;,&quot;parse-names&quot;:false,&quot;dropping-particle&quot;:&quot;&quot;,&quot;non-dropping-particle&quot;:&quot;&quot;},{&quot;family&quot;:&quot;Mohamed&quot;,&quot;given&quot;:&quot;Fared Fawzy&quot;,&quot;parse-names&quot;:false,&quot;dropping-particle&quot;:&quot;&quot;,&quot;non-dropping-particle&quot;:&quot;&quot;}],&quot;container-title&quot;:&quot;Mansoura Medical Journal&quot;,&quot;DOI&quot;:&quot;10.58775/2735-3990.1376&quot;,&quot;issued&quot;:{&quot;date-parts&quot;:[[2023]]},&quot;issue&quot;:&quot;1&quot;,&quot;volume&quot;:&quot;52&quot;,&quot;container-title-short&quot;:&quot;&quot;},&quot;isTemporary&quot;:false}]},{&quot;citationID&quot;:&quot;MENDELEY_CITATION_ad31badd-c5d2-4522-905a-bb915b3ef82e&quot;,&quot;properties&quot;:{&quot;noteIndex&quot;:0},&quot;isEdited&quot;:false,&quot;manualOverride&quot;:{&quot;isManuallyOverridden&quot;:false,&quot;citeprocText&quot;:&quot;&lt;sup&gt;2&lt;/sup&gt;&quot;,&quot;manualOverrideText&quot;:&quot;&quot;},&quot;citationItems&quot;:[{&quot;id&quot;:&quot;ad1e5b0d-bc1e-3a3a-81d7-237147aded15&quot;,&quot;itemData&quot;:{&quot;type&quot;:&quot;article&quot;,&quot;id&quot;:&quot;ad1e5b0d-bc1e-3a3a-81d7-237147aded15&quot;,&quot;title&quot;:&quot;The Prevalence of Hypothyroidism among Patients With β-Thalassemia: A Systematic Review and Meta-Analysis of Cross-Sectional Studies&quot;,&quot;author&quot;:[{&quot;family&quot;:&quot;Haghpanah&quot;,&quot;given&quot;:&quot;Sezaneh&quot;,&quot;parse-names&quot;:false,&quot;dropping-particle&quot;:&quot;&quot;,&quot;non-dropping-particle&quot;:&quot;&quot;},{&quot;family&quot;:&quot;Hosseini-Bensenjan&quot;,&quot;given&quot;:&quot;Mahnaz&quot;,&quot;parse-names&quot;:false,&quot;dropping-particle&quot;:&quot;&quot;,&quot;non-dropping-particle&quot;:&quot;&quot;},{&quot;family&quot;:&quot;Sayadi&quot;,&quot;given&quot;:&quot;Mehrab&quot;,&quot;parse-names&quot;:false,&quot;dropping-particle&quot;:&quot;&quot;,&quot;non-dropping-particle&quot;:&quot;&quot;},{&quot;family&quot;:&quot;Karimi&quot;,&quot;given&quot;:&quot;Mehran&quot;,&quot;parse-names&quot;:false,&quot;dropping-particle&quot;:&quot;&quot;,&quot;non-dropping-particle&quot;:&quot;&quot;},{&quot;family&quot;:&quot;Sanctis&quot;,&quot;given&quot;:&quot;Vincenzo&quot;,&quot;parse-names&quot;:false,&quot;dropping-particle&quot;:&quot;&quot;,&quot;non-dropping-particle&quot;:&quot;de&quot;},{&quot;family&quot;:&quot;Ramzi&quot;,&quot;given&quot;:&quot;Mani&quot;,&quot;parse-names&quot;:false,&quot;dropping-particle&quot;:&quot;&quot;,&quot;non-dropping-particle&quot;:&quot;&quot;},{&quot;family&quot;:&quot;Mousavi&quot;,&quot;given&quot;:&quot;Mohammad Reza&quot;,&quot;parse-names&quot;:false,&quot;dropping-particle&quot;:&quot;&quot;,&quot;non-dropping-particle&quot;:&quot;&quot;}],&quot;container-title&quot;:&quot;Hemoglobin&quot;,&quot;container-title-short&quot;:&quot;Hemoglobin&quot;,&quot;DOI&quot;:&quot;10.1080/03630269.2021.2003382&quot;,&quot;ISSN&quot;:&quot;1532432X&quot;,&quot;issued&quot;:{&quot;date-parts&quot;:[[2021]]},&quot;abstract&quot;:&quot;As a cause of chronic blood transfusions, iron overload is an important issue in β-thalassemia (β-thal) patients that leads to multiple organ dysfunctions. This is an updated meta-analysis conducted to summarize the existing evidence of the prevalence of hypothyroidism (HT) among patients with transfusion-dependent (TDT) and non transfusion-dependent β-thal (NTDT) and for the first time we meta-analyzed the relationship between ferritin level and HT. This systematic review and meta-analysis were done according to the Preferred Reporting Items for Systematic Reviews and Meta-Analyses (PRISMA) checklist. We searched databases including Web of Science (ISI), Scopus, PubMed, Embase, and Scholar. The quality of the included studies was assessed based on the Newcastle-Ottawa scale (NOS) checklist. Meta-analysis was done using Stata statistical software. The pooled prevalence of total HT, subclinical HT, and overt HT among β-thal patients was 13.25 [95% confidence interval (95% CI): 10.29–16.21; 11.84, 95% CI: 8.43–15.25 and 12.46, 95% CI: 1.05–23.87], respectively. The prevalence of total HT was 16.22% (95% CI: 12.36–20.08) in TDT and 7.22% (95% CI: 3.66–10.78) in NTDT patients. Serum ferritin (SF) levels were significantly lower in euthyroid compared to hypothyroid patients [standard mean difference (SMD) −2.15 (95% CI: −3.08, −1.21, p value &lt;0.001]. The prevalence of HT was higher in TDT compared to NTDT patients. Moreover, our results showed a significant association of high serum ferritin (SF) levels with hypothyroidism in β-thal patients. Both of these findings highlight the importance of prevention measures and timely diagnosis and management of iron overload in β-thal patients.&quot;,&quot;issue&quot;:&quot;5&quot;,&quot;volume&quot;:&quot;45&quot;},&quot;isTemporary&quot;:false}],&quot;citationTag&quot;:&quot;MENDELEY_CITATION_v3_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&quot;},{&quot;citationID&quot;:&quot;MENDELEY_CITATION_d885a6b3-fee4-461b-8deb-0517ea11adcf&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ZDg4NWE2YjMtZmVlNC00NjFiLThkZWItMDUxN2VhMTFhZGNm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quot;,&quot;citationItems&quot;:[{&quot;id&quot;:&quot;342af217-7ee4-3c24-b48e-e3f6c1d8ee1b&quot;,&quot;itemData&quot;:{&quot;type&quot;:&quot;article-journal&quot;,&quot;id&quot;:&quot;342af217-7ee4-3c24-b48e-e3f6c1d8ee1b&quot;,&quot;title&quot;:&quot;High prevalence of central hypothyroidism in adult patients with β-thalassemia major.&quot;,&quot;author&quot;:[{&quot;family&quot;:&quot;Sanctis&quot;,&quot;given&quot;:&quot;V.&quot;,&quot;parse-names&quot;:false,&quot;dropping-particle&quot;:&quot;&quot;,&quot;non-dropping-particle&quot;:&quot;De&quot;},{&quot;family&quot;:&quot;Soliman&quot;,&quot;given&quot;:&quot;A.&quot;,&quot;parse-names&quot;:false,&quot;dropping-particle&quot;:&quot;&quot;,&quot;non-dropping-particle&quot;:&quot;&quot;},{&quot;family&quot;:&quot;Candini&quot;,&quot;given&quot;:&quot;G.&quot;,&quot;parse-names&quot;:false,&quot;dropping-particle&quot;:&quot;&quot;,&quot;non-dropping-particle&quot;:&quot;&quot;},{&quot;family&quot;:&quot;Campisi&quot;,&quot;given&quot;:&quot;S.&quot;,&quot;parse-names&quot;:false,&quot;dropping-particle&quot;:&quot;&quot;,&quot;non-dropping-particle&quot;:&quot;&quot;},{&quot;family&quot;:&quot;Anastasi&quot;,&quot;given&quot;:&quot;S.&quot;,&quot;parse-names&quot;:false,&quot;dropping-particle&quot;:&quot;&quot;,&quot;non-dropping-particle&quot;:&quot;&quot;},{&quot;family&quot;:&quot;Iassin&quot;,&quot;given&quot;:&quot;M.&quot;,&quot;parse-names&quot;:false,&quot;dropping-particle&quot;:&quot;&quot;,&quot;non-dropping-particle&quot;:&quot;&quot;}],&quot;container-title&quot;:&quot;Georgian medical news&quot;,&quot;container-title-short&quot;:&quot;Georgian Med News&quot;,&quot;ISSN&quot;:&quot;15120112&quot;,&quot;issued&quot;:{&quot;date-parts&quot;:[[2013]]},&quot;abstract&quot;:&quot;The commonest form of thyroid dysfunction seen in subjects with TM is primary hypothyroidism due to abnormalities of the thyroid gland. Central hypothyroidism (CH) has been reported as an uncommon clinical entity in TM patients although the anterior pituitary gland is particularly sensitive to free radical oxidative stresses. Diagnosis is usually made on a biochemical basis showing low circulating concentrations of thyroid hormone associated with an inappropriately low TSH levels. The diagnosis is not clinically obvious and a basal normal TSH level does not exclude the diagnosis of CH. Therefore, it is important that clinicians accurately interpret thyroid function tests. In TM patients, CH prevalence differs at different ages is unknown and it is not easy to diagnose because most of the symptoms of symptoms of CH are non specific and are frequently attributed to anaemia or other associated complications . We performed a cross-sectional analysis on a large database using the clinical records of our TM patients to explore the prevalence of CH in prepubertal (&lt;11 years: 25 patients; 13 males) peripubertal (between 11 and 16 years: 9 patients; 3 males), and pubertal TM subjects (&gt;16 years: 305 patients; 164 males). Central hypothyroidism was present in 26 (7,6%) TM patients. Their mean age was 29.9 ± 8.4 years, 14 (53.8%) were males and 12 (46.1%) were females. The prevalence of CH was 6% in patients with a chronological age below 21 years and 7.9% in those above 21 years. Clinicians should be alert for the diagnosis of CH through accurate interpretation of thyroid function tests. We recommend L-thyroxine therapy if the level of FT4 is consistently low provided that the patient has normal cortisol levels.&quot;,&quot;issue&quot;:&quot;222&quot;},&quot;isTemporary&quot;:false}]},{&quot;citationID&quot;:&quot;MENDELEY_CITATION_1c48ba13-f4a4-4b21-ba71-d0a09ad1a3ed&quot;,&quot;properties&quot;:{&quot;noteIndex&quot;:0},&quot;isEdited&quot;:false,&quot;manualOverride&quot;:{&quot;isManuallyOverridden&quot;:false,&quot;citeprocText&quot;:&quot;&lt;sup&gt;3,4&lt;/sup&gt;&quot;,&quot;manualOverrideText&quot;:&quot;&quot;},&quot;citationItems&quot;:[{&quot;id&quot;:&quot;342af217-7ee4-3c24-b48e-e3f6c1d8ee1b&quot;,&quot;itemData&quot;:{&quot;type&quot;:&quot;article-journal&quot;,&quot;id&quot;:&quot;342af217-7ee4-3c24-b48e-e3f6c1d8ee1b&quot;,&quot;title&quot;:&quot;High prevalence of central hypothyroidism in adult patients with β-thalassemia major.&quot;,&quot;author&quot;:[{&quot;family&quot;:&quot;Sanctis&quot;,&quot;given&quot;:&quot;V.&quot;,&quot;parse-names&quot;:false,&quot;dropping-particle&quot;:&quot;&quot;,&quot;non-dropping-particle&quot;:&quot;De&quot;},{&quot;family&quot;:&quot;Soliman&quot;,&quot;given&quot;:&quot;A.&quot;,&quot;parse-names&quot;:false,&quot;dropping-particle&quot;:&quot;&quot;,&quot;non-dropping-particle&quot;:&quot;&quot;},{&quot;family&quot;:&quot;Candini&quot;,&quot;given&quot;:&quot;G.&quot;,&quot;parse-names&quot;:false,&quot;dropping-particle&quot;:&quot;&quot;,&quot;non-dropping-particle&quot;:&quot;&quot;},{&quot;family&quot;:&quot;Campisi&quot;,&quot;given&quot;:&quot;S.&quot;,&quot;parse-names&quot;:false,&quot;dropping-particle&quot;:&quot;&quot;,&quot;non-dropping-particle&quot;:&quot;&quot;},{&quot;family&quot;:&quot;Anastasi&quot;,&quot;given&quot;:&quot;S.&quot;,&quot;parse-names&quot;:false,&quot;dropping-particle&quot;:&quot;&quot;,&quot;non-dropping-particle&quot;:&quot;&quot;},{&quot;family&quot;:&quot;Iassin&quot;,&quot;given&quot;:&quot;M.&quot;,&quot;parse-names&quot;:false,&quot;dropping-particle&quot;:&quot;&quot;,&quot;non-dropping-particle&quot;:&quot;&quot;}],&quot;container-title&quot;:&quot;Georgian medical news&quot;,&quot;container-title-short&quot;:&quot;Georgian Med News&quot;,&quot;ISSN&quot;:&quot;15120112&quot;,&quot;issued&quot;:{&quot;date-parts&quot;:[[2013]]},&quot;abstract&quot;:&quot;The commonest form of thyroid dysfunction seen in subjects with TM is primary hypothyroidism due to abnormalities of the thyroid gland. Central hypothyroidism (CH) has been reported as an uncommon clinical entity in TM patients although the anterior pituitary gland is particularly sensitive to free radical oxidative stresses. Diagnosis is usually made on a biochemical basis showing low circulating concentrations of thyroid hormone associated with an inappropriately low TSH levels. The diagnosis is not clinically obvious and a basal normal TSH level does not exclude the diagnosis of CH. Therefore, it is important that clinicians accurately interpret thyroid function tests. In TM patients, CH prevalence differs at different ages is unknown and it is not easy to diagnose because most of the symptoms of symptoms of CH are non specific and are frequently attributed to anaemia or other associated complications . We performed a cross-sectional analysis on a large database using the clinical records of our TM patients to explore the prevalence of CH in prepubertal (&lt;11 years: 25 patients; 13 males) peripubertal (between 11 and 16 years: 9 patients; 3 males), and pubertal TM subjects (&gt;16 years: 305 patients; 164 males). Central hypothyroidism was present in 26 (7,6%) TM patients. Their mean age was 29.9 ± 8.4 years, 14 (53.8%) were males and 12 (46.1%) were females. The prevalence of CH was 6% in patients with a chronological age below 21 years and 7.9% in those above 21 years. Clinicians should be alert for the diagnosis of CH through accurate interpretation of thyroid function tests. We recommend L-thyroxine therapy if the level of FT4 is consistently low provided that the patient has normal cortisol levels.&quot;,&quot;issue&quot;:&quot;222&quot;},&quot;isTemporary&quot;:false},{&quot;id&quot;:&quot;f7f3aaf2-0849-3065-a6ec-cda29e9cc21f&quot;,&quot;itemData&quot;:{&quot;type&quot;:&quot;article-journal&quot;,&quot;id&quot;:&quot;f7f3aaf2-0849-3065-a6ec-cda29e9cc21f&quot;,&quot;title&quot;:&quot;Thyroid dysfunction in beta thalassemia major patients&quot;,&quot;author&quot;:[{&quot;family&quot;:&quot;Singhal&quot;,&quot;given&quot;:&quot;Ankush&quot;,&quot;parse-names&quot;:false,&quot;dropping-particle&quot;:&quot;&quot;,&quot;non-dropping-particle&quot;:&quot;&quot;},{&quot;family&quot;:&quot;Goyal&quot;,&quot;given&quot;:&quot;Hema&quot;,&quot;parse-names&quot;:false,&quot;dropping-particle&quot;:&quot;&quot;,&quot;non-dropping-particle&quot;:&quot;&quot;}],&quot;container-title&quot;:&quot;Thyroid Research and Practice&quot;,&quot;DOI&quot;:&quot;10.4103/trp.trp_4_20&quot;,&quot;ISSN&quot;:&quot;0973-0354&quot;,&quot;issued&quot;:{&quot;date-parts&quot;:[[2020]]},&quot;abstract&quot;:&quot;Background: Endocrinopathies are now amongst the common complications of thalassemia but determining the exact prevalence is difficult because of differences in age of first exposure to chelation therapy and the continuing improvement in survival in well-chelated patients. Hypothyroidism is the second most common endocrine disorder after hypogonadism, having been reported in 5.6% to 17% of patients. Material and Methods: The present study was conducted in Umaid hospital attached to Dr S.N. Medical College, Jodhpur. 112 children were enrolled in the study and thyroid function tests along with serum Ferritin levels were done for all the subjects. Results: Out of a total of 112 children, 82 were Euthyroid (73.2%) and 30 were Hypothyroid (26.8%). The mean serum Ferritin, serum TSH, serum Free T4 and serum Free T3 in Euthyroid children were 1975.4 ± 706.2(ng/ml), 3.23 ± 0.93(μIU/ml), 12.8 ± 2.3(pmol/l) and 6.12 ± 1.4(pmol/l) respectively. Whereas in Hypothyroid children the mean serum Ferritin, serum TSH, serum Free T4 and serum Free T3 were 2842.9 ± 1095.2(ng/ml), 7.05 ± 1.91(μIU/ml), 10.55 ± 2.0(pmol/l) and 4.49 ± 1.2(pmol/l) respectively. Conclusion: Prevalence , severity of thyroid dysfunction in thalassemics is variable and regular follow up is the key. Assessment of thyroid function should be done annually from the age of 9 or earlier if patient is clinically symptomatic.&quot;,&quot;issue&quot;:&quot;2&quot;,&quot;volume&quot;:&quot;17&quot;},&quot;isTemporary&quot;:false}],&quot;citationTag&quot;:&quot;MENDELEY_CITATION_v3_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&quot;},{&quot;citationID&quot;:&quot;MENDELEY_CITATION_5f9b4f2d-34d0-44b8-bb8e-52d7aa945cb2&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NWY5YjRmMmQtMzRkMC00NGI4LWJiOGUtNTJkN2FhOTQ1Y2Iy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quot;,&quot;citationItems&quot;:[{&quot;id&quot;:&quot;342af217-7ee4-3c24-b48e-e3f6c1d8ee1b&quot;,&quot;itemData&quot;:{&quot;type&quot;:&quot;article-journal&quot;,&quot;id&quot;:&quot;342af217-7ee4-3c24-b48e-e3f6c1d8ee1b&quot;,&quot;title&quot;:&quot;High prevalence of central hypothyroidism in adult patients with β-thalassemia major.&quot;,&quot;author&quot;:[{&quot;family&quot;:&quot;Sanctis&quot;,&quot;given&quot;:&quot;V.&quot;,&quot;parse-names&quot;:false,&quot;dropping-particle&quot;:&quot;&quot;,&quot;non-dropping-particle&quot;:&quot;De&quot;},{&quot;family&quot;:&quot;Soliman&quot;,&quot;given&quot;:&quot;A.&quot;,&quot;parse-names&quot;:false,&quot;dropping-particle&quot;:&quot;&quot;,&quot;non-dropping-particle&quot;:&quot;&quot;},{&quot;family&quot;:&quot;Candini&quot;,&quot;given&quot;:&quot;G.&quot;,&quot;parse-names&quot;:false,&quot;dropping-particle&quot;:&quot;&quot;,&quot;non-dropping-particle&quot;:&quot;&quot;},{&quot;family&quot;:&quot;Campisi&quot;,&quot;given&quot;:&quot;S.&quot;,&quot;parse-names&quot;:false,&quot;dropping-particle&quot;:&quot;&quot;,&quot;non-dropping-particle&quot;:&quot;&quot;},{&quot;family&quot;:&quot;Anastasi&quot;,&quot;given&quot;:&quot;S.&quot;,&quot;parse-names&quot;:false,&quot;dropping-particle&quot;:&quot;&quot;,&quot;non-dropping-particle&quot;:&quot;&quot;},{&quot;family&quot;:&quot;Iassin&quot;,&quot;given&quot;:&quot;M.&quot;,&quot;parse-names&quot;:false,&quot;dropping-particle&quot;:&quot;&quot;,&quot;non-dropping-particle&quot;:&quot;&quot;}],&quot;container-title&quot;:&quot;Georgian medical news&quot;,&quot;container-title-short&quot;:&quot;Georgian Med News&quot;,&quot;ISSN&quot;:&quot;15120112&quot;,&quot;issued&quot;:{&quot;date-parts&quot;:[[2013]]},&quot;abstract&quot;:&quot;The commonest form of thyroid dysfunction seen in subjects with TM is primary hypothyroidism due to abnormalities of the thyroid gland. Central hypothyroidism (CH) has been reported as an uncommon clinical entity in TM patients although the anterior pituitary gland is particularly sensitive to free radical oxidative stresses. Diagnosis is usually made on a biochemical basis showing low circulating concentrations of thyroid hormone associated with an inappropriately low TSH levels. The diagnosis is not clinically obvious and a basal normal TSH level does not exclude the diagnosis of CH. Therefore, it is important that clinicians accurately interpret thyroid function tests. In TM patients, CH prevalence differs at different ages is unknown and it is not easy to diagnose because most of the symptoms of symptoms of CH are non specific and are frequently attributed to anaemia or other associated complications . We performed a cross-sectional analysis on a large database using the clinical records of our TM patients to explore the prevalence of CH in prepubertal (&lt;11 years: 25 patients; 13 males) peripubertal (between 11 and 16 years: 9 patients; 3 males), and pubertal TM subjects (&gt;16 years: 305 patients; 164 males). Central hypothyroidism was present in 26 (7,6%) TM patients. Their mean age was 29.9 ± 8.4 years, 14 (53.8%) were males and 12 (46.1%) were females. The prevalence of CH was 6% in patients with a chronological age below 21 years and 7.9% in those above 21 years. Clinicians should be alert for the diagnosis of CH through accurate interpretation of thyroid function tests. We recommend L-thyroxine therapy if the level of FT4 is consistently low provided that the patient has normal cortisol levels.&quot;,&quot;issue&quot;:&quot;222&quot;},&quot;isTemporary&quot;:false}]},{&quot;citationID&quot;:&quot;MENDELEY_CITATION_523f9e6c-b711-426f-8965-4c216c1fda77&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NTIzZjllNmMtYjcxMS00MjZmLTg5NjUtNGMyMTZjMWZkYTc3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quot;,&quot;citationItems&quot;:[{&quot;id&quot;:&quot;342af217-7ee4-3c24-b48e-e3f6c1d8ee1b&quot;,&quot;itemData&quot;:{&quot;type&quot;:&quot;article-journal&quot;,&quot;id&quot;:&quot;342af217-7ee4-3c24-b48e-e3f6c1d8ee1b&quot;,&quot;title&quot;:&quot;High prevalence of central hypothyroidism in adult patients with β-thalassemia major.&quot;,&quot;author&quot;:[{&quot;family&quot;:&quot;Sanctis&quot;,&quot;given&quot;:&quot;V.&quot;,&quot;parse-names&quot;:false,&quot;dropping-particle&quot;:&quot;&quot;,&quot;non-dropping-particle&quot;:&quot;De&quot;},{&quot;family&quot;:&quot;Soliman&quot;,&quot;given&quot;:&quot;A.&quot;,&quot;parse-names&quot;:false,&quot;dropping-particle&quot;:&quot;&quot;,&quot;non-dropping-particle&quot;:&quot;&quot;},{&quot;family&quot;:&quot;Candini&quot;,&quot;given&quot;:&quot;G.&quot;,&quot;parse-names&quot;:false,&quot;dropping-particle&quot;:&quot;&quot;,&quot;non-dropping-particle&quot;:&quot;&quot;},{&quot;family&quot;:&quot;Campisi&quot;,&quot;given&quot;:&quot;S.&quot;,&quot;parse-names&quot;:false,&quot;dropping-particle&quot;:&quot;&quot;,&quot;non-dropping-particle&quot;:&quot;&quot;},{&quot;family&quot;:&quot;Anastasi&quot;,&quot;given&quot;:&quot;S.&quot;,&quot;parse-names&quot;:false,&quot;dropping-particle&quot;:&quot;&quot;,&quot;non-dropping-particle&quot;:&quot;&quot;},{&quot;family&quot;:&quot;Iassin&quot;,&quot;given&quot;:&quot;M.&quot;,&quot;parse-names&quot;:false,&quot;dropping-particle&quot;:&quot;&quot;,&quot;non-dropping-particle&quot;:&quot;&quot;}],&quot;container-title&quot;:&quot;Georgian medical news&quot;,&quot;container-title-short&quot;:&quot;Georgian Med News&quot;,&quot;ISSN&quot;:&quot;15120112&quot;,&quot;issued&quot;:{&quot;date-parts&quot;:[[2013]]},&quot;abstract&quot;:&quot;The commonest form of thyroid dysfunction seen in subjects with TM is primary hypothyroidism due to abnormalities of the thyroid gland. Central hypothyroidism (CH) has been reported as an uncommon clinical entity in TM patients although the anterior pituitary gland is particularly sensitive to free radical oxidative stresses. Diagnosis is usually made on a biochemical basis showing low circulating concentrations of thyroid hormone associated with an inappropriately low TSH levels. The diagnosis is not clinically obvious and a basal normal TSH level does not exclude the diagnosis of CH. Therefore, it is important that clinicians accurately interpret thyroid function tests. In TM patients, CH prevalence differs at different ages is unknown and it is not easy to diagnose because most of the symptoms of symptoms of CH are non specific and are frequently attributed to anaemia or other associated complications . We performed a cross-sectional analysis on a large database using the clinical records of our TM patients to explore the prevalence of CH in prepubertal (&lt;11 years: 25 patients; 13 males) peripubertal (between 11 and 16 years: 9 patients; 3 males), and pubertal TM subjects (&gt;16 years: 305 patients; 164 males). Central hypothyroidism was present in 26 (7,6%) TM patients. Their mean age was 29.9 ± 8.4 years, 14 (53.8%) were males and 12 (46.1%) were females. The prevalence of CH was 6% in patients with a chronological age below 21 years and 7.9% in those above 21 years. Clinicians should be alert for the diagnosis of CH through accurate interpretation of thyroid function tests. We recommend L-thyroxine therapy if the level of FT4 is consistently low provided that the patient has normal cortisol levels.&quot;,&quot;issue&quot;:&quot;222&quot;},&quot;isTemporary&quot;:false}]},{&quot;citationID&quot;:&quot;MENDELEY_CITATION_5fd6be3d-9ddd-4d2f-a09c-caf03bc7d1cb&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&quot;,&quot;citationItems&quot;:[{&quot;id&quot;:&quot;28edd332-faa0-3a5e-9484-a34c0cc7bd9e&quot;,&quot;itemData&quot;:{&quot;type&quot;:&quot;article-journal&quot;,&quot;id&quot;:&quot;28edd332-faa0-3a5e-9484-a34c0cc7bd9e&quot;,&quot;title&quot;:&quot;The effect of deferasirox on endocrine complications in children with thalassemia&quot;,&quot;author&quot;:[{&quot;family&quot;:&quot;Bilgin&quot;,&quot;given&quot;:&quot;Burçak Kurucu&quot;,&quot;parse-names&quot;:false,&quot;dropping-particle&quot;:&quot;&quot;,&quot;non-dropping-particle&quot;:&quot;&quot;},{&quot;family&quot;:&quot;Yozgat&quot;,&quot;given&quot;:&quot;Ayça Koca&quot;,&quot;parse-names&quot;:false,&quot;dropping-particle&quot;:&quot;&quot;,&quot;non-dropping-particle&quot;:&quot;&quot;},{&quot;family&quot;:&quot;Isik&quot;,&quot;given&quot;:&quot;Pamir&quot;,&quot;parse-names&quot;:false,&quot;dropping-particle&quot;:&quot;&quot;,&quot;non-dropping-particle&quot;:&quot;&quot;},{&quot;family&quot;:&quot;Çulha&quot;,&quot;given&quot;:&quot;Vildan&quot;,&quot;parse-names&quot;:false,&quot;dropping-particle&quot;:&quot;&quot;,&quot;non-dropping-particle&quot;:&quot;&quot;},{&quot;family&quot;:&quot;Kacar&quot;,&quot;given&quot;:&quot;Dilek&quot;,&quot;parse-names&quot;:false,&quot;dropping-particle&quot;:&quot;&quot;,&quot;non-dropping-particle&quot;:&quot;&quot;},{&quot;family&quot;:&quot;Kara&quot;,&quot;given&quot;:&quot;Abdurrahman&quot;,&quot;parse-names&quot;:false,&quot;dropping-particle&quot;:&quot;&quot;,&quot;non-dropping-particle&quot;:&quot;&quot;},{&quot;family&quot;:&quot;Ozbek&quot;,&quot;given&quot;:&quot;Namık Yasar&quot;,&quot;parse-names&quot;:false,&quot;dropping-particle&quot;:&quot;&quot;,&quot;non-dropping-particle&quot;:&quot;&quot;},{&quot;family&quot;:&quot;Yarali&quot;,&quot;given&quot;:&quot;Nese&quot;,&quot;parse-names&quot;:false,&quot;dropping-particle&quot;:&quot;&quot;,&quot;non-dropping-particle&quot;:&quot;&quot;}],&quot;container-title&quot;:&quot;Pediatric Hematology and Oncology&quot;,&quot;container-title-short&quot;:&quot;Pediatr Hematol Oncol&quot;,&quot;DOI&quot;:&quot;10.1080/08880018.2020.1734124&quot;,&quot;ISSN&quot;:&quot;15210669&quot;,&quot;issued&quot;:{&quot;date-parts&quot;:[[2020]]},&quot;abstract&quot;:&quot;Endocrine system dysfunctions are the significant complications of excessive iron overload in beta thalassemia patients. The aim of this study was to evaluate the long-term effect of chelation with deferasirox on endocrine complications. The study group consisted of children with beta thalassemia who had been evaluated for the growth and pubertal development, bone metabolism, thyroid/parathyroid functions, glucose metabolism dysfunctions in the department of pediatric hematology of Ankara Dışkapı Child Health and Diseases Hematology Oncology Training And Research Hospital between 2009-2011 and reevaluated after deferasirox chelation therapy in 2018. Thirty-one transfusion dependent beta-thalassemia patients were enrolled for the study. Seventeen (54.8%) patients were male and the mean age was 16.9 ± 3.8 (9-23) years. Splenectomy was performed in 11 patients (35.5%). In the initial evaluation, 26 patients (84%) received deferoxamine and/or deferiprone and five (17%) patients received deferasirox as a chelator; in the final evaluation all patients were receiving deferasirox. The mean duration of deferasirox treatment was 5.9 ± 2.02 years (1-10 years). Of the 26 patients who had endocrine complications between 2009-2011, 18 were recovered. In the final evaluation, eight patients (25%) developed new endocrinopathies. The frequency of endocrine complications seen before the deferasirox treatment (83%) was higher than the frequency of complications while receiving deferasirox treatment (25.8%) (p &lt; 0,05). In this study, it was determined that both existing endocrine abnormalities were reduced and recent developed problems were less likely with long-term deferasirox treatment in thalassemia patients.&quot;,&quot;issue&quot;:&quot;6&quot;,&quot;volume&quot;:&quot;37&quot;},&quot;isTemporary&quot;:false}]},{&quot;citationID&quot;:&quot;MENDELEY_CITATION_b3d79f4c-d30e-4501-9efe-f93537a4081d&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&quot;,&quot;citationItems&quot;:[{&quot;id&quot;:&quot;342af217-7ee4-3c24-b48e-e3f6c1d8ee1b&quot;,&quot;itemData&quot;:{&quot;type&quot;:&quot;article-journal&quot;,&quot;id&quot;:&quot;342af217-7ee4-3c24-b48e-e3f6c1d8ee1b&quot;,&quot;title&quot;:&quot;High prevalence of central hypothyroidism in adult patients with β-thalassemia major.&quot;,&quot;author&quot;:[{&quot;family&quot;:&quot;Sanctis&quot;,&quot;given&quot;:&quot;V.&quot;,&quot;parse-names&quot;:false,&quot;dropping-particle&quot;:&quot;&quot;,&quot;non-dropping-particle&quot;:&quot;De&quot;},{&quot;family&quot;:&quot;Soliman&quot;,&quot;given&quot;:&quot;A.&quot;,&quot;parse-names&quot;:false,&quot;dropping-particle&quot;:&quot;&quot;,&quot;non-dropping-particle&quot;:&quot;&quot;},{&quot;family&quot;:&quot;Candini&quot;,&quot;given&quot;:&quot;G.&quot;,&quot;parse-names&quot;:false,&quot;dropping-particle&quot;:&quot;&quot;,&quot;non-dropping-particle&quot;:&quot;&quot;},{&quot;family&quot;:&quot;Campisi&quot;,&quot;given&quot;:&quot;S.&quot;,&quot;parse-names&quot;:false,&quot;dropping-particle&quot;:&quot;&quot;,&quot;non-dropping-particle&quot;:&quot;&quot;},{&quot;family&quot;:&quot;Anastasi&quot;,&quot;given&quot;:&quot;S.&quot;,&quot;parse-names&quot;:false,&quot;dropping-particle&quot;:&quot;&quot;,&quot;non-dropping-particle&quot;:&quot;&quot;},{&quot;family&quot;:&quot;Iassin&quot;,&quot;given&quot;:&quot;M.&quot;,&quot;parse-names&quot;:false,&quot;dropping-particle&quot;:&quot;&quot;,&quot;non-dropping-particle&quot;:&quot;&quot;}],&quot;container-title&quot;:&quot;Georgian medical news&quot;,&quot;container-title-short&quot;:&quot;Georgian Med News&quot;,&quot;ISSN&quot;:&quot;15120112&quot;,&quot;issued&quot;:{&quot;date-parts&quot;:[[2013]]},&quot;abstract&quot;:&quot;The commonest form of thyroid dysfunction seen in subjects with TM is primary hypothyroidism due to abnormalities of the thyroid gland. Central hypothyroidism (CH) has been reported as an uncommon clinical entity in TM patients although the anterior pituitary gland is particularly sensitive to free radical oxidative stresses. Diagnosis is usually made on a biochemical basis showing low circulating concentrations of thyroid hormone associated with an inappropriately low TSH levels. The diagnosis is not clinically obvious and a basal normal TSH level does not exclude the diagnosis of CH. Therefore, it is important that clinicians accurately interpret thyroid function tests. In TM patients, CH prevalence differs at different ages is unknown and it is not easy to diagnose because most of the symptoms of symptoms of CH are non specific and are frequently attributed to anaemia or other associated complications . We performed a cross-sectional analysis on a large database using the clinical records of our TM patients to explore the prevalence of CH in prepubertal (&lt;11 years: 25 patients; 13 males) peripubertal (between 11 and 16 years: 9 patients; 3 males), and pubertal TM subjects (&gt;16 years: 305 patients; 164 males). Central hypothyroidism was present in 26 (7,6%) TM patients. Their mean age was 29.9 ± 8.4 years, 14 (53.8%) were males and 12 (46.1%) were females. The prevalence of CH was 6% in patients with a chronological age below 21 years and 7.9% in those above 21 years. Clinicians should be alert for the diagnosis of CH through accurate interpretation of thyroid function tests. We recommend L-thyroxine therapy if the level of FT4 is consistently low provided that the patient has normal cortisol levels.&quot;,&quot;issue&quot;:&quot;222&quot;},&quot;isTemporary&quot;:false}]},{&quot;citationID&quot;:&quot;MENDELEY_CITATION_0133acc4-8180-4a14-9bff-75f4ec1be8c1&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&quot;,&quot;citationItems&quot;:[{&quot;id&quot;:&quot;b509e7d3-052d-3c71-bc33-a09b29db7397&quot;,&quot;itemData&quot;:{&quot;type&quot;:&quot;article-journal&quot;,&quot;id&quot;:&quot;b509e7d3-052d-3c71-bc33-a09b29db7397&quot;,&quot;title&quot;:&quot;Hypothyroidism&quot;,&quot;author&quot;:[{&quot;family&quot;:&quot;Chaker&quot;,&quot;given&quot;:&quot;Layal&quot;,&quot;parse-names&quot;:false,&quot;dropping-particle&quot;:&quot;&quot;,&quot;non-dropping-particle&quot;:&quot;&quot;},{&quot;family&quot;:&quot;Bianco&quot;,&quot;given&quot;:&quot;Antonio C.&quot;,&quot;parse-names&quot;:false,&quot;dropping-particle&quot;:&quot;&quot;,&quot;non-dropping-particle&quot;:&quot;&quot;},{&quot;family&quot;:&quot;Jonklaas&quot;,&quot;given&quot;:&quot;Jacqueline&quot;,&quot;parse-names&quot;:false,&quot;dropping-particle&quot;:&quot;&quot;,&quot;non-dropping-particle&quot;:&quot;&quot;},{&quot;family&quot;:&quot;Peeters&quot;,&quot;given&quot;:&quot;Robin P.&quot;,&quot;parse-names&quot;:false,&quot;dropping-particle&quot;:&quot;&quot;,&quot;non-dropping-particle&quot;:&quot;&quot;}],&quot;container-title&quot;:&quot;Lancet (London, England)&quot;,&quot;container-title-short&quot;:&quot;Lancet&quot;,&quot;accessed&quot;:{&quot;date-parts&quot;:[[2024,12,2]]},&quot;DOI&quot;:&quot;10.1016/S0140-6736(17)30703-1&quot;,&quot;ISSN&quot;:&quot;1474-547X&quot;,&quot;PMID&quot;:&quot;28336049&quot;,&quot;URL&quot;:&quot;https://pubmed.ncbi.nlm.nih.gov/28336049/&quot;,&quot;issued&quot;:{&quot;date-parts&quot;:[[2017,9,23]]},&quot;page&quot;:&quot;1550-1562&quot;,&quot;abstract&quot;:&quot;Hypothyroidism is a common condition of thyroid hormone deficiency, which is readily diagnosed and managed but potentially fatal in severe cases if untreated. The definition of hypothyroidism is based on statistical reference ranges of the relevant biochemical parameters and is increasingly a matter of debate. Clinical manifestations of hypothyroidism range from life threatening to no signs or symptoms. The most common symptoms in adults are fatigue, lethargy, cold intolerance, weight gain, constipation, change in voice, and dry skin, but clinical presentation can differ with age and sex, among other factors. The standard treatment is thyroid hormone replacement therapy with levothyroxine. However, a substantial proportion of patients who reach biochemical treatment targets have persistent complaints. In this Seminar, we discuss the epidemiology, causes, and symptoms of hypothyroidism; summarise evidence on diagnosis, long-term risk, treatment, and management; and highlight future directions for research.&quot;,&quot;publisher&quot;:&quot;Lancet&quot;,&quot;issue&quot;:&quot;10101&quot;,&quot;volume&quot;:&quot;390&quot;},&quot;isTemporary&quot;:false}]},{&quot;citationID&quot;:&quot;MENDELEY_CITATION_15121fca-43a8-4db4-b764-6f20ef7dbb1b&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&quot;,&quot;citationItems&quot;:[{&quot;id&quot;:&quot;4a842254-21a6-3593-8684-adbff4e6a56c&quot;,&quot;itemData&quot;:{&quot;type&quot;:&quot;article-journal&quot;,&quot;id&quot;:&quot;4a842254-21a6-3593-8684-adbff4e6a56c&quot;,&quot;title&quot;:&quot;Prevalence of endocrine disorders and their associated factors in transfusion-dependent thalassemia patients: a historical cohort study in Southern Iran&quot;,&quot;author&quot;:[{&quot;family&quot;:&quot;Bordbar&quot;,&quot;given&quot;:&quot;M.&quot;,&quot;parse-names&quot;:false,&quot;dropping-particle&quot;:&quot;&quot;,&quot;non-dropping-particle&quot;:&quot;&quot;},{&quot;family&quot;:&quot;Bozorgi&quot;,&quot;given&quot;:&quot;H.&quot;,&quot;parse-names&quot;:false,&quot;dropping-particle&quot;:&quot;&quot;,&quot;non-dropping-particle&quot;:&quot;&quot;},{&quot;family&quot;:&quot;Saki&quot;,&quot;given&quot;:&quot;F.&quot;,&quot;parse-names&quot;:false,&quot;dropping-particle&quot;:&quot;&quot;,&quot;non-dropping-particle&quot;:&quot;&quot;},{&quot;family&quot;:&quot;Haghpanah&quot;,&quot;given&quot;:&quot;S.&quot;,&quot;parse-names&quot;:false,&quot;dropping-particle&quot;:&quot;&quot;,&quot;non-dropping-particle&quot;:&quot;&quot;},{&quot;family&quot;:&quot;Karimi&quot;,&quot;given&quot;:&quot;M.&quot;,&quot;parse-names&quot;:false,&quot;dropping-particle&quot;:&quot;&quot;,&quot;non-dropping-particle&quot;:&quot;&quot;},{&quot;family&quot;:&quot;Bazrafshan&quot;,&quot;given&quot;:&quot;A.&quot;,&quot;parse-names&quot;:false,&quot;dropping-particle&quot;:&quot;&quot;,&quot;non-dropping-particle&quot;:&quot;&quot;},{&quot;family&quot;:&quot;Zekavat&quot;,&quot;given&quot;:&quot;O. R.&quot;,&quot;parse-names&quot;:false,&quot;dropping-particle&quot;:&quot;&quot;,&quot;non-dropping-particle&quot;:&quot;&quot;}],&quot;container-title&quot;:&quot;Journal of Endocrinological Investigation&quot;,&quot;container-title-short&quot;:&quot;J Endocrinol Invest&quot;,&quot;DOI&quot;:&quot;10.1007/s40618-019-01072-z&quot;,&quot;ISSN&quot;:&quot;17208386&quot;,&quot;issued&quot;:{&quot;date-parts&quot;:[[2019]]},&quot;abstract&quot;:&quot;Purpose: Transfusion-dependent beta-thalassemia (TDT) patients suffer from various endocrinopathies. The main contributing factor associated with these complications is iron overload, secondary to frequent blood transfusions. To improve patients’ quality of life, we evaluated the prevalence of endocrine disorders while considering the associated factors for further assessment. Methods: Seven hundred thirteen transfusion-dependent thalassemia patients with age range 10–62 years were enrolled in this study. Serum calcium, phosphorous, fast blood sugar, ferritin, 25-OH vitamin D, free thyroxin, thyroid-stimulating hormone and parathyroid hormone were assessed. Bone mineral density was measured by dual-energy X-ray absorptiometry. Results: In total, 86.8% of the TDT patients suffered from at least one endocrinopathy. The prevalence of endocrinopathies in descending order of frequency was low bone mass (72.6%), hypogonadism (44.5%), diabetes mellitus (15.9%), hypoparathyroidism (13.2%), and hypothyroidism (10.7%). Age, body mass index and splenectomy were significantly associated with most of the endocrine disorders. Conclusion: Endocrine complications are frequently observed in TDT patients. Splenectomy is a major risk factor and should be generally avoided unless it is highly indicated. Periodic surveillance of endocrine function and proper management of iron overload are advised.&quot;,&quot;issue&quot;:&quot;12&quot;,&quot;volume&quot;:&quot;42&quot;},&quot;isTemporary&quot;:false}]},{&quot;citationID&quot;:&quot;MENDELEY_CITATION_c1e9561a-0f15-499b-82e2-b9cd1e4742ea&quot;,&quot;properties&quot;:{&quot;noteIndex&quot;:0},&quot;isEdited&quot;:false,&quot;manualOverride&quot;:{&quot;isManuallyOverridden&quot;:false,&quot;citeprocText&quot;:&quot;&lt;sup&gt;8–10&lt;/sup&gt;&quot;,&quot;manualOverrideText&quot;:&quot;&quot;},&quot;citationTag&quot;:&quot;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&quot;,&quot;citationItems&quot;:[{&quot;id&quot;:&quot;d7559b47-f159-3afd-8277-d59e1f011f37&quot;,&quot;itemData&quot;:{&quot;type&quot;:&quot;article-journal&quot;,&quot;id&quot;:&quot;d7559b47-f159-3afd-8277-d59e1f011f37&quot;,&quot;title&quot;:&quot;Some aspects of thyroid dysfunction in thalassemia major patients with severe iron overload&quot;,&quot;author&quot;:[{&quot;family&quot;:&quot;Rindang&quot;,&quot;given&quot;:&quot;Cynthia&quot;,&quot;parse-names&quot;:false,&quot;dropping-particle&quot;:&quot;&quot;,&quot;non-dropping-particle&quot;:&quot;&quot;},{&quot;family&quot;:&quot;Batubara&quot;,&quot;given&quot;:&quot;Jose R. L.&quot;,&quot;parse-names&quot;:false,&quot;dropping-particle&quot;:&quot;&quot;,&quot;non-dropping-particle&quot;:&quot;&quot;},{&quot;family&quot;:&quot;Amalia&quot;,&quot;given&quot;:&quot;Pustika&quot;,&quot;parse-names&quot;:false,&quot;dropping-particle&quot;:&quot;&quot;,&quot;non-dropping-particle&quot;:&quot;&quot;},{&quot;family&quot;:&quot;Satari&quot;,&quot;given&quot;:&quot;Hindra&quot;,&quot;parse-names&quot;:false,&quot;dropping-particle&quot;:&quot;&quot;,&quot;non-dropping-particle&quot;:&quot;&quot;}],&quot;container-title&quot;:&quot;Paediatrica Indonesiana&quot;,&quot;container-title-short&quot;:&quot;Paediatr Indones&quot;,&quot;DOI&quot;:&quot;10.14238/pi51.2.2011.66-72&quot;,&quot;ISSN&quot;:&quot;0030-9311&quot;,&quot;issued&quot;:{&quot;date-parts&quot;:[[2011]]},&quot;abstract&quot;:&quot;Background Severe iron overload due to recurrent transfusions for chronic anemia and inadequate iron chelation therapy in thalassemia major patients result in various complications, including hypothyroidism. Currently, there has been no data on the prevalence of hypothyroidism in thalassemia major patients at the Thalassemia Centers, Department of Child Health, CiptoMangunkusumo Hospital (DCH CMH).Objective To study the prevalence of primary hypothyroidism in thalassemia major patients in the Thalassemia Center, DCH MCH.Methods We performed a cross-sectional, descriptive study. All thalassemia major subjects aged O􀁬18 years with severe iron overload underwent thyroid functionexamination. Primary hypothyroidism was defined as either normal (compensated) or decreased (decompensated) free T4 (FT4) levels, along with elevated sensitive thyroid􀁬stimulatinghonnone (TSH)levels. Results 179 subjects enrolled this study Mth male: female ratio of 1: 1.6. The prevalence of primary hypothyroidism in thalassemia majorpatients Mth severe iron overloadws26.8% (48/179). Of those 48,45 had compensated hypothyroidism and 3 had decompensated hypothyroidism, 25.1% and 1.7% of the total subjects, respectively. Compensated hypothyroidism was observed in 17 subjects aged ≤1O years and in 28 subjects aged&gt; 10 years. All 3 decompensated hypothyroidism cases were&gt; 10 years of age. No relationship was found between the occurrence of primary hypothyroidism and mean pre-tr811sfusion Hb levels (P=0.481, OR 1.30; 95% CI 0.63 to 2.68), elevated serum ferritin levels (P=0.74, OR 0.89; 95% CI 0.46 to 1.75), and compliance to iron chelation therapy (P=0.570, OR 0.76; 95% CI 035 to 1.65). Based on multivariate analysis, only age of &lt;10 year-old (P=O.029, OR 0.469; 95% CI 0.23 to 0.93) was significantly associated Mth primary hypJthyroidism. Further analysis using receiver operator curve (ROC) technique found that age of 8.5 year-old was the cutoff value to predict the risk of hypothyroidism. Conclusion The prevalence of primary hypothyroidism in our study is high. The occurrence of hypothyroidism is associated with age.&quot;,&quot;issue&quot;:&quot;2&quot;,&quot;volume&quot;:&quot;51&quot;},&quot;isTemporary&quot;:false},{&quot;id&quot;:&quot;1901da64-a121-3cc1-a292-2b1dba1fdba7&quot;,&quot;itemData&quot;:{&quot;type&quot;:&quot;article-journal&quot;,&quot;id&quot;:&quot;1901da64-a121-3cc1-a292-2b1dba1fdba7&quot;,&quot;title&quot;:&quot;Evaluation of the efficacy and safety of deferiprone compared with deferasirox in paediatric patients with transfusion-dependent haemoglobinopathies (DEEP-2): a multicentre, randomised, open-label, non-inferiority, phase 3 trial&quot;,&quot;author&quot;:[{&quot;family&quot;:&quot;Maggio&quot;,&quot;given&quot;:&quot;Aurelio&quot;,&quot;parse-names&quot;:false,&quot;dropping-particle&quot;:&quot;&quot;,&quot;non-dropping-particle&quot;:&quot;&quot;},{&quot;family&quot;:&quot;Kattamis&quot;,&quot;given&quot;:&quot;Antonis&quot;,&quot;parse-names&quot;:false,&quot;dropping-particle&quot;:&quot;&quot;,&quot;non-dropping-particle&quot;:&quot;&quot;},{&quot;family&quot;:&quot;Felisi&quot;,&quot;given&quot;:&quot;Mariagrazia&quot;,&quot;parse-names&quot;:false,&quot;dropping-particle&quot;:&quot;&quot;,&quot;non-dropping-particle&quot;:&quot;&quot;},{&quot;family&quot;:&quot;Reggiardo&quot;,&quot;given&quot;:&quot;Giorgio&quot;,&quot;parse-names&quot;:false,&quot;dropping-particle&quot;:&quot;&quot;,&quot;non-dropping-particle&quot;:&quot;&quot;},{&quot;family&quot;:&quot;El-Beshlawy&quot;,&quot;given&quot;:&quot;Amal&quot;,&quot;parse-names&quot;:false,&quot;dropping-particle&quot;:&quot;&quot;,&quot;non-dropping-particle&quot;:&quot;&quot;},{&quot;family&quot;:&quot;Bejaoui&quot;,&quot;given&quot;:&quot;Mohamed&quot;,&quot;parse-names&quot;:false,&quot;dropping-particle&quot;:&quot;&quot;,&quot;non-dropping-particle&quot;:&quot;&quot;},{&quot;family&quot;:&quot;Sherief&quot;,&quot;given&quot;:&quot;Laila&quot;,&quot;parse-names&quot;:false,&quot;dropping-particle&quot;:&quot;&quot;,&quot;non-dropping-particle&quot;:&quot;&quot;},{&quot;family&quot;:&quot;Christou&quot;,&quot;given&quot;:&quot;Soteroula&quot;,&quot;parse-names&quot;:false,&quot;dropping-particle&quot;:&quot;&quot;,&quot;non-dropping-particle&quot;:&quot;&quot;},{&quot;family&quot;:&quot;Cosmi&quot;,&quot;given&quot;:&quot;Carlo&quot;,&quot;parse-names&quot;:false,&quot;dropping-particle&quot;:&quot;&quot;,&quot;non-dropping-particle&quot;:&quot;&quot;},{&quot;family&quot;:&quot;Pasqua&quot;,&quot;given&quot;:&quot;Oscar&quot;,&quot;parse-names&quot;:false,&quot;dropping-particle&quot;:&quot;&quot;,&quot;non-dropping-particle&quot;:&quot;Della&quot;},{&quot;family&quot;:&quot;Vecchio&quot;,&quot;given&quot;:&quot;Giovanni Carlo&quot;,&quot;parse-names&quot;:false,&quot;dropping-particle&quot;:&quot;&quot;,&quot;non-dropping-particle&quot;:&quot;Del&quot;},{&quot;family&quot;:&quot;Filosa&quot;,&quot;given&quot;:&quot;Aldo&quot;,&quot;parse-names&quot;:false,&quot;dropping-particle&quot;:&quot;&quot;,&quot;non-dropping-particle&quot;:&quot;&quot;},{&quot;family&quot;:&quot;Cuccia&quot;,&quot;given&quot;:&quot;Liana&quot;,&quot;parse-names&quot;:false,&quot;dropping-particle&quot;:&quot;&quot;,&quot;non-dropping-particle&quot;:&quot;&quot;},{&quot;family&quot;:&quot;Hassab&quot;,&quot;given&quot;:&quot;Hoda&quot;,&quot;parse-names&quot;:false,&quot;dropping-particle&quot;:&quot;&quot;,&quot;non-dropping-particle&quot;:&quot;&quot;},{&quot;family&quot;:&quot;Kreka&quot;,&quot;given&quot;:&quot;Manika&quot;,&quot;parse-names&quot;:false,&quot;dropping-particle&quot;:&quot;&quot;,&quot;non-dropping-particle&quot;:&quot;&quot;},{&quot;family&quot;:&quot;Origa&quot;,&quot;given&quot;:&quot;Raffaella&quot;,&quot;parse-names&quot;:false,&quot;dropping-particle&quot;:&quot;&quot;,&quot;non-dropping-particle&quot;:&quot;&quot;},{&quot;family&quot;:&quot;Putti&quot;,&quot;given&quot;:&quot;Maria Caterina&quot;,&quot;parse-names&quot;:false,&quot;dropping-particle&quot;:&quot;&quot;,&quot;non-dropping-particle&quot;:&quot;&quot;},{&quot;family&quot;:&quot;Spino&quot;,&quot;given&quot;:&quot;Michael&quot;,&quot;parse-names&quot;:false,&quot;dropping-particle&quot;:&quot;&quot;,&quot;non-dropping-particle&quot;:&quot;&quot;},{&quot;family&quot;:&quot;Telfer&quot;,&quot;given&quot;:&quot;Paul&quot;,&quot;parse-names&quot;:false,&quot;dropping-particle&quot;:&quot;&quot;,&quot;non-dropping-particle&quot;:&quot;&quot;},{&quot;family&quot;:&quot;Tempesta&quot;,&quot;given&quot;:&quot;Bianca&quot;,&quot;parse-names&quot;:false,&quot;dropping-particle&quot;:&quot;&quot;,&quot;non-dropping-particle&quot;:&quot;&quot;},{&quot;family&quot;:&quot;Vitrano&quot;,&quot;given&quot;:&quot;Angela&quot;,&quot;parse-names&quot;:false,&quot;dropping-particle&quot;:&quot;&quot;,&quot;non-dropping-particle&quot;:&quot;&quot;},{&quot;family&quot;:&quot;Tsang&quot;,&quot;given&quot;:&quot;Yu Chung&quot;,&quot;parse-names&quot;:false,&quot;dropping-particle&quot;:&quot;&quot;,&quot;non-dropping-particle&quot;:&quot;&quot;},{&quot;family&quot;:&quot;Zaka&quot;,&quot;given&quot;:&quot;Ariana&quot;,&quot;parse-names&quot;:false,&quot;dropping-particle&quot;:&quot;&quot;,&quot;non-dropping-particle&quot;:&quot;&quot;},{&quot;family&quot;:&quot;Tricta&quot;,&quot;given&quot;:&quot;Fernando&quot;,&quot;parse-names&quot;:false,&quot;dropping-particle&quot;:&quot;&quot;,&quot;non-dropping-particle&quot;:&quot;&quot;},{&quot;family&quot;:&quot;Bonifazi&quot;,&quot;given&quot;:&quot;Donato&quot;,&quot;parse-names&quot;:false,&quot;dropping-particle&quot;:&quot;&quot;,&quot;non-dropping-particle&quot;:&quot;&quot;},{&quot;family&quot;:&quot;Ceci&quot;,&quot;given&quot;:&quot;Adriana&quot;,&quot;parse-names&quot;:false,&quot;dropping-particle&quot;:&quot;&quot;,&quot;non-dropping-particle&quot;:&quot;&quot;}],&quot;container-title&quot;:&quot;The Lancet Haematology&quot;,&quot;container-title-short&quot;:&quot;Lancet Haematol&quot;,&quot;DOI&quot;:&quot;10.1016/S2352-3026(20)30100-9&quot;,&quot;ISSN&quot;:&quot;23523026&quot;,&quot;issued&quot;:{&quot;date-parts&quot;:[[2020]]},&quot;abstract&quot;:&quot;Background: Transfusion-dependent haemoglobinopathies require lifelong iron chelation therapy with one of the three iron chelators (deferiprone, deferasirox, or deferoxamine). Deferasirox and deferiprone are the only two oral chelators used in adult patients with transfusion-dependent haemoglobinopathies. To our knowledge, there are no randomised clinical trials comparing deferiprone, a less expensive iron chelator, with deferasirox in paediatric patients. We aimed to show the non-inferiority of deferiprone versus deferasirox. Methods: DEEP-2 was a phase 3, multicentre, randomised trial in paediatric patients (aged 1 month to 18 years) with transfusion-dependent haemoglobinopathies. The study was done in 21 research hospitals and universities in Italy, Egypt, Greece, Albania, Cyprus, Tunisia, and the UK. Participants were receiving at least 150 mL/kg per year of red blood cells for the past 2 years at the time of enrolment, and were receiving deferoxamine (&lt;100 mg/kg per day) or deferasirox (&lt;40 mg/kg per day; deferasirox is not registered for use in children aged &lt;2 years so only deferoxamine was being used in these patients). Any previous chelation treatment was permitted with a 7-day washout period. Patients were randomly assigned 1:1 to receive orally administered daily deferiprone (75–100 mg/kg per day) or daily deferasirox (20–40 mg/kg per day) administered as dispersible tablets, both with dose adjustment for 12 months, stratified by age (&lt;10 years and ≥10 years) and balanced by country. The primary efficacy endpoint was based on predefined success criteria for changes in serum ferritin concentration (all patients) and cardiac MRI T2-star (T2*; patients aged &gt;10 years) to show non-inferiority of deferiprone versus deferasirox in the per-protocol population, defined as all randomly assigned patients who received the study drugs and had available data for both variables at baseline and after 1 year of treatment, without major protocol violations. Non-inferiority was based on the two-sided 95% CI of the difference in the proportion of patients with treatment success between the two groups and was shown if the lower limit of the two-sided 95% CI was greater than −12·5%. Safety was assessed in all patients who received at least one dose of study drug. This study is registered with EudraCT, 2012-000353-31, and ClinicalTrials.gov, NCT01825512. Findings: 435 patients were enrolled between March 17, 2014, and June 16, 2016, 393 of whom were randomly assigned to a treatment group (194 to the deferiprone group; 199 to the deferasirox group). 352 (90%) of 390 patients had β-thalassaemia major, 27 (7%) had sickle cell disease, five (1%) had thalassodrepanocytosis, and six (2%) had other haemoglobinopathies. Median follow-up was 379 days (IQR 294–392) for deferiprone and 381 days (350–392) for deferasirox. Non-inferiority of deferiprone versus deferasirox was established (treatment success in 69 [55·2%] of 125 patients assigned deferiprone with primary composite efficacy endpoint data available at baseline and 1 year vs 80 [54·8%] of 146 assigned deferasirox, difference 0·4%; 95% CI −11·9 to 12·6). No significant difference between the groups was shown in the occurrence of serious and drug-related adverse events. Three (2%) cases of reversible agranulocytosis occurred in the 193 patients in the safety analysis in the deferiprone group and two (1%) cases of reversible renal and urinary disorders (one case of each) occurred in the 197 patients in the deferasirox group. Compliance was similar between treatment groups: 183 (95%) of 193 patients in the deferiprone group versus 192 (97%) of 197 patients in the deferisirox group. Interpretation: In paediatric patients with transfusion-dependent haemoglobinopathies, deferiprone was effective and safe in inducing control of iron overload during 12 months of treatment. Considering the need for availability of more chelation treatments in paediatric populations, deferiprone offers a valuable treatment option for this age group. Funding: EU Seventh Framework Programme.&quot;,&quot;issue&quot;:&quot;6&quot;,&quot;volume&quot;:&quot;7&quot;},&quot;isTemporary&quot;:false},{&quot;id&quot;:&quot;dd725a1a-6c50-35ca-967a-62c21f7bf641&quot;,&quot;itemData&quot;:{&quot;type&quot;:&quot;article-journal&quot;,&quot;id&quot;:&quot;dd725a1a-6c50-35ca-967a-62c21f7bf641&quot;,&quot;title&quot;:&quot;Hubungan Kadar Ferritin Serum dengan Fungsi Tiroid pada Anak dengan Thalassemia beta Mayor&quot;,&quot;author&quot;:[{&quot;family&quot;:&quot;Gaya&quot;,&quot;given&quot;:&quot;Melisha Lisman&quot;,&quot;parse-names&quot;:false,&quot;dropping-particle&quot;:&quot;&quot;,&quot;non-dropping-particle&quot;:&quot;&quot;},{&quot;family&quot;:&quot;Rini&quot;,&quot;given&quot;:&quot;Eka Agustia&quot;,&quot;parse-names&quot;:false,&quot;dropping-particle&quot;:&quot;&quot;,&quot;non-dropping-particle&quot;:&quot;&quot;},{&quot;family&quot;:&quot;Izzah&quot;,&quot;given&quot;:&quot;Amirah Zatil&quot;,&quot;parse-names&quot;:false,&quot;dropping-particle&quot;:&quot;&quot;,&quot;non-dropping-particle&quot;:&quot;&quot;}],&quot;container-title&quot;:&quot;Sari Pediatri&quot;,&quot;DOI&quot;:&quot;10.14238/sp25.1.2023.27-31&quot;,&quot;ISSN&quot;:&quot;0854-7823&quot;,&quot;issued&quot;:{&quot;date-parts&quot;:[[2023]]},&quot;abstract&quot;:&quot;Latar belakang. Thalassemia beta mayor merupakan penyakit yang ditandai dengan anemia kronik, hipoksia kronik jaringan, dan pemberian transfusi darah seumur hidup. Penumpukan besi akibat pemberian transfusi berulang berefek toksik pada berbagai organ, termasuk kelenjar tiroid.Tujuan. Mengetahui hubungan antara kelebihan beban besi dengan kejadian hipotiroid pada anak yang menderita thalassemia beta mayor.Metode. Penelitian cross-sectional terhadap 43 subjek dengan thalassemia beta mayor dan mendapat transfusi darah rutin pada periode April 2018-Februari 2019. Subjek dipilih secara total sampling dan dikelompokkan berdasarkan kadar ferritin serum &lt;2500 µg/L dan &gt;2500 µg/L. Hasil kadar tiroksin dan thyroid stimulating hormone dikelompokkan menjadi eutiroid dan hipotiroid. Hasil analisis statistik bermakna bila p&lt;0,05.Hasil. Kadar ferritin serum &lt;2500 µg/L dan &gt;2500 µg/L terdapat pada masing-masing 19 (44,2%) dan 24 (55,8%) subjek. Hipotiroid terjadi pada 13 (38,1%) subjek dengan kadar ferritin &gt;2500 ?g/L dan delapan (38,1%) subjek dengan kadar ferritin &lt;2500 µg/L. Tidak ditemukan hubungan bermakna antara ferritin serum dengan fungsi tiroid pada subjek (p=0,432).Kesimpulan. Persentase hipotiroid meningkat seiring peningkatan kadar ferritin serum, tetapi tidak terdapat hubungan bermakna antara kadar ferritin serum dengan fungsi tiroid pada anak dengan thalassemia beta mayor. &quot;,&quot;issue&quot;:&quot;1&quot;,&quot;volume&quot;:&quot;25&quot;,&quot;container-title-short&quot;:&quot;&quot;},&quot;isTemporary&quot;:false}]},{&quot;citationID&quot;:&quot;MENDELEY_CITATION_4c427863-eb9b-4bc2-b811-aaad0b8d9425&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&quot;,&quot;citationItems&quot;:[{&quot;id&quot;:&quot;dfc5a081-aa49-310b-b4ec-e57a1db770f8&quot;,&quot;itemData&quot;:{&quot;type&quot;:&quot;article&quot;,&quot;id&quot;:&quot;dfc5a081-aa49-310b-b4ec-e57a1db770f8&quot;,&quot;title&quot;:&quot;The impact of chelation compliance in health outcome and health related quality of life in thalassaemia patients: a systematic review&quot;,&quot;author&quot;:[{&quot;family&quot;:&quot;Lee&quot;,&quot;given&quot;:&quot;Wan Jin&quot;,&quot;parse-names&quot;:false,&quot;dropping-particle&quot;:&quot;&quot;,&quot;non-dropping-particle&quot;:&quot;&quot;},{&quot;family&quot;:&quot;Mohd Tahir&quot;,&quot;given&quot;:&quot;Nurul Ain&quot;,&quot;parse-names&quot;:false,&quot;dropping-particle&quot;:&quot;&quot;,&quot;non-dropping-particle&quot;:&quot;&quot;},{&quot;family&quot;:&quot;Chun&quot;,&quot;given&quot;:&quot;Geok Ying&quot;,&quot;parse-names&quot;:false,&quot;dropping-particle&quot;:&quot;&quot;,&quot;non-dropping-particle&quot;:&quot;&quot;},{&quot;family&quot;:&quot;Li&quot;,&quot;given&quot;:&quot;Shu Chuen&quot;,&quot;parse-names&quot;:false,&quot;dropping-particle&quot;:&quot;&quot;,&quot;non-dropping-particle&quot;:&quot;&quot;}],&quot;container-title&quot;:&quot;Health and Quality of Life Outcomes&quot;,&quot;container-title-short&quot;:&quot;Health Qual Life Outcomes&quot;,&quot;DOI&quot;:&quot;10.1186/s12955-023-02221-y&quot;,&quot;ISSN&quot;:&quot;14777525&quot;,&quot;issued&quot;:{&quot;date-parts&quot;:[[2024]]},&quot;abstract&quot;:&quot;Understanding consequences of poor chelation compliance is crucial given the enormous burden of post-transfusional iron overload complications. We systematically reviewed iron-chelation therapy (ICT) compliance, and the relationship between compliance with health outcome and health-related quality of life (HRQoL) in thalassaemia patients. Several reviewers performed systematic search strategy of literature through PubMed, Scopus, and EBSCOhost. The preferred reporting items of systematic reviews and meta-analyses (PRISMA) guidelines were followed. Of 4917 studies, 20 publications were included. The ICT compliance rate ranges from 20.93 to 75.3%. It also varied per agent, ranging from 48.84 to 85.1% for desferioxamine, 87.2–92.2% for deferiprone and 90–100% for deferasirox. Majority of studies (N = 10/11, 90.91%) demonstrated significantly negative correlation between compliance and serum ferritin, while numerous studies revealed poor ICT compliance linked with increased risk of liver disease (N = 4/7, 57.14%) and cardiac disease (N = 6/8, 75%), endocrinologic morbidity (N = 4/5, 90%), and lower HRQoL (N = 4/6, 66.67%). Inadequate compliance to ICT therapy is common. Higher compliance is correlated with lower serum ferritin, lower risk of complications, and higher HRQoL. These findings should be interpreted with caution given the few numbers of evidence.&quot;,&quot;issue&quot;:&quot;1&quot;,&quot;volume&quot;:&quot;22&quot;},&quot;isTemporary&quot;:false}]},{&quot;citationID&quot;:&quot;MENDELEY_CITATION_31b713b5-64af-4322-b08d-d55b54e8e8d4&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&quot;,&quot;citationItems&quot;:[{&quot;id&quot;:&quot;93bf07e8-beb6-3ff2-b95c-4774930b6647&quot;,&quot;itemData&quot;:{&quot;type&quot;:&quot;article-journal&quot;,&quot;id&quot;:&quot;93bf07e8-beb6-3ff2-b95c-4774930b6647&quot;,&quot;title&quot;:&quot;Compliance with Deferoxamine Therapy and Thyroid Dysfunction of Patients with β-Thalassemia Major in Syria&quot;,&quot;author&quot;:[{&quot;family&quot;:&quot;Yassouf&quot;,&quot;given&quot;:&quot;M. Yousuf&quot;,&quot;parse-names&quot;:false,&quot;dropping-particle&quot;:&quot;&quot;,&quot;non-dropping-particle&quot;:&quot;&quot;},{&quot;family&quot;:&quot;Alquobaili&quot;,&quot;given&quot;:&quot;Faizeh&quot;,&quot;parse-names&quot;:false,&quot;dropping-particle&quot;:&quot;&quot;,&quot;non-dropping-particle&quot;:&quot;&quot;},{&quot;family&quot;:&quot;Kabalan&quot;,&quot;given&quot;:&quot;Younes&quot;,&quot;parse-names&quot;:false,&quot;dropping-particle&quot;:&quot;&quot;,&quot;non-dropping-particle&quot;:&quot;&quot;},{&quot;family&quot;:&quot;Mukhalalaty&quot;,&quot;given&quot;:&quot;Yasser&quot;,&quot;parse-names&quot;:false,&quot;dropping-particle&quot;:&quot;&quot;,&quot;non-dropping-particle&quot;:&quot;&quot;}],&quot;container-title&quot;:&quot;Hemoglobin&quot;,&quot;container-title-short&quot;:&quot;Hemoglobin&quot;,&quot;DOI&quot;:&quot;10.1080/03630269.2019.1639517&quot;,&quot;ISSN&quot;:&quot;1532432X&quot;,&quot;issued&quot;:{&quot;date-parts&quot;:[[2019]]},&quot;abstract&quot;:&quot;Hypothyroidism is one of the common endocrine complications described in patients with β-thalassemia major (β-TM). Studies have reported its incidence and severity depending on the region, quality of management and treatment protocols. The reported thyroid dysfunction includes overt hypothyroidism, subclinical hypothyroidism and rarely, central hypothyroidism. The main aims of this study were to identify the incidence of hypothyroidism in 82 patients with β-TM in Syria, and also to evaluate the effect of compliance with deferoxamine (DFO) therapy on the patients’ thyroid function. Out of the 82 patients included in this study, 24 had subclinical hypothyroidism (29.27%) and one patient had overt hypothyroidism (1.22%). It was demonstrated by this study that noncompliance with DFO therapy increases the risk of thyroid dysfunction 6.38-times compared to compliance with DFO [risk ratio (RR) = 6.385; 95% confidence interval (95% CI) 2.40-16.95)]. These results emphasize the importance of compliance with chelation therapy to minimize the burden of thyropathy on patients’ quality of life, and also augment the rationale for a routine follow-up and endocrine evaluation for early detection and management of these complications.&quot;,&quot;issue&quot;:&quot;3&quot;,&quot;volume&quot;:&quot;43&quot;},&quot;isTemporary&quot;:false}]},{&quot;citationID&quot;:&quot;MENDELEY_CITATION_ae45a460-d02c-4203-a681-9b51401409e2&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&quot;,&quot;citationItems&quot;:[{&quot;id&quot;:&quot;27bf7693-c20f-3366-ba6e-4eb9d350f1a0&quot;,&quot;itemData&quot;:{&quot;type&quot;:&quot;article-journal&quot;,&quot;id&quot;:&quot;27bf7693-c20f-3366-ba6e-4eb9d350f1a0&quot;,&quot;title&quot;:&quot;Complications in patients with transfusion dependent thalassemia: A descriptive cross-sectional study&quot;,&quot;author&quot;:[{&quot;family&quot;:&quot;Faranoush&quot;,&quot;given&quot;:&quot;Mohammad&quot;,&quot;parse-names&quot;:false,&quot;dropping-particle&quot;:&quot;&quot;,&quot;non-dropping-particle&quot;:&quot;&quot;},{&quot;family&quot;:&quot;Faranoush&quot;,&quot;given&quot;:&quot;Pooya&quot;,&quot;parse-names&quot;:false,&quot;dropping-particle&quot;:&quot;&quot;,&quot;non-dropping-particle&quot;:&quot;&quot;},{&quot;family&quot;:&quot;Heydari&quot;,&quot;given&quot;:&quot;Iraj&quot;,&quot;parse-names&quot;:false,&quot;dropping-particle&quot;:&quot;&quot;,&quot;non-dropping-particle&quot;:&quot;&quot;},{&quot;family&quot;:&quot;Foroughi-Gilvaee&quot;,&quot;given&quot;:&quot;Mohammad Reza&quot;,&quot;parse-names&quot;:false,&quot;dropping-particle&quot;:&quot;&quot;,&quot;non-dropping-particle&quot;:&quot;&quot;},{&quot;family&quot;:&quot;Azarkeivan&quot;,&quot;given&quot;:&quot;Azita&quot;,&quot;parse-names&quot;:false,&quot;dropping-particle&quot;:&quot;&quot;,&quot;non-dropping-particle&quot;:&quot;&quot;},{&quot;family&quot;:&quot;Parsai Kia&quot;,&quot;given&quot;:&quot;Ali&quot;,&quot;parse-names&quot;:false,&quot;dropping-particle&quot;:&quot;&quot;,&quot;non-dropping-particle&quot;:&quot;&quot;},{&quot;family&quot;:&quot;Sadighnia&quot;,&quot;given&quot;:&quot;Negin&quot;,&quot;parse-names&quot;:false,&quot;dropping-particle&quot;:&quot;&quot;,&quot;non-dropping-particle&quot;:&quot;&quot;},{&quot;family&quot;:&quot;Elahinia&quot;,&quot;given&quot;:&quot;Ali&quot;,&quot;parse-names&quot;:false,&quot;dropping-particle&quot;:&quot;&quot;,&quot;non-dropping-particle&quot;:&quot;&quot;},{&quot;family&quot;:&quot;Zandi&quot;,&quot;given&quot;:&quot;Afsoon&quot;,&quot;parse-names&quot;:false,&quot;dropping-particle&quot;:&quot;&quot;,&quot;non-dropping-particle&quot;:&quot;&quot;},{&quot;family&quot;:&quot;Rezvany&quot;,&quot;given&quot;:&quot;Mohammad Reza&quot;,&quot;parse-names&quot;:false,&quot;dropping-particle&quot;:&quot;&quot;,&quot;non-dropping-particle&quot;:&quot;&quot;},{&quot;family&quot;:&quot;Hashemi-Madani&quot;,&quot;given&quot;:&quot;Nahid&quot;,&quot;parse-names&quot;:false,&quot;dropping-particle&quot;:&quot;&quot;,&quot;non-dropping-particle&quot;:&quot;&quot;},{&quot;family&quot;:&quot;Ziaee&quot;,&quot;given&quot;:&quot;Amir&quot;,&quot;parse-names&quot;:false,&quot;dropping-particle&quot;:&quot;&quot;,&quot;non-dropping-particle&quot;:&quot;&quot;},{&quot;family&quot;:&quot;Nekouian&quot;,&quot;given&quot;:&quot;Reza&quot;,&quot;parse-names&quot;:false,&quot;dropping-particle&quot;:&quot;&quot;,&quot;non-dropping-particle&quot;:&quot;&quot;},{&quot;family&quot;:&quot;Rohani&quot;,&quot;given&quot;:&quot;Farzaneh&quot;,&quot;parse-names&quot;:false,&quot;dropping-particle&quot;:&quot;&quot;,&quot;non-dropping-particle&quot;:&quot;&quot;}],&quot;container-title&quot;:&quot;Health Science Reports&quot;,&quot;container-title-short&quot;:&quot;Health Sci Rep&quot;,&quot;DOI&quot;:&quot;10.1002/hsr2.1624&quot;,&quot;ISSN&quot;:&quot;23988835&quot;,&quot;issued&quot;:{&quot;date-parts&quot;:[[2023]]},&quot;abstract&quot;:&quot;Background and Aims: One of the most common hemoglobinopathies globally related to blood transfusion and iron overload in the body is thalassemia syndrome. Increasing ferritin levels can cause severe damage to the patient's body organs. This study aims to evaluate the complications of iron overload on vital body organs in patients with transfusion-dependent beta-thalassemia. Methods: This descriptive cross-sectional study was performed in Iran University of Medical Sciences Hospitals on patients with a beta-thalassemia major with frequent blood transfusions. To evaluate the effect of iron overload on vital body organs, hematologic and blood analysis, echocardiography with measurement of pulmonary artery pressure (PAP) and ejection fraction (EF) tests, bone densitometry, and audiometric tests were performed for all patients. Results: Of the 1010 patients participating in this study, 497 (49%) were males, 513 were (51%) females aged 5–74 years, and the majority of participants (85%) were over 20 years old. This study demonstrated that increasing ferritin levels had no notable correlation with sex, cholesterol, low-density lipoprotein, parathyroid hormone, T4, and aspartate aminotransferase. However, elevating ferritin levels had significant correlations with increasing triglyceride, phosphorus, thyroid stimulating hormone, alkaline phosphatase, alanine transaminase, and PAP levels, age, hearing disorders, splenectomy, osteoporosis, and decreasing high-density lipoprotein, body mass index, calcium, and EF levels. Conclusion: Improvement in beta-thalassemia patients' survival and quality of life can be due to multidisciplinary care in a comprehensive unit through regular follow-up and early complication detection.&quot;,&quot;issue&quot;:&quot;10&quot;,&quot;volume&quot;:&quot;6&quot;},&quot;isTemporary&quot;:false}]},{&quot;citationID&quot;:&quot;MENDELEY_CITATION_5e8b56b0-4c26-401a-9e42-22a7e4279323&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&quot;,&quot;citationItems&quot;:[{&quot;id&quot;:&quot;f6f07a57-fdbd-3d3e-a492-38a307b4518a&quot;,&quot;itemData&quot;:{&quot;type&quot;:&quot;article&quot;,&quot;id&quot;:&quot;f6f07a57-fdbd-3d3e-a492-38a307b4518a&quot;,&quot;title&quot;:&quot;New Entity—Thalassemic Endocrine Disease: Major Beta-Thalassemia and Endocrine Involvement&quot;,&quot;author&quot;:[{&quot;family&quot;:&quot;Carsote&quot;,&quot;given&quot;:&quot;Mara&quot;,&quot;parse-names&quot;:false,&quot;dropping-particle&quot;:&quot;&quot;,&quot;non-dropping-particle&quot;:&quot;&quot;},{&quot;family&quot;:&quot;Vasiliu&quot;,&quot;given&quot;:&quot;Cristina&quot;,&quot;parse-names&quot;:false,&quot;dropping-particle&quot;:&quot;&quot;,&quot;non-dropping-particle&quot;:&quot;&quot;},{&quot;family&quot;:&quot;Trandafir&quot;,&quot;given&quot;:&quot;Alexandra Ioana&quot;,&quot;parse-names&quot;:false,&quot;dropping-particle&quot;:&quot;&quot;,&quot;non-dropping-particle&quot;:&quot;&quot;},{&quot;family&quot;:&quot;Albu&quot;,&quot;given&quot;:&quot;Simona Elena&quot;,&quot;parse-names&quot;:false,&quot;dropping-particle&quot;:&quot;&quot;,&quot;non-dropping-particle&quot;:&quot;&quot;},{&quot;family&quot;:&quot;Dumitrascu&quot;,&quot;given&quot;:&quot;Mihai Cristian&quot;,&quot;parse-names&quot;:false,&quot;dropping-particle&quot;:&quot;&quot;,&quot;non-dropping-particle&quot;:&quot;&quot;},{&quot;family&quot;:&quot;Popa&quot;,&quot;given&quot;:&quot;Adelina&quot;,&quot;parse-names&quot;:false,&quot;dropping-particle&quot;:&quot;&quot;,&quot;non-dropping-particle&quot;:&quot;&quot;},{&quot;family&quot;:&quot;Mehedintu&quot;,&quot;given&quot;:&quot;Claudia&quot;,&quot;parse-names&quot;:false,&quot;dropping-particle&quot;:&quot;&quot;,&quot;non-dropping-particle&quot;:&quot;&quot;},{&quot;family&quot;:&quot;Petca&quot;,&quot;given&quot;:&quot;Razvan Cosmin&quot;,&quot;parse-names&quot;:false,&quot;dropping-particle&quot;:&quot;&quot;,&quot;non-dropping-particle&quot;:&quot;&quot;},{&quot;family&quot;:&quot;Petca&quot;,&quot;given&quot;:&quot;Aida&quot;,&quot;parse-names&quot;:false,&quot;dropping-particle&quot;:&quot;&quot;,&quot;non-dropping-particle&quot;:&quot;&quot;},{&quot;family&quot;:&quot;Sandru&quot;,&quot;given&quot;:&quot;Florica&quot;,&quot;parse-names&quot;:false,&quot;dropping-particle&quot;:&quot;&quot;,&quot;non-dropping-particle&quot;:&quot;&quot;}],&quot;container-title&quot;:&quot;Diagnostics&quot;,&quot;DOI&quot;:&quot;10.3390/diagnostics12081921&quot;,&quot;ISSN&quot;:&quot;20754418&quot;,&quot;issued&quot;:{&quot;date-parts&quot;:[[2022]]},&quot;abstract&quot;:&quot;Beta-thalassemia (BTH), a recessively inherited haemoglobin (Hb) disorder, causes iron overload (IO), extra-medullary haematopoiesis and bone marrow expansion with major clinical impact. The main objective of this review is to address endocrine components (including aspects of reproductive health as fertility potential and pregnancy outcome) in major beta-thalassemia patients, a complex panel known as thalassemic endocrine disease (TED). We included English, full-text articles based on PubMed research (January 2017–June 2022). TED includes hypogonadism (hypoGn), anomalies of GH/IGF1 axes with growth retardation, hypothyroidism (hypoT), hypoparathyroidism (hypoPT), glucose profile anomalies, adrenal insufficiency, reduced bone mineral density (BMD), and deterioration of microarchitecture with increased fracture risk (FR). The prevalence of each ED varies with population, criteria of definition, etc. At least one out of every three to four children below the age of 12 y have one ED. ED correlates with ferritin and poor compliance to therapy, but not all studies agree. Up to 86% of the adult population is affected by an ED. Age is a positive linear predictor for ED. Low IGF1 is found in 95% of the population with GH deficiency (GHD), but also in 93.6% of persons without GHD. HypoT is mostly pituitary-related; it is not clinically manifested in the majority of cases, hence the importance of TSH/FT4 screening. HypoT is found at any age, with the prevalence varying between 8.3% and 30%. Non-compliance to chelation increases the risk of hypoT, yet not all studies confirmed the correlation with chelation history (reversible hypoT under chelation is reported). The pitfalls of TSH interpretation due to hypophyseal IO should be taken into consideration. HypoPT prevalence varies from 6.66% (below the age of 12) to a maximum of 40% (depending on the study). Serum ferritin might act as a stimulator of FGF23. Associated hypocalcaemia transitions from asymptomatic to severe manifestations. HypoPT is mostly found in association with growth retardation and hypoGn. TED-associated adrenal dysfunction is typically mild; an index of suspicion should be considered due to potential life-threatening complications. Periodic check-up by ACTH stimulation test is advised. Adrenal insufficiency/hypocortisolism status is the rarest ED (but some reported a prevalence of up to one third of patients). Significantly, many studies did not routinely perform a dynamic test. Atypical EM sites might be found in adrenals, mimicking an incidentaloma. Between 7.5–10% of children with major BTH have DM; screening starts by the age of 10, and ferritin correlated with glycaemia. Larger studies found DM in up to 34%of cases. Many studies do not take into consideration IGF, IGT, or do not routinely include OGTT. Glucose anomalies are time dependent. Emerging new markers represent promising alternatives, such as insulin secretion-sensitivity index-2. The pitfalls of glucose profile interpretation include the levels of HbA1c and the particular risk of gestational DM. Thalassemia bone disease (TBD) is related to hypoGn-related osteoporosis, renal function anomalies, DM, GHD, malnutrition, chronic hypoxia-induced calcium malabsorption, and transplant-associated protocols. Low BMD was identified in both paediatric and adult population; the prevalence of osteoporosis/TBD in major BTH patients varies; the highest rate is 40–72% depending on age, studied parameters, DXA evaluation and corrections, and screening thoracic–lumbar spine X-ray. Lower TBS and abnormal dynamics of bone turnover markers are reported. The largest cohorts on transfusion-dependent BTH identified the prevalence of hypoGn to be between 44.5% and 82%. Ferritin positively correlates with pubertal delay, and negatively with pituitary volume. Some authors appreciate hypoGn as the most frequent ED below the age of 15. Long-term untreated hypoGn induces a high cardiovascular risk and increased FR. Hormonal replacement therapy is necessary in addition to specific BTH therapy. Infertility underlines TED-related hormonal elements (primary and secondary hypoGn) and IO-induced gonadal toxicity. Males with BTH are at risk of infertility due to germ cell loss. IO induces an excessive amount of free radicals which impair the quality of sperm, iron being a local catalyser of ROS. Adequate chelation might improve fertility issues. Due to the advances in current therapies, the reproductive health of females with major BTH is improving; a low level of statistical significance reflects the pregnancy status in major BTH (limited data on spontaneous pregnancies and growing evidence of the induction of ovulation/assisted reproductive techniques). Pregnancy outcome also depends on TED approach, including factors such as DM control, adequate replacement of hypoT and hypoPT, and vitamin D supplementation for bone health. Asymptomatic TED elements such as subclinical hypothyroidism or IFG/IGT might become overt during pregnancy. Endocrine glands are particularly sensitive to iron deposits, hence TED includes a complicated puzzle of EDs which massively impacts on the overall picture, including the quality of life in major BTH. The BTH prognostic has registered progress in the last decades due to modern therapy, but the medical and social burden remains elevated. Genetic counselling represents a major step in approaching TH individuals, including as part of the pre-conception assessment. A multidisciplinary surveillance team is mandatory.&quot;,&quot;issue&quot;:&quot;8&quot;,&quot;volume&quot;:&quot;12&quot;,&quot;container-title-short&quot;:&quot;&quot;},&quot;isTemporary&quot;:false}]},{&quot;citationID&quot;:&quot;MENDELEY_CITATION_ab9ef738-ee67-4854-a58b-401f39146b4b&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&quot;,&quot;citationItems&quot;:[{&quot;id&quot;:&quot;40af7400-74ed-3378-85d7-e90b444b7317&quot;,&quot;itemData&quot;:{&quot;type&quot;:&quot;article&quot;,&quot;id&quot;:&quot;40af7400-74ed-3378-85d7-e90b444b7317&quot;,&quot;title&quot;:&quot;Iron Chelators in Treatment of Iron Overload&quot;,&quot;author&quot;:[{&quot;family&quot;:&quot;Entezari&quot;,&quot;given&quot;:&quot;Sarina&quot;,&quot;parse-names&quot;:false,&quot;dropping-particle&quot;:&quot;&quot;,&quot;non-dropping-particle&quot;:&quot;&quot;},{&quot;family&quot;:&quot;Haghi&quot;,&quot;given&quot;:&quot;Seyedeh Mona&quot;,&quot;parse-names&quot;:false,&quot;dropping-particle&quot;:&quot;&quot;,&quot;non-dropping-particle&quot;:&quot;&quot;},{&quot;family&quot;:&quot;Norouzkhani&quot;,&quot;given&quot;:&quot;Narges&quot;,&quot;parse-names&quot;:false,&quot;dropping-particle&quot;:&quot;&quot;,&quot;non-dropping-particle&quot;:&quot;&quot;},{&quot;family&quot;:&quot;Sahebnazar&quot;,&quot;given&quot;:&quot;Barsa&quot;,&quot;parse-names&quot;:false,&quot;dropping-particle&quot;:&quot;&quot;,&quot;non-dropping-particle&quot;:&quot;&quot;},{&quot;family&quot;:&quot;Vosoughian&quot;,&quot;given&quot;:&quot;Fatemeh&quot;,&quot;parse-names&quot;:false,&quot;dropping-particle&quot;:&quot;&quot;,&quot;non-dropping-particle&quot;:&quot;&quot;},{&quot;family&quot;:&quot;Akbarzadeh&quot;,&quot;given&quot;:&quot;Diba&quot;,&quot;parse-names&quot;:false,&quot;dropping-particle&quot;:&quot;&quot;,&quot;non-dropping-particle&quot;:&quot;&quot;},{&quot;family&quot;:&quot;Islampanah&quot;,&quot;given&quot;:&quot;Muhammad&quot;,&quot;parse-names&quot;:false,&quot;dropping-particle&quot;:&quot;&quot;,&quot;non-dropping-particle&quot;:&quot;&quot;},{&quot;family&quot;:&quot;Naghsh&quot;,&quot;given&quot;:&quot;Navid&quot;,&quot;parse-names&quot;:false,&quot;dropping-particle&quot;:&quot;&quot;,&quot;non-dropping-particle&quot;:&quot;&quot;},{&quot;family&quot;:&quot;Abbasalizadeh&quot;,&quot;given&quot;:&quot;Mohammad&quot;,&quot;parse-names&quot;:false,&quot;dropping-particle&quot;:&quot;&quot;,&quot;non-dropping-particle&quot;:&quot;&quot;},{&quot;family&quot;:&quot;Deravi&quot;,&quot;given&quot;:&quot;Niloofar&quot;,&quot;parse-names&quot;:false,&quot;dropping-particle&quot;:&quot;&quot;,&quot;non-dropping-particle&quot;:&quot;&quot;}],&quot;container-title&quot;:&quot;Journal of Toxicology&quot;,&quot;container-title-short&quot;:&quot;J Toxicol&quot;,&quot;DOI&quot;:&quot;10.1155/2022/4911205&quot;,&quot;ISSN&quot;:&quot;16878205&quot;,&quot;issued&quot;:{&quot;date-parts&quot;:[[2022]]},&quot;abstract&quot;:&quot;Patients suffering from iron overload can experience serious complications. In such patients, various organs, such as endocrine glands and liver, can be damaged. Although iron is a crucial element for life, iron overload can be potentially toxic for human cells due to its role in generating free radicals. In the past few decades, there has been a major improvement in the survival of patients who suffer from iron overload due to the application of iron chelation therapy in clinical practice. In clinical use, deferoxamine, deferiprone, and deferasirox are the three United States Food and Drug Administration-approved iron chelators. Each of these iron chelators is well known for the treatment of iron overload in various clinical conditions. Based on several up-to-date studies, this study explained iron overload and its clinical symptoms, introduced each of the above-mentioned iron chelators, and evaluated their advantages and disadvantages with an emphasis on combination therapy, which in recent studies seems a promising approach. In numerous clinical conditions, due to the lack of accurate indicators, choosing a standard approach for iron chelation therapy can be difficult; therefore, further studies on the issue are still required. This study aimed to introduce each of these iron chelators, combination therapy, usage doses, specific clinical applications, and their advantages, toxicity, and side effects.&quot;,&quot;volume&quot;:&quot;2022&quot;},&quot;isTemporary&quot;:false}]}]"/>
    <we:property name="MENDELEY_CITATIONS_LOCALE_CODE" value="&quot;en-US&quot;"/>
    <we:property name="MENDELEY_CITATIONS_STYLE" value="{&quot;id&quot;:&quot;https://www.zotero.org/styles/vancouver-superscript&quot;,&quot;title&quot;:&quot;Vancouver (superscript)&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03A68-FC94-47BC-863B-86D22937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14</Pages>
  <Words>3441</Words>
  <Characters>19614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23009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3</cp:revision>
  <cp:lastPrinted>2025-02-18T08:21:00Z</cp:lastPrinted>
  <dcterms:created xsi:type="dcterms:W3CDTF">2025-02-26T12:14:00Z</dcterms:created>
  <dcterms:modified xsi:type="dcterms:W3CDTF">2025-03-03T05:37:00Z</dcterms:modified>
</cp:coreProperties>
</file>