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FC3D" w14:textId="0E014AD0" w:rsidR="00867E65" w:rsidRPr="007947B4" w:rsidRDefault="00867E65" w:rsidP="0097197E">
      <w:pPr>
        <w:spacing w:line="360" w:lineRule="auto"/>
        <w:jc w:val="center"/>
        <w:rPr>
          <w:rFonts w:ascii="Arial" w:hAnsi="Arial" w:cs="Arial"/>
          <w:b/>
          <w:sz w:val="36"/>
          <w:szCs w:val="36"/>
        </w:rPr>
      </w:pPr>
      <w:bookmarkStart w:id="0" w:name="_Hlk185330087"/>
      <w:r w:rsidRPr="007947B4">
        <w:rPr>
          <w:rFonts w:ascii="Arial" w:hAnsi="Arial" w:cs="Arial"/>
          <w:b/>
          <w:sz w:val="36"/>
          <w:szCs w:val="36"/>
        </w:rPr>
        <w:t xml:space="preserve">NDVI-Based Geospatial Analysis of Forest Cover Alterations in </w:t>
      </w:r>
      <w:proofErr w:type="spellStart"/>
      <w:r w:rsidRPr="007947B4">
        <w:rPr>
          <w:rFonts w:ascii="Arial" w:hAnsi="Arial" w:cs="Arial"/>
          <w:b/>
          <w:sz w:val="36"/>
          <w:szCs w:val="36"/>
        </w:rPr>
        <w:t>Daldali</w:t>
      </w:r>
      <w:proofErr w:type="spellEnd"/>
      <w:r w:rsidRPr="007947B4">
        <w:rPr>
          <w:rFonts w:ascii="Arial" w:hAnsi="Arial" w:cs="Arial"/>
          <w:b/>
          <w:sz w:val="36"/>
          <w:szCs w:val="36"/>
        </w:rPr>
        <w:t xml:space="preserve"> Reserve Forest</w:t>
      </w:r>
      <w:r w:rsidR="004C37E9" w:rsidRPr="007947B4">
        <w:rPr>
          <w:rFonts w:ascii="Arial" w:hAnsi="Arial" w:cs="Arial"/>
          <w:b/>
          <w:sz w:val="36"/>
          <w:szCs w:val="36"/>
        </w:rPr>
        <w:t>,</w:t>
      </w:r>
      <w:r w:rsidR="00117FB0" w:rsidRPr="007947B4">
        <w:rPr>
          <w:rFonts w:ascii="Arial" w:hAnsi="Arial" w:cs="Arial"/>
          <w:b/>
          <w:sz w:val="36"/>
          <w:szCs w:val="36"/>
        </w:rPr>
        <w:t xml:space="preserve"> Assam, India</w:t>
      </w:r>
    </w:p>
    <w:p w14:paraId="0DF7DB32" w14:textId="68B47E51" w:rsidR="00DC247C" w:rsidRDefault="00DC247C" w:rsidP="0097197E">
      <w:pPr>
        <w:spacing w:after="0" w:line="360" w:lineRule="auto"/>
        <w:jc w:val="both"/>
        <w:rPr>
          <w:rFonts w:ascii="Times New Roman" w:hAnsi="Times New Roman" w:cs="Times New Roman"/>
          <w:sz w:val="24"/>
          <w:szCs w:val="24"/>
        </w:rPr>
      </w:pPr>
      <w:r>
        <w:rPr>
          <w:rFonts w:ascii="Arial" w:eastAsia="Times New Roman" w:hAnsi="Arial" w:cs="Arial"/>
          <w:noProof/>
          <w:kern w:val="0"/>
          <w:sz w:val="20"/>
          <w:szCs w:val="20"/>
          <w:lang w:val="en-US"/>
        </w:rPr>
        <mc:AlternateContent>
          <mc:Choice Requires="wps">
            <w:drawing>
              <wp:inline distT="0" distB="0" distL="0" distR="0" wp14:anchorId="17FCBB1D" wp14:editId="4BCF3F19">
                <wp:extent cx="5303520" cy="0"/>
                <wp:effectExtent l="13335" t="13335" r="17145" b="1524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DED286"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p>
    <w:p w14:paraId="54CEE4A1" w14:textId="450E7DD5" w:rsidR="00DC247C" w:rsidRPr="00DC247C" w:rsidRDefault="00DC247C" w:rsidP="0097197E">
      <w:pPr>
        <w:spacing w:after="0" w:line="360" w:lineRule="auto"/>
        <w:jc w:val="both"/>
        <w:rPr>
          <w:rFonts w:ascii="Arial" w:hAnsi="Arial" w:cs="Arial"/>
          <w:b/>
          <w:sz w:val="24"/>
          <w:szCs w:val="24"/>
        </w:rPr>
      </w:pPr>
      <w:r w:rsidRPr="00DC247C">
        <w:rPr>
          <w:rFonts w:ascii="Arial" w:hAnsi="Arial" w:cs="Arial"/>
          <w:b/>
          <w:sz w:val="24"/>
          <w:szCs w:val="24"/>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49"/>
      </w:tblGrid>
      <w:tr w:rsidR="00DC247C" w:rsidRPr="001E44FE" w14:paraId="2D9D7C4F" w14:textId="77777777" w:rsidTr="00635CC6">
        <w:tc>
          <w:tcPr>
            <w:tcW w:w="9576" w:type="dxa"/>
            <w:shd w:val="clear" w:color="auto" w:fill="F2F2F2"/>
          </w:tcPr>
          <w:p w14:paraId="67CEA055" w14:textId="32D0F366" w:rsidR="00DC247C" w:rsidRPr="00B91A3E" w:rsidRDefault="00B91A3E" w:rsidP="00635CC6">
            <w:pPr>
              <w:spacing w:line="360" w:lineRule="auto"/>
              <w:jc w:val="both"/>
              <w:rPr>
                <w:rFonts w:ascii="Times New Roman" w:hAnsi="Times New Roman" w:cs="Times New Roman"/>
                <w:sz w:val="24"/>
                <w:szCs w:val="24"/>
              </w:rPr>
            </w:pPr>
            <w:r w:rsidRPr="00B91A3E">
              <w:rPr>
                <w:rFonts w:ascii="Times New Roman" w:hAnsi="Times New Roman" w:cs="Times New Roman"/>
                <w:sz w:val="24"/>
                <w:szCs w:val="24"/>
              </w:rPr>
              <w:t>Geospatial analytics integrates spatial as well as temporal data with conventional datasets, enabling for the blossoming of visual representations of the data. A Geospatial tool serves a key function in analysing the shifts in land use and land cover (LULC)</w:t>
            </w:r>
            <w:r>
              <w:rPr>
                <w:rFonts w:ascii="Times New Roman" w:hAnsi="Times New Roman" w:cs="Times New Roman"/>
                <w:sz w:val="24"/>
                <w:szCs w:val="24"/>
              </w:rPr>
              <w:t xml:space="preserve">. </w:t>
            </w:r>
            <w:r w:rsidR="00DC247C" w:rsidRPr="000D6E7F">
              <w:rPr>
                <w:rFonts w:ascii="Times New Roman" w:hAnsi="Times New Roman" w:cs="Times New Roman"/>
                <w:sz w:val="24"/>
                <w:szCs w:val="24"/>
              </w:rPr>
              <w:t xml:space="preserve">The study conducts a comprehensive comparative and analytical analysis of Land Use and Land Cover (LULC) changes in </w:t>
            </w:r>
            <w:proofErr w:type="spellStart"/>
            <w:r w:rsidR="00DC247C" w:rsidRPr="000D6E7F">
              <w:rPr>
                <w:rFonts w:ascii="Times New Roman" w:hAnsi="Times New Roman" w:cs="Times New Roman"/>
                <w:sz w:val="24"/>
                <w:szCs w:val="24"/>
              </w:rPr>
              <w:t>Daldali</w:t>
            </w:r>
            <w:proofErr w:type="spellEnd"/>
            <w:r w:rsidR="00DC247C" w:rsidRPr="000D6E7F">
              <w:rPr>
                <w:rFonts w:ascii="Times New Roman" w:hAnsi="Times New Roman" w:cs="Times New Roman"/>
                <w:sz w:val="24"/>
                <w:szCs w:val="24"/>
              </w:rPr>
              <w:t xml:space="preserve"> Reserve Forest (RF) from 1994 to 2024 using the Normalized Difference Vegetation Index (NDVI) method. The investigation focuses on the transformation of vegetation cover over three decades, with NDVI maps from 1994, 2009, and 2024 serving as the primary data sources. The NDVI range </w:t>
            </w:r>
            <w:r w:rsidR="00DC247C">
              <w:rPr>
                <w:rFonts w:ascii="Times New Roman" w:hAnsi="Times New Roman" w:cs="Times New Roman"/>
                <w:sz w:val="24"/>
                <w:szCs w:val="24"/>
              </w:rPr>
              <w:t>was</w:t>
            </w:r>
            <w:r w:rsidR="00DC247C" w:rsidRPr="000D6E7F">
              <w:rPr>
                <w:rFonts w:ascii="Times New Roman" w:hAnsi="Times New Roman" w:cs="Times New Roman"/>
                <w:sz w:val="24"/>
                <w:szCs w:val="24"/>
              </w:rPr>
              <w:t xml:space="preserve"> classified into five threshold values: below 0 for water bodies, 0 to 0.2 for bare soil, rock, sand, and cloud, 0.2 to 0.3 for shrubs and grassland, 0.3 to 0.5 for sparse vegetation, and above 0.5 for dense vegetation. The analysis reveals significant trends, including a marked decline in dense vegetation, an increase in sparse vegetation and shrub/grassland, and a troubling expansion of bare soil and degraded land. The study identifies both anthropogenic and natural factors as drivers of these LULC changes. Deforestation and land use change, forest fires, climate change, and soil erosion are highlighted as key contributors to the observed degradation. The ecological implications are profound, with potential consequences including biodiversity loss, disruption of ecosystem services, and reduced resilience to climate change. In response to these findings, the study recommends a multifaceted approach to conservation and restoration, including sustainable forest management, reforestation, fire prevention, soil conservation, and the restoration of hydrological balance. Strengthening legal and institutional frameworks, promoting alternative livelihoods for villagers, and enhancing biodiversity conservation efforts are also critical. The study underscores the urgency of collective action by government agencies, non-governmental organizations, research institutions, and local communities to restore the health and vitality of </w:t>
            </w:r>
            <w:proofErr w:type="spellStart"/>
            <w:r w:rsidR="00DC247C" w:rsidRPr="000D6E7F">
              <w:rPr>
                <w:rFonts w:ascii="Times New Roman" w:hAnsi="Times New Roman" w:cs="Times New Roman"/>
                <w:sz w:val="24"/>
                <w:szCs w:val="24"/>
              </w:rPr>
              <w:t>Daldali</w:t>
            </w:r>
            <w:proofErr w:type="spellEnd"/>
            <w:r w:rsidR="00DC247C" w:rsidRPr="000D6E7F">
              <w:rPr>
                <w:rFonts w:ascii="Times New Roman" w:hAnsi="Times New Roman" w:cs="Times New Roman"/>
                <w:sz w:val="24"/>
                <w:szCs w:val="24"/>
              </w:rPr>
              <w:t xml:space="preserve"> RF, ensuring its long-term sustainability and continued provision of ecological, economic, and cultural benefits.</w:t>
            </w:r>
          </w:p>
          <w:p w14:paraId="7CE9BA50" w14:textId="0DB6B619" w:rsidR="00DC247C" w:rsidRPr="00BA1B01" w:rsidRDefault="00DC247C" w:rsidP="00635CC6">
            <w:pPr>
              <w:pStyle w:val="Body"/>
              <w:spacing w:after="0"/>
              <w:rPr>
                <w:rFonts w:ascii="Arial" w:eastAsia="Calibri" w:hAnsi="Arial" w:cs="Arial"/>
                <w:szCs w:val="22"/>
              </w:rPr>
            </w:pPr>
          </w:p>
        </w:tc>
      </w:tr>
    </w:tbl>
    <w:p w14:paraId="68578F6C" w14:textId="0F0C5F23" w:rsidR="009353F6" w:rsidRPr="00DC247C" w:rsidRDefault="00EB7530" w:rsidP="0097197E">
      <w:pPr>
        <w:spacing w:line="360" w:lineRule="auto"/>
        <w:jc w:val="both"/>
        <w:rPr>
          <w:rFonts w:ascii="Arial" w:hAnsi="Arial" w:cs="Arial"/>
          <w:i/>
          <w:sz w:val="20"/>
          <w:szCs w:val="20"/>
        </w:rPr>
      </w:pPr>
      <w:r w:rsidRPr="00DC247C">
        <w:rPr>
          <w:rFonts w:ascii="Arial" w:hAnsi="Arial" w:cs="Arial"/>
          <w:sz w:val="20"/>
          <w:szCs w:val="20"/>
        </w:rPr>
        <w:t xml:space="preserve">Keywords: </w:t>
      </w:r>
      <w:r w:rsidRPr="00DC247C">
        <w:rPr>
          <w:rFonts w:ascii="Arial" w:hAnsi="Arial" w:cs="Arial"/>
          <w:i/>
          <w:sz w:val="20"/>
          <w:szCs w:val="20"/>
        </w:rPr>
        <w:t xml:space="preserve">Land Use and Land Cover, </w:t>
      </w:r>
      <w:proofErr w:type="spellStart"/>
      <w:r w:rsidRPr="00DC247C">
        <w:rPr>
          <w:rFonts w:ascii="Arial" w:hAnsi="Arial" w:cs="Arial"/>
          <w:i/>
          <w:sz w:val="20"/>
          <w:szCs w:val="20"/>
        </w:rPr>
        <w:t>Daldali</w:t>
      </w:r>
      <w:proofErr w:type="spellEnd"/>
      <w:r w:rsidRPr="00DC247C">
        <w:rPr>
          <w:rFonts w:ascii="Arial" w:hAnsi="Arial" w:cs="Arial"/>
          <w:i/>
          <w:sz w:val="20"/>
          <w:szCs w:val="20"/>
        </w:rPr>
        <w:t xml:space="preserve"> Reserve Forest, Normalized Difference Vegetation Index</w:t>
      </w:r>
      <w:r w:rsidR="00AF4AB3" w:rsidRPr="00DC247C">
        <w:rPr>
          <w:rFonts w:ascii="Arial" w:hAnsi="Arial" w:cs="Arial"/>
          <w:i/>
          <w:sz w:val="20"/>
          <w:szCs w:val="20"/>
        </w:rPr>
        <w:t>, Threshold Values</w:t>
      </w:r>
    </w:p>
    <w:p w14:paraId="3954BD73" w14:textId="77777777" w:rsidR="00DC247C" w:rsidRPr="00DC247C" w:rsidRDefault="00DC247C" w:rsidP="0097197E">
      <w:pPr>
        <w:spacing w:line="360" w:lineRule="auto"/>
        <w:jc w:val="both"/>
        <w:rPr>
          <w:rFonts w:ascii="Times New Roman" w:hAnsi="Times New Roman" w:cs="Times New Roman"/>
          <w:b/>
          <w:sz w:val="24"/>
          <w:szCs w:val="24"/>
        </w:rPr>
      </w:pPr>
    </w:p>
    <w:bookmarkEnd w:id="0"/>
    <w:p w14:paraId="684BAF94" w14:textId="77777777" w:rsidR="000D4BDA" w:rsidRPr="000D6E7F" w:rsidRDefault="003A4AA7" w:rsidP="0097197E">
      <w:pPr>
        <w:spacing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Introduction</w:t>
      </w:r>
    </w:p>
    <w:p w14:paraId="4C73544D" w14:textId="6EDBADE3" w:rsidR="003A4AA7" w:rsidRPr="000D6E7F" w:rsidRDefault="00B91A3E" w:rsidP="0097197E">
      <w:pPr>
        <w:spacing w:line="360" w:lineRule="auto"/>
        <w:jc w:val="both"/>
        <w:rPr>
          <w:rFonts w:ascii="Times New Roman" w:hAnsi="Times New Roman" w:cs="Times New Roman"/>
          <w:b/>
          <w:sz w:val="24"/>
          <w:szCs w:val="24"/>
        </w:rPr>
      </w:pPr>
      <w:r w:rsidRPr="00B91A3E">
        <w:rPr>
          <w:rFonts w:ascii="Times New Roman" w:hAnsi="Times New Roman" w:cs="Times New Roman"/>
          <w:sz w:val="24"/>
          <w:szCs w:val="24"/>
        </w:rPr>
        <w:lastRenderedPageBreak/>
        <w:t>Environmental change is a constant natural process, often accelerated by human activities. Satellite telecommunications are of the utmost importance for advanced connectivity, aiding global communication, broadc</w:t>
      </w:r>
      <w:r>
        <w:rPr>
          <w:rFonts w:ascii="Times New Roman" w:hAnsi="Times New Roman" w:cs="Times New Roman"/>
          <w:sz w:val="24"/>
          <w:szCs w:val="24"/>
        </w:rPr>
        <w:t>asting, and access to internet [1]</w:t>
      </w:r>
      <w:r w:rsidRPr="00B91A3E">
        <w:rPr>
          <w:rFonts w:ascii="Times New Roman" w:hAnsi="Times New Roman" w:cs="Times New Roman"/>
          <w:sz w:val="24"/>
          <w:szCs w:val="24"/>
        </w:rPr>
        <w:t>. Recently, there has been a significant growth in the accumulation of data through remote sensing, specially satellite data and a variety of techniques has been originated to improve the remote sensing resea</w:t>
      </w:r>
      <w:r>
        <w:rPr>
          <w:rFonts w:ascii="Times New Roman" w:hAnsi="Times New Roman" w:cs="Times New Roman"/>
          <w:sz w:val="24"/>
          <w:szCs w:val="24"/>
        </w:rPr>
        <w:t>rch  quality in earth sciences [2]</w:t>
      </w:r>
      <w:r w:rsidRPr="00B91A3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353F6" w:rsidRPr="000D6E7F">
        <w:rPr>
          <w:rFonts w:ascii="Times New Roman" w:hAnsi="Times New Roman" w:cs="Times New Roman"/>
          <w:sz w:val="24"/>
          <w:szCs w:val="24"/>
        </w:rPr>
        <w:t>LULC</w:t>
      </w:r>
      <w:r w:rsidR="003A4AA7" w:rsidRPr="000D6E7F">
        <w:rPr>
          <w:rFonts w:ascii="Times New Roman" w:hAnsi="Times New Roman" w:cs="Times New Roman"/>
          <w:sz w:val="24"/>
          <w:szCs w:val="24"/>
        </w:rPr>
        <w:t xml:space="preserve"> changes are critical </w:t>
      </w:r>
      <w:r w:rsidR="008C3070" w:rsidRPr="000D6E7F">
        <w:rPr>
          <w:rFonts w:ascii="Times New Roman" w:hAnsi="Times New Roman" w:cs="Times New Roman"/>
          <w:sz w:val="24"/>
          <w:szCs w:val="24"/>
        </w:rPr>
        <w:t>environmental transformation indicators</w:t>
      </w:r>
      <w:r w:rsidR="003A4AA7" w:rsidRPr="000D6E7F">
        <w:rPr>
          <w:rFonts w:ascii="Times New Roman" w:hAnsi="Times New Roman" w:cs="Times New Roman"/>
          <w:sz w:val="24"/>
          <w:szCs w:val="24"/>
        </w:rPr>
        <w:t>, significantly influencing ecosystem services, biodiversity, and climate regulation. Understanding these changes is essential for sustainable land management, especially in regions experiencing rapid urbanization, agricultural expansion, deforestation, or other anthropogenic activities.</w:t>
      </w:r>
      <w:r w:rsidR="00FA5B31" w:rsidRPr="000D6E7F">
        <w:t xml:space="preserve"> </w:t>
      </w:r>
      <w:r w:rsidR="00910313" w:rsidRPr="000D6E7F">
        <w:rPr>
          <w:rFonts w:ascii="Times New Roman" w:hAnsi="Times New Roman" w:cs="Times New Roman"/>
          <w:sz w:val="24"/>
          <w:szCs w:val="24"/>
        </w:rPr>
        <w:t xml:space="preserve">The analysis of spatiotemporal variations in LULC, combined with the projection scenarios of </w:t>
      </w:r>
      <w:r w:rsidR="00D71193">
        <w:rPr>
          <w:rFonts w:ascii="Times New Roman" w:hAnsi="Times New Roman" w:cs="Times New Roman"/>
          <w:sz w:val="24"/>
          <w:szCs w:val="24"/>
        </w:rPr>
        <w:t xml:space="preserve">the </w:t>
      </w:r>
      <w:r w:rsidR="00910313" w:rsidRPr="000D6E7F">
        <w:rPr>
          <w:rFonts w:ascii="Times New Roman" w:hAnsi="Times New Roman" w:cs="Times New Roman"/>
          <w:sz w:val="24"/>
          <w:szCs w:val="24"/>
        </w:rPr>
        <w:t xml:space="preserve">future and evaluation of intensity across intervals, categories, and transitions, bring forth a comprehensive insight into current as well </w:t>
      </w:r>
      <w:r w:rsidR="00D75B8D" w:rsidRPr="000D6E7F">
        <w:rPr>
          <w:rFonts w:ascii="Times New Roman" w:hAnsi="Times New Roman" w:cs="Times New Roman"/>
          <w:sz w:val="24"/>
          <w:szCs w:val="24"/>
        </w:rPr>
        <w:t>as potential</w:t>
      </w:r>
      <w:r w:rsidR="00910313" w:rsidRPr="000D6E7F">
        <w:rPr>
          <w:rFonts w:ascii="Times New Roman" w:hAnsi="Times New Roman" w:cs="Times New Roman"/>
          <w:sz w:val="24"/>
          <w:szCs w:val="24"/>
        </w:rPr>
        <w:t xml:space="preserve"> trends </w:t>
      </w:r>
      <w:r w:rsidR="00E2295E" w:rsidRPr="000D6E7F">
        <w:rPr>
          <w:rFonts w:ascii="Times New Roman" w:hAnsi="Times New Roman" w:cs="Times New Roman"/>
          <w:sz w:val="24"/>
          <w:szCs w:val="24"/>
        </w:rPr>
        <w:t>of future</w:t>
      </w:r>
      <w:r w:rsidR="00910313" w:rsidRPr="000D6E7F">
        <w:rPr>
          <w:rFonts w:ascii="Times New Roman" w:hAnsi="Times New Roman" w:cs="Times New Roman"/>
          <w:sz w:val="24"/>
          <w:szCs w:val="24"/>
        </w:rPr>
        <w:t xml:space="preserve"> development </w:t>
      </w:r>
      <w:r w:rsidR="000D6E7F">
        <w:rPr>
          <w:rFonts w:ascii="Times New Roman" w:hAnsi="Times New Roman" w:cs="Times New Roman"/>
          <w:sz w:val="24"/>
          <w:szCs w:val="24"/>
        </w:rPr>
        <w:t>[</w:t>
      </w:r>
      <w:r>
        <w:rPr>
          <w:rFonts w:ascii="Times New Roman" w:hAnsi="Times New Roman" w:cs="Times New Roman"/>
          <w:sz w:val="24"/>
          <w:szCs w:val="24"/>
        </w:rPr>
        <w:t>3</w:t>
      </w:r>
      <w:r w:rsidR="000D6E7F" w:rsidRPr="00DC247C">
        <w:rPr>
          <w:rFonts w:ascii="Times New Roman" w:hAnsi="Times New Roman" w:cs="Times New Roman"/>
          <w:sz w:val="24"/>
          <w:szCs w:val="24"/>
        </w:rPr>
        <w:t>]</w:t>
      </w:r>
      <w:r w:rsidR="00910313" w:rsidRPr="00DC247C">
        <w:rPr>
          <w:sz w:val="24"/>
          <w:szCs w:val="24"/>
        </w:rPr>
        <w:t>.</w:t>
      </w:r>
      <w:r w:rsidR="00910313" w:rsidRPr="000D6E7F">
        <w:rPr>
          <w:sz w:val="24"/>
          <w:szCs w:val="24"/>
        </w:rPr>
        <w:t xml:space="preserve"> </w:t>
      </w:r>
      <w:r w:rsidR="003A4AA7" w:rsidRPr="000D6E7F">
        <w:rPr>
          <w:rFonts w:ascii="Times New Roman" w:hAnsi="Times New Roman" w:cs="Times New Roman"/>
          <w:sz w:val="24"/>
          <w:szCs w:val="24"/>
        </w:rPr>
        <w:t xml:space="preserve">LULC change detection using </w:t>
      </w:r>
      <w:r w:rsidR="00D71193">
        <w:rPr>
          <w:rFonts w:ascii="Times New Roman" w:hAnsi="Times New Roman" w:cs="Times New Roman"/>
          <w:sz w:val="24"/>
          <w:szCs w:val="24"/>
        </w:rPr>
        <w:t>R</w:t>
      </w:r>
      <w:r w:rsidR="003A4AA7" w:rsidRPr="000D6E7F">
        <w:rPr>
          <w:rFonts w:ascii="Times New Roman" w:hAnsi="Times New Roman" w:cs="Times New Roman"/>
          <w:sz w:val="24"/>
          <w:szCs w:val="24"/>
        </w:rPr>
        <w:t xml:space="preserve">emote </w:t>
      </w:r>
      <w:r w:rsidR="00D71193">
        <w:rPr>
          <w:rFonts w:ascii="Times New Roman" w:hAnsi="Times New Roman" w:cs="Times New Roman"/>
          <w:sz w:val="24"/>
          <w:szCs w:val="24"/>
        </w:rPr>
        <w:t>S</w:t>
      </w:r>
      <w:r w:rsidR="003A4AA7" w:rsidRPr="000D6E7F">
        <w:rPr>
          <w:rFonts w:ascii="Times New Roman" w:hAnsi="Times New Roman" w:cs="Times New Roman"/>
          <w:sz w:val="24"/>
          <w:szCs w:val="24"/>
        </w:rPr>
        <w:t xml:space="preserve">ensing </w:t>
      </w:r>
      <w:r w:rsidR="00D71193">
        <w:rPr>
          <w:rFonts w:ascii="Times New Roman" w:hAnsi="Times New Roman" w:cs="Times New Roman"/>
          <w:sz w:val="24"/>
          <w:szCs w:val="24"/>
        </w:rPr>
        <w:t xml:space="preserve">(RS) </w:t>
      </w:r>
      <w:r w:rsidR="003A4AA7" w:rsidRPr="000D6E7F">
        <w:rPr>
          <w:rFonts w:ascii="Times New Roman" w:hAnsi="Times New Roman" w:cs="Times New Roman"/>
          <w:sz w:val="24"/>
          <w:szCs w:val="24"/>
        </w:rPr>
        <w:t xml:space="preserve">and Geographic Information System (GIS) technologies </w:t>
      </w:r>
      <w:r w:rsidR="008C3070" w:rsidRPr="000D6E7F">
        <w:rPr>
          <w:rFonts w:ascii="Times New Roman" w:hAnsi="Times New Roman" w:cs="Times New Roman"/>
          <w:sz w:val="24"/>
          <w:szCs w:val="24"/>
        </w:rPr>
        <w:t>have</w:t>
      </w:r>
      <w:r w:rsidR="003A4AA7" w:rsidRPr="000D6E7F">
        <w:rPr>
          <w:rFonts w:ascii="Times New Roman" w:hAnsi="Times New Roman" w:cs="Times New Roman"/>
          <w:sz w:val="24"/>
          <w:szCs w:val="24"/>
        </w:rPr>
        <w:t xml:space="preserve"> emerged as a vital tool in environmental monitoring, providing spatial and temporal insights into landscape </w:t>
      </w:r>
      <w:r w:rsidR="003A4AA7" w:rsidRPr="00DC247C">
        <w:rPr>
          <w:rFonts w:ascii="Times New Roman" w:hAnsi="Times New Roman" w:cs="Times New Roman"/>
          <w:sz w:val="24"/>
          <w:szCs w:val="24"/>
        </w:rPr>
        <w:t xml:space="preserve">dynamics </w:t>
      </w:r>
      <w:r w:rsidR="00D71193" w:rsidRPr="00DC247C">
        <w:rPr>
          <w:rFonts w:ascii="Times New Roman" w:hAnsi="Times New Roman" w:cs="Times New Roman"/>
          <w:sz w:val="24"/>
          <w:szCs w:val="24"/>
        </w:rPr>
        <w:t>[</w:t>
      </w:r>
      <w:r>
        <w:rPr>
          <w:rFonts w:ascii="Times New Roman" w:hAnsi="Times New Roman" w:cs="Times New Roman"/>
          <w:sz w:val="24"/>
          <w:szCs w:val="24"/>
        </w:rPr>
        <w:t>4-6</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p>
    <w:p w14:paraId="7F75DDEB" w14:textId="19001B52"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w:t>
      </w:r>
      <w:r w:rsidR="00AF4AB3" w:rsidRPr="000D6E7F">
        <w:rPr>
          <w:rFonts w:ascii="Times New Roman" w:hAnsi="Times New Roman" w:cs="Times New Roman"/>
          <w:sz w:val="24"/>
          <w:szCs w:val="24"/>
        </w:rPr>
        <w:t>NDVI</w:t>
      </w:r>
      <w:r w:rsidR="00626CF7" w:rsidRPr="000D6E7F">
        <w:rPr>
          <w:rFonts w:ascii="Times New Roman" w:hAnsi="Times New Roman" w:cs="Times New Roman"/>
          <w:sz w:val="24"/>
          <w:szCs w:val="24"/>
        </w:rPr>
        <w:t xml:space="preserve"> method</w:t>
      </w:r>
      <w:r w:rsidR="00AF4AB3"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is one of the most widely used indices in LULC change analysis. </w:t>
      </w:r>
      <w:r w:rsidR="00626CF7" w:rsidRPr="000D6E7F">
        <w:rPr>
          <w:rFonts w:ascii="Times New Roman" w:hAnsi="Times New Roman" w:cs="Times New Roman"/>
          <w:sz w:val="24"/>
          <w:szCs w:val="24"/>
        </w:rPr>
        <w:t xml:space="preserve">The NDVI, initially one of the earliest </w:t>
      </w:r>
      <w:r w:rsidR="00D71193">
        <w:rPr>
          <w:rFonts w:ascii="Times New Roman" w:hAnsi="Times New Roman" w:cs="Times New Roman"/>
          <w:sz w:val="24"/>
          <w:szCs w:val="24"/>
        </w:rPr>
        <w:t>RS</w:t>
      </w:r>
      <w:r w:rsidR="00626CF7" w:rsidRPr="000D6E7F">
        <w:rPr>
          <w:rFonts w:ascii="Times New Roman" w:hAnsi="Times New Roman" w:cs="Times New Roman"/>
          <w:sz w:val="24"/>
          <w:szCs w:val="24"/>
        </w:rPr>
        <w:t xml:space="preserve"> tools has been generated to make easy the complexities of multi-spectral imagery, and since then it </w:t>
      </w:r>
      <w:r w:rsidR="00D71193">
        <w:rPr>
          <w:rFonts w:ascii="Times New Roman" w:hAnsi="Times New Roman" w:cs="Times New Roman"/>
          <w:sz w:val="24"/>
          <w:szCs w:val="24"/>
        </w:rPr>
        <w:t>has become</w:t>
      </w:r>
      <w:r w:rsidR="00626CF7" w:rsidRPr="000D6E7F">
        <w:rPr>
          <w:rFonts w:ascii="Times New Roman" w:hAnsi="Times New Roman" w:cs="Times New Roman"/>
          <w:sz w:val="24"/>
          <w:szCs w:val="24"/>
        </w:rPr>
        <w:t xml:space="preserve"> the most widely used index for </w:t>
      </w:r>
      <w:r w:rsidR="00D71193">
        <w:rPr>
          <w:rFonts w:ascii="Times New Roman" w:hAnsi="Times New Roman" w:cs="Times New Roman"/>
          <w:sz w:val="24"/>
          <w:szCs w:val="24"/>
        </w:rPr>
        <w:t xml:space="preserve">the </w:t>
      </w:r>
      <w:r w:rsidR="00626CF7" w:rsidRPr="000D6E7F">
        <w:rPr>
          <w:rFonts w:ascii="Times New Roman" w:hAnsi="Times New Roman" w:cs="Times New Roman"/>
          <w:sz w:val="24"/>
          <w:szCs w:val="24"/>
        </w:rPr>
        <w:t xml:space="preserve">analysis of vegetation </w:t>
      </w:r>
      <w:r w:rsidR="00D71193">
        <w:rPr>
          <w:rFonts w:ascii="Times New Roman" w:hAnsi="Times New Roman" w:cs="Times New Roman"/>
          <w:sz w:val="24"/>
          <w:szCs w:val="24"/>
        </w:rPr>
        <w:t>[</w:t>
      </w:r>
      <w:r w:rsidR="00B91A3E">
        <w:rPr>
          <w:rFonts w:ascii="Times New Roman" w:hAnsi="Times New Roman" w:cs="Times New Roman"/>
          <w:sz w:val="24"/>
          <w:szCs w:val="24"/>
        </w:rPr>
        <w:t>7</w:t>
      </w:r>
      <w:r w:rsidR="00D71193">
        <w:rPr>
          <w:rFonts w:ascii="Times New Roman" w:hAnsi="Times New Roman" w:cs="Times New Roman"/>
          <w:sz w:val="24"/>
          <w:szCs w:val="24"/>
        </w:rPr>
        <w:t>]</w:t>
      </w:r>
      <w:r w:rsidR="00626CF7" w:rsidRPr="000D6E7F">
        <w:rPr>
          <w:rFonts w:ascii="Times New Roman" w:hAnsi="Times New Roman" w:cs="Times New Roman"/>
          <w:sz w:val="24"/>
          <w:szCs w:val="24"/>
        </w:rPr>
        <w:t>.</w:t>
      </w:r>
      <w:r w:rsidR="00626CF7" w:rsidRPr="000D6E7F">
        <w:t xml:space="preserve">  </w:t>
      </w:r>
      <w:r w:rsidRPr="000D6E7F">
        <w:rPr>
          <w:rFonts w:ascii="Times New Roman" w:hAnsi="Times New Roman" w:cs="Times New Roman"/>
          <w:sz w:val="24"/>
          <w:szCs w:val="24"/>
        </w:rPr>
        <w:t xml:space="preserve">It leverages the differential absorption of red and near-infrared light by vegetation to quantify the greenness of a landscape, thereby serving as a proxy for vegetation </w:t>
      </w:r>
      <w:r w:rsidRPr="00DC247C">
        <w:rPr>
          <w:rFonts w:ascii="Times New Roman" w:hAnsi="Times New Roman" w:cs="Times New Roman"/>
          <w:sz w:val="24"/>
          <w:szCs w:val="24"/>
        </w:rPr>
        <w:t xml:space="preserve">cover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8</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 xml:space="preserve"> </w:t>
      </w:r>
      <w:r w:rsidR="00B91A3E">
        <w:rPr>
          <w:rFonts w:ascii="Times New Roman" w:hAnsi="Times New Roman" w:cs="Times New Roman"/>
          <w:sz w:val="24"/>
          <w:szCs w:val="24"/>
        </w:rPr>
        <w:t>9</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Pr="000D6E7F">
        <w:rPr>
          <w:rFonts w:ascii="Times New Roman" w:hAnsi="Times New Roman" w:cs="Times New Roman"/>
          <w:sz w:val="24"/>
          <w:szCs w:val="24"/>
        </w:rPr>
        <w:t xml:space="preserve"> NDVI has been instrumental in detecting vegetation changes across various spatial scales, from global assessments to localized studies, enabling the monitoring of deforestation, desertification, and urban </w:t>
      </w:r>
      <w:r w:rsidRPr="00DC247C">
        <w:rPr>
          <w:rFonts w:ascii="Times New Roman" w:hAnsi="Times New Roman" w:cs="Times New Roman"/>
          <w:sz w:val="24"/>
          <w:szCs w:val="24"/>
        </w:rPr>
        <w:t xml:space="preserve">sprawl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10</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B91A3E">
        <w:rPr>
          <w:rFonts w:ascii="Times New Roman" w:hAnsi="Times New Roman" w:cs="Times New Roman"/>
          <w:sz w:val="24"/>
          <w:szCs w:val="24"/>
        </w:rPr>
        <w:t>11</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00C52C71" w:rsidRPr="000D6E7F">
        <w:t xml:space="preserve"> </w:t>
      </w:r>
      <w:r w:rsidR="00C52C71" w:rsidRPr="000D6E7F">
        <w:rPr>
          <w:rFonts w:ascii="Times New Roman" w:hAnsi="Times New Roman" w:cs="Times New Roman"/>
          <w:sz w:val="24"/>
          <w:szCs w:val="24"/>
        </w:rPr>
        <w:t xml:space="preserve">At present, the identification as well as tracking of both short-term and long-term changes using </w:t>
      </w:r>
      <w:r w:rsidR="00D71193">
        <w:rPr>
          <w:rFonts w:ascii="Times New Roman" w:hAnsi="Times New Roman" w:cs="Times New Roman"/>
          <w:sz w:val="24"/>
          <w:szCs w:val="24"/>
        </w:rPr>
        <w:t>RS</w:t>
      </w:r>
      <w:r w:rsidR="00C52C71" w:rsidRPr="000D6E7F">
        <w:rPr>
          <w:rFonts w:ascii="Times New Roman" w:hAnsi="Times New Roman" w:cs="Times New Roman"/>
          <w:sz w:val="24"/>
          <w:szCs w:val="24"/>
        </w:rPr>
        <w:t xml:space="preserve"> data and </w:t>
      </w:r>
      <w:r w:rsidR="00C52C71" w:rsidRPr="000E3D6F">
        <w:rPr>
          <w:rFonts w:ascii="Times New Roman" w:hAnsi="Times New Roman" w:cs="Times New Roman"/>
          <w:sz w:val="24"/>
          <w:szCs w:val="24"/>
        </w:rPr>
        <w:t>GIS</w:t>
      </w:r>
      <w:r w:rsidR="00C52C71" w:rsidRPr="000D6E7F">
        <w:rPr>
          <w:rFonts w:ascii="Times New Roman" w:hAnsi="Times New Roman" w:cs="Times New Roman"/>
          <w:sz w:val="24"/>
          <w:szCs w:val="24"/>
        </w:rPr>
        <w:t xml:space="preserve"> </w:t>
      </w:r>
      <w:r w:rsidR="00153359" w:rsidRPr="000D6E7F">
        <w:rPr>
          <w:rFonts w:ascii="Times New Roman" w:hAnsi="Times New Roman" w:cs="Times New Roman"/>
          <w:sz w:val="24"/>
          <w:szCs w:val="24"/>
        </w:rPr>
        <w:t>is</w:t>
      </w:r>
      <w:r w:rsidR="00C52C71" w:rsidRPr="000D6E7F">
        <w:rPr>
          <w:rFonts w:ascii="Times New Roman" w:hAnsi="Times New Roman" w:cs="Times New Roman"/>
          <w:sz w:val="24"/>
          <w:szCs w:val="24"/>
        </w:rPr>
        <w:t xml:space="preserve"> indispensable for providing live updates into LULC, land surface temperature </w:t>
      </w:r>
      <w:r w:rsidR="00626CF7" w:rsidRPr="000D6E7F">
        <w:rPr>
          <w:rFonts w:ascii="Times New Roman" w:hAnsi="Times New Roman" w:cs="Times New Roman"/>
          <w:sz w:val="24"/>
          <w:szCs w:val="24"/>
        </w:rPr>
        <w:t>(</w:t>
      </w:r>
      <w:r w:rsidR="00C52C71" w:rsidRPr="000D6E7F">
        <w:rPr>
          <w:rFonts w:ascii="Times New Roman" w:hAnsi="Times New Roman" w:cs="Times New Roman"/>
          <w:sz w:val="24"/>
          <w:szCs w:val="24"/>
        </w:rPr>
        <w:t>LST</w:t>
      </w:r>
      <w:r w:rsidR="00626CF7" w:rsidRPr="000D6E7F">
        <w:rPr>
          <w:rFonts w:ascii="Times New Roman" w:hAnsi="Times New Roman" w:cs="Times New Roman"/>
          <w:sz w:val="24"/>
          <w:szCs w:val="24"/>
        </w:rPr>
        <w:t>)</w:t>
      </w:r>
      <w:r w:rsidR="00C52C71" w:rsidRPr="000D6E7F">
        <w:rPr>
          <w:rFonts w:ascii="Times New Roman" w:hAnsi="Times New Roman" w:cs="Times New Roman"/>
          <w:sz w:val="24"/>
          <w:szCs w:val="24"/>
        </w:rPr>
        <w:t>, and NDVI, by capturing both spatial as well as tempora</w:t>
      </w:r>
      <w:r w:rsidR="00B91A3E">
        <w:rPr>
          <w:rFonts w:ascii="Times New Roman" w:hAnsi="Times New Roman" w:cs="Times New Roman"/>
          <w:sz w:val="24"/>
          <w:szCs w:val="24"/>
        </w:rPr>
        <w:t>l shifts [12</w:t>
      </w:r>
      <w:r w:rsidR="00A82244">
        <w:rPr>
          <w:rFonts w:ascii="Times New Roman" w:hAnsi="Times New Roman" w:cs="Times New Roman"/>
          <w:sz w:val="24"/>
          <w:szCs w:val="24"/>
        </w:rPr>
        <w:t>]</w:t>
      </w:r>
      <w:r w:rsidR="00C52C71" w:rsidRPr="000D6E7F">
        <w:rPr>
          <w:rFonts w:ascii="Times New Roman" w:hAnsi="Times New Roman" w:cs="Times New Roman"/>
          <w:sz w:val="24"/>
          <w:szCs w:val="24"/>
        </w:rPr>
        <w:t>.</w:t>
      </w:r>
    </w:p>
    <w:p w14:paraId="67CF794E" w14:textId="6E3011F1"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application of NDVI in LULC change analysis is particularly significant in regions like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where the interplay between natural and anthropogenic factors has led to substantial modifications in land cover </w:t>
      </w:r>
      <w:r w:rsidR="00D71193" w:rsidRPr="00DC247C">
        <w:rPr>
          <w:rFonts w:ascii="Times New Roman" w:hAnsi="Times New Roman" w:cs="Times New Roman"/>
          <w:sz w:val="24"/>
          <w:szCs w:val="24"/>
        </w:rPr>
        <w:t>[1</w:t>
      </w:r>
      <w:r w:rsidR="00B91A3E">
        <w:rPr>
          <w:rFonts w:ascii="Times New Roman" w:hAnsi="Times New Roman" w:cs="Times New Roman"/>
          <w:sz w:val="24"/>
          <w:szCs w:val="24"/>
        </w:rPr>
        <w:t>3</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B91A3E">
        <w:rPr>
          <w:rFonts w:ascii="Times New Roman" w:hAnsi="Times New Roman" w:cs="Times New Roman"/>
          <w:sz w:val="24"/>
          <w:szCs w:val="24"/>
        </w:rPr>
        <w:t>14</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Deforestation, agricultural encroachment, and infrastructural development are among the primary drivers of LULC changes in such forested landscapes, leading to habitat fragmentation, loss of biodiversity, and alterations in ecosystem services </w:t>
      </w:r>
      <w:r w:rsidR="00D71193" w:rsidRPr="00DC247C">
        <w:rPr>
          <w:rFonts w:ascii="Times New Roman" w:hAnsi="Times New Roman" w:cs="Times New Roman"/>
          <w:sz w:val="24"/>
          <w:szCs w:val="24"/>
        </w:rPr>
        <w:t>[1</w:t>
      </w:r>
      <w:r w:rsidR="00B91A3E">
        <w:rPr>
          <w:rFonts w:ascii="Times New Roman" w:hAnsi="Times New Roman" w:cs="Times New Roman"/>
          <w:sz w:val="24"/>
          <w:szCs w:val="24"/>
        </w:rPr>
        <w:t>5</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0D6E7F" w:rsidRPr="00DC247C">
        <w:rPr>
          <w:rFonts w:ascii="Times New Roman" w:hAnsi="Times New Roman" w:cs="Times New Roman"/>
          <w:sz w:val="24"/>
          <w:szCs w:val="24"/>
        </w:rPr>
        <w:t>1</w:t>
      </w:r>
      <w:r w:rsidR="00B91A3E">
        <w:rPr>
          <w:rFonts w:ascii="Times New Roman" w:hAnsi="Times New Roman" w:cs="Times New Roman"/>
          <w:sz w:val="24"/>
          <w:szCs w:val="24"/>
        </w:rPr>
        <w:t>6</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00C52C71" w:rsidRPr="000D6E7F">
        <w:t xml:space="preserve"> </w:t>
      </w:r>
    </w:p>
    <w:p w14:paraId="1D6D85C5" w14:textId="23EE50EC" w:rsidR="003A4AA7" w:rsidRPr="000D6E7F" w:rsidRDefault="0077644C" w:rsidP="0097197E">
      <w:pPr>
        <w:spacing w:line="360" w:lineRule="auto"/>
        <w:jc w:val="both"/>
        <w:rPr>
          <w:rFonts w:ascii="Times New Roman" w:hAnsi="Times New Roman" w:cs="Times New Roman"/>
          <w:sz w:val="24"/>
          <w:szCs w:val="24"/>
        </w:rPr>
      </w:pPr>
      <w:r w:rsidRPr="000C6EDC">
        <w:rPr>
          <w:rFonts w:ascii="Times New Roman" w:hAnsi="Times New Roman" w:cs="Times New Roman"/>
          <w:sz w:val="24"/>
          <w:szCs w:val="24"/>
        </w:rPr>
        <w:t>The Normalized Difference Vegetation Index (NDVI) is widely employed for assessing vegetation cover and growth activity in both qualitative and quantitative terms</w:t>
      </w:r>
      <w:r w:rsidR="00D333C6" w:rsidRPr="000D6E7F">
        <w:rPr>
          <w:sz w:val="24"/>
          <w:szCs w:val="24"/>
        </w:rPr>
        <w:t xml:space="preserve"> </w:t>
      </w:r>
      <w:r w:rsidR="00D71193" w:rsidRPr="000C6EDC">
        <w:rPr>
          <w:rFonts w:ascii="Times New Roman" w:hAnsi="Times New Roman" w:cs="Times New Roman"/>
          <w:sz w:val="24"/>
          <w:szCs w:val="24"/>
        </w:rPr>
        <w:t>[</w:t>
      </w:r>
      <w:r w:rsidR="000C6EDC">
        <w:rPr>
          <w:rFonts w:ascii="Times New Roman" w:hAnsi="Times New Roman" w:cs="Times New Roman"/>
          <w:sz w:val="24"/>
          <w:szCs w:val="24"/>
        </w:rPr>
        <w:t>17</w:t>
      </w:r>
      <w:r w:rsidR="00D71193" w:rsidRPr="000C6EDC">
        <w:rPr>
          <w:rFonts w:ascii="Times New Roman" w:hAnsi="Times New Roman" w:cs="Times New Roman"/>
          <w:sz w:val="24"/>
          <w:szCs w:val="24"/>
        </w:rPr>
        <w:t>]</w:t>
      </w:r>
      <w:r w:rsidRPr="000C6EDC">
        <w:rPr>
          <w:rFonts w:ascii="Times New Roman" w:hAnsi="Times New Roman" w:cs="Times New Roman"/>
        </w:rPr>
        <w:t>.</w:t>
      </w:r>
      <w:r w:rsidR="00626CF7" w:rsidRPr="000C6EDC">
        <w:rPr>
          <w:rFonts w:ascii="Times New Roman" w:hAnsi="Times New Roman" w:cs="Times New Roman"/>
        </w:rPr>
        <w:t xml:space="preserve"> </w:t>
      </w:r>
      <w:r w:rsidR="003A4AA7" w:rsidRPr="000C6EDC">
        <w:rPr>
          <w:rFonts w:ascii="Times New Roman" w:hAnsi="Times New Roman" w:cs="Times New Roman"/>
          <w:sz w:val="24"/>
          <w:szCs w:val="24"/>
        </w:rPr>
        <w:t>NDVI</w:t>
      </w:r>
      <w:r w:rsidR="003A4AA7" w:rsidRPr="000D6E7F">
        <w:rPr>
          <w:rFonts w:ascii="Times New Roman" w:hAnsi="Times New Roman" w:cs="Times New Roman"/>
          <w:sz w:val="24"/>
          <w:szCs w:val="24"/>
        </w:rPr>
        <w:t xml:space="preserve">-based </w:t>
      </w:r>
      <w:r w:rsidR="003A4AA7" w:rsidRPr="000D6E7F">
        <w:rPr>
          <w:rFonts w:ascii="Times New Roman" w:hAnsi="Times New Roman" w:cs="Times New Roman"/>
          <w:sz w:val="24"/>
          <w:szCs w:val="24"/>
        </w:rPr>
        <w:lastRenderedPageBreak/>
        <w:t xml:space="preserve">LULC change detection provides an efficient means of quantifying these changes over time, offering insights that are crucial for formulating conservation strategies and land management policies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1</w:t>
      </w:r>
      <w:r w:rsidR="000C6EDC">
        <w:rPr>
          <w:rFonts w:ascii="Times New Roman" w:hAnsi="Times New Roman" w:cs="Times New Roman"/>
          <w:sz w:val="24"/>
          <w:szCs w:val="24"/>
        </w:rPr>
        <w:t>8</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B91A3E">
        <w:rPr>
          <w:rFonts w:ascii="Times New Roman" w:hAnsi="Times New Roman" w:cs="Times New Roman"/>
          <w:sz w:val="24"/>
          <w:szCs w:val="24"/>
        </w:rPr>
        <w:t>1</w:t>
      </w:r>
      <w:r w:rsidR="000C6EDC">
        <w:rPr>
          <w:rFonts w:ascii="Times New Roman" w:hAnsi="Times New Roman" w:cs="Times New Roman"/>
          <w:sz w:val="24"/>
          <w:szCs w:val="24"/>
        </w:rPr>
        <w:t>9</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r w:rsidR="003A4AA7" w:rsidRPr="000D6E7F">
        <w:rPr>
          <w:rFonts w:ascii="Times New Roman" w:hAnsi="Times New Roman" w:cs="Times New Roman"/>
          <w:sz w:val="24"/>
          <w:szCs w:val="24"/>
        </w:rPr>
        <w:t xml:space="preserve"> The ability to monitor LULC changes through NDVI not only aids in assessing the health of forest ecosystems but also in understanding broader environmental implications such as carbon sequestration, hydrological cycles, and climate change mitigation </w:t>
      </w:r>
      <w:r w:rsidR="00D71193" w:rsidRPr="00DC247C">
        <w:rPr>
          <w:rFonts w:ascii="Times New Roman" w:hAnsi="Times New Roman" w:cs="Times New Roman"/>
          <w:sz w:val="24"/>
          <w:szCs w:val="24"/>
        </w:rPr>
        <w:t>[</w:t>
      </w:r>
      <w:r w:rsidR="000C6EDC">
        <w:rPr>
          <w:rFonts w:ascii="Times New Roman" w:hAnsi="Times New Roman" w:cs="Times New Roman"/>
          <w:sz w:val="24"/>
          <w:szCs w:val="24"/>
        </w:rPr>
        <w:t>20</w:t>
      </w:r>
      <w:r w:rsidR="00D71193" w:rsidRPr="00DC247C">
        <w:rPr>
          <w:rFonts w:ascii="Times New Roman" w:hAnsi="Times New Roman" w:cs="Times New Roman"/>
          <w:sz w:val="24"/>
          <w:szCs w:val="24"/>
        </w:rPr>
        <w:t>,</w:t>
      </w:r>
      <w:r w:rsidR="00B91A3E">
        <w:rPr>
          <w:rFonts w:ascii="Times New Roman" w:hAnsi="Times New Roman" w:cs="Times New Roman"/>
          <w:sz w:val="24"/>
          <w:szCs w:val="24"/>
        </w:rPr>
        <w:t xml:space="preserve"> </w:t>
      </w:r>
      <w:r w:rsidR="000C6EDC">
        <w:rPr>
          <w:rFonts w:ascii="Times New Roman" w:hAnsi="Times New Roman" w:cs="Times New Roman"/>
          <w:sz w:val="24"/>
          <w:szCs w:val="24"/>
        </w:rPr>
        <w:t>21</w:t>
      </w:r>
      <w:r w:rsidR="00D71193">
        <w:rPr>
          <w:rFonts w:ascii="Times New Roman" w:hAnsi="Times New Roman" w:cs="Times New Roman"/>
          <w:sz w:val="24"/>
          <w:szCs w:val="24"/>
        </w:rPr>
        <w:t>]</w:t>
      </w:r>
      <w:r w:rsidR="003A4AA7" w:rsidRPr="000D6E7F">
        <w:rPr>
          <w:rFonts w:ascii="Times New Roman" w:hAnsi="Times New Roman" w:cs="Times New Roman"/>
          <w:sz w:val="24"/>
          <w:szCs w:val="24"/>
        </w:rPr>
        <w:t xml:space="preserve">. Moreover, the integration of NDVI with other </w:t>
      </w:r>
      <w:r w:rsidR="00D71193">
        <w:rPr>
          <w:rFonts w:ascii="Times New Roman" w:hAnsi="Times New Roman" w:cs="Times New Roman"/>
          <w:sz w:val="24"/>
          <w:szCs w:val="24"/>
        </w:rPr>
        <w:t>RS</w:t>
      </w:r>
      <w:r w:rsidR="003A4AA7" w:rsidRPr="000D6E7F">
        <w:rPr>
          <w:rFonts w:ascii="Times New Roman" w:hAnsi="Times New Roman" w:cs="Times New Roman"/>
          <w:sz w:val="24"/>
          <w:szCs w:val="24"/>
        </w:rPr>
        <w:t xml:space="preserve"> indices and ancillary data enhances the accuracy of LULC classifications, facilitating more robust environmental assessments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2</w:t>
      </w:r>
      <w:r w:rsidR="000C6EDC">
        <w:rPr>
          <w:rFonts w:ascii="Times New Roman" w:hAnsi="Times New Roman" w:cs="Times New Roman"/>
          <w:sz w:val="24"/>
          <w:szCs w:val="24"/>
        </w:rPr>
        <w:t>2</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B91A3E">
        <w:rPr>
          <w:rFonts w:ascii="Times New Roman" w:hAnsi="Times New Roman" w:cs="Times New Roman"/>
          <w:sz w:val="24"/>
          <w:szCs w:val="24"/>
        </w:rPr>
        <w:t>2</w:t>
      </w:r>
      <w:r w:rsidR="000C6EDC">
        <w:rPr>
          <w:rFonts w:ascii="Times New Roman" w:hAnsi="Times New Roman" w:cs="Times New Roman"/>
          <w:sz w:val="24"/>
          <w:szCs w:val="24"/>
        </w:rPr>
        <w:t>3</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p>
    <w:p w14:paraId="0DB1A7A4" w14:textId="5F817C43"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Despite its widespread use, the NDVI method has certain limitations, including sensitivity to atmospheric conditions, soil background, and the saturation effect in dense vegetation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2</w:t>
      </w:r>
      <w:r w:rsidR="000C6EDC">
        <w:rPr>
          <w:rFonts w:ascii="Times New Roman" w:hAnsi="Times New Roman" w:cs="Times New Roman"/>
          <w:sz w:val="24"/>
          <w:szCs w:val="24"/>
        </w:rPr>
        <w:t>4</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B91A3E">
        <w:rPr>
          <w:rFonts w:ascii="Times New Roman" w:hAnsi="Times New Roman" w:cs="Times New Roman"/>
          <w:sz w:val="24"/>
          <w:szCs w:val="24"/>
        </w:rPr>
        <w:t>2</w:t>
      </w:r>
      <w:r w:rsidR="000C6EDC">
        <w:rPr>
          <w:rFonts w:ascii="Times New Roman" w:hAnsi="Times New Roman" w:cs="Times New Roman"/>
          <w:sz w:val="24"/>
          <w:szCs w:val="24"/>
        </w:rPr>
        <w:t>5</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Pr="000D6E7F">
        <w:rPr>
          <w:rFonts w:ascii="Times New Roman" w:hAnsi="Times New Roman" w:cs="Times New Roman"/>
          <w:sz w:val="24"/>
          <w:szCs w:val="24"/>
        </w:rPr>
        <w:t xml:space="preserve"> Addressing these challenges requires the incorporation of advanced techniques such as multi-temporal analysis, machine learning algorithms, and the fusion of NDVI with other vegetation indices to improve the reliability of LULC change </w:t>
      </w:r>
      <w:r w:rsidRPr="00DC247C">
        <w:rPr>
          <w:rFonts w:ascii="Times New Roman" w:hAnsi="Times New Roman" w:cs="Times New Roman"/>
          <w:sz w:val="24"/>
          <w:szCs w:val="24"/>
        </w:rPr>
        <w:t xml:space="preserve">detection </w:t>
      </w:r>
      <w:r w:rsidR="00D71193" w:rsidRPr="00DC247C">
        <w:rPr>
          <w:rFonts w:ascii="Times New Roman" w:hAnsi="Times New Roman" w:cs="Times New Roman"/>
          <w:sz w:val="24"/>
          <w:szCs w:val="24"/>
        </w:rPr>
        <w:t>[</w:t>
      </w:r>
      <w:r w:rsidR="00B91A3E">
        <w:rPr>
          <w:rFonts w:ascii="Times New Roman" w:hAnsi="Times New Roman" w:cs="Times New Roman"/>
          <w:sz w:val="24"/>
          <w:szCs w:val="24"/>
        </w:rPr>
        <w:t>2</w:t>
      </w:r>
      <w:r w:rsidR="000C6EDC">
        <w:rPr>
          <w:rFonts w:ascii="Times New Roman" w:hAnsi="Times New Roman" w:cs="Times New Roman"/>
          <w:sz w:val="24"/>
          <w:szCs w:val="24"/>
        </w:rPr>
        <w:t>6</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 xml:space="preserve"> </w:t>
      </w:r>
      <w:r w:rsidR="000C6EDC">
        <w:rPr>
          <w:rFonts w:ascii="Times New Roman" w:hAnsi="Times New Roman" w:cs="Times New Roman"/>
          <w:sz w:val="24"/>
          <w:szCs w:val="24"/>
        </w:rPr>
        <w:t>27</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Recent advancements in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technology, including the availability of high-resolution satellite imagery and the development of cloud-based platforms like Google Earth Engine, have further expanded the potential of NDVI in LULC studies </w:t>
      </w:r>
      <w:r w:rsidR="00D71193" w:rsidRPr="00DC247C">
        <w:rPr>
          <w:rFonts w:ascii="Times New Roman" w:hAnsi="Times New Roman" w:cs="Times New Roman"/>
          <w:sz w:val="24"/>
          <w:szCs w:val="24"/>
        </w:rPr>
        <w:t>[2</w:t>
      </w:r>
      <w:r w:rsidR="000C6EDC">
        <w:rPr>
          <w:rFonts w:ascii="Times New Roman" w:hAnsi="Times New Roman" w:cs="Times New Roman"/>
          <w:sz w:val="24"/>
          <w:szCs w:val="24"/>
        </w:rPr>
        <w:t>8</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0D6E7F" w:rsidRPr="00DC247C">
        <w:rPr>
          <w:rFonts w:ascii="Times New Roman" w:hAnsi="Times New Roman" w:cs="Times New Roman"/>
          <w:sz w:val="24"/>
          <w:szCs w:val="24"/>
        </w:rPr>
        <w:t>2</w:t>
      </w:r>
      <w:r w:rsidR="000C6EDC">
        <w:rPr>
          <w:rFonts w:ascii="Times New Roman" w:hAnsi="Times New Roman" w:cs="Times New Roman"/>
          <w:sz w:val="24"/>
          <w:szCs w:val="24"/>
        </w:rPr>
        <w:t>9</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p>
    <w:p w14:paraId="0E33D9A6" w14:textId="72A1038D"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This study focuses on </w:t>
      </w:r>
      <w:r w:rsidR="00E30DCF" w:rsidRPr="000D6E7F">
        <w:rPr>
          <w:rFonts w:ascii="Times New Roman" w:hAnsi="Times New Roman" w:cs="Times New Roman"/>
          <w:sz w:val="24"/>
          <w:szCs w:val="24"/>
        </w:rPr>
        <w:t>analysing</w:t>
      </w:r>
      <w:r w:rsidRPr="000D6E7F">
        <w:rPr>
          <w:rFonts w:ascii="Times New Roman" w:hAnsi="Times New Roman" w:cs="Times New Roman"/>
          <w:sz w:val="24"/>
          <w:szCs w:val="24"/>
        </w:rPr>
        <w:t xml:space="preserve"> LULC changes in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using the NDVI method, examining the period between</w:t>
      </w:r>
      <w:r w:rsidR="007C6CF5" w:rsidRPr="000D6E7F">
        <w:rPr>
          <w:rFonts w:ascii="Times New Roman" w:hAnsi="Times New Roman" w:cs="Times New Roman"/>
          <w:sz w:val="24"/>
          <w:szCs w:val="24"/>
        </w:rPr>
        <w:t xml:space="preserve"> 1994 -2024 </w:t>
      </w:r>
      <w:r w:rsidRPr="000D6E7F">
        <w:rPr>
          <w:rFonts w:ascii="Times New Roman" w:hAnsi="Times New Roman" w:cs="Times New Roman"/>
          <w:sz w:val="24"/>
          <w:szCs w:val="24"/>
        </w:rPr>
        <w:t xml:space="preserve">to identify trends and drivers of land cover modifications. The research aims to provide a comprehensive assessment of the spatial and temporal dynamics of vegetation cover in the area, contributing to the broader understanding of environmental change in </w:t>
      </w:r>
      <w:r w:rsidR="00E30DCF" w:rsidRPr="000D6E7F">
        <w:rPr>
          <w:rFonts w:ascii="Times New Roman" w:hAnsi="Times New Roman" w:cs="Times New Roman"/>
          <w:sz w:val="24"/>
          <w:szCs w:val="24"/>
        </w:rPr>
        <w:t>north eastern</w:t>
      </w:r>
      <w:r w:rsidRPr="000D6E7F">
        <w:rPr>
          <w:rFonts w:ascii="Times New Roman" w:hAnsi="Times New Roman" w:cs="Times New Roman"/>
          <w:sz w:val="24"/>
          <w:szCs w:val="24"/>
        </w:rPr>
        <w:t xml:space="preserve"> India </w:t>
      </w:r>
      <w:r w:rsidR="00D71193">
        <w:rPr>
          <w:rFonts w:ascii="Times New Roman" w:hAnsi="Times New Roman" w:cs="Times New Roman"/>
          <w:sz w:val="24"/>
          <w:szCs w:val="24"/>
        </w:rPr>
        <w:t>[</w:t>
      </w:r>
      <w:r w:rsidR="000C6EDC">
        <w:rPr>
          <w:rFonts w:ascii="Times New Roman" w:hAnsi="Times New Roman" w:cs="Times New Roman"/>
          <w:sz w:val="24"/>
          <w:szCs w:val="24"/>
        </w:rPr>
        <w:t>30</w:t>
      </w:r>
      <w:r w:rsidR="00D71193">
        <w:rPr>
          <w:rFonts w:ascii="Times New Roman" w:hAnsi="Times New Roman" w:cs="Times New Roman"/>
          <w:sz w:val="24"/>
          <w:szCs w:val="24"/>
        </w:rPr>
        <w:t>,</w:t>
      </w:r>
      <w:r w:rsidR="00FF4F22">
        <w:rPr>
          <w:rFonts w:ascii="Times New Roman" w:hAnsi="Times New Roman" w:cs="Times New Roman"/>
          <w:sz w:val="24"/>
          <w:szCs w:val="24"/>
        </w:rPr>
        <w:t xml:space="preserve"> </w:t>
      </w:r>
      <w:r w:rsidR="000C6EDC">
        <w:rPr>
          <w:rFonts w:ascii="Times New Roman" w:hAnsi="Times New Roman" w:cs="Times New Roman"/>
          <w:sz w:val="24"/>
          <w:szCs w:val="24"/>
        </w:rPr>
        <w:t>31</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The findings are expected to inform conservation efforts and support sustainable land management practices in the region, aligning with national and global environmental objectives </w:t>
      </w:r>
      <w:r w:rsidR="00D71193" w:rsidRPr="00DC247C">
        <w:rPr>
          <w:rFonts w:ascii="Times New Roman" w:hAnsi="Times New Roman" w:cs="Times New Roman"/>
          <w:sz w:val="24"/>
          <w:szCs w:val="24"/>
        </w:rPr>
        <w:t>[</w:t>
      </w:r>
      <w:r w:rsidR="000C6EDC">
        <w:rPr>
          <w:rFonts w:ascii="Times New Roman" w:hAnsi="Times New Roman" w:cs="Times New Roman"/>
          <w:sz w:val="24"/>
          <w:szCs w:val="24"/>
        </w:rPr>
        <w:t>32</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0C6EDC">
        <w:rPr>
          <w:rFonts w:ascii="Times New Roman" w:hAnsi="Times New Roman" w:cs="Times New Roman"/>
          <w:sz w:val="24"/>
          <w:szCs w:val="24"/>
        </w:rPr>
        <w:t>33</w:t>
      </w:r>
      <w:r w:rsidR="00D71193">
        <w:rPr>
          <w:rFonts w:ascii="Times New Roman" w:hAnsi="Times New Roman" w:cs="Times New Roman"/>
          <w:sz w:val="24"/>
          <w:szCs w:val="24"/>
        </w:rPr>
        <w:t>]</w:t>
      </w:r>
      <w:r w:rsidRPr="000D6E7F">
        <w:rPr>
          <w:rFonts w:ascii="Times New Roman" w:hAnsi="Times New Roman" w:cs="Times New Roman"/>
          <w:sz w:val="24"/>
          <w:szCs w:val="24"/>
        </w:rPr>
        <w:t>.</w:t>
      </w:r>
    </w:p>
    <w:p w14:paraId="770A6A33" w14:textId="7F398EFC" w:rsidR="00A20B62" w:rsidRPr="000D6E7F" w:rsidRDefault="006A366A" w:rsidP="0097197E">
      <w:pPr>
        <w:spacing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Study Area</w:t>
      </w:r>
    </w:p>
    <w:p w14:paraId="5F37FAB9" w14:textId="4B71645A" w:rsidR="00A20B62" w:rsidRPr="000D6E7F" w:rsidRDefault="00A20B62" w:rsidP="0097197E">
      <w:pPr>
        <w:spacing w:line="360" w:lineRule="auto"/>
        <w:jc w:val="both"/>
        <w:rPr>
          <w:rFonts w:ascii="Times New Roman" w:hAnsi="Times New Roman" w:cs="Times New Roman"/>
          <w:sz w:val="24"/>
          <w:szCs w:val="24"/>
        </w:rPr>
      </w:pP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located in the Karbi Anglong district of Assam, India, is a vital ecological region covering approximately 123.33 square </w:t>
      </w:r>
      <w:proofErr w:type="spellStart"/>
      <w:r w:rsidRPr="000D6E7F">
        <w:rPr>
          <w:rFonts w:ascii="Times New Roman" w:hAnsi="Times New Roman" w:cs="Times New Roman"/>
          <w:sz w:val="24"/>
          <w:szCs w:val="24"/>
        </w:rPr>
        <w:t>kilometers</w:t>
      </w:r>
      <w:proofErr w:type="spellEnd"/>
      <w:r w:rsidRPr="000D6E7F">
        <w:rPr>
          <w:rFonts w:ascii="Times New Roman" w:hAnsi="Times New Roman" w:cs="Times New Roman"/>
          <w:sz w:val="24"/>
          <w:szCs w:val="24"/>
        </w:rPr>
        <w:t>, according to the Department of Forestry, Government of Assam. However, digitized measurements indicate a slightly smaller area of 12</w:t>
      </w:r>
      <w:r w:rsidR="00701D5D" w:rsidRPr="000D6E7F">
        <w:rPr>
          <w:rFonts w:ascii="Times New Roman" w:hAnsi="Times New Roman" w:cs="Times New Roman"/>
          <w:sz w:val="24"/>
          <w:szCs w:val="24"/>
        </w:rPr>
        <w:t xml:space="preserve">3 </w:t>
      </w:r>
      <w:r w:rsidRPr="000D6E7F">
        <w:rPr>
          <w:rFonts w:ascii="Times New Roman" w:hAnsi="Times New Roman" w:cs="Times New Roman"/>
          <w:sz w:val="24"/>
          <w:szCs w:val="24"/>
        </w:rPr>
        <w:t xml:space="preserve">square </w:t>
      </w:r>
      <w:proofErr w:type="spellStart"/>
      <w:r w:rsidRPr="000D6E7F">
        <w:rPr>
          <w:rFonts w:ascii="Times New Roman" w:hAnsi="Times New Roman" w:cs="Times New Roman"/>
          <w:sz w:val="24"/>
          <w:szCs w:val="24"/>
        </w:rPr>
        <w:t>kilometers</w:t>
      </w:r>
      <w:proofErr w:type="spellEnd"/>
      <w:r w:rsidRPr="000D6E7F">
        <w:rPr>
          <w:rFonts w:ascii="Times New Roman" w:hAnsi="Times New Roman" w:cs="Times New Roman"/>
          <w:sz w:val="24"/>
          <w:szCs w:val="24"/>
        </w:rPr>
        <w:t>.</w:t>
      </w:r>
      <w:r w:rsidR="00701D5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w:t>
      </w:r>
      <w:r w:rsidR="00B36467" w:rsidRPr="000D6E7F">
        <w:rPr>
          <w:rFonts w:ascii="Times New Roman" w:hAnsi="Times New Roman" w:cs="Times New Roman"/>
          <w:sz w:val="24"/>
          <w:szCs w:val="24"/>
        </w:rPr>
        <w:t>RF</w:t>
      </w:r>
      <w:r w:rsidRPr="000D6E7F">
        <w:rPr>
          <w:rFonts w:ascii="Times New Roman" w:hAnsi="Times New Roman" w:cs="Times New Roman"/>
          <w:sz w:val="24"/>
          <w:szCs w:val="24"/>
        </w:rPr>
        <w:t xml:space="preserve"> is characterized by</w:t>
      </w:r>
      <w:r w:rsidR="00B36467" w:rsidRPr="000D6E7F">
        <w:rPr>
          <w:rFonts w:ascii="Times New Roman" w:hAnsi="Times New Roman" w:cs="Times New Roman"/>
          <w:sz w:val="24"/>
          <w:szCs w:val="24"/>
        </w:rPr>
        <w:t xml:space="preserve"> predominantly flat terrain, with a few elevated regions adding some topographical variation, slopes</w:t>
      </w:r>
      <w:r w:rsidRPr="000D6E7F">
        <w:rPr>
          <w:rFonts w:ascii="Times New Roman" w:hAnsi="Times New Roman" w:cs="Times New Roman"/>
          <w:sz w:val="24"/>
          <w:szCs w:val="24"/>
        </w:rPr>
        <w:t xml:space="preserve"> ranging from moderate slopes to steep inclines, interspersed with small streams that contribute to the region's hydrology. The climate is tropical, with heavy monsoon rains supporting a dense canopy of tropical evergreen and semi-evergreen species like </w:t>
      </w:r>
      <w:r w:rsidR="00701D5D" w:rsidRPr="000D6E7F">
        <w:rPr>
          <w:rFonts w:ascii="Times New Roman" w:hAnsi="Times New Roman" w:cs="Times New Roman"/>
          <w:sz w:val="24"/>
          <w:szCs w:val="24"/>
        </w:rPr>
        <w:t>many medicinal plants,</w:t>
      </w:r>
      <w:r w:rsidRPr="000D6E7F">
        <w:rPr>
          <w:rFonts w:ascii="Times New Roman" w:hAnsi="Times New Roman" w:cs="Times New Roman"/>
          <w:sz w:val="24"/>
          <w:szCs w:val="24"/>
        </w:rPr>
        <w:t xml:space="preserve"> </w:t>
      </w:r>
      <w:r w:rsidR="00701D5D" w:rsidRPr="000D6E7F">
        <w:rPr>
          <w:rFonts w:ascii="Times New Roman" w:hAnsi="Times New Roman" w:cs="Times New Roman"/>
          <w:sz w:val="24"/>
          <w:szCs w:val="24"/>
        </w:rPr>
        <w:t>t</w:t>
      </w:r>
      <w:r w:rsidRPr="000D6E7F">
        <w:rPr>
          <w:rFonts w:ascii="Times New Roman" w:hAnsi="Times New Roman" w:cs="Times New Roman"/>
          <w:sz w:val="24"/>
          <w:szCs w:val="24"/>
        </w:rPr>
        <w:t>eak, bamboo</w:t>
      </w:r>
      <w:r w:rsidR="00701D5D" w:rsidRPr="000D6E7F">
        <w:rPr>
          <w:rFonts w:ascii="Times New Roman" w:hAnsi="Times New Roman" w:cs="Times New Roman"/>
          <w:sz w:val="24"/>
          <w:szCs w:val="24"/>
        </w:rPr>
        <w:t>, etc</w:t>
      </w:r>
      <w:r w:rsidRPr="000D6E7F">
        <w:rPr>
          <w:rFonts w:ascii="Times New Roman" w:hAnsi="Times New Roman" w:cs="Times New Roman"/>
          <w:sz w:val="24"/>
          <w:szCs w:val="24"/>
        </w:rPr>
        <w:t>.</w:t>
      </w:r>
    </w:p>
    <w:p w14:paraId="1D84B39E" w14:textId="725D7CCE" w:rsidR="00A20B62" w:rsidRPr="000D6E7F" w:rsidRDefault="00A20B62" w:rsidP="0097197E">
      <w:pPr>
        <w:spacing w:line="360" w:lineRule="auto"/>
        <w:jc w:val="both"/>
        <w:rPr>
          <w:rFonts w:ascii="Times New Roman" w:hAnsi="Times New Roman" w:cs="Times New Roman"/>
          <w:sz w:val="24"/>
          <w:szCs w:val="24"/>
        </w:rPr>
      </w:pP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is rich in biodiversity, serving as a crucial corridor for elephants and </w:t>
      </w:r>
      <w:r w:rsidR="008C3070" w:rsidRPr="000D6E7F">
        <w:rPr>
          <w:rFonts w:ascii="Times New Roman" w:hAnsi="Times New Roman" w:cs="Times New Roman"/>
          <w:sz w:val="24"/>
          <w:szCs w:val="24"/>
        </w:rPr>
        <w:t xml:space="preserve">a </w:t>
      </w:r>
      <w:r w:rsidRPr="000D6E7F">
        <w:rPr>
          <w:rFonts w:ascii="Times New Roman" w:hAnsi="Times New Roman" w:cs="Times New Roman"/>
          <w:sz w:val="24"/>
          <w:szCs w:val="24"/>
        </w:rPr>
        <w:t xml:space="preserve">habitat for various wildlife, including tigers, leopards, and numerous bird species. </w:t>
      </w:r>
      <w:r w:rsidR="00C52C71" w:rsidRPr="000D6E7F">
        <w:rPr>
          <w:rFonts w:ascii="Times New Roman" w:hAnsi="Times New Roman" w:cs="Times New Roman"/>
          <w:sz w:val="24"/>
          <w:szCs w:val="24"/>
        </w:rPr>
        <w:t xml:space="preserve">The human-elephant conflict is a </w:t>
      </w:r>
      <w:r w:rsidR="00C52C71" w:rsidRPr="000D6E7F">
        <w:rPr>
          <w:rFonts w:ascii="Times New Roman" w:hAnsi="Times New Roman" w:cs="Times New Roman"/>
          <w:sz w:val="24"/>
          <w:szCs w:val="24"/>
        </w:rPr>
        <w:lastRenderedPageBreak/>
        <w:t xml:space="preserve">common challenge, and the </w:t>
      </w:r>
      <w:proofErr w:type="spellStart"/>
      <w:r w:rsidR="00C52C71" w:rsidRPr="000D6E7F">
        <w:rPr>
          <w:rFonts w:ascii="Times New Roman" w:hAnsi="Times New Roman" w:cs="Times New Roman"/>
          <w:sz w:val="24"/>
          <w:szCs w:val="24"/>
        </w:rPr>
        <w:t>Daldali</w:t>
      </w:r>
      <w:proofErr w:type="spellEnd"/>
      <w:r w:rsidR="00C52C71" w:rsidRPr="000D6E7F">
        <w:rPr>
          <w:rFonts w:ascii="Times New Roman" w:hAnsi="Times New Roman" w:cs="Times New Roman"/>
          <w:sz w:val="24"/>
          <w:szCs w:val="24"/>
        </w:rPr>
        <w:t xml:space="preserve"> Reserve Forest has similarly faced this issue</w:t>
      </w:r>
      <w:r w:rsidR="00C52C71" w:rsidRPr="000D6E7F">
        <w:t xml:space="preserve">. </w:t>
      </w:r>
      <w:r w:rsidR="00C52C71" w:rsidRPr="000D6E7F">
        <w:rPr>
          <w:rFonts w:ascii="Times New Roman" w:hAnsi="Times New Roman" w:cs="Times New Roman"/>
          <w:sz w:val="24"/>
          <w:szCs w:val="24"/>
        </w:rPr>
        <w:t>The forest</w:t>
      </w:r>
      <w:r w:rsidRPr="000D6E7F">
        <w:rPr>
          <w:rFonts w:ascii="Times New Roman" w:hAnsi="Times New Roman" w:cs="Times New Roman"/>
          <w:sz w:val="24"/>
          <w:szCs w:val="24"/>
        </w:rPr>
        <w:t xml:space="preserve"> faces challenges such as human-elephant conflict, especially during the harvest season. While largely untouched, some encroachment for agriculture and settlements has occurred at the forest's fringes.</w:t>
      </w:r>
      <w:r w:rsidR="00701D5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is essential for biodiversity conservation,</w:t>
      </w:r>
      <w:r w:rsidR="00C91C9C" w:rsidRPr="000D6E7F">
        <w:rPr>
          <w:rFonts w:ascii="Times New Roman" w:hAnsi="Times New Roman" w:cs="Times New Roman"/>
          <w:sz w:val="24"/>
          <w:szCs w:val="24"/>
        </w:rPr>
        <w:t xml:space="preserve"> </w:t>
      </w:r>
      <w:r w:rsidRPr="000D6E7F">
        <w:rPr>
          <w:rFonts w:ascii="Times New Roman" w:hAnsi="Times New Roman" w:cs="Times New Roman"/>
          <w:sz w:val="24"/>
          <w:szCs w:val="24"/>
        </w:rPr>
        <w:t>and the livelihoods of local communities. Its preservation is vital to maintaining the region's ecological balance.</w:t>
      </w:r>
    </w:p>
    <w:p w14:paraId="6783BB2E" w14:textId="5697605B" w:rsidR="00220693" w:rsidRPr="000D6E7F" w:rsidRDefault="00CB1B1E"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49366C69" wp14:editId="27FB08B3">
            <wp:extent cx="4314745" cy="2907928"/>
            <wp:effectExtent l="19050" t="19050" r="1016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34" t="4275" r="2217" b="4638"/>
                    <a:stretch/>
                  </pic:blipFill>
                  <pic:spPr bwMode="auto">
                    <a:xfrm>
                      <a:off x="0" y="0"/>
                      <a:ext cx="4327905" cy="2916797"/>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71F1AF1" w14:textId="3F176904" w:rsidR="00C91C9C" w:rsidRPr="000D6E7F" w:rsidRDefault="00C91C9C"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Figure 1: Location Map of the Study Area</w:t>
      </w:r>
    </w:p>
    <w:p w14:paraId="002490E1" w14:textId="77777777" w:rsidR="00B36467" w:rsidRPr="000D6E7F" w:rsidRDefault="00B36467" w:rsidP="0097197E">
      <w:pPr>
        <w:spacing w:after="0" w:line="360" w:lineRule="auto"/>
        <w:jc w:val="both"/>
        <w:rPr>
          <w:rFonts w:ascii="Times New Roman" w:hAnsi="Times New Roman" w:cs="Times New Roman"/>
          <w:sz w:val="24"/>
          <w:szCs w:val="24"/>
        </w:rPr>
      </w:pPr>
    </w:p>
    <w:p w14:paraId="5BE91380" w14:textId="125A44F2" w:rsidR="00FF4F22" w:rsidRPr="000D6E7F" w:rsidRDefault="00EC3977" w:rsidP="00FF4F22">
      <w:pPr>
        <w:spacing w:after="0"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Methodology</w:t>
      </w:r>
      <w:r w:rsidR="009304E0" w:rsidRPr="000D6E7F">
        <w:rPr>
          <w:rFonts w:ascii="Times New Roman" w:hAnsi="Times New Roman" w:cs="Times New Roman"/>
          <w:sz w:val="24"/>
          <w:szCs w:val="24"/>
        </w:rPr>
        <w:br/>
      </w:r>
      <w:r w:rsidR="00B91A3E" w:rsidRPr="00B91A3E">
        <w:rPr>
          <w:rFonts w:ascii="Times New Roman" w:hAnsi="Times New Roman" w:cs="Times New Roman"/>
          <w:color w:val="000000" w:themeColor="text1"/>
          <w:sz w:val="24"/>
        </w:rPr>
        <w:t>The research capitalize on Landsat 5 and 8 data (Path-Row 135-042) having 30 m spatial resolution from the years 1994, 2009, and 2024, obtained from the United States Geological Survey (USGS) portal</w:t>
      </w:r>
      <w:r w:rsidR="00B91A3E" w:rsidRPr="00B91A3E">
        <w:rPr>
          <w:color w:val="000000" w:themeColor="text1"/>
        </w:rPr>
        <w:t>.</w:t>
      </w:r>
      <w:r w:rsidR="00B91A3E" w:rsidRPr="00B91A3E">
        <w:rPr>
          <w:rStyle w:val="FootnoteReference"/>
          <w:rFonts w:ascii="Times New Roman" w:hAnsi="Times New Roman" w:cs="Times New Roman"/>
          <w:color w:val="000000" w:themeColor="text1"/>
          <w:sz w:val="24"/>
          <w:szCs w:val="24"/>
        </w:rPr>
        <w:t xml:space="preserve"> </w:t>
      </w:r>
      <w:r w:rsidR="00B91A3E" w:rsidRPr="00B91A3E">
        <w:rPr>
          <w:rStyle w:val="FootnoteReference"/>
          <w:rFonts w:ascii="Times New Roman" w:hAnsi="Times New Roman" w:cs="Times New Roman"/>
          <w:color w:val="000000" w:themeColor="text1"/>
          <w:sz w:val="24"/>
          <w:szCs w:val="24"/>
        </w:rPr>
        <w:footnoteReference w:id="1"/>
      </w:r>
      <w:r w:rsidR="00B91A3E" w:rsidRPr="00B91A3E">
        <w:rPr>
          <w:rFonts w:ascii="Times New Roman" w:hAnsi="Times New Roman" w:cs="Times New Roman"/>
          <w:color w:val="000000" w:themeColor="text1"/>
          <w:sz w:val="24"/>
          <w:szCs w:val="24"/>
        </w:rPr>
        <w:t xml:space="preserve"> (Table 1). These data were utilized to assemble </w:t>
      </w:r>
      <w:r w:rsidR="00B91A3E" w:rsidRPr="000D6E7F">
        <w:rPr>
          <w:rFonts w:ascii="Times New Roman" w:hAnsi="Times New Roman" w:cs="Times New Roman"/>
          <w:sz w:val="24"/>
          <w:szCs w:val="24"/>
        </w:rPr>
        <w:t xml:space="preserve">information about the forest cover of </w:t>
      </w:r>
      <w:proofErr w:type="spellStart"/>
      <w:r w:rsidR="00B91A3E" w:rsidRPr="000D6E7F">
        <w:rPr>
          <w:rFonts w:ascii="Times New Roman" w:hAnsi="Times New Roman" w:cs="Times New Roman"/>
          <w:sz w:val="24"/>
          <w:szCs w:val="24"/>
        </w:rPr>
        <w:t>Daldali</w:t>
      </w:r>
      <w:proofErr w:type="spellEnd"/>
      <w:r w:rsidR="00B91A3E" w:rsidRPr="000D6E7F">
        <w:rPr>
          <w:rFonts w:ascii="Times New Roman" w:hAnsi="Times New Roman" w:cs="Times New Roman"/>
          <w:sz w:val="24"/>
          <w:szCs w:val="24"/>
        </w:rPr>
        <w:t xml:space="preserve"> RF. The NDVI method, implemented through a raster </w:t>
      </w:r>
      <w:r w:rsidR="00B91A3E" w:rsidRPr="00B91A3E">
        <w:rPr>
          <w:rFonts w:ascii="Times New Roman" w:hAnsi="Times New Roman" w:cs="Times New Roman"/>
          <w:color w:val="000000" w:themeColor="text1"/>
          <w:sz w:val="24"/>
          <w:szCs w:val="24"/>
        </w:rPr>
        <w:t>calculator in Arc GIS 10.3 software, was employed to detect forest cover in the protected areas. The raster calculator tool in software capacitates the formulation and execution of si</w:t>
      </w:r>
      <w:r w:rsidR="00B91A3E" w:rsidRPr="000D6E7F">
        <w:rPr>
          <w:rFonts w:ascii="Times New Roman" w:hAnsi="Times New Roman" w:cs="Times New Roman"/>
          <w:sz w:val="24"/>
          <w:szCs w:val="24"/>
        </w:rPr>
        <w:t>ngle-line algebraic expressions that output the result as a raster. The NDVI range was classified using five different threshold values</w:t>
      </w:r>
      <w:r w:rsidR="000C6EDC">
        <w:rPr>
          <w:rFonts w:ascii="Times New Roman" w:hAnsi="Times New Roman" w:cs="Times New Roman"/>
          <w:sz w:val="24"/>
          <w:szCs w:val="24"/>
        </w:rPr>
        <w:t xml:space="preserve"> [34, 35</w:t>
      </w:r>
      <w:r w:rsidR="00B91A3E">
        <w:rPr>
          <w:rFonts w:ascii="Times New Roman" w:hAnsi="Times New Roman" w:cs="Times New Roman"/>
          <w:sz w:val="24"/>
          <w:szCs w:val="24"/>
        </w:rPr>
        <w:t>]</w:t>
      </w:r>
      <w:r w:rsidR="00B91A3E" w:rsidRPr="000D6E7F">
        <w:rPr>
          <w:rFonts w:ascii="Times New Roman" w:hAnsi="Times New Roman" w:cs="Times New Roman"/>
          <w:sz w:val="24"/>
          <w:szCs w:val="24"/>
        </w:rPr>
        <w:t>: below 0 for water bodies, 0 to 0.2 for bare soil, rock, sand, and cloud, 0.2 to 0.3 for shrubs and grassland, 0.3 to 0.5 for sparse vegetation, and above 0.5 for dense vegetation (Table 2).</w:t>
      </w:r>
      <w:r w:rsidR="00B91A3E">
        <w:rPr>
          <w:rFonts w:ascii="Times New Roman" w:hAnsi="Times New Roman" w:cs="Times New Roman"/>
          <w:sz w:val="24"/>
          <w:szCs w:val="24"/>
        </w:rPr>
        <w:t xml:space="preserve"> </w:t>
      </w:r>
      <w:r w:rsidR="00B91A3E" w:rsidRPr="000D6E7F">
        <w:rPr>
          <w:rFonts w:ascii="Times New Roman" w:hAnsi="Times New Roman" w:cs="Times New Roman"/>
          <w:sz w:val="24"/>
          <w:szCs w:val="24"/>
        </w:rPr>
        <w:t>The NDVI maps of the said years were reclassified for cha</w:t>
      </w:r>
      <w:r w:rsidR="00B91A3E">
        <w:rPr>
          <w:rFonts w:ascii="Times New Roman" w:hAnsi="Times New Roman" w:cs="Times New Roman"/>
          <w:sz w:val="24"/>
          <w:szCs w:val="24"/>
        </w:rPr>
        <w:t xml:space="preserve">nge analysis of the features. </w:t>
      </w:r>
      <w:r w:rsidR="00B91A3E" w:rsidRPr="00B91A3E">
        <w:rPr>
          <w:rFonts w:ascii="Times New Roman" w:hAnsi="Times New Roman" w:cs="Times New Roman"/>
          <w:color w:val="000000" w:themeColor="text1"/>
          <w:sz w:val="24"/>
          <w:szCs w:val="24"/>
        </w:rPr>
        <w:t xml:space="preserve">Since the data operated have </w:t>
      </w:r>
      <w:r w:rsidR="00B91A3E" w:rsidRPr="000D6E7F">
        <w:rPr>
          <w:rFonts w:ascii="Times New Roman" w:hAnsi="Times New Roman" w:cs="Times New Roman"/>
          <w:sz w:val="24"/>
          <w:szCs w:val="24"/>
        </w:rPr>
        <w:t>30 m spatial resolution, a pixel covers an area of 900 sq. m. The pixel value of each class is therefore multiplied by 900 to determine their total area coverage. Again, the total area in sq. m is divided by 10</w:t>
      </w:r>
      <w:r w:rsidR="00E30DCF" w:rsidRPr="000D6E7F">
        <w:rPr>
          <w:rFonts w:ascii="Times New Roman" w:hAnsi="Times New Roman" w:cs="Times New Roman"/>
          <w:sz w:val="24"/>
          <w:szCs w:val="24"/>
        </w:rPr>
        <w:t>, 00,000</w:t>
      </w:r>
      <w:r w:rsidR="00B91A3E" w:rsidRPr="000D6E7F">
        <w:rPr>
          <w:rFonts w:ascii="Times New Roman" w:hAnsi="Times New Roman" w:cs="Times New Roman"/>
          <w:sz w:val="24"/>
          <w:szCs w:val="24"/>
        </w:rPr>
        <w:t xml:space="preserve"> to convert it into sq.km</w:t>
      </w:r>
    </w:p>
    <w:p w14:paraId="3427334F" w14:textId="179DFE54" w:rsidR="009304E0" w:rsidRPr="000D6E7F" w:rsidRDefault="009304E0" w:rsidP="0097197E">
      <w:pPr>
        <w:spacing w:line="360" w:lineRule="auto"/>
        <w:jc w:val="both"/>
        <w:rPr>
          <w:rFonts w:ascii="Times New Roman" w:hAnsi="Times New Roman" w:cs="Times New Roman"/>
          <w:sz w:val="24"/>
          <w:szCs w:val="24"/>
          <w:lang w:val="en-GB"/>
        </w:rPr>
      </w:pPr>
    </w:p>
    <w:p w14:paraId="5A5CF74F" w14:textId="05E4523F" w:rsidR="009A56BA" w:rsidRPr="000D6E7F" w:rsidRDefault="009A56BA"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lastRenderedPageBreak/>
        <w:t>The formula used for NDVI is</w:t>
      </w:r>
    </w:p>
    <w:p w14:paraId="105D8E79" w14:textId="3E27FCA2" w:rsidR="00996824" w:rsidRPr="000D6E7F" w:rsidRDefault="001043E5" w:rsidP="0097197E">
      <w:pPr>
        <w:spacing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02ADEFEA" wp14:editId="01EE30F5">
            <wp:extent cx="933651" cy="2738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960864" cy="281862"/>
                    </a:xfrm>
                    <a:prstGeom prst="rect">
                      <a:avLst/>
                    </a:prstGeom>
                    <a:noFill/>
                    <a:ln>
                      <a:noFill/>
                    </a:ln>
                  </pic:spPr>
                </pic:pic>
              </a:graphicData>
            </a:graphic>
          </wp:inline>
        </w:drawing>
      </w:r>
    </w:p>
    <w:p w14:paraId="68F0F3B2" w14:textId="45FFE4EA" w:rsidR="00996824" w:rsidRPr="000D6E7F" w:rsidRDefault="00996824"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Table 1</w:t>
      </w:r>
      <w:r w:rsidR="006E1479" w:rsidRPr="000D6E7F">
        <w:rPr>
          <w:rFonts w:ascii="Times New Roman" w:hAnsi="Times New Roman" w:cs="Times New Roman"/>
          <w:sz w:val="24"/>
          <w:szCs w:val="24"/>
        </w:rPr>
        <w:t>:</w:t>
      </w:r>
      <w:r w:rsidRPr="000D6E7F">
        <w:rPr>
          <w:rFonts w:ascii="Times New Roman" w:hAnsi="Times New Roman" w:cs="Times New Roman"/>
          <w:sz w:val="24"/>
          <w:szCs w:val="24"/>
        </w:rPr>
        <w:t xml:space="preserve"> Details of Satellite Data </w:t>
      </w:r>
      <w:r w:rsidR="00D71193">
        <w:rPr>
          <w:rFonts w:ascii="Times New Roman" w:hAnsi="Times New Roman" w:cs="Times New Roman"/>
          <w:sz w:val="24"/>
          <w:szCs w:val="24"/>
        </w:rPr>
        <w:t>Used</w:t>
      </w:r>
    </w:p>
    <w:tbl>
      <w:tblPr>
        <w:tblStyle w:val="TableGrid"/>
        <w:tblW w:w="0" w:type="auto"/>
        <w:jc w:val="center"/>
        <w:tblLook w:val="04A0" w:firstRow="1" w:lastRow="0" w:firstColumn="1" w:lastColumn="0" w:noHBand="0" w:noVBand="1"/>
      </w:tblPr>
      <w:tblGrid>
        <w:gridCol w:w="1301"/>
        <w:gridCol w:w="1436"/>
        <w:gridCol w:w="1314"/>
        <w:gridCol w:w="1554"/>
        <w:gridCol w:w="1183"/>
        <w:gridCol w:w="1539"/>
        <w:gridCol w:w="1222"/>
      </w:tblGrid>
      <w:tr w:rsidR="000D6E7F" w:rsidRPr="000D6E7F" w14:paraId="02495A1C" w14:textId="77777777" w:rsidTr="00616444">
        <w:trPr>
          <w:jc w:val="center"/>
        </w:trPr>
        <w:tc>
          <w:tcPr>
            <w:tcW w:w="1314" w:type="dxa"/>
          </w:tcPr>
          <w:p w14:paraId="7EC1F39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YEAR</w:t>
            </w:r>
          </w:p>
        </w:tc>
        <w:tc>
          <w:tcPr>
            <w:tcW w:w="1442" w:type="dxa"/>
          </w:tcPr>
          <w:p w14:paraId="71A9DDD6"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SATELLITE</w:t>
            </w:r>
          </w:p>
        </w:tc>
        <w:tc>
          <w:tcPr>
            <w:tcW w:w="1323" w:type="dxa"/>
          </w:tcPr>
          <w:p w14:paraId="1CB044C5"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SENSOR</w:t>
            </w:r>
          </w:p>
        </w:tc>
        <w:tc>
          <w:tcPr>
            <w:tcW w:w="1558" w:type="dxa"/>
          </w:tcPr>
          <w:p w14:paraId="314AEDF1" w14:textId="271FAA1E"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DATE </w:t>
            </w:r>
            <w:r w:rsidR="006E1479" w:rsidRPr="000D6E7F">
              <w:rPr>
                <w:rFonts w:ascii="Times New Roman" w:hAnsi="Times New Roman" w:cs="Times New Roman"/>
                <w:sz w:val="18"/>
                <w:szCs w:val="18"/>
              </w:rPr>
              <w:t>of</w:t>
            </w:r>
            <w:r w:rsidRPr="000D6E7F">
              <w:rPr>
                <w:rFonts w:ascii="Times New Roman" w:hAnsi="Times New Roman" w:cs="Times New Roman"/>
                <w:sz w:val="18"/>
                <w:szCs w:val="18"/>
              </w:rPr>
              <w:t xml:space="preserve"> ACQUISITION</w:t>
            </w:r>
          </w:p>
        </w:tc>
        <w:tc>
          <w:tcPr>
            <w:tcW w:w="1194" w:type="dxa"/>
          </w:tcPr>
          <w:p w14:paraId="22970F1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PATH and ROW</w:t>
            </w:r>
          </w:p>
        </w:tc>
        <w:tc>
          <w:tcPr>
            <w:tcW w:w="1543" w:type="dxa"/>
          </w:tcPr>
          <w:p w14:paraId="182BC034"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RESOLUTION</w:t>
            </w:r>
          </w:p>
        </w:tc>
        <w:tc>
          <w:tcPr>
            <w:tcW w:w="1233" w:type="dxa"/>
          </w:tcPr>
          <w:p w14:paraId="6179373F"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BAND USED</w:t>
            </w:r>
          </w:p>
        </w:tc>
      </w:tr>
      <w:tr w:rsidR="000D6E7F" w:rsidRPr="000D6E7F" w14:paraId="29F4F3B0" w14:textId="77777777" w:rsidTr="00616444">
        <w:trPr>
          <w:jc w:val="center"/>
        </w:trPr>
        <w:tc>
          <w:tcPr>
            <w:tcW w:w="1314" w:type="dxa"/>
          </w:tcPr>
          <w:p w14:paraId="53129F11"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1994</w:t>
            </w:r>
          </w:p>
        </w:tc>
        <w:tc>
          <w:tcPr>
            <w:tcW w:w="1442" w:type="dxa"/>
          </w:tcPr>
          <w:p w14:paraId="0C6D202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5</w:t>
            </w:r>
          </w:p>
        </w:tc>
        <w:tc>
          <w:tcPr>
            <w:tcW w:w="1323" w:type="dxa"/>
          </w:tcPr>
          <w:p w14:paraId="51783663"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0BCB5E37"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04-01-1994</w:t>
            </w:r>
          </w:p>
        </w:tc>
        <w:tc>
          <w:tcPr>
            <w:tcW w:w="1194" w:type="dxa"/>
          </w:tcPr>
          <w:p w14:paraId="13EA2D3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19D44FAD"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01014D09"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B3 &amp; B4</w:t>
            </w:r>
          </w:p>
        </w:tc>
      </w:tr>
      <w:tr w:rsidR="000D6E7F" w:rsidRPr="000D6E7F" w14:paraId="0F30D7AA" w14:textId="77777777" w:rsidTr="00616444">
        <w:trPr>
          <w:jc w:val="center"/>
        </w:trPr>
        <w:tc>
          <w:tcPr>
            <w:tcW w:w="1314" w:type="dxa"/>
          </w:tcPr>
          <w:p w14:paraId="3535813A"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2009</w:t>
            </w:r>
          </w:p>
        </w:tc>
        <w:tc>
          <w:tcPr>
            <w:tcW w:w="1442" w:type="dxa"/>
          </w:tcPr>
          <w:p w14:paraId="60AB6EB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5</w:t>
            </w:r>
          </w:p>
        </w:tc>
        <w:tc>
          <w:tcPr>
            <w:tcW w:w="1323" w:type="dxa"/>
          </w:tcPr>
          <w:p w14:paraId="2BC24B9D"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57DB96F5"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13-01-2009</w:t>
            </w:r>
          </w:p>
        </w:tc>
        <w:tc>
          <w:tcPr>
            <w:tcW w:w="1194" w:type="dxa"/>
          </w:tcPr>
          <w:p w14:paraId="1E3B157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5BB23AC2"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5F8512D8"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B3 &amp; B4</w:t>
            </w:r>
          </w:p>
        </w:tc>
      </w:tr>
      <w:tr w:rsidR="00996824" w:rsidRPr="000D6E7F" w14:paraId="5D90343B" w14:textId="77777777" w:rsidTr="00616444">
        <w:trPr>
          <w:jc w:val="center"/>
        </w:trPr>
        <w:tc>
          <w:tcPr>
            <w:tcW w:w="1314" w:type="dxa"/>
          </w:tcPr>
          <w:p w14:paraId="5FCE5D83"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2024</w:t>
            </w:r>
          </w:p>
        </w:tc>
        <w:tc>
          <w:tcPr>
            <w:tcW w:w="1442" w:type="dxa"/>
          </w:tcPr>
          <w:p w14:paraId="0AE652B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8</w:t>
            </w:r>
          </w:p>
        </w:tc>
        <w:tc>
          <w:tcPr>
            <w:tcW w:w="1323" w:type="dxa"/>
          </w:tcPr>
          <w:p w14:paraId="410108EF"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5FC07E5B"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07-01-2024</w:t>
            </w:r>
          </w:p>
        </w:tc>
        <w:tc>
          <w:tcPr>
            <w:tcW w:w="1194" w:type="dxa"/>
          </w:tcPr>
          <w:p w14:paraId="76BC5879"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329B1DFB"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03DA022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B4 &amp; B5</w:t>
            </w:r>
          </w:p>
        </w:tc>
      </w:tr>
    </w:tbl>
    <w:p w14:paraId="5B3EE4A9" w14:textId="77777777" w:rsidR="00616444" w:rsidRPr="000D6E7F" w:rsidRDefault="00616444" w:rsidP="00616444">
      <w:pPr>
        <w:spacing w:after="0" w:line="360" w:lineRule="auto"/>
        <w:jc w:val="both"/>
        <w:rPr>
          <w:rFonts w:ascii="Times New Roman" w:hAnsi="Times New Roman" w:cs="Times New Roman"/>
          <w:sz w:val="24"/>
          <w:szCs w:val="24"/>
        </w:rPr>
      </w:pPr>
    </w:p>
    <w:p w14:paraId="08BC1D23" w14:textId="721F5244" w:rsidR="009A56BA" w:rsidRPr="000D6E7F" w:rsidRDefault="00D21036" w:rsidP="0097197E">
      <w:pPr>
        <w:spacing w:after="0"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 xml:space="preserve">Table: 2 NDVI classes </w:t>
      </w:r>
    </w:p>
    <w:tbl>
      <w:tblPr>
        <w:tblStyle w:val="TableGrid"/>
        <w:tblW w:w="0" w:type="auto"/>
        <w:tblLook w:val="04A0" w:firstRow="1" w:lastRow="0" w:firstColumn="1" w:lastColumn="0" w:noHBand="0" w:noVBand="1"/>
      </w:tblPr>
      <w:tblGrid>
        <w:gridCol w:w="2308"/>
        <w:gridCol w:w="3282"/>
      </w:tblGrid>
      <w:tr w:rsidR="000D6E7F" w:rsidRPr="000D6E7F" w14:paraId="44D49921" w14:textId="77777777" w:rsidTr="00724B07">
        <w:tc>
          <w:tcPr>
            <w:tcW w:w="0" w:type="auto"/>
          </w:tcPr>
          <w:p w14:paraId="5408301A" w14:textId="5CBBF89D" w:rsidR="00701D5D" w:rsidRPr="000D6E7F" w:rsidRDefault="00701D5D" w:rsidP="0097197E">
            <w:pPr>
              <w:spacing w:line="360" w:lineRule="auto"/>
              <w:jc w:val="center"/>
              <w:rPr>
                <w:rFonts w:ascii="Times New Roman" w:hAnsi="Times New Roman" w:cs="Times New Roman"/>
                <w:b/>
                <w:sz w:val="18"/>
                <w:szCs w:val="18"/>
              </w:rPr>
            </w:pPr>
            <w:r w:rsidRPr="000D6E7F">
              <w:rPr>
                <w:rFonts w:ascii="Times New Roman" w:hAnsi="Times New Roman" w:cs="Times New Roman"/>
                <w:b/>
                <w:sz w:val="18"/>
                <w:szCs w:val="18"/>
              </w:rPr>
              <w:t>RANGE OF NDVI VALUE</w:t>
            </w:r>
          </w:p>
        </w:tc>
        <w:tc>
          <w:tcPr>
            <w:tcW w:w="0" w:type="auto"/>
          </w:tcPr>
          <w:p w14:paraId="592A3F8B" w14:textId="77777777" w:rsidR="00701D5D" w:rsidRPr="000D6E7F" w:rsidRDefault="00701D5D" w:rsidP="0097197E">
            <w:pPr>
              <w:spacing w:line="360" w:lineRule="auto"/>
              <w:jc w:val="center"/>
              <w:rPr>
                <w:rFonts w:ascii="Times New Roman" w:hAnsi="Times New Roman" w:cs="Times New Roman"/>
                <w:b/>
                <w:sz w:val="18"/>
                <w:szCs w:val="18"/>
              </w:rPr>
            </w:pPr>
            <w:r w:rsidRPr="000D6E7F">
              <w:rPr>
                <w:rFonts w:ascii="Times New Roman" w:hAnsi="Times New Roman" w:cs="Times New Roman"/>
                <w:b/>
                <w:sz w:val="18"/>
                <w:szCs w:val="18"/>
              </w:rPr>
              <w:t>FEATURES</w:t>
            </w:r>
          </w:p>
        </w:tc>
      </w:tr>
      <w:tr w:rsidR="000D6E7F" w:rsidRPr="000D6E7F" w14:paraId="68C1D75E" w14:textId="77777777" w:rsidTr="00724B07">
        <w:tc>
          <w:tcPr>
            <w:tcW w:w="0" w:type="auto"/>
          </w:tcPr>
          <w:p w14:paraId="2B035477"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BELOW 0</w:t>
            </w:r>
          </w:p>
        </w:tc>
        <w:tc>
          <w:tcPr>
            <w:tcW w:w="0" w:type="auto"/>
          </w:tcPr>
          <w:p w14:paraId="39CC2C07"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WATERBODY</w:t>
            </w:r>
          </w:p>
        </w:tc>
      </w:tr>
      <w:tr w:rsidR="000D6E7F" w:rsidRPr="000D6E7F" w14:paraId="24C729DC" w14:textId="77777777" w:rsidTr="00724B07">
        <w:tc>
          <w:tcPr>
            <w:tcW w:w="0" w:type="auto"/>
          </w:tcPr>
          <w:p w14:paraId="6F700E48"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0-0.2</w:t>
            </w:r>
          </w:p>
        </w:tc>
        <w:tc>
          <w:tcPr>
            <w:tcW w:w="0" w:type="auto"/>
          </w:tcPr>
          <w:p w14:paraId="38E0D7E4"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BARE SOIL, ROCK, SAND and CLOUD</w:t>
            </w:r>
          </w:p>
        </w:tc>
      </w:tr>
      <w:tr w:rsidR="000D6E7F" w:rsidRPr="000D6E7F" w14:paraId="7D4A0D83" w14:textId="77777777" w:rsidTr="00724B07">
        <w:tc>
          <w:tcPr>
            <w:tcW w:w="0" w:type="auto"/>
          </w:tcPr>
          <w:p w14:paraId="079DA335"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0.2-0.3</w:t>
            </w:r>
          </w:p>
        </w:tc>
        <w:tc>
          <w:tcPr>
            <w:tcW w:w="0" w:type="auto"/>
          </w:tcPr>
          <w:p w14:paraId="458AEA44"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SHRUB/GRASSLAND</w:t>
            </w:r>
          </w:p>
        </w:tc>
      </w:tr>
      <w:tr w:rsidR="000D6E7F" w:rsidRPr="000D6E7F" w14:paraId="27E004D3" w14:textId="77777777" w:rsidTr="00724B07">
        <w:tc>
          <w:tcPr>
            <w:tcW w:w="0" w:type="auto"/>
          </w:tcPr>
          <w:p w14:paraId="1CF5607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0.3-0.5</w:t>
            </w:r>
          </w:p>
        </w:tc>
        <w:tc>
          <w:tcPr>
            <w:tcW w:w="0" w:type="auto"/>
          </w:tcPr>
          <w:p w14:paraId="0C8365AB"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SPARSE VEGETATION</w:t>
            </w:r>
          </w:p>
        </w:tc>
      </w:tr>
      <w:tr w:rsidR="000D6E7F" w:rsidRPr="000D6E7F" w14:paraId="2124CB33" w14:textId="77777777" w:rsidTr="00724B07">
        <w:tc>
          <w:tcPr>
            <w:tcW w:w="0" w:type="auto"/>
          </w:tcPr>
          <w:p w14:paraId="5825D2D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ABOVE 0.5</w:t>
            </w:r>
          </w:p>
        </w:tc>
        <w:tc>
          <w:tcPr>
            <w:tcW w:w="0" w:type="auto"/>
          </w:tcPr>
          <w:p w14:paraId="3E175BA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DENSE and HEALTHY VEGETATION</w:t>
            </w:r>
          </w:p>
        </w:tc>
      </w:tr>
    </w:tbl>
    <w:p w14:paraId="2A7EDC7F" w14:textId="1232CE83" w:rsidR="00E16488" w:rsidRPr="000D6E7F" w:rsidRDefault="00E16488" w:rsidP="0097197E">
      <w:pPr>
        <w:spacing w:line="360" w:lineRule="auto"/>
        <w:jc w:val="both"/>
        <w:rPr>
          <w:rFonts w:ascii="Times New Roman" w:hAnsi="Times New Roman" w:cs="Times New Roman"/>
          <w:sz w:val="24"/>
          <w:szCs w:val="24"/>
        </w:rPr>
      </w:pPr>
    </w:p>
    <w:p w14:paraId="594EBF6E" w14:textId="77777777" w:rsidR="00B91A3E" w:rsidRDefault="00B91A3E" w:rsidP="0097197E">
      <w:pPr>
        <w:spacing w:after="0" w:line="360" w:lineRule="auto"/>
        <w:jc w:val="both"/>
        <w:rPr>
          <w:rFonts w:ascii="Times New Roman" w:hAnsi="Times New Roman" w:cs="Times New Roman"/>
          <w:b/>
          <w:sz w:val="24"/>
          <w:szCs w:val="24"/>
        </w:rPr>
      </w:pPr>
    </w:p>
    <w:p w14:paraId="62F0A64E" w14:textId="77777777" w:rsidR="00B91A3E" w:rsidRDefault="00B91A3E" w:rsidP="0097197E">
      <w:pPr>
        <w:spacing w:after="0" w:line="360" w:lineRule="auto"/>
        <w:jc w:val="both"/>
        <w:rPr>
          <w:rFonts w:ascii="Times New Roman" w:hAnsi="Times New Roman" w:cs="Times New Roman"/>
          <w:b/>
          <w:sz w:val="24"/>
          <w:szCs w:val="24"/>
        </w:rPr>
      </w:pPr>
    </w:p>
    <w:p w14:paraId="2D9CFDA1" w14:textId="1BDC1174" w:rsidR="00226D50" w:rsidRPr="000D6E7F" w:rsidRDefault="006E1479" w:rsidP="0097197E">
      <w:pPr>
        <w:spacing w:after="0"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Result</w:t>
      </w:r>
    </w:p>
    <w:p w14:paraId="78380E83" w14:textId="40FE4626"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A comparative and analytical analysis of the LULC changes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from 1994 to 2024 using NDVI is crucial to understanding the transformation of the forest ecosystem. The analysis will encompass the interpretation of NDVI maps provided for the years 1994, 2009, and 2024. The focus</w:t>
      </w:r>
      <w:r w:rsidR="00E30DCF">
        <w:rPr>
          <w:rFonts w:ascii="Times New Roman" w:hAnsi="Times New Roman" w:cs="Times New Roman"/>
          <w:sz w:val="24"/>
          <w:szCs w:val="24"/>
        </w:rPr>
        <w:t xml:space="preserve"> w</w:t>
      </w:r>
      <w:r w:rsidR="00E30DCF" w:rsidRPr="000D6E7F">
        <w:rPr>
          <w:rFonts w:ascii="Times New Roman" w:hAnsi="Times New Roman" w:cs="Times New Roman"/>
          <w:sz w:val="24"/>
          <w:szCs w:val="24"/>
        </w:rPr>
        <w:t>ill</w:t>
      </w:r>
      <w:r w:rsidRPr="000D6E7F">
        <w:rPr>
          <w:rFonts w:ascii="Times New Roman" w:hAnsi="Times New Roman" w:cs="Times New Roman"/>
          <w:sz w:val="24"/>
          <w:szCs w:val="24"/>
        </w:rPr>
        <w:t xml:space="preserve"> be on identifying trends in vegetation cover changes, understanding the underlying causes, and exploring the implications of these changes on the ecosystem.</w:t>
      </w:r>
    </w:p>
    <w:p w14:paraId="1991A357" w14:textId="77777777" w:rsidR="006E1479" w:rsidRPr="000D6E7F" w:rsidRDefault="006E1479"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Introduction to NDVI and LULC Change Analysis</w:t>
      </w:r>
    </w:p>
    <w:p w14:paraId="0333FBE1" w14:textId="30E75983"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method is a widely used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technique that quantifies vegetation by measuring the difference between the near-infrared (which vegetation strongly reflects) and red (which vegetation absorbs) </w:t>
      </w:r>
      <w:r w:rsidR="008C3070" w:rsidRPr="000D6E7F">
        <w:rPr>
          <w:rFonts w:ascii="Times New Roman" w:hAnsi="Times New Roman" w:cs="Times New Roman"/>
          <w:sz w:val="24"/>
          <w:szCs w:val="24"/>
        </w:rPr>
        <w:t>electromagnetic spectrum bands</w:t>
      </w:r>
      <w:r w:rsidRPr="000D6E7F">
        <w:rPr>
          <w:rFonts w:ascii="Times New Roman" w:hAnsi="Times New Roman" w:cs="Times New Roman"/>
          <w:sz w:val="24"/>
          <w:szCs w:val="24"/>
        </w:rPr>
        <w:t>. NDVI values range from -1 to +1, where values closer to +1 indicate healthy vegetation</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and values below 0 suggest the absence of vegetation (e.g., water bodies, bare soil).</w:t>
      </w:r>
    </w:p>
    <w:p w14:paraId="7C528DD9" w14:textId="257F1B04"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LULC change analysis using NDVI provides valuable insights into the dynamics of forest cover, land degradation, and ecosystem health. In the context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RF, the analysis of NDVI maps from 1994, 2009, and 2024 allows us to track the temporal and spatial shifts in vegetation cover, which are indicative of broader environmental and anthropogenic influences.</w:t>
      </w:r>
    </w:p>
    <w:p w14:paraId="649661F0" w14:textId="77777777" w:rsidR="006E1479" w:rsidRPr="000D6E7F" w:rsidRDefault="006E1479" w:rsidP="0097197E">
      <w:pPr>
        <w:spacing w:after="0" w:line="360" w:lineRule="auto"/>
        <w:jc w:val="both"/>
        <w:rPr>
          <w:rFonts w:ascii="Times New Roman" w:hAnsi="Times New Roman" w:cs="Times New Roman"/>
          <w:sz w:val="24"/>
          <w:szCs w:val="24"/>
        </w:rPr>
      </w:pPr>
    </w:p>
    <w:p w14:paraId="6C263C6A" w14:textId="4DDC41DE" w:rsidR="00226D50" w:rsidRPr="000D6E7F" w:rsidRDefault="00701D5D"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63C11445" wp14:editId="11A4FF98">
            <wp:extent cx="5743575" cy="3830651"/>
            <wp:effectExtent l="19050" t="19050" r="952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8688" cy="3867408"/>
                    </a:xfrm>
                    <a:prstGeom prst="rect">
                      <a:avLst/>
                    </a:prstGeom>
                    <a:noFill/>
                    <a:ln w="12700">
                      <a:solidFill>
                        <a:schemeClr val="tx1"/>
                      </a:solidFill>
                    </a:ln>
                  </pic:spPr>
                </pic:pic>
              </a:graphicData>
            </a:graphic>
          </wp:inline>
        </w:drawing>
      </w:r>
    </w:p>
    <w:p w14:paraId="166972CF" w14:textId="0E660B14" w:rsidR="00226D50" w:rsidRPr="000D6E7F" w:rsidRDefault="006E1479"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Figure 2: LULC </w:t>
      </w:r>
      <w:r w:rsidR="00C847DC" w:rsidRPr="000D6E7F">
        <w:rPr>
          <w:rFonts w:ascii="Times New Roman" w:hAnsi="Times New Roman" w:cs="Times New Roman"/>
          <w:sz w:val="24"/>
          <w:szCs w:val="24"/>
        </w:rPr>
        <w:t>M</w:t>
      </w:r>
      <w:r w:rsidR="00086F4F" w:rsidRPr="000D6E7F">
        <w:rPr>
          <w:rFonts w:ascii="Times New Roman" w:hAnsi="Times New Roman" w:cs="Times New Roman"/>
          <w:sz w:val="24"/>
          <w:szCs w:val="24"/>
        </w:rPr>
        <w:t xml:space="preserve">ap of </w:t>
      </w:r>
      <w:proofErr w:type="spellStart"/>
      <w:r w:rsidR="00086F4F" w:rsidRPr="000D6E7F">
        <w:rPr>
          <w:rFonts w:ascii="Times New Roman" w:hAnsi="Times New Roman" w:cs="Times New Roman"/>
          <w:sz w:val="24"/>
          <w:szCs w:val="24"/>
        </w:rPr>
        <w:t>Daldali</w:t>
      </w:r>
      <w:proofErr w:type="spellEnd"/>
      <w:r w:rsidR="00086F4F" w:rsidRPr="000D6E7F">
        <w:rPr>
          <w:rFonts w:ascii="Times New Roman" w:hAnsi="Times New Roman" w:cs="Times New Roman"/>
          <w:sz w:val="24"/>
          <w:szCs w:val="24"/>
        </w:rPr>
        <w:t xml:space="preserve"> RF</w:t>
      </w:r>
    </w:p>
    <w:p w14:paraId="5CFF718D" w14:textId="77777777" w:rsidR="00226D50" w:rsidRPr="000D6E7F" w:rsidRDefault="00226D50" w:rsidP="0097197E">
      <w:pPr>
        <w:spacing w:after="0" w:line="360" w:lineRule="auto"/>
        <w:jc w:val="both"/>
        <w:rPr>
          <w:rFonts w:ascii="Times New Roman" w:hAnsi="Times New Roman" w:cs="Times New Roman"/>
          <w:sz w:val="24"/>
          <w:szCs w:val="24"/>
        </w:rPr>
      </w:pPr>
    </w:p>
    <w:p w14:paraId="607322B3" w14:textId="77777777" w:rsidR="00086F4F" w:rsidRPr="000D6E7F" w:rsidRDefault="00086F4F"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1994: A Baseline of Dense Vegetation</w:t>
      </w:r>
    </w:p>
    <w:p w14:paraId="3C0717E0" w14:textId="3BE63806" w:rsidR="00086F4F" w:rsidRPr="000D6E7F" w:rsidRDefault="00086F4F"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map (Figure 2) of 1994 reveals a landscape dominated by dense vegetation, with NDVI values predominantly above 0.5 (Table 3). This indicates that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RF was characterized by a healthy forest cover. Sparse vegetation (NDVI values between 0.3 and 0.5) was minimal, and areas classified as shrub/grassland (NDVI values between 0.2 and 0.3) were limited. Bare soil, rocks, sand, and clouds (NDVI values between 0 and 0.2) were scarcely present, suggesting that the forest was largely undisturbed by anthropogenic activities or natural calamities that could have led to significant soil exposure or degradation.</w:t>
      </w:r>
    </w:p>
    <w:p w14:paraId="792B8DCC" w14:textId="7B2737BC" w:rsidR="00346FFC" w:rsidRPr="000D6E7F" w:rsidRDefault="00086F4F"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The dominance of dense vegetation in 1994 can be attributed to several factors, including the forest's protected status, effective conservation practices, and possibly lower levels of human encroachment. The healthy forest ecosystem likely supported a rich biodiversity, provided habitat for various wildlife species, and contributed to the region's ecological stability.</w:t>
      </w:r>
    </w:p>
    <w:p w14:paraId="7A678C17" w14:textId="3E87B541" w:rsidR="00415346" w:rsidRPr="000D6E7F" w:rsidRDefault="00086F4F"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Table 3: </w:t>
      </w:r>
      <w:bookmarkStart w:id="1" w:name="_Hlk162743284"/>
      <w:r w:rsidRPr="000D6E7F">
        <w:rPr>
          <w:rFonts w:ascii="Times New Roman" w:hAnsi="Times New Roman" w:cs="Times New Roman"/>
          <w:sz w:val="24"/>
          <w:szCs w:val="24"/>
        </w:rPr>
        <w:t xml:space="preserve">LU/LC Change Analysis </w:t>
      </w:r>
      <w:bookmarkEnd w:id="1"/>
      <w:r w:rsidRPr="000D6E7F">
        <w:rPr>
          <w:rFonts w:ascii="Times New Roman" w:hAnsi="Times New Roman" w:cs="Times New Roman"/>
          <w:sz w:val="24"/>
          <w:szCs w:val="24"/>
        </w:rPr>
        <w:t>(1994, 2009, and 2024)</w:t>
      </w:r>
    </w:p>
    <w:tbl>
      <w:tblPr>
        <w:tblW w:w="0" w:type="auto"/>
        <w:tblLook w:val="04A0" w:firstRow="1" w:lastRow="0" w:firstColumn="1" w:lastColumn="0" w:noHBand="0" w:noVBand="1"/>
      </w:tblPr>
      <w:tblGrid>
        <w:gridCol w:w="3088"/>
        <w:gridCol w:w="1282"/>
        <w:gridCol w:w="1302"/>
        <w:gridCol w:w="1043"/>
        <w:gridCol w:w="1183"/>
        <w:gridCol w:w="1651"/>
      </w:tblGrid>
      <w:tr w:rsidR="000D6E7F" w:rsidRPr="000D6E7F" w14:paraId="0877B95C"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6D26D6"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1994</w:t>
            </w:r>
          </w:p>
        </w:tc>
      </w:tr>
      <w:tr w:rsidR="000D6E7F" w:rsidRPr="000D6E7F" w14:paraId="432CC3B1"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0EBB3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430063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716A530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70FA9DDF" w14:textId="77777777" w:rsidR="00616444"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1700FE0E" w14:textId="5386AF29"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lastRenderedPageBreak/>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6B62935E" w14:textId="77777777" w:rsidR="00616444"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lastRenderedPageBreak/>
              <w:t xml:space="preserve">AREA      </w:t>
            </w:r>
          </w:p>
          <w:p w14:paraId="1C1F1AF5" w14:textId="34819CA1" w:rsidR="00415346"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sq.Km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7059E17F"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517BA66B"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5C2F33" w14:textId="5DE619D9"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168B7F7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00A593B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B2139CF"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900</w:t>
            </w:r>
          </w:p>
        </w:tc>
        <w:tc>
          <w:tcPr>
            <w:tcW w:w="0" w:type="auto"/>
            <w:tcBorders>
              <w:top w:val="nil"/>
              <w:left w:val="nil"/>
              <w:bottom w:val="single" w:sz="4" w:space="0" w:color="auto"/>
              <w:right w:val="single" w:sz="4" w:space="0" w:color="auto"/>
            </w:tcBorders>
            <w:shd w:val="clear" w:color="auto" w:fill="auto"/>
            <w:noWrap/>
            <w:vAlign w:val="center"/>
            <w:hideMark/>
          </w:tcPr>
          <w:p w14:paraId="74B3A1F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2A59C8D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00A2ED93" w14:textId="77777777" w:rsidTr="002933FC">
        <w:trPr>
          <w:trHeight w:val="552"/>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AC327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5C17A4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121AAD43"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523</w:t>
            </w:r>
          </w:p>
        </w:tc>
        <w:tc>
          <w:tcPr>
            <w:tcW w:w="0" w:type="auto"/>
            <w:tcBorders>
              <w:top w:val="nil"/>
              <w:left w:val="nil"/>
              <w:bottom w:val="single" w:sz="4" w:space="0" w:color="auto"/>
              <w:right w:val="single" w:sz="4" w:space="0" w:color="auto"/>
            </w:tcBorders>
            <w:shd w:val="clear" w:color="auto" w:fill="auto"/>
            <w:noWrap/>
            <w:vAlign w:val="center"/>
            <w:hideMark/>
          </w:tcPr>
          <w:p w14:paraId="247593D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470700</w:t>
            </w:r>
          </w:p>
        </w:tc>
        <w:tc>
          <w:tcPr>
            <w:tcW w:w="0" w:type="auto"/>
            <w:tcBorders>
              <w:top w:val="nil"/>
              <w:left w:val="nil"/>
              <w:bottom w:val="single" w:sz="4" w:space="0" w:color="auto"/>
              <w:right w:val="single" w:sz="4" w:space="0" w:color="auto"/>
            </w:tcBorders>
            <w:shd w:val="clear" w:color="auto" w:fill="auto"/>
            <w:noWrap/>
            <w:vAlign w:val="center"/>
            <w:hideMark/>
          </w:tcPr>
          <w:p w14:paraId="4DB4A6C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0.5</w:t>
            </w:r>
          </w:p>
        </w:tc>
        <w:tc>
          <w:tcPr>
            <w:tcW w:w="0" w:type="auto"/>
            <w:tcBorders>
              <w:top w:val="nil"/>
              <w:left w:val="nil"/>
              <w:bottom w:val="single" w:sz="4" w:space="0" w:color="auto"/>
              <w:right w:val="single" w:sz="8" w:space="0" w:color="auto"/>
            </w:tcBorders>
            <w:shd w:val="clear" w:color="auto" w:fill="auto"/>
            <w:noWrap/>
            <w:vAlign w:val="center"/>
            <w:hideMark/>
          </w:tcPr>
          <w:p w14:paraId="266EB85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0.38</w:t>
            </w:r>
          </w:p>
        </w:tc>
      </w:tr>
      <w:tr w:rsidR="000D6E7F" w:rsidRPr="000D6E7F" w14:paraId="70B463D6"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80DF9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3C0D9C3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712F97F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2110</w:t>
            </w:r>
          </w:p>
        </w:tc>
        <w:tc>
          <w:tcPr>
            <w:tcW w:w="0" w:type="auto"/>
            <w:tcBorders>
              <w:top w:val="nil"/>
              <w:left w:val="nil"/>
              <w:bottom w:val="single" w:sz="4" w:space="0" w:color="auto"/>
              <w:right w:val="single" w:sz="4" w:space="0" w:color="auto"/>
            </w:tcBorders>
            <w:shd w:val="clear" w:color="auto" w:fill="auto"/>
            <w:noWrap/>
            <w:vAlign w:val="center"/>
            <w:hideMark/>
          </w:tcPr>
          <w:p w14:paraId="49E614C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1899000</w:t>
            </w:r>
          </w:p>
        </w:tc>
        <w:tc>
          <w:tcPr>
            <w:tcW w:w="0" w:type="auto"/>
            <w:tcBorders>
              <w:top w:val="nil"/>
              <w:left w:val="nil"/>
              <w:bottom w:val="single" w:sz="4" w:space="0" w:color="auto"/>
              <w:right w:val="single" w:sz="4" w:space="0" w:color="auto"/>
            </w:tcBorders>
            <w:shd w:val="clear" w:color="auto" w:fill="auto"/>
            <w:noWrap/>
            <w:vAlign w:val="center"/>
            <w:hideMark/>
          </w:tcPr>
          <w:p w14:paraId="1AB90BA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1.9</w:t>
            </w:r>
          </w:p>
        </w:tc>
        <w:tc>
          <w:tcPr>
            <w:tcW w:w="0" w:type="auto"/>
            <w:tcBorders>
              <w:top w:val="nil"/>
              <w:left w:val="nil"/>
              <w:bottom w:val="single" w:sz="4" w:space="0" w:color="auto"/>
              <w:right w:val="single" w:sz="8" w:space="0" w:color="auto"/>
            </w:tcBorders>
            <w:shd w:val="clear" w:color="auto" w:fill="auto"/>
            <w:noWrap/>
            <w:vAlign w:val="center"/>
            <w:hideMark/>
          </w:tcPr>
          <w:p w14:paraId="480130A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1.54</w:t>
            </w:r>
          </w:p>
        </w:tc>
      </w:tr>
      <w:tr w:rsidR="000D6E7F" w:rsidRPr="000D6E7F" w14:paraId="765F2C3A"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66FB8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30CC74B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0.5</w:t>
            </w:r>
          </w:p>
        </w:tc>
        <w:tc>
          <w:tcPr>
            <w:tcW w:w="0" w:type="auto"/>
            <w:tcBorders>
              <w:top w:val="nil"/>
              <w:left w:val="nil"/>
              <w:bottom w:val="single" w:sz="4" w:space="0" w:color="auto"/>
              <w:right w:val="single" w:sz="4" w:space="0" w:color="auto"/>
            </w:tcBorders>
            <w:shd w:val="clear" w:color="auto" w:fill="auto"/>
            <w:noWrap/>
            <w:vAlign w:val="center"/>
            <w:hideMark/>
          </w:tcPr>
          <w:p w14:paraId="2EA7327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116526</w:t>
            </w:r>
          </w:p>
        </w:tc>
        <w:tc>
          <w:tcPr>
            <w:tcW w:w="0" w:type="auto"/>
            <w:tcBorders>
              <w:top w:val="nil"/>
              <w:left w:val="nil"/>
              <w:bottom w:val="single" w:sz="4" w:space="0" w:color="auto"/>
              <w:right w:val="single" w:sz="4" w:space="0" w:color="auto"/>
            </w:tcBorders>
            <w:shd w:val="clear" w:color="auto" w:fill="auto"/>
            <w:noWrap/>
            <w:vAlign w:val="center"/>
            <w:hideMark/>
          </w:tcPr>
          <w:p w14:paraId="5F47640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104873400</w:t>
            </w:r>
          </w:p>
        </w:tc>
        <w:tc>
          <w:tcPr>
            <w:tcW w:w="0" w:type="auto"/>
            <w:tcBorders>
              <w:top w:val="nil"/>
              <w:left w:val="nil"/>
              <w:bottom w:val="single" w:sz="4" w:space="0" w:color="auto"/>
              <w:right w:val="single" w:sz="4" w:space="0" w:color="auto"/>
            </w:tcBorders>
            <w:shd w:val="clear" w:color="auto" w:fill="auto"/>
            <w:noWrap/>
            <w:vAlign w:val="center"/>
            <w:hideMark/>
          </w:tcPr>
          <w:p w14:paraId="50D5633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104.9</w:t>
            </w:r>
          </w:p>
        </w:tc>
        <w:tc>
          <w:tcPr>
            <w:tcW w:w="0" w:type="auto"/>
            <w:tcBorders>
              <w:top w:val="nil"/>
              <w:left w:val="nil"/>
              <w:bottom w:val="single" w:sz="4" w:space="0" w:color="auto"/>
              <w:right w:val="single" w:sz="8" w:space="0" w:color="auto"/>
            </w:tcBorders>
            <w:shd w:val="clear" w:color="auto" w:fill="auto"/>
            <w:noWrap/>
            <w:vAlign w:val="center"/>
            <w:hideMark/>
          </w:tcPr>
          <w:p w14:paraId="254C2CC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85.31</w:t>
            </w:r>
          </w:p>
        </w:tc>
      </w:tr>
      <w:tr w:rsidR="000D6E7F" w:rsidRPr="000D6E7F" w14:paraId="6C370292" w14:textId="77777777" w:rsidTr="002933FC">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C30AE06" w14:textId="2EC90533" w:rsidR="00415346"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vAlign w:val="center"/>
            <w:hideMark/>
          </w:tcPr>
          <w:p w14:paraId="3290E6E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0.5 — 0.62</w:t>
            </w:r>
          </w:p>
        </w:tc>
        <w:tc>
          <w:tcPr>
            <w:tcW w:w="0" w:type="auto"/>
            <w:tcBorders>
              <w:top w:val="nil"/>
              <w:left w:val="nil"/>
              <w:bottom w:val="single" w:sz="8" w:space="0" w:color="auto"/>
              <w:right w:val="single" w:sz="4" w:space="0" w:color="auto"/>
            </w:tcBorders>
            <w:shd w:val="clear" w:color="auto" w:fill="auto"/>
            <w:noWrap/>
            <w:vAlign w:val="center"/>
            <w:hideMark/>
          </w:tcPr>
          <w:p w14:paraId="7BF6499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17447</w:t>
            </w:r>
          </w:p>
        </w:tc>
        <w:tc>
          <w:tcPr>
            <w:tcW w:w="0" w:type="auto"/>
            <w:tcBorders>
              <w:top w:val="nil"/>
              <w:left w:val="nil"/>
              <w:bottom w:val="single" w:sz="8" w:space="0" w:color="auto"/>
              <w:right w:val="single" w:sz="4" w:space="0" w:color="auto"/>
            </w:tcBorders>
            <w:shd w:val="clear" w:color="auto" w:fill="auto"/>
            <w:noWrap/>
            <w:vAlign w:val="center"/>
            <w:hideMark/>
          </w:tcPr>
          <w:p w14:paraId="3272D9E3"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15702300</w:t>
            </w:r>
          </w:p>
        </w:tc>
        <w:tc>
          <w:tcPr>
            <w:tcW w:w="0" w:type="auto"/>
            <w:tcBorders>
              <w:top w:val="nil"/>
              <w:left w:val="nil"/>
              <w:bottom w:val="single" w:sz="8" w:space="0" w:color="auto"/>
              <w:right w:val="single" w:sz="4" w:space="0" w:color="auto"/>
            </w:tcBorders>
            <w:shd w:val="clear" w:color="auto" w:fill="auto"/>
            <w:noWrap/>
            <w:vAlign w:val="center"/>
            <w:hideMark/>
          </w:tcPr>
          <w:p w14:paraId="7B1DA8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15.7</w:t>
            </w:r>
          </w:p>
        </w:tc>
        <w:tc>
          <w:tcPr>
            <w:tcW w:w="0" w:type="auto"/>
            <w:tcBorders>
              <w:top w:val="nil"/>
              <w:left w:val="nil"/>
              <w:bottom w:val="single" w:sz="8" w:space="0" w:color="auto"/>
              <w:right w:val="single" w:sz="8" w:space="0" w:color="auto"/>
            </w:tcBorders>
            <w:shd w:val="clear" w:color="auto" w:fill="auto"/>
            <w:noWrap/>
            <w:vAlign w:val="center"/>
            <w:hideMark/>
          </w:tcPr>
          <w:p w14:paraId="3BE21B1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12.77</w:t>
            </w:r>
          </w:p>
        </w:tc>
      </w:tr>
      <w:tr w:rsidR="000D6E7F" w:rsidRPr="000D6E7F" w14:paraId="67EF5382"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02FEA2"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2009</w:t>
            </w:r>
          </w:p>
        </w:tc>
      </w:tr>
      <w:tr w:rsidR="000D6E7F" w:rsidRPr="000D6E7F" w14:paraId="631D0C5A" w14:textId="77777777" w:rsidTr="002933FC">
        <w:trPr>
          <w:trHeight w:val="57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63871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C41F6D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09A7512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3C2A8291"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72E0FDBC" w14:textId="3FBC76E8"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329B76D0"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3C731AD2" w14:textId="45DFB7D0"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sq.Km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26D8B82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36463566"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6FB947" w14:textId="7C5FA609"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1523B7C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164F199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395F28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900</w:t>
            </w:r>
          </w:p>
        </w:tc>
        <w:tc>
          <w:tcPr>
            <w:tcW w:w="0" w:type="auto"/>
            <w:tcBorders>
              <w:top w:val="nil"/>
              <w:left w:val="nil"/>
              <w:bottom w:val="single" w:sz="4" w:space="0" w:color="auto"/>
              <w:right w:val="single" w:sz="4" w:space="0" w:color="auto"/>
            </w:tcBorders>
            <w:shd w:val="clear" w:color="auto" w:fill="auto"/>
            <w:noWrap/>
            <w:vAlign w:val="center"/>
            <w:hideMark/>
          </w:tcPr>
          <w:p w14:paraId="5A85E6C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5DF25F7D" w14:textId="31E0FDFA" w:rsidR="00415346" w:rsidRPr="000D6E7F" w:rsidRDefault="004B283A"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5DFDADBE"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7B4E9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1B83BE9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283393B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6911</w:t>
            </w:r>
          </w:p>
        </w:tc>
        <w:tc>
          <w:tcPr>
            <w:tcW w:w="0" w:type="auto"/>
            <w:tcBorders>
              <w:top w:val="nil"/>
              <w:left w:val="nil"/>
              <w:bottom w:val="single" w:sz="4" w:space="0" w:color="auto"/>
              <w:right w:val="single" w:sz="4" w:space="0" w:color="auto"/>
            </w:tcBorders>
            <w:shd w:val="clear" w:color="auto" w:fill="auto"/>
            <w:noWrap/>
            <w:vAlign w:val="center"/>
            <w:hideMark/>
          </w:tcPr>
          <w:p w14:paraId="5DB71D7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6219900</w:t>
            </w:r>
          </w:p>
        </w:tc>
        <w:tc>
          <w:tcPr>
            <w:tcW w:w="0" w:type="auto"/>
            <w:tcBorders>
              <w:top w:val="nil"/>
              <w:left w:val="nil"/>
              <w:bottom w:val="single" w:sz="4" w:space="0" w:color="auto"/>
              <w:right w:val="single" w:sz="4" w:space="0" w:color="auto"/>
            </w:tcBorders>
            <w:shd w:val="clear" w:color="auto" w:fill="auto"/>
            <w:noWrap/>
            <w:vAlign w:val="center"/>
            <w:hideMark/>
          </w:tcPr>
          <w:p w14:paraId="54F312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6.2</w:t>
            </w:r>
          </w:p>
        </w:tc>
        <w:tc>
          <w:tcPr>
            <w:tcW w:w="0" w:type="auto"/>
            <w:tcBorders>
              <w:top w:val="nil"/>
              <w:left w:val="nil"/>
              <w:bottom w:val="single" w:sz="4" w:space="0" w:color="auto"/>
              <w:right w:val="single" w:sz="8" w:space="0" w:color="auto"/>
            </w:tcBorders>
            <w:shd w:val="clear" w:color="auto" w:fill="auto"/>
            <w:noWrap/>
            <w:vAlign w:val="center"/>
            <w:hideMark/>
          </w:tcPr>
          <w:p w14:paraId="0C27629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5.10</w:t>
            </w:r>
          </w:p>
        </w:tc>
      </w:tr>
      <w:tr w:rsidR="000D6E7F" w:rsidRPr="000D6E7F" w14:paraId="7508B1A9"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FF340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447BE0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5F6E3C7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49857</w:t>
            </w:r>
          </w:p>
        </w:tc>
        <w:tc>
          <w:tcPr>
            <w:tcW w:w="0" w:type="auto"/>
            <w:tcBorders>
              <w:top w:val="nil"/>
              <w:left w:val="nil"/>
              <w:bottom w:val="single" w:sz="4" w:space="0" w:color="auto"/>
              <w:right w:val="single" w:sz="4" w:space="0" w:color="auto"/>
            </w:tcBorders>
            <w:shd w:val="clear" w:color="auto" w:fill="auto"/>
            <w:noWrap/>
            <w:vAlign w:val="center"/>
            <w:hideMark/>
          </w:tcPr>
          <w:p w14:paraId="2312E50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44871300</w:t>
            </w:r>
          </w:p>
        </w:tc>
        <w:tc>
          <w:tcPr>
            <w:tcW w:w="0" w:type="auto"/>
            <w:tcBorders>
              <w:top w:val="nil"/>
              <w:left w:val="nil"/>
              <w:bottom w:val="single" w:sz="4" w:space="0" w:color="auto"/>
              <w:right w:val="single" w:sz="4" w:space="0" w:color="auto"/>
            </w:tcBorders>
            <w:shd w:val="clear" w:color="auto" w:fill="auto"/>
            <w:noWrap/>
            <w:vAlign w:val="center"/>
            <w:hideMark/>
          </w:tcPr>
          <w:p w14:paraId="26E8BC5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44.9</w:t>
            </w:r>
          </w:p>
        </w:tc>
        <w:tc>
          <w:tcPr>
            <w:tcW w:w="0" w:type="auto"/>
            <w:tcBorders>
              <w:top w:val="nil"/>
              <w:left w:val="nil"/>
              <w:bottom w:val="single" w:sz="4" w:space="0" w:color="auto"/>
              <w:right w:val="single" w:sz="8" w:space="0" w:color="auto"/>
            </w:tcBorders>
            <w:shd w:val="clear" w:color="auto" w:fill="auto"/>
            <w:noWrap/>
            <w:vAlign w:val="center"/>
            <w:hideMark/>
          </w:tcPr>
          <w:p w14:paraId="498E596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36.50</w:t>
            </w:r>
          </w:p>
        </w:tc>
      </w:tr>
      <w:tr w:rsidR="000D6E7F" w:rsidRPr="000D6E7F" w14:paraId="08BDBCD0"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949A2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04EAAA7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0.47</w:t>
            </w:r>
          </w:p>
        </w:tc>
        <w:tc>
          <w:tcPr>
            <w:tcW w:w="0" w:type="auto"/>
            <w:tcBorders>
              <w:top w:val="nil"/>
              <w:left w:val="nil"/>
              <w:bottom w:val="single" w:sz="4" w:space="0" w:color="auto"/>
              <w:right w:val="single" w:sz="4" w:space="0" w:color="auto"/>
            </w:tcBorders>
            <w:shd w:val="clear" w:color="auto" w:fill="auto"/>
            <w:noWrap/>
            <w:vAlign w:val="center"/>
            <w:hideMark/>
          </w:tcPr>
          <w:p w14:paraId="3999E74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79838</w:t>
            </w:r>
          </w:p>
        </w:tc>
        <w:tc>
          <w:tcPr>
            <w:tcW w:w="0" w:type="auto"/>
            <w:tcBorders>
              <w:top w:val="nil"/>
              <w:left w:val="nil"/>
              <w:bottom w:val="single" w:sz="4" w:space="0" w:color="auto"/>
              <w:right w:val="single" w:sz="4" w:space="0" w:color="auto"/>
            </w:tcBorders>
            <w:shd w:val="clear" w:color="auto" w:fill="auto"/>
            <w:noWrap/>
            <w:vAlign w:val="center"/>
            <w:hideMark/>
          </w:tcPr>
          <w:p w14:paraId="604A5F0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71854200</w:t>
            </w:r>
          </w:p>
        </w:tc>
        <w:tc>
          <w:tcPr>
            <w:tcW w:w="0" w:type="auto"/>
            <w:tcBorders>
              <w:top w:val="nil"/>
              <w:left w:val="nil"/>
              <w:bottom w:val="single" w:sz="4" w:space="0" w:color="auto"/>
              <w:right w:val="single" w:sz="4" w:space="0" w:color="auto"/>
            </w:tcBorders>
            <w:shd w:val="clear" w:color="auto" w:fill="auto"/>
            <w:noWrap/>
            <w:vAlign w:val="center"/>
            <w:hideMark/>
          </w:tcPr>
          <w:p w14:paraId="202CF11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71.9</w:t>
            </w:r>
          </w:p>
        </w:tc>
        <w:tc>
          <w:tcPr>
            <w:tcW w:w="0" w:type="auto"/>
            <w:tcBorders>
              <w:top w:val="nil"/>
              <w:left w:val="nil"/>
              <w:bottom w:val="single" w:sz="4" w:space="0" w:color="auto"/>
              <w:right w:val="single" w:sz="8" w:space="0" w:color="auto"/>
            </w:tcBorders>
            <w:shd w:val="clear" w:color="auto" w:fill="auto"/>
            <w:noWrap/>
            <w:vAlign w:val="center"/>
            <w:hideMark/>
          </w:tcPr>
          <w:p w14:paraId="77295C1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58.40</w:t>
            </w:r>
          </w:p>
        </w:tc>
      </w:tr>
      <w:tr w:rsidR="000D6E7F" w:rsidRPr="000D6E7F" w14:paraId="3ACEDCF6" w14:textId="77777777" w:rsidTr="002933FC">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20139B9" w14:textId="59CF9173" w:rsidR="00415346"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vAlign w:val="center"/>
            <w:hideMark/>
          </w:tcPr>
          <w:p w14:paraId="341056F5" w14:textId="385E69FB"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E4CC71" w14:textId="46760691"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840A47" w14:textId="09286377"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8B301D" w14:textId="59B55186"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8" w:space="0" w:color="auto"/>
            </w:tcBorders>
            <w:shd w:val="clear" w:color="auto" w:fill="auto"/>
            <w:noWrap/>
            <w:vAlign w:val="center"/>
            <w:hideMark/>
          </w:tcPr>
          <w:p w14:paraId="03C1BF27" w14:textId="15808463"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r>
      <w:tr w:rsidR="000D6E7F" w:rsidRPr="000D6E7F" w14:paraId="2E11530C"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04339E9"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2024</w:t>
            </w:r>
          </w:p>
        </w:tc>
      </w:tr>
      <w:tr w:rsidR="000D6E7F" w:rsidRPr="000D6E7F" w14:paraId="05716145"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BBE1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CA757B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3ADCAA2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0C5C76BE"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r w:rsidR="0056471B" w:rsidRPr="000D6E7F">
              <w:rPr>
                <w:rFonts w:ascii="Times New Roman" w:eastAsia="Times New Roman" w:hAnsi="Times New Roman" w:cs="Times New Roman"/>
                <w:kern w:val="0"/>
                <w:sz w:val="18"/>
                <w:szCs w:val="18"/>
                <w:lang w:eastAsia="en-IN"/>
                <w14:ligatures w14:val="none"/>
              </w:rPr>
              <w:t xml:space="preserve">  </w:t>
            </w:r>
            <w:r w:rsidRPr="000D6E7F">
              <w:rPr>
                <w:rFonts w:ascii="Times New Roman" w:eastAsia="Times New Roman" w:hAnsi="Times New Roman" w:cs="Times New Roman"/>
                <w:kern w:val="0"/>
                <w:sz w:val="18"/>
                <w:szCs w:val="18"/>
                <w:lang w:eastAsia="en-IN"/>
                <w14:ligatures w14:val="none"/>
              </w:rPr>
              <w:t xml:space="preserve">  </w:t>
            </w:r>
          </w:p>
          <w:p w14:paraId="3E7937B8" w14:textId="1129D1A6"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237E0456"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4B5B7099" w14:textId="19E5E48F"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sq.Km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0DFB86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1940E9B4"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D4225" w14:textId="0C2021A0"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36CF7A7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509A8FE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548EAAB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038119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0208736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286EFD4C" w14:textId="77777777" w:rsidTr="002933FC">
        <w:trPr>
          <w:trHeight w:val="576"/>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525CB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74BBDD9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6630CA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3449</w:t>
            </w:r>
          </w:p>
        </w:tc>
        <w:tc>
          <w:tcPr>
            <w:tcW w:w="0" w:type="auto"/>
            <w:tcBorders>
              <w:top w:val="nil"/>
              <w:left w:val="nil"/>
              <w:bottom w:val="single" w:sz="4" w:space="0" w:color="auto"/>
              <w:right w:val="single" w:sz="4" w:space="0" w:color="auto"/>
            </w:tcBorders>
            <w:shd w:val="clear" w:color="auto" w:fill="auto"/>
            <w:noWrap/>
            <w:vAlign w:val="center"/>
            <w:hideMark/>
          </w:tcPr>
          <w:p w14:paraId="78E1693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3104100</w:t>
            </w:r>
          </w:p>
        </w:tc>
        <w:tc>
          <w:tcPr>
            <w:tcW w:w="0" w:type="auto"/>
            <w:tcBorders>
              <w:top w:val="nil"/>
              <w:left w:val="nil"/>
              <w:bottom w:val="single" w:sz="4" w:space="0" w:color="auto"/>
              <w:right w:val="single" w:sz="4" w:space="0" w:color="auto"/>
            </w:tcBorders>
            <w:shd w:val="clear" w:color="auto" w:fill="auto"/>
            <w:noWrap/>
            <w:vAlign w:val="center"/>
            <w:hideMark/>
          </w:tcPr>
          <w:p w14:paraId="7A8DA8F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3.1</w:t>
            </w:r>
          </w:p>
        </w:tc>
        <w:tc>
          <w:tcPr>
            <w:tcW w:w="0" w:type="auto"/>
            <w:tcBorders>
              <w:top w:val="nil"/>
              <w:left w:val="nil"/>
              <w:bottom w:val="single" w:sz="4" w:space="0" w:color="auto"/>
              <w:right w:val="single" w:sz="8" w:space="0" w:color="auto"/>
            </w:tcBorders>
            <w:shd w:val="clear" w:color="auto" w:fill="auto"/>
            <w:noWrap/>
            <w:vAlign w:val="center"/>
            <w:hideMark/>
          </w:tcPr>
          <w:p w14:paraId="2798B54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2.52</w:t>
            </w:r>
          </w:p>
        </w:tc>
      </w:tr>
      <w:tr w:rsidR="000D6E7F" w:rsidRPr="000D6E7F" w14:paraId="14FF49C0"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F80F4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7B6FA36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04DCD3F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77089</w:t>
            </w:r>
          </w:p>
        </w:tc>
        <w:tc>
          <w:tcPr>
            <w:tcW w:w="0" w:type="auto"/>
            <w:tcBorders>
              <w:top w:val="nil"/>
              <w:left w:val="nil"/>
              <w:bottom w:val="single" w:sz="4" w:space="0" w:color="auto"/>
              <w:right w:val="single" w:sz="4" w:space="0" w:color="auto"/>
            </w:tcBorders>
            <w:shd w:val="clear" w:color="auto" w:fill="auto"/>
            <w:noWrap/>
            <w:vAlign w:val="center"/>
            <w:hideMark/>
          </w:tcPr>
          <w:p w14:paraId="26BC053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69378300</w:t>
            </w:r>
          </w:p>
        </w:tc>
        <w:tc>
          <w:tcPr>
            <w:tcW w:w="0" w:type="auto"/>
            <w:tcBorders>
              <w:top w:val="nil"/>
              <w:left w:val="nil"/>
              <w:bottom w:val="single" w:sz="4" w:space="0" w:color="auto"/>
              <w:right w:val="single" w:sz="4" w:space="0" w:color="auto"/>
            </w:tcBorders>
            <w:shd w:val="clear" w:color="auto" w:fill="auto"/>
            <w:noWrap/>
            <w:vAlign w:val="center"/>
            <w:hideMark/>
          </w:tcPr>
          <w:p w14:paraId="1620029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69.4</w:t>
            </w:r>
          </w:p>
        </w:tc>
        <w:tc>
          <w:tcPr>
            <w:tcW w:w="0" w:type="auto"/>
            <w:tcBorders>
              <w:top w:val="nil"/>
              <w:left w:val="nil"/>
              <w:bottom w:val="single" w:sz="4" w:space="0" w:color="auto"/>
              <w:right w:val="single" w:sz="8" w:space="0" w:color="auto"/>
            </w:tcBorders>
            <w:shd w:val="clear" w:color="auto" w:fill="auto"/>
            <w:noWrap/>
            <w:vAlign w:val="center"/>
            <w:hideMark/>
          </w:tcPr>
          <w:p w14:paraId="650F3F6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56.43</w:t>
            </w:r>
          </w:p>
        </w:tc>
      </w:tr>
      <w:tr w:rsidR="000D6E7F" w:rsidRPr="000D6E7F" w14:paraId="78F3AA93"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BD189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11659B3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0.44</w:t>
            </w:r>
          </w:p>
        </w:tc>
        <w:tc>
          <w:tcPr>
            <w:tcW w:w="0" w:type="auto"/>
            <w:tcBorders>
              <w:top w:val="nil"/>
              <w:left w:val="nil"/>
              <w:bottom w:val="single" w:sz="4" w:space="0" w:color="auto"/>
              <w:right w:val="single" w:sz="4" w:space="0" w:color="auto"/>
            </w:tcBorders>
            <w:shd w:val="clear" w:color="auto" w:fill="auto"/>
            <w:noWrap/>
            <w:vAlign w:val="center"/>
            <w:hideMark/>
          </w:tcPr>
          <w:p w14:paraId="020093E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56068</w:t>
            </w:r>
          </w:p>
        </w:tc>
        <w:tc>
          <w:tcPr>
            <w:tcW w:w="0" w:type="auto"/>
            <w:tcBorders>
              <w:top w:val="nil"/>
              <w:left w:val="nil"/>
              <w:bottom w:val="single" w:sz="4" w:space="0" w:color="auto"/>
              <w:right w:val="single" w:sz="4" w:space="0" w:color="auto"/>
            </w:tcBorders>
            <w:shd w:val="clear" w:color="auto" w:fill="auto"/>
            <w:noWrap/>
            <w:vAlign w:val="center"/>
            <w:hideMark/>
          </w:tcPr>
          <w:p w14:paraId="6B37CA1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50461200</w:t>
            </w:r>
          </w:p>
        </w:tc>
        <w:tc>
          <w:tcPr>
            <w:tcW w:w="0" w:type="auto"/>
            <w:tcBorders>
              <w:top w:val="nil"/>
              <w:left w:val="nil"/>
              <w:bottom w:val="single" w:sz="4" w:space="0" w:color="auto"/>
              <w:right w:val="single" w:sz="4" w:space="0" w:color="auto"/>
            </w:tcBorders>
            <w:shd w:val="clear" w:color="auto" w:fill="auto"/>
            <w:noWrap/>
            <w:vAlign w:val="center"/>
            <w:hideMark/>
          </w:tcPr>
          <w:p w14:paraId="565153F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50.5</w:t>
            </w:r>
          </w:p>
        </w:tc>
        <w:tc>
          <w:tcPr>
            <w:tcW w:w="0" w:type="auto"/>
            <w:tcBorders>
              <w:top w:val="nil"/>
              <w:left w:val="nil"/>
              <w:bottom w:val="single" w:sz="4" w:space="0" w:color="auto"/>
              <w:right w:val="single" w:sz="8" w:space="0" w:color="auto"/>
            </w:tcBorders>
            <w:shd w:val="clear" w:color="auto" w:fill="auto"/>
            <w:noWrap/>
            <w:vAlign w:val="center"/>
            <w:hideMark/>
          </w:tcPr>
          <w:p w14:paraId="090DFEC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41.05</w:t>
            </w:r>
          </w:p>
        </w:tc>
      </w:tr>
      <w:tr w:rsidR="00982E81" w:rsidRPr="000D6E7F" w14:paraId="5597B589" w14:textId="77777777" w:rsidTr="003C5D64">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6E3AF88" w14:textId="61BF44D2" w:rsidR="00982E81"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hideMark/>
          </w:tcPr>
          <w:p w14:paraId="57D1BE0F" w14:textId="40188C28"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2475347F" w14:textId="25549EC9"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3F6BA6F5" w14:textId="03F7F7E0"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1FF0CF09" w14:textId="5056E8EB"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8" w:space="0" w:color="auto"/>
            </w:tcBorders>
            <w:shd w:val="clear" w:color="auto" w:fill="auto"/>
            <w:noWrap/>
            <w:hideMark/>
          </w:tcPr>
          <w:p w14:paraId="7443516D" w14:textId="76809CA9"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r>
    </w:tbl>
    <w:p w14:paraId="2310CAFC" w14:textId="5647F917" w:rsidR="00415346" w:rsidRPr="000D6E7F" w:rsidRDefault="00415346" w:rsidP="0097197E">
      <w:pPr>
        <w:spacing w:after="0" w:line="360" w:lineRule="auto"/>
        <w:jc w:val="both"/>
        <w:rPr>
          <w:rFonts w:ascii="Times New Roman" w:hAnsi="Times New Roman" w:cs="Times New Roman"/>
          <w:sz w:val="24"/>
          <w:szCs w:val="24"/>
        </w:rPr>
      </w:pPr>
    </w:p>
    <w:p w14:paraId="5C8330EE"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2009: Onset of Degradation and Shrub Encroachment</w:t>
      </w:r>
    </w:p>
    <w:p w14:paraId="2FF90DB4" w14:textId="709D5792"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By 2009, the NDVI map </w:t>
      </w:r>
      <w:r w:rsidR="00086F4F" w:rsidRPr="000D6E7F">
        <w:rPr>
          <w:rFonts w:ascii="Times New Roman" w:hAnsi="Times New Roman" w:cs="Times New Roman"/>
          <w:sz w:val="24"/>
          <w:szCs w:val="24"/>
        </w:rPr>
        <w:t xml:space="preserve">(Figure 2) </w:t>
      </w:r>
      <w:r w:rsidRPr="000D6E7F">
        <w:rPr>
          <w:rFonts w:ascii="Times New Roman" w:hAnsi="Times New Roman" w:cs="Times New Roman"/>
          <w:sz w:val="24"/>
          <w:szCs w:val="24"/>
        </w:rPr>
        <w:t>shows a significant reduction in areas classified as dense vegetation. The NDVI values above 0.5, which were dominant in 1994, have markedly decreased, with a corresponding increase in areas with NDVI values between 0.3 and 0.5, indicative of sparse vegetation</w:t>
      </w:r>
      <w:r w:rsidR="00086F4F" w:rsidRPr="000D6E7F">
        <w:rPr>
          <w:rFonts w:ascii="Times New Roman" w:hAnsi="Times New Roman" w:cs="Times New Roman"/>
          <w:sz w:val="24"/>
          <w:szCs w:val="24"/>
        </w:rPr>
        <w:t xml:space="preserve"> (Table 3)</w:t>
      </w:r>
      <w:r w:rsidRPr="000D6E7F">
        <w:rPr>
          <w:rFonts w:ascii="Times New Roman" w:hAnsi="Times New Roman" w:cs="Times New Roman"/>
          <w:sz w:val="24"/>
          <w:szCs w:val="24"/>
        </w:rPr>
        <w:t>. Moreover, the shrub/grassland category (NDVI values between 0.2 and 0.3) has expanded, particularly in regions where dense vegetation once prevailed.</w:t>
      </w:r>
      <w:r w:rsidR="00086F4F" w:rsidRPr="000D6E7F">
        <w:rPr>
          <w:rFonts w:ascii="Times New Roman" w:hAnsi="Times New Roman" w:cs="Times New Roman"/>
          <w:sz w:val="24"/>
          <w:szCs w:val="24"/>
        </w:rPr>
        <w:t xml:space="preserve"> </w:t>
      </w:r>
    </w:p>
    <w:p w14:paraId="1A5A6F45" w14:textId="613645FA"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This shift suggests the onset of forest degradation, which could be attributed to several factors. Deforestation, whether due to logging, agricultural expansion, or infrastructure development, is a likely contributor to the reduction in dense vegetation. Additionally, forest fires, disease outbreaks, or climate-related stressors such as </w:t>
      </w:r>
      <w:r w:rsidR="00086F4F" w:rsidRPr="000D6E7F">
        <w:rPr>
          <w:rFonts w:ascii="Times New Roman" w:hAnsi="Times New Roman" w:cs="Times New Roman"/>
          <w:sz w:val="24"/>
          <w:szCs w:val="24"/>
        </w:rPr>
        <w:t>rainfall scarcity</w:t>
      </w:r>
      <w:r w:rsidRPr="000D6E7F">
        <w:rPr>
          <w:rFonts w:ascii="Times New Roman" w:hAnsi="Times New Roman" w:cs="Times New Roman"/>
          <w:sz w:val="24"/>
          <w:szCs w:val="24"/>
        </w:rPr>
        <w:t xml:space="preserve"> may have exacerbated the decline in vegetation health.</w:t>
      </w:r>
      <w:r w:rsidR="00966F9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increase in shrub and grassland areas points to the forest's transition toward a less mature ecosystem. Shrub encroachment often follows the disturbance of dense </w:t>
      </w:r>
      <w:r w:rsidRPr="000D6E7F">
        <w:rPr>
          <w:rFonts w:ascii="Times New Roman" w:hAnsi="Times New Roman" w:cs="Times New Roman"/>
          <w:sz w:val="24"/>
          <w:szCs w:val="24"/>
        </w:rPr>
        <w:lastRenderedPageBreak/>
        <w:t xml:space="preserve">forest cover, particularly in regions where </w:t>
      </w:r>
      <w:r w:rsidR="000D525B" w:rsidRPr="000D6E7F">
        <w:rPr>
          <w:rFonts w:ascii="Times New Roman" w:hAnsi="Times New Roman" w:cs="Times New Roman"/>
          <w:sz w:val="24"/>
          <w:szCs w:val="24"/>
        </w:rPr>
        <w:t>human activities or adverse environmental conditions hinder the natural regeneration of trees</w:t>
      </w:r>
      <w:r w:rsidRPr="000D6E7F">
        <w:rPr>
          <w:rFonts w:ascii="Times New Roman" w:hAnsi="Times New Roman" w:cs="Times New Roman"/>
          <w:sz w:val="24"/>
          <w:szCs w:val="24"/>
        </w:rPr>
        <w:t>. The loss of dense forest cover has far-reaching ecological implications, including reduced carbon sequestration capacity, habitat fragmentation, and increased vulnerability to further degradation.</w:t>
      </w:r>
    </w:p>
    <w:p w14:paraId="1DAAAD69" w14:textId="37CB5F40" w:rsidR="004B283A" w:rsidRPr="000D6E7F" w:rsidRDefault="004B283A" w:rsidP="0097197E">
      <w:pPr>
        <w:spacing w:after="0" w:line="360" w:lineRule="auto"/>
        <w:jc w:val="both"/>
        <w:rPr>
          <w:rFonts w:ascii="Times New Roman" w:hAnsi="Times New Roman" w:cs="Times New Roman"/>
          <w:sz w:val="24"/>
          <w:szCs w:val="24"/>
        </w:rPr>
      </w:pPr>
    </w:p>
    <w:p w14:paraId="1011E661" w14:textId="02D40DB0" w:rsidR="004B283A" w:rsidRPr="000D6E7F" w:rsidRDefault="004B283A"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1C1DDB8D" wp14:editId="44C4A5C0">
            <wp:extent cx="6056630" cy="2608976"/>
            <wp:effectExtent l="0" t="0" r="1270" b="1270"/>
            <wp:docPr id="3" name="Chart 3">
              <a:extLst xmlns:a="http://schemas.openxmlformats.org/drawingml/2006/main">
                <a:ext uri="{FF2B5EF4-FFF2-40B4-BE49-F238E27FC236}">
                  <a16:creationId xmlns:a16="http://schemas.microsoft.com/office/drawing/2014/main" id="{3598F5CC-559E-431B-BF8C-51F8405E2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5FBFD2" w14:textId="238FC720" w:rsidR="004C7AF7" w:rsidRPr="000D6E7F" w:rsidRDefault="004C7AF7"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Figure 3: Graphical Representation of Temporal Variation of Area under LULC Classes</w:t>
      </w:r>
    </w:p>
    <w:p w14:paraId="5DD6D08B" w14:textId="77777777" w:rsidR="004C7AF7" w:rsidRPr="000D6E7F" w:rsidRDefault="004C7AF7" w:rsidP="0097197E">
      <w:pPr>
        <w:spacing w:after="0" w:line="360" w:lineRule="auto"/>
        <w:jc w:val="both"/>
        <w:rPr>
          <w:rFonts w:ascii="Times New Roman" w:hAnsi="Times New Roman" w:cs="Times New Roman"/>
          <w:sz w:val="24"/>
          <w:szCs w:val="24"/>
        </w:rPr>
      </w:pPr>
    </w:p>
    <w:p w14:paraId="1A6B5DD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2024: Alarming Decline in Vegetation Health</w:t>
      </w:r>
    </w:p>
    <w:p w14:paraId="6AF8402A" w14:textId="28DAC757" w:rsidR="004C7AF7"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map for 2024 presents a stark picture of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D71193">
        <w:rPr>
          <w:rFonts w:ascii="Times New Roman" w:hAnsi="Times New Roman" w:cs="Times New Roman"/>
          <w:sz w:val="24"/>
          <w:szCs w:val="24"/>
        </w:rPr>
        <w:t>RF's</w:t>
      </w:r>
      <w:r w:rsidRPr="000D6E7F">
        <w:rPr>
          <w:rFonts w:ascii="Times New Roman" w:hAnsi="Times New Roman" w:cs="Times New Roman"/>
          <w:sz w:val="24"/>
          <w:szCs w:val="24"/>
        </w:rPr>
        <w:t xml:space="preserve"> continuing decline</w:t>
      </w:r>
      <w:r w:rsidR="00086F4F" w:rsidRPr="000D6E7F">
        <w:rPr>
          <w:rFonts w:ascii="Times New Roman" w:hAnsi="Times New Roman" w:cs="Times New Roman"/>
          <w:sz w:val="24"/>
          <w:szCs w:val="24"/>
        </w:rPr>
        <w:t xml:space="preserve"> (Figure 2)</w:t>
      </w:r>
      <w:r w:rsidRPr="000D6E7F">
        <w:rPr>
          <w:rFonts w:ascii="Times New Roman" w:hAnsi="Times New Roman" w:cs="Times New Roman"/>
          <w:sz w:val="24"/>
          <w:szCs w:val="24"/>
        </w:rPr>
        <w:t>. Dense vegetation areas (NDVI values above 0.5) have become increasingly scarce, with the majority of the forest now classified as sparse vegetation (NDVI values between 0.3 and 0.5) or shrub/grassland (NDVI values between 0.2 and 0.3). The encroachment of bare soil, rocks, and sand (NDVI values between 0 and 0.2) is also more pronounced, indicating further degradation of the forest floor</w:t>
      </w:r>
      <w:r w:rsidR="00086F4F" w:rsidRPr="000D6E7F">
        <w:rPr>
          <w:rFonts w:ascii="Times New Roman" w:hAnsi="Times New Roman" w:cs="Times New Roman"/>
          <w:sz w:val="24"/>
          <w:szCs w:val="24"/>
        </w:rPr>
        <w:t xml:space="preserve"> (Table 3</w:t>
      </w:r>
      <w:r w:rsidR="00966F9D" w:rsidRPr="000D6E7F">
        <w:rPr>
          <w:rFonts w:ascii="Times New Roman" w:hAnsi="Times New Roman" w:cs="Times New Roman"/>
          <w:sz w:val="24"/>
          <w:szCs w:val="24"/>
        </w:rPr>
        <w:t>, Figure 3</w:t>
      </w:r>
      <w:r w:rsidR="00086F4F" w:rsidRPr="000D6E7F">
        <w:rPr>
          <w:rFonts w:ascii="Times New Roman" w:hAnsi="Times New Roman" w:cs="Times New Roman"/>
          <w:sz w:val="24"/>
          <w:szCs w:val="24"/>
        </w:rPr>
        <w:t>)</w:t>
      </w:r>
      <w:r w:rsidRPr="000D6E7F">
        <w:rPr>
          <w:rFonts w:ascii="Times New Roman" w:hAnsi="Times New Roman" w:cs="Times New Roman"/>
          <w:sz w:val="24"/>
          <w:szCs w:val="24"/>
        </w:rPr>
        <w:t>.</w:t>
      </w:r>
      <w:r w:rsidR="004C7AF7" w:rsidRPr="000D6E7F">
        <w:rPr>
          <w:rFonts w:ascii="Times New Roman" w:hAnsi="Times New Roman" w:cs="Times New Roman"/>
          <w:sz w:val="24"/>
          <w:szCs w:val="24"/>
        </w:rPr>
        <w:t xml:space="preserve"> </w:t>
      </w:r>
    </w:p>
    <w:p w14:paraId="05556659" w14:textId="506796E4"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This trend is indicative of ongoing deforestation and land degradation processes that have persisted and perhaps accelerated over the past decade. The continued reduction in dense vegetation suggests that reforestation efforts, if any, have been insufficient to counteract the loss of forest cover. Moreover, the spread of bare soil and degraded land suggests that soil erosion, possibly driven by deforestation and unsustainable land use practices, has become a significant issue.</w:t>
      </w:r>
      <w:r w:rsidR="004C7AF7"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2024 NDVI map highlights the critical need for immediate conservation interventions to halt and reverse the degradation of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086F4F" w:rsidRPr="000D6E7F">
        <w:rPr>
          <w:rFonts w:ascii="Times New Roman" w:hAnsi="Times New Roman" w:cs="Times New Roman"/>
          <w:sz w:val="24"/>
          <w:szCs w:val="24"/>
        </w:rPr>
        <w:t>RF</w:t>
      </w:r>
      <w:r w:rsidRPr="000D6E7F">
        <w:rPr>
          <w:rFonts w:ascii="Times New Roman" w:hAnsi="Times New Roman" w:cs="Times New Roman"/>
          <w:sz w:val="24"/>
          <w:szCs w:val="24"/>
        </w:rPr>
        <w:t>. The loss of vegetation cover has likely led to a decline in biodiversity, with potential cascading effects on the forest's ecosystem services, including water regulation, climate moderation, and soil fertility.</w:t>
      </w:r>
    </w:p>
    <w:p w14:paraId="38440EC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lastRenderedPageBreak/>
        <w:t>Comparative Analysis of LULC Changes (1994-2024)</w:t>
      </w:r>
    </w:p>
    <w:p w14:paraId="25F7D175" w14:textId="77800B1D" w:rsidR="00FF3750" w:rsidRPr="000D6E7F" w:rsidRDefault="00FF3750" w:rsidP="0097197E">
      <w:pPr>
        <w:spacing w:line="360" w:lineRule="auto"/>
        <w:jc w:val="both"/>
        <w:rPr>
          <w:rFonts w:ascii="Times New Roman" w:hAnsi="Times New Roman" w:cs="Times New Roman"/>
          <w:noProof/>
          <w:sz w:val="24"/>
          <w:szCs w:val="24"/>
        </w:rPr>
      </w:pPr>
      <w:r w:rsidRPr="000D6E7F">
        <w:rPr>
          <w:rFonts w:ascii="Times New Roman" w:hAnsi="Times New Roman" w:cs="Times New Roman"/>
          <w:sz w:val="24"/>
          <w:szCs w:val="24"/>
        </w:rPr>
        <w:t xml:space="preserve">A comparative analysis of the NDVI maps from 1994, 2009, and 2024 reveals a clear and concerning trend of forest degradation over </w:t>
      </w:r>
      <w:r w:rsidR="008C3070" w:rsidRPr="000D6E7F">
        <w:rPr>
          <w:rFonts w:ascii="Times New Roman" w:hAnsi="Times New Roman" w:cs="Times New Roman"/>
          <w:sz w:val="24"/>
          <w:szCs w:val="24"/>
        </w:rPr>
        <w:t>the 30 years</w:t>
      </w:r>
      <w:r w:rsidRPr="000D6E7F">
        <w:rPr>
          <w:rFonts w:ascii="Times New Roman" w:hAnsi="Times New Roman" w:cs="Times New Roman"/>
          <w:sz w:val="24"/>
          <w:szCs w:val="24"/>
        </w:rPr>
        <w:t>. The following key changes can be identified:</w:t>
      </w:r>
      <w:r w:rsidR="00086F4F" w:rsidRPr="000D6E7F">
        <w:rPr>
          <w:rFonts w:ascii="Times New Roman" w:hAnsi="Times New Roman" w:cs="Times New Roman"/>
          <w:noProof/>
          <w:sz w:val="24"/>
          <w:szCs w:val="24"/>
        </w:rPr>
        <w:t xml:space="preserve"> </w:t>
      </w:r>
    </w:p>
    <w:p w14:paraId="2F2B398A" w14:textId="35BF6CB4"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Decline in Dense Vegetation:</w:t>
      </w:r>
      <w:r w:rsidRPr="000D6E7F">
        <w:rPr>
          <w:rFonts w:ascii="Times New Roman" w:hAnsi="Times New Roman" w:cs="Times New Roman"/>
          <w:sz w:val="24"/>
          <w:szCs w:val="24"/>
        </w:rPr>
        <w:t xml:space="preserve"> The most striking change is the progressive decline in areas with NDVI values above 0.5, which </w:t>
      </w:r>
      <w:r w:rsidR="008C3070" w:rsidRPr="000D6E7F">
        <w:rPr>
          <w:rFonts w:ascii="Times New Roman" w:hAnsi="Times New Roman" w:cs="Times New Roman"/>
          <w:sz w:val="24"/>
          <w:szCs w:val="24"/>
        </w:rPr>
        <w:t>signifies</w:t>
      </w:r>
      <w:r w:rsidRPr="000D6E7F">
        <w:rPr>
          <w:rFonts w:ascii="Times New Roman" w:hAnsi="Times New Roman" w:cs="Times New Roman"/>
          <w:sz w:val="24"/>
          <w:szCs w:val="24"/>
        </w:rPr>
        <w:t xml:space="preserve"> dense vegetation. This decline suggests that the forest's overall health and biomass have decreased significantly, potentially leading to reduced carbon sequestration and habitat loss for forest-dependent species.</w:t>
      </w:r>
    </w:p>
    <w:p w14:paraId="284B3A47" w14:textId="77777777"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Increase in Sparse Vegetation and Shrub/Grassland:</w:t>
      </w:r>
      <w:r w:rsidRPr="000D6E7F">
        <w:rPr>
          <w:rFonts w:ascii="Times New Roman" w:hAnsi="Times New Roman" w:cs="Times New Roman"/>
          <w:sz w:val="24"/>
          <w:szCs w:val="24"/>
        </w:rPr>
        <w:t xml:space="preserve"> As dense vegetation areas have declined, regions classified as sparse vegetation (NDVI values between 0.3 and 0.5) and shrub/grassland (NDVI values between 0.2 and 0.3) have expanded. This shift indicates a transition toward a more open, less mature forest structure, which is often associated with lower biodiversity and greater susceptibility to further degradation.</w:t>
      </w:r>
    </w:p>
    <w:p w14:paraId="690772C8" w14:textId="77777777"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Expansion of Bare Soil and Degraded Land:</w:t>
      </w:r>
      <w:r w:rsidRPr="000D6E7F">
        <w:rPr>
          <w:rFonts w:ascii="Times New Roman" w:hAnsi="Times New Roman" w:cs="Times New Roman"/>
          <w:sz w:val="24"/>
          <w:szCs w:val="24"/>
        </w:rPr>
        <w:t xml:space="preserve"> The presence of bare soil, rocks, and sand (NDVI values between 0 and 0.2) has increased over time, particularly between 2009 and 2024. This expansion suggests that soil erosion and land degradation have become more pronounced, likely exacerbating the forest's vulnerability to further degradation and reducing its ecological resilience.</w:t>
      </w:r>
    </w:p>
    <w:p w14:paraId="5DCB5D50"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Underlying Causes of LULC Changes</w:t>
      </w:r>
    </w:p>
    <w:p w14:paraId="5DC7AD2A" w14:textId="6C209E3C"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observed LULC changes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can be attributed to a combination of anthropogenic and natural factors. Understanding these causes is essential for developing effective conservation strategies.</w:t>
      </w:r>
    </w:p>
    <w:p w14:paraId="504AFBB3" w14:textId="49813B19"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Deforestation and Land Use Change:</w:t>
      </w:r>
      <w:r w:rsidRPr="000D6E7F">
        <w:rPr>
          <w:rFonts w:ascii="Times New Roman" w:hAnsi="Times New Roman" w:cs="Times New Roman"/>
          <w:sz w:val="24"/>
          <w:szCs w:val="24"/>
        </w:rPr>
        <w:t xml:space="preserve"> One of the primary drivers of forest degradation is deforestation, often driven by agricultural expansion, logging, and infrastructure development. In many forested regions, including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w:t>
      </w:r>
      <w:r w:rsidR="00FE2AB3" w:rsidRPr="000D6E7F">
        <w:rPr>
          <w:rFonts w:ascii="Times New Roman" w:hAnsi="Times New Roman" w:cs="Times New Roman"/>
          <w:sz w:val="24"/>
          <w:szCs w:val="24"/>
        </w:rPr>
        <w:t>F</w:t>
      </w:r>
      <w:r w:rsidRPr="000D6E7F">
        <w:rPr>
          <w:rFonts w:ascii="Times New Roman" w:hAnsi="Times New Roman" w:cs="Times New Roman"/>
          <w:sz w:val="24"/>
          <w:szCs w:val="24"/>
        </w:rPr>
        <w:t>, the demand for land for farming, settlement, and other human activities has led to the clearing of dense forest cover. This process not only reduces the extent of forested land but also disrupts the forest's natural regeneration processes.</w:t>
      </w:r>
    </w:p>
    <w:p w14:paraId="67A6DAE4" w14:textId="77777777"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Forest Fires:</w:t>
      </w:r>
      <w:r w:rsidRPr="000D6E7F">
        <w:rPr>
          <w:rFonts w:ascii="Times New Roman" w:hAnsi="Times New Roman" w:cs="Times New Roman"/>
          <w:sz w:val="24"/>
          <w:szCs w:val="24"/>
        </w:rPr>
        <w:t xml:space="preserve"> Forest fires, whether caused by natural events or human activities, can have devastating effects on vegetation cover. Fires can lead to the loss of dense forest, resulting in the expansion of shrub and grassland areas. Repeated fires can further </w:t>
      </w:r>
      <w:r w:rsidRPr="000D6E7F">
        <w:rPr>
          <w:rFonts w:ascii="Times New Roman" w:hAnsi="Times New Roman" w:cs="Times New Roman"/>
          <w:sz w:val="24"/>
          <w:szCs w:val="24"/>
        </w:rPr>
        <w:lastRenderedPageBreak/>
        <w:t>degrade the land, making it difficult for the forest to recover and leading to the spread of bare soil and degraded land.</w:t>
      </w:r>
    </w:p>
    <w:p w14:paraId="07284701" w14:textId="77777777"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Climate Change:</w:t>
      </w:r>
      <w:r w:rsidRPr="000D6E7F">
        <w:rPr>
          <w:rFonts w:ascii="Times New Roman" w:hAnsi="Times New Roman" w:cs="Times New Roman"/>
          <w:sz w:val="24"/>
          <w:szCs w:val="24"/>
        </w:rPr>
        <w:t xml:space="preserve"> Climate change is another significant factor that can influence LULC changes. Changes in temperature and precipitation patterns can stress forest ecosystems, making them more vulnerable to degradation. Prolonged droughts, for example, can reduce the health of dense vegetation, leading to its transition into sparse vegetation or shrubland.</w:t>
      </w:r>
    </w:p>
    <w:p w14:paraId="2F38B39A" w14:textId="47689A3D"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Soil Erosion:</w:t>
      </w:r>
      <w:r w:rsidRPr="000D6E7F">
        <w:rPr>
          <w:rFonts w:ascii="Times New Roman" w:hAnsi="Times New Roman" w:cs="Times New Roman"/>
          <w:sz w:val="24"/>
          <w:szCs w:val="24"/>
        </w:rPr>
        <w:t xml:space="preserve"> The expansion of bare soil and degraded land areas suggests that soil erosion has become a significant issue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Soil erosion can be exacerbated by deforestation, which removes the protective cover of vegetation, leaving the soil exposed to the elements. Over time, erosion can lead to the loss of fertile topsoil, further hindering the forest's ability to regenerate.</w:t>
      </w:r>
    </w:p>
    <w:p w14:paraId="75D5FE96" w14:textId="77777777" w:rsidR="00E30DCF" w:rsidRDefault="00E30DCF" w:rsidP="0097197E">
      <w:pPr>
        <w:spacing w:line="360" w:lineRule="auto"/>
        <w:jc w:val="both"/>
        <w:rPr>
          <w:rFonts w:ascii="Times New Roman" w:hAnsi="Times New Roman" w:cs="Times New Roman"/>
          <w:b/>
          <w:bCs/>
          <w:sz w:val="24"/>
          <w:szCs w:val="24"/>
        </w:rPr>
      </w:pPr>
    </w:p>
    <w:p w14:paraId="2D94B814" w14:textId="77777777" w:rsidR="00E30DCF" w:rsidRDefault="00E30DCF" w:rsidP="0097197E">
      <w:pPr>
        <w:spacing w:line="360" w:lineRule="auto"/>
        <w:jc w:val="both"/>
        <w:rPr>
          <w:rFonts w:ascii="Times New Roman" w:hAnsi="Times New Roman" w:cs="Times New Roman"/>
          <w:b/>
          <w:bCs/>
          <w:sz w:val="24"/>
          <w:szCs w:val="24"/>
        </w:rPr>
      </w:pPr>
    </w:p>
    <w:p w14:paraId="2D4EE44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Ecological Implications of LULC Changes</w:t>
      </w:r>
    </w:p>
    <w:p w14:paraId="46993125" w14:textId="6C0BFA0E"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LULC changes observed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have significant ecological implications, particularly for biodiversity, ecosystem services, and climate regulation.</w:t>
      </w:r>
    </w:p>
    <w:p w14:paraId="7DFF23BE" w14:textId="77777777"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Biodiversity Loss:</w:t>
      </w:r>
      <w:r w:rsidRPr="000D6E7F">
        <w:rPr>
          <w:rFonts w:ascii="Times New Roman" w:hAnsi="Times New Roman" w:cs="Times New Roman"/>
          <w:sz w:val="24"/>
          <w:szCs w:val="24"/>
        </w:rPr>
        <w:t xml:space="preserve"> The decline in dense vegetation and the expansion of degraded land likely result in a loss of biodiversity. Dense forests provide critical habitat for a wide range of species, from large mammals to small invertebrates. As the forest becomes more open and fragmented, many species may lose their habitat, leading to population declines or even local extinctions.</w:t>
      </w:r>
    </w:p>
    <w:p w14:paraId="400B1EEB" w14:textId="750B6CA4"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Disruption of Ecosystem Services:</w:t>
      </w:r>
      <w:r w:rsidRPr="000D6E7F">
        <w:rPr>
          <w:rFonts w:ascii="Times New Roman" w:hAnsi="Times New Roman" w:cs="Times New Roman"/>
          <w:sz w:val="24"/>
          <w:szCs w:val="24"/>
        </w:rPr>
        <w:t xml:space="preserve"> Forests provide essential ecosystem services, including </w:t>
      </w:r>
      <w:r w:rsidR="00A60ABE" w:rsidRPr="000D6E7F">
        <w:rPr>
          <w:rFonts w:ascii="Times New Roman" w:hAnsi="Times New Roman" w:cs="Times New Roman"/>
          <w:sz w:val="24"/>
          <w:szCs w:val="24"/>
        </w:rPr>
        <w:t xml:space="preserve">water regulation, </w:t>
      </w:r>
      <w:r w:rsidRPr="000D6E7F">
        <w:rPr>
          <w:rFonts w:ascii="Times New Roman" w:hAnsi="Times New Roman" w:cs="Times New Roman"/>
          <w:sz w:val="24"/>
          <w:szCs w:val="24"/>
        </w:rPr>
        <w:t xml:space="preserve">carbon sequestration, and soil stabilization. The degradation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reduces its ability to perform these functions, potentially leading to negative consequences for the broader region. For example, reduced vegetation cover can lead to more variable water flows, increasing the risk of flooding or drought.</w:t>
      </w:r>
    </w:p>
    <w:p w14:paraId="05ADF09F" w14:textId="1D1B1AA6"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Impact on Climate Regulation:</w:t>
      </w:r>
      <w:r w:rsidRPr="000D6E7F">
        <w:rPr>
          <w:rFonts w:ascii="Times New Roman" w:hAnsi="Times New Roman" w:cs="Times New Roman"/>
          <w:sz w:val="24"/>
          <w:szCs w:val="24"/>
        </w:rPr>
        <w:t xml:space="preserve"> Forests play a critical role in climate regulation by sequestering carbon dioxide from the atmosphere. The loss of dense vegetation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likely reduces the forest's carbon sequestration capacity, contributing to higher levels of atmospheric carbon dioxide and exacerbating climate change. Additionally, the release </w:t>
      </w:r>
      <w:r w:rsidRPr="000D6E7F">
        <w:rPr>
          <w:rFonts w:ascii="Times New Roman" w:hAnsi="Times New Roman" w:cs="Times New Roman"/>
          <w:sz w:val="24"/>
          <w:szCs w:val="24"/>
        </w:rPr>
        <w:lastRenderedPageBreak/>
        <w:t>of carbon stored in vegetation and soil due to deforestation and land degradation can further contribute to global warming.</w:t>
      </w:r>
    </w:p>
    <w:p w14:paraId="5DEE9D4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Recommendations for Conservation and Restoration</w:t>
      </w:r>
    </w:p>
    <w:p w14:paraId="261571E9" w14:textId="691E094B"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alarming trends observed in the LULC changes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underscore the urgency of implementing comprehensive conservation and restoration strategies. These recommendations aim to address the root causes of forest degradation, restore ecological balance, and ensure the long-term sustainability of the forest ecosystem.</w:t>
      </w:r>
    </w:p>
    <w:p w14:paraId="1FBFB071"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 Implementation of Sustainable Forest Management Practices:</w:t>
      </w:r>
    </w:p>
    <w:p w14:paraId="17E0ACC1"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Sustainable forest management is crucial for balancing the need for resource extraction with the preservation of forest ecosystems. It is essential to implement practices that limit deforestation and promote the sustainable use of forest resources. This can include controlled logging with reforestation requirements, selective harvesting that minimizes ecological disruption, and the establishment of buffer zones around sensitive areas to prevent encroachment. Moreover, community involvement in forest management, through participatory approaches, can enhance the effectiveness of these strategies by ensuring that local needs and knowledge are integrated into conservation efforts.</w:t>
      </w:r>
    </w:p>
    <w:p w14:paraId="2150297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 Reforestation and Afforestation Initiatives:</w:t>
      </w:r>
    </w:p>
    <w:p w14:paraId="1B53099B" w14:textId="79CC16F9"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Reforestation of degraded areas and afforestation of suitable non-forest lands within and around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are critical for restoring lost vegetation cover. These initiatives should prioritize the planting of native tree species that are well-adapted to the local environment and capable of supporting the region’s biodiversity. Additionally, mixed-species plantations can enhance ecosystem resilience and provide a more diverse range of habitats. Reforestation efforts should also focus on reconnecting fragmented forest patches to create continuous corridors for wildlife, thus reducing the negative impacts of habitat fragmentation.</w:t>
      </w:r>
    </w:p>
    <w:p w14:paraId="5BA4373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3. Fire Management and Prevention Programs:</w:t>
      </w:r>
    </w:p>
    <w:p w14:paraId="45E6B310" w14:textId="7A73D3D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Given the potential role of forest fires in contributing to vegetation loss, it is imperative to develop and implement fire management and prevention programs. These programs should include measures such as controlled burns to reduce fuel loads, the creation of firebreaks to prevent the spread of wildfires, and the establishment of early warning systems to detect and respond to fires quickly. Public awareness campaigns and training programs for local communities on fire prevention and management can further reduce the risk of accidental </w:t>
      </w:r>
      <w:r w:rsidR="00BD5C34" w:rsidRPr="000D6E7F">
        <w:rPr>
          <w:rFonts w:ascii="Times New Roman" w:hAnsi="Times New Roman" w:cs="Times New Roman"/>
          <w:sz w:val="24"/>
          <w:szCs w:val="24"/>
        </w:rPr>
        <w:t xml:space="preserve">as well </w:t>
      </w:r>
      <w:r w:rsidR="00BD5C34" w:rsidRPr="000D6E7F">
        <w:rPr>
          <w:rFonts w:ascii="Times New Roman" w:hAnsi="Times New Roman" w:cs="Times New Roman"/>
          <w:sz w:val="24"/>
          <w:szCs w:val="24"/>
        </w:rPr>
        <w:lastRenderedPageBreak/>
        <w:t xml:space="preserve">as intentional (jhum cultivation) </w:t>
      </w:r>
      <w:r w:rsidRPr="000D6E7F">
        <w:rPr>
          <w:rFonts w:ascii="Times New Roman" w:hAnsi="Times New Roman" w:cs="Times New Roman"/>
          <w:sz w:val="24"/>
          <w:szCs w:val="24"/>
        </w:rPr>
        <w:t>fires and enhance the overall resilience of the forest to fire-related disturbances.</w:t>
      </w:r>
    </w:p>
    <w:p w14:paraId="3E70393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4. Soil Conservation and Erosion Control Measures:</w:t>
      </w:r>
    </w:p>
    <w:p w14:paraId="7250BD7D"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To combat the spread of bare soil and land degradation, soil conservation measures should be prioritized. Techniques such as contour </w:t>
      </w:r>
      <w:proofErr w:type="spellStart"/>
      <w:r w:rsidRPr="000D6E7F">
        <w:rPr>
          <w:rFonts w:ascii="Times New Roman" w:hAnsi="Times New Roman" w:cs="Times New Roman"/>
          <w:sz w:val="24"/>
          <w:szCs w:val="24"/>
        </w:rPr>
        <w:t>plowing</w:t>
      </w:r>
      <w:proofErr w:type="spellEnd"/>
      <w:r w:rsidRPr="000D6E7F">
        <w:rPr>
          <w:rFonts w:ascii="Times New Roman" w:hAnsi="Times New Roman" w:cs="Times New Roman"/>
          <w:sz w:val="24"/>
          <w:szCs w:val="24"/>
        </w:rPr>
        <w:t>, terracing, and the establishment of vegetative cover on vulnerable slopes can significantly reduce soil erosion. Additionally, the use of organic mulches and cover crops can enhance soil fertility and structure, promoting the natural regeneration of vegetation. Erosion control measures should also focus on stabilizing riverbanks and other erosion-prone areas to prevent further land degradation and protect water quality.</w:t>
      </w:r>
    </w:p>
    <w:p w14:paraId="1E824692"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5. Restoration of Hydrological Balance:</w:t>
      </w:r>
    </w:p>
    <w:p w14:paraId="06DA00B8"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The health of forest ecosystems is closely linked to the hydrological balance of the region. Restoration efforts should include measures to protect and restore water sources within the forest, such as springs, streams, and wetlands. This can be achieved by reforesting riparian zones, reducing water extraction for agricultural or industrial purposes, and implementing watershed management practices that enhance water infiltration and reduce runoff. Maintaining a healthy hydrological balance will not only support vegetation growth but also ensure the availability of water for wildlife and local communities.</w:t>
      </w:r>
    </w:p>
    <w:p w14:paraId="745A56BA"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6. Strengthening Legal and Institutional Frameworks:</w:t>
      </w:r>
    </w:p>
    <w:p w14:paraId="48BE0D23" w14:textId="46BD826F"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Effective conservation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B7639" w:rsidRPr="000D6E7F">
        <w:rPr>
          <w:rFonts w:ascii="Times New Roman" w:hAnsi="Times New Roman" w:cs="Times New Roman"/>
          <w:sz w:val="24"/>
          <w:szCs w:val="24"/>
        </w:rPr>
        <w:t>RF</w:t>
      </w:r>
      <w:r w:rsidRPr="000D6E7F">
        <w:rPr>
          <w:rFonts w:ascii="Times New Roman" w:hAnsi="Times New Roman" w:cs="Times New Roman"/>
          <w:sz w:val="24"/>
          <w:szCs w:val="24"/>
        </w:rPr>
        <w:t xml:space="preserve"> requires legal and institutional frameworks that support the enforcement of environmental laws and regulations. Strengthening the capacity of local forest departments and other relevant institutions to monitor and manage the forest is crucial. This can include increasing funding for conservation initiatives, enhancing the training and resources available to forest rangers, and improving coordination between government agencies, non-governmental organizations, and local communities. Additionally, stricter enforcement of laws against illegal logging, land encroachment, and wildlife poaching is necessary to protect the forest and its biodiversity.</w:t>
      </w:r>
    </w:p>
    <w:p w14:paraId="3E0AE363"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7. Promoting Alternative Livelihoods for Local Communities:</w:t>
      </w:r>
    </w:p>
    <w:p w14:paraId="42C2277A" w14:textId="10DCDCA6"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Many instances of deforestation and land degradation are driven by the need for land and resources to support local livelihoods. To reduce pressure on the forest, it is important to promote alternative, sustainable livelihoods for communities living in and around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B7639" w:rsidRPr="000D6E7F">
        <w:rPr>
          <w:rFonts w:ascii="Times New Roman" w:hAnsi="Times New Roman" w:cs="Times New Roman"/>
          <w:sz w:val="24"/>
          <w:szCs w:val="24"/>
        </w:rPr>
        <w:t>RF</w:t>
      </w:r>
      <w:r w:rsidRPr="000D6E7F">
        <w:rPr>
          <w:rFonts w:ascii="Times New Roman" w:hAnsi="Times New Roman" w:cs="Times New Roman"/>
          <w:sz w:val="24"/>
          <w:szCs w:val="24"/>
        </w:rPr>
        <w:t xml:space="preserve">. This can include the development of eco-friendly agricultural practices, the promotion of agroforestry, and the establishment of community-based tourism initiatives that provide </w:t>
      </w:r>
      <w:r w:rsidRPr="000D6E7F">
        <w:rPr>
          <w:rFonts w:ascii="Times New Roman" w:hAnsi="Times New Roman" w:cs="Times New Roman"/>
          <w:sz w:val="24"/>
          <w:szCs w:val="24"/>
        </w:rPr>
        <w:lastRenderedPageBreak/>
        <w:t>economic benefits while preserving the forest. Additionally, providing education and training on sustainable land management and conservation can empower communities to adopt practices that protect the forest while meeting their economic needs.</w:t>
      </w:r>
    </w:p>
    <w:p w14:paraId="2D715D5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8. Biodiversity Conservation and Wildlife Protection:</w:t>
      </w:r>
    </w:p>
    <w:p w14:paraId="7116D3A1"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Conservation efforts should prioritize the protection of the forest’s biodiversity, particularly species that are endangered or have critical ecological roles. Establishing and maintaining wildlife corridors, protected areas, and biodiversity hotspots within the forest can help preserve habitats and support species populations. Conservation programs should also include measures to mitigate human-wildlife conflicts, such as the use of early warning systems, the construction of wildlife-friendly barriers, and the promotion of coexistence strategies that benefit both people and wildlife.</w:t>
      </w:r>
    </w:p>
    <w:p w14:paraId="13C1BF7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9. Monitoring and Research Programs:</w:t>
      </w:r>
    </w:p>
    <w:p w14:paraId="0ADA7147" w14:textId="29044FB4"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Continuous monitoring of LULC changes and other ecological parameters is essential for assessing the effectiveness of conservation and restoration efforts. Implementing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technologies, such as satellite imagery and drones, can provide valuable data on forest cover, vegetation health, and land use patterns. Additionally, research programs should focus on understanding the drivers of forest degradation, the impacts of climate change on the ecosystem, and the effectiveness of different conservation strategies. Collaborations between research institutions, government agencies, and local communities can enhance the knowledge base and inform adaptive management practices.</w:t>
      </w:r>
    </w:p>
    <w:p w14:paraId="793863BE"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10. Community Engagement and Education:</w:t>
      </w:r>
    </w:p>
    <w:p w14:paraId="03575DA6"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Engaging local communities in conservation efforts is key to ensuring the long-term success of restoration initiatives. Community-based conservation programs that involve local stakeholders in decision-making processes can foster a sense of ownership and responsibility for the forest. Environmental education programs can raise awareness about the importance of forest conservation and provide communities with the knowledge and skills needed to participate in sustainable land management. Empowering communities through education and capacity-building initiatives can also strengthen their ability to advocate for the protection of their natural resources.</w:t>
      </w:r>
    </w:p>
    <w:p w14:paraId="49B052E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Conclusion</w:t>
      </w:r>
    </w:p>
    <w:p w14:paraId="2AB67457" w14:textId="1CC978FB" w:rsidR="00FF3750" w:rsidRPr="000D6E7F" w:rsidRDefault="00B91A3E" w:rsidP="0097197E">
      <w:pPr>
        <w:spacing w:line="360" w:lineRule="auto"/>
        <w:jc w:val="both"/>
        <w:rPr>
          <w:rFonts w:ascii="Times New Roman" w:hAnsi="Times New Roman" w:cs="Times New Roman"/>
          <w:sz w:val="24"/>
          <w:szCs w:val="24"/>
        </w:rPr>
      </w:pPr>
      <w:r w:rsidRPr="00B91A3E">
        <w:rPr>
          <w:rFonts w:ascii="Times New Roman" w:hAnsi="Times New Roman" w:cs="Times New Roman"/>
          <w:color w:val="000000" w:themeColor="text1"/>
          <w:sz w:val="24"/>
          <w:szCs w:val="24"/>
        </w:rPr>
        <w:t xml:space="preserve">The LULC change analysis of </w:t>
      </w:r>
      <w:proofErr w:type="spellStart"/>
      <w:r w:rsidRPr="00B91A3E">
        <w:rPr>
          <w:rFonts w:ascii="Times New Roman" w:hAnsi="Times New Roman" w:cs="Times New Roman"/>
          <w:color w:val="000000" w:themeColor="text1"/>
          <w:sz w:val="24"/>
          <w:szCs w:val="24"/>
        </w:rPr>
        <w:t>Daldali</w:t>
      </w:r>
      <w:proofErr w:type="spellEnd"/>
      <w:r w:rsidRPr="00B91A3E">
        <w:rPr>
          <w:rFonts w:ascii="Times New Roman" w:hAnsi="Times New Roman" w:cs="Times New Roman"/>
          <w:color w:val="000000" w:themeColor="text1"/>
          <w:sz w:val="24"/>
          <w:szCs w:val="24"/>
        </w:rPr>
        <w:t xml:space="preserve"> RF from 1994 to 2024 reveals a concerning trend of forest degradation, marked by the complete loss of dense vegetation (12.73% to 0% of the total area) </w:t>
      </w:r>
      <w:r w:rsidRPr="00B91A3E">
        <w:rPr>
          <w:rFonts w:ascii="Times New Roman" w:hAnsi="Times New Roman" w:cs="Times New Roman"/>
          <w:color w:val="000000" w:themeColor="text1"/>
          <w:sz w:val="24"/>
          <w:szCs w:val="24"/>
        </w:rPr>
        <w:lastRenderedPageBreak/>
        <w:t xml:space="preserve">and a significant decline in sparse vegetation (85.31% to 41.05%). Simultaneously, there has been a substantial increase in shrub/grassland (1.54% to 56.43%) and bare soil (0.38% to 2.52%), indicating a major shift in land cover dynamics. </w:t>
      </w:r>
      <w:r w:rsidR="00FF3750" w:rsidRPr="000D6E7F">
        <w:rPr>
          <w:rFonts w:ascii="Times New Roman" w:hAnsi="Times New Roman" w:cs="Times New Roman"/>
          <w:sz w:val="24"/>
          <w:szCs w:val="24"/>
        </w:rPr>
        <w:t>These changes are indicative of ongoing deforestation, land degradation, and ecological stress, driven by factors such as unsustainable land use practices, forest fires, climate change, and soil erosion.</w:t>
      </w:r>
      <w:r w:rsidR="00AB7639" w:rsidRPr="000D6E7F">
        <w:rPr>
          <w:rFonts w:ascii="Times New Roman" w:hAnsi="Times New Roman" w:cs="Times New Roman"/>
          <w:sz w:val="24"/>
          <w:szCs w:val="24"/>
        </w:rPr>
        <w:t xml:space="preserve"> </w:t>
      </w:r>
      <w:r w:rsidR="00FF3750" w:rsidRPr="000D6E7F">
        <w:rPr>
          <w:rFonts w:ascii="Times New Roman" w:hAnsi="Times New Roman" w:cs="Times New Roman"/>
          <w:sz w:val="24"/>
          <w:szCs w:val="24"/>
        </w:rPr>
        <w:t>The ecological implications of these changes are profound, with potential consequences for biodiversity loss, disruption of ecosystem services, and reduced resilience to climate change. The forest's declining health also threatens the livelihoods of local communities and the broader environmental stability of the region.</w:t>
      </w:r>
    </w:p>
    <w:p w14:paraId="77FC7AC6" w14:textId="01ABC2BB" w:rsidR="00B51DBE"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In response to these challenges, a multifaceted approach to conservation and restoration is required. Sustainable forest management, reforestation, fire prevention, soil conservation, and the restoration of hydrological balance are essential strategies for halting and reversing the degradation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6321" w:rsidRPr="000D6E7F">
        <w:rPr>
          <w:rFonts w:ascii="Times New Roman" w:hAnsi="Times New Roman" w:cs="Times New Roman"/>
          <w:sz w:val="24"/>
          <w:szCs w:val="24"/>
        </w:rPr>
        <w:t>RF</w:t>
      </w:r>
      <w:r w:rsidRPr="000D6E7F">
        <w:rPr>
          <w:rFonts w:ascii="Times New Roman" w:hAnsi="Times New Roman" w:cs="Times New Roman"/>
          <w:sz w:val="24"/>
          <w:szCs w:val="24"/>
        </w:rPr>
        <w:t>. Strengthening legal and institutional frameworks, promoting alternative livelihoods, protecting biodiversity, and engaging local communities are also critical components of a successful conservation strategy.</w:t>
      </w:r>
      <w:r w:rsidR="00AF6321"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Ultimately, the long-term sustainability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6321" w:rsidRPr="000D6E7F">
        <w:rPr>
          <w:rFonts w:ascii="Times New Roman" w:hAnsi="Times New Roman" w:cs="Times New Roman"/>
          <w:sz w:val="24"/>
          <w:szCs w:val="24"/>
        </w:rPr>
        <w:t>RF</w:t>
      </w:r>
      <w:r w:rsidRPr="000D6E7F">
        <w:rPr>
          <w:rFonts w:ascii="Times New Roman" w:hAnsi="Times New Roman" w:cs="Times New Roman"/>
          <w:sz w:val="24"/>
          <w:szCs w:val="24"/>
        </w:rPr>
        <w:t xml:space="preserve"> will depend on the collective efforts of government agencies, non-governmental organizations, research institutions, and local communities. By working together to implement effective conservation and restoration practices, it is possible to restore the health and vitality of this important forest ecosystem, ensuring that it continues to provide essential ecological, economic, and cultural benefits for generations to come.</w:t>
      </w:r>
    </w:p>
    <w:p w14:paraId="355A2420" w14:textId="5E28AF33" w:rsidR="00F16810" w:rsidRDefault="00F16810" w:rsidP="0097197E">
      <w:pPr>
        <w:spacing w:line="360" w:lineRule="auto"/>
        <w:jc w:val="both"/>
        <w:rPr>
          <w:rFonts w:ascii="Times New Roman" w:hAnsi="Times New Roman" w:cs="Times New Roman"/>
          <w:sz w:val="24"/>
          <w:szCs w:val="24"/>
        </w:rPr>
      </w:pPr>
    </w:p>
    <w:p w14:paraId="0747D396" w14:textId="77777777" w:rsidR="00F16810" w:rsidRPr="007A4135" w:rsidRDefault="00F16810" w:rsidP="00F16810">
      <w:pPr>
        <w:rPr>
          <w:highlight w:val="yellow"/>
        </w:rPr>
      </w:pPr>
      <w:r w:rsidRPr="007A4135">
        <w:rPr>
          <w:highlight w:val="yellow"/>
        </w:rPr>
        <w:t>Disclaimer (Artificial intelligence)</w:t>
      </w:r>
    </w:p>
    <w:p w14:paraId="698CE394" w14:textId="77777777" w:rsidR="00F16810" w:rsidRPr="007A4135" w:rsidRDefault="00F16810" w:rsidP="00F16810">
      <w:pPr>
        <w:rPr>
          <w:highlight w:val="yellow"/>
        </w:rPr>
      </w:pPr>
      <w:r w:rsidRPr="007A4135">
        <w:rPr>
          <w:highlight w:val="yellow"/>
        </w:rPr>
        <w:t xml:space="preserve">Option 1: </w:t>
      </w:r>
    </w:p>
    <w:p w14:paraId="5D03868C" w14:textId="77777777" w:rsidR="00F16810" w:rsidRPr="007A4135" w:rsidRDefault="00F16810" w:rsidP="00F1681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B4D8445" w14:textId="77777777" w:rsidR="00F16810" w:rsidRPr="007A4135" w:rsidRDefault="00F16810" w:rsidP="00F16810">
      <w:pPr>
        <w:rPr>
          <w:highlight w:val="yellow"/>
        </w:rPr>
      </w:pPr>
      <w:r w:rsidRPr="007A4135">
        <w:rPr>
          <w:highlight w:val="yellow"/>
        </w:rPr>
        <w:t xml:space="preserve">Option 2: </w:t>
      </w:r>
    </w:p>
    <w:p w14:paraId="17D83BFC" w14:textId="77777777" w:rsidR="00F16810" w:rsidRPr="007A4135" w:rsidRDefault="00F16810" w:rsidP="00F1681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820232" w14:textId="77777777" w:rsidR="00F16810" w:rsidRPr="007A4135" w:rsidRDefault="00F16810" w:rsidP="00F16810">
      <w:pPr>
        <w:rPr>
          <w:highlight w:val="yellow"/>
        </w:rPr>
      </w:pPr>
      <w:r w:rsidRPr="007A4135">
        <w:rPr>
          <w:highlight w:val="yellow"/>
        </w:rPr>
        <w:t>Details of the AI usage are given below:</w:t>
      </w:r>
    </w:p>
    <w:p w14:paraId="5F9B1539" w14:textId="77777777" w:rsidR="00F16810" w:rsidRPr="007A4135" w:rsidRDefault="00F16810" w:rsidP="00F16810">
      <w:pPr>
        <w:rPr>
          <w:highlight w:val="yellow"/>
        </w:rPr>
      </w:pPr>
      <w:r w:rsidRPr="007A4135">
        <w:rPr>
          <w:highlight w:val="yellow"/>
        </w:rPr>
        <w:t>1.</w:t>
      </w:r>
    </w:p>
    <w:p w14:paraId="5B8A1C79" w14:textId="77777777" w:rsidR="00F16810" w:rsidRPr="007A4135" w:rsidRDefault="00F16810" w:rsidP="00F16810">
      <w:pPr>
        <w:rPr>
          <w:highlight w:val="yellow"/>
        </w:rPr>
      </w:pPr>
      <w:r w:rsidRPr="007A4135">
        <w:rPr>
          <w:highlight w:val="yellow"/>
        </w:rPr>
        <w:t>2.</w:t>
      </w:r>
    </w:p>
    <w:p w14:paraId="5C7335F5" w14:textId="77777777" w:rsidR="00F16810" w:rsidRPr="00D047BB" w:rsidRDefault="00F16810" w:rsidP="00F16810">
      <w:r w:rsidRPr="007A4135">
        <w:rPr>
          <w:highlight w:val="yellow"/>
        </w:rPr>
        <w:t>3.</w:t>
      </w:r>
    </w:p>
    <w:p w14:paraId="59D6249F" w14:textId="77777777" w:rsidR="00F16810" w:rsidRPr="000D6E7F" w:rsidRDefault="00F16810" w:rsidP="0097197E">
      <w:pPr>
        <w:spacing w:line="360" w:lineRule="auto"/>
        <w:jc w:val="both"/>
        <w:rPr>
          <w:rFonts w:ascii="Times New Roman" w:hAnsi="Times New Roman" w:cs="Times New Roman"/>
          <w:sz w:val="24"/>
          <w:szCs w:val="24"/>
        </w:rPr>
      </w:pPr>
      <w:bookmarkStart w:id="2" w:name="_GoBack"/>
      <w:bookmarkEnd w:id="2"/>
    </w:p>
    <w:p w14:paraId="171EFA13" w14:textId="77777777" w:rsidR="00A82244" w:rsidRDefault="00A82244" w:rsidP="0097197E">
      <w:pPr>
        <w:spacing w:line="360" w:lineRule="auto"/>
        <w:jc w:val="both"/>
        <w:rPr>
          <w:rFonts w:ascii="Times New Roman" w:hAnsi="Times New Roman" w:cs="Times New Roman"/>
          <w:b/>
          <w:bCs/>
          <w:sz w:val="24"/>
          <w:szCs w:val="24"/>
        </w:rPr>
      </w:pPr>
    </w:p>
    <w:p w14:paraId="346849DE" w14:textId="5C80BF65" w:rsidR="00E16488" w:rsidRPr="000D6E7F" w:rsidRDefault="00AF6321"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References</w:t>
      </w:r>
    </w:p>
    <w:p w14:paraId="5F0F6D90" w14:textId="77777777" w:rsidR="000C6EDC" w:rsidRPr="000C6EDC" w:rsidRDefault="000C6EDC" w:rsidP="000C6EDC">
      <w:pPr>
        <w:pStyle w:val="ListParagraph"/>
        <w:numPr>
          <w:ilvl w:val="0"/>
          <w:numId w:val="8"/>
        </w:numPr>
        <w:spacing w:line="360" w:lineRule="auto"/>
        <w:jc w:val="both"/>
        <w:rPr>
          <w:rFonts w:ascii="Times New Roman" w:hAnsi="Times New Roman" w:cs="Times New Roman"/>
          <w:sz w:val="24"/>
          <w:szCs w:val="24"/>
        </w:rPr>
      </w:pPr>
      <w:proofErr w:type="spellStart"/>
      <w:r w:rsidRPr="000C6EDC">
        <w:rPr>
          <w:rFonts w:ascii="Times New Roman" w:hAnsi="Times New Roman" w:cs="Times New Roman"/>
          <w:sz w:val="24"/>
          <w:szCs w:val="24"/>
        </w:rPr>
        <w:t>Ochuba</w:t>
      </w:r>
      <w:proofErr w:type="spellEnd"/>
      <w:r w:rsidRPr="000C6EDC">
        <w:rPr>
          <w:rFonts w:ascii="Times New Roman" w:hAnsi="Times New Roman" w:cs="Times New Roman"/>
          <w:sz w:val="24"/>
          <w:szCs w:val="24"/>
        </w:rPr>
        <w:t xml:space="preserve">, N. A., </w:t>
      </w:r>
      <w:proofErr w:type="spellStart"/>
      <w:r w:rsidRPr="000C6EDC">
        <w:rPr>
          <w:rFonts w:ascii="Times New Roman" w:hAnsi="Times New Roman" w:cs="Times New Roman"/>
          <w:sz w:val="24"/>
          <w:szCs w:val="24"/>
        </w:rPr>
        <w:t>Olutimehin</w:t>
      </w:r>
      <w:proofErr w:type="spellEnd"/>
      <w:r w:rsidRPr="000C6EDC">
        <w:rPr>
          <w:rFonts w:ascii="Times New Roman" w:hAnsi="Times New Roman" w:cs="Times New Roman"/>
          <w:sz w:val="24"/>
          <w:szCs w:val="24"/>
        </w:rPr>
        <w:t xml:space="preserve">, D. O., </w:t>
      </w:r>
      <w:proofErr w:type="spellStart"/>
      <w:r w:rsidRPr="000C6EDC">
        <w:rPr>
          <w:rFonts w:ascii="Times New Roman" w:hAnsi="Times New Roman" w:cs="Times New Roman"/>
          <w:sz w:val="24"/>
          <w:szCs w:val="24"/>
        </w:rPr>
        <w:t>Odunaiya</w:t>
      </w:r>
      <w:proofErr w:type="spellEnd"/>
      <w:r w:rsidRPr="000C6EDC">
        <w:rPr>
          <w:rFonts w:ascii="Times New Roman" w:hAnsi="Times New Roman" w:cs="Times New Roman"/>
          <w:sz w:val="24"/>
          <w:szCs w:val="24"/>
        </w:rPr>
        <w:t xml:space="preserve">, O. G., &amp; </w:t>
      </w:r>
      <w:proofErr w:type="spellStart"/>
      <w:r w:rsidRPr="000C6EDC">
        <w:rPr>
          <w:rFonts w:ascii="Times New Roman" w:hAnsi="Times New Roman" w:cs="Times New Roman"/>
          <w:sz w:val="24"/>
          <w:szCs w:val="24"/>
        </w:rPr>
        <w:t>Soyomb</w:t>
      </w:r>
      <w:proofErr w:type="spellEnd"/>
      <w:r w:rsidRPr="000C6EDC">
        <w:rPr>
          <w:rFonts w:ascii="Times New Roman" w:hAnsi="Times New Roman" w:cs="Times New Roman"/>
          <w:sz w:val="24"/>
          <w:szCs w:val="24"/>
        </w:rPr>
        <w:t>, O. T. (2024). A comprehensive review of strategic management practices in satellite telecommunications, highlighting the role of data analytics in driving operational efficiency and competitive advantage. World Journal of Advanced Engineering Technology and Sciences, 11(2), 201-211.</w:t>
      </w:r>
    </w:p>
    <w:p w14:paraId="70520590" w14:textId="3D211D8B" w:rsidR="000C6EDC" w:rsidRPr="000C6EDC" w:rsidRDefault="000C6EDC" w:rsidP="000C6EDC">
      <w:pPr>
        <w:pStyle w:val="ListParagraph"/>
        <w:numPr>
          <w:ilvl w:val="0"/>
          <w:numId w:val="8"/>
        </w:numPr>
        <w:spacing w:line="360" w:lineRule="auto"/>
        <w:jc w:val="both"/>
        <w:rPr>
          <w:rFonts w:ascii="Times New Roman" w:hAnsi="Times New Roman" w:cs="Times New Roman"/>
          <w:sz w:val="24"/>
          <w:szCs w:val="24"/>
        </w:rPr>
      </w:pPr>
      <w:proofErr w:type="spellStart"/>
      <w:r w:rsidRPr="000C6EDC">
        <w:rPr>
          <w:rFonts w:ascii="Times New Roman" w:hAnsi="Times New Roman" w:cs="Times New Roman"/>
          <w:sz w:val="24"/>
          <w:szCs w:val="24"/>
        </w:rPr>
        <w:t>Alavipanah</w:t>
      </w:r>
      <w:proofErr w:type="spellEnd"/>
      <w:r w:rsidRPr="000C6EDC">
        <w:rPr>
          <w:rFonts w:ascii="Times New Roman" w:hAnsi="Times New Roman" w:cs="Times New Roman"/>
          <w:sz w:val="24"/>
          <w:szCs w:val="24"/>
        </w:rPr>
        <w:t xml:space="preserve">, S. K., </w:t>
      </w:r>
      <w:proofErr w:type="spellStart"/>
      <w:r w:rsidRPr="000C6EDC">
        <w:rPr>
          <w:rFonts w:ascii="Times New Roman" w:hAnsi="Times New Roman" w:cs="Times New Roman"/>
          <w:sz w:val="24"/>
          <w:szCs w:val="24"/>
        </w:rPr>
        <w:t>Matinfar</w:t>
      </w:r>
      <w:proofErr w:type="spellEnd"/>
      <w:r w:rsidRPr="000C6EDC">
        <w:rPr>
          <w:rFonts w:ascii="Times New Roman" w:hAnsi="Times New Roman" w:cs="Times New Roman"/>
          <w:sz w:val="24"/>
          <w:szCs w:val="24"/>
        </w:rPr>
        <w:t xml:space="preserve">, H. R., </w:t>
      </w:r>
      <w:proofErr w:type="spellStart"/>
      <w:r w:rsidRPr="000C6EDC">
        <w:rPr>
          <w:rFonts w:ascii="Times New Roman" w:hAnsi="Times New Roman" w:cs="Times New Roman"/>
          <w:sz w:val="24"/>
          <w:szCs w:val="24"/>
        </w:rPr>
        <w:t>Rafiei</w:t>
      </w:r>
      <w:proofErr w:type="spellEnd"/>
      <w:r w:rsidRPr="000C6EDC">
        <w:rPr>
          <w:rFonts w:ascii="Times New Roman" w:hAnsi="Times New Roman" w:cs="Times New Roman"/>
          <w:sz w:val="24"/>
          <w:szCs w:val="24"/>
        </w:rPr>
        <w:t xml:space="preserve"> </w:t>
      </w:r>
      <w:proofErr w:type="spellStart"/>
      <w:r w:rsidRPr="000C6EDC">
        <w:rPr>
          <w:rFonts w:ascii="Times New Roman" w:hAnsi="Times New Roman" w:cs="Times New Roman"/>
          <w:sz w:val="24"/>
          <w:szCs w:val="24"/>
        </w:rPr>
        <w:t>Emam</w:t>
      </w:r>
      <w:proofErr w:type="spellEnd"/>
      <w:r w:rsidRPr="000C6EDC">
        <w:rPr>
          <w:rFonts w:ascii="Times New Roman" w:hAnsi="Times New Roman" w:cs="Times New Roman"/>
          <w:sz w:val="24"/>
          <w:szCs w:val="24"/>
        </w:rPr>
        <w:t xml:space="preserve">, A., </w:t>
      </w:r>
      <w:proofErr w:type="spellStart"/>
      <w:r w:rsidRPr="000C6EDC">
        <w:rPr>
          <w:rFonts w:ascii="Times New Roman" w:hAnsi="Times New Roman" w:cs="Times New Roman"/>
          <w:sz w:val="24"/>
          <w:szCs w:val="24"/>
        </w:rPr>
        <w:t>Khodaei</w:t>
      </w:r>
      <w:proofErr w:type="spellEnd"/>
      <w:r w:rsidRPr="000C6EDC">
        <w:rPr>
          <w:rFonts w:ascii="Times New Roman" w:hAnsi="Times New Roman" w:cs="Times New Roman"/>
          <w:sz w:val="24"/>
          <w:szCs w:val="24"/>
        </w:rPr>
        <w:t xml:space="preserve">, K., </w:t>
      </w:r>
      <w:proofErr w:type="spellStart"/>
      <w:r w:rsidRPr="000C6EDC">
        <w:rPr>
          <w:rFonts w:ascii="Times New Roman" w:hAnsi="Times New Roman" w:cs="Times New Roman"/>
          <w:sz w:val="24"/>
          <w:szCs w:val="24"/>
        </w:rPr>
        <w:t>Hadji</w:t>
      </w:r>
      <w:proofErr w:type="spellEnd"/>
      <w:r w:rsidRPr="000C6EDC">
        <w:rPr>
          <w:rFonts w:ascii="Times New Roman" w:hAnsi="Times New Roman" w:cs="Times New Roman"/>
          <w:sz w:val="24"/>
          <w:szCs w:val="24"/>
        </w:rPr>
        <w:t xml:space="preserve"> Bagheri, R., &amp; </w:t>
      </w:r>
      <w:proofErr w:type="spellStart"/>
      <w:r w:rsidRPr="000C6EDC">
        <w:rPr>
          <w:rFonts w:ascii="Times New Roman" w:hAnsi="Times New Roman" w:cs="Times New Roman"/>
          <w:sz w:val="24"/>
          <w:szCs w:val="24"/>
        </w:rPr>
        <w:t>Yazdan</w:t>
      </w:r>
      <w:proofErr w:type="spellEnd"/>
      <w:r w:rsidRPr="000C6EDC">
        <w:rPr>
          <w:rFonts w:ascii="Times New Roman" w:hAnsi="Times New Roman" w:cs="Times New Roman"/>
          <w:sz w:val="24"/>
          <w:szCs w:val="24"/>
        </w:rPr>
        <w:t xml:space="preserve"> </w:t>
      </w:r>
      <w:proofErr w:type="spellStart"/>
      <w:r w:rsidRPr="000C6EDC">
        <w:rPr>
          <w:rFonts w:ascii="Times New Roman" w:hAnsi="Times New Roman" w:cs="Times New Roman"/>
          <w:sz w:val="24"/>
          <w:szCs w:val="24"/>
        </w:rPr>
        <w:t>Panah</w:t>
      </w:r>
      <w:proofErr w:type="spellEnd"/>
      <w:r w:rsidRPr="000C6EDC">
        <w:rPr>
          <w:rFonts w:ascii="Times New Roman" w:hAnsi="Times New Roman" w:cs="Times New Roman"/>
          <w:sz w:val="24"/>
          <w:szCs w:val="24"/>
        </w:rPr>
        <w:t>, A. (2010). Criteria of selecting satellite data for studying land resources. Desert, 15(2), 83-102.</w:t>
      </w:r>
    </w:p>
    <w:p w14:paraId="33FDA21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Abbas, Z., Yang, G., Zhong, Y., &amp; Zhao, Y. (2021). Spatiotemporal change analysis and future scenario of LULC using the CA-ANN approach: A case study of the greater bay area, china. </w:t>
      </w:r>
      <w:r w:rsidRPr="0020436B">
        <w:rPr>
          <w:rFonts w:ascii="Times New Roman" w:hAnsi="Times New Roman" w:cs="Times New Roman"/>
          <w:i/>
          <w:iCs/>
          <w:sz w:val="24"/>
          <w:szCs w:val="24"/>
        </w:rPr>
        <w:t>Land</w:t>
      </w:r>
      <w:r w:rsidRPr="0020436B">
        <w:rPr>
          <w:rFonts w:ascii="Times New Roman" w:hAnsi="Times New Roman" w:cs="Times New Roman"/>
          <w:sz w:val="24"/>
          <w:szCs w:val="24"/>
        </w:rPr>
        <w:t>, </w:t>
      </w:r>
      <w:r w:rsidRPr="0020436B">
        <w:rPr>
          <w:rFonts w:ascii="Times New Roman" w:hAnsi="Times New Roman" w:cs="Times New Roman"/>
          <w:i/>
          <w:iCs/>
          <w:sz w:val="24"/>
          <w:szCs w:val="24"/>
        </w:rPr>
        <w:t>10</w:t>
      </w:r>
      <w:r w:rsidRPr="0020436B">
        <w:rPr>
          <w:rFonts w:ascii="Times New Roman" w:hAnsi="Times New Roman" w:cs="Times New Roman"/>
          <w:sz w:val="24"/>
          <w:szCs w:val="24"/>
        </w:rPr>
        <w:t>(6), 584.</w:t>
      </w:r>
    </w:p>
    <w:p w14:paraId="24407E03"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Coppin</w:t>
      </w:r>
      <w:proofErr w:type="spellEnd"/>
      <w:r w:rsidRPr="0020436B">
        <w:rPr>
          <w:rFonts w:ascii="Times New Roman" w:hAnsi="Times New Roman" w:cs="Times New Roman"/>
          <w:sz w:val="24"/>
          <w:szCs w:val="24"/>
        </w:rPr>
        <w:t xml:space="preserve">, P., </w:t>
      </w:r>
      <w:proofErr w:type="spellStart"/>
      <w:r w:rsidRPr="0020436B">
        <w:rPr>
          <w:rFonts w:ascii="Times New Roman" w:hAnsi="Times New Roman" w:cs="Times New Roman"/>
          <w:sz w:val="24"/>
          <w:szCs w:val="24"/>
        </w:rPr>
        <w:t>Jonckheere</w:t>
      </w:r>
      <w:proofErr w:type="spellEnd"/>
      <w:r w:rsidRPr="0020436B">
        <w:rPr>
          <w:rFonts w:ascii="Times New Roman" w:hAnsi="Times New Roman" w:cs="Times New Roman"/>
          <w:sz w:val="24"/>
          <w:szCs w:val="24"/>
        </w:rPr>
        <w:t xml:space="preserve">, I., </w:t>
      </w:r>
      <w:proofErr w:type="spellStart"/>
      <w:r w:rsidRPr="0020436B">
        <w:rPr>
          <w:rFonts w:ascii="Times New Roman" w:hAnsi="Times New Roman" w:cs="Times New Roman"/>
          <w:sz w:val="24"/>
          <w:szCs w:val="24"/>
        </w:rPr>
        <w:t>Nackaerts</w:t>
      </w:r>
      <w:proofErr w:type="spellEnd"/>
      <w:r w:rsidRPr="0020436B">
        <w:rPr>
          <w:rFonts w:ascii="Times New Roman" w:hAnsi="Times New Roman" w:cs="Times New Roman"/>
          <w:sz w:val="24"/>
          <w:szCs w:val="24"/>
        </w:rPr>
        <w:t xml:space="preserve">, K., </w:t>
      </w:r>
      <w:proofErr w:type="spellStart"/>
      <w:r w:rsidRPr="0020436B">
        <w:rPr>
          <w:rFonts w:ascii="Times New Roman" w:hAnsi="Times New Roman" w:cs="Times New Roman"/>
          <w:sz w:val="24"/>
          <w:szCs w:val="24"/>
        </w:rPr>
        <w:t>Muys</w:t>
      </w:r>
      <w:proofErr w:type="spellEnd"/>
      <w:r w:rsidRPr="0020436B">
        <w:rPr>
          <w:rFonts w:ascii="Times New Roman" w:hAnsi="Times New Roman" w:cs="Times New Roman"/>
          <w:sz w:val="24"/>
          <w:szCs w:val="24"/>
        </w:rPr>
        <w:t>, B., &amp; Lambin, E. (2004). Digital change detection methods in ecosystem monitoring: A review. International Journal of Remote Sensing, 25(9), 1565-1596.</w:t>
      </w:r>
    </w:p>
    <w:p w14:paraId="592F0644" w14:textId="77777777" w:rsid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Muttitanon</w:t>
      </w:r>
      <w:proofErr w:type="spellEnd"/>
      <w:r w:rsidRPr="0020436B">
        <w:rPr>
          <w:rFonts w:ascii="Times New Roman" w:hAnsi="Times New Roman" w:cs="Times New Roman"/>
          <w:sz w:val="24"/>
          <w:szCs w:val="24"/>
        </w:rPr>
        <w:t>, W., &amp; Tripathi, N. K. (2005). Land use/land cover changes in the coastal zone of Ban Don Bay, Thailand using Landsat 5 TM data. International Journal of Remote Sensing, 26(11), 2311-2323.</w:t>
      </w:r>
    </w:p>
    <w:p w14:paraId="1A6C62E0" w14:textId="4052D34C" w:rsidR="00A82244" w:rsidRPr="0020436B" w:rsidRDefault="00A82244" w:rsidP="00A82244">
      <w:pPr>
        <w:numPr>
          <w:ilvl w:val="0"/>
          <w:numId w:val="8"/>
        </w:numPr>
        <w:spacing w:line="360" w:lineRule="auto"/>
        <w:jc w:val="both"/>
        <w:rPr>
          <w:rFonts w:ascii="Times New Roman" w:hAnsi="Times New Roman" w:cs="Times New Roman"/>
          <w:sz w:val="24"/>
          <w:szCs w:val="24"/>
        </w:rPr>
      </w:pPr>
      <w:r w:rsidRPr="00A82244">
        <w:rPr>
          <w:rFonts w:ascii="Times New Roman" w:hAnsi="Times New Roman" w:cs="Times New Roman"/>
          <w:sz w:val="24"/>
          <w:szCs w:val="24"/>
        </w:rPr>
        <w:t>Tiwari, N., &amp; Kashyap, P. J. (2024). Urban Growth Dynamics of National Capital Region of India Using Geospatial Technology. Asian Journal of Geographical Research, 7(2), 35–52. https://doi.org/10.9734/ajgr/2024/v7i2230</w:t>
      </w:r>
    </w:p>
    <w:p w14:paraId="7C103BFC"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Fung, T., &amp; Siu, W. (2000). Environmental quality and its changes, an analysis using NDVI. </w:t>
      </w:r>
      <w:r w:rsidRPr="0020436B">
        <w:rPr>
          <w:rFonts w:ascii="Times New Roman" w:hAnsi="Times New Roman" w:cs="Times New Roman"/>
          <w:i/>
          <w:iCs/>
          <w:sz w:val="24"/>
          <w:szCs w:val="24"/>
        </w:rPr>
        <w:t>International Journal of Remote Sensing</w:t>
      </w:r>
      <w:r w:rsidRPr="0020436B">
        <w:rPr>
          <w:rFonts w:ascii="Times New Roman" w:hAnsi="Times New Roman" w:cs="Times New Roman"/>
          <w:sz w:val="24"/>
          <w:szCs w:val="24"/>
        </w:rPr>
        <w:t>, </w:t>
      </w:r>
      <w:r w:rsidRPr="0020436B">
        <w:rPr>
          <w:rFonts w:ascii="Times New Roman" w:hAnsi="Times New Roman" w:cs="Times New Roman"/>
          <w:i/>
          <w:iCs/>
          <w:sz w:val="24"/>
          <w:szCs w:val="24"/>
        </w:rPr>
        <w:t>21</w:t>
      </w:r>
      <w:r w:rsidRPr="0020436B">
        <w:rPr>
          <w:rFonts w:ascii="Times New Roman" w:hAnsi="Times New Roman" w:cs="Times New Roman"/>
          <w:sz w:val="24"/>
          <w:szCs w:val="24"/>
        </w:rPr>
        <w:t xml:space="preserve">(5), 1011–1024. </w:t>
      </w:r>
      <w:hyperlink r:id="rId12" w:history="1">
        <w:r w:rsidRPr="0020436B">
          <w:rPr>
            <w:rStyle w:val="Hyperlink"/>
            <w:rFonts w:ascii="Times New Roman" w:hAnsi="Times New Roman" w:cs="Times New Roman"/>
            <w:sz w:val="24"/>
            <w:szCs w:val="24"/>
          </w:rPr>
          <w:t>https://doi.org/10.1080/014311600210407</w:t>
        </w:r>
      </w:hyperlink>
    </w:p>
    <w:p w14:paraId="15DA3839"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Rouse, J. W., Haas, R. H., Schell, J. A., &amp; Deering, D. W. (1973). Monitoring vegetation systems in the Great Plains with ERTS. In S. C. </w:t>
      </w:r>
      <w:proofErr w:type="spellStart"/>
      <w:r w:rsidRPr="0020436B">
        <w:rPr>
          <w:rFonts w:ascii="Times New Roman" w:hAnsi="Times New Roman" w:cs="Times New Roman"/>
          <w:sz w:val="24"/>
          <w:szCs w:val="24"/>
        </w:rPr>
        <w:t>Freden</w:t>
      </w:r>
      <w:proofErr w:type="spellEnd"/>
      <w:r w:rsidRPr="0020436B">
        <w:rPr>
          <w:rFonts w:ascii="Times New Roman" w:hAnsi="Times New Roman" w:cs="Times New Roman"/>
          <w:sz w:val="24"/>
          <w:szCs w:val="24"/>
        </w:rPr>
        <w:t>, E. P. Mercanti, &amp; M. Becker (Eds.), Third Earth Resources Technology Satellite (ERTS) Symposium (pp. 309-317). NASA SP-351.</w:t>
      </w:r>
    </w:p>
    <w:p w14:paraId="6FAB97F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 xml:space="preserve">Tucker, C. J. (1979). Red and photographic infrared linear combinations for monitoring vegetation. </w:t>
      </w:r>
      <w:r w:rsidRPr="0020436B">
        <w:rPr>
          <w:rFonts w:ascii="Times New Roman" w:hAnsi="Times New Roman" w:cs="Times New Roman"/>
          <w:i/>
          <w:sz w:val="24"/>
          <w:szCs w:val="24"/>
        </w:rPr>
        <w:t>Remote Sensing of Environment</w:t>
      </w:r>
      <w:r w:rsidRPr="0020436B">
        <w:rPr>
          <w:rFonts w:ascii="Times New Roman" w:hAnsi="Times New Roman" w:cs="Times New Roman"/>
          <w:sz w:val="24"/>
          <w:szCs w:val="24"/>
        </w:rPr>
        <w:t>, 8(2), 127-150.</w:t>
      </w:r>
    </w:p>
    <w:p w14:paraId="24F257A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Lillesand, T. M., Kiefer, R. W., &amp; Chipman, J. W. (2015). Remote sensing and image interpretation (7th ed.). John Wiley &amp; Sons.</w:t>
      </w:r>
    </w:p>
    <w:p w14:paraId="0019184E"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Pettorelli</w:t>
      </w:r>
      <w:proofErr w:type="spellEnd"/>
      <w:r w:rsidRPr="0020436B">
        <w:rPr>
          <w:rFonts w:ascii="Times New Roman" w:hAnsi="Times New Roman" w:cs="Times New Roman"/>
          <w:sz w:val="24"/>
          <w:szCs w:val="24"/>
        </w:rPr>
        <w:t xml:space="preserve">, N., Vik, J. O., </w:t>
      </w:r>
      <w:proofErr w:type="spellStart"/>
      <w:r w:rsidRPr="0020436B">
        <w:rPr>
          <w:rFonts w:ascii="Times New Roman" w:hAnsi="Times New Roman" w:cs="Times New Roman"/>
          <w:sz w:val="24"/>
          <w:szCs w:val="24"/>
        </w:rPr>
        <w:t>Mysterud</w:t>
      </w:r>
      <w:proofErr w:type="spellEnd"/>
      <w:r w:rsidRPr="0020436B">
        <w:rPr>
          <w:rFonts w:ascii="Times New Roman" w:hAnsi="Times New Roman" w:cs="Times New Roman"/>
          <w:sz w:val="24"/>
          <w:szCs w:val="24"/>
        </w:rPr>
        <w:t xml:space="preserve">, A., Gaillard, J. M., Tucker, C. J., &amp; </w:t>
      </w:r>
      <w:proofErr w:type="spellStart"/>
      <w:r w:rsidRPr="0020436B">
        <w:rPr>
          <w:rFonts w:ascii="Times New Roman" w:hAnsi="Times New Roman" w:cs="Times New Roman"/>
          <w:sz w:val="24"/>
          <w:szCs w:val="24"/>
        </w:rPr>
        <w:t>Stenseth</w:t>
      </w:r>
      <w:proofErr w:type="spellEnd"/>
      <w:r w:rsidRPr="0020436B">
        <w:rPr>
          <w:rFonts w:ascii="Times New Roman" w:hAnsi="Times New Roman" w:cs="Times New Roman"/>
          <w:sz w:val="24"/>
          <w:szCs w:val="24"/>
        </w:rPr>
        <w:t>, N. C. (2005). Using the satellite-derived NDVI to assess ecological responses to environmental change. Trends in Ecology &amp; Evolution, 20(9), 503-510.</w:t>
      </w:r>
    </w:p>
    <w:p w14:paraId="5DC6272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Fatemi</w:t>
      </w:r>
      <w:proofErr w:type="spellEnd"/>
      <w:r w:rsidRPr="0020436B">
        <w:rPr>
          <w:rFonts w:ascii="Times New Roman" w:hAnsi="Times New Roman" w:cs="Times New Roman"/>
          <w:sz w:val="24"/>
          <w:szCs w:val="24"/>
        </w:rPr>
        <w:t xml:space="preserve">, M., &amp; </w:t>
      </w:r>
      <w:proofErr w:type="spellStart"/>
      <w:r w:rsidRPr="0020436B">
        <w:rPr>
          <w:rFonts w:ascii="Times New Roman" w:hAnsi="Times New Roman" w:cs="Times New Roman"/>
          <w:sz w:val="24"/>
          <w:szCs w:val="24"/>
        </w:rPr>
        <w:t>Narangifard</w:t>
      </w:r>
      <w:proofErr w:type="spellEnd"/>
      <w:r w:rsidRPr="0020436B">
        <w:rPr>
          <w:rFonts w:ascii="Times New Roman" w:hAnsi="Times New Roman" w:cs="Times New Roman"/>
          <w:sz w:val="24"/>
          <w:szCs w:val="24"/>
        </w:rPr>
        <w:t>, M. (2019). Monitoring LULC changes and its impact on the LST and NDVI in District 1 of Shiraz City. </w:t>
      </w:r>
      <w:r w:rsidRPr="0020436B">
        <w:rPr>
          <w:rFonts w:ascii="Times New Roman" w:hAnsi="Times New Roman" w:cs="Times New Roman"/>
          <w:i/>
          <w:iCs/>
          <w:sz w:val="24"/>
          <w:szCs w:val="24"/>
        </w:rPr>
        <w:t>Arabian Journal of Geosciences</w:t>
      </w:r>
      <w:r w:rsidRPr="0020436B">
        <w:rPr>
          <w:rFonts w:ascii="Times New Roman" w:hAnsi="Times New Roman" w:cs="Times New Roman"/>
          <w:sz w:val="24"/>
          <w:szCs w:val="24"/>
        </w:rPr>
        <w:t>, </w:t>
      </w:r>
      <w:r w:rsidRPr="0020436B">
        <w:rPr>
          <w:rFonts w:ascii="Times New Roman" w:hAnsi="Times New Roman" w:cs="Times New Roman"/>
          <w:i/>
          <w:iCs/>
          <w:sz w:val="24"/>
          <w:szCs w:val="24"/>
        </w:rPr>
        <w:t>12</w:t>
      </w:r>
      <w:r w:rsidRPr="0020436B">
        <w:rPr>
          <w:rFonts w:ascii="Times New Roman" w:hAnsi="Times New Roman" w:cs="Times New Roman"/>
          <w:sz w:val="24"/>
          <w:szCs w:val="24"/>
        </w:rPr>
        <w:t>(4), 127.</w:t>
      </w:r>
    </w:p>
    <w:p w14:paraId="15D7D8B6"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Jensen, J. R. (2007). Remote sensing of the environment: An Earth resource perspective (2nd ed.). Pearson Prentice Hall.</w:t>
      </w:r>
    </w:p>
    <w:p w14:paraId="14A1765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Wang, J., Price, K. P., &amp; Rich, P. M. (2001). Spatial patterns of NDVI in response to precipitation and temperature in the central Great Plains. International Journal of Remote Sensing, 22(18), 3827-3844.</w:t>
      </w:r>
    </w:p>
    <w:p w14:paraId="1144BDB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Geist, H. J., &amp; Lambin, E. F. (2002). Proximate causes and underlying driving forces of tropical deforestation. Bioscience, 52(2), 143-150.</w:t>
      </w:r>
    </w:p>
    <w:p w14:paraId="1530045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Lambin, E. F., Turner, B. L., Geist, H. J., </w:t>
      </w:r>
      <w:proofErr w:type="spellStart"/>
      <w:r w:rsidRPr="0020436B">
        <w:rPr>
          <w:rFonts w:ascii="Times New Roman" w:hAnsi="Times New Roman" w:cs="Times New Roman"/>
          <w:sz w:val="24"/>
          <w:szCs w:val="24"/>
        </w:rPr>
        <w:t>Agbola</w:t>
      </w:r>
      <w:proofErr w:type="spellEnd"/>
      <w:r w:rsidRPr="0020436B">
        <w:rPr>
          <w:rFonts w:ascii="Times New Roman" w:hAnsi="Times New Roman" w:cs="Times New Roman"/>
          <w:sz w:val="24"/>
          <w:szCs w:val="24"/>
        </w:rPr>
        <w:t xml:space="preserve">, S. B., </w:t>
      </w:r>
      <w:proofErr w:type="spellStart"/>
      <w:r w:rsidRPr="0020436B">
        <w:rPr>
          <w:rFonts w:ascii="Times New Roman" w:hAnsi="Times New Roman" w:cs="Times New Roman"/>
          <w:sz w:val="24"/>
          <w:szCs w:val="24"/>
        </w:rPr>
        <w:t>Angelsen</w:t>
      </w:r>
      <w:proofErr w:type="spellEnd"/>
      <w:r w:rsidRPr="0020436B">
        <w:rPr>
          <w:rFonts w:ascii="Times New Roman" w:hAnsi="Times New Roman" w:cs="Times New Roman"/>
          <w:sz w:val="24"/>
          <w:szCs w:val="24"/>
        </w:rPr>
        <w:t>, A., Bruce, J. W., … Xu, J. (2001). The causes of land-use and land-cover change: Moving beyond the myths. Global Environmental Change, 11(4), 261-269.</w:t>
      </w:r>
    </w:p>
    <w:p w14:paraId="6E22F057"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Zhan, Z. Z., Liu, H. B., Li, H. M., Wu, W., &amp; Zhong, B. (2012). The relationship between NDVI and terrain factors--a case study of Chongqing. </w:t>
      </w:r>
      <w:r w:rsidRPr="0020436B">
        <w:rPr>
          <w:rFonts w:ascii="Times New Roman" w:hAnsi="Times New Roman" w:cs="Times New Roman"/>
          <w:i/>
          <w:iCs/>
          <w:sz w:val="24"/>
          <w:szCs w:val="24"/>
        </w:rPr>
        <w:t>Procedia Environmental Sciences</w:t>
      </w:r>
      <w:r w:rsidRPr="0020436B">
        <w:rPr>
          <w:rFonts w:ascii="Times New Roman" w:hAnsi="Times New Roman" w:cs="Times New Roman"/>
          <w:sz w:val="24"/>
          <w:szCs w:val="24"/>
        </w:rPr>
        <w:t>, </w:t>
      </w:r>
      <w:r w:rsidRPr="0020436B">
        <w:rPr>
          <w:rFonts w:ascii="Times New Roman" w:hAnsi="Times New Roman" w:cs="Times New Roman"/>
          <w:i/>
          <w:iCs/>
          <w:sz w:val="24"/>
          <w:szCs w:val="24"/>
        </w:rPr>
        <w:t>12</w:t>
      </w:r>
      <w:r w:rsidRPr="0020436B">
        <w:rPr>
          <w:rFonts w:ascii="Times New Roman" w:hAnsi="Times New Roman" w:cs="Times New Roman"/>
          <w:sz w:val="24"/>
          <w:szCs w:val="24"/>
        </w:rPr>
        <w:t>, 765-771.</w:t>
      </w:r>
    </w:p>
    <w:p w14:paraId="4D6B340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Fensholt</w:t>
      </w:r>
      <w:proofErr w:type="spellEnd"/>
      <w:r w:rsidRPr="0020436B">
        <w:rPr>
          <w:rFonts w:ascii="Times New Roman" w:hAnsi="Times New Roman" w:cs="Times New Roman"/>
          <w:sz w:val="24"/>
          <w:szCs w:val="24"/>
        </w:rPr>
        <w:t>, R., &amp; Proud, S. R. (2012). Evaluation of Earth Observation-based global long-term vegetation trends—Comparing GIMMS and MODIS global NDVI time series. Remote Sensing of Environment, 119, 131-147.</w:t>
      </w:r>
    </w:p>
    <w:p w14:paraId="24B835FB"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Turner, B. L., Lambin, E. F., &amp; </w:t>
      </w:r>
      <w:proofErr w:type="spellStart"/>
      <w:r w:rsidRPr="0020436B">
        <w:rPr>
          <w:rFonts w:ascii="Times New Roman" w:hAnsi="Times New Roman" w:cs="Times New Roman"/>
          <w:sz w:val="24"/>
          <w:szCs w:val="24"/>
        </w:rPr>
        <w:t>Reenberg</w:t>
      </w:r>
      <w:proofErr w:type="spellEnd"/>
      <w:r w:rsidRPr="0020436B">
        <w:rPr>
          <w:rFonts w:ascii="Times New Roman" w:hAnsi="Times New Roman" w:cs="Times New Roman"/>
          <w:sz w:val="24"/>
          <w:szCs w:val="24"/>
        </w:rPr>
        <w:t>, A. (2007). The emergence of land change science for global environmental change and sustainability. Proceedings of the National Academy of Sciences, 104(52), 20666-20671.</w:t>
      </w:r>
    </w:p>
    <w:p w14:paraId="49FBA99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Running, S. W., </w:t>
      </w:r>
      <w:proofErr w:type="spellStart"/>
      <w:r w:rsidRPr="0020436B">
        <w:rPr>
          <w:rFonts w:ascii="Times New Roman" w:hAnsi="Times New Roman" w:cs="Times New Roman"/>
          <w:sz w:val="24"/>
          <w:szCs w:val="24"/>
        </w:rPr>
        <w:t>Nemani</w:t>
      </w:r>
      <w:proofErr w:type="spellEnd"/>
      <w:r w:rsidRPr="0020436B">
        <w:rPr>
          <w:rFonts w:ascii="Times New Roman" w:hAnsi="Times New Roman" w:cs="Times New Roman"/>
          <w:sz w:val="24"/>
          <w:szCs w:val="24"/>
        </w:rPr>
        <w:t xml:space="preserve">, R. R., </w:t>
      </w:r>
      <w:proofErr w:type="spellStart"/>
      <w:r w:rsidRPr="0020436B">
        <w:rPr>
          <w:rFonts w:ascii="Times New Roman" w:hAnsi="Times New Roman" w:cs="Times New Roman"/>
          <w:sz w:val="24"/>
          <w:szCs w:val="24"/>
        </w:rPr>
        <w:t>Heinsch</w:t>
      </w:r>
      <w:proofErr w:type="spellEnd"/>
      <w:r w:rsidRPr="0020436B">
        <w:rPr>
          <w:rFonts w:ascii="Times New Roman" w:hAnsi="Times New Roman" w:cs="Times New Roman"/>
          <w:sz w:val="24"/>
          <w:szCs w:val="24"/>
        </w:rPr>
        <w:t>, F. A., Zhao, M., Reeves, M., &amp; Hashimoto, H. (2004). A continuous satellite-derived measure of global terrestrial primary production. Bioscience, 54(6), 547-560.</w:t>
      </w:r>
    </w:p>
    <w:p w14:paraId="56A4C8C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Zhang, G., Xiao, X., Dong, J., Kou, W., Jin, C., Qin, Y., &amp; Moore, B. (2013). Mapping paddy rice planting areas through time series analysis of MODIS land surface temperature and vegetation index data. ISPRS Journal of Photogrammetry and Remote Sensing, 85, 148-159.</w:t>
      </w:r>
    </w:p>
    <w:p w14:paraId="0AB8A2B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Chen, J., Zhou, W., &amp; Pickett, S. T. A. (2015). Remote sensing of urban areas: An ecological perspective. Frontiers in Ecology and the Environment, 13(7), 393-399.</w:t>
      </w:r>
    </w:p>
    <w:p w14:paraId="68460C9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Lu, D., </w:t>
      </w:r>
      <w:proofErr w:type="spellStart"/>
      <w:r w:rsidRPr="0020436B">
        <w:rPr>
          <w:rFonts w:ascii="Times New Roman" w:hAnsi="Times New Roman" w:cs="Times New Roman"/>
          <w:sz w:val="24"/>
          <w:szCs w:val="24"/>
        </w:rPr>
        <w:t>Mausel</w:t>
      </w:r>
      <w:proofErr w:type="spellEnd"/>
      <w:r w:rsidRPr="0020436B">
        <w:rPr>
          <w:rFonts w:ascii="Times New Roman" w:hAnsi="Times New Roman" w:cs="Times New Roman"/>
          <w:sz w:val="24"/>
          <w:szCs w:val="24"/>
        </w:rPr>
        <w:t xml:space="preserve">, P., </w:t>
      </w:r>
      <w:proofErr w:type="spellStart"/>
      <w:r w:rsidRPr="0020436B">
        <w:rPr>
          <w:rFonts w:ascii="Times New Roman" w:hAnsi="Times New Roman" w:cs="Times New Roman"/>
          <w:sz w:val="24"/>
          <w:szCs w:val="24"/>
        </w:rPr>
        <w:t>Brondízio</w:t>
      </w:r>
      <w:proofErr w:type="spellEnd"/>
      <w:r w:rsidRPr="0020436B">
        <w:rPr>
          <w:rFonts w:ascii="Times New Roman" w:hAnsi="Times New Roman" w:cs="Times New Roman"/>
          <w:sz w:val="24"/>
          <w:szCs w:val="24"/>
        </w:rPr>
        <w:t>, E., &amp; Moran, E. (2004). Change detection techniques. International Journal of Remote Sensing, 25(12), 2365-2407.</w:t>
      </w:r>
    </w:p>
    <w:p w14:paraId="625D976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Huete</w:t>
      </w:r>
      <w:proofErr w:type="spellEnd"/>
      <w:r w:rsidRPr="0020436B">
        <w:rPr>
          <w:rFonts w:ascii="Times New Roman" w:hAnsi="Times New Roman" w:cs="Times New Roman"/>
          <w:sz w:val="24"/>
          <w:szCs w:val="24"/>
        </w:rPr>
        <w:t xml:space="preserve">, A. R., Liu, H. Q., </w:t>
      </w:r>
      <w:proofErr w:type="spellStart"/>
      <w:r w:rsidRPr="0020436B">
        <w:rPr>
          <w:rFonts w:ascii="Times New Roman" w:hAnsi="Times New Roman" w:cs="Times New Roman"/>
          <w:sz w:val="24"/>
          <w:szCs w:val="24"/>
        </w:rPr>
        <w:t>Batchily</w:t>
      </w:r>
      <w:proofErr w:type="spellEnd"/>
      <w:r w:rsidRPr="0020436B">
        <w:rPr>
          <w:rFonts w:ascii="Times New Roman" w:hAnsi="Times New Roman" w:cs="Times New Roman"/>
          <w:sz w:val="24"/>
          <w:szCs w:val="24"/>
        </w:rPr>
        <w:t>, K., &amp; van Leeuwen, W.  J. D. A. (1997). A comparison of vegetation indices over a global set of TM images for EOS-MODIS. Remote Sensing of Environment, 59(3), 440-451.</w:t>
      </w:r>
    </w:p>
    <w:p w14:paraId="3B85499E"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Kogan, F. N. (2001). Operational space technology for global vegetation assessment. Bulletin of the American Meteorological Society, 82(9), 1949-1964.</w:t>
      </w:r>
    </w:p>
    <w:p w14:paraId="03660306"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Foody, G. M. (2003). Remote sensing of tropical forest environments: Towards the monitoring of environmental resources for sustainable development. International Journal of Remote Sensing, 24(20), 4035-4046.</w:t>
      </w:r>
    </w:p>
    <w:p w14:paraId="7B8EC1BC"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Zhu, Z., &amp; Woodcock, C. E. (2014). Continuous change detection and classification of land cover using all available Landsat data. Remote Sensing of Environment, 144, 152-171.</w:t>
      </w:r>
    </w:p>
    <w:p w14:paraId="2EAB5138"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Azzari</w:t>
      </w:r>
      <w:proofErr w:type="spellEnd"/>
      <w:r w:rsidRPr="0020436B">
        <w:rPr>
          <w:rFonts w:ascii="Times New Roman" w:hAnsi="Times New Roman" w:cs="Times New Roman"/>
          <w:sz w:val="24"/>
          <w:szCs w:val="24"/>
        </w:rPr>
        <w:t>, G., &amp; Lobell, D. B. (2017). Landsat-based classification in the cloud: An opportunity for a paradigm shift in land cover monitoring. Remote Sensing of Environment, 202, 64-74.</w:t>
      </w:r>
    </w:p>
    <w:p w14:paraId="7D5797F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Gorelick, N., </w:t>
      </w:r>
      <w:proofErr w:type="spellStart"/>
      <w:r w:rsidRPr="0020436B">
        <w:rPr>
          <w:rFonts w:ascii="Times New Roman" w:hAnsi="Times New Roman" w:cs="Times New Roman"/>
          <w:sz w:val="24"/>
          <w:szCs w:val="24"/>
        </w:rPr>
        <w:t>Hancher</w:t>
      </w:r>
      <w:proofErr w:type="spellEnd"/>
      <w:r w:rsidRPr="0020436B">
        <w:rPr>
          <w:rFonts w:ascii="Times New Roman" w:hAnsi="Times New Roman" w:cs="Times New Roman"/>
          <w:sz w:val="24"/>
          <w:szCs w:val="24"/>
        </w:rPr>
        <w:t xml:space="preserve">, M., Dixon, M., </w:t>
      </w:r>
      <w:proofErr w:type="spellStart"/>
      <w:r w:rsidRPr="0020436B">
        <w:rPr>
          <w:rFonts w:ascii="Times New Roman" w:hAnsi="Times New Roman" w:cs="Times New Roman"/>
          <w:sz w:val="24"/>
          <w:szCs w:val="24"/>
        </w:rPr>
        <w:t>Ilyushchenko</w:t>
      </w:r>
      <w:proofErr w:type="spellEnd"/>
      <w:r w:rsidRPr="0020436B">
        <w:rPr>
          <w:rFonts w:ascii="Times New Roman" w:hAnsi="Times New Roman" w:cs="Times New Roman"/>
          <w:sz w:val="24"/>
          <w:szCs w:val="24"/>
        </w:rPr>
        <w:t xml:space="preserve">, S., </w:t>
      </w:r>
      <w:proofErr w:type="spellStart"/>
      <w:r w:rsidRPr="0020436B">
        <w:rPr>
          <w:rFonts w:ascii="Times New Roman" w:hAnsi="Times New Roman" w:cs="Times New Roman"/>
          <w:sz w:val="24"/>
          <w:szCs w:val="24"/>
        </w:rPr>
        <w:t>Thau</w:t>
      </w:r>
      <w:proofErr w:type="spellEnd"/>
      <w:r w:rsidRPr="0020436B">
        <w:rPr>
          <w:rFonts w:ascii="Times New Roman" w:hAnsi="Times New Roman" w:cs="Times New Roman"/>
          <w:sz w:val="24"/>
          <w:szCs w:val="24"/>
        </w:rPr>
        <w:t>, D., &amp; Moore, R. (2017). Google Earth Engine: Planetary-scale geospatial analysis for everyone. Remote Sensing of Environment, 202, 18-27.</w:t>
      </w:r>
    </w:p>
    <w:p w14:paraId="246F1CDB"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Jha, C. S., </w:t>
      </w:r>
      <w:proofErr w:type="spellStart"/>
      <w:r w:rsidRPr="0020436B">
        <w:rPr>
          <w:rFonts w:ascii="Times New Roman" w:hAnsi="Times New Roman" w:cs="Times New Roman"/>
          <w:sz w:val="24"/>
          <w:szCs w:val="24"/>
        </w:rPr>
        <w:t>Goparaju</w:t>
      </w:r>
      <w:proofErr w:type="spellEnd"/>
      <w:r w:rsidRPr="0020436B">
        <w:rPr>
          <w:rFonts w:ascii="Times New Roman" w:hAnsi="Times New Roman" w:cs="Times New Roman"/>
          <w:sz w:val="24"/>
          <w:szCs w:val="24"/>
        </w:rPr>
        <w:t xml:space="preserve">, L., Tripathi, A., </w:t>
      </w:r>
      <w:proofErr w:type="spellStart"/>
      <w:r w:rsidRPr="0020436B">
        <w:rPr>
          <w:rFonts w:ascii="Times New Roman" w:hAnsi="Times New Roman" w:cs="Times New Roman"/>
          <w:sz w:val="24"/>
          <w:szCs w:val="24"/>
        </w:rPr>
        <w:t>Gharai</w:t>
      </w:r>
      <w:proofErr w:type="spellEnd"/>
      <w:r w:rsidRPr="0020436B">
        <w:rPr>
          <w:rFonts w:ascii="Times New Roman" w:hAnsi="Times New Roman" w:cs="Times New Roman"/>
          <w:sz w:val="24"/>
          <w:szCs w:val="24"/>
        </w:rPr>
        <w:t>, B., &amp; Sharma, N. (2000). Land use/land cover change in North-East India: A remote sensing approach. International Journal of Remote Sensing, 21(1), 1221-1236.</w:t>
      </w:r>
    </w:p>
    <w:p w14:paraId="55B2C3E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Roy, P. S., &amp; Roy, A. (2010). Land use and land cover change in India: A remote sensing &amp; GIS perspective. Journal of the Indian Society of Remote Sensing, 38(4), 685-707.</w:t>
      </w:r>
    </w:p>
    <w:p w14:paraId="4612D75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Indian Space Research Organization (ISRO). (2012). National Remote Sensing Centre annual report 2011-12. Hyderabad: NRSC.</w:t>
      </w:r>
    </w:p>
    <w:p w14:paraId="5BDC6E63"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United Nations Environment Programme (UNEP). (2014). Assessing global land use: Balancing consumption with sustainable supply. UNEP/International Resource Panel.</w:t>
      </w:r>
    </w:p>
    <w:p w14:paraId="3283ABE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Bhandari, A. K., Kumar, A., &amp; Singh, G. K. (2012). Feature extraction using Normalized Difference Vegetation Index (NDVI): A case study of Jabalpur city. </w:t>
      </w:r>
      <w:r w:rsidRPr="0020436B">
        <w:rPr>
          <w:rFonts w:ascii="Times New Roman" w:hAnsi="Times New Roman" w:cs="Times New Roman"/>
          <w:i/>
          <w:iCs/>
          <w:sz w:val="24"/>
          <w:szCs w:val="24"/>
        </w:rPr>
        <w:t>Procedia technology</w:t>
      </w:r>
      <w:r w:rsidRPr="0020436B">
        <w:rPr>
          <w:rFonts w:ascii="Times New Roman" w:hAnsi="Times New Roman" w:cs="Times New Roman"/>
          <w:sz w:val="24"/>
          <w:szCs w:val="24"/>
        </w:rPr>
        <w:t>, </w:t>
      </w:r>
      <w:r w:rsidRPr="0020436B">
        <w:rPr>
          <w:rFonts w:ascii="Times New Roman" w:hAnsi="Times New Roman" w:cs="Times New Roman"/>
          <w:i/>
          <w:iCs/>
          <w:sz w:val="24"/>
          <w:szCs w:val="24"/>
        </w:rPr>
        <w:t>6</w:t>
      </w:r>
      <w:r w:rsidRPr="0020436B">
        <w:rPr>
          <w:rFonts w:ascii="Times New Roman" w:hAnsi="Times New Roman" w:cs="Times New Roman"/>
          <w:sz w:val="24"/>
          <w:szCs w:val="24"/>
        </w:rPr>
        <w:t>, 612-621.</w:t>
      </w:r>
    </w:p>
    <w:p w14:paraId="00657709"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Bid, S. (2016). Change detection of vegetation cover by NDVI technique on catchment area of the </w:t>
      </w:r>
      <w:proofErr w:type="spellStart"/>
      <w:r w:rsidRPr="0020436B">
        <w:rPr>
          <w:rFonts w:ascii="Times New Roman" w:hAnsi="Times New Roman" w:cs="Times New Roman"/>
          <w:sz w:val="24"/>
          <w:szCs w:val="24"/>
        </w:rPr>
        <w:t>Panchet</w:t>
      </w:r>
      <w:proofErr w:type="spellEnd"/>
      <w:r w:rsidRPr="0020436B">
        <w:rPr>
          <w:rFonts w:ascii="Times New Roman" w:hAnsi="Times New Roman" w:cs="Times New Roman"/>
          <w:sz w:val="24"/>
          <w:szCs w:val="24"/>
        </w:rPr>
        <w:t xml:space="preserve"> Hill Dam, India. </w:t>
      </w:r>
      <w:r w:rsidRPr="0020436B">
        <w:rPr>
          <w:rFonts w:ascii="Times New Roman" w:hAnsi="Times New Roman" w:cs="Times New Roman"/>
          <w:i/>
          <w:iCs/>
          <w:sz w:val="24"/>
          <w:szCs w:val="24"/>
        </w:rPr>
        <w:t>International Journal of Research in Geography (IJRG)</w:t>
      </w:r>
      <w:r w:rsidRPr="0020436B">
        <w:rPr>
          <w:rFonts w:ascii="Times New Roman" w:hAnsi="Times New Roman" w:cs="Times New Roman"/>
          <w:sz w:val="24"/>
          <w:szCs w:val="24"/>
        </w:rPr>
        <w:t>, </w:t>
      </w:r>
      <w:r w:rsidRPr="0020436B">
        <w:rPr>
          <w:rFonts w:ascii="Times New Roman" w:hAnsi="Times New Roman" w:cs="Times New Roman"/>
          <w:i/>
          <w:iCs/>
          <w:sz w:val="24"/>
          <w:szCs w:val="24"/>
        </w:rPr>
        <w:t>2</w:t>
      </w:r>
      <w:r w:rsidRPr="0020436B">
        <w:rPr>
          <w:rFonts w:ascii="Times New Roman" w:hAnsi="Times New Roman" w:cs="Times New Roman"/>
          <w:sz w:val="24"/>
          <w:szCs w:val="24"/>
        </w:rPr>
        <w:t>(3), 11-20.</w:t>
      </w:r>
    </w:p>
    <w:p w14:paraId="4F9452C2" w14:textId="77777777" w:rsidR="0020436B" w:rsidRPr="0020436B" w:rsidRDefault="0020436B" w:rsidP="0020436B">
      <w:pPr>
        <w:spacing w:line="360" w:lineRule="auto"/>
        <w:jc w:val="both"/>
        <w:rPr>
          <w:rFonts w:ascii="Times New Roman" w:hAnsi="Times New Roman" w:cs="Times New Roman"/>
          <w:sz w:val="24"/>
          <w:szCs w:val="24"/>
        </w:rPr>
      </w:pPr>
    </w:p>
    <w:p w14:paraId="39F3C7CC" w14:textId="074AA93B" w:rsidR="000D6E7F" w:rsidRPr="0020436B" w:rsidRDefault="000D6E7F" w:rsidP="0020436B">
      <w:pPr>
        <w:spacing w:line="360" w:lineRule="auto"/>
        <w:jc w:val="both"/>
        <w:rPr>
          <w:rFonts w:ascii="Times New Roman" w:hAnsi="Times New Roman" w:cs="Times New Roman"/>
          <w:sz w:val="24"/>
          <w:szCs w:val="24"/>
        </w:rPr>
      </w:pPr>
    </w:p>
    <w:sectPr w:rsidR="000D6E7F" w:rsidRPr="0020436B" w:rsidSect="00153359">
      <w:pgSz w:w="11906" w:h="16838"/>
      <w:pgMar w:top="851" w:right="1133"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340CD" w14:textId="77777777" w:rsidR="00585EB4" w:rsidRDefault="00585EB4" w:rsidP="00701D5D">
      <w:pPr>
        <w:spacing w:after="0" w:line="240" w:lineRule="auto"/>
      </w:pPr>
      <w:r>
        <w:separator/>
      </w:r>
    </w:p>
  </w:endnote>
  <w:endnote w:type="continuationSeparator" w:id="0">
    <w:p w14:paraId="5874FA9E" w14:textId="77777777" w:rsidR="00585EB4" w:rsidRDefault="00585EB4" w:rsidP="0070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0F9B" w14:textId="77777777" w:rsidR="00585EB4" w:rsidRDefault="00585EB4" w:rsidP="00701D5D">
      <w:pPr>
        <w:spacing w:after="0" w:line="240" w:lineRule="auto"/>
      </w:pPr>
      <w:r>
        <w:separator/>
      </w:r>
    </w:p>
  </w:footnote>
  <w:footnote w:type="continuationSeparator" w:id="0">
    <w:p w14:paraId="2603D924" w14:textId="77777777" w:rsidR="00585EB4" w:rsidRDefault="00585EB4" w:rsidP="00701D5D">
      <w:pPr>
        <w:spacing w:after="0" w:line="240" w:lineRule="auto"/>
      </w:pPr>
      <w:r>
        <w:continuationSeparator/>
      </w:r>
    </w:p>
  </w:footnote>
  <w:footnote w:id="1">
    <w:p w14:paraId="57C6CE7A" w14:textId="77777777" w:rsidR="00B91A3E" w:rsidRPr="00E30DCF" w:rsidRDefault="00B91A3E" w:rsidP="00B91A3E">
      <w:pPr>
        <w:pStyle w:val="FootnoteText"/>
        <w:rPr>
          <w:rFonts w:ascii="Times New Roman" w:hAnsi="Times New Roman" w:cs="Times New Roman"/>
          <w:lang w:val="de-DE"/>
        </w:rPr>
      </w:pPr>
      <w:r w:rsidRPr="00E30DCF">
        <w:rPr>
          <w:rStyle w:val="FootnoteReference"/>
          <w:rFonts w:ascii="Times New Roman" w:hAnsi="Times New Roman" w:cs="Times New Roman"/>
        </w:rPr>
        <w:footnoteRef/>
      </w:r>
      <w:r w:rsidRPr="00E30DCF">
        <w:rPr>
          <w:rFonts w:ascii="Times New Roman" w:hAnsi="Times New Roman" w:cs="Times New Roman"/>
          <w:lang w:val="de-DE"/>
        </w:rPr>
        <w:t xml:space="preserve"> USGS portal: </w:t>
      </w:r>
      <w:hyperlink r:id="rId1" w:history="1">
        <w:r w:rsidRPr="00E30DCF">
          <w:rPr>
            <w:rStyle w:val="Hyperlink"/>
            <w:rFonts w:ascii="Times New Roman" w:hAnsi="Times New Roman" w:cs="Times New Roman"/>
            <w:lang w:val="de-DE"/>
          </w:rPr>
          <w:t>https://earthexplorer.usgs.gov/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33E"/>
    <w:multiLevelType w:val="hybridMultilevel"/>
    <w:tmpl w:val="01B27E68"/>
    <w:lvl w:ilvl="0" w:tplc="CB344988">
      <w:start w:val="1"/>
      <w:numFmt w:val="decimal"/>
      <w:lvlText w:val="%1."/>
      <w:lvlJc w:val="left"/>
      <w:pPr>
        <w:ind w:left="720" w:hanging="360"/>
      </w:pPr>
      <w:rPr>
        <w:rFonts w:hint="default"/>
        <w:b/>
        <w:bCs w:val="0"/>
        <w:i w:val="0"/>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CF0758"/>
    <w:multiLevelType w:val="multilevel"/>
    <w:tmpl w:val="C916F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56321"/>
    <w:multiLevelType w:val="hybridMultilevel"/>
    <w:tmpl w:val="5C7C7E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987DF3"/>
    <w:multiLevelType w:val="multilevel"/>
    <w:tmpl w:val="58C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F527D"/>
    <w:multiLevelType w:val="hybridMultilevel"/>
    <w:tmpl w:val="93D0F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9717BB"/>
    <w:multiLevelType w:val="multilevel"/>
    <w:tmpl w:val="29E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D6A79"/>
    <w:multiLevelType w:val="hybridMultilevel"/>
    <w:tmpl w:val="CE74F3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8528A9"/>
    <w:multiLevelType w:val="hybridMultilevel"/>
    <w:tmpl w:val="482E5F2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910A40"/>
    <w:multiLevelType w:val="hybridMultilevel"/>
    <w:tmpl w:val="F67A3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6FD"/>
    <w:rsid w:val="0001434F"/>
    <w:rsid w:val="00031DBB"/>
    <w:rsid w:val="00033159"/>
    <w:rsid w:val="00065378"/>
    <w:rsid w:val="00074EBD"/>
    <w:rsid w:val="00086F4F"/>
    <w:rsid w:val="00091940"/>
    <w:rsid w:val="0009401F"/>
    <w:rsid w:val="00095D89"/>
    <w:rsid w:val="000A3796"/>
    <w:rsid w:val="000C6EDC"/>
    <w:rsid w:val="000D4BDA"/>
    <w:rsid w:val="000D525B"/>
    <w:rsid w:val="000D6AD9"/>
    <w:rsid w:val="000D6E7F"/>
    <w:rsid w:val="000E3170"/>
    <w:rsid w:val="000E3D6F"/>
    <w:rsid w:val="001043E5"/>
    <w:rsid w:val="0010792B"/>
    <w:rsid w:val="00111F67"/>
    <w:rsid w:val="00117124"/>
    <w:rsid w:val="00117FB0"/>
    <w:rsid w:val="00122285"/>
    <w:rsid w:val="00133EF1"/>
    <w:rsid w:val="0014161F"/>
    <w:rsid w:val="00143047"/>
    <w:rsid w:val="00153359"/>
    <w:rsid w:val="00160469"/>
    <w:rsid w:val="00174D7A"/>
    <w:rsid w:val="0018302A"/>
    <w:rsid w:val="00191E40"/>
    <w:rsid w:val="001928DF"/>
    <w:rsid w:val="00194CB8"/>
    <w:rsid w:val="001E4C8F"/>
    <w:rsid w:val="001F4744"/>
    <w:rsid w:val="0020281E"/>
    <w:rsid w:val="0020436B"/>
    <w:rsid w:val="00205B47"/>
    <w:rsid w:val="00214822"/>
    <w:rsid w:val="00220693"/>
    <w:rsid w:val="00220D1A"/>
    <w:rsid w:val="002254B6"/>
    <w:rsid w:val="00226D50"/>
    <w:rsid w:val="00231A51"/>
    <w:rsid w:val="00266926"/>
    <w:rsid w:val="0027115D"/>
    <w:rsid w:val="002933FC"/>
    <w:rsid w:val="002A32D4"/>
    <w:rsid w:val="002B088C"/>
    <w:rsid w:val="002B21A2"/>
    <w:rsid w:val="002D0478"/>
    <w:rsid w:val="002E2EC2"/>
    <w:rsid w:val="002E5351"/>
    <w:rsid w:val="00310508"/>
    <w:rsid w:val="00331F9B"/>
    <w:rsid w:val="00343434"/>
    <w:rsid w:val="00346FFC"/>
    <w:rsid w:val="00364F7B"/>
    <w:rsid w:val="00367493"/>
    <w:rsid w:val="003836FC"/>
    <w:rsid w:val="003A421B"/>
    <w:rsid w:val="003A4AA7"/>
    <w:rsid w:val="003A63C2"/>
    <w:rsid w:val="003F32D9"/>
    <w:rsid w:val="004046FD"/>
    <w:rsid w:val="00412B32"/>
    <w:rsid w:val="00415346"/>
    <w:rsid w:val="00426758"/>
    <w:rsid w:val="00442845"/>
    <w:rsid w:val="00467680"/>
    <w:rsid w:val="00475A78"/>
    <w:rsid w:val="00475D5C"/>
    <w:rsid w:val="00495D76"/>
    <w:rsid w:val="004A15EA"/>
    <w:rsid w:val="004A2742"/>
    <w:rsid w:val="004B283A"/>
    <w:rsid w:val="004B5A54"/>
    <w:rsid w:val="004C13A2"/>
    <w:rsid w:val="004C142A"/>
    <w:rsid w:val="004C2E58"/>
    <w:rsid w:val="004C37E9"/>
    <w:rsid w:val="004C7AF7"/>
    <w:rsid w:val="004D5874"/>
    <w:rsid w:val="00510295"/>
    <w:rsid w:val="00516933"/>
    <w:rsid w:val="005373AB"/>
    <w:rsid w:val="005409ED"/>
    <w:rsid w:val="00541430"/>
    <w:rsid w:val="005523D4"/>
    <w:rsid w:val="00553958"/>
    <w:rsid w:val="00555BF4"/>
    <w:rsid w:val="0056471B"/>
    <w:rsid w:val="00585EB4"/>
    <w:rsid w:val="005B6048"/>
    <w:rsid w:val="005C3172"/>
    <w:rsid w:val="005E0A5D"/>
    <w:rsid w:val="005E40B5"/>
    <w:rsid w:val="005F4653"/>
    <w:rsid w:val="00603323"/>
    <w:rsid w:val="00604E25"/>
    <w:rsid w:val="00616444"/>
    <w:rsid w:val="00622EB8"/>
    <w:rsid w:val="00626CF7"/>
    <w:rsid w:val="0064510E"/>
    <w:rsid w:val="006504D1"/>
    <w:rsid w:val="00654A17"/>
    <w:rsid w:val="00665925"/>
    <w:rsid w:val="006847F8"/>
    <w:rsid w:val="00684B9B"/>
    <w:rsid w:val="006A366A"/>
    <w:rsid w:val="006B132A"/>
    <w:rsid w:val="006C7752"/>
    <w:rsid w:val="006D187A"/>
    <w:rsid w:val="006E1479"/>
    <w:rsid w:val="006E367D"/>
    <w:rsid w:val="006F00E9"/>
    <w:rsid w:val="00701D5D"/>
    <w:rsid w:val="007178C2"/>
    <w:rsid w:val="00724B07"/>
    <w:rsid w:val="0072631F"/>
    <w:rsid w:val="00730FF4"/>
    <w:rsid w:val="007427CA"/>
    <w:rsid w:val="0075030B"/>
    <w:rsid w:val="00751B0C"/>
    <w:rsid w:val="00751BBC"/>
    <w:rsid w:val="0076229F"/>
    <w:rsid w:val="0077644C"/>
    <w:rsid w:val="007947B4"/>
    <w:rsid w:val="007C55F2"/>
    <w:rsid w:val="007C6CF5"/>
    <w:rsid w:val="00801808"/>
    <w:rsid w:val="00825B72"/>
    <w:rsid w:val="0083354A"/>
    <w:rsid w:val="0085030B"/>
    <w:rsid w:val="008522F6"/>
    <w:rsid w:val="00856669"/>
    <w:rsid w:val="00867E65"/>
    <w:rsid w:val="008745C2"/>
    <w:rsid w:val="0089618B"/>
    <w:rsid w:val="008B5858"/>
    <w:rsid w:val="008C14C9"/>
    <w:rsid w:val="008C3070"/>
    <w:rsid w:val="008E0144"/>
    <w:rsid w:val="00910313"/>
    <w:rsid w:val="009304E0"/>
    <w:rsid w:val="009353F6"/>
    <w:rsid w:val="00935A99"/>
    <w:rsid w:val="0093770C"/>
    <w:rsid w:val="00962FFF"/>
    <w:rsid w:val="00966F9D"/>
    <w:rsid w:val="00970920"/>
    <w:rsid w:val="0097197E"/>
    <w:rsid w:val="00982E81"/>
    <w:rsid w:val="00987297"/>
    <w:rsid w:val="00996824"/>
    <w:rsid w:val="009A2CAC"/>
    <w:rsid w:val="009A56BA"/>
    <w:rsid w:val="009F43F1"/>
    <w:rsid w:val="009F75AE"/>
    <w:rsid w:val="00A20B62"/>
    <w:rsid w:val="00A24E9D"/>
    <w:rsid w:val="00A250AD"/>
    <w:rsid w:val="00A41692"/>
    <w:rsid w:val="00A435D9"/>
    <w:rsid w:val="00A60ABE"/>
    <w:rsid w:val="00A7297D"/>
    <w:rsid w:val="00A7626B"/>
    <w:rsid w:val="00A82244"/>
    <w:rsid w:val="00A902B1"/>
    <w:rsid w:val="00AB7639"/>
    <w:rsid w:val="00AD33D9"/>
    <w:rsid w:val="00AD6A66"/>
    <w:rsid w:val="00AE624A"/>
    <w:rsid w:val="00AF4AB3"/>
    <w:rsid w:val="00AF6321"/>
    <w:rsid w:val="00B01532"/>
    <w:rsid w:val="00B0190A"/>
    <w:rsid w:val="00B27552"/>
    <w:rsid w:val="00B36467"/>
    <w:rsid w:val="00B365F0"/>
    <w:rsid w:val="00B433DB"/>
    <w:rsid w:val="00B511F7"/>
    <w:rsid w:val="00B51DBE"/>
    <w:rsid w:val="00B712A1"/>
    <w:rsid w:val="00B80535"/>
    <w:rsid w:val="00B91A3E"/>
    <w:rsid w:val="00BA5B76"/>
    <w:rsid w:val="00BC6DF3"/>
    <w:rsid w:val="00BD5C34"/>
    <w:rsid w:val="00BE4DA3"/>
    <w:rsid w:val="00C52C71"/>
    <w:rsid w:val="00C66694"/>
    <w:rsid w:val="00C70502"/>
    <w:rsid w:val="00C734D8"/>
    <w:rsid w:val="00C802F6"/>
    <w:rsid w:val="00C847DC"/>
    <w:rsid w:val="00C91C9C"/>
    <w:rsid w:val="00CB1B1E"/>
    <w:rsid w:val="00CB380A"/>
    <w:rsid w:val="00CD4484"/>
    <w:rsid w:val="00CF73B9"/>
    <w:rsid w:val="00D21036"/>
    <w:rsid w:val="00D259C8"/>
    <w:rsid w:val="00D26E86"/>
    <w:rsid w:val="00D333C6"/>
    <w:rsid w:val="00D47439"/>
    <w:rsid w:val="00D523E9"/>
    <w:rsid w:val="00D71193"/>
    <w:rsid w:val="00D74926"/>
    <w:rsid w:val="00D758C8"/>
    <w:rsid w:val="00D75B8D"/>
    <w:rsid w:val="00D76C48"/>
    <w:rsid w:val="00D8002B"/>
    <w:rsid w:val="00D8047D"/>
    <w:rsid w:val="00DC247C"/>
    <w:rsid w:val="00DE68D1"/>
    <w:rsid w:val="00DF7444"/>
    <w:rsid w:val="00E03ECF"/>
    <w:rsid w:val="00E1529A"/>
    <w:rsid w:val="00E16488"/>
    <w:rsid w:val="00E173E2"/>
    <w:rsid w:val="00E2295E"/>
    <w:rsid w:val="00E24AF1"/>
    <w:rsid w:val="00E30DCF"/>
    <w:rsid w:val="00E41328"/>
    <w:rsid w:val="00E64D76"/>
    <w:rsid w:val="00E904E9"/>
    <w:rsid w:val="00E94150"/>
    <w:rsid w:val="00EA098B"/>
    <w:rsid w:val="00EB7530"/>
    <w:rsid w:val="00EC3977"/>
    <w:rsid w:val="00ED08E1"/>
    <w:rsid w:val="00ED24A4"/>
    <w:rsid w:val="00ED32A1"/>
    <w:rsid w:val="00EE0CAE"/>
    <w:rsid w:val="00EE46D1"/>
    <w:rsid w:val="00EF228C"/>
    <w:rsid w:val="00F02E0A"/>
    <w:rsid w:val="00F16810"/>
    <w:rsid w:val="00F17F53"/>
    <w:rsid w:val="00F41546"/>
    <w:rsid w:val="00F41C79"/>
    <w:rsid w:val="00F44F42"/>
    <w:rsid w:val="00F87815"/>
    <w:rsid w:val="00FA5B31"/>
    <w:rsid w:val="00FD33B3"/>
    <w:rsid w:val="00FD5CC9"/>
    <w:rsid w:val="00FD7790"/>
    <w:rsid w:val="00FE2AB3"/>
    <w:rsid w:val="00FE79DB"/>
    <w:rsid w:val="00FF3750"/>
    <w:rsid w:val="00FF4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BFF68"/>
  <w15:docId w15:val="{838B9E28-8718-4F19-865B-B03465B7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56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65925"/>
    <w:rPr>
      <w:color w:val="0563C1" w:themeColor="hyperlink"/>
      <w:u w:val="single"/>
    </w:rPr>
  </w:style>
  <w:style w:type="character" w:customStyle="1" w:styleId="UnresolvedMention1">
    <w:name w:val="Unresolved Mention1"/>
    <w:basedOn w:val="DefaultParagraphFont"/>
    <w:uiPriority w:val="99"/>
    <w:semiHidden/>
    <w:unhideWhenUsed/>
    <w:rsid w:val="00665925"/>
    <w:rPr>
      <w:color w:val="605E5C"/>
      <w:shd w:val="clear" w:color="auto" w:fill="E1DFDD"/>
    </w:rPr>
  </w:style>
  <w:style w:type="paragraph" w:styleId="EndnoteText">
    <w:name w:val="endnote text"/>
    <w:basedOn w:val="Normal"/>
    <w:link w:val="EndnoteTextChar"/>
    <w:uiPriority w:val="99"/>
    <w:semiHidden/>
    <w:unhideWhenUsed/>
    <w:rsid w:val="00701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D5D"/>
    <w:rPr>
      <w:sz w:val="20"/>
      <w:szCs w:val="20"/>
    </w:rPr>
  </w:style>
  <w:style w:type="character" w:styleId="EndnoteReference">
    <w:name w:val="endnote reference"/>
    <w:basedOn w:val="DefaultParagraphFont"/>
    <w:uiPriority w:val="99"/>
    <w:semiHidden/>
    <w:unhideWhenUsed/>
    <w:rsid w:val="00701D5D"/>
    <w:rPr>
      <w:vertAlign w:val="superscript"/>
    </w:rPr>
  </w:style>
  <w:style w:type="paragraph" w:styleId="FootnoteText">
    <w:name w:val="footnote text"/>
    <w:basedOn w:val="Normal"/>
    <w:link w:val="FootnoteTextChar"/>
    <w:uiPriority w:val="99"/>
    <w:semiHidden/>
    <w:unhideWhenUsed/>
    <w:rsid w:val="00701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D5D"/>
    <w:rPr>
      <w:sz w:val="20"/>
      <w:szCs w:val="20"/>
    </w:rPr>
  </w:style>
  <w:style w:type="character" w:styleId="FootnoteReference">
    <w:name w:val="footnote reference"/>
    <w:basedOn w:val="DefaultParagraphFont"/>
    <w:uiPriority w:val="99"/>
    <w:semiHidden/>
    <w:unhideWhenUsed/>
    <w:rsid w:val="00701D5D"/>
    <w:rPr>
      <w:vertAlign w:val="superscript"/>
    </w:rPr>
  </w:style>
  <w:style w:type="paragraph" w:styleId="ListParagraph">
    <w:name w:val="List Paragraph"/>
    <w:basedOn w:val="Normal"/>
    <w:uiPriority w:val="34"/>
    <w:qFormat/>
    <w:rsid w:val="001E4C8F"/>
    <w:pPr>
      <w:ind w:left="720"/>
      <w:contextualSpacing/>
    </w:pPr>
  </w:style>
  <w:style w:type="paragraph" w:styleId="Header">
    <w:name w:val="header"/>
    <w:basedOn w:val="Normal"/>
    <w:link w:val="HeaderChar"/>
    <w:uiPriority w:val="99"/>
    <w:unhideWhenUsed/>
    <w:rsid w:val="00616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444"/>
  </w:style>
  <w:style w:type="paragraph" w:styleId="Footer">
    <w:name w:val="footer"/>
    <w:basedOn w:val="Normal"/>
    <w:link w:val="FooterChar"/>
    <w:uiPriority w:val="99"/>
    <w:unhideWhenUsed/>
    <w:rsid w:val="00616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44"/>
  </w:style>
  <w:style w:type="character" w:customStyle="1" w:styleId="UnresolvedMention2">
    <w:name w:val="Unresolved Mention2"/>
    <w:basedOn w:val="DefaultParagraphFont"/>
    <w:uiPriority w:val="99"/>
    <w:semiHidden/>
    <w:unhideWhenUsed/>
    <w:rsid w:val="0020436B"/>
    <w:rPr>
      <w:color w:val="605E5C"/>
      <w:shd w:val="clear" w:color="auto" w:fill="E1DFDD"/>
    </w:rPr>
  </w:style>
  <w:style w:type="paragraph" w:styleId="BalloonText">
    <w:name w:val="Balloon Text"/>
    <w:basedOn w:val="Normal"/>
    <w:link w:val="BalloonTextChar"/>
    <w:uiPriority w:val="99"/>
    <w:semiHidden/>
    <w:unhideWhenUsed/>
    <w:rsid w:val="00A8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44"/>
    <w:rPr>
      <w:rFonts w:ascii="Tahoma" w:hAnsi="Tahoma" w:cs="Tahoma"/>
      <w:sz w:val="16"/>
      <w:szCs w:val="16"/>
    </w:rPr>
  </w:style>
  <w:style w:type="paragraph" w:customStyle="1" w:styleId="Body">
    <w:name w:val="Body"/>
    <w:basedOn w:val="Normal"/>
    <w:rsid w:val="00DC247C"/>
    <w:pPr>
      <w:spacing w:after="240" w:line="240" w:lineRule="auto"/>
      <w:jc w:val="both"/>
    </w:pPr>
    <w:rPr>
      <w:rFonts w:ascii="Helvetica" w:eastAsia="Times New Roman" w:hAnsi="Helvetica" w:cs="Times New Roman"/>
      <w:kern w:val="0"/>
      <w:sz w:val="20"/>
      <w:szCs w:val="20"/>
      <w:lang w:val="en-US"/>
      <w14:ligatures w14:val="none"/>
    </w:rPr>
  </w:style>
  <w:style w:type="character" w:styleId="LineNumber">
    <w:name w:val="line number"/>
    <w:basedOn w:val="DefaultParagraphFont"/>
    <w:uiPriority w:val="99"/>
    <w:semiHidden/>
    <w:unhideWhenUsed/>
    <w:rsid w:val="00111F67"/>
  </w:style>
  <w:style w:type="character" w:styleId="UnresolvedMention">
    <w:name w:val="Unresolved Mention"/>
    <w:basedOn w:val="DefaultParagraphFont"/>
    <w:uiPriority w:val="99"/>
    <w:semiHidden/>
    <w:unhideWhenUsed/>
    <w:rsid w:val="00EF2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1893">
      <w:bodyDiv w:val="1"/>
      <w:marLeft w:val="0"/>
      <w:marRight w:val="0"/>
      <w:marTop w:val="0"/>
      <w:marBottom w:val="0"/>
      <w:divBdr>
        <w:top w:val="none" w:sz="0" w:space="0" w:color="auto"/>
        <w:left w:val="none" w:sz="0" w:space="0" w:color="auto"/>
        <w:bottom w:val="none" w:sz="0" w:space="0" w:color="auto"/>
        <w:right w:val="none" w:sz="0" w:space="0" w:color="auto"/>
      </w:divBdr>
    </w:div>
    <w:div w:id="846746758">
      <w:bodyDiv w:val="1"/>
      <w:marLeft w:val="0"/>
      <w:marRight w:val="0"/>
      <w:marTop w:val="0"/>
      <w:marBottom w:val="0"/>
      <w:divBdr>
        <w:top w:val="none" w:sz="0" w:space="0" w:color="auto"/>
        <w:left w:val="none" w:sz="0" w:space="0" w:color="auto"/>
        <w:bottom w:val="none" w:sz="0" w:space="0" w:color="auto"/>
        <w:right w:val="none" w:sz="0" w:space="0" w:color="auto"/>
      </w:divBdr>
    </w:div>
    <w:div w:id="917598521">
      <w:bodyDiv w:val="1"/>
      <w:marLeft w:val="0"/>
      <w:marRight w:val="0"/>
      <w:marTop w:val="0"/>
      <w:marBottom w:val="0"/>
      <w:divBdr>
        <w:top w:val="none" w:sz="0" w:space="0" w:color="auto"/>
        <w:left w:val="none" w:sz="0" w:space="0" w:color="auto"/>
        <w:bottom w:val="none" w:sz="0" w:space="0" w:color="auto"/>
        <w:right w:val="none" w:sz="0" w:space="0" w:color="auto"/>
      </w:divBdr>
    </w:div>
    <w:div w:id="1046955995">
      <w:bodyDiv w:val="1"/>
      <w:marLeft w:val="0"/>
      <w:marRight w:val="0"/>
      <w:marTop w:val="0"/>
      <w:marBottom w:val="0"/>
      <w:divBdr>
        <w:top w:val="none" w:sz="0" w:space="0" w:color="auto"/>
        <w:left w:val="none" w:sz="0" w:space="0" w:color="auto"/>
        <w:bottom w:val="none" w:sz="0" w:space="0" w:color="auto"/>
        <w:right w:val="none" w:sz="0" w:space="0" w:color="auto"/>
      </w:divBdr>
      <w:divsChild>
        <w:div w:id="1014763987">
          <w:marLeft w:val="0"/>
          <w:marRight w:val="0"/>
          <w:marTop w:val="0"/>
          <w:marBottom w:val="0"/>
          <w:divBdr>
            <w:top w:val="none" w:sz="0" w:space="0" w:color="auto"/>
            <w:left w:val="none" w:sz="0" w:space="0" w:color="auto"/>
            <w:bottom w:val="none" w:sz="0" w:space="0" w:color="auto"/>
            <w:right w:val="none" w:sz="0" w:space="0" w:color="auto"/>
          </w:divBdr>
          <w:divsChild>
            <w:div w:id="22630854">
              <w:marLeft w:val="0"/>
              <w:marRight w:val="0"/>
              <w:marTop w:val="0"/>
              <w:marBottom w:val="0"/>
              <w:divBdr>
                <w:top w:val="none" w:sz="0" w:space="0" w:color="auto"/>
                <w:left w:val="none" w:sz="0" w:space="0" w:color="auto"/>
                <w:bottom w:val="none" w:sz="0" w:space="0" w:color="auto"/>
                <w:right w:val="none" w:sz="0" w:space="0" w:color="auto"/>
              </w:divBdr>
              <w:divsChild>
                <w:div w:id="1194030695">
                  <w:marLeft w:val="0"/>
                  <w:marRight w:val="0"/>
                  <w:marTop w:val="0"/>
                  <w:marBottom w:val="0"/>
                  <w:divBdr>
                    <w:top w:val="none" w:sz="0" w:space="0" w:color="auto"/>
                    <w:left w:val="none" w:sz="0" w:space="0" w:color="auto"/>
                    <w:bottom w:val="none" w:sz="0" w:space="0" w:color="auto"/>
                    <w:right w:val="none" w:sz="0" w:space="0" w:color="auto"/>
                  </w:divBdr>
                  <w:divsChild>
                    <w:div w:id="1787122065">
                      <w:marLeft w:val="0"/>
                      <w:marRight w:val="0"/>
                      <w:marTop w:val="0"/>
                      <w:marBottom w:val="0"/>
                      <w:divBdr>
                        <w:top w:val="none" w:sz="0" w:space="0" w:color="auto"/>
                        <w:left w:val="none" w:sz="0" w:space="0" w:color="auto"/>
                        <w:bottom w:val="none" w:sz="0" w:space="0" w:color="auto"/>
                        <w:right w:val="none" w:sz="0" w:space="0" w:color="auto"/>
                      </w:divBdr>
                      <w:divsChild>
                        <w:div w:id="1742485234">
                          <w:marLeft w:val="0"/>
                          <w:marRight w:val="0"/>
                          <w:marTop w:val="0"/>
                          <w:marBottom w:val="0"/>
                          <w:divBdr>
                            <w:top w:val="none" w:sz="0" w:space="0" w:color="auto"/>
                            <w:left w:val="none" w:sz="0" w:space="0" w:color="auto"/>
                            <w:bottom w:val="none" w:sz="0" w:space="0" w:color="auto"/>
                            <w:right w:val="none" w:sz="0" w:space="0" w:color="auto"/>
                          </w:divBdr>
                          <w:divsChild>
                            <w:div w:id="723678022">
                              <w:marLeft w:val="0"/>
                              <w:marRight w:val="0"/>
                              <w:marTop w:val="0"/>
                              <w:marBottom w:val="0"/>
                              <w:divBdr>
                                <w:top w:val="none" w:sz="0" w:space="0" w:color="auto"/>
                                <w:left w:val="none" w:sz="0" w:space="0" w:color="auto"/>
                                <w:bottom w:val="none" w:sz="0" w:space="0" w:color="auto"/>
                                <w:right w:val="none" w:sz="0" w:space="0" w:color="auto"/>
                              </w:divBdr>
                              <w:divsChild>
                                <w:div w:id="805469247">
                                  <w:marLeft w:val="0"/>
                                  <w:marRight w:val="0"/>
                                  <w:marTop w:val="0"/>
                                  <w:marBottom w:val="0"/>
                                  <w:divBdr>
                                    <w:top w:val="none" w:sz="0" w:space="0" w:color="auto"/>
                                    <w:left w:val="none" w:sz="0" w:space="0" w:color="auto"/>
                                    <w:bottom w:val="none" w:sz="0" w:space="0" w:color="auto"/>
                                    <w:right w:val="none" w:sz="0" w:space="0" w:color="auto"/>
                                  </w:divBdr>
                                  <w:divsChild>
                                    <w:div w:id="13464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4294">
                          <w:marLeft w:val="0"/>
                          <w:marRight w:val="0"/>
                          <w:marTop w:val="0"/>
                          <w:marBottom w:val="0"/>
                          <w:divBdr>
                            <w:top w:val="none" w:sz="0" w:space="0" w:color="auto"/>
                            <w:left w:val="none" w:sz="0" w:space="0" w:color="auto"/>
                            <w:bottom w:val="none" w:sz="0" w:space="0" w:color="auto"/>
                            <w:right w:val="none" w:sz="0" w:space="0" w:color="auto"/>
                          </w:divBdr>
                          <w:divsChild>
                            <w:div w:id="477066405">
                              <w:marLeft w:val="0"/>
                              <w:marRight w:val="0"/>
                              <w:marTop w:val="0"/>
                              <w:marBottom w:val="0"/>
                              <w:divBdr>
                                <w:top w:val="none" w:sz="0" w:space="0" w:color="auto"/>
                                <w:left w:val="none" w:sz="0" w:space="0" w:color="auto"/>
                                <w:bottom w:val="none" w:sz="0" w:space="0" w:color="auto"/>
                                <w:right w:val="none" w:sz="0" w:space="0" w:color="auto"/>
                              </w:divBdr>
                              <w:divsChild>
                                <w:div w:id="1405030081">
                                  <w:marLeft w:val="0"/>
                                  <w:marRight w:val="0"/>
                                  <w:marTop w:val="0"/>
                                  <w:marBottom w:val="0"/>
                                  <w:divBdr>
                                    <w:top w:val="none" w:sz="0" w:space="0" w:color="auto"/>
                                    <w:left w:val="none" w:sz="0" w:space="0" w:color="auto"/>
                                    <w:bottom w:val="none" w:sz="0" w:space="0" w:color="auto"/>
                                    <w:right w:val="none" w:sz="0" w:space="0" w:color="auto"/>
                                  </w:divBdr>
                                  <w:divsChild>
                                    <w:div w:id="2041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9818">
          <w:marLeft w:val="0"/>
          <w:marRight w:val="0"/>
          <w:marTop w:val="0"/>
          <w:marBottom w:val="0"/>
          <w:divBdr>
            <w:top w:val="none" w:sz="0" w:space="0" w:color="auto"/>
            <w:left w:val="none" w:sz="0" w:space="0" w:color="auto"/>
            <w:bottom w:val="none" w:sz="0" w:space="0" w:color="auto"/>
            <w:right w:val="none" w:sz="0" w:space="0" w:color="auto"/>
          </w:divBdr>
          <w:divsChild>
            <w:div w:id="1254897391">
              <w:marLeft w:val="0"/>
              <w:marRight w:val="0"/>
              <w:marTop w:val="0"/>
              <w:marBottom w:val="0"/>
              <w:divBdr>
                <w:top w:val="none" w:sz="0" w:space="0" w:color="auto"/>
                <w:left w:val="none" w:sz="0" w:space="0" w:color="auto"/>
                <w:bottom w:val="none" w:sz="0" w:space="0" w:color="auto"/>
                <w:right w:val="none" w:sz="0" w:space="0" w:color="auto"/>
              </w:divBdr>
              <w:divsChild>
                <w:div w:id="344983995">
                  <w:marLeft w:val="0"/>
                  <w:marRight w:val="0"/>
                  <w:marTop w:val="0"/>
                  <w:marBottom w:val="0"/>
                  <w:divBdr>
                    <w:top w:val="none" w:sz="0" w:space="0" w:color="auto"/>
                    <w:left w:val="none" w:sz="0" w:space="0" w:color="auto"/>
                    <w:bottom w:val="none" w:sz="0" w:space="0" w:color="auto"/>
                    <w:right w:val="none" w:sz="0" w:space="0" w:color="auto"/>
                  </w:divBdr>
                  <w:divsChild>
                    <w:div w:id="1503737013">
                      <w:marLeft w:val="0"/>
                      <w:marRight w:val="0"/>
                      <w:marTop w:val="0"/>
                      <w:marBottom w:val="0"/>
                      <w:divBdr>
                        <w:top w:val="none" w:sz="0" w:space="0" w:color="auto"/>
                        <w:left w:val="none" w:sz="0" w:space="0" w:color="auto"/>
                        <w:bottom w:val="none" w:sz="0" w:space="0" w:color="auto"/>
                        <w:right w:val="none" w:sz="0" w:space="0" w:color="auto"/>
                      </w:divBdr>
                      <w:divsChild>
                        <w:div w:id="739868583">
                          <w:marLeft w:val="0"/>
                          <w:marRight w:val="0"/>
                          <w:marTop w:val="0"/>
                          <w:marBottom w:val="0"/>
                          <w:divBdr>
                            <w:top w:val="none" w:sz="0" w:space="0" w:color="auto"/>
                            <w:left w:val="none" w:sz="0" w:space="0" w:color="auto"/>
                            <w:bottom w:val="none" w:sz="0" w:space="0" w:color="auto"/>
                            <w:right w:val="none" w:sz="0" w:space="0" w:color="auto"/>
                          </w:divBdr>
                          <w:divsChild>
                            <w:div w:id="412553075">
                              <w:marLeft w:val="0"/>
                              <w:marRight w:val="0"/>
                              <w:marTop w:val="0"/>
                              <w:marBottom w:val="0"/>
                              <w:divBdr>
                                <w:top w:val="none" w:sz="0" w:space="0" w:color="auto"/>
                                <w:left w:val="none" w:sz="0" w:space="0" w:color="auto"/>
                                <w:bottom w:val="none" w:sz="0" w:space="0" w:color="auto"/>
                                <w:right w:val="none" w:sz="0" w:space="0" w:color="auto"/>
                              </w:divBdr>
                              <w:divsChild>
                                <w:div w:id="848645570">
                                  <w:marLeft w:val="0"/>
                                  <w:marRight w:val="0"/>
                                  <w:marTop w:val="0"/>
                                  <w:marBottom w:val="0"/>
                                  <w:divBdr>
                                    <w:top w:val="none" w:sz="0" w:space="0" w:color="auto"/>
                                    <w:left w:val="none" w:sz="0" w:space="0" w:color="auto"/>
                                    <w:bottom w:val="none" w:sz="0" w:space="0" w:color="auto"/>
                                    <w:right w:val="none" w:sz="0" w:space="0" w:color="auto"/>
                                  </w:divBdr>
                                  <w:divsChild>
                                    <w:div w:id="1094477158">
                                      <w:marLeft w:val="0"/>
                                      <w:marRight w:val="0"/>
                                      <w:marTop w:val="0"/>
                                      <w:marBottom w:val="0"/>
                                      <w:divBdr>
                                        <w:top w:val="none" w:sz="0" w:space="0" w:color="auto"/>
                                        <w:left w:val="none" w:sz="0" w:space="0" w:color="auto"/>
                                        <w:bottom w:val="none" w:sz="0" w:space="0" w:color="auto"/>
                                        <w:right w:val="none" w:sz="0" w:space="0" w:color="auto"/>
                                      </w:divBdr>
                                      <w:divsChild>
                                        <w:div w:id="12811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04080">
          <w:marLeft w:val="0"/>
          <w:marRight w:val="0"/>
          <w:marTop w:val="0"/>
          <w:marBottom w:val="0"/>
          <w:divBdr>
            <w:top w:val="none" w:sz="0" w:space="0" w:color="auto"/>
            <w:left w:val="none" w:sz="0" w:space="0" w:color="auto"/>
            <w:bottom w:val="none" w:sz="0" w:space="0" w:color="auto"/>
            <w:right w:val="none" w:sz="0" w:space="0" w:color="auto"/>
          </w:divBdr>
          <w:divsChild>
            <w:div w:id="436677193">
              <w:marLeft w:val="0"/>
              <w:marRight w:val="0"/>
              <w:marTop w:val="0"/>
              <w:marBottom w:val="0"/>
              <w:divBdr>
                <w:top w:val="none" w:sz="0" w:space="0" w:color="auto"/>
                <w:left w:val="none" w:sz="0" w:space="0" w:color="auto"/>
                <w:bottom w:val="none" w:sz="0" w:space="0" w:color="auto"/>
                <w:right w:val="none" w:sz="0" w:space="0" w:color="auto"/>
              </w:divBdr>
              <w:divsChild>
                <w:div w:id="429467865">
                  <w:marLeft w:val="0"/>
                  <w:marRight w:val="0"/>
                  <w:marTop w:val="0"/>
                  <w:marBottom w:val="0"/>
                  <w:divBdr>
                    <w:top w:val="none" w:sz="0" w:space="0" w:color="auto"/>
                    <w:left w:val="none" w:sz="0" w:space="0" w:color="auto"/>
                    <w:bottom w:val="none" w:sz="0" w:space="0" w:color="auto"/>
                    <w:right w:val="none" w:sz="0" w:space="0" w:color="auto"/>
                  </w:divBdr>
                  <w:divsChild>
                    <w:div w:id="1049232872">
                      <w:marLeft w:val="0"/>
                      <w:marRight w:val="0"/>
                      <w:marTop w:val="0"/>
                      <w:marBottom w:val="0"/>
                      <w:divBdr>
                        <w:top w:val="none" w:sz="0" w:space="0" w:color="auto"/>
                        <w:left w:val="none" w:sz="0" w:space="0" w:color="auto"/>
                        <w:bottom w:val="none" w:sz="0" w:space="0" w:color="auto"/>
                        <w:right w:val="none" w:sz="0" w:space="0" w:color="auto"/>
                      </w:divBdr>
                      <w:divsChild>
                        <w:div w:id="297489545">
                          <w:marLeft w:val="0"/>
                          <w:marRight w:val="0"/>
                          <w:marTop w:val="0"/>
                          <w:marBottom w:val="0"/>
                          <w:divBdr>
                            <w:top w:val="none" w:sz="0" w:space="0" w:color="auto"/>
                            <w:left w:val="none" w:sz="0" w:space="0" w:color="auto"/>
                            <w:bottom w:val="none" w:sz="0" w:space="0" w:color="auto"/>
                            <w:right w:val="none" w:sz="0" w:space="0" w:color="auto"/>
                          </w:divBdr>
                          <w:divsChild>
                            <w:div w:id="699286463">
                              <w:marLeft w:val="0"/>
                              <w:marRight w:val="0"/>
                              <w:marTop w:val="0"/>
                              <w:marBottom w:val="0"/>
                              <w:divBdr>
                                <w:top w:val="none" w:sz="0" w:space="0" w:color="auto"/>
                                <w:left w:val="none" w:sz="0" w:space="0" w:color="auto"/>
                                <w:bottom w:val="none" w:sz="0" w:space="0" w:color="auto"/>
                                <w:right w:val="none" w:sz="0" w:space="0" w:color="auto"/>
                              </w:divBdr>
                              <w:divsChild>
                                <w:div w:id="938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2619">
                  <w:marLeft w:val="0"/>
                  <w:marRight w:val="0"/>
                  <w:marTop w:val="0"/>
                  <w:marBottom w:val="0"/>
                  <w:divBdr>
                    <w:top w:val="none" w:sz="0" w:space="0" w:color="auto"/>
                    <w:left w:val="none" w:sz="0" w:space="0" w:color="auto"/>
                    <w:bottom w:val="none" w:sz="0" w:space="0" w:color="auto"/>
                    <w:right w:val="none" w:sz="0" w:space="0" w:color="auto"/>
                  </w:divBdr>
                  <w:divsChild>
                    <w:div w:id="1774281602">
                      <w:marLeft w:val="0"/>
                      <w:marRight w:val="0"/>
                      <w:marTop w:val="0"/>
                      <w:marBottom w:val="0"/>
                      <w:divBdr>
                        <w:top w:val="none" w:sz="0" w:space="0" w:color="auto"/>
                        <w:left w:val="none" w:sz="0" w:space="0" w:color="auto"/>
                        <w:bottom w:val="none" w:sz="0" w:space="0" w:color="auto"/>
                        <w:right w:val="none" w:sz="0" w:space="0" w:color="auto"/>
                      </w:divBdr>
                      <w:divsChild>
                        <w:div w:id="367143761">
                          <w:marLeft w:val="0"/>
                          <w:marRight w:val="0"/>
                          <w:marTop w:val="0"/>
                          <w:marBottom w:val="0"/>
                          <w:divBdr>
                            <w:top w:val="none" w:sz="0" w:space="0" w:color="auto"/>
                            <w:left w:val="none" w:sz="0" w:space="0" w:color="auto"/>
                            <w:bottom w:val="none" w:sz="0" w:space="0" w:color="auto"/>
                            <w:right w:val="none" w:sz="0" w:space="0" w:color="auto"/>
                          </w:divBdr>
                          <w:divsChild>
                            <w:div w:id="771707743">
                              <w:marLeft w:val="0"/>
                              <w:marRight w:val="0"/>
                              <w:marTop w:val="0"/>
                              <w:marBottom w:val="0"/>
                              <w:divBdr>
                                <w:top w:val="none" w:sz="0" w:space="0" w:color="auto"/>
                                <w:left w:val="none" w:sz="0" w:space="0" w:color="auto"/>
                                <w:bottom w:val="none" w:sz="0" w:space="0" w:color="auto"/>
                                <w:right w:val="none" w:sz="0" w:space="0" w:color="auto"/>
                              </w:divBdr>
                              <w:divsChild>
                                <w:div w:id="1092434199">
                                  <w:marLeft w:val="0"/>
                                  <w:marRight w:val="0"/>
                                  <w:marTop w:val="0"/>
                                  <w:marBottom w:val="0"/>
                                  <w:divBdr>
                                    <w:top w:val="none" w:sz="0" w:space="0" w:color="auto"/>
                                    <w:left w:val="none" w:sz="0" w:space="0" w:color="auto"/>
                                    <w:bottom w:val="none" w:sz="0" w:space="0" w:color="auto"/>
                                    <w:right w:val="none" w:sz="0" w:space="0" w:color="auto"/>
                                  </w:divBdr>
                                  <w:divsChild>
                                    <w:div w:id="4445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652">
                          <w:marLeft w:val="0"/>
                          <w:marRight w:val="0"/>
                          <w:marTop w:val="0"/>
                          <w:marBottom w:val="0"/>
                          <w:divBdr>
                            <w:top w:val="none" w:sz="0" w:space="0" w:color="auto"/>
                            <w:left w:val="none" w:sz="0" w:space="0" w:color="auto"/>
                            <w:bottom w:val="none" w:sz="0" w:space="0" w:color="auto"/>
                            <w:right w:val="none" w:sz="0" w:space="0" w:color="auto"/>
                          </w:divBdr>
                          <w:divsChild>
                            <w:div w:id="565796676">
                              <w:marLeft w:val="0"/>
                              <w:marRight w:val="0"/>
                              <w:marTop w:val="0"/>
                              <w:marBottom w:val="0"/>
                              <w:divBdr>
                                <w:top w:val="none" w:sz="0" w:space="0" w:color="auto"/>
                                <w:left w:val="none" w:sz="0" w:space="0" w:color="auto"/>
                                <w:bottom w:val="none" w:sz="0" w:space="0" w:color="auto"/>
                                <w:right w:val="none" w:sz="0" w:space="0" w:color="auto"/>
                              </w:divBdr>
                              <w:divsChild>
                                <w:div w:id="2074084480">
                                  <w:marLeft w:val="0"/>
                                  <w:marRight w:val="0"/>
                                  <w:marTop w:val="0"/>
                                  <w:marBottom w:val="0"/>
                                  <w:divBdr>
                                    <w:top w:val="none" w:sz="0" w:space="0" w:color="auto"/>
                                    <w:left w:val="none" w:sz="0" w:space="0" w:color="auto"/>
                                    <w:bottom w:val="none" w:sz="0" w:space="0" w:color="auto"/>
                                    <w:right w:val="none" w:sz="0" w:space="0" w:color="auto"/>
                                  </w:divBdr>
                                  <w:divsChild>
                                    <w:div w:id="1502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037057">
      <w:bodyDiv w:val="1"/>
      <w:marLeft w:val="0"/>
      <w:marRight w:val="0"/>
      <w:marTop w:val="0"/>
      <w:marBottom w:val="0"/>
      <w:divBdr>
        <w:top w:val="none" w:sz="0" w:space="0" w:color="auto"/>
        <w:left w:val="none" w:sz="0" w:space="0" w:color="auto"/>
        <w:bottom w:val="none" w:sz="0" w:space="0" w:color="auto"/>
        <w:right w:val="none" w:sz="0" w:space="0" w:color="auto"/>
      </w:divBdr>
    </w:div>
    <w:div w:id="1346862671">
      <w:bodyDiv w:val="1"/>
      <w:marLeft w:val="0"/>
      <w:marRight w:val="0"/>
      <w:marTop w:val="0"/>
      <w:marBottom w:val="0"/>
      <w:divBdr>
        <w:top w:val="none" w:sz="0" w:space="0" w:color="auto"/>
        <w:left w:val="none" w:sz="0" w:space="0" w:color="auto"/>
        <w:bottom w:val="none" w:sz="0" w:space="0" w:color="auto"/>
        <w:right w:val="none" w:sz="0" w:space="0" w:color="auto"/>
      </w:divBdr>
    </w:div>
    <w:div w:id="1375042762">
      <w:bodyDiv w:val="1"/>
      <w:marLeft w:val="0"/>
      <w:marRight w:val="0"/>
      <w:marTop w:val="0"/>
      <w:marBottom w:val="0"/>
      <w:divBdr>
        <w:top w:val="none" w:sz="0" w:space="0" w:color="auto"/>
        <w:left w:val="none" w:sz="0" w:space="0" w:color="auto"/>
        <w:bottom w:val="none" w:sz="0" w:space="0" w:color="auto"/>
        <w:right w:val="none" w:sz="0" w:space="0" w:color="auto"/>
      </w:divBdr>
    </w:div>
    <w:div w:id="1478302488">
      <w:bodyDiv w:val="1"/>
      <w:marLeft w:val="0"/>
      <w:marRight w:val="0"/>
      <w:marTop w:val="0"/>
      <w:marBottom w:val="0"/>
      <w:divBdr>
        <w:top w:val="none" w:sz="0" w:space="0" w:color="auto"/>
        <w:left w:val="none" w:sz="0" w:space="0" w:color="auto"/>
        <w:bottom w:val="none" w:sz="0" w:space="0" w:color="auto"/>
        <w:right w:val="none" w:sz="0" w:space="0" w:color="auto"/>
      </w:divBdr>
    </w:div>
    <w:div w:id="15193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143116002104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arthexplorer.usgs.go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Sheet1!$C$33</c:f>
              <c:strCache>
                <c:ptCount val="1"/>
                <c:pt idx="0">
                  <c:v>1994</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Sheet1!$C$34:$C$38</c:f>
              <c:numCache>
                <c:formatCode>General</c:formatCode>
                <c:ptCount val="5"/>
                <c:pt idx="0">
                  <c:v>0</c:v>
                </c:pt>
                <c:pt idx="1">
                  <c:v>0.5</c:v>
                </c:pt>
                <c:pt idx="2">
                  <c:v>1.9</c:v>
                </c:pt>
                <c:pt idx="3">
                  <c:v>104.9</c:v>
                </c:pt>
                <c:pt idx="4">
                  <c:v>15.7</c:v>
                </c:pt>
              </c:numCache>
            </c:numRef>
          </c:val>
          <c:extLst>
            <c:ext xmlns:c16="http://schemas.microsoft.com/office/drawing/2014/chart" uri="{C3380CC4-5D6E-409C-BE32-E72D297353CC}">
              <c16:uniqueId val="{00000000-F5F1-4A11-93C1-46D8C150128D}"/>
            </c:ext>
          </c:extLst>
        </c:ser>
        <c:ser>
          <c:idx val="1"/>
          <c:order val="1"/>
          <c:tx>
            <c:strRef>
              <c:f>Sheet1!$D$33</c:f>
              <c:strCache>
                <c:ptCount val="1"/>
                <c:pt idx="0">
                  <c:v>2009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Sheet1!$D$34:$D$38</c:f>
              <c:numCache>
                <c:formatCode>General</c:formatCode>
                <c:ptCount val="5"/>
                <c:pt idx="0">
                  <c:v>0</c:v>
                </c:pt>
                <c:pt idx="1">
                  <c:v>6.2</c:v>
                </c:pt>
                <c:pt idx="2">
                  <c:v>44.9</c:v>
                </c:pt>
                <c:pt idx="3">
                  <c:v>71.900000000000006</c:v>
                </c:pt>
                <c:pt idx="4">
                  <c:v>0</c:v>
                </c:pt>
              </c:numCache>
            </c:numRef>
          </c:val>
          <c:extLst>
            <c:ext xmlns:c16="http://schemas.microsoft.com/office/drawing/2014/chart" uri="{C3380CC4-5D6E-409C-BE32-E72D297353CC}">
              <c16:uniqueId val="{00000001-F5F1-4A11-93C1-46D8C150128D}"/>
            </c:ext>
          </c:extLst>
        </c:ser>
        <c:ser>
          <c:idx val="2"/>
          <c:order val="2"/>
          <c:tx>
            <c:strRef>
              <c:f>Sheet1!$E$33</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Sheet1!$E$34:$E$38</c:f>
              <c:numCache>
                <c:formatCode>General</c:formatCode>
                <c:ptCount val="5"/>
                <c:pt idx="0">
                  <c:v>0</c:v>
                </c:pt>
                <c:pt idx="1">
                  <c:v>3.1</c:v>
                </c:pt>
                <c:pt idx="2">
                  <c:v>69.400000000000006</c:v>
                </c:pt>
                <c:pt idx="3">
                  <c:v>50.5</c:v>
                </c:pt>
                <c:pt idx="4">
                  <c:v>0</c:v>
                </c:pt>
              </c:numCache>
            </c:numRef>
          </c:val>
          <c:extLst>
            <c:ext xmlns:c16="http://schemas.microsoft.com/office/drawing/2014/chart" uri="{C3380CC4-5D6E-409C-BE32-E72D297353CC}">
              <c16:uniqueId val="{00000002-F5F1-4A11-93C1-46D8C150128D}"/>
            </c:ext>
          </c:extLst>
        </c:ser>
        <c:dLbls>
          <c:dLblPos val="outEnd"/>
          <c:showLegendKey val="0"/>
          <c:showVal val="1"/>
          <c:showCatName val="0"/>
          <c:showSerName val="0"/>
          <c:showPercent val="0"/>
          <c:showBubbleSize val="0"/>
        </c:dLbls>
        <c:gapWidth val="150"/>
        <c:axId val="168304640"/>
        <c:axId val="168306560"/>
      </c:barChart>
      <c:catAx>
        <c:axId val="1683046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IN"/>
                  <a:t>FEATURES</a:t>
                </a:r>
              </a:p>
            </c:rich>
          </c:tx>
          <c:layout>
            <c:manualLayout>
              <c:xMode val="edge"/>
              <c:yMode val="edge"/>
              <c:x val="0.45634585569863106"/>
              <c:y val="0.904585747536274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crossAx val="168306560"/>
        <c:crosses val="autoZero"/>
        <c:auto val="1"/>
        <c:lblAlgn val="ctr"/>
        <c:lblOffset val="100"/>
        <c:noMultiLvlLbl val="0"/>
      </c:catAx>
      <c:valAx>
        <c:axId val="16830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IN" sz="1000" b="1" i="0" u="none" strike="noStrike" baseline="0">
                    <a:effectLst/>
                  </a:rPr>
                  <a:t>AREA  (in sq.Km)</a:t>
                </a:r>
                <a:endParaRPr lang="en-IN"/>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crossAx val="168304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ysClr val="windowText" lastClr="000000">
          <a:lumMod val="95000"/>
          <a:lumOff val="5000"/>
        </a:sysClr>
      </a:solidFill>
      <a:round/>
    </a:ln>
    <a:effectLst/>
  </c:spPr>
  <c:txPr>
    <a:bodyPr/>
    <a:lstStyle/>
    <a:p>
      <a:pPr>
        <a:defRPr b="1">
          <a:solidFill>
            <a:schemeClr val="tx1">
              <a:lumMod val="95000"/>
              <a:lumOff val="5000"/>
            </a:schemeClr>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171C-5454-4460-9B7A-4A06F296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Bora</dc:creator>
  <cp:lastModifiedBy>SDI 1137</cp:lastModifiedBy>
  <cp:revision>5</cp:revision>
  <dcterms:created xsi:type="dcterms:W3CDTF">2025-02-28T05:07:00Z</dcterms:created>
  <dcterms:modified xsi:type="dcterms:W3CDTF">2025-02-28T08:46:00Z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1038101fb9fe876a491d17658404d5f5ba31dd1c695bff51f765d3677a2e8911</vt:lpwstr>
  </property>
</Properties>
</file>