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A749F" w:rsidRDefault="007A749F" w:rsidP="00A11C99">
      <w:pPr>
        <w:spacing w:before="100" w:beforeAutospacing="1" w:after="100" w:afterAutospacing="1"/>
        <w:rPr>
          <w:rFonts w:ascii="Arial" w:hAnsi="Arial" w:cs="Arial"/>
          <w:b/>
          <w:color w:val="252525"/>
        </w:rPr>
      </w:pPr>
      <w:r w:rsidRPr="007A749F">
        <w:rPr>
          <w:rFonts w:ascii="Arial" w:hAnsi="Arial" w:cs="Arial"/>
          <w:b/>
          <w:color w:val="252525"/>
        </w:rPr>
        <w:t>Original Research Article</w:t>
      </w:r>
    </w:p>
    <w:p w:rsidR="009641C8" w:rsidRPr="000236FA" w:rsidRDefault="000236FA" w:rsidP="00A11C99">
      <w:pPr>
        <w:spacing w:line="276" w:lineRule="auto"/>
        <w:jc w:val="both"/>
        <w:rPr>
          <w:rFonts w:ascii="Arial" w:eastAsia="Calibri" w:hAnsi="Arial" w:cs="Arial"/>
          <w:bCs/>
          <w:sz w:val="22"/>
          <w:lang w:val="fr-FR"/>
        </w:rPr>
      </w:pPr>
      <w:r w:rsidRPr="000236FA">
        <w:rPr>
          <w:rFonts w:ascii="Arial" w:hAnsi="Arial" w:cs="Arial"/>
          <w:b/>
          <w:color w:val="252525"/>
          <w:sz w:val="22"/>
          <w:highlight w:val="yellow"/>
        </w:rPr>
        <w:t>Evaluation of old dams for risk management and dam safety criteria using GIS and remote sensing</w:t>
      </w:r>
    </w:p>
    <w:p w:rsidR="002C57D2" w:rsidRPr="00A11C99" w:rsidRDefault="002C57D2" w:rsidP="00441B6F">
      <w:pPr>
        <w:pStyle w:val="Affiliation"/>
        <w:spacing w:after="0" w:line="240" w:lineRule="auto"/>
        <w:jc w:val="both"/>
        <w:rPr>
          <w:rFonts w:ascii="Arial" w:hAnsi="Arial" w:cs="Arial"/>
          <w:lang w:val="fr-FR"/>
        </w:rPr>
      </w:pPr>
    </w:p>
    <w:p w:rsidR="00790ADA" w:rsidRPr="00A11C99" w:rsidRDefault="00B01FCD" w:rsidP="00441B6F">
      <w:pPr>
        <w:pStyle w:val="AbstHead"/>
        <w:spacing w:after="0"/>
        <w:jc w:val="both"/>
        <w:rPr>
          <w:rFonts w:ascii="Arial" w:hAnsi="Arial" w:cs="Arial"/>
          <w:lang w:val="fr-FR"/>
        </w:rPr>
      </w:pPr>
      <w:r w:rsidRPr="00A11C99">
        <w:rPr>
          <w:rFonts w:ascii="Arial" w:hAnsi="Arial" w:cs="Arial"/>
          <w:lang w:val="fr-FR"/>
        </w:rPr>
        <w:t>ABSTRACT</w:t>
      </w:r>
    </w:p>
    <w:p w:rsidR="00A11C99" w:rsidRPr="00A11C99" w:rsidRDefault="00A11C99" w:rsidP="00441B6F">
      <w:pPr>
        <w:pStyle w:val="AbstHead"/>
        <w:spacing w:after="0"/>
        <w:jc w:val="both"/>
        <w:rPr>
          <w:rFonts w:ascii="Arial" w:hAnsi="Arial" w:cs="Arial"/>
          <w:lang w:val="fr-FR"/>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rsidTr="001E44FE">
        <w:tc>
          <w:tcPr>
            <w:tcW w:w="9576" w:type="dxa"/>
            <w:shd w:val="clear" w:color="auto" w:fill="F2F2F2"/>
          </w:tcPr>
          <w:p w:rsidR="00A11C99" w:rsidRPr="003D14E3" w:rsidRDefault="000236FA" w:rsidP="00A11C99">
            <w:pPr>
              <w:spacing w:line="276" w:lineRule="auto"/>
              <w:jc w:val="both"/>
              <w:rPr>
                <w:rFonts w:ascii="Arial" w:hAnsi="Arial" w:cs="Arial"/>
              </w:rPr>
            </w:pPr>
            <w:r w:rsidRPr="000236FA">
              <w:rPr>
                <w:rFonts w:ascii="Arial" w:hAnsi="Arial" w:cs="Arial"/>
                <w:highlight w:val="yellow"/>
              </w:rPr>
              <w:t>This study presents an integrated approach combining Geographic Information Systems (GIS), Remote Sensing (RS), and the Analytic Hierarchy Process (AHP) to assess dam conditions through multi-criteria risk analysis.</w:t>
            </w:r>
            <w:r w:rsidRPr="000236FA">
              <w:rPr>
                <w:rFonts w:ascii="Arial" w:hAnsi="Arial" w:cs="Arial"/>
              </w:rPr>
              <w:t xml:space="preserve"> </w:t>
            </w:r>
            <w:r w:rsidR="008E05FA" w:rsidRPr="008E05FA">
              <w:rPr>
                <w:rFonts w:ascii="Arial" w:hAnsi="Arial" w:cs="Arial"/>
                <w:highlight w:val="yellow"/>
              </w:rPr>
              <w:t>Geographic Information Systems (GIS) and Remote Sensing technologies have emerged as powerful tools in the evaluation and monitoring of dam conditions.</w:t>
            </w:r>
            <w:r w:rsidR="008E05FA">
              <w:rPr>
                <w:rFonts w:ascii="Arial" w:hAnsi="Arial" w:cs="Arial"/>
              </w:rPr>
              <w:t xml:space="preserve"> </w:t>
            </w:r>
            <w:r w:rsidR="00A11C99" w:rsidRPr="003D14E3">
              <w:rPr>
                <w:rFonts w:ascii="Arial" w:hAnsi="Arial" w:cs="Arial"/>
              </w:rPr>
              <w:t xml:space="preserve">Dam management and safety compliance are critical for safeguarding infrastructure and communities in disaster-prone regions. Key criteria including topography, land use, hydrology, climatic conditions, population density, and soil stability were weighted using AHP to reflect their relative impacts on dam safety. A weighted overlay analysis in ArcMap 10.7 classified risks into three zones: high, moderate, and low. The results revealed significant spatial disparities: high-risk zones (48.27 km², 33.64%) dominate the dam’s western flank due to extreme anthropogenic pressures from uncontrolled settlements and unsustainable farming, moderate-risk zones (31.40 km², 21.88%) cluster near bushland and </w:t>
            </w:r>
            <w:proofErr w:type="spellStart"/>
            <w:r w:rsidR="00A11C99" w:rsidRPr="003D14E3">
              <w:rPr>
                <w:rFonts w:ascii="Arial" w:hAnsi="Arial" w:cs="Arial"/>
              </w:rPr>
              <w:t>Mindu</w:t>
            </w:r>
            <w:proofErr w:type="spellEnd"/>
            <w:r w:rsidR="00A11C99" w:rsidRPr="003D14E3">
              <w:rPr>
                <w:rFonts w:ascii="Arial" w:hAnsi="Arial" w:cs="Arial"/>
              </w:rPr>
              <w:t xml:space="preserve"> Mountain, where environmental factors like slope instability pose intermediate threats, and low-risk zones (63.83 km², 44.48%) prevail on the eastern side along </w:t>
            </w:r>
            <w:proofErr w:type="spellStart"/>
            <w:r w:rsidR="00A11C99" w:rsidRPr="003D14E3">
              <w:rPr>
                <w:rFonts w:ascii="Arial" w:hAnsi="Arial" w:cs="Arial"/>
              </w:rPr>
              <w:t>Uluguru</w:t>
            </w:r>
            <w:proofErr w:type="spellEnd"/>
            <w:r w:rsidR="00A11C99" w:rsidRPr="003D14E3">
              <w:rPr>
                <w:rFonts w:ascii="Arial" w:hAnsi="Arial" w:cs="Arial"/>
              </w:rPr>
              <w:t xml:space="preserve"> Mountain, where stable terrain and minimal human activity enhance resilience.</w:t>
            </w:r>
            <w:r w:rsidR="00EC2549">
              <w:rPr>
                <w:rFonts w:ascii="Arial" w:hAnsi="Arial" w:cs="Arial"/>
              </w:rPr>
              <w:t xml:space="preserve"> </w:t>
            </w:r>
            <w:r w:rsidR="00A11C99" w:rsidRPr="003D14E3">
              <w:rPr>
                <w:rFonts w:ascii="Arial" w:hAnsi="Arial" w:cs="Arial"/>
              </w:rPr>
              <w:t>The analysis emphasizes human encroachment as the primary driver of dam vulnerability, particularly on the western side, necessitating urgent land-use regulations and soil conservation measures. Conversely, the eastern low-risk zone highlights the protective role of undisturbed ecosystems. Satellite-derived RS data enabled dynamic monitoring of environmental changes, while GIS-based predictive models identified future hazards, such as sedimentation and flooding. By translating complex spatial data into actionable insights, this framework empowers policymakers, engineers, and regulators to prioritize mitigation efforts, enforce zoning laws, and implement adaptive strategies. The study demonstrates the efficacy of GIS-RS-AHP integration in achieving cost-effective, proactive dam management, balancing ecological preservation with infrastructure safety amid evolving environmental and anthropogenic challenges.</w:t>
            </w:r>
          </w:p>
          <w:p w:rsidR="00505F06" w:rsidRPr="00BA1B01" w:rsidRDefault="00505F06" w:rsidP="00441B6F">
            <w:pPr>
              <w:pStyle w:val="Body"/>
              <w:spacing w:after="0"/>
              <w:rPr>
                <w:rFonts w:ascii="Arial" w:eastAsia="Calibri" w:hAnsi="Arial" w:cs="Arial"/>
                <w:szCs w:val="22"/>
              </w:rPr>
            </w:pPr>
          </w:p>
        </w:tc>
      </w:tr>
    </w:tbl>
    <w:p w:rsidR="00636EB2" w:rsidRDefault="00636EB2" w:rsidP="00441B6F">
      <w:pPr>
        <w:pStyle w:val="Body"/>
        <w:spacing w:after="0"/>
        <w:rPr>
          <w:rFonts w:ascii="Arial" w:hAnsi="Arial" w:cs="Arial"/>
          <w:i/>
        </w:rPr>
      </w:pPr>
    </w:p>
    <w:p w:rsidR="00A11C99" w:rsidRDefault="00A11C99" w:rsidP="00A11C99">
      <w:pPr>
        <w:spacing w:line="276" w:lineRule="auto"/>
        <w:jc w:val="both"/>
        <w:rPr>
          <w:rFonts w:ascii="Arial" w:hAnsi="Arial" w:cs="Arial"/>
          <w:i/>
        </w:rPr>
      </w:pPr>
      <w:r>
        <w:rPr>
          <w:rFonts w:ascii="Arial" w:hAnsi="Arial" w:cs="Arial"/>
          <w:b/>
        </w:rPr>
        <w:t>Keywords:</w:t>
      </w:r>
      <w:r w:rsidR="00EC2549">
        <w:rPr>
          <w:rFonts w:ascii="Arial" w:hAnsi="Arial" w:cs="Arial"/>
          <w:b/>
        </w:rPr>
        <w:t xml:space="preserve"> </w:t>
      </w:r>
      <w:r w:rsidRPr="003D14E3">
        <w:rPr>
          <w:rFonts w:ascii="Arial" w:hAnsi="Arial" w:cs="Arial"/>
          <w:i/>
        </w:rPr>
        <w:t>Geographical information system (GIS), remote sensing (RS), analytic hierarchy process (AHP), risk potential assessment.</w:t>
      </w:r>
    </w:p>
    <w:p w:rsidR="00A11C99" w:rsidRDefault="00A11C99" w:rsidP="00A11C99">
      <w:pPr>
        <w:spacing w:line="276" w:lineRule="auto"/>
        <w:jc w:val="both"/>
        <w:rPr>
          <w:rFonts w:ascii="Arial" w:hAnsi="Arial" w:cs="Arial"/>
          <w:i/>
        </w:rPr>
      </w:pPr>
    </w:p>
    <w:p w:rsidR="00A11C99" w:rsidRDefault="00A11C99" w:rsidP="00A11C99">
      <w:pPr>
        <w:spacing w:line="276" w:lineRule="auto"/>
        <w:jc w:val="both"/>
        <w:rPr>
          <w:rFonts w:ascii="Arial" w:hAnsi="Arial" w:cs="Arial"/>
          <w:i/>
        </w:rPr>
      </w:pPr>
    </w:p>
    <w:p w:rsidR="00790ADA" w:rsidRDefault="00790ADA" w:rsidP="00441B6F">
      <w:pPr>
        <w:pStyle w:val="Body"/>
        <w:spacing w:after="0"/>
        <w:rPr>
          <w:rFonts w:ascii="Arial" w:hAnsi="Arial" w:cs="Arial"/>
          <w:i/>
        </w:rPr>
      </w:pPr>
    </w:p>
    <w:p w:rsidR="0024282C" w:rsidRDefault="0024282C" w:rsidP="00441B6F">
      <w:pPr>
        <w:pStyle w:val="Body"/>
        <w:spacing w:after="0"/>
        <w:rPr>
          <w:rFonts w:ascii="Arial" w:hAnsi="Arial" w:cs="Arial"/>
          <w:i/>
          <w:sz w:val="18"/>
        </w:rPr>
      </w:pPr>
    </w:p>
    <w:p w:rsidR="00505F06" w:rsidRPr="00A24E7E" w:rsidRDefault="00505F06" w:rsidP="00441B6F">
      <w:pPr>
        <w:pStyle w:val="Body"/>
        <w:spacing w:after="0"/>
        <w:rPr>
          <w:rFonts w:ascii="Arial" w:hAnsi="Arial" w:cs="Arial"/>
          <w:i/>
        </w:rPr>
      </w:pPr>
    </w:p>
    <w:p w:rsidR="007F7B32" w:rsidRDefault="00B01FCD" w:rsidP="00A11C99">
      <w:pPr>
        <w:pStyle w:val="AbstHead"/>
        <w:numPr>
          <w:ilvl w:val="0"/>
          <w:numId w:val="34"/>
        </w:numPr>
        <w:spacing w:after="0"/>
        <w:jc w:val="both"/>
        <w:rPr>
          <w:rFonts w:ascii="Arial" w:hAnsi="Arial" w:cs="Arial"/>
        </w:rPr>
      </w:pPr>
      <w:r w:rsidRPr="00FB3A86">
        <w:rPr>
          <w:rFonts w:ascii="Arial" w:hAnsi="Arial" w:cs="Arial"/>
        </w:rPr>
        <w:t>INTRODUCTION</w:t>
      </w:r>
    </w:p>
    <w:p w:rsidR="00790ADA" w:rsidRPr="00FB3A86" w:rsidRDefault="00790ADA" w:rsidP="00441B6F">
      <w:pPr>
        <w:pStyle w:val="AbstHead"/>
        <w:spacing w:after="0"/>
        <w:jc w:val="both"/>
        <w:rPr>
          <w:rFonts w:ascii="Arial" w:hAnsi="Arial" w:cs="Arial"/>
        </w:rPr>
      </w:pPr>
    </w:p>
    <w:p w:rsidR="00A11C99" w:rsidRDefault="00A11C99" w:rsidP="00A11C99">
      <w:pPr>
        <w:tabs>
          <w:tab w:val="left" w:pos="810"/>
        </w:tabs>
        <w:spacing w:line="276" w:lineRule="auto"/>
        <w:jc w:val="both"/>
        <w:rPr>
          <w:rFonts w:ascii="Arial" w:hAnsi="Arial" w:cs="Arial"/>
        </w:rPr>
      </w:pPr>
      <w:r w:rsidRPr="00CF072B">
        <w:rPr>
          <w:rFonts w:ascii="Arial" w:hAnsi="Arial" w:cs="Arial"/>
        </w:rPr>
        <w:t xml:space="preserve">Internationally, the World Register of Dams reports that there are approximately </w:t>
      </w:r>
      <w:r w:rsidRPr="008D7A4D">
        <w:rPr>
          <w:rFonts w:ascii="Arial" w:hAnsi="Arial" w:cs="Arial"/>
          <w:shd w:val="clear" w:color="auto" w:fill="FFFF00"/>
        </w:rPr>
        <w:t>57,000 large dams across the globe</w:t>
      </w:r>
      <w:r w:rsidRPr="00CF072B">
        <w:rPr>
          <w:rFonts w:ascii="Arial" w:hAnsi="Arial" w:cs="Arial"/>
        </w:rPr>
        <w:t xml:space="preserve"> </w:t>
      </w:r>
      <w:r w:rsidR="00C050EB" w:rsidRPr="00CF072B">
        <w:rPr>
          <w:rFonts w:ascii="Arial" w:hAnsi="Arial" w:cs="Arial"/>
        </w:rPr>
        <w:fldChar w:fldCharType="begin" w:fldLock="1"/>
      </w:r>
      <w:r w:rsidRPr="00CF072B">
        <w:rPr>
          <w:rFonts w:ascii="Arial" w:hAnsi="Arial" w:cs="Arial"/>
        </w:rPr>
        <w:instrText>ADDIN CSL_CITATION {"citationItems":[{"id":"ITEM-1","itemData":{"author":[{"dropping-particle":"","family":"Adamo","given":"Nasrat","non-dropping-particle":"","parse-names":false,"suffix":""},{"dropping-particle":"","family":"Al-ansari","given":"Nadhir","non-dropping-particle":"","parse-names":false,"suffix":""},{"dropping-particle":"","family":"Sissakian","given":"Varoujan","non-dropping-particle":"","parse-names":false,"suffix":""},{"dropping-particle":"","family":"Laue","given":"Jan","non-dropping-particle":"","parse-names":false,"suffix":""}],"id":"ITEM-1","issue":"1","issued":{"date-parts":[["2020"]]},"page":"249-289","title":"Dam Safety : Monitoring of Tailings Dams and Safety Reviews","type":"article-journal","volume":"11"},"uris":["http://www.mendeley.com/documents/?uuid=7c205cd0-44dd-4593-ba0d-8fea84490677","http://www.mendeley.com/documents/?uuid=ecd62ea4-ce15-4bcd-ada0-3df8467cd425"]}],"mendeley":{"formattedCitation":"(Adamo et al., 2020)","plainTextFormattedCitation":"(Adamo et al., 2020)","previouslyFormattedCitation":"(Adamo et al., 2020)"},"properties":{"noteIndex":0},"schema":"https://github.com/citation-style-language/schema/raw/master/csl-citation.json"}</w:instrText>
      </w:r>
      <w:r w:rsidR="00C050EB" w:rsidRPr="00CF072B">
        <w:rPr>
          <w:rFonts w:ascii="Arial" w:hAnsi="Arial" w:cs="Arial"/>
        </w:rPr>
        <w:fldChar w:fldCharType="separate"/>
      </w:r>
      <w:r w:rsidRPr="00CF072B">
        <w:rPr>
          <w:rFonts w:ascii="Arial" w:hAnsi="Arial" w:cs="Arial"/>
          <w:noProof/>
        </w:rPr>
        <w:t>(Adamo et al., 2020)</w:t>
      </w:r>
      <w:r w:rsidR="00C050EB" w:rsidRPr="00CF072B">
        <w:rPr>
          <w:rFonts w:ascii="Arial" w:hAnsi="Arial" w:cs="Arial"/>
        </w:rPr>
        <w:fldChar w:fldCharType="end"/>
      </w:r>
      <w:r w:rsidRPr="00CF072B">
        <w:rPr>
          <w:rFonts w:ascii="Arial" w:hAnsi="Arial" w:cs="Arial"/>
        </w:rPr>
        <w:t xml:space="preserve">. These structures are pivotal for water supply, flood control, irrigation, and renewable energy generation. However, they also pose a </w:t>
      </w:r>
      <w:r w:rsidRPr="00CF072B">
        <w:rPr>
          <w:rFonts w:ascii="Arial" w:hAnsi="Arial" w:cs="Arial"/>
        </w:rPr>
        <w:lastRenderedPageBreak/>
        <w:t xml:space="preserve">significant risk, as over the past century, thousands of dam failures have resulted in the loss of countless lives and immense economic damage </w:t>
      </w:r>
      <w:r w:rsidR="00C050EB" w:rsidRPr="00CF072B">
        <w:rPr>
          <w:rFonts w:ascii="Arial" w:hAnsi="Arial" w:cs="Arial"/>
        </w:rPr>
        <w:fldChar w:fldCharType="begin" w:fldLock="1"/>
      </w:r>
      <w:r w:rsidRPr="00CF072B">
        <w:rPr>
          <w:rFonts w:ascii="Arial" w:hAnsi="Arial" w:cs="Arial"/>
        </w:rPr>
        <w:instrText>ADDIN CSL_CITATION {"citationItems":[{"id":"ITEM-1","itemData":{"DOI":"10.17265/1934-7359/2017.07.002","author":[{"dropping-particle":"","family":"Adamo","given":"Nasrat","non-dropping-particle":"","parse-names":false,"suffix":""},{"dropping-particle":"","family":"Al-ansari","given":"Nadhir","non-dropping-particle":"","parse-names":false,"suffix":""},{"dropping-particle":"","family":"Laue","given":"Jan","non-dropping-particle":"","parse-names":false,"suffix":""},{"dropping-particle":"","family":"Knutsson","given":"Sven","non-dropping-particle":"","parse-names":false,"suffix":""},{"dropping-particle":"","family":"Sissakian","given":"Varoujan","non-dropping-particle":"","parse-names":false,"suffix":""}],"id":"ITEM-1","issued":{"date-parts":[["2017"]]},"page":"635-652","title":"Risk Management Concepts in Dam Safety Evaluation: Mosul Dam as a Case Study","type":"article-journal","volume":"11"},"uris":["http://www.mendeley.com/documents/?uuid=ffd99754-798c-4b95-91ec-4c52a552edd0","http://www.mendeley.com/documents/?uuid=521eae26-496b-4778-a69c-3af9049c6106"]},{"id":"ITEM-2","itemData":{"id":"ITEM-2","issue":"September","issued":{"date-parts":[["2022"]]},"title":"Model State Dam Safety Program Manual","type":"article-journal"},"uris":["http://www.mendeley.com/documents/?uuid=ebf8f65d-b93f-4e82-a647-f3e9bc719037","http://www.mendeley.com/documents/?uuid=8beaecba-fd3f-48be-b712-664882dd6ffa"]}],"mendeley":{"formattedCitation":"(Adamo et al., 2017; &lt;i&gt;Model State Dam Safety Program Manual&lt;/i&gt;, 2022)","plainTextFormattedCitation":"(Adamo et al., 2017; Model State Dam Safety Program Manual, 2022)","previouslyFormattedCitation":"(Adamo et al., 2017; &lt;i&gt;Model State Dam Safety Program Manual&lt;/i&gt;, 2022)"},"properties":{"noteIndex":0},"schema":"https://github.com/citation-style-language/schema/raw/master/csl-citation.json"}</w:instrText>
      </w:r>
      <w:r w:rsidR="00C050EB" w:rsidRPr="00CF072B">
        <w:rPr>
          <w:rFonts w:ascii="Arial" w:hAnsi="Arial" w:cs="Arial"/>
        </w:rPr>
        <w:fldChar w:fldCharType="separate"/>
      </w:r>
      <w:r w:rsidRPr="00CF072B">
        <w:rPr>
          <w:rFonts w:ascii="Arial" w:hAnsi="Arial" w:cs="Arial"/>
          <w:noProof/>
        </w:rPr>
        <w:t xml:space="preserve">(Adamo et al., 2017; </w:t>
      </w:r>
      <w:r w:rsidRPr="00CF072B">
        <w:rPr>
          <w:rFonts w:ascii="Arial" w:hAnsi="Arial" w:cs="Arial"/>
          <w:i/>
          <w:noProof/>
        </w:rPr>
        <w:t>Model State Dam Safety Program Manual</w:t>
      </w:r>
      <w:r w:rsidRPr="00CF072B">
        <w:rPr>
          <w:rFonts w:ascii="Arial" w:hAnsi="Arial" w:cs="Arial"/>
          <w:noProof/>
        </w:rPr>
        <w:t>, 2022)</w:t>
      </w:r>
      <w:r w:rsidR="00C050EB" w:rsidRPr="00CF072B">
        <w:rPr>
          <w:rFonts w:ascii="Arial" w:hAnsi="Arial" w:cs="Arial"/>
        </w:rPr>
        <w:fldChar w:fldCharType="end"/>
      </w:r>
      <w:r w:rsidRPr="00CF072B">
        <w:rPr>
          <w:rFonts w:ascii="Arial" w:hAnsi="Arial" w:cs="Arial"/>
        </w:rPr>
        <w:t xml:space="preserve">. The consequences of dam failures can include loss of life, property damage, environmental degradation, and economic disruption </w:t>
      </w:r>
      <w:r w:rsidR="00C050EB" w:rsidRPr="00CF072B">
        <w:rPr>
          <w:rFonts w:ascii="Arial" w:hAnsi="Arial" w:cs="Arial"/>
        </w:rPr>
        <w:fldChar w:fldCharType="begin" w:fldLock="1"/>
      </w:r>
      <w:r w:rsidRPr="00CF072B">
        <w:rPr>
          <w:rFonts w:ascii="Arial" w:hAnsi="Arial" w:cs="Arial"/>
        </w:rPr>
        <w:instrText>ADDIN CSL_CITATION {"citationItems":[{"id":"ITEM-1","itemData":{"author":[{"dropping-particle":"","family":"Barbara","given":"Santa","non-dropping-particle":"","parse-names":false,"suffix":""}],"id":"ITEM-1","issue":"August","issued":{"date-parts":[["2001"]]},"page":"1-17","title":"Evaluation and Use of Risk Estimates in Dam Safety Decisionmaking David S. Bowles, Fellow, ASCE 1","type":"article-journal"},"uris":["http://www.mendeley.com/documents/?uuid=12e58597-bb95-4375-a5f8-0e5d0c05d3f8","http://www.mendeley.com/documents/?uuid=9e7ada1f-ac5c-493b-bd1b-26218fed17d8"]}],"mendeley":{"formattedCitation":"(Barbara, 2001)","plainTextFormattedCitation":"(Barbara, 2001)","previouslyFormattedCitation":"(Barbara, 2001)"},"properties":{"noteIndex":0},"schema":"https://github.com/citation-style-language/schema/raw/master/csl-citation.json"}</w:instrText>
      </w:r>
      <w:r w:rsidR="00C050EB" w:rsidRPr="00CF072B">
        <w:rPr>
          <w:rFonts w:ascii="Arial" w:hAnsi="Arial" w:cs="Arial"/>
        </w:rPr>
        <w:fldChar w:fldCharType="separate"/>
      </w:r>
      <w:r w:rsidRPr="00CF072B">
        <w:rPr>
          <w:rFonts w:ascii="Arial" w:hAnsi="Arial" w:cs="Arial"/>
          <w:noProof/>
        </w:rPr>
        <w:t>(Barbara, 2001</w:t>
      </w:r>
      <w:r w:rsidR="00C24527">
        <w:rPr>
          <w:rFonts w:ascii="Arial" w:hAnsi="Arial" w:cs="Arial"/>
          <w:noProof/>
        </w:rPr>
        <w:t xml:space="preserve">; </w:t>
      </w:r>
      <w:r w:rsidR="00C24527" w:rsidRPr="00C24527">
        <w:rPr>
          <w:rFonts w:ascii="Arial" w:hAnsi="Arial" w:cs="Arial"/>
          <w:noProof/>
          <w:highlight w:val="yellow"/>
        </w:rPr>
        <w:t>Akinlabi &amp; Olanrewaju, 2024</w:t>
      </w:r>
      <w:r w:rsidRPr="00C24527">
        <w:rPr>
          <w:rFonts w:ascii="Arial" w:hAnsi="Arial" w:cs="Arial"/>
          <w:noProof/>
          <w:highlight w:val="yellow"/>
        </w:rPr>
        <w:t>)</w:t>
      </w:r>
      <w:r w:rsidR="00C050EB" w:rsidRPr="00CF072B">
        <w:rPr>
          <w:rFonts w:ascii="Arial" w:hAnsi="Arial" w:cs="Arial"/>
        </w:rPr>
        <w:fldChar w:fldCharType="end"/>
      </w:r>
      <w:r w:rsidRPr="00CF072B">
        <w:rPr>
          <w:rFonts w:ascii="Arial" w:hAnsi="Arial" w:cs="Arial"/>
        </w:rPr>
        <w:t xml:space="preserve">. Hence, regulatory agencies and dam owners prioritize the establishment of risk management programs that encompass inspection, assessment, and mitigation measures </w:t>
      </w:r>
      <w:r w:rsidR="00C050EB" w:rsidRPr="00CF072B">
        <w:rPr>
          <w:rFonts w:ascii="Arial" w:hAnsi="Arial" w:cs="Arial"/>
        </w:rPr>
        <w:fldChar w:fldCharType="begin" w:fldLock="1"/>
      </w:r>
      <w:r w:rsidRPr="00CF072B">
        <w:rPr>
          <w:rFonts w:ascii="Arial" w:hAnsi="Arial" w:cs="Arial"/>
        </w:rPr>
        <w:instrText>ADDIN CSL_CITATION {"citationItems":[{"id":"ITEM-1","itemData":{"DOI":"10.2166/wst.2003.0546","author":[{"dropping-particle":"","family":"Science","given":"Water","non-dropping-particle":"","parse-names":false,"suffix":""},{"dropping-particle":"","family":"Seker","given":"Dursun Zafer","non-dropping-particle":"","parse-names":false,"suffix":""}],"id":"ITEM-1","issue":"February 2003","issued":{"date-parts":[["2015"]]},"title":"Risk Assessment of A Dam-Break Using GIS Technology","type":"article-journal"},"uris":["http://www.mendeley.com/documents/?uuid=3f5aeec1-2894-4979-a173-373b6a143a8a","http://www.mendeley.com/documents/?uuid=279b56dd-08ee-49bb-99fb-6fc7498d28ae"]},{"id":"ITEM-2","itemData":{"author":[{"dropping-particle":"","family":"Mancusi","given":"Leonardo","non-dropping-particle":"","parse-names":false,"suffix":""},{"dropping-particle":"","family":"Adamowski","given":"Jan","non-dropping-particle":"","parse-names":false,"suffix":""},{"dropping-particle":"","family":"Cantisani","given":"Andrea","non-dropping-particle":"","parse-names":false,"suffix":""}],"id":"ITEM-2","issued":{"date-parts":[["2019"]]},"title":"A GIS Tool for Mapping Dam-Break Flood Hazards in Italy","type":"article-journal"},"uris":["http://www.mendeley.com/documents/?uuid=b0b17168-c0aa-401f-97af-1bc6277c7c18","http://www.mendeley.com/documents/?uuid=8f01f3d2-0dae-45bf-b66e-1401c99f5bbd"]}],"mendeley":{"formattedCitation":"(Mancusi et al., 2019; Science &amp; Seker, 2015)","plainTextFormattedCitation":"(Mancusi et al., 2019; Science &amp; Seker, 2015)","previouslyFormattedCitation":"(Mancusi et al., 2019; Science &amp; Seker, 2015)"},"properties":{"noteIndex":0},"schema":"https://github.com/citation-style-language/schema/raw/master/csl-citation.json"}</w:instrText>
      </w:r>
      <w:r w:rsidR="00C050EB" w:rsidRPr="00CF072B">
        <w:rPr>
          <w:rFonts w:ascii="Arial" w:hAnsi="Arial" w:cs="Arial"/>
        </w:rPr>
        <w:fldChar w:fldCharType="separate"/>
      </w:r>
      <w:r w:rsidRPr="00CF072B">
        <w:rPr>
          <w:rFonts w:ascii="Arial" w:hAnsi="Arial" w:cs="Arial"/>
          <w:noProof/>
        </w:rPr>
        <w:t>(Mancusi et al., 2019; Science &amp; Seker, 2015)</w:t>
      </w:r>
      <w:r w:rsidR="00C050EB" w:rsidRPr="00CF072B">
        <w:rPr>
          <w:rFonts w:ascii="Arial" w:hAnsi="Arial" w:cs="Arial"/>
        </w:rPr>
        <w:fldChar w:fldCharType="end"/>
      </w:r>
      <w:r w:rsidRPr="00CF072B">
        <w:rPr>
          <w:rFonts w:ascii="Arial" w:hAnsi="Arial" w:cs="Arial"/>
        </w:rPr>
        <w:t>.</w:t>
      </w:r>
    </w:p>
    <w:p w:rsidR="008E05FA" w:rsidRDefault="008E05FA" w:rsidP="00A11C99">
      <w:pPr>
        <w:spacing w:line="276" w:lineRule="auto"/>
        <w:jc w:val="both"/>
        <w:rPr>
          <w:rFonts w:ascii="Arial" w:hAnsi="Arial" w:cs="Arial"/>
        </w:rPr>
      </w:pPr>
    </w:p>
    <w:p w:rsidR="00A11C99" w:rsidRDefault="00A11C99" w:rsidP="00A11C99">
      <w:pPr>
        <w:spacing w:line="276" w:lineRule="auto"/>
        <w:jc w:val="both"/>
        <w:rPr>
          <w:rFonts w:ascii="Arial" w:hAnsi="Arial" w:cs="Arial"/>
        </w:rPr>
      </w:pPr>
      <w:r w:rsidRPr="00CF072B">
        <w:rPr>
          <w:rFonts w:ascii="Arial" w:hAnsi="Arial" w:cs="Arial"/>
        </w:rPr>
        <w:t>Furthermore, evolving regulatory standards, technological advancements, and lessons learned from past dam incidents necessitate perio</w:t>
      </w:r>
      <w:bookmarkStart w:id="0" w:name="_GoBack"/>
      <w:bookmarkEnd w:id="0"/>
      <w:r w:rsidRPr="00CF072B">
        <w:rPr>
          <w:rFonts w:ascii="Arial" w:hAnsi="Arial" w:cs="Arial"/>
        </w:rPr>
        <w:t xml:space="preserve">dic assessments of dam safety conditions to ensure they meet contemporary safety requirements </w:t>
      </w:r>
      <w:r w:rsidR="00C050EB" w:rsidRPr="00CF072B">
        <w:rPr>
          <w:rFonts w:ascii="Arial" w:hAnsi="Arial" w:cs="Arial"/>
        </w:rPr>
        <w:fldChar w:fldCharType="begin" w:fldLock="1"/>
      </w:r>
      <w:r w:rsidRPr="00CF072B">
        <w:rPr>
          <w:rFonts w:ascii="Arial" w:hAnsi="Arial" w:cs="Arial"/>
        </w:rPr>
        <w:instrText>ADDIN CSL_CITATION {"citationItems":[{"id":"ITEM-1","itemData":{"ISSN":"09766316","abstract":"Developers are facing problems to obtain sustainable solutions for development activities. It has been observed that new development activities meeting the needs of the society have potential to damage environment. The cities are expanding rapidly and have created a greater demand for vehicles and in result, require more fuel for consumption. A petrol station is the place meeting this fuel needs. A petrol station is important, but in the meantime, it is a dangerous installation so special attention is required for site selection of such development projects. The adequacy of existing approaches to land does not meet all the environmental consequences. Therefore, this study presents the concept of ground-based suitability analysis using Geographic Information System (GIS) for find the suitable land to install petrol station. This would be an effective approach to site selection, which will incorporate all the key environmental selection factors suggested by different codes to take into account in site selection for petrol station practice. This ground-based aptitude can also be extended to other development projects in the future.","author":[{"dropping-particle":"","family":"Khahro","given":"Shabir Hussain","non-dropping-particle":"","parse-names":false,"suffix":""},{"dropping-particle":"","family":"Memon","given":"Zubair Ahmed","non-dropping-particle":"","parse-names":false,"suffix":""}],"container-title":"International Journal of Civil Engineering and Technology","id":"ITEM-1","issue":"10","issued":{"date-parts":[["2017"]]},"page":"1-6","title":"Gis based land suitability analysis for petrol stations","type":"article-journal","volume":"8"},"uris":["http://www.mendeley.com/documents/?uuid=de16e1a2-cb6f-4304-a00b-4063f6d0b2cb","http://www.mendeley.com/documents/?uuid=a735ea45-ac48-4033-814d-f156cf6a2b17"]},{"id":"ITEM-2","itemData":{"abstract":"The world's reservoirs are used for many purposes, among them are to provide reliable water supply, hydropower and flood mitigation. Sustainable hydropower requires dealing with the important issue of reservoir sedimentation. Sedimentation is a process whereby soil particles are eroded and transported by flowing water or other transporting media and deposited as layers of solid particles in water bodies such as reservoirs and rivers. Reservoir sedimentation therefore is filling of the reservoir behind a dam with sediment carried into the reservoir by streams. This paper therefore describes sedimentation processes, identifies key causes, effects and mitigations of sedimentation on reservoir facilities and presents techniques that can be used to address these. Generally, soil erosion is the major cause of reservoir sedimentation and subsequent sedimentation of reservoirs is a complex process dependent upon a number of natural and anthropogenic factors. The causes are classified into two with respect to the factors, namely; Natural Causes and Anthropogenic Causes. Sedimentation can affect hydropower production due to loss of reservoir storage and/or damage to the facility's mechanical components. Sediments deposited in reservoirs may affect the safety of dams and, without proper management, negatively impact the environment. Methods of managing sediment fall under three general categories: those that divert sediment around or through the reservoir, those that remove deposited sediments, and those that minimize the amount of sediment reaching the facility in the first place. A variety of sediment management strategies have been used around the world, with many successful implementations documented. The paper highlights the need for appropriate sediment management at hydropower facilities and shows how this can be achieved through consideration of sediment concerns from the earliest design phase through to construction and operation. In order to curb erosion and sedimentation in rivers and reservoirs, there is need to develop and implement an integrated water resources management plan by all stakeholders.","author":[{"dropping-particle":"","family":"Obialor","given":"C A","non-dropping-particle":"","parse-names":false,"suffix":""},{"dropping-particle":"","family":"Okeke","given":"O C","non-dropping-particle":"","parse-names":false,"suffix":""},{"dropping-particle":"","family":"Onunkwo","given":"A A","non-dropping-particle":"","parse-names":false,"suffix":""},{"dropping-particle":"","family":"Fagorite","given":"V I","non-dropping-particle":"","parse-names":false,"suffix":""},{"dropping-particle":"","family":"Ehujuo","given":"","non-dropping-particle":"","parse-names":false,"suffix":""}],"container-title":"International Journal of Advanced Academic Research","id":"ITEM-2","issue":"10","issued":{"date-parts":[["2019"]]},"page":"92-109","title":"Reservoir sedimentation : Causes, effects and mitigation","type":"article-journal","volume":"5"},"uris":["http://www.mendeley.com/documents/?uuid=ae6b3c53-c44c-4d81-8f86-28536556ff1a","http://www.mendeley.com/documents/?uuid=64eaf2e0-4338-4cfa-bea8-371fade7f079"]}],"mendeley":{"formattedCitation":"(Khahro &amp; Memon, 2017; Obialor et al., 2019)","plainTextFormattedCitation":"(Khahro &amp; Memon, 2017; Obialor et al., 2019)","previouslyFormattedCitation":"(Khahro &amp; Memon, 2017; Obialor et al., 2019)"},"properties":{"noteIndex":0},"schema":"https://github.com/citation-style-language/schema/raw/master/csl-citation.json"}</w:instrText>
      </w:r>
      <w:r w:rsidR="00C050EB" w:rsidRPr="00CF072B">
        <w:rPr>
          <w:rFonts w:ascii="Arial" w:hAnsi="Arial" w:cs="Arial"/>
        </w:rPr>
        <w:fldChar w:fldCharType="separate"/>
      </w:r>
      <w:r w:rsidRPr="00CF072B">
        <w:rPr>
          <w:rFonts w:ascii="Arial" w:hAnsi="Arial" w:cs="Arial"/>
          <w:noProof/>
        </w:rPr>
        <w:t>(Khahro &amp; Memon, 2017; Obialor et al., 2019)</w:t>
      </w:r>
      <w:r w:rsidR="00C050EB" w:rsidRPr="00CF072B">
        <w:rPr>
          <w:rFonts w:ascii="Arial" w:hAnsi="Arial" w:cs="Arial"/>
        </w:rPr>
        <w:fldChar w:fldCharType="end"/>
      </w:r>
      <w:r w:rsidRPr="00CF072B">
        <w:rPr>
          <w:rFonts w:ascii="Arial" w:hAnsi="Arial" w:cs="Arial"/>
        </w:rPr>
        <w:t xml:space="preserve">. To address this concern, it is crucial to evaluate dam conditions rigorously and implement effective risk management programs. Dam safety is primarily concerned with preventing catastrophic failures and minimizing the potential risks associated with dams. Such risks encompass factors like structural integrity, seepage, flood control, and emergency preparedness </w:t>
      </w:r>
      <w:r w:rsidR="00C050EB" w:rsidRPr="00C24527">
        <w:rPr>
          <w:rFonts w:ascii="Arial" w:hAnsi="Arial" w:cs="Arial"/>
          <w:highlight w:val="yellow"/>
        </w:rPr>
        <w:fldChar w:fldCharType="begin" w:fldLock="1"/>
      </w:r>
      <w:r w:rsidRPr="00C24527">
        <w:rPr>
          <w:rFonts w:ascii="Arial" w:hAnsi="Arial" w:cs="Arial"/>
          <w:highlight w:val="yellow"/>
        </w:rPr>
        <w:instrText>ADDIN CSL_CITATION {"citationItems":[{"id":"ITEM-1","itemData":{"DOI":"10.5194/nhess-12-3733-2012","ISSN":"15618633","abstract":"There is a wide variety of flood damage models in use internationally, differing substantially in their approaches and economic estimates. Since these models are being used more and more as a basis for investment and planning decisions on an increasingly large scale, there is a need to reduce the uncertainties involved and develop a harmonised European approach, in particular with respect to the EU Flood Risks Directive. In this paper we present a qualitative and quantitative assessment of seven flood damage models, using two case studies of past flood events in Germany and the United Kingdom. The qualitative analysis shows that modelling approaches vary strongly, and that current methodologies for estimating infrastructural damage are not as well developed as methodologies for the estimation of damage to buildings. The quantitative results show that the model outcomes are very sensitive to uncertainty in both vulnerability (i.e. depth-damage functions) and exposure (i.e. asset values), whereby the first has a larger effect than the latter. We conclude that care needs to be taken when using aggregated land use data for flood risk assessment, and that it is essential to adjust asset values to the regional economic situation and property characteristics. We call for the development of a flexible but consistent European framework that applies best practice from existing models while providing room for including necessary regional adjustments. © 2012 Author(s).","author":[{"dropping-particle":"","family":"Jongman","given":"B.","non-dropping-particle":"","parse-names":false,"suffix":""},{"dropping-particle":"","family":"Kreibich","given":"H.","non-dropping-particle":"","parse-names":false,"suffix":""},{"dropping-particle":"","family":"Apel","given":"H.","non-dropping-particle":"","parse-names":false,"suffix":""},{"dropping-particle":"","family":"Barredo","given":"J. I.","non-dropping-particle":"","parse-names":false,"suffix":""},{"dropping-particle":"","family":"Bates","given":"P. D.","non-dropping-particle":"","parse-names":false,"suffix":""},{"dropping-particle":"","family":"Feyen","given":"L.","non-dropping-particle":"","parse-names":false,"suffix":""},{"dropping-particle":"","family":"Gericke","given":"A.","non-dropping-particle":"","parse-names":false,"suffix":""},{"dropping-particle":"","family":"Neal","given":"J.","non-dropping-particle":"","parse-names":false,"suffix":""},{"dropping-particle":"","family":"Aerts","given":"J. C.J.H.","non-dropping-particle":"","parse-names":false,"suffix":""},{"dropping-particle":"","family":"Ward","given":"P. J.","non-dropping-particle":"","parse-names":false,"suffix":""}],"container-title":"Natural Hazards and Earth System Science","id":"ITEM-1","issue":"12","issued":{"date-parts":[["2012"]]},"page":"3733-3752","title":"Comparative flood damage model assessment: Towards a European approach","type":"article-journal","volume":"12"},"uris":["http://www.mendeley.com/documents/?uuid=20d491d2-cb0d-4272-a02b-678247a070c6","http://www.mendeley.com/documents/?uuid=f552fe21-8269-420e-8f42-a722c4ae148b"]}],"mendeley":{"formattedCitation":"(Jongman et al., 2012)","plainTextFormattedCitation":"(Jongman et al., 2012)","previouslyFormattedCitation":"(Jongman et al., 2012)"},"properties":{"noteIndex":0},"schema":"https://github.com/citation-style-language/schema/raw/master/csl-citation.json"}</w:instrText>
      </w:r>
      <w:r w:rsidR="00C050EB" w:rsidRPr="00C24527">
        <w:rPr>
          <w:rFonts w:ascii="Arial" w:hAnsi="Arial" w:cs="Arial"/>
          <w:highlight w:val="yellow"/>
        </w:rPr>
        <w:fldChar w:fldCharType="separate"/>
      </w:r>
      <w:r w:rsidRPr="00C24527">
        <w:rPr>
          <w:rFonts w:ascii="Arial" w:hAnsi="Arial" w:cs="Arial"/>
          <w:noProof/>
          <w:highlight w:val="yellow"/>
        </w:rPr>
        <w:t>(Jongman et al., 2012</w:t>
      </w:r>
      <w:r w:rsidR="00C24527" w:rsidRPr="00C24527">
        <w:rPr>
          <w:rFonts w:ascii="Arial" w:hAnsi="Arial" w:cs="Arial"/>
          <w:noProof/>
          <w:highlight w:val="yellow"/>
        </w:rPr>
        <w:t>; Al-Balawna et al., 2024</w:t>
      </w:r>
      <w:r w:rsidRPr="00C24527">
        <w:rPr>
          <w:rFonts w:ascii="Arial" w:hAnsi="Arial" w:cs="Arial"/>
          <w:noProof/>
          <w:highlight w:val="yellow"/>
        </w:rPr>
        <w:t>)</w:t>
      </w:r>
      <w:r w:rsidR="00C050EB" w:rsidRPr="00C24527">
        <w:rPr>
          <w:rFonts w:ascii="Arial" w:hAnsi="Arial" w:cs="Arial"/>
          <w:highlight w:val="yellow"/>
        </w:rPr>
        <w:fldChar w:fldCharType="end"/>
      </w:r>
      <w:r w:rsidRPr="00C24527">
        <w:rPr>
          <w:rFonts w:ascii="Arial" w:hAnsi="Arial" w:cs="Arial"/>
          <w:highlight w:val="yellow"/>
        </w:rPr>
        <w:t xml:space="preserve">. </w:t>
      </w:r>
    </w:p>
    <w:p w:rsidR="008E05FA" w:rsidRDefault="008E05FA" w:rsidP="00A11C99">
      <w:pPr>
        <w:spacing w:line="276" w:lineRule="auto"/>
        <w:jc w:val="both"/>
        <w:rPr>
          <w:rFonts w:ascii="Arial" w:hAnsi="Arial" w:cs="Arial"/>
        </w:rPr>
      </w:pPr>
    </w:p>
    <w:p w:rsidR="00A11C99" w:rsidRPr="00CF072B" w:rsidRDefault="00A11C99" w:rsidP="00A11C99">
      <w:pPr>
        <w:spacing w:line="276" w:lineRule="auto"/>
        <w:jc w:val="both"/>
        <w:rPr>
          <w:rFonts w:ascii="Arial" w:hAnsi="Arial" w:cs="Arial"/>
        </w:rPr>
      </w:pPr>
      <w:r w:rsidRPr="00CF072B">
        <w:rPr>
          <w:rFonts w:ascii="Arial" w:hAnsi="Arial" w:cs="Arial"/>
        </w:rPr>
        <w:t xml:space="preserve">In recent years, Geographic Information Systems (GIS) and Remote Sensing technologies have emerged as powerful tools in the evaluation and monitoring of dam conditions </w:t>
      </w:r>
      <w:r w:rsidR="00C050EB" w:rsidRPr="00CF072B">
        <w:rPr>
          <w:rFonts w:ascii="Arial" w:hAnsi="Arial" w:cs="Arial"/>
        </w:rPr>
        <w:fldChar w:fldCharType="begin" w:fldLock="1"/>
      </w:r>
      <w:r w:rsidRPr="00CF072B">
        <w:rPr>
          <w:rFonts w:ascii="Arial" w:hAnsi="Arial" w:cs="Arial"/>
        </w:rPr>
        <w:instrText xml:space="preserve">ADDIN CSL_CITATION {"citationItems":[{"id":"ITEM-1","itemData":{"DOI":"10.1007/s13201-022-01592-9","ISBN":"0123456789","ISSN":"2190-5495","author":[{"dropping-particle":"","family":"Gebresilasie","given":"Yonas","non-dropping-particle":"","parse-names":false,"suffix":""},{"dropping-particle":"","family":"Tesfa","given":"Hagos","non-dropping-particle":"","parse-names":false,"suffix":""},{"dropping-particle":"","family":"Andualem","given":"Gebrie","non-dropping-particle":"","parse-names":false,"suffix":""},{"dropping-particle":"","family":"Abathun","given":"Mequanent","non-dropping-particle":"","parse-names":false,"suffix":""},{"dropping-particle":"","family":"Workineh","given":"Mengie","non-dropping-particle":"","parse-names":false,"suffix":""},{"dropping-particle":"","family":"Ayele","given":"Tadesse","non-dropping-particle":"","parse-names":false,"suffix":""}],"container-title":"Applied Water Science","id":"ITEM-1","issue":"4","issued":{"date-parts":[["2022"]]},"page":"1-26","publisher":"Springer International Publishing","title":"Suitable dam site identification using GIS </w:instrText>
      </w:r>
      <w:r w:rsidRPr="00CF072B">
        <w:rPr>
          <w:rFonts w:ascii="Cambria Math" w:hAnsi="Cambria Math" w:cs="Cambria Math"/>
        </w:rPr>
        <w:instrText>‑</w:instrText>
      </w:r>
      <w:r w:rsidRPr="00CF072B">
        <w:rPr>
          <w:rFonts w:ascii="Arial" w:hAnsi="Arial" w:cs="Arial"/>
        </w:rPr>
        <w:instrText xml:space="preserve"> based MCDA : a case study of Chemoga watershed , Ethiopia","type":"article-journal","volume":"12"},"uris":["http://www.mendeley.com/documents/?uuid=e50fa7ff-3e21-4e55-ae7a-06ad183124d9","http://www.mendeley.com/documents/?uuid=8c08be8b-2b62-4a19-ab9e-329dd3ee8bde"]}],"mendeley":{"formattedCitation":"(Gebresilasie et al., 2022)","plainTextFormattedCitation":"(Gebresilasie et al., 2022)","previouslyFormattedCitation":"(Gebresilasie et al., 2022)"},"properties":{"noteIndex":0},"schema":"https://github.com/citation-style-language/schema/raw/master/csl-citation.json"}</w:instrText>
      </w:r>
      <w:r w:rsidR="00C050EB" w:rsidRPr="00CF072B">
        <w:rPr>
          <w:rFonts w:ascii="Arial" w:hAnsi="Arial" w:cs="Arial"/>
        </w:rPr>
        <w:fldChar w:fldCharType="separate"/>
      </w:r>
      <w:r w:rsidRPr="00CF072B">
        <w:rPr>
          <w:rFonts w:ascii="Arial" w:hAnsi="Arial" w:cs="Arial"/>
          <w:noProof/>
        </w:rPr>
        <w:t>(Gebresilasie et al., 2022)</w:t>
      </w:r>
      <w:r w:rsidR="00C050EB" w:rsidRPr="00CF072B">
        <w:rPr>
          <w:rFonts w:ascii="Arial" w:hAnsi="Arial" w:cs="Arial"/>
        </w:rPr>
        <w:fldChar w:fldCharType="end"/>
      </w:r>
      <w:r w:rsidRPr="00CF072B">
        <w:rPr>
          <w:rFonts w:ascii="Arial" w:hAnsi="Arial" w:cs="Arial"/>
        </w:rPr>
        <w:t>. It enables engineers, dam operators, and regulatory agencies to monitor a wide range of parameters, such as structural deformation, water levels</w:t>
      </w:r>
      <w:r w:rsidRPr="00703372">
        <w:rPr>
          <w:rFonts w:ascii="Arial" w:hAnsi="Arial" w:cs="Arial"/>
          <w:highlight w:val="yellow"/>
        </w:rPr>
        <w:t>, land subsidence, and environmental changes, all of which can influence dam safety</w:t>
      </w:r>
      <w:r w:rsidR="00703372" w:rsidRPr="00703372">
        <w:rPr>
          <w:rFonts w:ascii="Arial" w:hAnsi="Arial" w:cs="Arial"/>
          <w:highlight w:val="yellow"/>
        </w:rPr>
        <w:t xml:space="preserve"> (CWC, s2019)</w:t>
      </w:r>
      <w:r w:rsidRPr="00703372">
        <w:rPr>
          <w:rFonts w:ascii="Arial" w:hAnsi="Arial" w:cs="Arial"/>
          <w:highlight w:val="yellow"/>
        </w:rPr>
        <w:t>. These advanced technologies offer a holistic approach to assessing dam safety and</w:t>
      </w:r>
      <w:r w:rsidRPr="00CF072B">
        <w:rPr>
          <w:rFonts w:ascii="Arial" w:hAnsi="Arial" w:cs="Arial"/>
        </w:rPr>
        <w:t xml:space="preserve"> compliance with risk management programs in a continent where resources for extensive on-ground inspections can be limited </w:t>
      </w:r>
      <w:r w:rsidR="00C050EB" w:rsidRPr="00CF072B">
        <w:rPr>
          <w:rFonts w:ascii="Arial" w:hAnsi="Arial" w:cs="Arial"/>
        </w:rPr>
        <w:fldChar w:fldCharType="begin" w:fldLock="1"/>
      </w:r>
      <w:r w:rsidRPr="00CF072B">
        <w:rPr>
          <w:rFonts w:ascii="Arial" w:hAnsi="Arial" w:cs="Arial"/>
        </w:rPr>
        <w:instrText>ADDIN CSL_CITATION {"citationItems":[{"id":"ITEM-1","itemData":{"DOI":"10.28991/cej-2020-03091611","ISSN":"24763055","abstract":"River water resources provide a wide range of necessary ecosystem services, including regulating, provisioning, supporting and cultural services. Ecosystem services are linked to an appropriate level of functionality of river water resource processes, which can be connected with river basin environmental objectives. Environmental objectives can be achieved only if appropriate flow and sediment regimes and related river morphology quality are guaranteed. The obligation to define environmental flow (E-flow) in the European Union Water Framework Directive European (WFD) is not explicit, and the implementation of the WFD is more focused on water quality. Considering the specific climatic, hydrographic and hydrological conditions and the definition of E-flow, each EU country has developed procedures for their investigation and determination. In the Republic of Croatia, no methodology has been elaborated, nor is there any legal regulation to define E-flow downstream of a dam or water intake site. This paper presents the significant pressures that have affected the transboundary rural Sutla River basin between Croatia and Slovenia. These pressures can cause changes in the hydrological regime and biological elements of water quality. The holistic approach defines the E-flow for a profile on the Sutla River by linking hydrological, morphological, and ecological characteristics based on the exploration of the Sutla River and its biological communities. The full implementation of a holistic approach and the transition to Level III of the E-flow definition requires the enhancement of exploratory hydrological and biological monitoring that enables the use of habitat modelling.","author":[{"dropping-particle":"","family":"Ćosić-Flajsig","given":"Gorana","non-dropping-particle":"","parse-names":false,"suffix":""},{"dropping-particle":"","family":"Vučković","given":"Ivan","non-dropping-particle":"","parse-names":false,"suffix":""},{"dropping-particle":"","family":"Karleuša","given":"Barbara","non-dropping-particle":"","parse-names":false,"suffix":""}],"container-title":"Civil Engineering Journal (Iran)","id":"ITEM-1","issue":"11","issued":{"date-parts":[["2020"]]},"page":"2188-2202","title":"An innovative holistic approach to an e-flow assessment model","type":"article-journal","volume":"6"},"uris":["http://www.mendeley.com/documents/?uuid=df7707dc-4de3-412f-a5a1-f969c7bb9b78","http://www.mendeley.com/documents/?uuid=09374ade-264c-47df-a83a-5a85b7002c63"]}],"mendeley":{"formattedCitation":"(Ćosić-Flajsig et al., 2020)","plainTextFormattedCitation":"(Ćosić-Flajsig et al., 2020)","previouslyFormattedCitation":"(Ćosić-Flajsig et al., 2020)"},"properties":{"noteIndex":0},"schema":"https://github.com/citation-style-language/schema/raw/master/csl-citation.json"}</w:instrText>
      </w:r>
      <w:r w:rsidR="00C050EB" w:rsidRPr="00CF072B">
        <w:rPr>
          <w:rFonts w:ascii="Arial" w:hAnsi="Arial" w:cs="Arial"/>
        </w:rPr>
        <w:fldChar w:fldCharType="separate"/>
      </w:r>
      <w:r w:rsidRPr="00CF072B">
        <w:rPr>
          <w:rFonts w:ascii="Arial" w:hAnsi="Arial" w:cs="Arial"/>
          <w:noProof/>
        </w:rPr>
        <w:t>(Ćosić-Flajsig et al., 2020)</w:t>
      </w:r>
      <w:r w:rsidR="00C050EB" w:rsidRPr="00CF072B">
        <w:rPr>
          <w:rFonts w:ascii="Arial" w:hAnsi="Arial" w:cs="Arial"/>
        </w:rPr>
        <w:fldChar w:fldCharType="end"/>
      </w:r>
      <w:r w:rsidRPr="00CF072B">
        <w:rPr>
          <w:rFonts w:ascii="Arial" w:hAnsi="Arial" w:cs="Arial"/>
        </w:rPr>
        <w:t xml:space="preserve">. GIS enables the spatial representation and analysis of various geospatial data, including topography, land use, hydrology, and infrastructure, providing a holistic view of the dam's surroundings </w:t>
      </w:r>
      <w:r w:rsidR="00C050EB" w:rsidRPr="00CF072B">
        <w:rPr>
          <w:rFonts w:ascii="Arial" w:hAnsi="Arial" w:cs="Arial"/>
        </w:rPr>
        <w:fldChar w:fldCharType="begin" w:fldLock="1"/>
      </w:r>
      <w:r w:rsidRPr="00CF072B">
        <w:rPr>
          <w:rFonts w:ascii="Arial" w:hAnsi="Arial" w:cs="Arial"/>
        </w:rPr>
        <w:instrText>ADDIN CSL_CITATION {"citationItems":[{"id":"ITEM-1","itemData":{"author":[{"dropping-particle":"","family":"Toombes","given":"Luke","non-dropping-particle":"","parse-names":false,"suffix":""},{"dropping-particle":"","family":"Ayre","given":"Rob","non-dropping-particle":"","parse-names":false,"suffix":""}],"id":"ITEM-1","issued":{"date-parts":[["2011"]]},"title":"Holistic Dam Operations Assessment for Southeast Queensland","type":"article-journal"},"uris":["http://www.mendeley.com/documents/?uuid=1a99be7e-0c84-4430-80b6-a4935c966598","http://www.mendeley.com/documents/?uuid=a7ec00c8-f535-4461-80a3-582e72abef32"]},{"id":"ITEM-2","itemData":{"abstract":"Increasingly, society and standards require that risk-informed dam safety decisions be made. Benefit can be gained by leveraging reliability and risk concepts for dam safety decisions as a complement to conventional analyses. There is a range of tools that can be implemented within a \"risk-informed\" framework, from qualitative experienced-based estimates to full probabilistic multi-parameter modelling of the hazards and consequences for one dam, several dams in a system or a dam portfolio. This paper aims to show that implementation of a risk approach can help support dam owners with added insight into dam safety throughout the entire life of a dam. Four key aspects are for efficient risk-informed decision-making: (1) carry out a dam risk assessment; (2) identify the most significant factors or aspects influencing the safety of a dam; (3) prepare a risk picture of the dam safety with risk diagrams; and (4) make risk-informed decisions on the need for measures to reduce risk. This paper describes basic concepts of reliability-based approaches and illustrates their use with two examples from practice. The strengths of the risk-informed approach and key issues such as tolerable and acceptable risk, risk-informed decision-making and risk communication, risk preparedness and resilience are discussed. A new risk assessment and management framework for risk-informed decisions for dams is proposed. The paper concludes with learnings from risk assessment of dams and suggests that the approach should be implemented more widely in practice. RÉSUMÉ La société actuelle et les normes en vigueur exigent que les décisions en sécurité des barrages soient prises selon les risques encourus. La mise en oeuvre des concepts de fiabilité et de risque, en complément des analyses déterministes conventionnelles, représente un avantage indéniable lors des décisions relatives à la sécurité des barrages. Un éventail d'outils, qui tient compte des risques, est disponible ; qu'il s'agisse des estimations qualitatives basées sur l'expérience ou de la modélisation multiparamétrique probabiliste des aléas et des conséquences pour un barrage, plusieurs ouvrages d'un aménagement ou un portfolio de barrages, chaque outil a ses particularités. Le présent article vise à présenter une approche d'évaluation des risques qui fournit aux propriétaires une compréhension accrue de la sécurité de leurs barrages pendant tout leur cycle de vie. Quatre aspects clés permettent de prendre des décisions f…","author":[{"dropping-particle":"","family":"Fréchette","given":"Valérie","non-dropping-particle":"","parse-names":false,"suffix":""},{"dropping-particle":"","family":"Suzanne Lacasse","given":"Canada","non-dropping-particle":"","parse-names":false,"suffix":""},{"dropping-particle":"","family":"Eng","given":"P","non-dropping-particle":"","parse-names":false,"suffix":""}],"id":"ITEM-2","issue":"October","issued":{"date-parts":[["2022"]]},"title":"Risk-Informed Approach for the Safety Assessment of Dams a Toolkit for the Dam Owner","type":"article-journal"},"uris":["http://www.mendeley.com/documents/?uuid=35a99e1b-2159-4382-9cc3-27ec65bc4d8c","http://www.mendeley.com/documents/?uuid=e513aab8-5344-4105-8372-a37fa2a445e4"]}],"mendeley":{"formattedCitation":"(Fréchette et al., 2022; Toombes &amp; Ayre, 2011)","plainTextFormattedCitation":"(Fréchette et al., 2022; Toombes &amp; Ayre, 2011)","previouslyFormattedCitation":"(Fréchette et al., 2022; Toombes &amp; Ayre, 2011)"},"properties":{"noteIndex":0},"schema":"https://github.com/citation-style-language/schema/raw/master/csl-citation.json"}</w:instrText>
      </w:r>
      <w:r w:rsidR="00C050EB" w:rsidRPr="00CF072B">
        <w:rPr>
          <w:rFonts w:ascii="Arial" w:hAnsi="Arial" w:cs="Arial"/>
        </w:rPr>
        <w:fldChar w:fldCharType="separate"/>
      </w:r>
      <w:r w:rsidRPr="00CF072B">
        <w:rPr>
          <w:rFonts w:ascii="Arial" w:hAnsi="Arial" w:cs="Arial"/>
          <w:noProof/>
        </w:rPr>
        <w:t>(Fréchette et al., 2022; Toombes &amp; Ayre, 2011)</w:t>
      </w:r>
      <w:r w:rsidR="00C050EB" w:rsidRPr="00CF072B">
        <w:rPr>
          <w:rFonts w:ascii="Arial" w:hAnsi="Arial" w:cs="Arial"/>
        </w:rPr>
        <w:fldChar w:fldCharType="end"/>
      </w:r>
      <w:r w:rsidRPr="00CF072B">
        <w:rPr>
          <w:rFonts w:ascii="Arial" w:hAnsi="Arial" w:cs="Arial"/>
        </w:rPr>
        <w:t xml:space="preserve">. This information can be used to assess the potential impact of natural disasters, population growth, and land use changes on dam safety </w:t>
      </w:r>
      <w:r w:rsidR="00C050EB" w:rsidRPr="00CF072B">
        <w:rPr>
          <w:rFonts w:ascii="Arial" w:hAnsi="Arial" w:cs="Arial"/>
        </w:rPr>
        <w:fldChar w:fldCharType="begin" w:fldLock="1"/>
      </w:r>
      <w:r w:rsidRPr="00CF072B">
        <w:rPr>
          <w:rFonts w:ascii="Arial" w:hAnsi="Arial" w:cs="Arial"/>
        </w:rPr>
        <w:instrText>ADDIN CSL_CITATION {"citationItems":[{"id":"ITEM-1","itemData":{"author":[{"dropping-particle":"","family":"Wieland","given":"M","non-dropping-particle":"","parse-names":false,"suffix":""}],"id":"ITEM-1","issued":{"date-parts":[["2021"]]},"title":"Advances in dam safety , risk assessment and management for the seismic hazard","type":"article-journal"},"uris":["http://www.mendeley.com/documents/?uuid=c683b0b4-2d82-4eac-91c6-ddc455baf522","http://www.mendeley.com/documents/?uuid=a121fdd8-d4f5-4b2a-a45c-6e1e7ace61ce"]}],"mendeley":{"formattedCitation":"(Wieland, 2021)","plainTextFormattedCitation":"(Wieland, 2021)","previouslyFormattedCitation":"(Wieland, 2021)"},"properties":{"noteIndex":0},"schema":"https://github.com/citation-style-language/schema/raw/master/csl-citation.json"}</w:instrText>
      </w:r>
      <w:r w:rsidR="00C050EB" w:rsidRPr="00CF072B">
        <w:rPr>
          <w:rFonts w:ascii="Arial" w:hAnsi="Arial" w:cs="Arial"/>
        </w:rPr>
        <w:fldChar w:fldCharType="separate"/>
      </w:r>
      <w:r w:rsidRPr="00CF072B">
        <w:rPr>
          <w:rFonts w:ascii="Arial" w:hAnsi="Arial" w:cs="Arial"/>
          <w:noProof/>
        </w:rPr>
        <w:t>(Wieland, 2021)</w:t>
      </w:r>
      <w:r w:rsidR="00C050EB" w:rsidRPr="00CF072B">
        <w:rPr>
          <w:rFonts w:ascii="Arial" w:hAnsi="Arial" w:cs="Arial"/>
        </w:rPr>
        <w:fldChar w:fldCharType="end"/>
      </w:r>
      <w:r w:rsidRPr="00CF072B">
        <w:rPr>
          <w:rFonts w:ascii="Arial" w:hAnsi="Arial" w:cs="Arial"/>
        </w:rPr>
        <w:t xml:space="preserve">. Remote Sensing complements GIS by providing valuable data through satellite imagery, aerial photography, and LiDAR, offering insight into dam conditions, vegetation, water levels, and land subsidence </w:t>
      </w:r>
      <w:r w:rsidR="00C050EB" w:rsidRPr="00CF072B">
        <w:rPr>
          <w:rFonts w:ascii="Arial" w:hAnsi="Arial" w:cs="Arial"/>
        </w:rPr>
        <w:fldChar w:fldCharType="begin" w:fldLock="1"/>
      </w:r>
      <w:r w:rsidRPr="00CF072B">
        <w:rPr>
          <w:rFonts w:ascii="Arial" w:hAnsi="Arial" w:cs="Arial"/>
        </w:rPr>
        <w:instrText xml:space="preserve">ADDIN CSL_CITATION {"citationItems":[{"id":"ITEM-1","itemData":{"ISBN":"9783527341115","ISSN":"21951071","PMID":"32192331","abstract":"Nanostructures of inorganic semiconductors have revolutionized many areas of electronics, optoelectronics and photonics. The controlled synthesis of semiconductor nanostructures could lead to novel physical properties, improved optoelectronic device performance and new areas for exploration. Lead halide perovskites have recently excited the photovoltaic research community owing to their high solar-conversion efficiencies and ease of solution processing; they also hold great promise for optoelectronic applications, such as light-emitting diodes and lasers. In this Review, we summarize recent developments in the synthesis and characterization of metal halide perovskite nanostructures with controllable compositions, dimensionality, morphologies and orientations. We examine the advantageous optical properties, improved stability and potential optoelectronic applications of these 1D and 2D single-crystal perovskite nanostructures and compare them with those of bulk perovskites and nanostructures of conventional semiconductors. Studies in which perovskite nanostructures have been used to study the fundamental physical properties of perovskites are also highlighted. Finally, we discuss the challenges in realizing halide perovskite nanostructures for optoelectronic and photonic applications and offer our perspectives on future opportunities and research directions.","author":[{"dropping-particle":"","family":"Shim","given":"Hyewon","non-dropping-particle":"","parse-names":false,"suffix":""},{"dropping-particle":"","family":"Shin","given":"Naechul","non-dropping-particle":"","parse-names":false,"suffix":""},{"dropping-particle":"","family":"Stern","given":"Avigail","non-dropping-particle":"","parse-names":false,"suffix":""},{"dropping-particle":"","family":"Aharon","given":"Sigalit","non-dropping-particle":"","parse-names":false,"suffix":""},{"dropping-particle":"","family":"Binyamin","given":"Tal","non-dropping-particle":"","parse-names":false,"suffix":""},{"dropping-particle":"","family":"Karmi","given":"Abeer","non-dropping-particle":"","parse-names":false,"suffix":""},{"dropping-particle":"","family":"Rotem","given":"Dvir","non-dropping-particle":"","parse-names":false,"suffix":""},{"dropping-particle":"","family":"Etgar","given":"Lioz","non-dropping-particle":"","parse-names":false,"suffix":""},{"dropping-particle":"","family":"Porath","given":"Danny","non-dropping-particle":"","parse-names":false,"suffix":""},{"dropping-particle":"","family":"Pradhan","given":"Bapi","non-dropping-particle":"","parse-names":false,"suffix":""},{"dropping-particle":"","family":"Kumar","given":"Gundam Sandeep","non-dropping-particle":"","parse-names":false,"suffix":""},{"dropping-particle":"","family":"Sain","given":"Sumanta","non-dropping-particle":"","parse-names":false,"suffix":""},{"dropping-particle":"","family":"Dalui","given":"Amit","non-dropping-particle":"","parse-names":false,"suffix":""},{"dropping-particle":"","family":"Ghorai","given":"Uttam Kumar","non-dropping-particle":"","parse-names":false,"suffix":""},{"dropping-particle":"","family":"Pradhan","given":"Swapan Kumar","non-dropping-particle":"","parse-names":false,"suffix":""},{"dropping-particle":"","family":"Acharya","given":"Somobrata","non-dropping-particle":"","parse-names":false,"suffix":""},{"dropping-particle":"","family":"Quan","given":"Li Na","non-dropping-particle":"","parse-names":false,"suffix":""},{"dropping-particle":"","family":"Rand","given":"Barry P.","non-dropping-particle":"","parse-names":false,"suffix":""},{"dropping-particle":"","family":"Friend","given":"Richard H.","non-dropping-particle":"","parse-names":false,"suffix":""},{"dropping-particle":"","family":"Mhaisalkar","given":"Subodh Gautam","non-dropping-particle":"","parse-names":false,"suffix":""},{"dropping-particle":"","family":"Lee","given":"Tae Woo","non-dropping-particle":"","parse-names":false,"suffix":""},{"dropping-particle":"","family":"Sargent","given":"Edward H.","non-dropping-particle":"","parse-names":false,"suffix":""},{"dropping-particle":"","family":"Long","given":"Guankui","non-dropping-particle":"","parse-names":false,"suffix":""},{"dropping-particle":"","family":"Sabatini","given":"Randy","non-dropping-particle":"","parse-names":false,"suffix":""},{"dropping-particle":"","family":"Saidaminov","given":"Makhsud I.","non-dropping-particle":"","parse-names":false,"suffix":""},{"dropping-particle":"","family":"Lakhwani","given":"Girish","non-dropping-particle":"","parse-names":false,"suffix":""},{"dropping-particle":"","family":"Rasmita","given":"Abdullah","non-dropping-particle":"","parse-names":false,"suffix":""},{"dropping-particle":"","family":"Liu","given":"Xiaogang Ke Xinfeng","non-dropping-particle":"","parse-names":false,"suffix":""},{"dropping-particle":"","family":"Sargent","given":"Edward H.","non-dropping-particle":"","parse-names":false,"suffix":""},{"dropping-particle":"","family":"Gao","given":"Weibo","non-dropping-particle":"","parse-names":false,"suffix":""},{"dropping-particle":"","family":"Chen","given":"Gaosong Gang","non-dropping-particle":"","parse-names":false,"suffix":""},{"dropping-particle":"","family":"Feng","given":"Jiangang","non-dropping-particle":"","parse-names":false,"suffix":""},{"dropping-particle":"","family":"Gao","given":"Hanfei","non-dropping-particle":"","parse-names":false,"suffix":""},{"dropping-particle":"","family":"Zhao","given":"Yuzhou Yingjie","non-dropping-particle":"","parse-names":false,"suffix":""},{"dropping-particle":"","family":"Pi","given":"Yueyang","non-dropping-particle":"","parse-names":false,"suffix":""},{"dropping-particle":"","family":"Jiang","given":"Xiangyu","non-dropping-particle":"","parse-names":false,"suffix":""},{"dropping-particle":"","family":"Wu","given":"Yuchen Yishi","non-dropping-particle":"","parse-names":false,"suffix":""},{"dropping-particle":"","family":"Jiang","given":"Lei","non-dropping-particle":"","parse-names":false,"suffix":""},{"dropping-particle":"","family":"García De Arquer","given":"F. Pelayo","non-dropping-particle":"","parse-names":false,"suffix":""},{"dropping-particle":"","family":"Sargent","given":"Edward H.","non-dropping-particle":"","parse-names":false,"suffix":""},{"dropping-particle":"","family":"Wang","given":"Zhijie Zhanguo Zhao Kui","non-dropping-particle":"","parse-names":false,"suffix":""},{"dropping-particle":"","family":"Liao","given":"Liang Sheng Lei","non-dropping-particle":"","parse-names":false,"suffix":""},{"dropping-particle":"","family":"Wang","given":"Kun Hua Kaiyang Kun","non-dropping-particle":"","parse-names":false,"suffix":""},{"dropping-particle":"","family":"Wang","given":"Sisi Shuai","non-dropping-particle":"","parse-names":false,"suffix":""},{"dropping-particle":"","family":"Xiao","given":"Si Shumin","non-dropping-particle":"","parse-names":false,"suffix":""},{"dropping-particle":"","family":"Song","given":"Qinghai","non-dropping-particle":"","parse-names":false,"suffix":""},{"dropping-particle":"","family":"Tong","given":"Yu","non-dropping-particle":"","parse-names":false,"suffix":""},{"dropping-particle":"","family":"Fu","given":"Ming","non-dropping-particle":"","parse-names":false,"suffix":""},{"dropping-particle":"","family":"Bladt","given":"Eva","non-dropping-particle":"","parse-names":false,"suffix":""},{"dropping-particle":"","family":"Huang","given":"He Han","non-dropping-particle":"","parse-names":false,"suffix":""},{"dropping-particle":"","family":"Richter","given":"Alexander F.","non-dropping-particle":"","parse-names":false,"suffix":""},{"dropping-particle":"","family":"Wang","given":"Kun Hua Kaiyang Kun","non-dropping-particle":"","parse-names":false,"suffix":""},{"dropping-particle":"","family":"Müller-Buschbaum","given":"Peter","non-dropping-particle":"","parse-names":false,"suffix":""},{"dropping-particle":"","family":"Bals","given":"Sara","non-dropping-particle":"","parse-names":false,"suffix":""},{"dropping-particle":"","family":"Tamarat","given":"Philippe","non-dropping-particle":"","parse-names":false,"suffix":""},{"dropping-particle":"","family":"Lounis","given":"Brahim","non-dropping-particle":"","parse-names":false,"suffix":""},{"dropping-particle":"","family":"Feldmann","given":"Jochen","non-dropping-particle":"","parse-names":false,"suffix":""},{"dropping-particle":"","family":"Polavarapu","given":"Lakshminarayana","non-dropping-particle":"","parse-names":false,"suffix":""},{"dropping-particle":"","family":"Tennyson","given":"Elizabeth M.","non-dropping-particle":"","parse-names":false,"suffix":""},{"dropping-particle":"","family":"Doherty","given":"Tiarnan A.S.","non-dropping-particle":"","parse-names":false,"suffix":""},{"dropping-particle":"","family":"Stranks","given":"Samuel D.","non-dropping-particle":"","parse-names":false,"suffix":""},{"dropping-particle":"","family":"Tahara","given":"Hirokazu","non-dropping-particle":"","parse-names":false,"suffix":""},{"dropping-particle":"","family":"Aharen","given":"Tomoko","non-dropping-particle":"","parse-names":false,"suffix":""},{"dropping-particle":"","family":"Wakamiya","given":"Atsushi","non-dropping-particle":"","parse-names":false,"suffix":""},{"dropping-particle":"","family":"Kanemitsu","given":"Yoshihiko","non-dropping-particle":"","parse-names":false,"suffix":""},{"dropping-particle":"","family":"Sutherland","given":"Brandon R.","non-dropping-particle":"","parse-names":false,"suffix":""},{"dropping-particle":"","family":"Sargent","given":"Edward H.","non-dropping-particle":"","parse-names":false,"suffix":""},{"dropping-particle":"","family":"Stranks","given":"Samuel D.","non-dropping-particle":"","parse-names":false,"suffix":""},{"dropping-particle":"","family":"Snaith","given":"Henry J.","non-dropping-particle":"","parse-names":false,"suffix":""},{"dropping-particle":"","family":"Zhuo","given":"Sifei","non-dropping-particle":"","parse-names":false,"suffix":""},{"dropping-particle":"","family":"Zhang","given":"Jun Jingfang","non-dropping-particle":"","parse-names":false,"suffix":""},{"dropping-particle":"","family":"Shi","given":"Yanmei","non-dropping-particle":"","parse-names":false,"suffix":""},{"dropping-particle":"","family":"Huang","given":"Yi","non-dropping-particle":"","parse-names":false,"suffix":""},{"dropping-particle":"Bin","family":"Zhang","given":"Bo","non-dropping-particle":"","parse-names":false,"suffix":""},{"dropping-particle":"","family":"Zhu","given":"Bai Sheng","non-dropping-particle":"","parse-names":false,"suffix":""},{"dropping-particle":"","family":"He","given":"Zhen","non-dropping-particle":"","parse-names":false,"suffix":""},{"dropping-particle":"","family":"Yao","given":"Ji Song","non-dropping-particle":"","parse-names":false,"suffix":""},{"dropping-particle":"","family":"Chen","given":"Chun Chao Chen","non-dropping-particle":"","parse-names":false,"suffix":""},{"dropping-particle":"","family":"Wang","given":"Kun Hua Kaiyang Kun","non-dropping-particle":"","parse-names":false,"suffix":""},{"dropping-particle":"Bin","family":"Yao","given":"Hong","non-dropping-particle":"","parse-names":false,"suffix":""},{"dropping-particle":"","family":"Liu","given":"Jian Wei","non-dropping-particle":"","parse-names":false,"suffix":""},{"dropping-particle":"","family":"Yu","given":"Shu Hong","non-dropping-particle":"","parse-names":false,"suffix":""},{"dropping-particle":"","family":"Zhu","given":"Haiming","non-dropping-particle":"","parse-names":false,"suffix":""},{"dropping-particle":"","family":"Fu","given":"Yongping","non-dropping-particle":"","parse-names":false,"suffix":""},{"dropping-particle":"","family":"Meng","given":"Fei","non-dropping-particle":"","parse-names":false,"suffix":""},{"dropping-particle":"","family":"Wu","given":"Xiaoxi","non-dropping-particle":"","parse-names":false,"suffix":""},{"dropping-particle":"","family":"Gong","given":"Zizhou","non-dropping-particle":"","parse-names":false,"suffix":""},{"dropping-particle":"","family":"Ding","given":"Qi","non-dropping-particle":"","parse-names":false,"suffix":""},{"dropping-particle":"V.","family":"Gustafsson","given":"Martin","non-dropping-particle":"","parse-names":false,"suffix":""},{"dropping-particle":"","family":"Trinh","given":"M. Tuan","non-dropping-particle":"","parse-names":false,"suffix":""},{"dropping-particle":"","family":"Jin","given":"Song","non-dropping-particle":"","parse-names":false,"suffix":""},{"dropping-particle":"","family":"Zhu","given":"Xiaojun Y. Xiaoli","non-dropping-particle":"","parse-names":false,"suffix":""},{"dropping-particle":"","family":"Zhang","given":"Xiyuan Xuehong Xiang","non-dropping-particle":"","parse-names":false,"suffix":""},{"dropping-particle":"","family":"Chen","given":"Shula Shulin Shaoqiang","non-dropping-particle":"","parse-names":false,"suffix":""},{"dropping-particle":"","family":"Wang","given":"Xina Xiaoxia","non-dropping-particle":"","parse-names":false,"suffix":""},{"dropping-particle":"","family":"Pan","given":"Anlian","non-dropping-particle":"","parse-names":false,"suffix":""},{"dropping-particle":"","family":"Zhang","given":"Daquan Dandan","non-dropping-particle":"","parse-names":false,"suffix":""},{"dropping-particle":"","family":"Eaton","given":"Samuel W.","non-dropping-particle":"","parse-names":false,"suffix":""},{"dropping-particle":"","family":"Yu","given":"Yi","non-dropping-particle":"","parse-names":false,"suffix":""},{"dropping-particle":"","family":"Dou","given":"Letian","non-dropping-particle":"","parse-names":false,"suffix":""},{"dropping-particle":"","family":"Yang","given":"Peidong Pengfei","non-dropping-particle":"","parse-names":false,"suffix":""},{"dropping-particle":"","family":"Yang","given":"Bingxiao","non-dropping-particle":"","parse-names":false,"suffix":""},{"dropping-particle":"","family":"Wang","given":"Yangbo Yue Yuxi","non-dropping-particle":"","parse-names":false,"suffix":""},{"dropping-particle":"","family":"Wei","given":"Tian","non-dropping-particle":"","parse-names":false,"suffix":""},{"dropping-particle":"","family":"Pan","given":"Yue","non-dropping-particle":"","parse-names":false,"suffix":""},{"dropping-particle":"","family":"Zhou","given":"Enlong","non-dropping-particle":"","parse-names":false,"suffix":""},{"dropping-particle":"","family":"Yuan","given":"Ze Zhongcheng","non-dropping-particle":"","parse-names":false,"suffix":""},{"dropping-particle":"","family":"Han","given":"Yingdong","non-dropping-particle":"","parse-names":false,"suffix":""},{"dropping-particle":"","family":"Li","given":"Mengxue","non-dropping-particle":"","parse-names":false,"suffix":""},{"dropping-particle":"","family":"Ling","given":"Xincan","non-dropping-particle":"","parse-names":false,"suffix":""},{"dropping-particle":"","family":"Yin","given":"Lisha","non-dropping-particle":"","parse-names":false,"suffix":""},{"dropping-particle":"","family":"Xie","given":"Xiaoji","non-dropping-particle":"","parse-names":false,"suffix":""},{"dropping-particle":"","family":"Huang","given":"Ling","non-dropping-particle":"","parse-names":false,"suffix":""},{"dropping-particle":"","family":"Wu","given":"Dingjun","non-dropping-particle":"","parse-names":false,"suffix":""},{"dropping-particle":"","family":"Zhou","given":"Hai Huanping Hong","non-dropping-particle":"","parse-names":false,"suffix":""},{"dropping-particle":"","family":"Song","given":"Zehao","non-dropping-particle":"","parse-names":false,"suffix":""},{"dropping-particle":"","family":"Zheng","given":"Meng","non-dropping-particle":"","parse-names":false,"suffix":""},{"dropping-particle":"","family":"Liu","given":"Ronghuan","non-dropping-particle":"","parse-names":false,"suffix":""},{"dropping-particle":"","family":"Pan","given":"Xiyan","non-dropping-particle":"","parse-names":false,"suffix":""},{"dropping-particle":"","family":"Wan","given":"Houzhao","non-dropping-particle":"","parse-names":false,"suffix":""},{"dropping-particle":"","family":"Zhang","given":"Jun Jingfang","non-dropping-particle":"","parse-names":false,"suffix":""},{"dropping-particle":"","family":"Wang","given":"Haiyan Hong En Hao","non-dropping-particle":"","parse-names":false,"suffix":""},{"dropping-particle":"","family":"Li","given":"Xiaojun Xiaoming","non-dropping-particle":"","parse-names":false,"suffix":""},{"dropping-particle":"","family":"Zeng","given":"Haibo","non-dropping-particle":"","parse-names":false,"suffix":""},{"dropping-particle":"","family":"He","given":"Luze","non-dropping-particle":"","parse-names":false,"suffix":""},{"dropping-particle":"","family":"Pan","given":"Shuang","non-dropping-particle":"","parse-names":false,"suffix":""},{"dropping-particle":"","family":"Lin","given":"Zhiqun","non-dropping-particle":"","parse-names":false,"suffix":""},{"dropping-particle":"","family":"Peng","given":"Jiajun Juan","non-dropping-particle":"","parse-names":false,"suffix":""},{"dropping-particle":"","family":"Nanowire","given":"Cspbbr","non-dropping-particle":"","parse-names":false,"suffix":""},{"dropping-particle":"","family":"Tong","given":"Yu","non-dropping-particle":"","parse-names":false,"suffix":""},{"dropping-particle":"","family":"Bohn","given":"Bernhard J.","non-dropping-particle":"","parse-names":false,"suffix":""},{"dropping-particle":"","family":"Bladt","given":"Eva","non-dropping-particle":"","parse-names":false,"suffix":""},{"dropping-particle":"","family":"Wang","given":"Kun Hua Kaiyang Kun","non-dropping-particle":"","parse-names":false,"suffix":""},{"dropping-particle":"","family":"Müller-Buschbaum","given":"Peter","non-dropping-particle":"","parse-names":false,"suffix":""},{"dropping-particle":"","family":"Bals","given":"Sara","non-dropping-particle":"","parse-names":false,"suffix":""},{"dropping-particle":"","family":"Urban","given":"Alexander S.","non-dropping-particle":"","parse-names":false,"suffix":""},{"dropping-particle":"","family":"Polavarapu","given":"Lakshminarayana","non-dropping-particle":"","parse-names":false,"suffix":""},{"dropping-particle":"","family":"Feldmann","given":"Jochen","non-dropping-particle":"","parse-names":false,"suffix":""},{"dropping-particle":"","family":"Info","given":"correct this","non-dropping-particle":"","parse-names":false,"suffix":""},{"dropping-particle":"","family":"Miyasaka","given":"Tsutomu","non-dropping-particle":"","parse-names":false,"suffix":""},{"dropping-particle":"","family":"Synthesis","given":"Milestones","non-dropping-particle":"","parse-names":false,"suffix":""},{"dropping-particle":"","family":"Solar","given":"Physics","non-dropping-particle":"","parse-names":false,"suffix":""},{"dropping-particle":"","family":"Detection","given":"Energy","non-dropping-particle":"","parse-names":false,"suffix":""},{"dropping-particle":"","family":"Jin","given":"Song","non-dropping-particle":"","parse-names":false,"suffix":""},{"dropping-particle":"","family":"Group","given":"The","non-dropping-particle":"","parse-names":false,"suffix":""},{"dropping-particle":"","family":"Growth","given":"Solution","non-dropping-particle":"","parse-names":false,"suffix":""},{"dropping-particle":"","family":"Understanding","given":"Perovskite Nanostructures","non-dropping-particle":"","parse-names":false,"suffix":""},{"dropping-particle":"","family":"Meeting","given":"Group","non-dropping-particle":"","parse-names":false,"suffix":""},{"dropping-particle":"","family":"Song","given":"Jizhong","non-dropping-particle":"","parse-names":false,"suffix":""},{"dropping-particle":"","family":"Cui","given":"Qingzhi","non-dropping-particle":"","parse-names":false,"suffix":""},{"dropping-particle":"","family":"Li","given":"Jianhai","non-dropping-particle":"","parse-names":false,"suffix":""},{"dropping-particle":"","family":"Xu","given":"Jiayue Jianlong","non-dropping-particle":"","parse-names":false,"suffix":""},{"dropping-particle":"","family":"Wang","given":"Yangbo Yue Yuxi","non-dropping-particle":"","parse-names":false,"suffix":""},{"dropping-particle":"","family":"Xu","given":"Leimeng","non-dropping-particle":"","parse-names":false,"suffix":""},{"dropping-particle":"","family":"Xue","given":"Jie","non-dropping-particle":"","parse-names":false,"suffix":""},{"dropping-particle":"","family":"Dong","given":"Yuhui","non-dropping-particle":"","parse-names":false,"suffix":""},{"dropping-particle":"","family":"Tian","given":"Tian","non-dropping-particle":"","parse-names":false,"suffix":""},{"dropping-particle":"","family":"Sun","given":"Handong","non-dropping-particle":"","parse-names":false,"suffix":""},{"dropping-particle":"","family":"Zeng","given":"Haibo","non-dropping-particle":"","parse-names":false,"suffix":""},{"dropping-particle":"","family":"Shi","given":"Xiao Bo","non-dropping-particle":"","parse-names":false,"suffix":""},{"dropping-particle":"","family":"Liu","given":"Yuan","non-dropping-particle":"","parse-names":false,"suffix":""},{"dropping-particle":"","family":"Yuan","given":"Ze Zhongcheng","non-dropping-particle":"","parse-names":false,"suffix":""},{"dropping-particle":"","family":"Liu","given":"Xiaogang Ke Xinfeng","non-dropping-particle":"","parse-names":false,"suffix":""},{"dropping-particle":"","family":"Miao","given":"Yanfeng","non-dropping-particle":"","parse-names":false,"suffix":""},{"dropping-particle":"","family":"Wang","given":"Jifei Jiannong Jizheng Jianpu","non-dropping-particle":"","parse-names":false,"suffix":""},{"dropping-particle":"","family":"Lenk","given":"Simone","non-dropping-particle":"","parse-names":false,"suffix":""},{"dropping-particle":"","family":"Reineke","given":"Sebastian","non-dropping-particle":"","parse-names":false,"suffix":""},{"dropping-particle":"","family":"Gao","given":"Feng","non-dropping-particle":"","parse-names":false,"suffix":""},{"dropping-particle":"","family":"Schlaus","given":"Andrew P.","non-dropping-particle":"","parse-names":false,"suffix":""},{"dropping-particle":"","family":"Spencer","given":"Michael S.","non-dropping-particle":"","parse-names":false,"suffix":""},{"dropping-particle":"","family":"Miyata","given":"Kiyoshi","non-dropping-particle":"","parse-names":false,"suffix":""},{"dropping-particle":"","family":"Liu","given":"Fang","non-dropping-particle":"","parse-names":false,"suffix":""},{"dropping-particle":"","family":"Wang","given":"Xina Xiaoxia","non-dropping-particle":"","parse-names":false,"suffix":""},{"dropping-particle":"","family":"Datta","given":"Ipshita","non-dropping-particle":"","parse-names":false,"suffix":""},{"dropping-particle":"","family":"Lipson","given":"Michal","non-dropping-particle":"","parse-names":false,"suffix":""},{"dropping-particle":"","family":"Pan","given":"Anlian","non-dropping-particle":"","parse-names":false,"suffix":""},{"dropping-particle":"","family":"Zhu","given":"Xiaojun Y. Xiaoli","non-dropping-particle":"","parse-names":false,"suffix":""},{"dropping-particle":"","family":"Wei","given":"Haotong","non-dropping-particle":"","parse-names":false,"suffix":""},{"dropping-particle":"","family":"Huang","given":"Jinsong Jianmei","non-dropping-particle":"","parse-names":false,"suffix":""},{"dropping-particle":"","family":"Ren","given":"Kuankuan","non-dropping-particle":"","parse-names":false,"suffix":""},{"dropping-particle":"","family":"Wang","given":"Jifei Jiannong Jizheng Jianpu","non-dropping-particle":"","parse-names":false,"suffix":""},{"dropping-particle":"","family":"Chen","given":"Shula Shulin Shaoqiang","non-dropping-particle":"","parse-names":false,"suffix":""},{"dropping-particle":"","family":"Yang","given":"Qingxin","non-dropping-particle":"","parse-names":false,"suffix":""},{"dropping-particle":"","family":"Tian","given":"Jiao","non-dropping-particle":"","parse-names":false,"suffix":""},{"dropping-particle":"","family":"Yu","given":"Haichao","non-dropping-particle":"","parse-names":false,"suffix":""},{"dropping-particle":"","family":"Sun","given":"Mengxing Mingfei","non-dropping-particle":"","parse-names":false,"suffix":""},{"dropping-particle":"","family":"Zhu","given":"Xiaojun Y. Xiaoli","non-dropping-particle":"","parse-names":false,"suffix":""},{"dropping-particle":"","family":"Yue","given":"Shizhong","non-dropping-particle":"","parse-names":false,"suffix":""},{"dropping-particle":"","family":"Sun","given":"Yilin Yang Yong","non-dropping-particle":"","parse-names":false,"suffix":""},{"dropping-particle":"","family":"Liu","given":"Kong","non-dropping-particle":"","parse-names":false,"suffix":""},{"dropping-particle":"","family":"Azam","given":"Muhammad","non-dropping-particle":"","parse-names":false,"suffix":""},{"dropping-particle":"","family":"Wang","given":"Zhijie Zhanguo Zhao Kui","non-dropping-particle":"","parse-names":false,"suffix":""},{"dropping-particle":"","family":"Jin","given":"Peng","non-dropping-particle":"","parse-names":false,"suffix":""},{"dropping-particle":"","family":"Qu","given":"Shengchun","non-dropping-particle":"","parse-names":false,"suffix":""},{"dropping-particle":"","family":"Wang","given":"Zhijie Zhanguo Zhao Kui","non-dropping-particle":"","parse-names":false,"suffix":""},{"dropping-particle":"","family":"Han","given":"Mingming","non-dropping-particle":"","parse-names":false,"suffix":""},{"dropping-particle":"","family":"Sun","given":"Jiamin","non-dropping-particle":"","parse-names":false,"suffix":""},{"dropping-particle":"","family":"Peng","given":"Meng","non-dropping-particle":"","parse-names":false,"suffix":""},{"dropping-particle":"","family":"Han","given":"Ning","non-dropping-particle":"","parse-names":false,"suffix":""},{"dropping-particle":"","family":"Chen","given":"Zhihao","non-dropping-particle":"","parse-names":false,"suffix":""},{"dropping-particle":"","family":"Liu","given":"Dong","non-dropping-particle":"","parse-names":false,"suffix":""},{"dropping-particle":"","family":"Guo","given":"Yanan","non-dropping-particle":"","parse-names":false,"suffix":""},{"dropping-particle":"","family":"Zhao","given":"Shuai","non-dropping-particle":"","parse-names":false,"suffix":""},{"dropping-particle":"","family":"Shan","given":"Chongxin","non-dropping-particle":"","parse-names":false,"suffix":""},{"dropping-particle":"","family":"Xu","given":"Tao","non-dropping-particle":"","parse-names":false,"suffix":""},{"dropping-particle":"","family":"Hao","given":"Xiaotao","non-dropping-particle":"","parse-names":false,"suffix":""},{"dropping-particle":"","family":"Hu","given":"Weida","non-dropping-particle":"","parse-names":false,"suffix":""},{"dropping-particle":"","family":"Yang","given":"Zai Xing","non-dropping-particle":"","parse-names":false,"suffix":""},{"dropping-particle":"","family":"Khan","given":"Muhammad Ejaz","non-dropping-particle":"","parse-names":false,"suffix":""},{"dropping-particle":"","family":"Lee","given":"Juho","non-dropping-particle":"","parse-names":false,"suffix":""},{"dropping-particle":"","family":"Byeon","given":"Seongjae","non-dropping-particle":"","parse-names":false,"suffix":""},{"dropping-particle":"","family":"Kim","given":"Yong Hoon","non-dropping-particle":"","parse-names":false,"suffix":""},{"dropping-particle":"","family":"Folie","given":"Brendan D.","non-dropping-particle":"","parse-names":false,"suffix":""},{"dropping-particle":"","family":"Tan","given":"Jenna A.","non-dropping-particle":"","parse-names":false,"suffix":""},{"dropping-particle":"","family":"Huang","given":"Jinsong Jianmei","non-dropping-particle":"","parse-names":false,"suffix":""},{"dropping-particle":"","family":"Sercel","given":"Peter C.","non-dropping-particle":"","parse-names":false,"suffix":""},{"dropping-particle":"","family":"Delor","given":"Milan","non-dropping-particle":"","parse-names":false,"suffix":""},{"dropping-particle":"","family":"Lai","given":"Minliang","non-dropping-particle":"","parse-names":false,"suffix":""},{"dropping-particle":"","family":"Lyons","given":"John L.","non-dropping-particle":"","parse-names":false,"suffix":""},{"dropping-particle":"","family":"Bernstein","given":"Noam","non-dropping-particle":"","parse-names":false,"suffix":""},{"dropping-particle":"","family":"Efros","given":"Alexander L.","non-dropping-particle":"","parse-names":false,"suffix":""},{"dropping-particle":"","family":"Yang","given":"Peidong Pengfei","non-dropping-particle":"","parse-names":false,"suffix":""},{"dropping-particle":"","family":"Ginsberg","given":"Naomi S.","non-dropping-particle":"","parse-names":false,"suffix":""},{"dropping-particle":"","family":"Javed","given":"K.","non-dropping-particle":"","parse-names":false,"suffix":""},{"dropping-particle":"","family":"Li","given":"Weiwei J.","non-dropping-particle":"","parse-names":false,"suffix":""},{"dropping-particle":"","family":"Ali","given":"S. S.","non-dropping-particle":"","parse-names":false,"suffix":""},{"dropping-particle":"","family":"Shi","given":"D. W.","non-dropping-particle":"","parse-names":false,"suffix":""},{"dropping-particle":"","family":"Khan","given":"U.","non-dropping-particle":"","parse-names":false,"suffix":""},{"dropping-particle":"","family":"Riaz","given":"S.","non-dropping-particle":"","parse-names":false,"suffix":""},{"dropping-particle":"","family":"Han","given":"X. F.","non-dropping-particle":"","parse-names":false,"suffix":""},{"dropping-particle":"","family":"Shoaib","given":"Muhammad","non-dropping-particle":"","parse-names":false,"suffix":""},{"dropping-particle":"","family":"Wang","given":"Xina Xiaoxia","non-dropping-particle":"","parse-names":false,"suffix":""},{"dropping-particle":"","family":"Zhang","given":"Xiyuan Xuehong Xiang","non-dropping-particle":"","parse-names":false,"suffix":""},{"dropping-particle":"","family":"Wang","given":"Xina Xiaoxia","non-dropping-particle":"","parse-names":false,"suffix":""},{"dropping-particle":"","family":"Zhou","given":"Hai Huanping Hong","non-dropping-particle":"","parse-names":false,"suffix":""},{"dropping-particle":"","family":"Xu","given":"Tao","non-dropping-particle":"","parse-names":false,"suffix":""},{"dropping-particle":"","family":"Hu","given":"Xuelu","non-dropping-particle":"","parse-names":false,"suffix":""},{"dropping-particle":"","family":"Liu","given":"Huawei","non-dropping-particle":"","parse-names":false,"suffix":""},{"dropping-particle":"","family":"Fan","given":"Xiaopeng","non-dropping-particle":"","parse-names":false,"suffix":""},{"dropping-particle":"","family":"Zheng","given":"Weihao","non-dropping-particle":"","parse-names":false,"suffix":""},{"dropping-particle":"","family":"Yang","given":"Tiefeng","non-dropping-particle":"","parse-names":false,"suffix":""},{"dropping-particle":"","family":"Yang","given":"Shuzhen","non-dropping-particle":"","parse-names":false,"suffix":""},{"dropping-particle":"","family":"Zhang","given":"Qianpeng Qinglin","non-dropping-particle":"","parse-names":false,"suffix":""},{"dropping-particle":"","family":"Zhu","given":"Xiaojun Y. Xiaoli","non-dropping-particle":"","parse-names":false,"suffix":""},{"dropping-particle":"","family":"Sun","given":"Ling Dong Litao","non-dropping-particle":"","parse-names":false,"suffix":""},{"dropping-particle":"","family":"Pan","given":"Anlian","non-dropping-particle":"","parse-names":false,"suffix":""},{"dropping-particle":"","family":"Gu","given":"Leilei","non-dropping-particle":"","parse-names":false,"suffix":""},{"dropping-particle":"","family":"Tavakoli","given":"Mohammad Mahdi","non-dropping-particle":"","parse-names":false,"suffix":""},{"dropping-particle":"","family":"Zhang","given":"Daquan Dandan","non-dropping-particle":"","parse-names":false,"suffix":""},{"dropping-particle":"","family":"Zhang","given":"Qianpeng Qinglin","non-dropping-particle":"","parse-names":false,"suffix":""},{"dropping-particle":"","family":"Waleed","given":"Aashir","non-dropping-particle":"","parse-names":false,"suffix":""},{"dropping-particle":"","family":"Xiao","given":"Yiqun","non-dropping-particle":"","parse-names":false,"suffix":""},{"dropping-particle":"","family":"Tsui","given":"Kwong Hoi","non-dropping-particle":"","parse-names":false,"suffix":""},{"dropping-particle":"","family":"Lin","given":"Yun Yuanjing","non-dropping-particle":"","parse-names":false,"suffix":""},{"dropping-particle":"","family":"Liao","given":"Liang Sheng Lei","non-dropping-particle":"","parse-names":false,"suffix":""},{"dropping-particle":"","family":"Wang","given":"Jifei Jiannong Jizheng Jianpu","non-dropping-particle":"","parse-names":false,"suffix":""},{"dropping-particle":"","family":"Fan","given":"Zhiyong","non-dropping-particle":"","parse-names":false,"suffix":""},{"dropping-particle":"","family":"Hao","given":"Dandan","non-dropping-particle":"","parse-names":false,"suffix":""},{"dropping-particle":"","family":"Zou","given":"Jun","non-dropping-particle":"","parse-names":false,"suffix":""},{"dropping-particle":"","family":"Huang","given":"Jinsong Jianmei","non-dropping-particle":"","parse-names":false,"suffix":""},{"dropping-particle":"","family":"Peng","given":"Shaomin","non-dropping-particle":"","parse-names":false,"suffix":""},{"dropping-particle":"","family":"Wang","given":"Sisi Shuai","non-dropping-particle":"","parse-names":false,"suffix":""},{"dropping-particle":"","family":"Zhao","given":"Dandan","non-dropping-particle":"","parse-names":false,"suffix":""},{"dropping-particle":"","family":"Li","given":"Xiaojun Xiaoming","non-dropping-particle":"","parse-names":false,"suffix":""},{"dropping-particle":"","family":"Liang","given":"Chao","non-dropping-particle":"","parse-names":false,"suffix":""},{"dropping-particle":"","family":"Xia","given":"Junmin","non-dropping-particle":"","parse-names":false,"suffix":""},{"dropping-particle":"","family":"Zhang","given":"Tianqi","non-dropping-particle":"","parse-names":false,"suffix":""},{"dropping-particle":"","family":"Xing","given":"Guichuan","non-dropping-particle":"","parse-names":false,"suffix":""},{"dropping-particle":"","family":"Tang","given":"Zikang","non-dropping-particle":"","parse-names":false,"suffix":""},{"dropping-particle":"","family":"Deng","given":"Hui","non-dropping-particle":"","parse-names":false,"suffix":""},{"dropping-particle":"","family":"Dong","given":"Dongdong","non-dropping-particle":"","parse-names":false,"suffix":""},{"dropping-particle":"","family":"Qiao","given":"Keke","non-dropping-particle":"","parse-names":false,"suffix":""},{"dropping-particle":"","family":"Bu","given":"Lingling","non-dropping-particle":"","parse-names":false,"suffix":""},{"dropping-particle":"","family":"Li","given":"Bing","non-dropping-particle":"","parse-names":false,"suffix":""},{"dropping-particle":"","family":"Yang","given":"Dun","non-dropping-particle":"","parse-names":false,"suffix":""},{"dropping-particle":"","family":"Wang","given":"Haiyan Hong En Hao","non-dropping-particle":"","parse-names":false,"suffix":""},{"dropping-particle":"","family":"Cheng","given":"Yibing","non-dropping-particle":"","parse-names":false,"suffix":""},{"dropping-particle":"","family":"Zhao","given":"Zhixin","non-dropping-particle":"","parse-names":false,"suffix":""},{"dropping-particle":"","family":"Tang","given":"Jiang","non-dropping-particle":"","parse-names":false,"suffix":""},{"dropping-particle":"","family":"Song","given":"Haisheng","non-dropping-particle":"","parse-names":false,"suffix":""},{"dropping-particle":"","family":"Graydon","given":"Oliver","non-dropping-particle":"","parse-names":false,"suffix":""},{"dropping-particle":"","family":"Nakayama","given":"Yuri","non-dropping-particle":"","parse-names":false,"suffix":""},{"dropping-particle":"","family":"Pauzauskie","given":"Peter J.","non-dropping-particle":"","parse-names":false,"suffix":""},{"dropping-particle":"","family":"Radenovic","given":"Aleksandra","non-dropping-particle":"","parse-names":false,"suffix":""},{"dropping-particle":"","family":"Onorato","given":"Robert M.","non-dropping-particle":"","parse-names":false,"suffix":""},{"dropping-particle":"","family":"Saykally","given":"Richard J.","non-dropping-particle":"","parse-names":false,"suffix":""},{"dropping-particle":"","family":"Liphardt","given":"Jan","non-dropping-particle":"","parse-names":false,"suffix":""},{"dropping-particle":"","family":"Yang","given":"Peidong Pengfei","non-dropping-particle":"","parse-names":false,"suffix":""},{"dropping-particle":"","family":"Meng","given":"You","non-dropping-particle":"","parse-names":false,"suffix":""},{"dropping-particle":"","family":"Lan","given":"Changyong","non-dropping-particle":"","parse-names":false,"suffix":""},{"dropping-particle":"","family":"Li","given":"Fangzhou","non-dropping-particle":"","parse-names":false,"suffix":""},{"dropping-particle":"","family":"Yip","given":"Senpo","non-dropping-particle":"","parse-names":false,"suffix":""},{"dropping-particle":"","family":"Wei","given":"Renjie","non-dropping-particle":"","parse-names":false,"suffix":""},{"dropping-particle":"","family":"Kang","given":"Xiaolin","non-dropping-particle":"","parse-names":false,"suffix":""},{"dropping-particle":"","family":"Bu","given":"Xiuming","non-dropping-particle":"","parse-names":false,"suffix":""},{"dropping-particle":"","family":"Dong","given":"Ruoting","non-dropping-particle":"","parse-names":false,"suffix":""},{"dropping-particle":"","family":"Zhang","given":"Heng","non-dropping-particle":"","parse-names":false,"suffix":""},{"dropping-particle":"","family":"Ho","given":"Johnny C.","non-dropping-particle":"","parse-names":false,"suffix":""},{"dropping-particle":"","family":"Janker","given":"Lisa","non-dropping-particle":"","parse-names":false,"suffix":""},{"dropping-particle":"","family":"Tong","given":"Yu","non-dropping-particle":"","parse-names":false,"suffix":""},{"dropping-particle":"","family":"Polavarapu","given":"Lakshminarayana","non-dropping-particle":"","parse-names":false,"suffix":""},{"dropping-particle":"","family":"Feldmann","given":"Jochen","non-dropping-particle":"","parse-names":false,"suffix":""},{"dropping-particle":"","family":"Urban","given":"Alexander S.","non-dropping-particle":"","parse-names":false,"suffix":""},{"dropping-particle":"","family":"Krenner","given":"Hubert J.","non-dropping-particle":"","parse-names":false,"suffix":""},{"dropping-particle":"","family":"Makarov","given":"Sergey","non-dropping-particle":"","parse-names":false,"suffix":""},{"dropping-particle":"","family":"Furasova","given":"Aleksandra","non-dropping-particle":"","parse-names":false,"suffix":""},{"dropping-particle":"","family":"Tiguntseva","given":"Ekaterina","non-dropping-particle":"","parse-names":false,"suffix":""},{"dropping-particle":"","family":"Hemmetter","given":"Andreas","non-dropping-particle":"","parse-names":false,"suffix":""},{"dropping-particle":"","family":"Berestennikov","given":"Alexander","non-dropping-particle":"","parse-names":false,"suffix":""},{"dropping-particle":"","family":"Pushkarev","given":"Anatoly","non-dropping-particle":"","parse-names":false,"suffix":""},{"dropping-particle":"","family":"Zakhidov","given":"Anvar","non-dropping-particle":"","parse-names":false,"suffix":""},{"dropping-particle":"","family":"Kivshar","given":"Yuri","non-dropping-particle":"","parse-names":false,"suffix":""},{"dropping-particle":"","family":"Lin","given":"Qianqian","non-dropping-particle":"","parse-names":false,"suffix":""},{"dropping-particle":"","family":"Nagiri","given":"Ravi Chandra Raju","non-dropping-particle":"","parse-names":false,"suffix":""},{"dropping-particle":"","family":"Burn","given":"Paul L.","non-dropping-particle":"","parse-names":false,"suffix":""},{"dropping-particle":"","family":"Meredith","given":"Paul","non-dropping-particle":"","parse-names":false,"suffix":""},{"dropping-particle":"","family":"Lei","given":"Teng","non-dropping-particle":"","parse-names":false,"suffix":""},{"dropping-particle":"","family":"Lai","given":"Minliang","non-dropping-particle":"","parse-names":false,"suffix":""},{"dropping-particle":"","family":"Kong","given":"Qiao","non-dropping-particle":"","parse-names":false,"suffix":""},{"dropping-particle":"","family":"Lu","given":"Dylan","non-dropping-particle":"","parse-names":false,"suffix":""},{"dropping-particle":"","family":"Lee","given":"Woochul","non-dropping-particle":"","parse-names":false,"suffix":""},{"dropping-particle":"","family":"Dou","given":"Letian","non-dropping-particle":"","parse-names":false,"suffix":""},{"dropping-particle":"","family":"Wu","given":"Vincent","non-dropping-particle":"","parse-names":false,"suffix":""},{"dropping-particle":"","family":"Yu","given":"Yi","non-dropping-particle":"","parse-names":false,"suffix":""},{"dropping-particle":"","family":"Yang","given":"Peidong Pengfei","non-dropping-particle":"","parse-names":false,"suffix":""},{"dropping-particle":"","family":"Li","given":"Zhimin Zhengqiu","non-dropping-particle":"","parse-names":false,"suffix":""},{"dropping-particle":"","family":"Liu","given":"Lei","non-dropping-particle":"","parse-names":false,"suffix":""},{"dropping-particle":"","family":"Rao","given":"Yu","non-dropping-particle":"","parse-names":false,"suffix":""},{"dropping-particle":"","family":"Ran","given":"Longchang","non-dropping-particle":"","parse-names":false,"suffix":""},{"dropping-particle":"","family":"Wu","given":"Ting","non-dropping-particle":"","parse-names":false,"suffix":""},{"dropping-particle":"","family":"Nie","given":"Riming Rong","non-dropping-particle":"","parse-names":false,"suffix":""},{"dropping-particle":"","family":"Anna","given":"De Schutter","non-dropping-particle":"","parse-names":false,"suffix":""},{"dropping-particle":"","family":"Li","given":"Yalin","non-dropping-particle":"","parse-names":false,"suffix":""},{"dropping-particle":"","family":"Che","given":"Zhenming","non-dropping-particle":"","parse-names":false,"suffix":""},{"dropping-particle":"","family":"Shi","given":"Shuo Su Fei","non-dropping-particle":"","parse-names":false,"suffix":""},{"dropping-particle":"","family":"Sun","given":"Ling Dong Litao","non-dropping-particle":"","parse-names":false,"suffix":""},{"dropping-particle":"","family":"Xue","given":"Ying Xian","non-dropping-particle":"","parse-names":false,"suffix":""},{"dropping-particle":"","family":"Dong","given":"Hao","non-dropping-particle":"","parse-names":false,"suffix":""},{"dropping-particle":"","family":"Wu","given":"Ke","non-dropping-particle":"","parse-names":false,"suffix":""},{"dropping-particle":"","family":"Guo","given":"Shi Chen","non-dropping-particle":"","parse-names":false,"suffix":""},{"dropping-particle":"","family":"Wu","given":"Bo Tao","non-dropping-particle":"","parse-names":false,"suffix":""},{"dropping-particle":"","family":"Yan","given":"Chun Hua","non-dropping-particle":"","parse-names":false,"suffix":""},{"dropping-particle":"","family":"Chen","given":"Yani Yifu","non-dropping-particle":"","parse-names":false,"suffix":""},{"dropping-particle":"","family":"He","given":"Minhong Mai","non-dropping-particle":"","parse-names":false,"suffix":""},{"dropping-particle":"","family":"Peng","given":"Jiajun Juan","non-dropping-particle":"","parse-names":false,"suffix":""},{"dropping-particle":"","family":"Sun","given":"Yilin Yang Yong","non-dropping-particle":"","parse-names":false,"suffix":""},{"dropping-particle":"","family":"Liang","given":"Ziqi","non-dropping-particle":"","parse-names":false,"suffix":""},{"dropping-particle":"","family":"Chen","given":"W. J.","non-dropping-particle":"","parse-names":false,"suffix":""},{"dropping-particle":"","family":"Zheng","given":"Yue","non-dropping-particle":"","parse-names":false,"suffix":""},{"dropping-particle":"","family":"Wang","given":"Biao","non-dropping-particle":"","parse-names":false,"suffix":""},{"dropping-particle":"","family":"Pan","given":"Dongxu","non-dropping-particle":"","parse-names":false,"suffix":""},{"dropping-particle":"","family":"Fu","given":"Yongping","non-dropping-particle":"","parse-names":false,"suffix":""},{"dropping-particle":"","family":"Chen","given":"Jie","non-dropping-particle":"","parse-names":false,"suffix":""},{"dropping-particle":"","family":"Czech","given":"Kyle J.","non-dropping-particle":"","parse-names":false,"suffix":""},{"dropping-particle":"","family":"Wright","given":"John C.","non-dropping-particle":"","parse-names":false,"suffix":""},{"dropping-particle":"","family":"Jin","given":"Song","non-dropping-particle":"","parse-names":false,"suffix":""},{"dropping-particle":"","family":"Shang","given":"Qiuyu","non-dropping-particle":"","parse-names":false,"suffix":""},{"dropping-particle":"","family":"Zhang","given":"Shuai","non-dropping-particle":"","parse-names":false,"suffix":""},{"dropping-particle":"","family":"Liu","given":"Zonghao Zhen","non-dropping-particle":"","parse-names":false,"suffix":""},{"dropping-particle":"","family":"Chen","given":"Jie","non-dropping-particle":"","parse-names":false,"suffix":""},{"dropping-particle":"","family":"Yang","given":"Peidong Pengfei","non-dropping-particle":"","parse-names":false,"suffix":""},{"dropping-particle":"","family":"Li","given":"Chun","non-dropping-particle":"","parse-names":false,"suffix":""},{"dropping-particle":"","family":"Li","given":"Weiwei J.","non-dropping-particle":"","parse-names":false,"suffix":""},{"dropping-particle":"","family":"Zhang","given":"Yanfeng","non-dropping-particle":"","parse-names":false,"suffix":""},{"dropping-particle":"","family":"Xiong","given":"Qihua","non-dropping-particle":"","parse-names":false,"suffix":""},{"dropping-particle":"","family":"Liu","given":"Xiaogang Ke Xinfeng","non-dropping-particle":"","parse-names":false,"suffix":""},{"dropping-particle":"","family":"Zhang","given":"Qianpeng Qinglin","non-dropping-particle":"","parse-names":false,"suffix":""},{"dropping-particle":"","family":"Wang","given":"Yangbo Yue Yuxi","non-dropping-particle":"","parse-names":false,"suffix":""},{"dropping-particle":"","family":"Lin","given":"Renxing","non-dropping-particle":"","parse-names":false,"suffix":""},{"dropping-particle":"","family":"Zhu","given":"Pengchen","non-dropping-particle":"","parse-names":false,"suffix":""},{"dropping-particle":"","family":"Zheng","given":"Qinghui","non-dropping-particle":"","parse-names":false,"suffix":""},{"dropping-particle":"","family":"Wang","given":"Qianjin","non-dropping-particle":"","parse-names":false,"suffix":""},{"dropping-particle":"","family":"Li","given":"Deyu","non-dropping-particle":"","parse-names":false,"suffix":""},{"dropping-particle":"","family":"Zhu","given":"Jia","non-dropping-particle":"","parse-names":false,"suffix":""},{"dropping-particle":"","family":"Oksenberg","given":"Eitan","non-dropping-particle":"","parse-names":false,"suffix":""},{"dropping-particle":"","family":"Sanders","given":"Ella","non-dropping-particle":"","parse-names":false,"suffix":""},{"dropping-particle":"","family":"Popovitz-Biro","given":"Ronit","non-dropping-particle":"","parse-names":false,"suffix":""},{"dropping-particle":"","family":"Houben","given":"Lothar","non-dropping-particle":"","parse-names":false,"suffix":""},{"dropping-particle":"","family":"Joselevich","given":"Ernesto","non-dropping-particle":"","parse-names":false,"suffix":""},{"dropping-particle":"","family":"Asuo","given":"Ivy M.","non-dropping-particle":"","parse-names":false,"suffix":""},{"dropping-particle":"","family":"Fourmont","given":"Paul","non-dropping-particle":"","parse-names":false,"suffix":""},{"dropping-particle":"","family":"Ka","given":"Ibrahima","non-dropping-particle":"","parse-names":false,"suffix":""},{"dropping-particle":"","family":"Gedamu","given":"Dawit","non-dropping-particle":"","parse-names":false,"suffix":""},{"dropping-particle":"","family":"Bouzidi","given":"Soraya","non-dropping-particle":"","parse-names":false,"suffix":""},{"dropping-particle":"","family":"Pignolet","given":"Alain","non-dropping-particle":"","parse-names":false,"suffix":""},{"dropping-particle":"","family":"Nechache","given":"Riad","non-dropping-particle":"","parse-names":false,"suffix":""},{"dropping-particle":"","family":"Cloutier","given":"Sylvain G.","non-dropping-particle":"","parse-names":false,"suffix":""},{"dropping-particle":"","family":"Meyers","given":"Jonathan K.","non-dropping-particle":"","parse-names":false,"suffix":""},{"dropping-particle":"","family":"Kim","given":"Seokhyoung","non-dropping-particle":"","parse-names":false,"suffix":""},{"dropping-particle":"","family":"Hill","given":"David J.","non-dropping-particle":"","parse-names":false,"suffix":""},{"dropping-particle":"","family":"Cating","given":"Emma E.M.","non-dropping-particle":"","parse-names":false,"suffix":""},{"dropping-particle":"","family":"Williams","given":"Lenzi J.","non-dropping-particle":"","parse-names":false,"suffix":""},{"dropping-particle":"","family":"Kumbhar","given":"Amar S.","non-dropping-particle":"","parse-names":false,"suffix":""},{"dropping-particle":"","family":"McBride","given":"James R.","non-dropping-particle":"","parse-names":false,"suffix":""},{"dropping-particle":"","family":"Papanikolas","given":"John M.","non-dropping-particle":"","parse-names":false,"suffix":""},{"dropping-particle":"","family":"Cahoon","given":"James F.","non-dropping-particle":"","parse-names":false,"suffix":""},{"dropping-particle":"","family":"Ahn","given":"Soyeong","non-dropping-particle":"","parse-names":false,"suffix":""},{"dropping-particle":"","family":"Jeong","given":"Su Hun","non-dropping-particle":"","parse-names":false,"suffix":""},{"dropping-particle":"","family":"Han","given":"Tae Hee","non-dropping-particle":"","parse-names":false,"suffix":""},{"dropping-particle":"","family":"Lee","given":"Tae Woo","non-dropping-particle":"","parse-names":false,"suffix":""},{"dropping-particle":"","family":"Ashley","given":"Michael J.","non-dropping-particle":"","parse-names":false,"suffix":""},{"dropping-particle":"","family":"Kluender","given":"Edward J.","non-dropping-particle":"","parse-names":false,"suffix":""},{"dropping-particle":"","family":"Mirkin","given":"Chad A.","non-dropping-particle":"","parse-names":false,"suffix":""},{"dropping-particle":"","family":"Wang","given":"Xina Xiaoxia","non-dropping-particle":"","parse-names":false,"suffix":""},{"dropping-particle":"","family":"Shoaib","given":"Muhammad","non-dropping-particle":"","parse-names":false,"suffix":""},{"dropping-particle":"","family":"Wang","given":"Xina Xiaoxia","non-dropping-particle":"","parse-names":false,"suffix":""},{"dropping-particle":"","family":"Zhang","given":"Xiyuan Xuehong Xiang","non-dropping-particle":"","parse-names":false,"suffix":""},{"dropping-particle":"","family":"He","given":"Minhong Mai","non-dropping-particle":"","parse-names":false,"suffix":""},{"dropping-particle":"","family":"Luo","given":"Ziyu","non-dropping-particle":"","parse-names":false,"suffix":""},{"dropping-particle":"","family":"Zheng","given":"Weihao","non-dropping-particle":"","parse-names":false,"suffix":""},{"dropping-particle":"","family":"Li","given":"Honglai","non-dropping-particle":"","parse-names":false,"suffix":""},{"dropping-particle":"","family":"Yang","given":"Tiefeng","non-dropping-particle":"","parse-names":false,"suffix":""},{"dropping-particle":"","family":"Zhu","given":"Xiaojun Y. Xiaoli","non-dropping-particle":"","parse-names":false,"suffix":""},{"dropping-particle":"","family":"Ma","given":"Libo","non-dropping-particle":"","parse-names":false,"suffix":""},{"dropping-particle":"","family":"Pan","given":"Anlian","non-dropping-particle":"","parse-names":false,"suffix":""},{"dropping-particle":"","family":"Zhou","given":"Qitao","non-dropping-particle":"","parse-names":false,"suffix":""},{"dropping-particle":"","family":"Park","given":"Jun Gyu","non-dropping-particle":"","parse-names":false,"suffix":""},{"dropping-particle":"","family":"Nie","given":"Riming Rong","non-dropping-particle":"","parse-names":false,"suffix":""},{"dropping-particle":"","family":"Thokchom","given":"Ashish Kumar","non-dropping-particle":"","parse-names":false,"suffix":""},{"dropping-particle":"","family":"Ha","given":"Dogyeong","non-dropping-particle":"","parse-names":false,"suffix":""},{"dropping-particle":"","family":"Pan","given":"Jing","non-dropping-particle":"","parse-names":false,"suffix":""},{"dropping-particle":"Il","family":"Seok","given":"Sang","non-dropping-particle":"","parse-names":false,"suffix":""},{"dropping-particle":"","family":"Kim","given":"Taesung","non-dropping-particle":"","parse-names":false,"suffix":""},{"dropping-particle":"","family":"Ghoshal","given":"Debjit","non-dropping-particle":"","parse-names":false,"suffix":""},{"dropping-particle":"","family":"Wang","given":"Tianmeng","non-dropping-particle":"","parse-names":false,"suffix":""},{"dropping-particle":"","family":"Tsai","given":"Hsin Zon","non-dropping-particle":"","parse-names":false,"suffix":""},{"dropping-particle":"","family":"Chang","given":"Shao Wen","non-dropping-particle":"","parse-names":false,"suffix":""},{"dropping-particle":"","family":"Crommie","given":"Michael","non-dropping-particle":"","parse-names":false,"suffix":""},{"dropping-particle":"","family":"Koratkar","given":"Nikhil","non-dropping-particle":"","parse-names":false,"suffix":""},{"dropping-particle":"","family":"Shi","given":"Shuo Su Fei","non-dropping-particle":"","parse-names":false,"suffix":""},{"dropping-particle":"","family":"Tang","given":"Xiaoming","non-dropping-particle":"","parse-names":false,"suffix":""},{"dropping-particle":"","family":"Zhou","given":"Hai Huanping Hong","non-dropping-particle":"","parse-names":false,"suffix":""},{"dropping-particle":"","family":"Pan","given":"Xiyan","non-dropping-particle":"","parse-names":false,"suffix":""},{"dropping-particle":"","family":"Liu","given":"Ronghuan","non-dropping-particle":"","parse-names":false,"suffix":""},{"dropping-particle":"","family":"Wu","given":"Dingjun","non-dropping-particle":"","parse-names":false,"suffix":""},{"dropping-particle":"","family":"Wang","given":"Haiyan Hong En Hao","non-dropping-particle":"","parse-names":false,"suffix":""},{"dropping-particle":"","family":"Gao","given":"Yan","non-dropping-particle":"","parse-names":false,"suffix":""},{"dropping-particle":"","family":"Zhao","given":"Liyun","non-dropping-particle":"","parse-names":false,"suffix":""},{"dropping-particle":"","family":"Shang","given":"Qiuyu","non-dropping-particle":"","parse-names":false,"suffix":""},{"dropping-particle":"","family":"Zhong","given":"Yangguang","non-dropping-particle":"","parse-names":false,"suffix":""},{"dropping-particle":"","family":"Liu","given":"Zonghao Zhen","non-dropping-particle":"","parse-names":false,"suffix":""},{"dropping-particle":"","family":"Chen","given":"Jie","non-dropping-particle":"","parse-names":false,"suffix":""},{"dropping-particle":"","family":"Zhang","given":"Zhepeng","non-dropping-particle":"","parse-names":false,"suffix":""},{"dropping-particle":"","family":"Shi","given":"Jia","non-dropping-particle":"","parse-names":false,"suffix":""},{"dropping-particle":"","family":"Du","given":"Wenna","non-dropping-particle":"","parse-names":false,"suffix":""},{"dropping-particle":"","family":"Zhang","given":"Yanfeng","non-dropping-particle":"","parse-names":false,"suffix":""},{"dropping-particle":"","family":"Chen","given":"Shula Shulin Shaoqiang","non-dropping-particle":"","parse-names":false,"suffix":""},{"dropping-particle":"","family":"Gao","given":"Peng","non-dropping-particle":"","parse-names":false,"suffix":""},{"dropping-particle":"","family":"Liu","given":"Xiaogang Ke Xinfeng","non-dropping-particle":"","parse-names":false,"suffix":""},{"dropping-particle":"","family":"Wang","given":"Xina Xiaoxia","non-dropping-particle":"","parse-names":false,"suffix":""},{"dropping-particle":"","family":"Zhang","given":"Qianpeng Qinglin","non-dropping-particle":"","parse-names":false,"suffix":""},{"dropping-particle":"","family":"Wu","given":"Jiang","non-dropping-particle":"","parse-names":false,"suffix":""},{"dropping-particle":"","family":"Qin","given":"Ni","non-dropping-particle":"","parse-names":false,"suffix":""},{"dropping-particle":"","family":"Yuan","given":"Baowei","non-dropping-particle":"","parse-names":false,"suffix":""},{"dropping-particle":"","family":"Lin","given":"Enzhu","non-dropping-particle":"","parse-names":false,"suffix":""},{"dropping-particle":"","family":"Bao","given":"Dinghua","non-dropping-particle":"","parse-names":false,"suffix":""},{"dropping-particle":"","family":"Fu","given":"Yongping","non-dropping-particle":"","parse-names":false,"suffix":""},{"dropping-particle":"","family":"Zhu","given":"Haiming","non-dropping-particle":"","parse-names":false,"suffix":""},{"dropping-particle":"","family":"Chen","given":"Jie","non-dropping-particle":"","parse-names":false,"suffix":""},{"dropping-particle":"","family":"Hautzinger","given":"Matthew P.","non-dropping-particle":"","parse-names":false,"suffix":""},{"dropping-particle":"","family":"Zhu","given":"Xiaojun Y. Xiaoli","non-dropping-particle":"","parse-names":false,"suffix":""},{"dropping-particle":"","family":"Jin","given":"Song","non-dropping-particle":"","parse-names":false,"suffix":""},{"dropping-particle":"","family":"Sun","given":"Mengxing Mingfei","non-dropping-particle":"","parse-names":false,"suffix":""},{"dropping-particle":"","family":"Fang","given":"Qiyi","non-dropping-particle":"","parse-names":false,"suffix":""},{"dropping-particle":"","family":"Zhang","given":"Zhepeng","non-dropping-particle":"","parse-names":false,"suffix":""},{"dropping-particle":"","family":"Xie","given":"Dan","non-dropping-particle":"","parse-names":false,"suffix":""},{"dropping-particle":"","family":"Sun","given":"Yilin Yang Yong","non-dropping-particle":"","parse-names":false,"suffix":""},{"dropping-particle":"","family":"Xu","given":"Jiayue Jianlong","non-dropping-particle":"","parse-names":false,"suffix":""},{"dropping-particle":"","family":"Li","given":"Weiwei J.","non-dropping-particle":"","parse-names":false,"suffix":""},{"dropping-particle":"","family":"Ren","given":"Tianling","non-dropping-particle":"","parse-names":false,"suffix":""},{"dropping-particle":"","family":"Zhang","given":"Yanfeng","non-dropping-particle":"","parse-names":false,"suffix":""},{"dropping-particle":"","family":"Feng","given":"Jiangang","non-dropping-particle":"","parse-names":false,"suffix":""},{"dropping-particle":"","family":"Gong","given":"Cheng","non-dropping-particle":"","parse-names":false,"suffix":""},{"dropping-particle":"","family":"Gao","given":"Hanfei","non-dropping-particle":"","parse-names":false,"suffix":""},{"dropping-particle":"","family":"Wen","given":"Wen","non-dropping-particle":"","parse-names":false,"suffix":""},{"dropping-particle":"","family":"Gong","given":"Yanjun","non-dropping-particle":"","parse-names":false,"suffix":""},{"dropping-particle":"","family":"Jiang","given":"Xiangyu","non-dropping-particle":"","parse-names":false,"suffix":""},{"dropping-particle":"Bin","family":"Zhang","given":"Bo","non-dropping-particle":"","parse-names":false,"suffix":""},{"dropping-particle":"","family":"Wu","given":"Yuchen Yishi","non-dropping-particle":"","parse-names":false,"suffix":""},{"dropping-particle":"","family":"Wu","given":"Yuchen Yishi","non-dropping-particle":"","parse-names":false,"suffix":""},{"dropping-particle":"","family":"Fu","given":"Hongbing","non-dropping-particle":"","parse-names":false,"suffix":""},{"dropping-particle":"","family":"Jiang","given":"Lei","non-dropping-particle":"","parse-names":false,"suffix":""},{"dropping-particle":"","family":"Zhang","given":"Xiyuan Xuehong Xiang","non-dropping-particle":"","parse-names":false,"suffix":""},{"dropping-particle":"","family":"Tong","given":"Guoqing","non-dropping-particle":"","parse-names":false,"suffix":""},{"dropping-particle":"","family":"Jiang","given":"Maowei","non-dropping-particle":"","parse-names":false,"suffix":""},{"dropping-particle":"","family":"Son","given":"Dae Yong","non-dropping-particle":"","parse-names":false,"suffix":""},{"dropping-particle":"","family":"Qiu","given":"Longbin","non-dropping-particle":"","parse-names":false,"suffix":""},{"dropping-particle":"","family":"Liu","given":"Zonghao Zhen","non-dropping-particle":"","parse-names":false,"suffix":""},{"dropping-particle":"","family":"Ono","given":"Luis K.","non-dropping-particle":"","parse-names":false,"suffix":""},{"dropping-particle":"","family":"Qi","given":"Yabing","non-dropping-particle":"","parse-names":false,"suffix":""},{"dropping-particle":"","family":"Shang","given":"Qiuyu","non-dropping-particle":"","parse-names":false,"suffix":""},{"dropping-particle":"","family":"Li","given":"Chun","non-dropping-particle":"","parse-names":false,"suffix":""},{"dropping-particle":"","family":"Zhang","given":"Shuai","non-dropping-particle":"","parse-names":false,"suffix":""},{"dropping-particle":"","family":"Liang","given":"Yin","non-dropping-particle":"","parse-names":false,"suffix":""},{"dropping-particle":"","family":"Liu","given":"Zonghao Zhen","non-dropping-particle":"","parse-names":false,"suffix":""},{"dropping-particle":"","family":"Liu","given":"Xiaogang Ke Xinfeng","non-dropping-particle":"","parse-names":false,"suffix":""},{"dropping-particle":"","family":"Zhang","given":"Qianpeng Qinglin","non-dropping-particle":"","parse-names":false,"suffix":""},{"dropping-particle":"","family":"Evans","given":"Tyler J.S.","non-dropping-particle":"","parse-names":false,"suffix":""},{"dropping-particle":"","family":"Schlaus","given":"Andrew P.","non-dropping-particle":"","parse-names":false,"suffix":""},{"dropping-particle":"","family":"Fu","given":"Yongping","non-dropping-particle":"","parse-names":false,"suffix":""},{"dropping-particle":"","family":"Zhong","given":"Xinjue","non-dropping-particle":"","parse-names":false,"suffix":""},{"dropping-particle":"","family":"Atallah","given":"Timothy L.","non-dropping-particle":"","parse-names":false,"suffix":""},{"dropping-particle":"","family":"Spencer","given":"Michael S.","non-dropping-particle":"","parse-names":false,"suffix":""},{"dropping-particle":"","family":"Brus","given":"Louis E.","non-dropping-particle":"","parse-names":false,"suffix":""},{"dropping-particle":"","family":"Jin","given":"Song","non-dropping-particle":"","parse-names":false,"suffix":""},{"dropping-particle":"","family":"Zhu","given":"Xiaojun Y. Xiaoli","non-dropping-particle":"","parse-names":false,"suffix":""},{"dropping-particle":"","family":"Oksenberg","given":"Eitan","non-dropping-particle":"","parse-names":false,"suffix":""},{"dropping-particle":"","family":"Merdasa","given":"Aboma","non-dropping-particle":"","parse-names":false,"suffix":""},{"dropping-particle":"","family":"Houben","given":"Lothar","non-dropping-particle":"","parse-names":false,"suffix":""},{"dropping-particle":"","family":"Kaplan-Ashiri","given":"Ifat","non-dropping-particle":"","parse-names":false,"suffix":""},{"dropping-particle":"","family":"Rothman","given":"Amnon","non-dropping-particle":"","parse-names":false,"suffix":""},{"dropping-particle":"","family":"Scheblykin","given":"Ivan G.","non-dropping-particle":"","parse-names":false,"suffix":""},{"dropping-particle":"","family":"Unger","given":"Eva L.","non-dropping-particle":"","parse-names":false,"suffix":""},{"dropping-particle":"","family":"Joselevich","given":"Ernesto","non-dropping-particle":"","parse-names":false,"suffix":""},{"dropping-particle":"","family":"Wang","given":"Jifei Jiannong Jizheng Jianpu","non-dropping-particle":"","parse-names":false,"suffix":""},{"dropping-particle":"","family":"Luo","given":"Shiqiang","non-dropping-particle":"","parse-names":false,"suffix":""},{"dropping-particle":"","family":"Lin","given":"Yun Yuanjing","non-dropping-particle":"","parse-names":false,"suffix":""},{"dropping-particle":"","family":"Chen","given":"Yani Yifu","non-dropping-particle":"","parse-names":false,"suffix":""},{"dropping-particle":"","family":"Deng","given":"Yehao","non-dropping-particle":"","parse-names":false,"suffix":""},{"dropping-particle":"","family":"Li","given":"Zhimin Zhengqiu","non-dropping-particle":"","parse-names":false,"suffix":""},{"dropping-particle":"","family":"Meng","given":"Ke","non-dropping-particle":"","parse-names":false,"suffix":""},{"dropping-particle":"","family":"Chen","given":"Gaosong Gang","non-dropping-particle":"","parse-names":false,"suffix":""},{"dropping-particle":"","family":"Huang","given":"Tiantian","non-dropping-particle":"","parse-names":false,"suffix":""},{"dropping-particle":"","family":"Xiao","given":"Si Shumin","non-dropping-particle":"","parse-names":false,"suffix":""},{"dropping-particle":"","family":"Huang","given":"He Han","non-dropping-particle":"","parse-names":false,"suffix":""},{"dropping-particle":"","family":"Zhou","given":"Conghua","non-dropping-particle":"","parse-names":false,"suffix":""},{"dropping-particle":"","family":"Ding","given":"Liming","non-dropping-particle":"","parse-names":false,"suffix":""},{"dropping-particle":"","family":"He","given":"Jun","non-dropping-particle":"","parse-names":false,"suffix":""},{"dropping-particle":"","family":"Huang","given":"Jinsong Jianmei","non-dropping-particle":"","parse-names":false,"suffix":""},{"dropping-particle":"","family":"Yuan","given":"Yongbo","non-dropping-particle":"","parse-names":false,"suffix":""},{"dropping-particle":"","family":"Zhang","given":"Wei","non-dropping-particle":"","parse-names":false,"suffix":""},{"dropping-particle":"","family":"Eperon","given":"Giles E.","non-dropping-particle":"","parse-names":false,"suffix":""},{"dropping-particle":"","family":"Snaith","given":"Henry J.","non-dropping-particle":"","parse-names":false,"suffix":""},{"dropping-particle":"","family":"Brenner","given":"Thomas M.","non-dropping-particle":"","parse-names":false,"suffix":""},{"dropping-particle":"","family":"Egger","given":"David A.","non-dropping-particle":"","parse-names":false,"suffix":""},{"dropping-particle":"","family":"Kronik","given":"Leeor","non-dropping-particle":"","parse-names":false,"suffix":""},{"dropping-particle":"","family":"Hodes","given":"Gary","non-dropping-particle":"","parse-names":false,"suffix":""},{"dropping-particle":"","family":"Cahen","given":"David","non-dropping-particle":"","parse-names":false,"suffix":""},{"dropping-particle":"","family":"Eperon","given":"Giles E.","non-dropping-particle":"","parse-names":false,"suffix":""},{"dropping-particle":"","family":"Hörantner","given":"Maximilian T.","non-dropping-particle":"","parse-names":false,"suffix":""},{"dropping-particle":"","family":"Snaith","given":"Henry J.","non-dropping-particle":"","parse-names":false,"suffix":""},{"dropping-particle":"","family":"Zhang","given":"Chengxi","non-dropping-particle":"","parse-names":false,"suffix":""},{"dropping-particle":"Bin","family":"Kuang","given":"Dai","non-dropping-particle":"","parse-names":false,"suffix":""},{"dropping-particle":"","family":"Wu","given":"Wu Qiang","non-dropping-particle":"","parse-names":false,"suffix":""},{"dropping-particle":"","family":"Prepared","given":"Perovskite Oxides","non-dropping-particle":"","parse-names":false,"suffix":""},{"dropping-particle":"","family":"Synthesis","given":"Solvothermal","non-dropping-particle":"","parse-names":false,"suffix":""},{"dropping-particle":"","family":"Authors","given":"Compositions","non-dropping-particle":"","parse-names":false,"suffix":""},{"dropping-particle":"","family":"Ian","given":"Richard","non-dropping-particle":"","parse-names":false,"suffix":""},{"dropping-particle":"","family":"This","given":"Walton","non-dropping-particle":"","parse-names":false,"suffix":""},{"dropping-particle":"","family":"Article","given":"Accepted","non-dropping-particle":"","parse-names":false,"suffix":""},{"dropping-particle":"","family":"Identifier","given":"Digital Object","non-dropping-particle":"","parse-names":false,"suffix":""},{"dropping-particle":"","family":"Vor","given":"The","non-dropping-particle":"","parse-names":false,"suffix":""},{"dropping-particle":"","family":"View","given":"Early","non-dropping-particle":"","parse-names":false,"suffix":""},{"dropping-particle":"","family":"Article","given":"Accepted","non-dropping-particle":"","parse-names":false,"suffix":""},{"dropping-particle":"","family":"Article","given":"Accepted","non-dropping-particle":"","parse-names":false,"suffix":""},{"dropping-particle":"","family":"Haque","given":"M A","non-dropping-particle":"","parse-names":false,"suffix":""},{"dropping-particle":"","family":"Kee","given":"S","non-dropping-particle":"","parse-names":false,"suffix":""},{"dropping-particle":"","family":"Villalva","given":"D R","non-dropping-particle":"","parse-names":false,"suffix":""},{"dropping-particle":"","family":"Spina","given":"Massimo","non-dropping-particle":"","parse-names":false,"suffix":""},{"dropping-particle":"","family":"Bonvin","given":"Eric","non-dropping-particle":"","parse-names":false,"suffix":""},{"dropping-particle":"","family":"Sienkiewicz","given":"Andrzej","non-dropping-particle":"","parse-names":false,"suffix":""},{"dropping-particle":"","family":"Forró","given":"László","non-dropping-particle":"","parse-names":false,"suffix":""},{"dropping-particle":"","family":"Horváth","given":"Endre","non-dropping-particle":"","parse-names":false,"suffix":""},{"dropping-particle":"","family":"Meredith","given":"Paul","non-dropping-particle":"","parse-names":false,"suffix":""},{"dropping-particle":"","family":"Armin","given":"Ardalan","non-dropping-particle":"","parse-names":false,"suffix":""},{"dropping-particle":"","family":"Chen","given":"Qi","non-dropping-particle":"","parse-names":false,"suffix":""},{"dropping-particle":"","family":"Marco","given":"Nicholas","non-dropping-particle":"De","parse-names":false,"suffix":""},{"dropping-particle":"","family":"Yang","given":"Yang","non-dropping-particle":"","parse-names":false,"suffix":""},{"dropping-particle":"Bin","family":"Song","given":"Tze","non-dropping-particle":"","parse-names":false,"suffix":""},{"dropping-particle":"","family":"Chen","given":"Chun Chao Chen","non-dropping-particle":"","parse-names":false,"suffix":""},{"dropping-particle":"","family":"Zhao","given":"Hongxiang","non-dropping-particle":"","parse-names":false,"suffix":""},{"dropping-particle":"","family":"Hong","given":"Ziruo","non-dropping-particle":"","parse-names":false,"suffix":""},{"dropping-particle":"","family":"Zhou","given":"Hai Huanping Hong","non-dropping-particle":"","parse-names":false,"suffix":""},{"dropping-particle":"","family":"Yang","given":"Yang","non-dropping-particle":"","parse-names":false,"suffix":""},{"dropping-particle":"","family":"Jena","given":"Ajay Kumar","non-dropping-particle":"","parse-names":false,"suffix":""},{"dropping-particle":"","family":"Kulkarni","given":"Ashish","non-dropping-particle":"","parse-names":false,"suffix":""},{"dropping-particle":"","family":"Miyasaka","given":"Tsutomu","non-dropping-particle":"","parse-names":false,"suffix":""},{"dropping-particle":"","family":"Pandey","given":"B K","non-dropping-particle":"","parse-names":false,"suffix":""},{"dropping-particle":"","family":"Dias","given":"S","non-dropping-particle":"","parse-names":false,"suffix":""},{"dropping-particle":"","family":"Nanda","given":"K K","non-dropping-particle":"","parse-names":false,"suffix":""},{"dropping-particle":"","family":"Krupanidhi","given":"S B","non-dropping-particle":"","parse-names":false,"suffix":""},{"dropping-particle":"","family":"Nie","given":"Jiaheng","non-dropping-particle":"","parse-names":false,"suffix":""},{"dropping-particle":"","family":"Zhang","given":"Yanfeng","non-dropping-particle":"","parse-names":false,"suffix":""},{"dropping-particle":"","family":"Li","given":"Lijie Liang","non-dropping-particle":"","parse-names":false,"suffix":""},{"dropping-particle":"","family":"Wang","given":"Jifei Jiannong Jizheng Jianpu","non-dropping-particle":"","parse-names":false,"suffix":""},{"dropping-particle":"","family":"Xu","given":"Ruixing","non-dropping-particle":"","parse-names":false,"suffix":""},{"dropping-particle":"","family":"Min","given":"Liangliang","non-dropping-particle":"","parse-names":false,"suffix":""},{"dropping-particle":"","family":"Qi","given":"Zhimin","non-dropping-particle":"","parse-names":false,"suffix":""},{"dropping-particle":"","family":"Zhang","given":"Xiyuan Xuehong Xiang","non-dropping-particle":"","parse-names":false,"suffix":""},{"dropping-particle":"","family":"Jian","given":"Jie","non-dropping-particle":"","parse-names":false,"suffix":""},{"dropping-particle":"","family":"Ji","given":"Yanda","non-dropping-particle":"","parse-names":false,"suffix":""},{"dropping-particle":"","family":"Qian","given":"Fengjiao","non-dropping-particle":"","parse-names":false,"suffix":""},{"dropping-particle":"","family":"Fan","given":"Jiyu","non-dropping-particle":"","parse-names":false,"suffix":""},{"dropping-particle":"","family":"Kan","given":"Caixia","non-dropping-particle":"","parse-names":false,"suffix":""},{"dropping-particle":"","family":"Wang","given":"Haiyan Hong En Hao","non-dropping-particle":"","parse-names":false,"suffix":""},{"dropping-particle":"","family":"Tian","given":"Wei","non-dropping-particle":"","parse-names":false,"suffix":""},{"dropping-particle":"","family":"Li","given":"Lijie Liang","non-dropping-particle":"","parse-names":false,"suffix":""},{"dropping-particle":"","family":"Li","given":"Weiwei J.","non-dropping-particle":"","parse-names":false,"suffix":""},{"dropping-particle":"","family":"Yang","given":"Hao","non-dropping-particle":"","parse-names":false,"suffix":""},{"dropping-particle":"","family":"Wang","given":"Yangbo Yue Yuxi","non-dropping-particle":"","parse-names":false,"suffix":""},{"dropping-particle":"","family":"Song","given":"L.","non-dropping-particle":"","parse-names":false,"suffix":""},{"dropping-particle":"","family":"Chen","given":"Yani Yifu","non-dropping-particle":"","parse-names":false,"suffix":""},{"dropping-particle":"","family":"Huang","given":"W.","non-dropping-particle":"","parse-names":false,"suffix":""},{"dropping-particle":"","family":"Murali","given":"Banavoth","non-dropping-particle":"","parse-names":false,"suffix":""},{"dropping-particle":"","family":"Kolli","given":"Hema Kumari","non-dropping-particle":"","parse-names":false,"suffix":""},{"dropping-particle":"","family":"Yin","given":"Jun","non-dropping-particle":"","parse-names":false,"suffix":""},{"dropping-particle":"","family":"Ketavath","given":"Ravi","non-dropping-particle":"","parse-names":false,"suffix":""},{"dropping-particle":"","family":"Bakr","given":"Osman M.","non-dropping-particle":"","parse-names":false,"suffix":""},{"dropping-particle":"","family":"Mohammed","given":"Omar F.","non-dropping-particle":"","parse-names":false,"suffix":""},{"dropping-particle":"","family":"Goetzberger","given":"Adolf","non-dropping-particle":"","parse-names":false,"suffix":""},{"dropping-particle":"","family":"Knobloch","given":"Joachim","non-dropping-particle":"","parse-names":false,"suffix":""},{"dropping-particle":"","family":"Voß","given":"Bernhard","non-dropping-particle":"","parse-names":false,"suffix":""},{"dropping-particle":"","family":"Goetzberger","given":"Adolf","non-dropping-particle":"","parse-names":false,"suffix":""},{"dropping-particle":"","family":"Knobloch","given":"Joachim","non-dropping-particle":"","parse-names":false,"suffix":""},{"dropping-particle":"","family":"Voß","given":"Bernhard","non-dropping-particle":"","parse-names":false,"suffix":""},{"dropping-particle":"","family":"Chong","given":"Wee Kiang","non-dropping-particle":"","parse-names":false,"suffix":""},{"dropping-particle":"","family":"Giovanni","given":"David","non-dropping-particle":"","parse-names":false,"suffix":""},{"dropping-particle":"","family":"Sum","given":"Tze-Chien","non-dropping-particle":"","parse-names":false,"suffix":""},{"dropping-particle":"","family":"Profile","given":"S E E","non-dropping-particle":"","parse-names":false,"suffix":""},{"dropping-particle":"","family":"L","given":"Γ","non-dropping-particle":"","parse-names":false,"suffix":""},{"dropping-particle":"","family":"Chen","given":"Jie","non-dropping-particle":"","parse-names":false,"suffix":""},{"dropping-particle":"","family":"Fu","given":"Yongping","non-dropping-particle":"","parse-names":false,"suffix":""},{"dropping-particle":"","family":"Samad","given":"Leith","non-dropping-particle":"","parse-names":false,"suffix":""},{"dropping-particle":"","family":"Dang","given":"Lianna","non-dropping-particle":"","parse-names":false,"suffix":""},{"dropping-particle":"","family":"Zhao","given":"Yuzhou Yingjie","non-dropping-particle":"","parse-names":false,"suffix":""},{"dropping-particle":"","family":"Shen","given":"Shaohua","non-dropping-particle":"","parse-names":false,"suffix":""},{"dropping-particle":"","family":"Guo","given":"Liejin","non-dropping-particle":"","parse-names":false,"suffix":""},{"dropping-particle":"","family":"Jin","given":"Song","non-dropping-particle":"","parse-names":false,"suffix":""},{"dropping-particle":"","family":"Hu","given":"Xuelu","non-dropping-particle":"","parse-names":false,"suffix":""},{"dropping-particle":"","family":"Zhou","given":"Hai Huanping Hong","non-dropping-particle":"","parse-names":false,"suffix":""},{"dropping-particle":"","family":"Jiang","given":"Zhenyu","non-dropping-particle":"","parse-names":false,"suffix":""},{"dropping-particle":"","family":"Wang","given":"Xina Xiaoxia","non-dropping-particle":"","parse-names":false,"suffix":""},{"dropping-particle":"","family":"Yuan","given":"Shuangping","non-dropping-particle":"","parse-names":false,"suffix":""},{"dropping-particle":"","family":"Lan","given":"Jianyue","non-dropping-particle":"","parse-names":false,"suffix":""},{"dropping-particle":"","family":"Fu","given":"Yongping","non-dropping-particle":"","parse-names":false,"suffix":""},{"dropping-particle":"","family":"Zhang","given":"Xiyuan Xuehong Xiang","non-dropping-particle":"","parse-names":false,"suffix":""},{"dropping-particle":"","family":"Zheng","given":"Weihao","non-dropping-particle":"","parse-names":false,"suffix":""},{"dropping-particle":"","family":"Wang","given":"Xina Xiaoxia","non-dropping-particle":"","parse-names":false,"suffix":""},{"dropping-particle":"","family":"Zhu","given":"Xiaojun Y. Xiaoli","non-dropping-particle":"","parse-names":false,"suffix":""},{"dropping-particle":"","family":"Liao","given":"Liang Sheng Lei","non-dropping-particle":"","parse-names":false,"suffix":""},{"dropping-particle":"","family":"Xu","given":"Gengzhao","non-dropping-particle":"","parse-names":false,"suffix":""},{"dropping-particle":"","family":"Jin","given":"Song","non-dropping-particle":"","parse-names":false,"suffix":""},{"dropping-particle":"","family":"Pan","given":"Anlian","non-dropping-particle":"","parse-names":false,"suffix":""},{"dropping-particle":"","family":"Shoaib","given":"Muhammad","non-dropping-particle":"","parse-names":false,"suffix":""},{"dropping-particle":"","family":"Wang","given":"Xina Xiaoxia","non-dropping-particle":"","parse-names":false,"suffix":""},{"dropping-particle":"","family":"Zhang","given":"Xiyuan Xuehong Xiang","non-dropping-particle":"","parse-names":false,"suffix":""},{"dropping-particle":"","family":"He","given":"Minhong Mai","non-dropping-particle":"","parse-names":false,"suffix":""},{"dropping-particle":"","family":"Wang","given":"Xina Xiaoxia","non-dropping-particle":"","parse-names":false,"suffix":""},{"dropping-particle":"","family":"Zhou","given":"Hai Huanping Hong","non-dropping-particle":"","parse-names":false,"suffix":""},{"dropping-particle":"","family":"Xu","given":"Tao","non-dropping-particle":"","parse-names":false,"suffix":""},{"dropping-particle":"","family":"Jia","given":"Yongchao","non-dropping-particle":"","parse-names":false,"suffix":""},{"dropping-particle":"","family":"Miglio","given":"Anna","non-dropping-particle":"","parse-names":false,"suffix":""},{"dropping-particle":"","family":"Poncé","given":"Samuel","non-dropping-particle":"","parse-names":false,"suffix":""},{"dropping-particle":"","family":"Mikami","given":"Masayoshi","non-dropping-particle":"","parse-names":false,"suffix":""},{"dropping-particle":"","family":"Gonze","given":"Xavier","non-dropping-particle":"","parse-names":false,"suffix":""},{"dropping-particle":"","family":"Dewi","given":"Rina","non-dropping-particle":"","parse-names":false,"suffix":""},{"dropping-particle":"","family":"Eka","given":"Aditya","non-dropping-particle":"","parse-names":false,"suffix":""},{"dropping-particle":"","family":"Swathatafrijiah","given":"Wawas","non-dropping-particle":"","parse-names":false,"suffix":""},{"dropping-particle":"","family":"Sencadas","given":"Vitor","non-dropping-particle":"","parse-names":false,"suffix":""},{"dropping-particle":"","family":"Niragira","given":"Inez","non-dropping-particle":"","parse-names":false,"suffix":""},{"dropping-particle":"","family":"Espitia","given":"Paula Judith Perez","non-dropping-particle":"","parse-names":false,"suffix":""},{"dropping-particle":"","family":"Soares","given":"Nilda de Fátima Ferreira","non-dropping-particle":"","parse-names":false,"suffix":""},{"dropping-particle":"","family":"Coimbra","given":"Jane Sélia dos Reis","non-dropping-particle":"","parse-names":false,"suffix":""},{"dropping-particle":"","family":"Andrade","given":"Nélio José","non-dropping-particle":"de","parse-names":false,"suffix":""},{"dropping-particle":"","family":"Cruz","given":"Renato Souza","non-dropping-particle":"","parse-names":false,"suffix":""},{"dropping-particle":"","family":"Medeiros","given":"Eber Antonio Alves","non-dropping-particle":"","parse-names":false,"suffix":""},{"dropping-particle":"","family":"Kwiatkowski","given":"Paweł","non-dropping-particle":"","parse-names":false,"suffix":""},{"dropping-particle":"","family":"Giedrys-Kalemba","given":"Stefania","non-dropping-particle":"","parse-names":false,"suffix":""},{"dropping-particle":"","family":"Mizielińska","given":"Małgorzata","non-dropping-particle":"","parse-names":false,"suffix":""},{"dropping-particle":"","family":"Bartkowiak","given":"Artur","non-dropping-particle":"","parse-names":false,"suffix":""},{"dropping-particle":"","family":"Maschinen","given":"B","non-dropping-particle":"","parse-names":false,"suffix":""},{"dropping-particle":"","family":"Investition","given":"Als","non-dropping-particle":"","parse-names":false,"suffix":""},{"dropping-particle":"","family":"Beschaffungen","given":"Geplante","non-dropping-particle":"","parse-names":false,"suffix":""},{"dropping-particle":"","family":"Ersatzbeschaffungen","given":"Bei","non-dropping-particle":"","parse-names":false,"suffix":""},{"dropping-particle":"","family":"Mittelherkunft","given":"Spalte","non-dropping-particle":"","parse-names":false,"suffix":""},{"dropping-particle":"","family":"Hoàng Thị Kim Hoongfn Nguyễn Đình Cường","given":"PhạmThị Thanh Mai","non-dropping-particle":"","parse-names":false,"suffix":""},{"dropping-particle":"","family":"Gmbh","given":"Zwickroell","non-dropping-particle":"","parse-names":false,"suffix":""}],"container-title":"Advanced Optical Materials","id":"ITEM-1","issue":"1","issued":{"date-parts":[["2018"]]},"page":"1-9","title":"No </w:instrText>
      </w:r>
      <w:r w:rsidRPr="00CF072B">
        <w:rPr>
          <w:rFonts w:ascii="Arial" w:eastAsia="MS Gothic" w:hAnsi="Arial" w:cs="Arial"/>
        </w:rPr>
        <w:instrText>主観的健康感を中心とした在宅高齢者における健康関連指標に関する共分散構造分析</w:instrText>
      </w:r>
      <w:r w:rsidRPr="00CF072B">
        <w:rPr>
          <w:rFonts w:ascii="Arial" w:hAnsi="Arial" w:cs="Arial"/>
        </w:rPr>
        <w:instrText>Title","type":"article-journal","volume":"10"},"uris":["http://www.mendeley.com/documents/?uuid=36c3ac59-1c39-4e6b-bde6-6ce7954c063e","http://www.mendeley.com/documents/?uuid=c047ced4-72b0-4592-9e73-5b377f578cf4"]},{"id":"ITEM-2","itemData":{"DOI":"10.28991/cej-2020-03091611","ISSN":"24763055","abstract":"River water resources provide a wide range of necessary ecosystem services, including regulating, provisioning, supporting and cultural services. Ecosystem services are linked to an appropriate level of functionality of river water resource processes, which can be connected with river basin environmental objectives. Environmental objectives can be achieved only if appropriate flow and sediment regimes and related river morphology quality are guaranteed. The obligation to define environmental flow (E-flow) in the European Union Water Framework Directive European (WFD) is not explicit, and the implementation of the WFD is more focused on water quality. Considering the specific climatic, hydrographic and hydrological conditions and the definition of E-flow, each EU country has developed procedures for their investigation and determination. In the Republic of Croatia, no methodology has been elaborated, nor is there any legal regulation to define E-flow downstream of a dam or water intake site. This paper presents the significant pressures that have affected the transboundary rural Sutla River basin between Croatia and Slovenia. These pressures can cause changes in the hydrological regime and biological elements of water quality. The holistic approach defines the E-flow for a profile on the Sutla River by linking hydrological, morphological, and ecological characteristics based on the exploration of the Sutla River and its biological communities. The full implementation of a holistic approach and the transition to Level III of the E-flow definition requires the enhancement of exploratory hydrological and biological monitoring that enables the use of habitat modelling.","author":[{"dropping-particle":"","family":"Ćosić-Flajsig","given":"Gorana","non-dropping-particle":"","parse-names":false,"suffix":""},{"dropping-particle":"","family":"Vučković","given":"Ivan","non-dropping-particle":"","parse-names":false,"suffix":""},{"dropping-particle":"","family":"Karleuša","given":"Barbara","non-dropping-particle":"","parse-names":false,"suffix":""}],"container-title":"Civil Engineering Journal (Iran)","id":"ITEM-2","issue":"11","issued":{"date-parts":[["2020"]]},"page":"2188-2202","title":"An innovative holistic approach to an e-flow assessment model","type":"article-journal","volume":"6"},"uris":["http://www.mendeley.com/documents/?uuid=09374ade-264c-47df-a83a-5a85b7002c63","http://www.mendeley.com/documents/?uuid=df7707dc-4de3-412f-a5a1-f969c7bb9b78"]}],"mendeley":{"formattedCitation":"(Ćosić-Flajsig et al., 2020; Shim et al., 2018)","plainTextFormattedCitation":"(Ćosić-Flajsig et al., 2020; Shim et al., 2018)","previouslyFormattedCitation":"(Ćosić-Flajsig et al., 2020; Shim et al., 2018)"},"properties":{"noteIndex":0},"schema":"https://github.com/citation-style-language/schema/raw/master/csl-citation.json"}</w:instrText>
      </w:r>
      <w:r w:rsidR="00C050EB" w:rsidRPr="00CF072B">
        <w:rPr>
          <w:rFonts w:ascii="Arial" w:hAnsi="Arial" w:cs="Arial"/>
        </w:rPr>
        <w:fldChar w:fldCharType="separate"/>
      </w:r>
      <w:r w:rsidRPr="00CF072B">
        <w:rPr>
          <w:rFonts w:ascii="Arial" w:hAnsi="Arial" w:cs="Arial"/>
          <w:noProof/>
        </w:rPr>
        <w:t>(Ćosić-Flajsig et al., 2020; Shim et al., 2018)</w:t>
      </w:r>
      <w:r w:rsidR="00C050EB" w:rsidRPr="00CF072B">
        <w:rPr>
          <w:rFonts w:ascii="Arial" w:hAnsi="Arial" w:cs="Arial"/>
        </w:rPr>
        <w:fldChar w:fldCharType="end"/>
      </w:r>
      <w:r w:rsidRPr="00CF072B">
        <w:rPr>
          <w:rFonts w:ascii="Arial" w:hAnsi="Arial" w:cs="Arial"/>
        </w:rPr>
        <w:t>.</w:t>
      </w:r>
    </w:p>
    <w:p w:rsidR="00A11C99" w:rsidRPr="00CF072B" w:rsidRDefault="00A11C99" w:rsidP="00A11C99">
      <w:pPr>
        <w:spacing w:line="276" w:lineRule="auto"/>
        <w:jc w:val="both"/>
        <w:rPr>
          <w:rFonts w:ascii="Arial" w:hAnsi="Arial" w:cs="Arial"/>
        </w:rPr>
      </w:pPr>
      <w:r w:rsidRPr="00CF072B">
        <w:rPr>
          <w:rFonts w:ascii="Arial" w:hAnsi="Arial" w:cs="Arial"/>
        </w:rPr>
        <w:t xml:space="preserve">Tanzania is home to numerous dams, both small and large, and ensuring their structural integrity and overall safety is imperative to prevent catastrophic failures that could result in loss of life and property </w:t>
      </w:r>
      <w:r w:rsidR="00C050EB" w:rsidRPr="00CF072B">
        <w:rPr>
          <w:rFonts w:ascii="Arial" w:hAnsi="Arial" w:cs="Arial"/>
        </w:rPr>
        <w:fldChar w:fldCharType="begin" w:fldLock="1"/>
      </w:r>
      <w:r w:rsidRPr="00CF072B">
        <w:rPr>
          <w:rFonts w:ascii="Arial" w:hAnsi="Arial" w:cs="Arial"/>
        </w:rPr>
        <w:instrText>ADDIN CSL_CITATION {"citationItems":[{"id":"ITEM-1","itemData":{"DOI":"10.1201/9780429319778-213","ISBN":"9780429319778","abstract":"In most analysis techniques, dam risk is often assessed at one point in time. However, risk is susceptible to evolve with time as sequence of measures are implemented or as new conditions affecting dam safety are expected (eg the alterations due to climate change). A …","author":[{"dropping-particle":"","family":"Fluixá-Sanmartín","given":"J.","non-dropping-particle":"","parse-names":false,"suffix":""},{"dropping-particle":"","family":"Morales-Torres","given":"A.","non-dropping-particle":"","parse-names":false,"suffix":""},{"dropping-particle":"","family":"Altarejos-García","given":"L.","non-dropping-particle":"","parse-names":false,"suffix":""},{"dropping-particle":"","family":"Escuder-Bueno","given":"I.","non-dropping-particle":"","parse-names":false,"suffix":""}],"container-title":"Sustainable and Safe Dams Around the World","id":"ITEM-1","issue":"September","issued":{"date-parts":[["2019"]]},"page":"2384-2392","title":"Incorporation of a time-dependent risk analysis approach to dam safety management","type":"article-journal"},"uris":["http://www.mendeley.com/documents/?uuid=4f498a01-dd9d-4bcb-9ac4-9886e779bd1b","http://www.mendeley.com/documents/?uuid=16d0b451-d4dd-4ea6-893c-b5910ee15a1f"]}],"mendeley":{"formattedCitation":"(Fluixá-Sanmartín et al., 2019)","plainTextFormattedCitation":"(Fluixá-Sanmartín et al., 2019)","previouslyFormattedCitation":"(Fluixá-Sanmartín et al., 2019)"},"properties":{"noteIndex":0},"schema":"https://github.com/citation-style-language/schema/raw/master/csl-citation.json"}</w:instrText>
      </w:r>
      <w:r w:rsidR="00C050EB" w:rsidRPr="00CF072B">
        <w:rPr>
          <w:rFonts w:ascii="Arial" w:hAnsi="Arial" w:cs="Arial"/>
        </w:rPr>
        <w:fldChar w:fldCharType="separate"/>
      </w:r>
      <w:r w:rsidRPr="00CF072B">
        <w:rPr>
          <w:rFonts w:ascii="Arial" w:hAnsi="Arial" w:cs="Arial"/>
          <w:noProof/>
        </w:rPr>
        <w:t>(Fluixá-Sanmartín et al., 2019)</w:t>
      </w:r>
      <w:r w:rsidR="00C050EB" w:rsidRPr="00CF072B">
        <w:rPr>
          <w:rFonts w:ascii="Arial" w:hAnsi="Arial" w:cs="Arial"/>
        </w:rPr>
        <w:fldChar w:fldCharType="end"/>
      </w:r>
      <w:r w:rsidRPr="00CF072B">
        <w:rPr>
          <w:rFonts w:ascii="Arial" w:hAnsi="Arial" w:cs="Arial"/>
        </w:rPr>
        <w:t xml:space="preserve">. Over the years, there has been a growing recognition of the need for comprehensive risk management programs tailored to the unique conditions and challenges in Tanzania, such as heavy rainfall and seismic activity in certain regions </w:t>
      </w:r>
      <w:r w:rsidR="00C050EB" w:rsidRPr="00CF072B">
        <w:rPr>
          <w:rFonts w:ascii="Arial" w:hAnsi="Arial" w:cs="Arial"/>
        </w:rPr>
        <w:fldChar w:fldCharType="begin" w:fldLock="1"/>
      </w:r>
      <w:r w:rsidRPr="00CF072B">
        <w:rPr>
          <w:rFonts w:ascii="Arial" w:hAnsi="Arial" w:cs="Arial"/>
        </w:rPr>
        <w:instrText>ADDIN CSL_CITATION {"citationItems":[{"id":"ITEM-1","itemData":{"abstract":"Integrated Water Resources Management or IWRM is a process which promotes a coordinated development and management of water; land and related resources that maximize the economic and social welfare of a country without compromising the sustainability of its environment. It is essential for Malaysia to adopt the IWRM concept in managing its water resources to overcome flash flood and water shortages in its major cities. In this regard the State of Selangor of Malaysia, being the most industrialised and highly populated State in Malaysia, has taken up the challenge for implementing IWRM for its river basins. This is done by establishing an agency called the Selangor Water Management Authority (SWMA) which will act as a single institution responsible to manage water resources, river basins and coastal zone in an integrated and sustainable manner. Being the first of its kind among all States in Malaysia, this pioneering model, if successful, will be the perfect model for all States in Malaysia to follow. Nevertheless, the successfulness of the agency to mobilize IWRM in Selangor remains in doubt after a decade in administration. Pre-SWMA problem of Federal-State jurisdiction over water resources remains a complex and sensitive issue, while the integration of relevant departments' activities is progressing slowly. As doubt increases on the workability of SWMA to successfully adopt IWRM in Selangor, it is pertinent to examine the causes of those problems and to determine ways to solve them. To this end, this study will conduct an in depth content analysis of legislations on water resources in Selangor. The study proves that lack of understanding of IWRM concept among water related authorities and constitutional conflict in water jurisdiction have contributed towards unsuccessful implementation of IWRM by SWMA in Selangor.","author":[{"dropping-particle":"","family":"Khalid","given":"Rasyikah","non-dropping-particle":"","parse-names":false,"suffix":""},{"dropping-particle":"","family":"Rahman","given":"Suhaimi","non-dropping-particle":"","parse-names":false,"suffix":""},{"dropping-particle":"","family":"Mangsor","given":"Mazlina","non-dropping-particle":"","parse-names":false,"suffix":""},{"dropping-particle":"","family":"Ali","given":"Shuhaeda","non-dropping-particle":"","parse-names":false,"suffix":""},{"dropping-particle":"","family":"Sulaiman","given":"Siti","non-dropping-particle":"","parse-names":false,"suffix":""},{"dropping-particle":"","family":"Bakar","given":"Noraziah","non-dropping-particle":"","parse-names":false,"suffix":""},{"dropping-particle":"","family":"Ismail","given":"Ismah","non-dropping-particle":"","parse-names":false,"suffix":""}],"container-title":"OIDA International Journal of Sustainable Development","id":"ITEM-1","issue":"8","issued":{"date-parts":[["2012"]]},"page":"11-18","title":"Constitutional Issues in Integrating Water Resources Management in Malaysia: A Case Study of the Selangor Water Management Authority","type":"article-journal","volume":"3"},"uris":["http://www.mendeley.com/documents/?uuid=e60ac2af-19e1-4136-8949-2c2659430cdb","http://www.mendeley.com/documents/?uuid=517e1798-40fe-49cb-940a-ee206b2fe141"]}],"mendeley":{"formattedCitation":"(Khalid et al., 2012)","plainTextFormattedCitation":"(Khalid et al., 2012)","previouslyFormattedCitation":"(Khalid et al., 2012)"},"properties":{"noteIndex":0},"schema":"https://github.com/citation-style-language/schema/raw/master/csl-citation.json"}</w:instrText>
      </w:r>
      <w:r w:rsidR="00C050EB" w:rsidRPr="00CF072B">
        <w:rPr>
          <w:rFonts w:ascii="Arial" w:hAnsi="Arial" w:cs="Arial"/>
        </w:rPr>
        <w:fldChar w:fldCharType="separate"/>
      </w:r>
      <w:r w:rsidRPr="00CF072B">
        <w:rPr>
          <w:rFonts w:ascii="Arial" w:hAnsi="Arial" w:cs="Arial"/>
          <w:noProof/>
        </w:rPr>
        <w:t>(Khalid et al., 2012)</w:t>
      </w:r>
      <w:r w:rsidR="00C050EB" w:rsidRPr="00CF072B">
        <w:rPr>
          <w:rFonts w:ascii="Arial" w:hAnsi="Arial" w:cs="Arial"/>
        </w:rPr>
        <w:fldChar w:fldCharType="end"/>
      </w:r>
      <w:r w:rsidRPr="00CF072B">
        <w:rPr>
          <w:rFonts w:ascii="Arial" w:hAnsi="Arial" w:cs="Arial"/>
        </w:rPr>
        <w:t xml:space="preserve">. These programs encompass a range of activities, including periodic inspections, maintenance, and the establishment of emergency response plans </w:t>
      </w:r>
      <w:r w:rsidR="00C050EB" w:rsidRPr="00CF072B">
        <w:rPr>
          <w:rFonts w:ascii="Arial" w:hAnsi="Arial" w:cs="Arial"/>
        </w:rPr>
        <w:fldChar w:fldCharType="begin" w:fldLock="1"/>
      </w:r>
      <w:r w:rsidRPr="00CF072B">
        <w:rPr>
          <w:rFonts w:ascii="Arial" w:hAnsi="Arial" w:cs="Arial"/>
        </w:rPr>
        <w:instrText>ADDIN CSL_CITATION {"citationItems":[{"id":"ITEM-1","itemData":{"author":[{"dropping-particle":"","family":"Essex and Suffolk Water","given":"","non-dropping-particle":"","parse-names":false,"suffix":""}],"container-title":"Water Resources Management","id":"ITEM-1","issue":"August","issued":{"date-parts":[["2014"]]},"title":"Final Water Resources Management Plan","type":"article-journal"},"uris":["http://www.mendeley.com/documents/?uuid=a385a524-9ef8-40fc-a715-3d1341b52788","http://www.mendeley.com/documents/?uuid=2aef28fe-378b-4058-a1a3-20c8c5c2afec"]}],"mendeley":{"formattedCitation":"(Essex and Suffolk Water, 2014)","plainTextFormattedCitation":"(Essex and Suffolk Water, 2014)","previouslyFormattedCitation":"(Essex and Suffolk Water, 2014)"},"properties":{"noteIndex":0},"schema":"https://github.com/citation-style-language/schema/raw/master/csl-citation.json"}</w:instrText>
      </w:r>
      <w:r w:rsidR="00C050EB" w:rsidRPr="00CF072B">
        <w:rPr>
          <w:rFonts w:ascii="Arial" w:hAnsi="Arial" w:cs="Arial"/>
        </w:rPr>
        <w:fldChar w:fldCharType="separate"/>
      </w:r>
      <w:r w:rsidRPr="00CF072B">
        <w:rPr>
          <w:rFonts w:ascii="Arial" w:hAnsi="Arial" w:cs="Arial"/>
          <w:noProof/>
        </w:rPr>
        <w:t>(Essex and Suffolk Water, 2014)</w:t>
      </w:r>
      <w:r w:rsidR="00C050EB" w:rsidRPr="00CF072B">
        <w:rPr>
          <w:rFonts w:ascii="Arial" w:hAnsi="Arial" w:cs="Arial"/>
        </w:rPr>
        <w:fldChar w:fldCharType="end"/>
      </w:r>
      <w:r w:rsidRPr="00CF072B">
        <w:rPr>
          <w:rFonts w:ascii="Arial" w:hAnsi="Arial" w:cs="Arial"/>
        </w:rPr>
        <w:t xml:space="preserve">. In light of this, it is essential to delve into the background and context of these dams, considering factors such as age, construction materials, design standards, and local environmental conditions to assess their compliance with established risk management protocols and ensure the safety and well-being of Tanzanian communities </w:t>
      </w:r>
      <w:r w:rsidR="00C050EB" w:rsidRPr="00CF072B">
        <w:rPr>
          <w:rFonts w:ascii="Arial" w:hAnsi="Arial" w:cs="Arial"/>
        </w:rPr>
        <w:fldChar w:fldCharType="begin" w:fldLock="1"/>
      </w:r>
      <w:r w:rsidRPr="00CF072B">
        <w:rPr>
          <w:rFonts w:ascii="Arial" w:hAnsi="Arial" w:cs="Arial"/>
        </w:rPr>
        <w:instrText>ADDIN CSL_CITATION {"citationItems":[{"id":"ITEM-1","itemData":{"DOI":"10.1080/07900627.2013.837359","ISSN":"13600648","abstract":"The management of water resources among traditional societies in Ghana has been based on indigenous knowledge systems and practices. Colonial administrations subsequently vested water administration at the central level, without proper coordination, resulting in disjointed management systems. When a new constitution was adopted in 1992, constitutional requirements resulted in an overhaul of the legislative and institutional framework for water resources management. The old sector-based legislative instruments have been reviewed; a Ministry of Water Resources, Works and Housing has been created for policy direction; and an act of Parliament has established a Water Resources Commission to regulate and manage the utilization of Ghana's fresh-water resources. © 2013 Taylor &amp; Francis.","author":[{"dropping-particle":"","family":"Dorm-Adzobu","given":"Clement","non-dropping-particle":"","parse-names":false,"suffix":""},{"dropping-particle":"","family":"Ampomah","given":"Ben Yaw","non-dropping-particle":"","parse-names":false,"suffix":""}],"container-title":"International Journal of Water Resources Development","id":"ITEM-1","issue":"3","issued":{"date-parts":[["2014"]]},"page":"559-571","title":"Legislative and institutional reforms for water resources management in Ghana","type":"article-journal","volume":"30"},"uris":["http://www.mendeley.com/documents/?uuid=24e0c0f5-1532-4ce3-a2b8-de9bef0cd079","http://www.mendeley.com/documents/?uuid=90d35b7b-9342-4fe8-82a5-ed21e14e2242"]}],"mendeley":{"formattedCitation":"(Dorm-Adzobu &amp; Ampomah, 2014)","plainTextFormattedCitation":"(Dorm-Adzobu &amp; Ampomah, 2014)","previouslyFormattedCitation":"(Dorm-Adzobu &amp; Ampomah, 2014)"},"properties":{"noteIndex":0},"schema":"https://github.com/citation-style-language/schema/raw/master/csl-citation.json"}</w:instrText>
      </w:r>
      <w:r w:rsidR="00C050EB" w:rsidRPr="00CF072B">
        <w:rPr>
          <w:rFonts w:ascii="Arial" w:hAnsi="Arial" w:cs="Arial"/>
        </w:rPr>
        <w:fldChar w:fldCharType="separate"/>
      </w:r>
      <w:r w:rsidRPr="00CF072B">
        <w:rPr>
          <w:rFonts w:ascii="Arial" w:hAnsi="Arial" w:cs="Arial"/>
          <w:noProof/>
        </w:rPr>
        <w:t>(Dorm-Adzobu &amp; Ampomah, 2014)</w:t>
      </w:r>
      <w:r w:rsidR="00C050EB" w:rsidRPr="00CF072B">
        <w:rPr>
          <w:rFonts w:ascii="Arial" w:hAnsi="Arial" w:cs="Arial"/>
        </w:rPr>
        <w:fldChar w:fldCharType="end"/>
      </w:r>
      <w:r w:rsidRPr="00CF072B">
        <w:rPr>
          <w:rFonts w:ascii="Arial" w:hAnsi="Arial" w:cs="Arial"/>
        </w:rPr>
        <w:t xml:space="preserve">. Tanzania has established a regulatory framework to govern dam safety, with the National Environment Management Council (NEMC) and the Ministry of Water playing key roles in oversight. The Water </w:t>
      </w:r>
      <w:r w:rsidRPr="00CF072B">
        <w:rPr>
          <w:rFonts w:ascii="Arial" w:hAnsi="Arial" w:cs="Arial"/>
        </w:rPr>
        <w:lastRenderedPageBreak/>
        <w:t xml:space="preserve">Resources Management Act (2009) and the National Water Policy provide the legal basis for dam safety in the country </w:t>
      </w:r>
      <w:r w:rsidR="00C050EB" w:rsidRPr="00CF072B">
        <w:rPr>
          <w:rFonts w:ascii="Arial" w:hAnsi="Arial" w:cs="Arial"/>
        </w:rPr>
        <w:fldChar w:fldCharType="begin" w:fldLock="1"/>
      </w:r>
      <w:r w:rsidRPr="00CF072B">
        <w:rPr>
          <w:rFonts w:ascii="Arial" w:hAnsi="Arial" w:cs="Arial"/>
        </w:rPr>
        <w:instrText>ADDIN CSL_CITATION {"citationItems":[{"id":"ITEM-1","itemData":{"DOI":"10.1111/j.1475-4959.2008.00285.x","ISSN":"00167398","author":[{"dropping-particle":"","family":"Maro","given":"Paul S.","non-dropping-particle":"","parse-names":false,"suffix":""}],"container-title":"Geographical Journal","id":"ITEM-1","issue":"2","issued":{"date-parts":[["2008"]]},"page":"150-154","title":"A review of current Tanzanian national environmental policy","type":"article-journal","volume":"174"},"uris":["http://www.mendeley.com/documents/?uuid=2a1521d0-ae66-412d-a8cd-b9347cf83e9a","http://www.mendeley.com/documents/?uuid=55879707-b2b9-4630-8db3-29a3e3d08a83"]},{"id":"ITEM-2","itemData":{"DOI":"10.1016/j.actaastro.2015.07.003","ISSN":"00945765","abstract":"This paper reports findings of the International Academy of Astronautics (IAA) Study Group (SG), International Cooperation for Space Life Sciences Knowledge Sharing and Development in Africa, (2013). The SG, established in 2010, is comprised of space life sciences experts from across the globe. It charged with developing a cooperative global strategy to generate partnerships for space workforce development and life sciences knowledge sharing among space-faring and space-aspiring African nations. The study group's findings emphasize the need for cultural competencies and cooperation. In recent years, Africa's spending on space science has increased as national governments have defined their space aspirations and goals within the context of \"space for humanity\" and global workforce development. Some African countries have developed their own space agencies with well-defined policies and objectives. Space workforce development efforts among these countries focus on satellite technology and ground station operation, astronomy/space science and investment in related activities that advance their specific space exploration/utilization aspirations (e.g., communication services; satellite data collection and processing, with applications in areas such as food security, health and education, crime control, environmental and disaster management, and urban sprawl; radio telescope technology; and space science education outreach and awareness). The IAA study also examines the implications of increased international governmental/non-governmental educational partnerships for workforce development and proposes a roadmap for Africa's space-emerging countries seeking to establish global partnerships to develop indigenous space workforces. The study concludes that there are many platforms available to promote inter-regional cooperation on space workforce development, particularly in the areas of space science and technology. This paper calibrates the IAA study group's report with the IAA's report, Future Human Spaceflight: the Need for International Cooperation (2010), which outlines common global interests for human space exploration and supports the outcomes of three African IAA regional conferences on \"Space for Africa.\"","author":[{"dropping-particle":"","family":"MacLeish","given":"Marlene M.","non-dropping-particle":"","parse-names":false,"suffix":""},{"dropping-particle":"","family":"Akinyede","given":"Joseph O.","non-dropping-particle":"","parse-names":false,"suffix":""},{"dropping-particle":"","family":"White","given":"Ronald J.","non-dropping-particle":"","parse-names":false,"suffix":""},{"dropping-particle":"","family":"Goswami","given":"Nandu","non-dropping-particle":"","parse-names":false,"suffix":""},{"dropping-particle":"","family":"Thomson","given":"William A.","non-dropping-particle":"","parse-names":false,"suffix":""}],"container-title":"Acta Astronautica","id":"ITEM-2","issue":"December","issued":{"date-parts":[["2015"]]},"page":"106-116","publisher":"Elsevier","title":"Global space workforce development: A model for partnership building and knowledge transfer to developing space-faring societies","type":"article-journal","volume":"116"},"uris":["http://www.mendeley.com/documents/?uuid=59d4683e-7792-451a-8373-2d250855109d","http://www.mendeley.com/documents/?uuid=560e1090-0b54-4f08-a37a-857268050924"]}],"mendeley":{"formattedCitation":"(MacLeish et al., 2015; Maro, 2008)","plainTextFormattedCitation":"(MacLeish et al., 2015; Maro, 2008)","previouslyFormattedCitation":"(MacLeish et al., 2015; Maro, 2008)"},"properties":{"noteIndex":0},"schema":"https://github.com/citation-style-language/schema/raw/master/csl-citation.json"}</w:instrText>
      </w:r>
      <w:r w:rsidR="00C050EB" w:rsidRPr="00CF072B">
        <w:rPr>
          <w:rFonts w:ascii="Arial" w:hAnsi="Arial" w:cs="Arial"/>
        </w:rPr>
        <w:fldChar w:fldCharType="separate"/>
      </w:r>
      <w:r w:rsidRPr="00CF072B">
        <w:rPr>
          <w:rFonts w:ascii="Arial" w:hAnsi="Arial" w:cs="Arial"/>
          <w:noProof/>
        </w:rPr>
        <w:t>(MacLeish et al., 2015; Maro, 2008)</w:t>
      </w:r>
      <w:r w:rsidR="00C050EB" w:rsidRPr="00CF072B">
        <w:rPr>
          <w:rFonts w:ascii="Arial" w:hAnsi="Arial" w:cs="Arial"/>
        </w:rPr>
        <w:fldChar w:fldCharType="end"/>
      </w:r>
      <w:r w:rsidRPr="00CF072B">
        <w:rPr>
          <w:rFonts w:ascii="Arial" w:hAnsi="Arial" w:cs="Arial"/>
        </w:rPr>
        <w:t xml:space="preserve">. However, evaluating the conditions of a dam for compliance with risk management programs for dam safety in Tanzania is a vital and multifaceted task that demands a comprehensive approach </w:t>
      </w:r>
      <w:r w:rsidR="00C050EB" w:rsidRPr="00CF072B">
        <w:rPr>
          <w:rFonts w:ascii="Arial" w:hAnsi="Arial" w:cs="Arial"/>
        </w:rPr>
        <w:fldChar w:fldCharType="begin" w:fldLock="1"/>
      </w:r>
      <w:r w:rsidRPr="00CF072B">
        <w:rPr>
          <w:rFonts w:ascii="Arial" w:hAnsi="Arial" w:cs="Arial"/>
        </w:rPr>
        <w:instrText>ADDIN CSL_CITATION {"citationItems":[{"id":"ITEM-1","itemData":{"DOI":"10.1111/j.1475-4959.2008.00285.x","ISSN":"00167398","author":[{"dropping-particle":"","family":"Maro","given":"Paul S.","non-dropping-particle":"","parse-names":false,"suffix":""}],"container-title":"Geographical Journal","id":"ITEM-1","issue":"2","issued":{"date-parts":[["2008"]]},"page":"150-154","title":"A review of current Tanzanian national environmental policy","type":"article-journal","volume":"174"},"uris":["http://www.mendeley.com/documents/?uuid=55879707-b2b9-4630-8db3-29a3e3d08a83","http://www.mendeley.com/documents/?uuid=2a1521d0-ae66-412d-a8cd-b9347cf83e9a"]}],"mendeley":{"formattedCitation":"(Maro, 2008)","plainTextFormattedCitation":"(Maro, 2008)","previouslyFormattedCitation":"(Maro, 2008)"},"properties":{"noteIndex":0},"schema":"https://github.com/citation-style-language/schema/raw/master/csl-citation.json"}</w:instrText>
      </w:r>
      <w:r w:rsidR="00C050EB" w:rsidRPr="00CF072B">
        <w:rPr>
          <w:rFonts w:ascii="Arial" w:hAnsi="Arial" w:cs="Arial"/>
        </w:rPr>
        <w:fldChar w:fldCharType="separate"/>
      </w:r>
      <w:r w:rsidRPr="00CF072B">
        <w:rPr>
          <w:rFonts w:ascii="Arial" w:hAnsi="Arial" w:cs="Arial"/>
          <w:noProof/>
        </w:rPr>
        <w:t>(Maro, 2008)</w:t>
      </w:r>
      <w:r w:rsidR="00C050EB" w:rsidRPr="00CF072B">
        <w:rPr>
          <w:rFonts w:ascii="Arial" w:hAnsi="Arial" w:cs="Arial"/>
        </w:rPr>
        <w:fldChar w:fldCharType="end"/>
      </w:r>
      <w:r w:rsidRPr="00CF072B">
        <w:rPr>
          <w:rFonts w:ascii="Arial" w:hAnsi="Arial" w:cs="Arial"/>
        </w:rPr>
        <w:t xml:space="preserve">. The safety and integrity of these structures are of paramount importance, not only for the protection of human lives and property but also for ensuring the sustainability of essential water resources </w:t>
      </w:r>
      <w:r w:rsidR="00C050EB" w:rsidRPr="00CF072B">
        <w:rPr>
          <w:rFonts w:ascii="Arial" w:hAnsi="Arial" w:cs="Arial"/>
        </w:rPr>
        <w:fldChar w:fldCharType="begin" w:fldLock="1"/>
      </w:r>
      <w:r w:rsidRPr="00CF072B">
        <w:rPr>
          <w:rFonts w:ascii="Arial" w:hAnsi="Arial" w:cs="Arial"/>
        </w:rPr>
        <w:instrText>ADDIN CSL_CITATION {"citationItems":[{"id":"ITEM-1","itemData":{"DOI":"10.1016/j.ijpe.2011.04.002","ISSN":"09255273","abstract":"Integrated performance and risk management is the key lever to increase shareholder value holistically. In this paper, we develop a corresponding framework for value-based performance and risk optimization in supply chains. Economic Value Added (EVA) as a prevalent metric of value-based performance is applied to mid-term sales and operations planning (S&amp;OP). Robust optimization methods are utilized to deal with operational risks in physical and financial supply chain management due to the uncertainty of future events. Multiple aspects of robustness and general implications of the framework are highlighted using a case-oriented numerical analysis. © 2010 Elsevier B.V. All rights reserved.","author":[{"dropping-particle":"","family":"Hahn","given":"G. J.","non-dropping-particle":"","parse-names":false,"suffix":""},{"dropping-particle":"","family":"Kuhn","given":"H.","non-dropping-particle":"","parse-names":false,"suffix":""}],"container-title":"International Journal of Production Economics","id":"ITEM-1","issue":"1","issued":{"date-parts":[["2012"]]},"page":"135-144","publisher":"Elsevier","title":"Value-based performance and risk management in supply chains: A robust optimization approach","type":"article-journal","volume":"139"},"uris":["http://www.mendeley.com/documents/?uuid=6f75a343-5391-449b-aed8-0e530ed356c2","http://www.mendeley.com/documents/?uuid=33182861-40a7-4c6c-9255-c8d2fa8fe7d9"]},{"id":"ITEM-2","itemData":{"abstract":"Product development projects are challenging management tasks. The complexity and dynamics of requirements and goals, the novelty of design tasks, and polytely (striving for multiple goals) can all affect the course of a project. Frequent consequences of these boundary conditions are unwanted events which inhibit a successful project. This work shall provide a better understanding of project robustness, its barriers and enablers. To achieve this goal, the work was conducted following a research approach based on the Design Research Methodology proposed by Blessing and Chakrabarti. The work is based on a comprehensive literature study which resulted in a model describing the causality of project failures. The underlying assumption of the project failure causality model, that companies which treat risks preventively and proactively are more likely to successfully finish their product development projects than other companies, is examined by an analysis of data from 141 small and medium sized enterprises (SMEs). Design methodologies, project management, risk management and maturity models such as the Capability Maturity Model Integration (CMMI) are proposed in order to support product development. The study validates the importance of the use of these systematic approaches to support product development projects, but none of the considered approaches on its own will secure project success. This suggests that the expected benefit (a robust project) can only be achieved using different approaches conjointly. While design methodologies and project management offer a rich support for development activities, risk management supports the project specific selection of appropriate risk treatment measures. A result of this work is a support for the pre-selection of risk treatment strategies based on the project failure causality model and its link to the proposed categorisation of risk treatment strategies. In this dissertation it is shown that the proposed categorisation of risk treatment strategies, the categorisation of the risk impact evolvement, and the question based support were easily understood by industrial experts. Their feedback validates the applicability and acceptance of the question based support as helpful for risk treatment strategy pre-selection, but also lead to a revision of the proposed support. The result is a matrix based support, intended to contribute to an enhancement of project robustness by supporting the process of risk treatment strat…","author":[{"dropping-particle":"","family":"Gericke","given":"Kilian","non-dropping-particle":"","parse-names":false,"suffix":""}],"id":"ITEM-2","issued":{"date-parts":[["2011"]]},"title":"Enhancing Project Robustness : A Risk Management Perspective","type":"article-journal"},"uris":["http://www.mendeley.com/documents/?uuid=264cdc00-6475-4979-ac3d-36011c7537e3","http://www.mendeley.com/documents/?uuid=650d25e1-0dd5-4ba8-b22a-967db5163f0a"]}],"mendeley":{"formattedCitation":"(Gericke, 2011; Hahn &amp; Kuhn, 2012)","plainTextFormattedCitation":"(Gericke, 2011; Hahn &amp; Kuhn, 2012)","previouslyFormattedCitation":"(Gericke, 2011; Hahn &amp; Kuhn, 2012)"},"properties":{"noteIndex":0},"schema":"https://github.com/citation-style-language/schema/raw/master/csl-citation.json"}</w:instrText>
      </w:r>
      <w:r w:rsidR="00C050EB" w:rsidRPr="00CF072B">
        <w:rPr>
          <w:rFonts w:ascii="Arial" w:hAnsi="Arial" w:cs="Arial"/>
        </w:rPr>
        <w:fldChar w:fldCharType="separate"/>
      </w:r>
      <w:r w:rsidRPr="00CF072B">
        <w:rPr>
          <w:rFonts w:ascii="Arial" w:hAnsi="Arial" w:cs="Arial"/>
          <w:noProof/>
        </w:rPr>
        <w:t>(Gericke, 2011; Hahn &amp; Kuhn, 2012)</w:t>
      </w:r>
      <w:r w:rsidR="00C050EB" w:rsidRPr="00CF072B">
        <w:rPr>
          <w:rFonts w:ascii="Arial" w:hAnsi="Arial" w:cs="Arial"/>
        </w:rPr>
        <w:fldChar w:fldCharType="end"/>
      </w:r>
      <w:r w:rsidRPr="00CF072B">
        <w:rPr>
          <w:rFonts w:ascii="Arial" w:hAnsi="Arial" w:cs="Arial"/>
        </w:rPr>
        <w:t>. A diligent assessment of a dam's structural, hydraulic, and environmental factors is essential to identify potential risks and develop strategies to mitigate them</w:t>
      </w:r>
      <w:r w:rsidR="00C050EB" w:rsidRPr="00CF072B">
        <w:rPr>
          <w:rFonts w:ascii="Arial" w:hAnsi="Arial" w:cs="Arial"/>
        </w:rPr>
        <w:fldChar w:fldCharType="begin" w:fldLock="1"/>
      </w:r>
      <w:r w:rsidRPr="00CF072B">
        <w:rPr>
          <w:rFonts w:ascii="Arial" w:hAnsi="Arial" w:cs="Arial"/>
        </w:rPr>
        <w:instrText>ADDIN CSL_CITATION {"citationItems":[{"id":"ITEM-1","itemData":{"DOI":"10.1111/j.l539-6975.2011.01413.x","author":[{"dropping-particle":"","family":"Hoyt","given":"Robert E","non-dropping-particle":"","parse-names":false,"suffix":""},{"dropping-particle":"","family":"Liebenberg","given":"Andre P","non-dropping-particle":"","parse-names":false,"suffix":""}],"container-title":"Journal of Risk and Insuranc","id":"ITEM-1","issue":"4","issued":{"date-parts":[["2011"]]},"page":"795-822","title":"The Value of Enterprise Risk Management Author ( s ): Robert E . Hoyt and Andre P . Liebenberg Published by : American Risk and Insurance Association Stable URL : https://www.jstor.org/stable/41350401 The Value of Enterprise Risk Management","type":"article-journal","volume":"78"},"uris":["http://www.mendeley.com/documents/?uuid=1ea84803-946c-45ec-be2d-60581afc7122","http://www.mendeley.com/documents/?uuid=7bdfa54d-b186-4d49-b662-f5a37af4db3f"]}],"mendeley":{"formattedCitation":"(Hoyt &amp; Liebenberg, 2011)","plainTextFormattedCitation":"(Hoyt &amp; Liebenberg, 2011)","previouslyFormattedCitation":"(Hoyt &amp; Liebenberg, 2011)"},"properties":{"noteIndex":0},"schema":"https://github.com/citation-style-language/schema/raw/master/csl-citation.json"}</w:instrText>
      </w:r>
      <w:r w:rsidR="00C050EB" w:rsidRPr="00CF072B">
        <w:rPr>
          <w:rFonts w:ascii="Arial" w:hAnsi="Arial" w:cs="Arial"/>
        </w:rPr>
        <w:fldChar w:fldCharType="separate"/>
      </w:r>
      <w:r w:rsidRPr="00CF072B">
        <w:rPr>
          <w:rFonts w:ascii="Arial" w:hAnsi="Arial" w:cs="Arial"/>
          <w:noProof/>
        </w:rPr>
        <w:t>(Hoyt &amp; Liebenberg, 2011)</w:t>
      </w:r>
      <w:r w:rsidR="00C050EB" w:rsidRPr="00CF072B">
        <w:rPr>
          <w:rFonts w:ascii="Arial" w:hAnsi="Arial" w:cs="Arial"/>
        </w:rPr>
        <w:fldChar w:fldCharType="end"/>
      </w:r>
      <w:r w:rsidRPr="00CF072B">
        <w:rPr>
          <w:rFonts w:ascii="Arial" w:hAnsi="Arial" w:cs="Arial"/>
        </w:rPr>
        <w:t xml:space="preserve">. As Tanzania strives to meet the highest standards in dam safety, it must remain committed to maintaining, upgrading, and adapting its risk management programs to ensure the enduring protection of its dams and the communities they serve </w:t>
      </w:r>
      <w:r w:rsidR="00C050EB" w:rsidRPr="00CF072B">
        <w:rPr>
          <w:rFonts w:ascii="Arial" w:hAnsi="Arial" w:cs="Arial"/>
        </w:rPr>
        <w:fldChar w:fldCharType="begin" w:fldLock="1"/>
      </w:r>
      <w:r w:rsidRPr="00CF072B">
        <w:rPr>
          <w:rFonts w:ascii="Arial" w:hAnsi="Arial" w:cs="Arial"/>
        </w:rPr>
        <w:instrText>ADDIN CSL_CITATION {"citationItems":[{"id":"ITEM-1","itemData":{"abstract":"B R i n g i n g I n f o r m a t i o n t o D e c i s i o n m a k e r s f o r G l o b a l E f f e c t i v e n e s s T he number of people, where they live, and how they live, all affect the condition of the environment. People alter the environment by clearing land for development, using natural resources, and producing wastes. Changes in environmental conditions, in turn, affect human health and well-being. Rural poverty, a high population growth rate, deforestation, and fresh water scarcity, for example, all pose challenges for policymakers in Tanzania and elsewhere in Africa (see table, page 2). While links among population, health, and the environment are sometimes acknowledged in national-level policies and development strategies , most development efforts continue to employ a traditional sectoral approach, aligned with the division of government services and institutional structures. In doing so, opportunities for achieving superior results-in cost-effectiveness, programmatic and administrative efficiencies, and programmatic outcomes-by employing an integrated, holistic approach may be missed. The Population, Health, and Environment Approach to Development The population-health-environment (PHE) approach to development recognizes the intercon-nections between people and their environment and supports cross-sectoral collaboration and coordination. As its name suggests, the approach places particular emphasis on the population, health, and environment sectors; however, the underlying philosophy is fundamentally one of integration. It can accommodate other sectors, such as agriculture and education, and can be successfully applied to a range of development goals, from poverty reduction to food security to gender equity. To explore the opportunities for and challenges of cross-sectoral collaboration and integrated programming in Tanzania, an assessment of the overall \"state of integration\" was recently undertaken by an interdisciplinary team led by the Institute of Resource Assessment at the University of Dar es Salaam (see Box 1). The assessment showed that most-but not all-of Tanzania's major sectoral policies recognize population-health-environment interrelationships, but that cross-sectoral","author":[{"dropping-particle":"","family":"Thaxton","given":"Melissa","non-dropping-particle":"","parse-names":false,"suffix":""}],"container-title":"Environment","id":"ITEM-1","issued":{"date-parts":[["2007"]]},"page":"12","title":"Integrating population, health, and environment in tanzania","type":"article-journal"},"uris":["http://www.mendeley.com/documents/?uuid=ab371c62-fcc7-4252-9005-b74980b06153","http://www.mendeley.com/documents/?uuid=1fe564a2-eb7c-4606-a0b9-8e4f8b4b8162"]},{"id":"ITEM-2","itemData":{"author":[{"dropping-particle":"","family":"Essex and Suffolk Water","given":"","non-dropping-particle":"","parse-names":false,"suffix":""}],"container-title":"Water Resources Management","id":"ITEM-2","issue":"August","issued":{"date-parts":[["2014"]]},"title":"Final Water Resources Management Plan","type":"article-journal"},"uris":["http://www.mendeley.com/documents/?uuid=2aef28fe-378b-4058-a1a3-20c8c5c2afec","http://www.mendeley.com/documents/?uuid=a385a524-9ef8-40fc-a715-3d1341b52788"]}],"mendeley":{"formattedCitation":"(Essex and Suffolk Water, 2014; Thaxton, 2007)","plainTextFormattedCitation":"(Essex and Suffolk Water, 2014; Thaxton, 2007)","previouslyFormattedCitation":"(Essex and Suffolk Water, 2014; Thaxton, 2007)"},"properties":{"noteIndex":0},"schema":"https://github.com/citation-style-language/schema/raw/master/csl-citation.json"}</w:instrText>
      </w:r>
      <w:r w:rsidR="00C050EB" w:rsidRPr="00CF072B">
        <w:rPr>
          <w:rFonts w:ascii="Arial" w:hAnsi="Arial" w:cs="Arial"/>
        </w:rPr>
        <w:fldChar w:fldCharType="separate"/>
      </w:r>
      <w:r w:rsidRPr="00CF072B">
        <w:rPr>
          <w:rFonts w:ascii="Arial" w:hAnsi="Arial" w:cs="Arial"/>
          <w:noProof/>
        </w:rPr>
        <w:t>(Essex and Suffolk Water, 2014; Thaxton, 2007)</w:t>
      </w:r>
      <w:r w:rsidR="00C050EB" w:rsidRPr="00CF072B">
        <w:rPr>
          <w:rFonts w:ascii="Arial" w:hAnsi="Arial" w:cs="Arial"/>
        </w:rPr>
        <w:fldChar w:fldCharType="end"/>
      </w:r>
      <w:r w:rsidRPr="00CF072B">
        <w:rPr>
          <w:rFonts w:ascii="Arial" w:hAnsi="Arial" w:cs="Arial"/>
        </w:rPr>
        <w:t xml:space="preserve">. This paper aims to explore the use of GIS and Remote Sensing in evaluating dam conditions for compliance with risk management programs Specifically this study aims </w:t>
      </w:r>
      <w:proofErr w:type="gramStart"/>
      <w:r w:rsidRPr="00CF072B">
        <w:rPr>
          <w:rFonts w:ascii="Arial" w:hAnsi="Arial" w:cs="Arial"/>
        </w:rPr>
        <w:t>on  (</w:t>
      </w:r>
      <w:proofErr w:type="gramEnd"/>
      <w:r w:rsidRPr="00CF072B">
        <w:rPr>
          <w:rFonts w:ascii="Arial" w:hAnsi="Arial" w:cs="Arial"/>
        </w:rPr>
        <w:t>1</w:t>
      </w:r>
      <w:r w:rsidRPr="00234C42">
        <w:rPr>
          <w:rFonts w:ascii="Arial" w:hAnsi="Arial" w:cs="Arial"/>
        </w:rPr>
        <w:t>) The use of geospatial technique in identify factor determining the dam condition and (2) The use of Hierarchy Process (AHP) as a decision-making framework to evaluate and determine the risk dam condition</w:t>
      </w:r>
      <w:r>
        <w:rPr>
          <w:rFonts w:ascii="Arial" w:hAnsi="Arial" w:cs="Arial"/>
        </w:rPr>
        <w:t>.</w:t>
      </w:r>
    </w:p>
    <w:p w:rsidR="00790ADA" w:rsidRPr="00FB3A86" w:rsidRDefault="00790ADA" w:rsidP="00441B6F">
      <w:pPr>
        <w:pStyle w:val="Body"/>
        <w:spacing w:after="0"/>
        <w:rPr>
          <w:rFonts w:ascii="Arial" w:hAnsi="Arial" w:cs="Arial"/>
        </w:rPr>
      </w:pPr>
    </w:p>
    <w:p w:rsidR="00790ADA" w:rsidRDefault="00902823" w:rsidP="00A11C99">
      <w:pPr>
        <w:pStyle w:val="AbstHead"/>
        <w:numPr>
          <w:ilvl w:val="0"/>
          <w:numId w:val="33"/>
        </w:numPr>
        <w:spacing w:after="0"/>
        <w:jc w:val="both"/>
        <w:rPr>
          <w:rFonts w:ascii="Arial" w:hAnsi="Arial" w:cs="Arial"/>
        </w:rPr>
      </w:pPr>
      <w:r>
        <w:rPr>
          <w:rFonts w:ascii="Arial" w:hAnsi="Arial" w:cs="Arial"/>
        </w:rPr>
        <w:t>material</w:t>
      </w:r>
      <w:r w:rsidR="00EC2549">
        <w:rPr>
          <w:rFonts w:ascii="Arial" w:hAnsi="Arial" w:cs="Arial"/>
        </w:rPr>
        <w:t>S</w:t>
      </w:r>
      <w:r>
        <w:rPr>
          <w:rFonts w:ascii="Arial" w:hAnsi="Arial" w:cs="Arial"/>
        </w:rPr>
        <w:t xml:space="preserve"> and method</w:t>
      </w:r>
    </w:p>
    <w:p w:rsidR="00A11C99" w:rsidRPr="00FB3A86" w:rsidRDefault="00A11C99" w:rsidP="00441B6F">
      <w:pPr>
        <w:pStyle w:val="AbstHead"/>
        <w:spacing w:after="0"/>
        <w:jc w:val="both"/>
        <w:rPr>
          <w:rFonts w:ascii="Arial" w:hAnsi="Arial" w:cs="Arial"/>
        </w:rPr>
      </w:pPr>
    </w:p>
    <w:p w:rsidR="00A11C99" w:rsidRPr="00A11C99" w:rsidRDefault="00A11C99" w:rsidP="00A11C99">
      <w:pPr>
        <w:pStyle w:val="ListParagraph"/>
        <w:numPr>
          <w:ilvl w:val="1"/>
          <w:numId w:val="33"/>
        </w:numPr>
        <w:spacing w:line="276" w:lineRule="auto"/>
        <w:jc w:val="both"/>
        <w:rPr>
          <w:rFonts w:ascii="Arial" w:eastAsia="Calibri" w:hAnsi="Arial" w:cs="Arial"/>
          <w:b/>
          <w:sz w:val="20"/>
          <w:szCs w:val="20"/>
        </w:rPr>
      </w:pPr>
      <w:r w:rsidRPr="00A11C99">
        <w:rPr>
          <w:rFonts w:ascii="Arial" w:eastAsia="Calibri" w:hAnsi="Arial" w:cs="Arial"/>
          <w:b/>
          <w:sz w:val="20"/>
          <w:szCs w:val="20"/>
        </w:rPr>
        <w:t>Description of the study area</w:t>
      </w:r>
    </w:p>
    <w:p w:rsidR="00A11C99" w:rsidRPr="00E22DA6" w:rsidRDefault="00A11C99" w:rsidP="00A11C99">
      <w:pPr>
        <w:spacing w:line="276" w:lineRule="auto"/>
        <w:jc w:val="both"/>
        <w:rPr>
          <w:rFonts w:ascii="Arial" w:hAnsi="Arial" w:cs="Arial"/>
        </w:rPr>
      </w:pPr>
      <w:r w:rsidRPr="00E22DA6">
        <w:rPr>
          <w:rFonts w:ascii="Arial" w:hAnsi="Arial" w:cs="Arial"/>
        </w:rPr>
        <w:t xml:space="preserve">This study was conducted at the </w:t>
      </w:r>
      <w:proofErr w:type="spellStart"/>
      <w:r w:rsidRPr="00E22DA6">
        <w:rPr>
          <w:rFonts w:ascii="Arial" w:hAnsi="Arial" w:cs="Arial"/>
        </w:rPr>
        <w:t>Mindu</w:t>
      </w:r>
      <w:proofErr w:type="spellEnd"/>
      <w:r w:rsidRPr="00E22DA6">
        <w:rPr>
          <w:rFonts w:ascii="Arial" w:hAnsi="Arial" w:cs="Arial"/>
        </w:rPr>
        <w:t xml:space="preserve"> Dam, located in the Morogoro region's </w:t>
      </w:r>
      <w:r>
        <w:rPr>
          <w:rFonts w:ascii="Arial" w:hAnsi="Arial" w:cs="Arial"/>
        </w:rPr>
        <w:t>Morogoro municipal council.</w:t>
      </w:r>
      <w:r w:rsidRPr="00E22DA6">
        <w:rPr>
          <w:rFonts w:ascii="Arial" w:hAnsi="Arial" w:cs="Arial"/>
        </w:rPr>
        <w:t xml:space="preserve"> Situated in the </w:t>
      </w:r>
      <w:proofErr w:type="spellStart"/>
      <w:r w:rsidRPr="00E22DA6">
        <w:rPr>
          <w:rFonts w:ascii="Arial" w:hAnsi="Arial" w:cs="Arial"/>
        </w:rPr>
        <w:t>Ngerengere</w:t>
      </w:r>
      <w:proofErr w:type="spellEnd"/>
      <w:r w:rsidRPr="00E22DA6">
        <w:rPr>
          <w:rFonts w:ascii="Arial" w:hAnsi="Arial" w:cs="Arial"/>
        </w:rPr>
        <w:t xml:space="preserve"> River Valley, </w:t>
      </w:r>
      <w:proofErr w:type="spellStart"/>
      <w:r w:rsidRPr="00E22DA6">
        <w:rPr>
          <w:rFonts w:ascii="Arial" w:hAnsi="Arial" w:cs="Arial"/>
        </w:rPr>
        <w:t>Mindu</w:t>
      </w:r>
      <w:proofErr w:type="spellEnd"/>
      <w:r w:rsidRPr="00E22DA6">
        <w:rPr>
          <w:rFonts w:ascii="Arial" w:hAnsi="Arial" w:cs="Arial"/>
        </w:rPr>
        <w:t xml:space="preserve"> Dam is roughly 3.8 kilometers southwest of Morogoro Urban</w:t>
      </w:r>
      <w:r w:rsidR="005E5448">
        <w:rPr>
          <w:rFonts w:ascii="Arial" w:hAnsi="Arial" w:cs="Arial"/>
        </w:rPr>
        <w:t xml:space="preserve"> </w:t>
      </w:r>
      <w:r w:rsidR="00C050EB" w:rsidRPr="00E22DA6">
        <w:rPr>
          <w:rFonts w:ascii="Arial" w:hAnsi="Arial" w:cs="Arial"/>
        </w:rPr>
        <w:fldChar w:fldCharType="begin" w:fldLock="1"/>
      </w:r>
      <w:r>
        <w:rPr>
          <w:rFonts w:ascii="Arial" w:hAnsi="Arial" w:cs="Arial"/>
        </w:rPr>
        <w:instrText>ADDIN CSL_CITATION {"citationItems":[{"id":"ITEM-1","itemData":{"DOI":"10.1016/j.heliyon.2019.e02834","ISSN":"24058440","abstract":"The measurement of Chlorophyll-a in aquatic systems has usually correlated to harmful algae in water bodies. Harmful algal blooms (HABs) are as a result of massive proliferation of blue-green algae (Cyanobacteria). Harmful algal blooms (HABs) pose threats to both the environment as well as human health, and despite this well-known fact, their monitoring and management are still challenging. Climate change, extreme weather events, and hydrological changes are the main drivers and predicted to benefits HABs dynamics in most parts of the world. In Tanzania, studies of HABs proliferation and their possible correlation with variability in climate and hydrology still lag behind despite high demand for developing predicting tools and prevention of HABs proliferation. The present study reports on the retrospective analysis of HABs variation in Mindu Dam located in Morogoro, Tanzania using remote sensing techniques. In the present study comparison between in situ measurement and ocean color (OC2) Chlorophyll-a with the surface reflectance's (band and band combinations) of Landsat 7 and Landsat 8 Operational Land Imager (OLI), was performed. Another approach involved searching for patterns and trends, and teleconnection between Chlorophyll-a index (best band ration) and the climate and hydrological variations in the catchment. The findings demonstrated that minimum and maximum temperatures, solar radiation, Chlorophyll-a concentration registered significant increasing trends. Wind speed and directions, water levels for Mindu Dam showed a significant decreasing trend. On the other hand, rainfall showed no trend. The patterns suggest that there are link and causality between the HABs variations and meteorological parameters such as temperatures, solar radiations, and water levels. The study, therefore, contributes to the application of recent advances in remote sensing and retrospectively analysis of bloom dynamics and search for their link with climate and hydrological changes.","author":[{"dropping-particle":"","family":"Kimambo","given":"Offoro N.","non-dropping-particle":"","parse-names":false,"suffix":""},{"dropping-particle":"","family":"Chikoore","given":"Hector","non-dropping-particle":"","parse-names":false,"suffix":""},{"dropping-particle":"","family":"Gumbo","given":"Jabulani R.","non-dropping-particle":"","parse-names":false,"suffix":""},{"dropping-particle":"","family":"Msagati","given":"Titus A.M.","non-dropping-particle":"","parse-names":false,"suffix":""}],"container-title":"Heliyon","id":"ITEM-1","issue":"11","issued":{"date-parts":[["2019"]]},"page":"e02834","publisher":"Elsevier Ltd","title":"Retrospective analysis of Chlorophyll-a and its correlation with climate and hydrological variations in Mindu Dam, Morogoro, Tanzania","type":"article-journal","volume":"5"},"uris":["http://www.mendeley.com/documents/?uuid=dc8a1c12-cfeb-4bec-b6a8-8b903f3fafed","http://www.mendeley.com/documents/?uuid=ca8b0b92-e19c-4b96-a704-df02d1fdd061"]}],"mendeley":{"formattedCitation":"(Kimambo et al., 2019)","plainTextFormattedCitation":"(Kimambo et al., 2019)","previouslyFormattedCitation":"(Kimambo et al., 2019)"},"properties":{"noteIndex":0},"schema":"https://github.com/citation-style-language/schema/raw/master/csl-citation.json"}</w:instrText>
      </w:r>
      <w:r w:rsidR="00C050EB" w:rsidRPr="00E22DA6">
        <w:rPr>
          <w:rFonts w:ascii="Arial" w:hAnsi="Arial" w:cs="Arial"/>
        </w:rPr>
        <w:fldChar w:fldCharType="separate"/>
      </w:r>
      <w:r w:rsidRPr="00E22DA6">
        <w:rPr>
          <w:rFonts w:ascii="Arial" w:hAnsi="Arial" w:cs="Arial"/>
          <w:noProof/>
        </w:rPr>
        <w:t>(Kimambo et al., 2019)</w:t>
      </w:r>
      <w:r w:rsidR="00C050EB" w:rsidRPr="00E22DA6">
        <w:rPr>
          <w:rFonts w:ascii="Arial" w:hAnsi="Arial" w:cs="Arial"/>
        </w:rPr>
        <w:fldChar w:fldCharType="end"/>
      </w:r>
      <w:r w:rsidRPr="00E22DA6">
        <w:rPr>
          <w:rFonts w:ascii="Arial" w:hAnsi="Arial" w:cs="Arial"/>
        </w:rPr>
        <w:t xml:space="preserve">. It is located within the latitudes and longitudes: 6.82°S, and 37.66°E in the Morogoro region (Figure 1). </w:t>
      </w:r>
      <w:r w:rsidR="00EC2549">
        <w:rPr>
          <w:rFonts w:ascii="Arial" w:hAnsi="Arial" w:cs="Arial"/>
        </w:rPr>
        <w:t>T</w:t>
      </w:r>
      <w:r w:rsidRPr="005E5448">
        <w:rPr>
          <w:rFonts w:ascii="Arial" w:hAnsi="Arial" w:cs="Arial"/>
          <w:shd w:val="clear" w:color="auto" w:fill="FFFF00"/>
        </w:rPr>
        <w:t>he dam receive</w:t>
      </w:r>
      <w:r w:rsidR="006366D8">
        <w:rPr>
          <w:rFonts w:ascii="Arial" w:hAnsi="Arial" w:cs="Arial"/>
          <w:shd w:val="clear" w:color="auto" w:fill="FFFF00"/>
        </w:rPr>
        <w:t>d</w:t>
      </w:r>
      <w:r>
        <w:rPr>
          <w:rFonts w:ascii="Arial" w:hAnsi="Arial" w:cs="Arial"/>
        </w:rPr>
        <w:t xml:space="preserve"> a </w:t>
      </w:r>
      <w:r w:rsidRPr="00E22DA6">
        <w:rPr>
          <w:rFonts w:ascii="Arial" w:hAnsi="Arial" w:cs="Arial"/>
        </w:rPr>
        <w:t xml:space="preserve"> bimodal rainfall pattern, with long rains in March, April, and May and short rains in September, October, and November, is what defines the catchment</w:t>
      </w:r>
      <w:r w:rsidR="00C050EB" w:rsidRPr="00E22DA6">
        <w:rPr>
          <w:rFonts w:ascii="Arial" w:hAnsi="Arial" w:cs="Arial"/>
        </w:rPr>
        <w:fldChar w:fldCharType="begin" w:fldLock="1"/>
      </w:r>
      <w:r>
        <w:rPr>
          <w:rFonts w:ascii="Arial" w:hAnsi="Arial" w:cs="Arial"/>
        </w:rPr>
        <w:instrText>ADDIN CSL_CITATION {"citationItems":[{"id":"ITEM-1","itemData":{"DOI":"10.2166/wpt.2023.067","ISSN":"1751231X","abstract":"Water pollution caused by land-use/cover change is one of the most pressing problems facing both industrialized and developing countries. Freshwater quality deterioration suggests the collective outcomes of natural courses and alterations in land-use/ cover. Understanding the correlation among land-use/cover and water quality parameters is vital for future water quality management. In this work, land-use/cover pattern and its effect on water quality in the Mindu Dam drainage area were analysed using Remote Sensing (RS) and Geographical Information System (GIS) techniques together with cellular automata–Markov model. The land-use/cover images between 1990 and 2020 were used to assess historical and spatial change of land-use/ cover change, and projected for 2030 and 2040. We discovered that the dynamics of land use and land cover during the study period were significant. A strong correlation was revealed between changes in the land-use/cover and water quality parameters. Furthermore, a strong correlation exists between cultivated land and measured nutrient (nitrate and phosphate) and chlorophyll-a concentration. The natural vegetation buffer around Mindu Dam should be sufficient to prevent long-term water quality degradation from agricultural runoff in order to manage water quality sustainably. Therefore, land-use/cover management practices must be considered for sustainable resource management and water quality monitoring.","author":[{"dropping-particle":"","family":"Gobry","given":"Josephine John","non-dropping-particle":"","parse-names":false,"suffix":""},{"dropping-particle":"","family":"Twisa","given":"Sekela Simon","non-dropping-particle":"","parse-names":false,"suffix":""},{"dropping-particle":"","family":"Ngassapa","given":"Faustin","non-dropping-particle":"","parse-names":false,"suffix":""},{"dropping-particle":"","family":"Kilulya","given":"Kessy F.","non-dropping-particle":"","parse-names":false,"suffix":""}],"container-title":"Water Practice and Technology","id":"ITEM-1","issue":"5","issued":{"date-parts":[["2023"]]},"page":"1086-1098","title":"Impact of land-use/cover change on water quality in the Mindu Dam drainage, Tanzania","type":"article-journal","volume":"18"},"uris":["http://www.mendeley.com/documents/?uuid=b4e264f4-0f38-4bdb-aef6-1419ec30c84e","http://www.mendeley.com/documents/?uuid=90a3deeb-dd55-4426-b7aa-4bba495582eb"]}],"mendeley":{"formattedCitation":"(Gobry et al., 2023)","plainTextFormattedCitation":"(Gobry et al., 2023)","previouslyFormattedCitation":"(Gobry et al., 2023)"},"properties":{"noteIndex":0},"schema":"https://github.com/citation-style-language/schema/raw/master/csl-citation.json"}</w:instrText>
      </w:r>
      <w:r w:rsidR="00C050EB" w:rsidRPr="00E22DA6">
        <w:rPr>
          <w:rFonts w:ascii="Arial" w:hAnsi="Arial" w:cs="Arial"/>
        </w:rPr>
        <w:fldChar w:fldCharType="separate"/>
      </w:r>
      <w:r w:rsidRPr="00E22DA6">
        <w:rPr>
          <w:rFonts w:ascii="Arial" w:hAnsi="Arial" w:cs="Arial"/>
          <w:noProof/>
        </w:rPr>
        <w:t>(</w:t>
      </w:r>
      <w:proofErr w:type="spellStart"/>
      <w:r w:rsidRPr="00E22DA6">
        <w:rPr>
          <w:rFonts w:ascii="Arial" w:hAnsi="Arial" w:cs="Arial"/>
          <w:noProof/>
        </w:rPr>
        <w:t>Gobry</w:t>
      </w:r>
      <w:proofErr w:type="spellEnd"/>
      <w:r w:rsidRPr="00E22DA6">
        <w:rPr>
          <w:rFonts w:ascii="Arial" w:hAnsi="Arial" w:cs="Arial"/>
          <w:noProof/>
        </w:rPr>
        <w:t xml:space="preserve"> et al., 2023)</w:t>
      </w:r>
      <w:r w:rsidR="00C050EB" w:rsidRPr="00E22DA6">
        <w:rPr>
          <w:rFonts w:ascii="Arial" w:hAnsi="Arial" w:cs="Arial"/>
        </w:rPr>
        <w:fldChar w:fldCharType="end"/>
      </w:r>
      <w:r w:rsidRPr="00E22DA6">
        <w:rPr>
          <w:rFonts w:ascii="Arial" w:hAnsi="Arial" w:cs="Arial"/>
        </w:rPr>
        <w:t xml:space="preserve">. With an annual rainfall of between 800 and 1500 mm, the </w:t>
      </w:r>
      <w:proofErr w:type="spellStart"/>
      <w:r w:rsidRPr="00E22DA6">
        <w:rPr>
          <w:rFonts w:ascii="Arial" w:hAnsi="Arial" w:cs="Arial"/>
        </w:rPr>
        <w:t>Uluguru</w:t>
      </w:r>
      <w:proofErr w:type="spellEnd"/>
      <w:r w:rsidRPr="00E22DA6">
        <w:rPr>
          <w:rFonts w:ascii="Arial" w:hAnsi="Arial" w:cs="Arial"/>
        </w:rPr>
        <w:t xml:space="preserve"> Mountains receive the most precipitation in the basin. The dam primarily supplies Morogoro town with water</w:t>
      </w:r>
      <w:r w:rsidR="00C050EB" w:rsidRPr="00E22DA6">
        <w:rPr>
          <w:rFonts w:ascii="Arial" w:hAnsi="Arial" w:cs="Arial"/>
        </w:rPr>
        <w:fldChar w:fldCharType="begin" w:fldLock="1"/>
      </w:r>
      <w:r>
        <w:rPr>
          <w:rFonts w:ascii="Arial" w:hAnsi="Arial" w:cs="Arial"/>
        </w:rPr>
        <w:instrText>ADDIN CSL_CITATION {"citationItems":[{"id":"ITEM-1","itemData":{"DOI":"10.1016/j.heliyon.2019.e02834","ISSN":"24058440","abstract":"The measurement of Chlorophyll-a in aquatic systems has usually correlated to harmful algae in water bodies. Harmful algal blooms (HABs) are as a result of massive proliferation of blue-green algae (Cyanobacteria). Harmful algal blooms (HABs) pose threats to both the environment as well as human health, and despite this well-known fact, their monitoring and management are still challenging. Climate change, extreme weather events, and hydrological changes are the main drivers and predicted to benefits HABs dynamics in most parts of the world. In Tanzania, studies of HABs proliferation and their possible correlation with variability in climate and hydrology still lag behind despite high demand for developing predicting tools and prevention of HABs proliferation. The present study reports on the retrospective analysis of HABs variation in Mindu Dam located in Morogoro, Tanzania using remote sensing techniques. In the present study comparison between in situ measurement and ocean color (OC2) Chlorophyll-a with the surface reflectance's (band and band combinations) of Landsat 7 and Landsat 8 Operational Land Imager (OLI), was performed. Another approach involved searching for patterns and trends, and teleconnection between Chlorophyll-a index (best band ration) and the climate and hydrological variations in the catchment. The findings demonstrated that minimum and maximum temperatures, solar radiation, Chlorophyll-a concentration registered significant increasing trends. Wind speed and directions, water levels for Mindu Dam showed a significant decreasing trend. On the other hand, rainfall showed no trend. The patterns suggest that there are link and causality between the HABs variations and meteorological parameters such as temperatures, solar radiations, and water levels. The study, therefore, contributes to the application of recent advances in remote sensing and retrospectively analysis of bloom dynamics and search for their link with climate and hydrological changes.","author":[{"dropping-particle":"","family":"Kimambo","given":"Offoro N.","non-dropping-particle":"","parse-names":false,"suffix":""},{"dropping-particle":"","family":"Chikoore","given":"Hector","non-dropping-particle":"","parse-names":false,"suffix":""},{"dropping-particle":"","family":"Gumbo","given":"Jabulani R.","non-dropping-particle":"","parse-names":false,"suffix":""},{"dropping-particle":"","family":"Msagati","given":"Titus A.M.","non-dropping-particle":"","parse-names":false,"suffix":""}],"container-title":"Heliyon","id":"ITEM-1","issue":"11","issued":{"date-parts":[["2019"]]},"page":"e02834","publisher":"Elsevier Ltd","title":"Retrospective analysis of Chlorophyll-a and its correlation with climate and hydrological variations in Mindu Dam, Morogoro, Tanzania","type":"article-journal","volume":"5"},"uris":["http://www.mendeley.com/documents/?uuid=ca8b0b92-e19c-4b96-a704-df02d1fdd061","http://www.mendeley.com/documents/?uuid=dc8a1c12-cfeb-4bec-b6a8-8b903f3fafed"]}],"mendeley":{"formattedCitation":"(Kimambo et al., 2019)","plainTextFormattedCitation":"(Kimambo et al., 2019)","previouslyFormattedCitation":"(Kimambo et al., 2019)"},"properties":{"noteIndex":0},"schema":"https://github.com/citation-style-language/schema/raw/master/csl-citation.json"}</w:instrText>
      </w:r>
      <w:r w:rsidR="00C050EB" w:rsidRPr="00E22DA6">
        <w:rPr>
          <w:rFonts w:ascii="Arial" w:hAnsi="Arial" w:cs="Arial"/>
        </w:rPr>
        <w:fldChar w:fldCharType="separate"/>
      </w:r>
      <w:r w:rsidRPr="00E22DA6">
        <w:rPr>
          <w:rFonts w:ascii="Arial" w:hAnsi="Arial" w:cs="Arial"/>
          <w:noProof/>
        </w:rPr>
        <w:t>(</w:t>
      </w:r>
      <w:proofErr w:type="spellStart"/>
      <w:r w:rsidRPr="00E22DA6">
        <w:rPr>
          <w:rFonts w:ascii="Arial" w:hAnsi="Arial" w:cs="Arial"/>
          <w:noProof/>
        </w:rPr>
        <w:t>Kimambo</w:t>
      </w:r>
      <w:proofErr w:type="spellEnd"/>
      <w:r w:rsidRPr="00E22DA6">
        <w:rPr>
          <w:rFonts w:ascii="Arial" w:hAnsi="Arial" w:cs="Arial"/>
          <w:noProof/>
        </w:rPr>
        <w:t xml:space="preserve"> et al., 2019)</w:t>
      </w:r>
      <w:r w:rsidR="00C050EB" w:rsidRPr="00E22DA6">
        <w:rPr>
          <w:rFonts w:ascii="Arial" w:hAnsi="Arial" w:cs="Arial"/>
        </w:rPr>
        <w:fldChar w:fldCharType="end"/>
      </w:r>
      <w:r w:rsidRPr="00E22DA6">
        <w:rPr>
          <w:rFonts w:ascii="Arial" w:hAnsi="Arial" w:cs="Arial"/>
        </w:rPr>
        <w:t xml:space="preserve">. </w:t>
      </w:r>
      <w:r w:rsidRPr="005E5448">
        <w:rPr>
          <w:rFonts w:ascii="Arial" w:hAnsi="Arial" w:cs="Arial"/>
          <w:shd w:val="clear" w:color="auto" w:fill="FFFF00"/>
        </w:rPr>
        <w:t>Its construction started in 1983 and was finished in 1985</w:t>
      </w:r>
      <w:r w:rsidRPr="00E22DA6">
        <w:rPr>
          <w:rFonts w:ascii="Arial" w:hAnsi="Arial" w:cs="Arial"/>
        </w:rPr>
        <w:t xml:space="preserve"> with a dam design storage capacity of 20 Million m</w:t>
      </w:r>
      <w:r w:rsidRPr="00E22DA6">
        <w:rPr>
          <w:rFonts w:ascii="Arial" w:hAnsi="Arial" w:cs="Arial"/>
          <w:vertAlign w:val="superscript"/>
        </w:rPr>
        <w:t>3</w:t>
      </w:r>
      <w:r w:rsidR="00C050EB" w:rsidRPr="00E22DA6">
        <w:rPr>
          <w:rFonts w:ascii="Arial" w:hAnsi="Arial" w:cs="Arial"/>
          <w:vertAlign w:val="superscript"/>
        </w:rPr>
        <w:fldChar w:fldCharType="begin" w:fldLock="1"/>
      </w:r>
      <w:r>
        <w:rPr>
          <w:rFonts w:ascii="Arial" w:hAnsi="Arial" w:cs="Arial"/>
          <w:vertAlign w:val="superscript"/>
        </w:rPr>
        <w:instrText>ADDIN CSL_CITATION {"citationItems":[{"id":"ITEM-1","itemData":{"author":[{"dropping-particle":"","family":"Mindu","given":"The","non-dropping-particle":"","parse-names":false,"suffix":""},{"dropping-particle":"","family":"River","given":"Ngerengere","non-dropping-particle":"","parse-names":false,"suffix":""},{"dropping-particle":"","family":"River","given":"Ngerengere","non-dropping-particle":"","parse-names":false,"suffix":""}],"id":"ITEM-1","issued":{"date-parts":[["1974"]]},"title":"Some development and economic aspects of the Mindu Dam project , Morogoro : a background analysis for decision making Josephine Diana Kaduma Master of Arts University of Dar es Salaam , College of Social Sciences , 1972","type":"article-journal"},"uris":["http://www.mendeley.com/documents/?uuid=f0212a79-042a-4df4-b680-0ee2570f2a1c","http://www.mendeley.com/documents/?uuid=0bcfd7ad-b918-4408-ba2c-660abebafc44"]}],"mendeley":{"formattedCitation":"(Mindu et al., 1974)","manualFormatting":"(Josephine et al., 1974)","plainTextFormattedCitation":"(Mindu et al., 1974)","previouslyFormattedCitation":"(Mindu et al., 1974)"},"properties":{"noteIndex":0},"schema":"https://github.com/citation-style-language/schema/raw/master/csl-citation.json"}</w:instrText>
      </w:r>
      <w:r w:rsidR="00C050EB" w:rsidRPr="00E22DA6">
        <w:rPr>
          <w:rFonts w:ascii="Arial" w:hAnsi="Arial" w:cs="Arial"/>
          <w:vertAlign w:val="superscript"/>
        </w:rPr>
        <w:fldChar w:fldCharType="separate"/>
      </w:r>
      <w:r w:rsidRPr="00E22DA6">
        <w:rPr>
          <w:rFonts w:ascii="Arial" w:hAnsi="Arial" w:cs="Arial"/>
          <w:noProof/>
        </w:rPr>
        <w:t>(Josephine et al., 1974)</w:t>
      </w:r>
      <w:r w:rsidR="00C050EB" w:rsidRPr="00E22DA6">
        <w:rPr>
          <w:rFonts w:ascii="Arial" w:hAnsi="Arial" w:cs="Arial"/>
          <w:vertAlign w:val="superscript"/>
        </w:rPr>
        <w:fldChar w:fldCharType="end"/>
      </w:r>
      <w:r w:rsidRPr="00E22DA6">
        <w:rPr>
          <w:rFonts w:ascii="Arial" w:hAnsi="Arial" w:cs="Arial"/>
        </w:rPr>
        <w:t>.</w:t>
      </w:r>
    </w:p>
    <w:p w:rsidR="00A11C99" w:rsidRPr="008D5B9F" w:rsidRDefault="00D34B0D" w:rsidP="00A11C99">
      <w:pPr>
        <w:spacing w:line="276" w:lineRule="auto"/>
        <w:jc w:val="center"/>
        <w:rPr>
          <w:rFonts w:ascii="Arial" w:hAnsi="Arial" w:cs="Arial"/>
        </w:rPr>
      </w:pPr>
      <w:r>
        <w:rPr>
          <w:rFonts w:ascii="Arial" w:eastAsia="Calibri" w:hAnsi="Arial" w:cs="Arial"/>
          <w:noProof/>
        </w:rPr>
        <w:lastRenderedPageBreak/>
        <w:pict>
          <v:oval id="_x0000_s1030" style="position:absolute;left:0;text-align:left;margin-left:207pt;margin-top:146.3pt;width:99.3pt;height:78.9pt;z-index:251662336" filled="f" strokecolor="red" strokeweight="2pt"/>
        </w:pict>
      </w:r>
      <w:r w:rsidR="00A11C99" w:rsidRPr="007B3682">
        <w:rPr>
          <w:rFonts w:ascii="Arial" w:eastAsia="Calibri" w:hAnsi="Arial" w:cs="Arial"/>
          <w:noProof/>
        </w:rPr>
        <w:drawing>
          <wp:inline distT="0" distB="0" distL="0" distR="0">
            <wp:extent cx="5108665" cy="3916680"/>
            <wp:effectExtent l="38100" t="38100" r="34925" b="457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838870" name="Picture 1461838870"/>
                    <pic:cNvPicPr/>
                  </pic:nvPicPr>
                  <pic:blipFill>
                    <a:blip r:embed="rId8" cstate="print">
                      <a:extLst>
                        <a:ext uri="{28A0092B-C50C-407E-A947-70E740481C1C}">
                          <a14:useLocalDpi xmlns:a14="http://schemas.microsoft.com/office/drawing/2010/main" val="0"/>
                        </a:ext>
                      </a:extLst>
                    </a:blip>
                    <a:stretch>
                      <a:fillRect/>
                    </a:stretch>
                  </pic:blipFill>
                  <pic:spPr>
                    <a:xfrm>
                      <a:off x="0" y="0"/>
                      <a:ext cx="5125183" cy="3929344"/>
                    </a:xfrm>
                    <a:prstGeom prst="rect">
                      <a:avLst/>
                    </a:prstGeom>
                    <a:ln w="28575">
                      <a:solidFill>
                        <a:schemeClr val="tx1"/>
                      </a:solidFill>
                    </a:ln>
                  </pic:spPr>
                </pic:pic>
              </a:graphicData>
            </a:graphic>
          </wp:inline>
        </w:drawing>
      </w:r>
    </w:p>
    <w:p w:rsidR="00A11C99" w:rsidRDefault="00A11C99" w:rsidP="00A11C99">
      <w:pPr>
        <w:spacing w:after="200" w:line="276" w:lineRule="auto"/>
        <w:jc w:val="center"/>
        <w:rPr>
          <w:rFonts w:ascii="Arial" w:eastAsia="Calibri" w:hAnsi="Arial" w:cs="Arial"/>
          <w:noProof/>
        </w:rPr>
      </w:pPr>
      <w:r w:rsidRPr="007B3682">
        <w:rPr>
          <w:rFonts w:ascii="Arial" w:eastAsia="Calibri" w:hAnsi="Arial" w:cs="Arial"/>
        </w:rPr>
        <w:t xml:space="preserve">Figure </w:t>
      </w:r>
      <w:r w:rsidR="00C050EB" w:rsidRPr="007B3682">
        <w:rPr>
          <w:rFonts w:ascii="Arial" w:eastAsia="Calibri" w:hAnsi="Arial" w:cs="Arial"/>
        </w:rPr>
        <w:fldChar w:fldCharType="begin"/>
      </w:r>
      <w:r w:rsidRPr="007B3682">
        <w:rPr>
          <w:rFonts w:ascii="Arial" w:eastAsia="Calibri" w:hAnsi="Arial" w:cs="Arial"/>
        </w:rPr>
        <w:instrText xml:space="preserve"> SEQ Figure \* ARABIC </w:instrText>
      </w:r>
      <w:r w:rsidR="00C050EB" w:rsidRPr="007B3682">
        <w:rPr>
          <w:rFonts w:ascii="Arial" w:eastAsia="Calibri" w:hAnsi="Arial" w:cs="Arial"/>
        </w:rPr>
        <w:fldChar w:fldCharType="separate"/>
      </w:r>
      <w:r>
        <w:rPr>
          <w:rFonts w:ascii="Arial" w:eastAsia="Calibri" w:hAnsi="Arial" w:cs="Arial"/>
          <w:noProof/>
        </w:rPr>
        <w:t>1</w:t>
      </w:r>
      <w:r w:rsidR="00C050EB" w:rsidRPr="007B3682">
        <w:rPr>
          <w:rFonts w:ascii="Arial" w:eastAsia="Calibri" w:hAnsi="Arial" w:cs="Arial"/>
        </w:rPr>
        <w:fldChar w:fldCharType="end"/>
      </w:r>
      <w:r w:rsidRPr="007B3682">
        <w:rPr>
          <w:rFonts w:ascii="Arial" w:eastAsia="Calibri" w:hAnsi="Arial" w:cs="Arial"/>
        </w:rPr>
        <w:t xml:space="preserve">. Study area showing the location of </w:t>
      </w:r>
      <w:proofErr w:type="spellStart"/>
      <w:r w:rsidRPr="007B3682">
        <w:rPr>
          <w:rFonts w:ascii="Arial" w:eastAsia="Calibri" w:hAnsi="Arial" w:cs="Arial"/>
        </w:rPr>
        <w:t>Mindu</w:t>
      </w:r>
      <w:proofErr w:type="spellEnd"/>
      <w:r w:rsidRPr="007B3682">
        <w:rPr>
          <w:rFonts w:ascii="Arial" w:eastAsia="Calibri" w:hAnsi="Arial" w:cs="Arial"/>
        </w:rPr>
        <w:t xml:space="preserve"> Dam </w:t>
      </w:r>
      <w:r w:rsidRPr="00D30026">
        <w:rPr>
          <w:rFonts w:ascii="Arial" w:eastAsia="Calibri" w:hAnsi="Arial" w:cs="Arial"/>
          <w:strike/>
          <w:noProof/>
        </w:rPr>
        <w:t>(</w:t>
      </w:r>
      <w:r w:rsidRPr="00D30026">
        <w:rPr>
          <w:rFonts w:ascii="Arial" w:eastAsia="Calibri" w:hAnsi="Arial" w:cs="Arial"/>
          <w:strike/>
          <w:noProof/>
          <w:shd w:val="clear" w:color="auto" w:fill="FFFF00"/>
        </w:rPr>
        <w:t>Author,2023</w:t>
      </w:r>
      <w:r w:rsidRPr="00D30026">
        <w:rPr>
          <w:rFonts w:ascii="Arial" w:eastAsia="Calibri" w:hAnsi="Arial" w:cs="Arial"/>
          <w:strike/>
          <w:noProof/>
        </w:rPr>
        <w:t>)</w:t>
      </w:r>
    </w:p>
    <w:p w:rsidR="00A11C99" w:rsidRPr="00A11C99" w:rsidRDefault="00A11C99" w:rsidP="00A11C99">
      <w:pPr>
        <w:pStyle w:val="ListParagraph"/>
        <w:numPr>
          <w:ilvl w:val="1"/>
          <w:numId w:val="33"/>
        </w:numPr>
        <w:spacing w:after="200" w:line="276" w:lineRule="auto"/>
        <w:rPr>
          <w:rFonts w:ascii="Arial" w:eastAsia="Calibri" w:hAnsi="Arial" w:cs="Arial"/>
          <w:b/>
        </w:rPr>
      </w:pPr>
      <w:r w:rsidRPr="001E2D72">
        <w:rPr>
          <w:rFonts w:ascii="Arial" w:eastAsia="Calibri" w:hAnsi="Arial" w:cs="Arial"/>
          <w:b/>
          <w:shd w:val="clear" w:color="auto" w:fill="FFFF00"/>
        </w:rPr>
        <w:t>Research design</w:t>
      </w:r>
      <w:r w:rsidRPr="00A11C99">
        <w:rPr>
          <w:rFonts w:ascii="Arial" w:eastAsia="Calibri" w:hAnsi="Arial" w:cs="Arial"/>
          <w:b/>
        </w:rPr>
        <w:t xml:space="preserve"> and data collection</w:t>
      </w:r>
    </w:p>
    <w:p w:rsidR="00A11C99" w:rsidRPr="007A3A78" w:rsidRDefault="00A11C99" w:rsidP="00A11C99">
      <w:pPr>
        <w:spacing w:after="200" w:line="276" w:lineRule="auto"/>
        <w:jc w:val="both"/>
        <w:rPr>
          <w:rFonts w:ascii="Arial" w:eastAsia="Calibri" w:hAnsi="Arial" w:cs="Arial"/>
        </w:rPr>
      </w:pPr>
      <w:r w:rsidRPr="007A3A78">
        <w:rPr>
          <w:rFonts w:ascii="Arial" w:eastAsia="Calibri" w:hAnsi="Arial" w:cs="Arial"/>
        </w:rPr>
        <w:t xml:space="preserve">This study employs a mixed-methods research design, integrating both qualitative and quantitative approaches to evaluate the conditions of old dams for compliance with risk management programs for dam safety. The qualitative aspect focuses on analyzing secondary data sources, including scientific literature, government reports, and hydrological studies, to incorporate contextual and historical knowledge of the study area. Case studies from similar regions and expert insights on dam safety management enhance the understanding of spatial models. The quantitative approach utilizes geospatial analysis through GIS and remote sensing technologies. Satellite imagery from Landsat missions and Digital Elevation Models (DEMs) are used to derive key topographical factors such as slope, aspect, and elevation, which influence dam safety. These data are processed in ArcGIS </w:t>
      </w:r>
      <w:r>
        <w:rPr>
          <w:rFonts w:ascii="Arial" w:eastAsia="Calibri" w:hAnsi="Arial" w:cs="Arial"/>
        </w:rPr>
        <w:t>10.7</w:t>
      </w:r>
      <w:r w:rsidR="001E2D72">
        <w:rPr>
          <w:rFonts w:ascii="Arial" w:eastAsia="Calibri" w:hAnsi="Arial" w:cs="Arial"/>
        </w:rPr>
        <w:t xml:space="preserve"> </w:t>
      </w:r>
      <w:r w:rsidRPr="007A3A78">
        <w:rPr>
          <w:rFonts w:ascii="Arial" w:eastAsia="Calibri" w:hAnsi="Arial" w:cs="Arial"/>
        </w:rPr>
        <w:t xml:space="preserve">software </w:t>
      </w:r>
      <w:r w:rsidRPr="001E2D72">
        <w:rPr>
          <w:rFonts w:ascii="Arial" w:eastAsia="Calibri" w:hAnsi="Arial" w:cs="Arial"/>
          <w:shd w:val="clear" w:color="auto" w:fill="FFFF00"/>
        </w:rPr>
        <w:t>to detect structural changes and assess the surrounding terrain</w:t>
      </w:r>
      <w:r w:rsidRPr="007A3A78">
        <w:rPr>
          <w:rFonts w:ascii="Arial" w:eastAsia="Calibri" w:hAnsi="Arial" w:cs="Arial"/>
        </w:rPr>
        <w:t>.</w:t>
      </w:r>
    </w:p>
    <w:p w:rsidR="00A11C99" w:rsidRDefault="00A11C99" w:rsidP="00A11C99">
      <w:pPr>
        <w:spacing w:after="200" w:line="276" w:lineRule="auto"/>
        <w:jc w:val="both"/>
        <w:rPr>
          <w:rFonts w:ascii="Arial" w:eastAsia="Calibri" w:hAnsi="Arial" w:cs="Arial"/>
        </w:rPr>
      </w:pPr>
      <w:r w:rsidRPr="007A3A78">
        <w:rPr>
          <w:rFonts w:ascii="Arial" w:eastAsia="Calibri" w:hAnsi="Arial" w:cs="Arial"/>
        </w:rPr>
        <w:t xml:space="preserve">The data collection and analysis involve integrating remote sensing and secondary data to comprehensively assess dam safety conditions. Landsat satellite imagery is obtained from the USGS Earth Explorer for multi-temporal analysis of dam structures and environmental changes, while Digital Elevation Models (DEMs) are utilized to derive slope, aspect, and elevation for topographical assessments. Secondary data, including dam inspection reports, safety guidelines, and scientific literature, provide regulatory and historical context. Data processing involves GIS tools like QGIS, </w:t>
      </w:r>
      <w:r>
        <w:rPr>
          <w:rFonts w:ascii="Arial" w:eastAsia="Calibri" w:hAnsi="Arial" w:cs="Arial"/>
        </w:rPr>
        <w:t xml:space="preserve">and </w:t>
      </w:r>
      <w:r w:rsidRPr="007A3A78">
        <w:rPr>
          <w:rFonts w:ascii="Arial" w:eastAsia="Calibri" w:hAnsi="Arial" w:cs="Arial"/>
        </w:rPr>
        <w:t xml:space="preserve">ArcGIS, to analyze </w:t>
      </w:r>
      <w:r w:rsidRPr="000A6D40">
        <w:rPr>
          <w:rFonts w:ascii="Arial" w:eastAsia="Calibri" w:hAnsi="Arial" w:cs="Arial"/>
          <w:shd w:val="clear" w:color="auto" w:fill="FFFF00"/>
        </w:rPr>
        <w:t>terrain stability</w:t>
      </w:r>
      <w:r w:rsidRPr="007A3A78">
        <w:rPr>
          <w:rFonts w:ascii="Arial" w:eastAsia="Calibri" w:hAnsi="Arial" w:cs="Arial"/>
        </w:rPr>
        <w:t xml:space="preserve"> and detect </w:t>
      </w:r>
      <w:r w:rsidRPr="007A3A78">
        <w:rPr>
          <w:rFonts w:ascii="Arial" w:eastAsia="Calibri" w:hAnsi="Arial" w:cs="Arial"/>
        </w:rPr>
        <w:lastRenderedPageBreak/>
        <w:t xml:space="preserve">structural alterations. </w:t>
      </w:r>
      <w:r w:rsidRPr="000A6D40">
        <w:rPr>
          <w:rFonts w:ascii="Arial" w:eastAsia="Calibri" w:hAnsi="Arial" w:cs="Arial"/>
          <w:shd w:val="clear" w:color="auto" w:fill="FFFF00"/>
        </w:rPr>
        <w:t>Qualitative analysis of secondary sources complements geospatial findings, enhancing interpretations with expert insights and historical management practices.</w:t>
      </w:r>
      <w:r w:rsidRPr="007A3A78">
        <w:rPr>
          <w:rFonts w:ascii="Arial" w:eastAsia="Calibri" w:hAnsi="Arial" w:cs="Arial"/>
        </w:rPr>
        <w:t xml:space="preserve"> This integrated approach ensures thorough evaluations for dam safety compliance and risk management.</w:t>
      </w:r>
    </w:p>
    <w:p w:rsidR="00703372" w:rsidRDefault="00703372" w:rsidP="00A11C99">
      <w:pPr>
        <w:spacing w:line="276" w:lineRule="auto"/>
        <w:jc w:val="both"/>
        <w:rPr>
          <w:rFonts w:ascii="Arial" w:eastAsiaTheme="minorHAnsi" w:hAnsi="Arial" w:cs="Arial"/>
          <w:b/>
          <w:kern w:val="2"/>
          <w:sz w:val="22"/>
          <w:szCs w:val="22"/>
        </w:rPr>
      </w:pPr>
      <w:r w:rsidRPr="00332FDC">
        <w:rPr>
          <w:rFonts w:ascii="Arial" w:eastAsiaTheme="minorHAnsi" w:hAnsi="Arial" w:cs="Arial"/>
          <w:b/>
          <w:kern w:val="2"/>
          <w:sz w:val="22"/>
          <w:szCs w:val="22"/>
          <w:highlight w:val="yellow"/>
        </w:rPr>
        <w:t>2.3 Geospatial and collateral data</w:t>
      </w:r>
      <w:r w:rsidRPr="00703372">
        <w:rPr>
          <w:rFonts w:ascii="Arial" w:eastAsiaTheme="minorHAnsi" w:hAnsi="Arial" w:cs="Arial"/>
          <w:b/>
          <w:kern w:val="2"/>
          <w:sz w:val="22"/>
          <w:szCs w:val="22"/>
        </w:rPr>
        <w:t xml:space="preserve"> </w:t>
      </w:r>
    </w:p>
    <w:p w:rsidR="00703372" w:rsidRDefault="00703372" w:rsidP="00A11C99">
      <w:pPr>
        <w:spacing w:line="276" w:lineRule="auto"/>
        <w:jc w:val="both"/>
        <w:rPr>
          <w:rFonts w:ascii="Arial" w:hAnsi="Arial" w:cs="Arial"/>
        </w:rPr>
      </w:pPr>
    </w:p>
    <w:p w:rsidR="00A11C99" w:rsidRPr="00413362" w:rsidRDefault="00A11C99" w:rsidP="00A11C99">
      <w:pPr>
        <w:spacing w:line="276" w:lineRule="auto"/>
        <w:jc w:val="both"/>
        <w:rPr>
          <w:rFonts w:ascii="Arial" w:hAnsi="Arial" w:cs="Arial"/>
        </w:rPr>
      </w:pPr>
      <w:r w:rsidRPr="00413362">
        <w:rPr>
          <w:rFonts w:ascii="Arial" w:hAnsi="Arial" w:cs="Arial"/>
        </w:rPr>
        <w:t xml:space="preserve">The study used the </w:t>
      </w:r>
      <w:r>
        <w:rPr>
          <w:rFonts w:ascii="Arial" w:hAnsi="Arial" w:cs="Arial"/>
        </w:rPr>
        <w:t>remote sensing dataset</w:t>
      </w:r>
      <w:r w:rsidRPr="00413362">
        <w:rPr>
          <w:rFonts w:ascii="Arial" w:hAnsi="Arial" w:cs="Arial"/>
        </w:rPr>
        <w:t xml:space="preserve"> which </w:t>
      </w:r>
      <w:r w:rsidRPr="00703372">
        <w:rPr>
          <w:rFonts w:ascii="Arial" w:hAnsi="Arial" w:cs="Arial"/>
          <w:highlight w:val="yellow"/>
        </w:rPr>
        <w:t>were</w:t>
      </w:r>
      <w:r w:rsidR="00703372" w:rsidRPr="00703372">
        <w:rPr>
          <w:rFonts w:ascii="Arial" w:hAnsi="Arial" w:cs="Arial"/>
          <w:highlight w:val="yellow"/>
        </w:rPr>
        <w:t xml:space="preserve"> </w:t>
      </w:r>
      <w:r w:rsidRPr="00703372">
        <w:rPr>
          <w:rFonts w:ascii="Arial" w:hAnsi="Arial" w:cs="Arial"/>
          <w:highlight w:val="yellow"/>
        </w:rPr>
        <w:t>acquired from the</w:t>
      </w:r>
      <w:r w:rsidRPr="00413362">
        <w:rPr>
          <w:rFonts w:ascii="Arial" w:hAnsi="Arial" w:cs="Arial"/>
        </w:rPr>
        <w:t xml:space="preserve"> USGS site (http://www.usgs.gov/, retrieved on August 03, 202</w:t>
      </w:r>
      <w:r>
        <w:rPr>
          <w:rFonts w:ascii="Arial" w:hAnsi="Arial" w:cs="Arial"/>
        </w:rPr>
        <w:t>3</w:t>
      </w:r>
      <w:r w:rsidRPr="00413362">
        <w:rPr>
          <w:rFonts w:ascii="Arial" w:hAnsi="Arial" w:cs="Arial"/>
        </w:rPr>
        <w:t xml:space="preserve">), Climate engine and The National Bureau of Statistics (NBS) acting as the main foundation of the </w:t>
      </w:r>
      <w:r>
        <w:rPr>
          <w:rFonts w:ascii="Arial" w:hAnsi="Arial" w:cs="Arial"/>
        </w:rPr>
        <w:t>criteria for determination of old dam risk assessment. Land use/</w:t>
      </w:r>
      <w:r w:rsidRPr="00413362">
        <w:rPr>
          <w:rFonts w:ascii="Arial" w:hAnsi="Arial" w:cs="Arial"/>
        </w:rPr>
        <w:t>cover, Digital Elevation (DEM), Weather D</w:t>
      </w:r>
      <w:r>
        <w:rPr>
          <w:rFonts w:ascii="Arial" w:hAnsi="Arial" w:cs="Arial"/>
        </w:rPr>
        <w:t>ata,</w:t>
      </w:r>
      <w:r w:rsidRPr="00413362">
        <w:rPr>
          <w:rFonts w:ascii="Arial" w:hAnsi="Arial" w:cs="Arial"/>
        </w:rPr>
        <w:t xml:space="preserve"> river and road </w:t>
      </w:r>
      <w:r>
        <w:rPr>
          <w:rFonts w:ascii="Arial" w:hAnsi="Arial" w:cs="Arial"/>
        </w:rPr>
        <w:t xml:space="preserve">network distances </w:t>
      </w:r>
      <w:r w:rsidRPr="00413362">
        <w:rPr>
          <w:rFonts w:ascii="Arial" w:hAnsi="Arial" w:cs="Arial"/>
        </w:rPr>
        <w:t xml:space="preserve">respectively </w:t>
      </w:r>
      <w:r>
        <w:rPr>
          <w:rFonts w:ascii="Arial" w:hAnsi="Arial" w:cs="Arial"/>
        </w:rPr>
        <w:t xml:space="preserve">are the criteria generated </w:t>
      </w:r>
      <w:r w:rsidRPr="00413362">
        <w:rPr>
          <w:rFonts w:ascii="Arial" w:hAnsi="Arial" w:cs="Arial"/>
        </w:rPr>
        <w:t xml:space="preserve">for </w:t>
      </w:r>
      <w:r>
        <w:rPr>
          <w:rFonts w:ascii="Arial" w:hAnsi="Arial" w:cs="Arial"/>
        </w:rPr>
        <w:t xml:space="preserve">this </w:t>
      </w:r>
      <w:r w:rsidRPr="00413362">
        <w:rPr>
          <w:rFonts w:ascii="Arial" w:hAnsi="Arial" w:cs="Arial"/>
        </w:rPr>
        <w:t xml:space="preserve">study, covering a couple of years. </w:t>
      </w:r>
      <w:r>
        <w:rPr>
          <w:rFonts w:ascii="Arial" w:hAnsi="Arial" w:cs="Arial"/>
        </w:rPr>
        <w:t xml:space="preserve">All these criteria were converted into the same spatial resolution of </w:t>
      </w:r>
      <w:r w:rsidRPr="00413362">
        <w:rPr>
          <w:rFonts w:ascii="Arial" w:hAnsi="Arial" w:cs="Arial"/>
        </w:rPr>
        <w:t>30m by 30m (Table 1).</w:t>
      </w:r>
    </w:p>
    <w:p w:rsidR="00A11C99" w:rsidRPr="00413362" w:rsidRDefault="00A11C99" w:rsidP="00A11C99">
      <w:pPr>
        <w:pStyle w:val="Caption"/>
        <w:spacing w:line="276" w:lineRule="auto"/>
        <w:jc w:val="both"/>
        <w:rPr>
          <w:rFonts w:ascii="Arial" w:hAnsi="Arial" w:cs="Arial"/>
          <w:i w:val="0"/>
          <w:iCs w:val="0"/>
          <w:color w:val="auto"/>
          <w:sz w:val="22"/>
          <w:szCs w:val="22"/>
        </w:rPr>
      </w:pPr>
      <w:r w:rsidRPr="00413362">
        <w:rPr>
          <w:rFonts w:ascii="Arial" w:hAnsi="Arial" w:cs="Arial"/>
          <w:i w:val="0"/>
          <w:iCs w:val="0"/>
          <w:color w:val="auto"/>
          <w:sz w:val="22"/>
          <w:szCs w:val="22"/>
        </w:rPr>
        <w:t xml:space="preserve">Table </w:t>
      </w:r>
      <w:r w:rsidR="00C050EB" w:rsidRPr="00413362">
        <w:rPr>
          <w:rFonts w:ascii="Arial" w:hAnsi="Arial" w:cs="Arial"/>
          <w:i w:val="0"/>
          <w:iCs w:val="0"/>
          <w:color w:val="auto"/>
          <w:sz w:val="22"/>
          <w:szCs w:val="22"/>
        </w:rPr>
        <w:fldChar w:fldCharType="begin"/>
      </w:r>
      <w:r w:rsidRPr="00413362">
        <w:rPr>
          <w:rFonts w:ascii="Arial" w:hAnsi="Arial" w:cs="Arial"/>
          <w:i w:val="0"/>
          <w:iCs w:val="0"/>
          <w:color w:val="auto"/>
          <w:sz w:val="22"/>
          <w:szCs w:val="22"/>
        </w:rPr>
        <w:instrText xml:space="preserve"> SEQ Table \* ARABIC </w:instrText>
      </w:r>
      <w:r w:rsidR="00C050EB" w:rsidRPr="00413362">
        <w:rPr>
          <w:rFonts w:ascii="Arial" w:hAnsi="Arial" w:cs="Arial"/>
          <w:i w:val="0"/>
          <w:iCs w:val="0"/>
          <w:color w:val="auto"/>
          <w:sz w:val="22"/>
          <w:szCs w:val="22"/>
        </w:rPr>
        <w:fldChar w:fldCharType="separate"/>
      </w:r>
      <w:r w:rsidRPr="00413362">
        <w:rPr>
          <w:rFonts w:ascii="Arial" w:hAnsi="Arial" w:cs="Arial"/>
          <w:i w:val="0"/>
          <w:iCs w:val="0"/>
          <w:noProof/>
          <w:color w:val="auto"/>
          <w:sz w:val="22"/>
          <w:szCs w:val="22"/>
        </w:rPr>
        <w:t>1</w:t>
      </w:r>
      <w:r w:rsidR="00C050EB" w:rsidRPr="00413362">
        <w:rPr>
          <w:rFonts w:ascii="Arial" w:hAnsi="Arial" w:cs="Arial"/>
          <w:i w:val="0"/>
          <w:iCs w:val="0"/>
          <w:color w:val="auto"/>
          <w:sz w:val="22"/>
          <w:szCs w:val="22"/>
        </w:rPr>
        <w:fldChar w:fldCharType="end"/>
      </w:r>
      <w:r w:rsidRPr="00413362">
        <w:rPr>
          <w:rFonts w:ascii="Arial" w:hAnsi="Arial" w:cs="Arial"/>
          <w:i w:val="0"/>
          <w:iCs w:val="0"/>
          <w:color w:val="auto"/>
          <w:sz w:val="22"/>
          <w:szCs w:val="22"/>
        </w:rPr>
        <w:t xml:space="preserve">. Data </w:t>
      </w:r>
      <w:r>
        <w:rPr>
          <w:rFonts w:ascii="Arial" w:hAnsi="Arial" w:cs="Arial"/>
          <w:i w:val="0"/>
          <w:iCs w:val="0"/>
          <w:color w:val="auto"/>
          <w:sz w:val="22"/>
          <w:szCs w:val="22"/>
        </w:rPr>
        <w:t>Sources</w:t>
      </w:r>
      <w:r w:rsidRPr="00413362">
        <w:rPr>
          <w:rFonts w:ascii="Arial" w:hAnsi="Arial" w:cs="Arial"/>
          <w:i w:val="0"/>
          <w:iCs w:val="0"/>
          <w:color w:val="auto"/>
          <w:sz w:val="22"/>
          <w:szCs w:val="22"/>
        </w:rPr>
        <w:t xml:space="preserve"> and Acquisition</w:t>
      </w:r>
    </w:p>
    <w:tbl>
      <w:tblPr>
        <w:tblStyle w:val="PlainTable21"/>
        <w:tblW w:w="9498" w:type="dxa"/>
        <w:tblLayout w:type="fixed"/>
        <w:tblLook w:val="04A0" w:firstRow="1" w:lastRow="0" w:firstColumn="1" w:lastColumn="0" w:noHBand="0" w:noVBand="1"/>
      </w:tblPr>
      <w:tblGrid>
        <w:gridCol w:w="2718"/>
        <w:gridCol w:w="2610"/>
        <w:gridCol w:w="990"/>
        <w:gridCol w:w="1634"/>
        <w:gridCol w:w="1546"/>
      </w:tblGrid>
      <w:tr w:rsidR="00A11C99" w:rsidRPr="00512BDE" w:rsidTr="005701E3">
        <w:trPr>
          <w:cnfStyle w:val="100000000000" w:firstRow="1" w:lastRow="0" w:firstColumn="0" w:lastColumn="0" w:oddVBand="0" w:evenVBand="0" w:oddHBand="0" w:evenHBand="0"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2718" w:type="dxa"/>
          </w:tcPr>
          <w:p w:rsidR="00A11C99" w:rsidRPr="00512BDE" w:rsidRDefault="00A11C99" w:rsidP="005701E3">
            <w:pPr>
              <w:spacing w:line="276" w:lineRule="auto"/>
              <w:jc w:val="both"/>
              <w:rPr>
                <w:rFonts w:ascii="Arial" w:hAnsi="Arial" w:cs="Arial"/>
                <w:sz w:val="20"/>
                <w:szCs w:val="20"/>
              </w:rPr>
            </w:pPr>
            <w:r w:rsidRPr="00512BDE">
              <w:rPr>
                <w:rFonts w:ascii="Arial" w:hAnsi="Arial" w:cs="Arial"/>
                <w:sz w:val="20"/>
                <w:szCs w:val="20"/>
              </w:rPr>
              <w:t>Data type</w:t>
            </w:r>
          </w:p>
        </w:tc>
        <w:tc>
          <w:tcPr>
            <w:tcW w:w="2610" w:type="dxa"/>
          </w:tcPr>
          <w:p w:rsidR="00A11C99" w:rsidRPr="00512BDE" w:rsidRDefault="00A11C99" w:rsidP="005701E3">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512BDE">
              <w:rPr>
                <w:rFonts w:ascii="Arial" w:hAnsi="Arial" w:cs="Arial"/>
                <w:sz w:val="20"/>
                <w:szCs w:val="20"/>
              </w:rPr>
              <w:t>Source</w:t>
            </w:r>
          </w:p>
        </w:tc>
        <w:tc>
          <w:tcPr>
            <w:tcW w:w="990" w:type="dxa"/>
          </w:tcPr>
          <w:p w:rsidR="00A11C99" w:rsidRPr="00512BDE" w:rsidRDefault="00A11C99" w:rsidP="005701E3">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512BDE">
              <w:rPr>
                <w:rFonts w:ascii="Arial" w:hAnsi="Arial" w:cs="Arial"/>
                <w:sz w:val="20"/>
                <w:szCs w:val="20"/>
              </w:rPr>
              <w:t>Sensor type</w:t>
            </w:r>
          </w:p>
        </w:tc>
        <w:tc>
          <w:tcPr>
            <w:tcW w:w="1634" w:type="dxa"/>
          </w:tcPr>
          <w:p w:rsidR="00A11C99" w:rsidRPr="00512BDE" w:rsidRDefault="00A11C99" w:rsidP="005701E3">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512BDE">
              <w:rPr>
                <w:rFonts w:ascii="Arial" w:hAnsi="Arial" w:cs="Arial"/>
                <w:sz w:val="20"/>
                <w:szCs w:val="20"/>
              </w:rPr>
              <w:t>Spatial resolution</w:t>
            </w:r>
          </w:p>
        </w:tc>
        <w:tc>
          <w:tcPr>
            <w:tcW w:w="1546" w:type="dxa"/>
          </w:tcPr>
          <w:p w:rsidR="00A11C99" w:rsidRPr="00512BDE" w:rsidRDefault="00A11C99" w:rsidP="005701E3">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512BDE">
              <w:rPr>
                <w:rFonts w:ascii="Arial" w:hAnsi="Arial" w:cs="Arial"/>
                <w:sz w:val="20"/>
                <w:szCs w:val="20"/>
              </w:rPr>
              <w:t>Acquisition year</w:t>
            </w:r>
          </w:p>
        </w:tc>
      </w:tr>
      <w:tr w:rsidR="00A11C99" w:rsidRPr="00512BDE" w:rsidTr="005701E3">
        <w:trPr>
          <w:cnfStyle w:val="000000100000" w:firstRow="0" w:lastRow="0" w:firstColumn="0" w:lastColumn="0" w:oddVBand="0" w:evenVBand="0" w:oddHBand="1" w:evenHBand="0" w:firstRowFirstColumn="0" w:firstRowLastColumn="0" w:lastRowFirstColumn="0" w:lastRowLastColumn="0"/>
          <w:trHeight w:val="543"/>
        </w:trPr>
        <w:tc>
          <w:tcPr>
            <w:cnfStyle w:val="001000000000" w:firstRow="0" w:lastRow="0" w:firstColumn="1" w:lastColumn="0" w:oddVBand="0" w:evenVBand="0" w:oddHBand="0" w:evenHBand="0" w:firstRowFirstColumn="0" w:firstRowLastColumn="0" w:lastRowFirstColumn="0" w:lastRowLastColumn="0"/>
            <w:tcW w:w="2718" w:type="dxa"/>
          </w:tcPr>
          <w:p w:rsidR="00A11C99" w:rsidRPr="00512BDE" w:rsidRDefault="00A11C99" w:rsidP="005701E3">
            <w:pPr>
              <w:spacing w:line="276" w:lineRule="auto"/>
              <w:jc w:val="both"/>
              <w:rPr>
                <w:rFonts w:ascii="Arial" w:hAnsi="Arial" w:cs="Arial"/>
                <w:b w:val="0"/>
                <w:bCs w:val="0"/>
                <w:sz w:val="20"/>
                <w:szCs w:val="20"/>
              </w:rPr>
            </w:pPr>
            <w:r w:rsidRPr="00512BDE">
              <w:rPr>
                <w:rFonts w:ascii="Arial" w:hAnsi="Arial" w:cs="Arial"/>
                <w:b w:val="0"/>
                <w:bCs w:val="0"/>
                <w:sz w:val="20"/>
                <w:szCs w:val="20"/>
              </w:rPr>
              <w:t>Satellite Data</w:t>
            </w:r>
          </w:p>
        </w:tc>
        <w:tc>
          <w:tcPr>
            <w:tcW w:w="2610" w:type="dxa"/>
          </w:tcPr>
          <w:p w:rsidR="00A11C99" w:rsidRPr="00512BDE" w:rsidRDefault="00A11C99" w:rsidP="005701E3">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12BDE">
              <w:rPr>
                <w:rFonts w:ascii="Arial" w:hAnsi="Arial" w:cs="Arial"/>
                <w:sz w:val="20"/>
                <w:szCs w:val="20"/>
              </w:rPr>
              <w:t>USGS Earth Explorer</w:t>
            </w:r>
          </w:p>
        </w:tc>
        <w:tc>
          <w:tcPr>
            <w:tcW w:w="990" w:type="dxa"/>
          </w:tcPr>
          <w:p w:rsidR="00A11C99" w:rsidRPr="00512BDE" w:rsidRDefault="00A11C99" w:rsidP="00E508FD">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12BDE">
              <w:rPr>
                <w:rFonts w:ascii="Arial" w:hAnsi="Arial" w:cs="Arial"/>
                <w:sz w:val="20"/>
                <w:szCs w:val="20"/>
              </w:rPr>
              <w:t>Landsat-TM</w:t>
            </w:r>
          </w:p>
        </w:tc>
        <w:tc>
          <w:tcPr>
            <w:tcW w:w="1634" w:type="dxa"/>
          </w:tcPr>
          <w:p w:rsidR="00A11C99" w:rsidRPr="00512BDE" w:rsidRDefault="00A11C99" w:rsidP="005701E3">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12BDE">
              <w:rPr>
                <w:rFonts w:ascii="Arial" w:hAnsi="Arial" w:cs="Arial"/>
                <w:sz w:val="20"/>
                <w:szCs w:val="20"/>
              </w:rPr>
              <w:t>30m</w:t>
            </w:r>
          </w:p>
        </w:tc>
        <w:tc>
          <w:tcPr>
            <w:tcW w:w="1546" w:type="dxa"/>
          </w:tcPr>
          <w:p w:rsidR="00A11C99" w:rsidRPr="00512BDE" w:rsidRDefault="00A11C99" w:rsidP="005701E3">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12BDE">
              <w:rPr>
                <w:rFonts w:ascii="Arial" w:hAnsi="Arial" w:cs="Arial"/>
                <w:sz w:val="20"/>
                <w:szCs w:val="20"/>
              </w:rPr>
              <w:t>202</w:t>
            </w:r>
            <w:r>
              <w:rPr>
                <w:rFonts w:ascii="Arial" w:hAnsi="Arial" w:cs="Arial"/>
                <w:sz w:val="20"/>
                <w:szCs w:val="20"/>
              </w:rPr>
              <w:t>3</w:t>
            </w:r>
          </w:p>
        </w:tc>
      </w:tr>
      <w:tr w:rsidR="00A11C99" w:rsidRPr="00512BDE" w:rsidTr="00E508FD">
        <w:trPr>
          <w:trHeight w:val="516"/>
        </w:trPr>
        <w:tc>
          <w:tcPr>
            <w:cnfStyle w:val="001000000000" w:firstRow="0" w:lastRow="0" w:firstColumn="1" w:lastColumn="0" w:oddVBand="0" w:evenVBand="0" w:oddHBand="0" w:evenHBand="0" w:firstRowFirstColumn="0" w:firstRowLastColumn="0" w:lastRowFirstColumn="0" w:lastRowLastColumn="0"/>
            <w:tcW w:w="2718" w:type="dxa"/>
          </w:tcPr>
          <w:p w:rsidR="00A11C99" w:rsidRPr="00512BDE" w:rsidRDefault="00A11C99" w:rsidP="005701E3">
            <w:pPr>
              <w:spacing w:line="276" w:lineRule="auto"/>
              <w:jc w:val="both"/>
              <w:rPr>
                <w:rFonts w:ascii="Arial" w:hAnsi="Arial" w:cs="Arial"/>
                <w:b w:val="0"/>
                <w:bCs w:val="0"/>
                <w:sz w:val="20"/>
                <w:szCs w:val="20"/>
              </w:rPr>
            </w:pPr>
            <w:r w:rsidRPr="00512BDE">
              <w:rPr>
                <w:rFonts w:ascii="Arial" w:hAnsi="Arial" w:cs="Arial"/>
                <w:b w:val="0"/>
                <w:bCs w:val="0"/>
                <w:sz w:val="20"/>
                <w:szCs w:val="20"/>
              </w:rPr>
              <w:t>Digital Elevation Model</w:t>
            </w:r>
          </w:p>
        </w:tc>
        <w:tc>
          <w:tcPr>
            <w:tcW w:w="2610" w:type="dxa"/>
          </w:tcPr>
          <w:p w:rsidR="00A11C99" w:rsidRPr="00512BDE" w:rsidRDefault="00A11C99" w:rsidP="005701E3">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508FD">
              <w:rPr>
                <w:rFonts w:ascii="Arial" w:hAnsi="Arial" w:cs="Arial"/>
                <w:sz w:val="20"/>
                <w:szCs w:val="20"/>
                <w:highlight w:val="yellow"/>
              </w:rPr>
              <w:t>Google Earth Pro ground points</w:t>
            </w:r>
          </w:p>
        </w:tc>
        <w:tc>
          <w:tcPr>
            <w:tcW w:w="990" w:type="dxa"/>
          </w:tcPr>
          <w:p w:rsidR="00A11C99" w:rsidRPr="00512BDE" w:rsidRDefault="00A11C99" w:rsidP="005701E3">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634" w:type="dxa"/>
          </w:tcPr>
          <w:p w:rsidR="00A11C99" w:rsidRPr="00E508FD" w:rsidRDefault="00A11C99" w:rsidP="005701E3">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highlight w:val="yellow"/>
              </w:rPr>
            </w:pPr>
            <w:r w:rsidRPr="00E508FD">
              <w:rPr>
                <w:rFonts w:ascii="Arial" w:hAnsi="Arial" w:cs="Arial"/>
                <w:sz w:val="20"/>
                <w:szCs w:val="20"/>
                <w:highlight w:val="yellow"/>
              </w:rPr>
              <w:t>30m</w:t>
            </w:r>
          </w:p>
        </w:tc>
        <w:tc>
          <w:tcPr>
            <w:tcW w:w="1546" w:type="dxa"/>
          </w:tcPr>
          <w:p w:rsidR="00A11C99" w:rsidRPr="00E508FD" w:rsidRDefault="00A11C99" w:rsidP="005701E3">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highlight w:val="yellow"/>
              </w:rPr>
            </w:pPr>
            <w:r w:rsidRPr="00E508FD">
              <w:rPr>
                <w:rFonts w:ascii="Arial" w:hAnsi="Arial" w:cs="Arial"/>
                <w:sz w:val="20"/>
                <w:szCs w:val="20"/>
                <w:highlight w:val="yellow"/>
              </w:rPr>
              <w:t>2023</w:t>
            </w:r>
          </w:p>
        </w:tc>
      </w:tr>
      <w:tr w:rsidR="00A11C99" w:rsidRPr="00512BDE" w:rsidTr="005701E3">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2718" w:type="dxa"/>
          </w:tcPr>
          <w:p w:rsidR="00A11C99" w:rsidRPr="00512BDE" w:rsidRDefault="00A11C99" w:rsidP="005701E3">
            <w:pPr>
              <w:spacing w:line="276" w:lineRule="auto"/>
              <w:jc w:val="both"/>
              <w:rPr>
                <w:rFonts w:ascii="Arial" w:hAnsi="Arial" w:cs="Arial"/>
                <w:b w:val="0"/>
                <w:bCs w:val="0"/>
                <w:sz w:val="20"/>
                <w:szCs w:val="20"/>
              </w:rPr>
            </w:pPr>
            <w:r w:rsidRPr="00512BDE">
              <w:rPr>
                <w:rFonts w:ascii="Arial" w:hAnsi="Arial" w:cs="Arial"/>
                <w:b w:val="0"/>
                <w:bCs w:val="0"/>
                <w:sz w:val="20"/>
                <w:szCs w:val="20"/>
              </w:rPr>
              <w:t>Climate Data</w:t>
            </w:r>
          </w:p>
        </w:tc>
        <w:tc>
          <w:tcPr>
            <w:tcW w:w="2610" w:type="dxa"/>
          </w:tcPr>
          <w:p w:rsidR="00A11C99" w:rsidRPr="00512BDE" w:rsidRDefault="00A11C99" w:rsidP="005701E3">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12BDE">
              <w:rPr>
                <w:rFonts w:ascii="Arial" w:hAnsi="Arial" w:cs="Arial"/>
                <w:sz w:val="20"/>
                <w:szCs w:val="20"/>
              </w:rPr>
              <w:t>Climate Engine</w:t>
            </w:r>
          </w:p>
        </w:tc>
        <w:tc>
          <w:tcPr>
            <w:tcW w:w="990" w:type="dxa"/>
          </w:tcPr>
          <w:p w:rsidR="00A11C99" w:rsidRPr="00512BDE" w:rsidRDefault="00A11C99" w:rsidP="005701E3">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634" w:type="dxa"/>
          </w:tcPr>
          <w:p w:rsidR="00A11C99" w:rsidRPr="00512BDE" w:rsidRDefault="00A11C99" w:rsidP="005701E3">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12BDE">
              <w:rPr>
                <w:rFonts w:ascii="Arial" w:hAnsi="Arial" w:cs="Arial"/>
                <w:sz w:val="20"/>
                <w:szCs w:val="20"/>
              </w:rPr>
              <w:t>1km and resampled for 30m</w:t>
            </w:r>
          </w:p>
        </w:tc>
        <w:tc>
          <w:tcPr>
            <w:tcW w:w="1546" w:type="dxa"/>
          </w:tcPr>
          <w:p w:rsidR="00A11C99" w:rsidRPr="00512BDE" w:rsidRDefault="00A11C99" w:rsidP="005701E3">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12BDE">
              <w:rPr>
                <w:rFonts w:ascii="Arial" w:hAnsi="Arial" w:cs="Arial"/>
                <w:sz w:val="20"/>
                <w:szCs w:val="20"/>
              </w:rPr>
              <w:t>2020-202</w:t>
            </w:r>
            <w:r>
              <w:rPr>
                <w:rFonts w:ascii="Arial" w:hAnsi="Arial" w:cs="Arial"/>
                <w:sz w:val="20"/>
                <w:szCs w:val="20"/>
              </w:rPr>
              <w:t>3</w:t>
            </w:r>
          </w:p>
        </w:tc>
      </w:tr>
      <w:tr w:rsidR="00A11C99" w:rsidRPr="00512BDE" w:rsidTr="005701E3">
        <w:trPr>
          <w:trHeight w:val="249"/>
        </w:trPr>
        <w:tc>
          <w:tcPr>
            <w:cnfStyle w:val="001000000000" w:firstRow="0" w:lastRow="0" w:firstColumn="1" w:lastColumn="0" w:oddVBand="0" w:evenVBand="0" w:oddHBand="0" w:evenHBand="0" w:firstRowFirstColumn="0" w:firstRowLastColumn="0" w:lastRowFirstColumn="0" w:lastRowLastColumn="0"/>
            <w:tcW w:w="2718" w:type="dxa"/>
          </w:tcPr>
          <w:p w:rsidR="00A11C99" w:rsidRPr="00512BDE" w:rsidRDefault="00A11C99" w:rsidP="005701E3">
            <w:pPr>
              <w:spacing w:line="276" w:lineRule="auto"/>
              <w:jc w:val="both"/>
              <w:rPr>
                <w:rFonts w:ascii="Arial" w:hAnsi="Arial" w:cs="Arial"/>
                <w:b w:val="0"/>
                <w:bCs w:val="0"/>
                <w:sz w:val="20"/>
                <w:szCs w:val="20"/>
              </w:rPr>
            </w:pPr>
            <w:r w:rsidRPr="00512BDE">
              <w:rPr>
                <w:rFonts w:ascii="Arial" w:hAnsi="Arial" w:cs="Arial"/>
                <w:b w:val="0"/>
                <w:bCs w:val="0"/>
                <w:sz w:val="20"/>
                <w:szCs w:val="20"/>
              </w:rPr>
              <w:t>Administrative boundaries</w:t>
            </w:r>
          </w:p>
        </w:tc>
        <w:tc>
          <w:tcPr>
            <w:tcW w:w="2610" w:type="dxa"/>
          </w:tcPr>
          <w:p w:rsidR="00A11C99" w:rsidRPr="00512BDE" w:rsidRDefault="00A11C99" w:rsidP="005701E3">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12BDE">
              <w:rPr>
                <w:rFonts w:ascii="Arial" w:hAnsi="Arial" w:cs="Arial"/>
                <w:sz w:val="20"/>
                <w:szCs w:val="20"/>
              </w:rPr>
              <w:t>The National Bureau of Statistics (NBS)</w:t>
            </w:r>
          </w:p>
        </w:tc>
        <w:tc>
          <w:tcPr>
            <w:tcW w:w="990" w:type="dxa"/>
          </w:tcPr>
          <w:p w:rsidR="00A11C99" w:rsidRPr="00512BDE" w:rsidRDefault="00A11C99" w:rsidP="005701E3">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634" w:type="dxa"/>
          </w:tcPr>
          <w:p w:rsidR="00A11C99" w:rsidRPr="00512BDE" w:rsidRDefault="00A11C99" w:rsidP="005701E3">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546" w:type="dxa"/>
          </w:tcPr>
          <w:p w:rsidR="00A11C99" w:rsidRPr="00512BDE" w:rsidRDefault="00A11C99" w:rsidP="005701E3">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12BDE">
              <w:rPr>
                <w:rFonts w:ascii="Arial" w:hAnsi="Arial" w:cs="Arial"/>
                <w:sz w:val="20"/>
                <w:szCs w:val="20"/>
              </w:rPr>
              <w:t>20</w:t>
            </w:r>
            <w:r>
              <w:rPr>
                <w:rFonts w:ascii="Arial" w:hAnsi="Arial" w:cs="Arial"/>
                <w:sz w:val="20"/>
                <w:szCs w:val="20"/>
              </w:rPr>
              <w:t>20</w:t>
            </w:r>
          </w:p>
        </w:tc>
      </w:tr>
      <w:tr w:rsidR="00A11C99" w:rsidRPr="00512BDE" w:rsidTr="005701E3">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2718" w:type="dxa"/>
          </w:tcPr>
          <w:p w:rsidR="00A11C99" w:rsidRPr="00512BDE" w:rsidRDefault="00A11C99" w:rsidP="005701E3">
            <w:pPr>
              <w:spacing w:line="276" w:lineRule="auto"/>
              <w:jc w:val="both"/>
              <w:rPr>
                <w:rFonts w:ascii="Arial" w:hAnsi="Arial" w:cs="Arial"/>
                <w:b w:val="0"/>
                <w:bCs w:val="0"/>
                <w:sz w:val="20"/>
                <w:szCs w:val="20"/>
              </w:rPr>
            </w:pPr>
            <w:r w:rsidRPr="00512BDE">
              <w:rPr>
                <w:rFonts w:ascii="Arial" w:hAnsi="Arial" w:cs="Arial"/>
                <w:b w:val="0"/>
                <w:bCs w:val="0"/>
                <w:sz w:val="20"/>
                <w:szCs w:val="20"/>
              </w:rPr>
              <w:t>Rivers and Road networks</w:t>
            </w:r>
          </w:p>
        </w:tc>
        <w:tc>
          <w:tcPr>
            <w:tcW w:w="2610" w:type="dxa"/>
          </w:tcPr>
          <w:p w:rsidR="00A11C99" w:rsidRPr="00512BDE" w:rsidRDefault="00A11C99" w:rsidP="005701E3">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12BDE">
              <w:rPr>
                <w:rFonts w:ascii="Arial" w:hAnsi="Arial" w:cs="Arial"/>
                <w:sz w:val="20"/>
                <w:szCs w:val="20"/>
              </w:rPr>
              <w:t>Open Street Map (OSM)</w:t>
            </w:r>
          </w:p>
        </w:tc>
        <w:tc>
          <w:tcPr>
            <w:tcW w:w="990" w:type="dxa"/>
          </w:tcPr>
          <w:p w:rsidR="00A11C99" w:rsidRPr="00512BDE" w:rsidRDefault="00A11C99" w:rsidP="005701E3">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634" w:type="dxa"/>
          </w:tcPr>
          <w:p w:rsidR="00A11C99" w:rsidRPr="00512BDE" w:rsidRDefault="00A11C99" w:rsidP="005701E3">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12BDE">
              <w:rPr>
                <w:rFonts w:ascii="Arial" w:hAnsi="Arial" w:cs="Arial"/>
                <w:sz w:val="20"/>
                <w:szCs w:val="20"/>
              </w:rPr>
              <w:t>Resample to 30m</w:t>
            </w:r>
          </w:p>
        </w:tc>
        <w:tc>
          <w:tcPr>
            <w:tcW w:w="1546" w:type="dxa"/>
          </w:tcPr>
          <w:p w:rsidR="00A11C99" w:rsidRPr="00512BDE" w:rsidRDefault="00A11C99" w:rsidP="005701E3">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12BDE">
              <w:rPr>
                <w:rFonts w:ascii="Arial" w:hAnsi="Arial" w:cs="Arial"/>
                <w:sz w:val="20"/>
                <w:szCs w:val="20"/>
              </w:rPr>
              <w:t>202</w:t>
            </w:r>
            <w:r>
              <w:rPr>
                <w:rFonts w:ascii="Arial" w:hAnsi="Arial" w:cs="Arial"/>
                <w:sz w:val="20"/>
                <w:szCs w:val="20"/>
              </w:rPr>
              <w:t>2</w:t>
            </w:r>
          </w:p>
        </w:tc>
      </w:tr>
      <w:tr w:rsidR="00A11C99" w:rsidRPr="00512BDE" w:rsidTr="005701E3">
        <w:trPr>
          <w:trHeight w:val="249"/>
        </w:trPr>
        <w:tc>
          <w:tcPr>
            <w:cnfStyle w:val="001000000000" w:firstRow="0" w:lastRow="0" w:firstColumn="1" w:lastColumn="0" w:oddVBand="0" w:evenVBand="0" w:oddHBand="0" w:evenHBand="0" w:firstRowFirstColumn="0" w:firstRowLastColumn="0" w:lastRowFirstColumn="0" w:lastRowLastColumn="0"/>
            <w:tcW w:w="2718" w:type="dxa"/>
          </w:tcPr>
          <w:p w:rsidR="00A11C99" w:rsidRPr="00512BDE" w:rsidRDefault="00A11C99" w:rsidP="005701E3">
            <w:pPr>
              <w:spacing w:line="276" w:lineRule="auto"/>
              <w:jc w:val="both"/>
              <w:rPr>
                <w:rFonts w:ascii="Arial" w:hAnsi="Arial" w:cs="Arial"/>
                <w:b w:val="0"/>
                <w:bCs w:val="0"/>
                <w:sz w:val="20"/>
                <w:szCs w:val="20"/>
              </w:rPr>
            </w:pPr>
            <w:r w:rsidRPr="00512BDE">
              <w:rPr>
                <w:rFonts w:ascii="Arial" w:hAnsi="Arial" w:cs="Arial"/>
                <w:b w:val="0"/>
                <w:bCs w:val="0"/>
                <w:sz w:val="20"/>
                <w:szCs w:val="20"/>
              </w:rPr>
              <w:t>The Digital Soil Map of the World (DSMW)</w:t>
            </w:r>
          </w:p>
        </w:tc>
        <w:tc>
          <w:tcPr>
            <w:tcW w:w="2610" w:type="dxa"/>
          </w:tcPr>
          <w:p w:rsidR="00A11C99" w:rsidRPr="00512BDE" w:rsidRDefault="00A11C99" w:rsidP="005701E3">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12BDE">
              <w:rPr>
                <w:rFonts w:ascii="Arial" w:hAnsi="Arial" w:cs="Arial"/>
                <w:sz w:val="20"/>
                <w:szCs w:val="20"/>
              </w:rPr>
              <w:t>FAO/UNESCO</w:t>
            </w:r>
          </w:p>
        </w:tc>
        <w:tc>
          <w:tcPr>
            <w:tcW w:w="990" w:type="dxa"/>
          </w:tcPr>
          <w:p w:rsidR="00A11C99" w:rsidRPr="00512BDE" w:rsidRDefault="00A11C99" w:rsidP="005701E3">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634" w:type="dxa"/>
          </w:tcPr>
          <w:p w:rsidR="00A11C99" w:rsidRPr="00512BDE" w:rsidRDefault="00A11C99" w:rsidP="005701E3">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12BDE">
              <w:rPr>
                <w:rFonts w:ascii="Arial" w:hAnsi="Arial" w:cs="Arial"/>
                <w:sz w:val="20"/>
                <w:szCs w:val="20"/>
              </w:rPr>
              <w:t>Resample to 30m</w:t>
            </w:r>
          </w:p>
        </w:tc>
        <w:tc>
          <w:tcPr>
            <w:tcW w:w="1546" w:type="dxa"/>
          </w:tcPr>
          <w:p w:rsidR="00A11C99" w:rsidRPr="00512BDE" w:rsidRDefault="00A11C99" w:rsidP="005701E3">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12BDE">
              <w:rPr>
                <w:rFonts w:ascii="Arial" w:hAnsi="Arial" w:cs="Arial"/>
                <w:sz w:val="20"/>
                <w:szCs w:val="20"/>
              </w:rPr>
              <w:t>2022</w:t>
            </w:r>
          </w:p>
        </w:tc>
      </w:tr>
      <w:tr w:rsidR="00A11C99" w:rsidRPr="00512BDE" w:rsidTr="005701E3">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2718" w:type="dxa"/>
          </w:tcPr>
          <w:p w:rsidR="00A11C99" w:rsidRPr="00512BDE" w:rsidRDefault="00A11C99" w:rsidP="005701E3">
            <w:pPr>
              <w:spacing w:line="276" w:lineRule="auto"/>
              <w:jc w:val="both"/>
              <w:rPr>
                <w:rFonts w:ascii="Arial" w:hAnsi="Arial" w:cs="Arial"/>
                <w:b w:val="0"/>
                <w:bCs w:val="0"/>
                <w:sz w:val="20"/>
                <w:szCs w:val="20"/>
              </w:rPr>
            </w:pPr>
            <w:r w:rsidRPr="00512BDE">
              <w:rPr>
                <w:rFonts w:ascii="Arial" w:hAnsi="Arial" w:cs="Arial"/>
                <w:b w:val="0"/>
                <w:bCs w:val="0"/>
                <w:sz w:val="20"/>
                <w:szCs w:val="20"/>
              </w:rPr>
              <w:t xml:space="preserve">Population Density </w:t>
            </w:r>
          </w:p>
        </w:tc>
        <w:tc>
          <w:tcPr>
            <w:tcW w:w="2610" w:type="dxa"/>
          </w:tcPr>
          <w:p w:rsidR="00A11C99" w:rsidRPr="00512BDE" w:rsidRDefault="00A11C99" w:rsidP="005701E3">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12BDE">
              <w:rPr>
                <w:rFonts w:ascii="Arial" w:hAnsi="Arial" w:cs="Arial"/>
                <w:sz w:val="20"/>
                <w:szCs w:val="20"/>
              </w:rPr>
              <w:t xml:space="preserve">Worldpop.org and Tanzania bureau of statistics </w:t>
            </w:r>
          </w:p>
        </w:tc>
        <w:tc>
          <w:tcPr>
            <w:tcW w:w="990" w:type="dxa"/>
          </w:tcPr>
          <w:p w:rsidR="00A11C99" w:rsidRPr="00512BDE" w:rsidRDefault="00A11C99" w:rsidP="005701E3">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634" w:type="dxa"/>
          </w:tcPr>
          <w:p w:rsidR="00A11C99" w:rsidRPr="00512BDE" w:rsidRDefault="00A11C99" w:rsidP="005701E3">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12BDE">
              <w:rPr>
                <w:rFonts w:ascii="Arial" w:hAnsi="Arial" w:cs="Arial"/>
                <w:sz w:val="20"/>
                <w:szCs w:val="20"/>
              </w:rPr>
              <w:t>Resample to 30m</w:t>
            </w:r>
          </w:p>
        </w:tc>
        <w:tc>
          <w:tcPr>
            <w:tcW w:w="1546" w:type="dxa"/>
          </w:tcPr>
          <w:p w:rsidR="00A11C99" w:rsidRPr="00512BDE" w:rsidRDefault="00A11C99" w:rsidP="005701E3">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12BDE">
              <w:rPr>
                <w:rFonts w:ascii="Arial" w:hAnsi="Arial" w:cs="Arial"/>
                <w:sz w:val="20"/>
                <w:szCs w:val="20"/>
              </w:rPr>
              <w:t>2022</w:t>
            </w:r>
          </w:p>
        </w:tc>
      </w:tr>
    </w:tbl>
    <w:p w:rsidR="00A11C99" w:rsidRPr="002242A4" w:rsidRDefault="00A11C99" w:rsidP="00A11C99">
      <w:pPr>
        <w:spacing w:after="200" w:line="276" w:lineRule="auto"/>
        <w:jc w:val="both"/>
      </w:pPr>
    </w:p>
    <w:p w:rsidR="00A11C99" w:rsidRPr="00A11C99" w:rsidRDefault="00A11C99" w:rsidP="00A11C99">
      <w:pPr>
        <w:pStyle w:val="ListParagraph"/>
        <w:numPr>
          <w:ilvl w:val="3"/>
          <w:numId w:val="33"/>
        </w:numPr>
        <w:spacing w:line="276" w:lineRule="auto"/>
        <w:jc w:val="both"/>
        <w:rPr>
          <w:rFonts w:ascii="Arial" w:hAnsi="Arial" w:cs="Arial"/>
          <w:b/>
          <w:bCs/>
          <w:sz w:val="20"/>
          <w:szCs w:val="20"/>
        </w:rPr>
      </w:pPr>
      <w:r w:rsidRPr="00A11C99">
        <w:rPr>
          <w:rFonts w:ascii="Arial" w:hAnsi="Arial" w:cs="Arial"/>
          <w:b/>
          <w:bCs/>
          <w:sz w:val="20"/>
          <w:szCs w:val="20"/>
        </w:rPr>
        <w:t>Land use/cover classification</w:t>
      </w:r>
    </w:p>
    <w:p w:rsidR="00A11C99" w:rsidRDefault="00A11C99" w:rsidP="00A11C99">
      <w:pPr>
        <w:spacing w:line="276" w:lineRule="auto"/>
        <w:jc w:val="both"/>
        <w:rPr>
          <w:rFonts w:ascii="Arial" w:hAnsi="Arial" w:cs="Arial"/>
        </w:rPr>
      </w:pPr>
      <w:r w:rsidRPr="00E83178">
        <w:rPr>
          <w:rFonts w:ascii="Arial" w:hAnsi="Arial" w:cs="Arial"/>
        </w:rPr>
        <w:t xml:space="preserve">The corrected images </w:t>
      </w:r>
      <w:r>
        <w:rPr>
          <w:rFonts w:ascii="Arial" w:hAnsi="Arial" w:cs="Arial"/>
        </w:rPr>
        <w:t xml:space="preserve">were </w:t>
      </w:r>
      <w:r w:rsidRPr="00E83178">
        <w:rPr>
          <w:rFonts w:ascii="Arial" w:hAnsi="Arial" w:cs="Arial"/>
        </w:rPr>
        <w:t>processed via Arc GIS to generate regions of interest for various land use/cover identified in the study area to facilitate classification by supervised random forest classer algorithm in Google Earth Engine (GEE) platform, the method has been widely used and reported in other studies (</w:t>
      </w:r>
      <w:proofErr w:type="spellStart"/>
      <w:r w:rsidRPr="00E83178">
        <w:rPr>
          <w:rFonts w:ascii="Arial" w:hAnsi="Arial" w:cs="Arial"/>
        </w:rPr>
        <w:t>Liaw</w:t>
      </w:r>
      <w:proofErr w:type="spellEnd"/>
      <w:r w:rsidRPr="00E83178">
        <w:rPr>
          <w:rFonts w:ascii="Arial" w:hAnsi="Arial" w:cs="Arial"/>
        </w:rPr>
        <w:t xml:space="preserve"> and Wiener, 2002; Adam et al., 2014; Feng et al., 2015; Camargo et al., 2019; </w:t>
      </w:r>
      <w:proofErr w:type="spellStart"/>
      <w:r w:rsidRPr="00E83178">
        <w:rPr>
          <w:rFonts w:ascii="Arial" w:hAnsi="Arial" w:cs="Arial"/>
        </w:rPr>
        <w:t>Nurfadila</w:t>
      </w:r>
      <w:proofErr w:type="spellEnd"/>
      <w:r w:rsidRPr="00E83178">
        <w:rPr>
          <w:rFonts w:ascii="Arial" w:hAnsi="Arial" w:cs="Arial"/>
        </w:rPr>
        <w:t xml:space="preserve"> et al., 2019). Five land cover classes (Built-up, Agriculture, Water, Bare land and Forest) were identified </w:t>
      </w:r>
      <w:r>
        <w:rPr>
          <w:rFonts w:ascii="Arial" w:hAnsi="Arial" w:cs="Arial"/>
        </w:rPr>
        <w:t>in</w:t>
      </w:r>
      <w:r w:rsidRPr="00E83178">
        <w:rPr>
          <w:rFonts w:ascii="Arial" w:hAnsi="Arial" w:cs="Arial"/>
        </w:rPr>
        <w:t xml:space="preserve"> our study area </w:t>
      </w:r>
      <w:r>
        <w:rPr>
          <w:rFonts w:ascii="Arial" w:hAnsi="Arial" w:cs="Arial"/>
        </w:rPr>
        <w:t>from</w:t>
      </w:r>
      <w:r w:rsidRPr="00E83178">
        <w:rPr>
          <w:rFonts w:ascii="Arial" w:hAnsi="Arial" w:cs="Arial"/>
        </w:rPr>
        <w:t xml:space="preserve"> the Landsat imagery.</w:t>
      </w:r>
    </w:p>
    <w:p w:rsidR="00A11C99" w:rsidRPr="008158D5" w:rsidRDefault="00A11C99" w:rsidP="00A11C99">
      <w:pPr>
        <w:pStyle w:val="ListParagraph"/>
        <w:numPr>
          <w:ilvl w:val="3"/>
          <w:numId w:val="33"/>
        </w:numPr>
        <w:spacing w:line="276" w:lineRule="auto"/>
        <w:jc w:val="both"/>
        <w:rPr>
          <w:rFonts w:ascii="Arial" w:hAnsi="Arial" w:cs="Arial"/>
          <w:b/>
          <w:bCs/>
          <w:sz w:val="20"/>
          <w:szCs w:val="20"/>
        </w:rPr>
      </w:pPr>
      <w:r w:rsidRPr="008158D5">
        <w:rPr>
          <w:rFonts w:ascii="Arial" w:hAnsi="Arial" w:cs="Arial"/>
          <w:b/>
          <w:bCs/>
          <w:sz w:val="20"/>
          <w:szCs w:val="20"/>
        </w:rPr>
        <w:t xml:space="preserve">Analytical hierarchical </w:t>
      </w:r>
      <w:r w:rsidR="003B0991" w:rsidRPr="008158D5">
        <w:rPr>
          <w:rFonts w:ascii="Arial" w:hAnsi="Arial" w:cs="Arial"/>
          <w:b/>
          <w:bCs/>
          <w:sz w:val="20"/>
          <w:szCs w:val="20"/>
        </w:rPr>
        <w:t>process (</w:t>
      </w:r>
      <w:r w:rsidRPr="008158D5">
        <w:rPr>
          <w:rFonts w:ascii="Arial" w:hAnsi="Arial" w:cs="Arial"/>
          <w:b/>
          <w:bCs/>
          <w:sz w:val="20"/>
          <w:szCs w:val="20"/>
        </w:rPr>
        <w:t>AHP)</w:t>
      </w:r>
    </w:p>
    <w:p w:rsidR="00A11C99" w:rsidRPr="00E65204" w:rsidRDefault="00A11C99" w:rsidP="00A11C99">
      <w:pPr>
        <w:spacing w:line="276" w:lineRule="auto"/>
        <w:jc w:val="both"/>
        <w:rPr>
          <w:rFonts w:ascii="Arial" w:hAnsi="Arial" w:cs="Arial"/>
          <w:highlight w:val="yellow"/>
        </w:rPr>
      </w:pPr>
      <w:r w:rsidRPr="00E83178">
        <w:rPr>
          <w:rFonts w:ascii="Arial" w:hAnsi="Arial" w:cs="Arial"/>
        </w:rPr>
        <w:lastRenderedPageBreak/>
        <w:t xml:space="preserve">Analytic Hierarchy Process (AHP), one of the </w:t>
      </w:r>
      <w:r>
        <w:rPr>
          <w:rFonts w:ascii="Arial" w:hAnsi="Arial" w:cs="Arial"/>
        </w:rPr>
        <w:t>multi-criteria</w:t>
      </w:r>
      <w:r w:rsidRPr="00E83178">
        <w:rPr>
          <w:rFonts w:ascii="Arial" w:hAnsi="Arial" w:cs="Arial"/>
        </w:rPr>
        <w:t xml:space="preserve"> decision-making techniques is, in essence, a technique for generating ratio scales </w:t>
      </w:r>
      <w:r w:rsidRPr="004761C6">
        <w:rPr>
          <w:rFonts w:ascii="Arial" w:hAnsi="Arial" w:cs="Arial"/>
        </w:rPr>
        <w:t>from paired comparisons</w:t>
      </w:r>
      <w:r w:rsidRPr="00E83178">
        <w:rPr>
          <w:rFonts w:ascii="Arial" w:hAnsi="Arial" w:cs="Arial"/>
        </w:rPr>
        <w:t xml:space="preserve">. The input can come from objective judgment, such as satisfied emotions and </w:t>
      </w:r>
      <w:r>
        <w:rPr>
          <w:rFonts w:ascii="Arial" w:hAnsi="Arial" w:cs="Arial"/>
        </w:rPr>
        <w:t>preferences</w:t>
      </w:r>
      <w:r w:rsidRPr="00E83178">
        <w:rPr>
          <w:rFonts w:ascii="Arial" w:hAnsi="Arial" w:cs="Arial"/>
        </w:rPr>
        <w:t xml:space="preserve">, or objective </w:t>
      </w:r>
      <w:r>
        <w:rPr>
          <w:rFonts w:ascii="Arial" w:hAnsi="Arial" w:cs="Arial"/>
        </w:rPr>
        <w:t>measurements</w:t>
      </w:r>
      <w:r w:rsidRPr="00E83178">
        <w:rPr>
          <w:rFonts w:ascii="Arial" w:hAnsi="Arial" w:cs="Arial"/>
        </w:rPr>
        <w:t xml:space="preserve">, such as price, weight, etc. Since people are not always consistent, AHP permits some little judgmental inconsistency. The consistency index is obtained from the principal </w:t>
      </w:r>
      <w:r>
        <w:rPr>
          <w:rFonts w:ascii="Arial" w:hAnsi="Arial" w:cs="Arial"/>
        </w:rPr>
        <w:t>Eigenvalue</w:t>
      </w:r>
      <w:r w:rsidRPr="00E83178">
        <w:rPr>
          <w:rFonts w:ascii="Arial" w:hAnsi="Arial" w:cs="Arial"/>
        </w:rPr>
        <w:t xml:space="preserve">, whereas the ratio scales are derived from the principal </w:t>
      </w:r>
      <w:r w:rsidRPr="00E65204">
        <w:rPr>
          <w:rFonts w:ascii="Arial" w:hAnsi="Arial" w:cs="Arial"/>
          <w:highlight w:val="yellow"/>
        </w:rPr>
        <w:t>Eigenvectors</w:t>
      </w:r>
      <w:r w:rsidR="00C050EB" w:rsidRPr="00E65204">
        <w:rPr>
          <w:rFonts w:ascii="Arial" w:hAnsi="Arial" w:cs="Arial"/>
          <w:highlight w:val="yellow"/>
        </w:rPr>
        <w:fldChar w:fldCharType="begin" w:fldLock="1"/>
      </w:r>
      <w:r w:rsidRPr="00E65204">
        <w:rPr>
          <w:rFonts w:ascii="Arial" w:hAnsi="Arial" w:cs="Arial"/>
          <w:highlight w:val="yellow"/>
        </w:rPr>
        <w:instrText>ADDIN CSL_CITATION {"citationItems":[{"id":"ITEM-1","itemData":{"author":[{"dropping-particle":"","family":"He","given":"Guanjie","non-dropping-particle":"","parse-names":false,"suffix":""},{"dropping-particle":"","family":"Chai","given":"Junrui","non-dropping-particle":"","parse-names":false,"suffix":""},{"dropping-particle":"","family":"Qin","given":"Yuan","non-dropping-particle":"","parse-names":false,"suffix":""},{"dropping-particle":"","family":"Xu","given":"Zengguang","non-dropping-particle":"","parse-names":false,"suffix":""},{"dropping-particle":"","family":"Li","given":"Shouyi","non-dropping-particle":"","parse-names":false,"suffix":""}],"id":"ITEM-1","issued":{"date-parts":[["2020"]]},"title":"Evaluation of Dam Break Social Impact Assessments Based on an Improved Variable Fuzzy Set Model","type":"article-journal"},"uris":["http://www.mendeley.com/documents/?uuid=31747119-4e4b-47df-9d00-9efbe5a40a3b","http://www.mendeley.com/documents/?uuid=61dfc2ba-dc0f-438d-9b22-10ed5db49d12"]}],"mendeley":{"formattedCitation":"(He et al., 2020)","plainTextFormattedCitation":"(He et al., 2020)","previouslyFormattedCitation":"(He et al., 2020)"},"properties":{"noteIndex":0},"schema":"https://github.com/citation-style-language/schema/raw/master/csl-citation.json"}</w:instrText>
      </w:r>
      <w:r w:rsidR="00C050EB" w:rsidRPr="00E65204">
        <w:rPr>
          <w:rFonts w:ascii="Arial" w:hAnsi="Arial" w:cs="Arial"/>
          <w:highlight w:val="yellow"/>
        </w:rPr>
        <w:fldChar w:fldCharType="separate"/>
      </w:r>
      <w:r w:rsidRPr="00E65204">
        <w:rPr>
          <w:rFonts w:ascii="Arial" w:hAnsi="Arial" w:cs="Arial"/>
          <w:noProof/>
          <w:highlight w:val="yellow"/>
        </w:rPr>
        <w:t>(He et al., 2020)</w:t>
      </w:r>
      <w:r w:rsidR="00C050EB" w:rsidRPr="00E65204">
        <w:rPr>
          <w:rFonts w:ascii="Arial" w:hAnsi="Arial" w:cs="Arial"/>
          <w:highlight w:val="yellow"/>
        </w:rPr>
        <w:fldChar w:fldCharType="end"/>
      </w:r>
      <w:r w:rsidRPr="00E65204">
        <w:rPr>
          <w:rFonts w:ascii="Arial" w:hAnsi="Arial" w:cs="Arial"/>
          <w:highlight w:val="yellow"/>
        </w:rPr>
        <w:t xml:space="preserve">. </w:t>
      </w:r>
    </w:p>
    <w:p w:rsidR="00A11C99" w:rsidRPr="00E83178" w:rsidRDefault="00A11C99" w:rsidP="00A11C99">
      <w:pPr>
        <w:spacing w:line="276" w:lineRule="auto"/>
        <w:jc w:val="both"/>
        <w:rPr>
          <w:rFonts w:ascii="Arial" w:hAnsi="Arial" w:cs="Arial"/>
        </w:rPr>
      </w:pPr>
      <w:r w:rsidRPr="00E65204">
        <w:rPr>
          <w:rFonts w:ascii="Arial" w:hAnsi="Arial" w:cs="Arial"/>
          <w:highlight w:val="yellow"/>
        </w:rPr>
        <w:t>or consistent reciprocal matrices</w:t>
      </w:r>
      <w:r w:rsidRPr="00E83178">
        <w:rPr>
          <w:rFonts w:ascii="Arial" w:hAnsi="Arial" w:cs="Arial"/>
        </w:rPr>
        <w:t xml:space="preserve">, the greatest </w:t>
      </w:r>
      <w:r>
        <w:rPr>
          <w:rFonts w:ascii="Arial" w:hAnsi="Arial" w:cs="Arial"/>
        </w:rPr>
        <w:t>Eigenvalue</w:t>
      </w:r>
      <w:r w:rsidRPr="00E83178">
        <w:rPr>
          <w:rFonts w:ascii="Arial" w:hAnsi="Arial" w:cs="Arial"/>
        </w:rPr>
        <w:t xml:space="preserve"> is equal to the size of the comparison matrix, or</w:t>
      </w:r>
      <m:oMath>
        <m:sSub>
          <m:sSubPr>
            <m:ctrlPr>
              <w:rPr>
                <w:rFonts w:ascii="Cambria Math" w:hAnsi="Cambria Math" w:cs="Arial"/>
                <w:b/>
                <w:bCs/>
                <w:i/>
              </w:rPr>
            </m:ctrlPr>
          </m:sSubPr>
          <m:e>
            <m:r>
              <m:rPr>
                <m:sty m:val="bi"/>
              </m:rPr>
              <w:rPr>
                <w:rFonts w:ascii="Cambria Math" w:hAnsi="Cambria Math" w:cs="Arial"/>
              </w:rPr>
              <m:t>λ</m:t>
            </m:r>
          </m:e>
          <m:sub>
            <m:r>
              <m:rPr>
                <m:sty m:val="bi"/>
              </m:rPr>
              <w:rPr>
                <w:rFonts w:ascii="Cambria Math" w:hAnsi="Cambria Math" w:cs="Arial"/>
              </w:rPr>
              <m:t>max</m:t>
            </m:r>
          </m:sub>
        </m:sSub>
        <m:r>
          <m:rPr>
            <m:sty m:val="bi"/>
          </m:rPr>
          <w:rPr>
            <w:rFonts w:ascii="Cambria Math" w:hAnsi="Cambria Math" w:cs="Arial"/>
          </w:rPr>
          <m:t>=n</m:t>
        </m:r>
      </m:oMath>
      <w:r w:rsidRPr="00E83178">
        <w:rPr>
          <w:rFonts w:ascii="Arial" w:hAnsi="Arial" w:cs="Arial"/>
        </w:rPr>
        <w:t>. Then he provided a consistency index, which is a deviation or degree of consistency, using the formula below;</w:t>
      </w:r>
    </w:p>
    <w:p w:rsidR="00A11C99" w:rsidRPr="00E83178" w:rsidRDefault="00A11C99" w:rsidP="00A11C99">
      <w:pPr>
        <w:spacing w:line="276" w:lineRule="auto"/>
        <w:ind w:left="720" w:firstLine="720"/>
        <w:rPr>
          <w:rFonts w:ascii="Arial" w:hAnsi="Arial" w:cs="Arial"/>
        </w:rPr>
      </w:pPr>
      <w:proofErr w:type="spellStart"/>
      <w:r w:rsidRPr="00E83178">
        <w:rPr>
          <w:rFonts w:ascii="Arial" w:eastAsiaTheme="minorEastAsia" w:hAnsi="Arial" w:cs="Arial"/>
        </w:rPr>
        <w:t>ConsistencyIndex</w:t>
      </w:r>
      <w:proofErr w:type="spellEnd"/>
      <w:r w:rsidRPr="00E83178">
        <w:rPr>
          <w:rFonts w:ascii="Arial" w:eastAsiaTheme="minorEastAsia" w:hAnsi="Arial" w:cs="Arial"/>
        </w:rPr>
        <w:t xml:space="preserve"> =</w:t>
      </w:r>
      <m:oMath>
        <m:f>
          <m:fPr>
            <m:ctrlPr>
              <w:rPr>
                <w:rFonts w:ascii="Cambria Math" w:eastAsiaTheme="minorEastAsia" w:hAnsi="Cambria Math" w:cs="Arial"/>
                <w:i/>
              </w:rPr>
            </m:ctrlPr>
          </m:fPr>
          <m:num>
            <m:sSub>
              <m:sSubPr>
                <m:ctrlPr>
                  <w:rPr>
                    <w:rFonts w:ascii="Cambria Math" w:eastAsiaTheme="minorEastAsia" w:hAnsi="Cambria Math" w:cs="Arial"/>
                    <w:i/>
                  </w:rPr>
                </m:ctrlPr>
              </m:sSubPr>
              <m:e>
                <m:r>
                  <w:rPr>
                    <w:rFonts w:ascii="Cambria Math" w:eastAsiaTheme="minorEastAsia" w:hAnsi="Cambria Math" w:cs="Arial"/>
                  </w:rPr>
                  <m:t>λ</m:t>
                </m:r>
              </m:e>
              <m:sub>
                <m:r>
                  <w:rPr>
                    <w:rFonts w:ascii="Cambria Math" w:eastAsiaTheme="minorEastAsia" w:hAnsi="Cambria Math" w:cs="Arial"/>
                  </w:rPr>
                  <m:t>max</m:t>
                </m:r>
              </m:sub>
            </m:sSub>
            <m:r>
              <w:rPr>
                <w:rFonts w:ascii="Cambria Math" w:eastAsiaTheme="minorEastAsia" w:hAnsi="Cambria Math" w:cs="Arial"/>
              </w:rPr>
              <m:t>-n</m:t>
            </m:r>
          </m:num>
          <m:den>
            <m:r>
              <w:rPr>
                <w:rFonts w:ascii="Cambria Math" w:eastAsiaTheme="minorEastAsia" w:hAnsi="Cambria Math" w:cs="Arial"/>
              </w:rPr>
              <m:t>n-1</m:t>
            </m:r>
          </m:den>
        </m:f>
      </m:oMath>
      <w:r>
        <w:rPr>
          <w:rFonts w:ascii="Arial" w:eastAsiaTheme="minorEastAsia" w:hAnsi="Arial" w:cs="Arial"/>
        </w:rPr>
        <w:t>................... Equation (1)</w:t>
      </w:r>
      <w:r>
        <w:rPr>
          <w:rFonts w:ascii="Cambria Math" w:hAnsi="Cambria Math" w:cs="Arial"/>
        </w:rPr>
        <w:br/>
      </w:r>
    </w:p>
    <w:p w:rsidR="00A11C99" w:rsidRPr="00E83178" w:rsidRDefault="00A11C99" w:rsidP="00A11C99">
      <w:pPr>
        <w:spacing w:line="276" w:lineRule="auto"/>
        <w:jc w:val="both"/>
        <w:rPr>
          <w:rFonts w:ascii="Arial" w:hAnsi="Arial" w:cs="Arial"/>
        </w:rPr>
      </w:pPr>
      <w:r w:rsidRPr="00E83178">
        <w:rPr>
          <w:rFonts w:ascii="Arial" w:hAnsi="Arial" w:cs="Arial"/>
        </w:rPr>
        <w:t xml:space="preserve">Once more, suggested </w:t>
      </w:r>
      <w:r>
        <w:rPr>
          <w:rFonts w:ascii="Arial" w:hAnsi="Arial" w:cs="Arial"/>
        </w:rPr>
        <w:t>the</w:t>
      </w:r>
      <w:r w:rsidRPr="00E83178">
        <w:rPr>
          <w:rFonts w:ascii="Arial" w:hAnsi="Arial" w:cs="Arial"/>
        </w:rPr>
        <w:t xml:space="preserve"> use of this index by contrasting it with the proper one. The proper consistency metric is known as the Random Consistency Index (RI)</w:t>
      </w:r>
      <w:r>
        <w:rPr>
          <w:rFonts w:ascii="Arial" w:hAnsi="Arial" w:cs="Arial"/>
        </w:rPr>
        <w:t>, which are constant as define in the table below,</w:t>
      </w:r>
    </w:p>
    <w:p w:rsidR="00A11C99" w:rsidRPr="00E83178" w:rsidRDefault="00A11C99" w:rsidP="00A11C99">
      <w:pPr>
        <w:pStyle w:val="Caption"/>
        <w:spacing w:line="276" w:lineRule="auto"/>
        <w:jc w:val="both"/>
        <w:rPr>
          <w:rFonts w:ascii="Arial" w:hAnsi="Arial" w:cs="Arial"/>
          <w:i w:val="0"/>
          <w:iCs w:val="0"/>
          <w:color w:val="auto"/>
          <w:sz w:val="22"/>
          <w:szCs w:val="22"/>
        </w:rPr>
      </w:pPr>
      <w:r w:rsidRPr="00E83178">
        <w:rPr>
          <w:rFonts w:ascii="Arial" w:hAnsi="Arial" w:cs="Arial"/>
          <w:i w:val="0"/>
          <w:iCs w:val="0"/>
          <w:color w:val="auto"/>
          <w:sz w:val="22"/>
          <w:szCs w:val="22"/>
        </w:rPr>
        <w:t xml:space="preserve">Table </w:t>
      </w:r>
      <w:r w:rsidR="00C050EB" w:rsidRPr="00E83178">
        <w:rPr>
          <w:rFonts w:ascii="Arial" w:hAnsi="Arial" w:cs="Arial"/>
          <w:i w:val="0"/>
          <w:iCs w:val="0"/>
          <w:color w:val="auto"/>
          <w:sz w:val="22"/>
          <w:szCs w:val="22"/>
        </w:rPr>
        <w:fldChar w:fldCharType="begin"/>
      </w:r>
      <w:r w:rsidRPr="00E83178">
        <w:rPr>
          <w:rFonts w:ascii="Arial" w:hAnsi="Arial" w:cs="Arial"/>
          <w:i w:val="0"/>
          <w:iCs w:val="0"/>
          <w:color w:val="auto"/>
          <w:sz w:val="22"/>
          <w:szCs w:val="22"/>
        </w:rPr>
        <w:instrText xml:space="preserve"> SEQ Table \* ARABIC </w:instrText>
      </w:r>
      <w:r w:rsidR="00C050EB" w:rsidRPr="00E83178">
        <w:rPr>
          <w:rFonts w:ascii="Arial" w:hAnsi="Arial" w:cs="Arial"/>
          <w:i w:val="0"/>
          <w:iCs w:val="0"/>
          <w:color w:val="auto"/>
          <w:sz w:val="22"/>
          <w:szCs w:val="22"/>
        </w:rPr>
        <w:fldChar w:fldCharType="separate"/>
      </w:r>
      <w:r w:rsidRPr="00E83178">
        <w:rPr>
          <w:rFonts w:ascii="Arial" w:hAnsi="Arial" w:cs="Arial"/>
          <w:i w:val="0"/>
          <w:iCs w:val="0"/>
          <w:noProof/>
          <w:color w:val="auto"/>
          <w:sz w:val="22"/>
          <w:szCs w:val="22"/>
        </w:rPr>
        <w:t>3</w:t>
      </w:r>
      <w:r w:rsidR="00C050EB" w:rsidRPr="00E83178">
        <w:rPr>
          <w:rFonts w:ascii="Arial" w:hAnsi="Arial" w:cs="Arial"/>
          <w:i w:val="0"/>
          <w:iCs w:val="0"/>
          <w:color w:val="auto"/>
          <w:sz w:val="22"/>
          <w:szCs w:val="22"/>
        </w:rPr>
        <w:fldChar w:fldCharType="end"/>
      </w:r>
      <w:r w:rsidRPr="00E83178">
        <w:rPr>
          <w:rFonts w:ascii="Arial" w:hAnsi="Arial" w:cs="Arial"/>
          <w:i w:val="0"/>
          <w:iCs w:val="0"/>
          <w:color w:val="auto"/>
          <w:sz w:val="22"/>
          <w:szCs w:val="22"/>
        </w:rPr>
        <w:t>. Random Consistency Index (RI)</w:t>
      </w:r>
    </w:p>
    <w:tbl>
      <w:tblPr>
        <w:tblStyle w:val="PlainTable21"/>
        <w:tblW w:w="0" w:type="auto"/>
        <w:tblLook w:val="04A0" w:firstRow="1" w:lastRow="0" w:firstColumn="1" w:lastColumn="0" w:noHBand="0" w:noVBand="1"/>
      </w:tblPr>
      <w:tblGrid>
        <w:gridCol w:w="761"/>
        <w:gridCol w:w="714"/>
        <w:gridCol w:w="712"/>
        <w:gridCol w:w="783"/>
        <w:gridCol w:w="754"/>
        <w:gridCol w:w="783"/>
        <w:gridCol w:w="783"/>
        <w:gridCol w:w="783"/>
        <w:gridCol w:w="783"/>
        <w:gridCol w:w="784"/>
        <w:gridCol w:w="784"/>
      </w:tblGrid>
      <w:tr w:rsidR="00A11C99" w:rsidRPr="00E83178" w:rsidTr="005701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2" w:type="dxa"/>
          </w:tcPr>
          <w:p w:rsidR="00A11C99" w:rsidRPr="00E83178" w:rsidRDefault="00A11C99" w:rsidP="005701E3">
            <w:pPr>
              <w:spacing w:line="276" w:lineRule="auto"/>
              <w:jc w:val="both"/>
              <w:rPr>
                <w:rFonts w:ascii="Arial" w:hAnsi="Arial" w:cs="Arial"/>
              </w:rPr>
            </w:pPr>
            <w:r w:rsidRPr="00E83178">
              <w:rPr>
                <w:rFonts w:ascii="Arial" w:hAnsi="Arial" w:cs="Arial"/>
              </w:rPr>
              <w:t>n</w:t>
            </w:r>
          </w:p>
        </w:tc>
        <w:tc>
          <w:tcPr>
            <w:tcW w:w="732" w:type="dxa"/>
          </w:tcPr>
          <w:p w:rsidR="00A11C99" w:rsidRPr="00E83178" w:rsidRDefault="00A11C99" w:rsidP="005701E3">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sidRPr="00E83178">
              <w:rPr>
                <w:rFonts w:ascii="Arial" w:hAnsi="Arial" w:cs="Arial"/>
              </w:rPr>
              <w:t>1</w:t>
            </w:r>
          </w:p>
        </w:tc>
        <w:tc>
          <w:tcPr>
            <w:tcW w:w="731" w:type="dxa"/>
          </w:tcPr>
          <w:p w:rsidR="00A11C99" w:rsidRPr="00E83178" w:rsidRDefault="00A11C99" w:rsidP="005701E3">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sidRPr="00E83178">
              <w:rPr>
                <w:rFonts w:ascii="Arial" w:hAnsi="Arial" w:cs="Arial"/>
              </w:rPr>
              <w:t>2</w:t>
            </w:r>
          </w:p>
        </w:tc>
        <w:tc>
          <w:tcPr>
            <w:tcW w:w="790" w:type="dxa"/>
          </w:tcPr>
          <w:p w:rsidR="00A11C99" w:rsidRPr="00E83178" w:rsidRDefault="00A11C99" w:rsidP="005701E3">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sidRPr="00E83178">
              <w:rPr>
                <w:rFonts w:ascii="Arial" w:hAnsi="Arial" w:cs="Arial"/>
              </w:rPr>
              <w:t>3</w:t>
            </w:r>
          </w:p>
        </w:tc>
        <w:tc>
          <w:tcPr>
            <w:tcW w:w="766" w:type="dxa"/>
          </w:tcPr>
          <w:p w:rsidR="00A11C99" w:rsidRPr="00E83178" w:rsidRDefault="00A11C99" w:rsidP="005701E3">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sidRPr="00E83178">
              <w:rPr>
                <w:rFonts w:ascii="Arial" w:hAnsi="Arial" w:cs="Arial"/>
              </w:rPr>
              <w:t>4</w:t>
            </w:r>
          </w:p>
        </w:tc>
        <w:tc>
          <w:tcPr>
            <w:tcW w:w="790" w:type="dxa"/>
          </w:tcPr>
          <w:p w:rsidR="00A11C99" w:rsidRPr="00E83178" w:rsidRDefault="00A11C99" w:rsidP="005701E3">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sidRPr="00E83178">
              <w:rPr>
                <w:rFonts w:ascii="Arial" w:hAnsi="Arial" w:cs="Arial"/>
              </w:rPr>
              <w:t>5</w:t>
            </w:r>
          </w:p>
        </w:tc>
        <w:tc>
          <w:tcPr>
            <w:tcW w:w="790" w:type="dxa"/>
          </w:tcPr>
          <w:p w:rsidR="00A11C99" w:rsidRPr="00E83178" w:rsidRDefault="00A11C99" w:rsidP="005701E3">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sidRPr="00E83178">
              <w:rPr>
                <w:rFonts w:ascii="Arial" w:hAnsi="Arial" w:cs="Arial"/>
              </w:rPr>
              <w:t>6</w:t>
            </w:r>
          </w:p>
        </w:tc>
        <w:tc>
          <w:tcPr>
            <w:tcW w:w="790" w:type="dxa"/>
          </w:tcPr>
          <w:p w:rsidR="00A11C99" w:rsidRPr="00E83178" w:rsidRDefault="00A11C99" w:rsidP="005701E3">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sidRPr="00E83178">
              <w:rPr>
                <w:rFonts w:ascii="Arial" w:hAnsi="Arial" w:cs="Arial"/>
              </w:rPr>
              <w:t>7</w:t>
            </w:r>
          </w:p>
        </w:tc>
        <w:tc>
          <w:tcPr>
            <w:tcW w:w="790" w:type="dxa"/>
          </w:tcPr>
          <w:p w:rsidR="00A11C99" w:rsidRPr="00E83178" w:rsidRDefault="00A11C99" w:rsidP="005701E3">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sidRPr="00E83178">
              <w:rPr>
                <w:rFonts w:ascii="Arial" w:hAnsi="Arial" w:cs="Arial"/>
              </w:rPr>
              <w:t>8</w:t>
            </w:r>
          </w:p>
        </w:tc>
        <w:tc>
          <w:tcPr>
            <w:tcW w:w="791" w:type="dxa"/>
          </w:tcPr>
          <w:p w:rsidR="00A11C99" w:rsidRPr="00E83178" w:rsidRDefault="00A11C99" w:rsidP="005701E3">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sidRPr="00E83178">
              <w:rPr>
                <w:rFonts w:ascii="Arial" w:hAnsi="Arial" w:cs="Arial"/>
              </w:rPr>
              <w:t>9</w:t>
            </w:r>
          </w:p>
        </w:tc>
        <w:tc>
          <w:tcPr>
            <w:tcW w:w="791" w:type="dxa"/>
          </w:tcPr>
          <w:p w:rsidR="00A11C99" w:rsidRPr="00E83178" w:rsidRDefault="00A11C99" w:rsidP="005701E3">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sidRPr="00E83178">
              <w:rPr>
                <w:rFonts w:ascii="Arial" w:hAnsi="Arial" w:cs="Arial"/>
              </w:rPr>
              <w:t>10</w:t>
            </w:r>
          </w:p>
        </w:tc>
      </w:tr>
      <w:tr w:rsidR="00A11C99" w:rsidRPr="00E83178" w:rsidTr="005701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2" w:type="dxa"/>
          </w:tcPr>
          <w:p w:rsidR="00A11C99" w:rsidRPr="00E83178" w:rsidRDefault="00A11C99" w:rsidP="005701E3">
            <w:pPr>
              <w:spacing w:line="276" w:lineRule="auto"/>
              <w:jc w:val="both"/>
              <w:rPr>
                <w:rFonts w:ascii="Arial" w:hAnsi="Arial" w:cs="Arial"/>
              </w:rPr>
            </w:pPr>
            <w:r w:rsidRPr="00E83178">
              <w:rPr>
                <w:rFonts w:ascii="Arial" w:hAnsi="Arial" w:cs="Arial"/>
              </w:rPr>
              <w:t>Rn</w:t>
            </w:r>
          </w:p>
        </w:tc>
        <w:tc>
          <w:tcPr>
            <w:tcW w:w="732" w:type="dxa"/>
          </w:tcPr>
          <w:p w:rsidR="00A11C99" w:rsidRPr="00E83178" w:rsidRDefault="00A11C99" w:rsidP="005701E3">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E83178">
              <w:rPr>
                <w:rFonts w:ascii="Arial" w:hAnsi="Arial" w:cs="Arial"/>
              </w:rPr>
              <w:t>0</w:t>
            </w:r>
          </w:p>
        </w:tc>
        <w:tc>
          <w:tcPr>
            <w:tcW w:w="731" w:type="dxa"/>
          </w:tcPr>
          <w:p w:rsidR="00A11C99" w:rsidRPr="00E83178" w:rsidRDefault="00A11C99" w:rsidP="005701E3">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E83178">
              <w:rPr>
                <w:rFonts w:ascii="Arial" w:hAnsi="Arial" w:cs="Arial"/>
              </w:rPr>
              <w:t>0</w:t>
            </w:r>
          </w:p>
        </w:tc>
        <w:tc>
          <w:tcPr>
            <w:tcW w:w="790" w:type="dxa"/>
          </w:tcPr>
          <w:p w:rsidR="00A11C99" w:rsidRPr="00E83178" w:rsidRDefault="00A11C99" w:rsidP="005701E3">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E83178">
              <w:rPr>
                <w:rFonts w:ascii="Arial" w:hAnsi="Arial" w:cs="Arial"/>
              </w:rPr>
              <w:t>0.58</w:t>
            </w:r>
          </w:p>
        </w:tc>
        <w:tc>
          <w:tcPr>
            <w:tcW w:w="766" w:type="dxa"/>
          </w:tcPr>
          <w:p w:rsidR="00A11C99" w:rsidRPr="00E83178" w:rsidRDefault="00A11C99" w:rsidP="005701E3">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E83178">
              <w:rPr>
                <w:rFonts w:ascii="Arial" w:hAnsi="Arial" w:cs="Arial"/>
              </w:rPr>
              <w:t>0.9</w:t>
            </w:r>
          </w:p>
        </w:tc>
        <w:tc>
          <w:tcPr>
            <w:tcW w:w="790" w:type="dxa"/>
          </w:tcPr>
          <w:p w:rsidR="00A11C99" w:rsidRPr="00E83178" w:rsidRDefault="00A11C99" w:rsidP="005701E3">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E83178">
              <w:rPr>
                <w:rFonts w:ascii="Arial" w:hAnsi="Arial" w:cs="Arial"/>
              </w:rPr>
              <w:t>1.12</w:t>
            </w:r>
          </w:p>
        </w:tc>
        <w:tc>
          <w:tcPr>
            <w:tcW w:w="790" w:type="dxa"/>
          </w:tcPr>
          <w:p w:rsidR="00A11C99" w:rsidRPr="00E83178" w:rsidRDefault="00A11C99" w:rsidP="005701E3">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E83178">
              <w:rPr>
                <w:rFonts w:ascii="Arial" w:hAnsi="Arial" w:cs="Arial"/>
              </w:rPr>
              <w:t>1.24</w:t>
            </w:r>
          </w:p>
        </w:tc>
        <w:tc>
          <w:tcPr>
            <w:tcW w:w="790" w:type="dxa"/>
          </w:tcPr>
          <w:p w:rsidR="00A11C99" w:rsidRPr="00E83178" w:rsidRDefault="00A11C99" w:rsidP="005701E3">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E83178">
              <w:rPr>
                <w:rFonts w:ascii="Arial" w:hAnsi="Arial" w:cs="Arial"/>
              </w:rPr>
              <w:t>1.32</w:t>
            </w:r>
          </w:p>
        </w:tc>
        <w:tc>
          <w:tcPr>
            <w:tcW w:w="790" w:type="dxa"/>
          </w:tcPr>
          <w:p w:rsidR="00A11C99" w:rsidRPr="00E83178" w:rsidRDefault="00A11C99" w:rsidP="005701E3">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E83178">
              <w:rPr>
                <w:rFonts w:ascii="Arial" w:hAnsi="Arial" w:cs="Arial"/>
              </w:rPr>
              <w:t>1.41</w:t>
            </w:r>
          </w:p>
        </w:tc>
        <w:tc>
          <w:tcPr>
            <w:tcW w:w="791" w:type="dxa"/>
          </w:tcPr>
          <w:p w:rsidR="00A11C99" w:rsidRPr="00E83178" w:rsidRDefault="00A11C99" w:rsidP="005701E3">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E83178">
              <w:rPr>
                <w:rFonts w:ascii="Arial" w:hAnsi="Arial" w:cs="Arial"/>
              </w:rPr>
              <w:t>1.45</w:t>
            </w:r>
          </w:p>
        </w:tc>
        <w:tc>
          <w:tcPr>
            <w:tcW w:w="791" w:type="dxa"/>
          </w:tcPr>
          <w:p w:rsidR="00A11C99" w:rsidRPr="00E83178" w:rsidRDefault="00A11C99" w:rsidP="005701E3">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E83178">
              <w:rPr>
                <w:rFonts w:ascii="Arial" w:hAnsi="Arial" w:cs="Arial"/>
              </w:rPr>
              <w:t>1.49</w:t>
            </w:r>
          </w:p>
        </w:tc>
      </w:tr>
    </w:tbl>
    <w:p w:rsidR="00A11C99" w:rsidRDefault="00A11C99" w:rsidP="00A11C99">
      <w:pPr>
        <w:jc w:val="both"/>
        <w:rPr>
          <w:rFonts w:ascii="Garamond" w:hAnsi="Garamond"/>
          <w:sz w:val="24"/>
          <w:szCs w:val="24"/>
        </w:rPr>
      </w:pPr>
    </w:p>
    <w:p w:rsidR="00A11C99" w:rsidRPr="005A6756" w:rsidRDefault="00A11C99" w:rsidP="00A11C99">
      <w:pPr>
        <w:spacing w:line="276" w:lineRule="auto"/>
        <w:ind w:firstLine="720"/>
        <w:jc w:val="both"/>
        <w:rPr>
          <w:rFonts w:ascii="Arial" w:eastAsiaTheme="minorEastAsia" w:hAnsi="Arial" w:cs="Arial"/>
        </w:rPr>
      </w:pPr>
      <w:r w:rsidRPr="005A6756">
        <w:rPr>
          <w:rFonts w:ascii="Arial" w:eastAsiaTheme="minorEastAsia" w:hAnsi="Arial" w:cs="Arial"/>
        </w:rPr>
        <w:t xml:space="preserve">Consistency Ratio = </w:t>
      </w:r>
      <m:oMath>
        <m:f>
          <m:fPr>
            <m:ctrlPr>
              <w:rPr>
                <w:rFonts w:ascii="Cambria Math" w:eastAsiaTheme="minorEastAsia" w:hAnsi="Cambria Math" w:cs="Arial"/>
                <w:b/>
                <w:i/>
              </w:rPr>
            </m:ctrlPr>
          </m:fPr>
          <m:num>
            <m:r>
              <m:rPr>
                <m:sty m:val="bi"/>
              </m:rPr>
              <w:rPr>
                <w:rFonts w:ascii="Cambria Math" w:eastAsiaTheme="minorEastAsia" w:hAnsi="Cambria Math" w:cs="Arial"/>
              </w:rPr>
              <m:t>Consistency Index (CI)</m:t>
            </m:r>
          </m:num>
          <m:den>
            <m:r>
              <m:rPr>
                <m:sty m:val="bi"/>
              </m:rPr>
              <w:rPr>
                <w:rFonts w:ascii="Cambria Math" w:eastAsiaTheme="minorEastAsia" w:hAnsi="Cambria Math" w:cs="Arial"/>
              </w:rPr>
              <m:t>Random Consistency Index (RI)</m:t>
            </m:r>
          </m:den>
        </m:f>
      </m:oMath>
      <w:r w:rsidRPr="00E64B04">
        <w:rPr>
          <w:rFonts w:ascii="Arial" w:eastAsiaTheme="minorEastAsia" w:hAnsi="Arial" w:cs="Arial"/>
          <w:b/>
        </w:rPr>
        <w:t>...............</w:t>
      </w:r>
      <w:r w:rsidRPr="005A6756">
        <w:rPr>
          <w:rFonts w:ascii="Arial" w:eastAsiaTheme="minorEastAsia" w:hAnsi="Arial" w:cs="Arial"/>
        </w:rPr>
        <w:t>Equation (2)</w:t>
      </w:r>
    </w:p>
    <w:p w:rsidR="00A11C99" w:rsidRPr="00E83178" w:rsidRDefault="00A11C99" w:rsidP="00A11C99">
      <w:pPr>
        <w:spacing w:line="276" w:lineRule="auto"/>
        <w:jc w:val="both"/>
        <w:rPr>
          <w:rFonts w:ascii="Arial" w:hAnsi="Arial" w:cs="Arial"/>
        </w:rPr>
      </w:pPr>
      <w:r w:rsidRPr="00E83178">
        <w:rPr>
          <w:rFonts w:ascii="Arial" w:hAnsi="Arial" w:cs="Arial"/>
        </w:rPr>
        <w:t>The inconsistency is acceptable if the consistency ratio value is less than or equal to 10%. We must update the subjective assessment if the consistency ratio is larger than 10%.</w:t>
      </w:r>
    </w:p>
    <w:p w:rsidR="00A11C99" w:rsidRDefault="00A11C99" w:rsidP="00A11C99">
      <w:pPr>
        <w:spacing w:line="276" w:lineRule="auto"/>
        <w:jc w:val="both"/>
        <w:rPr>
          <w:rFonts w:ascii="Arial" w:hAnsi="Arial" w:cs="Arial"/>
        </w:rPr>
      </w:pPr>
      <w:r w:rsidRPr="00E83178">
        <w:rPr>
          <w:rFonts w:ascii="Arial" w:hAnsi="Arial" w:cs="Arial"/>
        </w:rPr>
        <w:t>Data processing and extraction such as band composition, mosaicking of the images, image re-projection</w:t>
      </w:r>
      <w:r>
        <w:rPr>
          <w:rFonts w:ascii="Arial" w:hAnsi="Arial" w:cs="Arial"/>
        </w:rPr>
        <w:t>, Reclassification</w:t>
      </w:r>
      <w:r w:rsidRPr="00E83178">
        <w:rPr>
          <w:rFonts w:ascii="Arial" w:hAnsi="Arial" w:cs="Arial"/>
        </w:rPr>
        <w:t xml:space="preserve"> and re-sampling </w:t>
      </w:r>
      <w:r>
        <w:rPr>
          <w:rFonts w:ascii="Arial" w:hAnsi="Arial" w:cs="Arial"/>
        </w:rPr>
        <w:t>were</w:t>
      </w:r>
      <w:r w:rsidRPr="00E83178">
        <w:rPr>
          <w:rFonts w:ascii="Arial" w:hAnsi="Arial" w:cs="Arial"/>
        </w:rPr>
        <w:t xml:space="preserve"> performed using ArcGIS 10.7image-processing </w:t>
      </w:r>
      <w:r>
        <w:rPr>
          <w:rFonts w:ascii="Arial" w:hAnsi="Arial" w:cs="Arial"/>
        </w:rPr>
        <w:t xml:space="preserve">software  </w:t>
      </w:r>
    </w:p>
    <w:p w:rsidR="00A11C99" w:rsidRDefault="00A11C99" w:rsidP="00A11C99">
      <w:pPr>
        <w:spacing w:line="276" w:lineRule="auto"/>
        <w:jc w:val="both"/>
        <w:rPr>
          <w:rFonts w:ascii="Arial" w:hAnsi="Arial" w:cs="Arial"/>
        </w:rPr>
      </w:pPr>
      <w:r>
        <w:rPr>
          <w:rFonts w:ascii="Arial" w:hAnsi="Arial" w:cs="Arial"/>
        </w:rPr>
        <w:t xml:space="preserve">This study employed methodological flow chart that </w:t>
      </w:r>
      <w:r w:rsidRPr="001A7550">
        <w:rPr>
          <w:rFonts w:ascii="Arial" w:hAnsi="Arial" w:cs="Arial"/>
        </w:rPr>
        <w:t>combines </w:t>
      </w:r>
      <w:r w:rsidRPr="0083507C">
        <w:rPr>
          <w:rFonts w:ascii="Arial" w:hAnsi="Arial" w:cs="Arial"/>
        </w:rPr>
        <w:t>GIS</w:t>
      </w:r>
      <w:r w:rsidRPr="001A7550">
        <w:rPr>
          <w:rFonts w:ascii="Arial" w:hAnsi="Arial" w:cs="Arial"/>
        </w:rPr>
        <w:t>, </w:t>
      </w:r>
      <w:r w:rsidRPr="0083507C">
        <w:rPr>
          <w:rFonts w:ascii="Arial" w:hAnsi="Arial" w:cs="Arial"/>
        </w:rPr>
        <w:t>remote sensing</w:t>
      </w:r>
      <w:r w:rsidRPr="001A7550">
        <w:rPr>
          <w:rFonts w:ascii="Arial" w:hAnsi="Arial" w:cs="Arial"/>
        </w:rPr>
        <w:t>, and </w:t>
      </w:r>
      <w:r w:rsidRPr="0083507C">
        <w:rPr>
          <w:rFonts w:ascii="Arial" w:hAnsi="Arial" w:cs="Arial"/>
        </w:rPr>
        <w:t>multi-criteria decision analysis (MCDA)</w:t>
      </w:r>
      <w:r w:rsidRPr="001A7550">
        <w:rPr>
          <w:rFonts w:ascii="Arial" w:hAnsi="Arial" w:cs="Arial"/>
        </w:rPr>
        <w:t xml:space="preserve"> to assess the compliance of aging dams with risk management frameworks. The workflow includes data collection, criteria selection, spatial analysis, </w:t>
      </w:r>
      <w:r>
        <w:rPr>
          <w:rFonts w:ascii="Arial" w:hAnsi="Arial" w:cs="Arial"/>
        </w:rPr>
        <w:t xml:space="preserve">and </w:t>
      </w:r>
      <w:r w:rsidRPr="001A7550">
        <w:rPr>
          <w:rFonts w:ascii="Arial" w:hAnsi="Arial" w:cs="Arial"/>
        </w:rPr>
        <w:t>risk modeling</w:t>
      </w:r>
      <w:r>
        <w:rPr>
          <w:rFonts w:ascii="Arial" w:hAnsi="Arial" w:cs="Arial"/>
        </w:rPr>
        <w:t xml:space="preserve"> using AHP model</w:t>
      </w:r>
      <w:r w:rsidRPr="001A7550">
        <w:rPr>
          <w:rFonts w:ascii="Arial" w:hAnsi="Arial" w:cs="Arial"/>
        </w:rPr>
        <w:t>,</w:t>
      </w:r>
      <w:r>
        <w:rPr>
          <w:rFonts w:ascii="Arial" w:hAnsi="Arial" w:cs="Arial"/>
        </w:rPr>
        <w:t xml:space="preserve"> as shown in the figure 2 below.</w:t>
      </w:r>
    </w:p>
    <w:p w:rsidR="008158D5" w:rsidRDefault="008158D5" w:rsidP="00A11C99">
      <w:pPr>
        <w:spacing w:line="276" w:lineRule="auto"/>
        <w:jc w:val="both"/>
        <w:rPr>
          <w:rFonts w:ascii="Arial" w:hAnsi="Arial" w:cs="Arial"/>
        </w:rPr>
      </w:pPr>
      <w:r>
        <w:rPr>
          <w:rFonts w:ascii="Arial" w:hAnsi="Arial" w:cs="Arial"/>
          <w:noProof/>
        </w:rPr>
        <w:lastRenderedPageBreak/>
        <w:drawing>
          <wp:inline distT="0" distB="0" distL="0" distR="0">
            <wp:extent cx="5212080" cy="3454353"/>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12080" cy="3454353"/>
                    </a:xfrm>
                    <a:prstGeom prst="rect">
                      <a:avLst/>
                    </a:prstGeom>
                    <a:noFill/>
                  </pic:spPr>
                </pic:pic>
              </a:graphicData>
            </a:graphic>
          </wp:inline>
        </w:drawing>
      </w:r>
    </w:p>
    <w:p w:rsidR="008158D5" w:rsidRDefault="008158D5" w:rsidP="004A0592">
      <w:pPr>
        <w:pStyle w:val="ListParagraph"/>
        <w:spacing w:line="276" w:lineRule="auto"/>
        <w:jc w:val="center"/>
        <w:rPr>
          <w:rFonts w:ascii="Arial" w:hAnsi="Arial" w:cs="Arial"/>
          <w:b/>
          <w:bCs/>
        </w:rPr>
      </w:pPr>
      <w:r w:rsidRPr="00D8663E">
        <w:rPr>
          <w:rFonts w:ascii="Arial" w:hAnsi="Arial" w:cs="Arial"/>
          <w:b/>
          <w:bCs/>
        </w:rPr>
        <w:t>Figure</w:t>
      </w:r>
      <w:r>
        <w:rPr>
          <w:rFonts w:ascii="Arial" w:hAnsi="Arial" w:cs="Arial"/>
          <w:b/>
          <w:bCs/>
        </w:rPr>
        <w:t xml:space="preserve"> 2</w:t>
      </w:r>
      <w:r w:rsidR="00C050EB" w:rsidRPr="00D8663E">
        <w:rPr>
          <w:rFonts w:ascii="Arial" w:hAnsi="Arial" w:cs="Arial"/>
          <w:b/>
          <w:bCs/>
          <w:i/>
          <w:iCs/>
        </w:rPr>
        <w:fldChar w:fldCharType="begin"/>
      </w:r>
      <w:r w:rsidRPr="00D8663E">
        <w:rPr>
          <w:rFonts w:ascii="Arial" w:hAnsi="Arial" w:cs="Arial"/>
          <w:b/>
          <w:bCs/>
        </w:rPr>
        <w:instrText xml:space="preserve"> SEQ Figure \* ARABIC </w:instrText>
      </w:r>
      <w:r w:rsidR="00C050EB" w:rsidRPr="00D8663E">
        <w:rPr>
          <w:rFonts w:ascii="Arial" w:hAnsi="Arial" w:cs="Arial"/>
          <w:b/>
          <w:bCs/>
          <w:i/>
          <w:iCs/>
        </w:rPr>
        <w:fldChar w:fldCharType="end"/>
      </w:r>
      <w:r w:rsidRPr="00D8663E">
        <w:rPr>
          <w:rFonts w:ascii="Arial" w:hAnsi="Arial" w:cs="Arial"/>
          <w:b/>
          <w:bCs/>
        </w:rPr>
        <w:t xml:space="preserve">. </w:t>
      </w:r>
      <w:r w:rsidRPr="004A0592">
        <w:rPr>
          <w:rFonts w:ascii="Arial" w:hAnsi="Arial" w:cs="Arial"/>
          <w:b/>
          <w:bCs/>
          <w:shd w:val="clear" w:color="auto" w:fill="FFFF00"/>
        </w:rPr>
        <w:t>Methodological flowchart</w:t>
      </w:r>
    </w:p>
    <w:p w:rsidR="00790ADA" w:rsidRPr="00FB3A86" w:rsidRDefault="00790ADA" w:rsidP="00441B6F">
      <w:pPr>
        <w:pStyle w:val="Body"/>
        <w:spacing w:after="0"/>
        <w:rPr>
          <w:rFonts w:ascii="Arial" w:hAnsi="Arial" w:cs="Arial"/>
        </w:rPr>
      </w:pPr>
    </w:p>
    <w:p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rsidR="00790ADA" w:rsidRPr="00FB3A86" w:rsidRDefault="00790ADA" w:rsidP="00441B6F">
      <w:pPr>
        <w:pStyle w:val="Head1"/>
        <w:spacing w:after="0"/>
        <w:jc w:val="both"/>
        <w:rPr>
          <w:rFonts w:ascii="Arial" w:hAnsi="Arial" w:cs="Arial"/>
        </w:rPr>
      </w:pPr>
    </w:p>
    <w:p w:rsidR="008158D5" w:rsidRDefault="008158D5" w:rsidP="008158D5">
      <w:pPr>
        <w:spacing w:line="276" w:lineRule="auto"/>
        <w:jc w:val="both"/>
        <w:rPr>
          <w:rFonts w:ascii="Arial" w:hAnsi="Arial" w:cs="Arial"/>
          <w:b/>
          <w:bCs/>
        </w:rPr>
      </w:pPr>
      <w:r w:rsidRPr="00D4340E">
        <w:rPr>
          <w:rFonts w:ascii="Arial" w:hAnsi="Arial" w:cs="Arial"/>
          <w:b/>
          <w:bCs/>
        </w:rPr>
        <w:t xml:space="preserve">3.1 </w:t>
      </w:r>
      <w:r>
        <w:rPr>
          <w:rFonts w:ascii="Arial" w:hAnsi="Arial" w:cs="Arial"/>
          <w:b/>
          <w:bCs/>
        </w:rPr>
        <w:t>F</w:t>
      </w:r>
      <w:r w:rsidRPr="00D4340E">
        <w:rPr>
          <w:rFonts w:ascii="Arial" w:hAnsi="Arial" w:cs="Arial"/>
          <w:b/>
          <w:bCs/>
        </w:rPr>
        <w:t xml:space="preserve">actor determining the dam condition </w:t>
      </w:r>
    </w:p>
    <w:p w:rsidR="008158D5" w:rsidRPr="00D4340E" w:rsidRDefault="008158D5" w:rsidP="008158D5">
      <w:pPr>
        <w:spacing w:line="276" w:lineRule="auto"/>
        <w:jc w:val="both"/>
        <w:rPr>
          <w:rFonts w:ascii="Arial" w:hAnsi="Arial" w:cs="Arial"/>
          <w:b/>
          <w:bCs/>
        </w:rPr>
      </w:pPr>
    </w:p>
    <w:p w:rsidR="008158D5" w:rsidRPr="000C454F" w:rsidRDefault="008158D5" w:rsidP="005701E3">
      <w:pPr>
        <w:shd w:val="clear" w:color="auto" w:fill="FFFF00"/>
        <w:spacing w:line="276" w:lineRule="auto"/>
        <w:jc w:val="both"/>
        <w:rPr>
          <w:rFonts w:ascii="Arial" w:hAnsi="Arial" w:cs="Arial"/>
        </w:rPr>
      </w:pPr>
      <w:r>
        <w:rPr>
          <w:rFonts w:ascii="Arial" w:hAnsi="Arial" w:cs="Arial"/>
        </w:rPr>
        <w:t xml:space="preserve">To </w:t>
      </w:r>
      <w:r w:rsidRPr="000C454F">
        <w:rPr>
          <w:rFonts w:ascii="Arial" w:hAnsi="Arial" w:cs="Arial"/>
        </w:rPr>
        <w:t>evaluate the conditions of old dams for compliance with risk management programs for dam safety</w:t>
      </w:r>
      <w:r>
        <w:rPr>
          <w:rFonts w:ascii="Arial" w:hAnsi="Arial" w:cs="Arial"/>
        </w:rPr>
        <w:t xml:space="preserve"> using </w:t>
      </w:r>
      <w:r w:rsidRPr="000C454F">
        <w:rPr>
          <w:rFonts w:ascii="Arial" w:hAnsi="Arial" w:cs="Arial"/>
        </w:rPr>
        <w:t xml:space="preserve">GIS and Remote Sensing. The output of the approach used various criteria (Land use/Land cover, Slope, Elevation, Aspect, Climatic conditions, Soil, Population Density, Distance to road and Distance to river) to form a map demonstrating </w:t>
      </w:r>
      <w:r>
        <w:rPr>
          <w:rFonts w:ascii="Arial" w:hAnsi="Arial" w:cs="Arial"/>
        </w:rPr>
        <w:t>risk</w:t>
      </w:r>
      <w:r w:rsidRPr="000C454F">
        <w:rPr>
          <w:rFonts w:ascii="Arial" w:hAnsi="Arial" w:cs="Arial"/>
        </w:rPr>
        <w:t xml:space="preserve"> areas around the dam. </w:t>
      </w:r>
    </w:p>
    <w:p w:rsidR="00E053D0" w:rsidRDefault="008158D5" w:rsidP="00441B6F">
      <w:pPr>
        <w:pStyle w:val="Body"/>
        <w:spacing w:after="0"/>
        <w:rPr>
          <w:rFonts w:ascii="Arial" w:hAnsi="Arial" w:cs="Arial"/>
        </w:rPr>
      </w:pPr>
      <w:r>
        <w:rPr>
          <w:rFonts w:ascii="Garamond" w:hAnsi="Garamond"/>
          <w:noProof/>
          <w:sz w:val="24"/>
          <w:szCs w:val="24"/>
        </w:rPr>
        <w:lastRenderedPageBreak/>
        <w:drawing>
          <wp:inline distT="0" distB="0" distL="0" distR="0">
            <wp:extent cx="5211445" cy="7505700"/>
            <wp:effectExtent l="0" t="0" r="8255"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045052" name="Picture 205104505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27782" cy="7529229"/>
                    </a:xfrm>
                    <a:prstGeom prst="rect">
                      <a:avLst/>
                    </a:prstGeom>
                  </pic:spPr>
                </pic:pic>
              </a:graphicData>
            </a:graphic>
          </wp:inline>
        </w:drawing>
      </w:r>
    </w:p>
    <w:p w:rsidR="008158D5" w:rsidRDefault="008158D5" w:rsidP="008158D5">
      <w:pPr>
        <w:pStyle w:val="Caption"/>
        <w:spacing w:line="276" w:lineRule="auto"/>
        <w:jc w:val="both"/>
        <w:rPr>
          <w:rFonts w:ascii="Arial" w:hAnsi="Arial" w:cs="Arial"/>
          <w:i w:val="0"/>
          <w:iCs w:val="0"/>
          <w:color w:val="auto"/>
          <w:sz w:val="22"/>
          <w:szCs w:val="22"/>
        </w:rPr>
      </w:pPr>
      <w:r w:rsidRPr="000C454F">
        <w:rPr>
          <w:rFonts w:ascii="Arial" w:hAnsi="Arial" w:cs="Arial"/>
          <w:i w:val="0"/>
          <w:iCs w:val="0"/>
          <w:color w:val="auto"/>
          <w:sz w:val="22"/>
          <w:szCs w:val="22"/>
        </w:rPr>
        <w:lastRenderedPageBreak/>
        <w:t xml:space="preserve">Figure </w:t>
      </w:r>
      <w:r w:rsidR="00C050EB" w:rsidRPr="000C454F">
        <w:rPr>
          <w:rFonts w:ascii="Arial" w:hAnsi="Arial" w:cs="Arial"/>
          <w:i w:val="0"/>
          <w:iCs w:val="0"/>
          <w:color w:val="auto"/>
          <w:sz w:val="22"/>
          <w:szCs w:val="22"/>
        </w:rPr>
        <w:fldChar w:fldCharType="begin"/>
      </w:r>
      <w:r w:rsidRPr="000C454F">
        <w:rPr>
          <w:rFonts w:ascii="Arial" w:hAnsi="Arial" w:cs="Arial"/>
          <w:i w:val="0"/>
          <w:iCs w:val="0"/>
          <w:color w:val="auto"/>
          <w:sz w:val="22"/>
          <w:szCs w:val="22"/>
        </w:rPr>
        <w:instrText xml:space="preserve"> SEQ Figure \* ARABIC </w:instrText>
      </w:r>
      <w:r w:rsidR="00C050EB" w:rsidRPr="000C454F">
        <w:rPr>
          <w:rFonts w:ascii="Arial" w:hAnsi="Arial" w:cs="Arial"/>
          <w:i w:val="0"/>
          <w:iCs w:val="0"/>
          <w:color w:val="auto"/>
          <w:sz w:val="22"/>
          <w:szCs w:val="22"/>
        </w:rPr>
        <w:fldChar w:fldCharType="separate"/>
      </w:r>
      <w:r>
        <w:rPr>
          <w:rFonts w:ascii="Arial" w:hAnsi="Arial" w:cs="Arial"/>
          <w:i w:val="0"/>
          <w:iCs w:val="0"/>
          <w:noProof/>
          <w:color w:val="auto"/>
          <w:sz w:val="22"/>
          <w:szCs w:val="22"/>
        </w:rPr>
        <w:t>3</w:t>
      </w:r>
      <w:r w:rsidR="00C050EB" w:rsidRPr="000C454F">
        <w:rPr>
          <w:rFonts w:ascii="Arial" w:hAnsi="Arial" w:cs="Arial"/>
          <w:i w:val="0"/>
          <w:iCs w:val="0"/>
          <w:color w:val="auto"/>
          <w:sz w:val="22"/>
          <w:szCs w:val="22"/>
        </w:rPr>
        <w:fldChar w:fldCharType="end"/>
      </w:r>
      <w:r w:rsidRPr="000C454F">
        <w:rPr>
          <w:rFonts w:ascii="Arial" w:hAnsi="Arial" w:cs="Arial"/>
          <w:i w:val="0"/>
          <w:iCs w:val="0"/>
          <w:color w:val="auto"/>
          <w:sz w:val="22"/>
          <w:szCs w:val="22"/>
        </w:rPr>
        <w:t xml:space="preserve">. Shows the key factors A. Aspect, B. Distance to River, C. Distance to Road, D. Elevation, E. Land Use Land Cover, F. Population Density, G. </w:t>
      </w:r>
      <w:proofErr w:type="spellStart"/>
      <w:r w:rsidRPr="000C454F">
        <w:rPr>
          <w:rFonts w:ascii="Arial" w:hAnsi="Arial" w:cs="Arial"/>
          <w:i w:val="0"/>
          <w:iCs w:val="0"/>
          <w:color w:val="auto"/>
          <w:sz w:val="22"/>
          <w:szCs w:val="22"/>
        </w:rPr>
        <w:t>Slopeand</w:t>
      </w:r>
      <w:proofErr w:type="spellEnd"/>
      <w:r w:rsidRPr="000C454F">
        <w:rPr>
          <w:rFonts w:ascii="Arial" w:hAnsi="Arial" w:cs="Arial"/>
          <w:i w:val="0"/>
          <w:iCs w:val="0"/>
          <w:color w:val="auto"/>
          <w:sz w:val="22"/>
          <w:szCs w:val="22"/>
        </w:rPr>
        <w:t xml:space="preserve"> H. Soil</w:t>
      </w:r>
      <w:r>
        <w:rPr>
          <w:rFonts w:ascii="Arial" w:hAnsi="Arial" w:cs="Arial"/>
          <w:i w:val="0"/>
          <w:iCs w:val="0"/>
          <w:color w:val="auto"/>
          <w:sz w:val="22"/>
          <w:szCs w:val="22"/>
        </w:rPr>
        <w:t>.</w:t>
      </w:r>
    </w:p>
    <w:p w:rsidR="008158D5" w:rsidRDefault="008158D5" w:rsidP="008158D5">
      <w:pPr>
        <w:spacing w:line="276" w:lineRule="auto"/>
        <w:jc w:val="both"/>
        <w:rPr>
          <w:rFonts w:ascii="Arial" w:hAnsi="Arial" w:cs="Arial"/>
          <w:b/>
          <w:bCs/>
          <w:sz w:val="22"/>
          <w:szCs w:val="22"/>
        </w:rPr>
      </w:pPr>
      <w:r w:rsidRPr="008158D5">
        <w:rPr>
          <w:rFonts w:ascii="Arial" w:hAnsi="Arial" w:cs="Arial"/>
          <w:b/>
          <w:bCs/>
          <w:sz w:val="22"/>
          <w:szCs w:val="22"/>
        </w:rPr>
        <w:t>3.1.1 Description of factors influencing the existing conditions of the dam</w:t>
      </w:r>
    </w:p>
    <w:p w:rsidR="008158D5" w:rsidRPr="008158D5" w:rsidRDefault="008158D5" w:rsidP="008158D5">
      <w:pPr>
        <w:spacing w:line="276" w:lineRule="auto"/>
        <w:jc w:val="both"/>
        <w:rPr>
          <w:rFonts w:ascii="Arial" w:hAnsi="Arial" w:cs="Arial"/>
          <w:b/>
          <w:bCs/>
          <w:sz w:val="22"/>
          <w:szCs w:val="22"/>
        </w:rPr>
      </w:pPr>
    </w:p>
    <w:p w:rsidR="008158D5" w:rsidRDefault="008158D5" w:rsidP="008158D5">
      <w:pPr>
        <w:spacing w:line="276" w:lineRule="auto"/>
        <w:ind w:left="360"/>
        <w:jc w:val="both"/>
        <w:rPr>
          <w:rFonts w:ascii="Arial" w:hAnsi="Arial" w:cs="Arial"/>
          <w:b/>
        </w:rPr>
      </w:pPr>
      <w:r>
        <w:rPr>
          <w:rFonts w:ascii="Arial" w:hAnsi="Arial" w:cs="Arial"/>
          <w:b/>
        </w:rPr>
        <w:t xml:space="preserve">3.1.1.1 </w:t>
      </w:r>
      <w:r w:rsidRPr="00DF7689">
        <w:rPr>
          <w:rFonts w:ascii="Arial" w:hAnsi="Arial" w:cs="Arial"/>
          <w:b/>
        </w:rPr>
        <w:t>Slope</w:t>
      </w:r>
    </w:p>
    <w:p w:rsidR="008158D5" w:rsidRPr="00DF7689" w:rsidRDefault="008158D5" w:rsidP="008158D5">
      <w:pPr>
        <w:spacing w:line="276" w:lineRule="auto"/>
        <w:ind w:left="360"/>
        <w:jc w:val="both"/>
        <w:rPr>
          <w:rFonts w:ascii="Arial" w:hAnsi="Arial" w:cs="Arial"/>
          <w:b/>
        </w:rPr>
      </w:pPr>
    </w:p>
    <w:p w:rsidR="008158D5" w:rsidRDefault="008158D5" w:rsidP="008158D5">
      <w:pPr>
        <w:spacing w:line="276" w:lineRule="auto"/>
        <w:jc w:val="both"/>
        <w:rPr>
          <w:rFonts w:ascii="Arial" w:hAnsi="Arial" w:cs="Arial"/>
        </w:rPr>
      </w:pPr>
      <w:r w:rsidRPr="000C454F">
        <w:rPr>
          <w:rFonts w:ascii="Arial" w:hAnsi="Arial" w:cs="Arial"/>
        </w:rPr>
        <w:t xml:space="preserve">The slope of an area is the most important criteria in finding </w:t>
      </w:r>
      <w:r>
        <w:rPr>
          <w:rFonts w:ascii="Arial" w:hAnsi="Arial" w:cs="Arial"/>
        </w:rPr>
        <w:t>risk</w:t>
      </w:r>
      <w:r w:rsidRPr="000C454F">
        <w:rPr>
          <w:rFonts w:ascii="Arial" w:hAnsi="Arial" w:cs="Arial"/>
        </w:rPr>
        <w:t xml:space="preserve"> conditions for the dam sites.  The slope of an area was calculated using ArcMap 10.7 software through Spatial Analyst Tools/Arc Toolbox/Surface/Slope. The steeper slopes become more detrimental as </w:t>
      </w:r>
      <w:r>
        <w:rPr>
          <w:rFonts w:ascii="Arial" w:hAnsi="Arial" w:cs="Arial"/>
        </w:rPr>
        <w:t>increase</w:t>
      </w:r>
      <w:r w:rsidRPr="000C454F">
        <w:rPr>
          <w:rFonts w:ascii="Arial" w:hAnsi="Arial" w:cs="Arial"/>
        </w:rPr>
        <w:t xml:space="preserve"> the construction costs, restrict the floor space areas and give rise to erosion during construction and use. The slope significantly </w:t>
      </w:r>
      <w:r>
        <w:rPr>
          <w:rFonts w:ascii="Arial" w:hAnsi="Arial" w:cs="Arial"/>
        </w:rPr>
        <w:t>affects</w:t>
      </w:r>
      <w:r w:rsidRPr="000C454F">
        <w:rPr>
          <w:rFonts w:ascii="Arial" w:hAnsi="Arial" w:cs="Arial"/>
        </w:rPr>
        <w:t xml:space="preserve"> the runoff, recharge, and movement of surface water as well as the number of sediments. The slope was generalized into four classes and measured into percentage rises. </w:t>
      </w:r>
      <w:r w:rsidRPr="00161F3F">
        <w:rPr>
          <w:rFonts w:ascii="Arial" w:hAnsi="Arial" w:cs="Arial"/>
          <w:highlight w:val="yellow"/>
        </w:rPr>
        <w:t>Figure. 3(G)</w:t>
      </w:r>
      <w:r w:rsidRPr="009C493C">
        <w:rPr>
          <w:rFonts w:ascii="Arial" w:hAnsi="Arial" w:cs="Arial"/>
        </w:rPr>
        <w:t xml:space="preserve"> shows</w:t>
      </w:r>
      <w:r w:rsidRPr="000C454F">
        <w:rPr>
          <w:rFonts w:ascii="Arial" w:hAnsi="Arial" w:cs="Arial"/>
        </w:rPr>
        <w:t xml:space="preserve"> the classification of the classes whereby high slopes </w:t>
      </w:r>
      <w:r>
        <w:rPr>
          <w:rFonts w:ascii="Arial" w:hAnsi="Arial" w:cs="Arial"/>
        </w:rPr>
        <w:t>cover</w:t>
      </w:r>
      <w:r w:rsidRPr="000C454F">
        <w:rPr>
          <w:rFonts w:ascii="Arial" w:hAnsi="Arial" w:cs="Arial"/>
        </w:rPr>
        <w:t xml:space="preserve"> 5.51Km</w:t>
      </w:r>
      <w:r w:rsidRPr="000C454F">
        <w:rPr>
          <w:rFonts w:ascii="Arial" w:hAnsi="Arial" w:cs="Arial"/>
          <w:vertAlign w:val="superscript"/>
        </w:rPr>
        <w:t>2</w:t>
      </w:r>
      <w:r w:rsidRPr="000C454F">
        <w:rPr>
          <w:rFonts w:ascii="Arial" w:hAnsi="Arial" w:cs="Arial"/>
        </w:rPr>
        <w:t xml:space="preserve"> (3.60%) of the study area, moderate slopes </w:t>
      </w:r>
      <w:r>
        <w:rPr>
          <w:rFonts w:ascii="Arial" w:hAnsi="Arial" w:cs="Arial"/>
        </w:rPr>
        <w:t>cover</w:t>
      </w:r>
      <w:r w:rsidRPr="000C454F">
        <w:rPr>
          <w:rFonts w:ascii="Arial" w:hAnsi="Arial" w:cs="Arial"/>
        </w:rPr>
        <w:t xml:space="preserve"> 44.2467Km</w:t>
      </w:r>
      <w:r w:rsidRPr="000C454F">
        <w:rPr>
          <w:rFonts w:ascii="Arial" w:hAnsi="Arial" w:cs="Arial"/>
          <w:vertAlign w:val="superscript"/>
        </w:rPr>
        <w:t xml:space="preserve">2 </w:t>
      </w:r>
      <w:r w:rsidRPr="000C454F">
        <w:rPr>
          <w:rFonts w:ascii="Arial" w:hAnsi="Arial" w:cs="Arial"/>
        </w:rPr>
        <w:t xml:space="preserve">(28.93%), low slopes </w:t>
      </w:r>
      <w:r>
        <w:rPr>
          <w:rFonts w:ascii="Arial" w:hAnsi="Arial" w:cs="Arial"/>
        </w:rPr>
        <w:t>cover</w:t>
      </w:r>
      <w:r w:rsidRPr="000C454F">
        <w:rPr>
          <w:rFonts w:ascii="Arial" w:hAnsi="Arial" w:cs="Arial"/>
        </w:rPr>
        <w:t xml:space="preserve"> 0.324Km</w:t>
      </w:r>
      <w:r w:rsidRPr="000C454F">
        <w:rPr>
          <w:rFonts w:ascii="Arial" w:hAnsi="Arial" w:cs="Arial"/>
          <w:vertAlign w:val="superscript"/>
        </w:rPr>
        <w:t>2</w:t>
      </w:r>
      <w:r w:rsidRPr="000C454F">
        <w:rPr>
          <w:rFonts w:ascii="Arial" w:hAnsi="Arial" w:cs="Arial"/>
        </w:rPr>
        <w:t xml:space="preserve"> (0.21%) of the study area and very low slopes covering an area of 102.84Km</w:t>
      </w:r>
      <w:r w:rsidRPr="000C454F">
        <w:rPr>
          <w:rFonts w:ascii="Arial" w:hAnsi="Arial" w:cs="Arial"/>
          <w:vertAlign w:val="superscript"/>
        </w:rPr>
        <w:t>2</w:t>
      </w:r>
      <w:r w:rsidRPr="000C454F">
        <w:rPr>
          <w:rFonts w:ascii="Arial" w:hAnsi="Arial" w:cs="Arial"/>
        </w:rPr>
        <w:t xml:space="preserve"> (67.25%).</w:t>
      </w:r>
      <w:r w:rsidRPr="009F3A96">
        <w:rPr>
          <w:rFonts w:ascii="Arial" w:hAnsi="Arial" w:cs="Arial"/>
        </w:rPr>
        <w:t xml:space="preserve"> These findings align with existing literature that highlights the influence of topographical gradients on dam site stability and surface water behavior. According to Sharma and Singh (2020), steeper slopes contribute to rapid water flow and heightened erosion, which can compromise structural integrity. Additionally, steeper terrains increase sediment transport, </w:t>
      </w:r>
      <w:r w:rsidRPr="00161F3F">
        <w:rPr>
          <w:rFonts w:ascii="Arial" w:hAnsi="Arial" w:cs="Arial"/>
          <w:highlight w:val="yellow"/>
        </w:rPr>
        <w:t>as prominent by Gupta et al.</w:t>
      </w:r>
      <w:r w:rsidRPr="009F3A96">
        <w:rPr>
          <w:rFonts w:ascii="Arial" w:hAnsi="Arial" w:cs="Arial"/>
        </w:rPr>
        <w:t xml:space="preserve"> (2019), affecting reservoir capacity and potentially requiring more frequent maintenance. Conversely, areas with gentler slopes offer more stable construction grounds and reduced risk of sedimentation, providing favorable conditions for long-term dam performance. By understanding the spatial distribution of slope classes in the study area, the risk assessment for dam safety can be refined, guiding targeted maintenance and mitigation strategies to enhance structural resilience and operational sustainability.</w:t>
      </w:r>
    </w:p>
    <w:p w:rsidR="008158D5" w:rsidRPr="000C454F" w:rsidRDefault="008158D5" w:rsidP="008158D5">
      <w:pPr>
        <w:spacing w:line="276" w:lineRule="auto"/>
        <w:jc w:val="both"/>
        <w:rPr>
          <w:rFonts w:ascii="Arial" w:hAnsi="Arial" w:cs="Arial"/>
        </w:rPr>
      </w:pPr>
    </w:p>
    <w:p w:rsidR="008158D5" w:rsidRDefault="008158D5" w:rsidP="008158D5">
      <w:pPr>
        <w:spacing w:line="276" w:lineRule="auto"/>
        <w:ind w:left="283"/>
        <w:jc w:val="both"/>
        <w:rPr>
          <w:rFonts w:ascii="Arial" w:hAnsi="Arial" w:cs="Arial"/>
          <w:b/>
        </w:rPr>
      </w:pPr>
      <w:r>
        <w:rPr>
          <w:rFonts w:ascii="Arial" w:hAnsi="Arial" w:cs="Arial"/>
          <w:b/>
        </w:rPr>
        <w:t xml:space="preserve">3.1.1.2 </w:t>
      </w:r>
      <w:r w:rsidRPr="00DF7689">
        <w:rPr>
          <w:rFonts w:ascii="Arial" w:hAnsi="Arial" w:cs="Arial"/>
          <w:b/>
        </w:rPr>
        <w:t>Land Use Land Cover</w:t>
      </w:r>
    </w:p>
    <w:p w:rsidR="008158D5" w:rsidRPr="00DF7689" w:rsidRDefault="008158D5" w:rsidP="008158D5">
      <w:pPr>
        <w:spacing w:line="276" w:lineRule="auto"/>
        <w:ind w:left="283"/>
        <w:jc w:val="both"/>
        <w:rPr>
          <w:rFonts w:ascii="Arial" w:hAnsi="Arial" w:cs="Arial"/>
          <w:b/>
        </w:rPr>
      </w:pPr>
    </w:p>
    <w:p w:rsidR="008158D5" w:rsidRDefault="008158D5" w:rsidP="008158D5">
      <w:pPr>
        <w:spacing w:line="276" w:lineRule="auto"/>
        <w:jc w:val="both"/>
        <w:rPr>
          <w:rFonts w:ascii="Arial" w:hAnsi="Arial" w:cs="Arial"/>
        </w:rPr>
      </w:pPr>
      <w:r w:rsidRPr="003B34D8">
        <w:rPr>
          <w:rFonts w:ascii="Arial" w:hAnsi="Arial" w:cs="Arial"/>
        </w:rPr>
        <w:t xml:space="preserve">The land use land cover analysis was performed through Remote sensing data, for our study the Landsat images with </w:t>
      </w:r>
      <w:r w:rsidRPr="00161F3F">
        <w:rPr>
          <w:rFonts w:ascii="Arial" w:hAnsi="Arial" w:cs="Arial"/>
          <w:highlight w:val="yellow"/>
        </w:rPr>
        <w:t>resolutions</w:t>
      </w:r>
      <w:r w:rsidRPr="003B34D8">
        <w:rPr>
          <w:rFonts w:ascii="Arial" w:hAnsi="Arial" w:cs="Arial"/>
        </w:rPr>
        <w:t xml:space="preserve"> of 30 </w:t>
      </w:r>
      <w:r>
        <w:rPr>
          <w:rFonts w:ascii="Arial" w:hAnsi="Arial" w:cs="Arial"/>
        </w:rPr>
        <w:t>meters</w:t>
      </w:r>
      <w:r w:rsidRPr="003B34D8">
        <w:rPr>
          <w:rFonts w:ascii="Arial" w:hAnsi="Arial" w:cs="Arial"/>
        </w:rPr>
        <w:t xml:space="preserve"> were used to analyze the land use/ land cover</w:t>
      </w:r>
      <w:r>
        <w:rPr>
          <w:rFonts w:ascii="Arial" w:hAnsi="Arial" w:cs="Arial"/>
        </w:rPr>
        <w:t xml:space="preserve">ing </w:t>
      </w:r>
      <w:r w:rsidRPr="00161F3F">
        <w:rPr>
          <w:rFonts w:ascii="Arial" w:hAnsi="Arial" w:cs="Arial"/>
          <w:highlight w:val="yellow"/>
        </w:rPr>
        <w:t>the</w:t>
      </w:r>
      <w:r w:rsidR="00161F3F" w:rsidRPr="00161F3F">
        <w:rPr>
          <w:rFonts w:ascii="Arial" w:hAnsi="Arial" w:cs="Arial"/>
          <w:highlight w:val="yellow"/>
        </w:rPr>
        <w:t xml:space="preserve"> </w:t>
      </w:r>
      <w:r w:rsidRPr="00161F3F">
        <w:rPr>
          <w:rFonts w:ascii="Arial" w:hAnsi="Arial" w:cs="Arial"/>
          <w:highlight w:val="yellow"/>
        </w:rPr>
        <w:t>area</w:t>
      </w:r>
      <w:r w:rsidRPr="003B34D8">
        <w:rPr>
          <w:rFonts w:ascii="Arial" w:hAnsi="Arial" w:cs="Arial"/>
        </w:rPr>
        <w:t xml:space="preserve">. According to Jha et al. (2014), land use is a crucial component in the generation of surface runoff. A region's land use or cover has a significant impact on runoff velocity, the infiltration process, and evapotranspiration, and these processes were crucial in defining an appropriate zone for the dam site. The changing of land use and land cover is a complicated phenomenon that is both directly and indirectly influenced by </w:t>
      </w:r>
      <w:r>
        <w:rPr>
          <w:rFonts w:ascii="Arial" w:hAnsi="Arial" w:cs="Arial"/>
        </w:rPr>
        <w:t>several</w:t>
      </w:r>
      <w:r w:rsidRPr="003B34D8">
        <w:rPr>
          <w:rFonts w:ascii="Arial" w:hAnsi="Arial" w:cs="Arial"/>
        </w:rPr>
        <w:t xml:space="preserve"> socioeconomic and biophysical driving forces that act on a variety of scales. </w:t>
      </w:r>
      <w:r w:rsidRPr="00161F3F">
        <w:rPr>
          <w:rFonts w:ascii="Arial" w:hAnsi="Arial" w:cs="Arial"/>
          <w:highlight w:val="yellow"/>
        </w:rPr>
        <w:t>Specifically,</w:t>
      </w:r>
      <w:r w:rsidRPr="003B34D8">
        <w:rPr>
          <w:rFonts w:ascii="Arial" w:hAnsi="Arial" w:cs="Arial"/>
        </w:rPr>
        <w:t xml:space="preserve"> </w:t>
      </w:r>
      <w:r w:rsidRPr="00161F3F">
        <w:rPr>
          <w:rFonts w:ascii="Arial" w:hAnsi="Arial" w:cs="Arial"/>
          <w:highlight w:val="yellow"/>
        </w:rPr>
        <w:t>information about the factors influencing LU/LC changes in the area was gathered from key informants</w:t>
      </w:r>
      <w:r w:rsidRPr="003B34D8">
        <w:rPr>
          <w:rFonts w:ascii="Arial" w:hAnsi="Arial" w:cs="Arial"/>
        </w:rPr>
        <w:t>. Some of the factors include the expansion of cropland, overgrazing, climate change, land degradation, drought, and a lack of precipitation as drivers of LU</w:t>
      </w:r>
      <w:r>
        <w:rPr>
          <w:rFonts w:ascii="Arial" w:hAnsi="Arial" w:cs="Arial"/>
        </w:rPr>
        <w:t>/</w:t>
      </w:r>
      <w:r w:rsidRPr="003B34D8">
        <w:rPr>
          <w:rFonts w:ascii="Arial" w:hAnsi="Arial" w:cs="Arial"/>
        </w:rPr>
        <w:t xml:space="preserve">LC changes, which lead </w:t>
      </w:r>
      <w:r>
        <w:rPr>
          <w:rFonts w:ascii="Arial" w:hAnsi="Arial" w:cs="Arial"/>
        </w:rPr>
        <w:t>to</w:t>
      </w:r>
      <w:r w:rsidRPr="003B34D8">
        <w:rPr>
          <w:rFonts w:ascii="Arial" w:hAnsi="Arial" w:cs="Arial"/>
        </w:rPr>
        <w:t xml:space="preserve"> a great change in the structure and conditions of the dam. The </w:t>
      </w:r>
      <w:proofErr w:type="spellStart"/>
      <w:r w:rsidRPr="003B34D8">
        <w:rPr>
          <w:rFonts w:ascii="Arial" w:hAnsi="Arial" w:cs="Arial"/>
        </w:rPr>
        <w:t>Mindu</w:t>
      </w:r>
      <w:proofErr w:type="spellEnd"/>
      <w:r w:rsidRPr="003B34D8">
        <w:rPr>
          <w:rFonts w:ascii="Arial" w:hAnsi="Arial" w:cs="Arial"/>
        </w:rPr>
        <w:t xml:space="preserve"> land use and cover map </w:t>
      </w:r>
      <w:r w:rsidRPr="001760FB">
        <w:rPr>
          <w:rFonts w:ascii="Arial" w:hAnsi="Arial" w:cs="Arial"/>
        </w:rPr>
        <w:t>Figure. 3 (E)</w:t>
      </w:r>
      <w:r w:rsidRPr="003B34D8">
        <w:rPr>
          <w:rFonts w:ascii="Arial" w:hAnsi="Arial" w:cs="Arial"/>
        </w:rPr>
        <w:t xml:space="preserve"> illustrates that there are five major types of Land use</w:t>
      </w:r>
      <w:r>
        <w:rPr>
          <w:rFonts w:ascii="Arial" w:hAnsi="Arial" w:cs="Arial"/>
        </w:rPr>
        <w:t>/cover</w:t>
      </w:r>
      <w:r w:rsidRPr="003B34D8">
        <w:rPr>
          <w:rFonts w:ascii="Arial" w:hAnsi="Arial" w:cs="Arial"/>
        </w:rPr>
        <w:t xml:space="preserve"> namely; Built-Up (8.08%), Agriculture (55.23%), Water (3.4%), shrub land (29.20%) and Forest (4.09%) with their coverage areas. From the derived results in the study area, </w:t>
      </w:r>
      <w:r w:rsidRPr="003B34D8">
        <w:rPr>
          <w:rFonts w:ascii="Arial" w:hAnsi="Arial" w:cs="Arial"/>
        </w:rPr>
        <w:lastRenderedPageBreak/>
        <w:t xml:space="preserve">agriculture had </w:t>
      </w:r>
      <w:r>
        <w:rPr>
          <w:rFonts w:ascii="Arial" w:hAnsi="Arial" w:cs="Arial"/>
        </w:rPr>
        <w:t xml:space="preserve">the </w:t>
      </w:r>
      <w:r w:rsidRPr="003B34D8">
        <w:rPr>
          <w:rFonts w:ascii="Arial" w:hAnsi="Arial" w:cs="Arial"/>
        </w:rPr>
        <w:t>largest coverage area, shadowed by bare land as compared to the other classes.</w:t>
      </w:r>
      <w:r w:rsidRPr="009F3A96">
        <w:rPr>
          <w:rFonts w:ascii="Arial" w:hAnsi="Arial" w:cs="Arial"/>
        </w:rPr>
        <w:t xml:space="preserve"> Expansion of agricultural activities can accelerate soil erosion and increase sediment deposition in reservoirs, reducing storage capacity and affecting dam stability. Built-up areas, comprising 8.08% of the study area, contribute to impervious surfaces that enhance surface runoff and flood risk (Muthoni et al., 2018). Conversely, forested and shrub land areas help stabilize soil and mitigate sediment transport, playing a protective role in dam catchments. Understanding these land use dynamics allows for better planning of conservation measures, promoting sustainable land management to safeguard dam infrastructure and enhance water resource management. This analysis provides a comprehensive framework for integrating LU/LC factors into dam safety assessments and proactive mitigation strategies.</w:t>
      </w:r>
    </w:p>
    <w:p w:rsidR="008158D5" w:rsidRPr="003B34D8" w:rsidRDefault="008158D5" w:rsidP="008158D5">
      <w:pPr>
        <w:spacing w:line="276" w:lineRule="auto"/>
        <w:jc w:val="both"/>
        <w:rPr>
          <w:rFonts w:ascii="Arial" w:hAnsi="Arial" w:cs="Arial"/>
        </w:rPr>
      </w:pPr>
    </w:p>
    <w:p w:rsidR="008158D5" w:rsidRDefault="008158D5" w:rsidP="008158D5">
      <w:pPr>
        <w:spacing w:line="276" w:lineRule="auto"/>
        <w:ind w:left="283"/>
        <w:jc w:val="both"/>
        <w:rPr>
          <w:rFonts w:ascii="Arial" w:hAnsi="Arial" w:cs="Arial"/>
          <w:b/>
        </w:rPr>
      </w:pPr>
      <w:r>
        <w:rPr>
          <w:rFonts w:ascii="Arial" w:hAnsi="Arial" w:cs="Arial"/>
          <w:b/>
        </w:rPr>
        <w:t xml:space="preserve">3.1.1.3 </w:t>
      </w:r>
      <w:r w:rsidRPr="0081166E">
        <w:rPr>
          <w:rFonts w:ascii="Arial" w:hAnsi="Arial" w:cs="Arial"/>
          <w:b/>
        </w:rPr>
        <w:t>Distance to the Road and River</w:t>
      </w:r>
    </w:p>
    <w:p w:rsidR="008158D5" w:rsidRPr="0081166E" w:rsidRDefault="008158D5" w:rsidP="008158D5">
      <w:pPr>
        <w:spacing w:line="276" w:lineRule="auto"/>
        <w:ind w:left="283"/>
        <w:jc w:val="both"/>
        <w:rPr>
          <w:rFonts w:ascii="Arial" w:hAnsi="Arial" w:cs="Arial"/>
          <w:b/>
        </w:rPr>
      </w:pPr>
    </w:p>
    <w:p w:rsidR="008158D5" w:rsidRPr="000A7210" w:rsidRDefault="008158D5" w:rsidP="008158D5">
      <w:pPr>
        <w:spacing w:line="276" w:lineRule="auto"/>
        <w:jc w:val="both"/>
        <w:rPr>
          <w:rFonts w:ascii="Arial" w:hAnsi="Arial" w:cs="Arial"/>
        </w:rPr>
      </w:pPr>
      <w:r w:rsidRPr="003B34D8">
        <w:rPr>
          <w:rFonts w:ascii="Arial" w:hAnsi="Arial" w:cs="Arial"/>
        </w:rPr>
        <w:t xml:space="preserve">One of the important socioeconomic criteria for site evaluation and assessment is the distance to the road and river networks, which is crucial when choosing a suitable location for a dam. Since it is expensive to build access roads and infrastructure, it is assumed that sites far from road networks were unsuitable for dam construction such that roads must be accessed. On the other hand, rivers' natural flow is altered by dams. They </w:t>
      </w:r>
      <w:r>
        <w:rPr>
          <w:rFonts w:ascii="Arial" w:hAnsi="Arial" w:cs="Arial"/>
        </w:rPr>
        <w:t>can</w:t>
      </w:r>
      <w:r w:rsidRPr="003B34D8">
        <w:rPr>
          <w:rFonts w:ascii="Arial" w:hAnsi="Arial" w:cs="Arial"/>
        </w:rPr>
        <w:t xml:space="preserve"> hold sediment, cremating aquatic life's spawning grounds in river rock beds. Apart from becoming trapped behind dams are important food and habitat components like gravel and logs. Creating and maintaining more complex </w:t>
      </w:r>
      <w:r>
        <w:rPr>
          <w:rFonts w:ascii="Arial" w:hAnsi="Arial" w:cs="Arial"/>
        </w:rPr>
        <w:t>habitats</w:t>
      </w:r>
      <w:r w:rsidRPr="003B34D8">
        <w:rPr>
          <w:rFonts w:ascii="Arial" w:hAnsi="Arial" w:cs="Arial"/>
        </w:rPr>
        <w:t xml:space="preserve"> (like riffles and pools) downstream is negatively impacted by this. The distances were computed in </w:t>
      </w:r>
      <w:r>
        <w:rPr>
          <w:rFonts w:ascii="Arial" w:hAnsi="Arial" w:cs="Arial"/>
        </w:rPr>
        <w:t>ArcMap</w:t>
      </w:r>
      <w:r w:rsidRPr="003B34D8">
        <w:rPr>
          <w:rFonts w:ascii="Arial" w:hAnsi="Arial" w:cs="Arial"/>
        </w:rPr>
        <w:t xml:space="preserve"> 10.7 software by calculating the Euclidean distance in which the road access network was computed to 2.5Km as the minimum distance while the distance to the river was 0.5Km and both </w:t>
      </w:r>
      <w:r>
        <w:rPr>
          <w:rFonts w:ascii="Arial" w:hAnsi="Arial" w:cs="Arial"/>
        </w:rPr>
        <w:t xml:space="preserve">were </w:t>
      </w:r>
      <w:r w:rsidRPr="003B34D8">
        <w:rPr>
          <w:rFonts w:ascii="Arial" w:hAnsi="Arial" w:cs="Arial"/>
        </w:rPr>
        <w:t xml:space="preserve">reclassified into four classes </w:t>
      </w:r>
      <w:r w:rsidRPr="001760FB">
        <w:rPr>
          <w:rFonts w:ascii="Arial" w:hAnsi="Arial" w:cs="Arial"/>
        </w:rPr>
        <w:t>Figure. 3 (B</w:t>
      </w:r>
      <w:proofErr w:type="gramStart"/>
      <w:r w:rsidRPr="001760FB">
        <w:rPr>
          <w:rFonts w:ascii="Arial" w:hAnsi="Arial" w:cs="Arial"/>
        </w:rPr>
        <w:t>).</w:t>
      </w:r>
      <w:r w:rsidRPr="000A7210">
        <w:rPr>
          <w:rFonts w:ascii="Arial" w:hAnsi="Arial" w:cs="Arial"/>
        </w:rPr>
        <w:t>Proximity</w:t>
      </w:r>
      <w:proofErr w:type="gramEnd"/>
      <w:r w:rsidRPr="000A7210">
        <w:rPr>
          <w:rFonts w:ascii="Arial" w:hAnsi="Arial" w:cs="Arial"/>
        </w:rPr>
        <w:t xml:space="preserve"> to roads ensures easier access for maintenance and reduces infrastructure costs, while proximity to rivers influences hydrological alterations caused by dams.</w:t>
      </w:r>
    </w:p>
    <w:p w:rsidR="008158D5" w:rsidRDefault="008158D5" w:rsidP="008158D5">
      <w:pPr>
        <w:spacing w:line="276" w:lineRule="auto"/>
        <w:jc w:val="both"/>
        <w:rPr>
          <w:rFonts w:ascii="Arial" w:hAnsi="Arial" w:cs="Arial"/>
        </w:rPr>
      </w:pPr>
      <w:r w:rsidRPr="00974358">
        <w:rPr>
          <w:rFonts w:ascii="Arial" w:hAnsi="Arial" w:cs="Arial"/>
          <w:highlight w:val="yellow"/>
        </w:rPr>
        <w:t xml:space="preserve">Dams impact river ecosystems by altering natural flow regimes and trapping sediments, which affects aquatic habitats and reduces gravel and log deposition downstream, disrupting habitat complexity. According to </w:t>
      </w:r>
      <w:proofErr w:type="spellStart"/>
      <w:r w:rsidRPr="00974358">
        <w:rPr>
          <w:rFonts w:ascii="Arial" w:hAnsi="Arial" w:cs="Arial"/>
          <w:highlight w:val="yellow"/>
        </w:rPr>
        <w:t>Poff</w:t>
      </w:r>
      <w:proofErr w:type="spellEnd"/>
      <w:r w:rsidRPr="00974358">
        <w:rPr>
          <w:rFonts w:ascii="Arial" w:hAnsi="Arial" w:cs="Arial"/>
          <w:highlight w:val="yellow"/>
        </w:rPr>
        <w:t xml:space="preserve"> and Hart (2002), sediment retention behind dams can lead to reduced spawning grounds for fish and other aquatic life. Understanding these spatial relationships informs better </w:t>
      </w:r>
      <w:r w:rsidRPr="00D12539">
        <w:rPr>
          <w:rFonts w:ascii="Arial" w:hAnsi="Arial" w:cs="Arial"/>
          <w:strike/>
          <w:highlight w:val="yellow"/>
        </w:rPr>
        <w:t>siting</w:t>
      </w:r>
      <w:r w:rsidRPr="00974358">
        <w:rPr>
          <w:rFonts w:ascii="Arial" w:hAnsi="Arial" w:cs="Arial"/>
          <w:highlight w:val="yellow"/>
        </w:rPr>
        <w:t xml:space="preserve"> decisions, balancing access needs with ecological impacts.</w:t>
      </w:r>
      <w:r w:rsidRPr="000A7210">
        <w:rPr>
          <w:rFonts w:ascii="Arial" w:hAnsi="Arial" w:cs="Arial"/>
        </w:rPr>
        <w:t xml:space="preserve"> Hence, incorporating road and river distance into dam safety assessments helps optimize location choices while mitigating construction costs and environmental consequences.</w:t>
      </w:r>
    </w:p>
    <w:p w:rsidR="008158D5" w:rsidRPr="003B34D8" w:rsidRDefault="008158D5" w:rsidP="008158D5">
      <w:pPr>
        <w:spacing w:line="276" w:lineRule="auto"/>
        <w:jc w:val="both"/>
        <w:rPr>
          <w:rFonts w:ascii="Arial" w:hAnsi="Arial" w:cs="Arial"/>
        </w:rPr>
      </w:pPr>
    </w:p>
    <w:p w:rsidR="008158D5" w:rsidRPr="000A4AE0" w:rsidRDefault="008158D5" w:rsidP="008158D5">
      <w:pPr>
        <w:pStyle w:val="ListParagraph"/>
        <w:spacing w:line="276" w:lineRule="auto"/>
        <w:ind w:left="643"/>
        <w:jc w:val="both"/>
        <w:rPr>
          <w:rFonts w:ascii="Arial" w:hAnsi="Arial" w:cs="Arial"/>
          <w:b/>
        </w:rPr>
      </w:pPr>
      <w:r>
        <w:rPr>
          <w:rFonts w:ascii="Arial" w:hAnsi="Arial" w:cs="Arial"/>
          <w:b/>
        </w:rPr>
        <w:t xml:space="preserve">3.1.1.4 </w:t>
      </w:r>
      <w:r w:rsidRPr="000A4AE0">
        <w:rPr>
          <w:rFonts w:ascii="Arial" w:hAnsi="Arial" w:cs="Arial"/>
          <w:b/>
        </w:rPr>
        <w:t>Soil</w:t>
      </w:r>
    </w:p>
    <w:p w:rsidR="008158D5" w:rsidRDefault="008158D5" w:rsidP="008158D5">
      <w:pPr>
        <w:spacing w:line="276" w:lineRule="auto"/>
        <w:jc w:val="both"/>
        <w:rPr>
          <w:rFonts w:ascii="Arial" w:hAnsi="Arial" w:cs="Arial"/>
        </w:rPr>
      </w:pPr>
      <w:r w:rsidRPr="003B34D8">
        <w:rPr>
          <w:rFonts w:ascii="Arial" w:hAnsi="Arial" w:cs="Arial"/>
        </w:rPr>
        <w:t xml:space="preserve">The soils of the study area were obtained from the Food and Agricultural Organization (FAO/ UNESCO, 1995) commonly known as The Digital Soil Map of the World (DSMW) and processed in GIS software. The results consisted of the two phases of the soils with several lithology namely; Precambrian comprising of schist, gneiss, </w:t>
      </w:r>
      <w:proofErr w:type="spellStart"/>
      <w:r w:rsidRPr="003B34D8">
        <w:rPr>
          <w:rFonts w:ascii="Arial" w:hAnsi="Arial" w:cs="Arial"/>
        </w:rPr>
        <w:t>charnockite</w:t>
      </w:r>
      <w:proofErr w:type="spellEnd"/>
      <w:r w:rsidRPr="003B34D8">
        <w:rPr>
          <w:rFonts w:ascii="Arial" w:hAnsi="Arial" w:cs="Arial"/>
        </w:rPr>
        <w:t xml:space="preserve">, quartzite and Stony Comprising Precambrian: shale, sandstone, </w:t>
      </w:r>
      <w:r>
        <w:rPr>
          <w:rFonts w:ascii="Arial" w:hAnsi="Arial" w:cs="Arial"/>
        </w:rPr>
        <w:t>conglomerate</w:t>
      </w:r>
      <w:r w:rsidRPr="003B34D8">
        <w:rPr>
          <w:rFonts w:ascii="Arial" w:hAnsi="Arial" w:cs="Arial"/>
        </w:rPr>
        <w:t xml:space="preserve">, phyllite, schist, gneiss, </w:t>
      </w:r>
      <w:proofErr w:type="spellStart"/>
      <w:r w:rsidRPr="003B34D8">
        <w:rPr>
          <w:rFonts w:ascii="Arial" w:hAnsi="Arial" w:cs="Arial"/>
        </w:rPr>
        <w:t>charnockite</w:t>
      </w:r>
      <w:proofErr w:type="spellEnd"/>
      <w:r w:rsidRPr="003B34D8">
        <w:rPr>
          <w:rFonts w:ascii="Arial" w:hAnsi="Arial" w:cs="Arial"/>
        </w:rPr>
        <w:t xml:space="preserve">, quartzite, cipolin with the two codes namely; Fo77-2b and Bc18-c respectively as indicated in </w:t>
      </w:r>
      <w:r>
        <w:rPr>
          <w:rFonts w:ascii="Arial" w:hAnsi="Arial" w:cs="Arial"/>
        </w:rPr>
        <w:t xml:space="preserve">the </w:t>
      </w:r>
      <w:r w:rsidRPr="003B34D8">
        <w:rPr>
          <w:rFonts w:ascii="Arial" w:hAnsi="Arial" w:cs="Arial"/>
        </w:rPr>
        <w:t xml:space="preserve">figure. 3. The region consisted </w:t>
      </w:r>
      <w:r>
        <w:rPr>
          <w:rFonts w:ascii="Arial" w:hAnsi="Arial" w:cs="Arial"/>
        </w:rPr>
        <w:t xml:space="preserve">of </w:t>
      </w:r>
      <w:r w:rsidRPr="003B34D8">
        <w:rPr>
          <w:rFonts w:ascii="Arial" w:hAnsi="Arial" w:cs="Arial"/>
        </w:rPr>
        <w:t xml:space="preserve">Sandy Clay Loam (61.56%) and Loam (91.92%) as the soil texture of the study area </w:t>
      </w:r>
      <w:r w:rsidRPr="002153B1">
        <w:rPr>
          <w:rFonts w:ascii="Arial" w:hAnsi="Arial" w:cs="Arial"/>
        </w:rPr>
        <w:t>Figure 3 (H).</w:t>
      </w:r>
      <w:r w:rsidRPr="003B34D8">
        <w:rPr>
          <w:rFonts w:ascii="Arial" w:hAnsi="Arial" w:cs="Arial"/>
        </w:rPr>
        <w:t xml:space="preserve"> According to FAO/ UNESCO </w:t>
      </w:r>
      <w:r w:rsidRPr="003B34D8">
        <w:rPr>
          <w:rFonts w:ascii="Arial" w:hAnsi="Arial" w:cs="Arial"/>
        </w:rPr>
        <w:lastRenderedPageBreak/>
        <w:t xml:space="preserve">(1995), the soil textures </w:t>
      </w:r>
      <w:r>
        <w:rPr>
          <w:rFonts w:ascii="Arial" w:hAnsi="Arial" w:cs="Arial"/>
        </w:rPr>
        <w:t>are</w:t>
      </w:r>
      <w:r w:rsidRPr="003B34D8">
        <w:rPr>
          <w:rFonts w:ascii="Arial" w:hAnsi="Arial" w:cs="Arial"/>
        </w:rPr>
        <w:t xml:space="preserve"> supported under various climatic conditions such as </w:t>
      </w:r>
      <w:r>
        <w:rPr>
          <w:rFonts w:ascii="Arial" w:hAnsi="Arial" w:cs="Arial"/>
        </w:rPr>
        <w:t>dry semi-tropical</w:t>
      </w:r>
      <w:r w:rsidRPr="003B34D8">
        <w:rPr>
          <w:rFonts w:ascii="Arial" w:hAnsi="Arial" w:cs="Arial"/>
        </w:rPr>
        <w:t xml:space="preserve"> with </w:t>
      </w:r>
      <w:r>
        <w:rPr>
          <w:rFonts w:ascii="Arial" w:hAnsi="Arial" w:cs="Arial"/>
        </w:rPr>
        <w:t xml:space="preserve">a </w:t>
      </w:r>
      <w:r w:rsidRPr="003B34D8">
        <w:rPr>
          <w:rFonts w:ascii="Arial" w:hAnsi="Arial" w:cs="Arial"/>
        </w:rPr>
        <w:t xml:space="preserve">humidity index </w:t>
      </w:r>
      <w:r>
        <w:rPr>
          <w:rFonts w:ascii="Arial" w:hAnsi="Arial" w:cs="Arial"/>
        </w:rPr>
        <w:t xml:space="preserve">of </w:t>
      </w:r>
      <w:r w:rsidRPr="003B34D8">
        <w:rPr>
          <w:rFonts w:ascii="Arial" w:hAnsi="Arial" w:cs="Arial"/>
        </w:rPr>
        <w:t xml:space="preserve">0.44 to 1.00, humid tierra </w:t>
      </w:r>
      <w:proofErr w:type="spellStart"/>
      <w:r w:rsidRPr="003B34D8">
        <w:rPr>
          <w:rFonts w:ascii="Arial" w:hAnsi="Arial" w:cs="Arial"/>
        </w:rPr>
        <w:t>templada</w:t>
      </w:r>
      <w:proofErr w:type="spellEnd"/>
      <w:r w:rsidRPr="003B34D8">
        <w:rPr>
          <w:rFonts w:ascii="Arial" w:hAnsi="Arial" w:cs="Arial"/>
        </w:rPr>
        <w:t xml:space="preserve"> with Hu Mo, Dry tierra </w:t>
      </w:r>
      <w:proofErr w:type="spellStart"/>
      <w:r w:rsidRPr="003B34D8">
        <w:rPr>
          <w:rFonts w:ascii="Arial" w:hAnsi="Arial" w:cs="Arial"/>
        </w:rPr>
        <w:t>templada</w:t>
      </w:r>
      <w:proofErr w:type="spellEnd"/>
      <w:r w:rsidRPr="003B34D8">
        <w:rPr>
          <w:rFonts w:ascii="Arial" w:hAnsi="Arial" w:cs="Arial"/>
        </w:rPr>
        <w:t xml:space="preserve"> with Mo </w:t>
      </w:r>
      <w:proofErr w:type="spellStart"/>
      <w:r w:rsidRPr="003B34D8">
        <w:rPr>
          <w:rFonts w:ascii="Arial" w:hAnsi="Arial" w:cs="Arial"/>
        </w:rPr>
        <w:t>mo</w:t>
      </w:r>
      <w:proofErr w:type="spellEnd"/>
      <w:r w:rsidRPr="003B34D8">
        <w:rPr>
          <w:rFonts w:ascii="Arial" w:hAnsi="Arial" w:cs="Arial"/>
        </w:rPr>
        <w:t xml:space="preserve"> and Medium tierra </w:t>
      </w:r>
      <w:proofErr w:type="spellStart"/>
      <w:r w:rsidRPr="003B34D8">
        <w:rPr>
          <w:rFonts w:ascii="Arial" w:hAnsi="Arial" w:cs="Arial"/>
        </w:rPr>
        <w:t>fria</w:t>
      </w:r>
      <w:proofErr w:type="spellEnd"/>
      <w:r w:rsidRPr="003B34D8">
        <w:rPr>
          <w:rFonts w:ascii="Arial" w:hAnsi="Arial" w:cs="Arial"/>
        </w:rPr>
        <w:t xml:space="preserve"> with Hu MO Momo. However, loam soils have great </w:t>
      </w:r>
      <w:r>
        <w:rPr>
          <w:rFonts w:ascii="Arial" w:hAnsi="Arial" w:cs="Arial"/>
        </w:rPr>
        <w:t>features</w:t>
      </w:r>
      <w:r w:rsidRPr="003B34D8">
        <w:rPr>
          <w:rFonts w:ascii="Arial" w:hAnsi="Arial" w:cs="Arial"/>
        </w:rPr>
        <w:t xml:space="preserve"> like </w:t>
      </w:r>
      <w:r>
        <w:rPr>
          <w:rFonts w:ascii="Arial" w:hAnsi="Arial" w:cs="Arial"/>
        </w:rPr>
        <w:t xml:space="preserve">being </w:t>
      </w:r>
      <w:r w:rsidRPr="003B34D8">
        <w:rPr>
          <w:rFonts w:ascii="Arial" w:hAnsi="Arial" w:cs="Arial"/>
        </w:rPr>
        <w:t xml:space="preserve">able to hold water, making it resistant to drought </w:t>
      </w:r>
      <w:r>
        <w:rPr>
          <w:rFonts w:ascii="Arial" w:hAnsi="Arial" w:cs="Arial"/>
        </w:rPr>
        <w:t xml:space="preserve">and </w:t>
      </w:r>
      <w:r w:rsidRPr="003B34D8">
        <w:rPr>
          <w:rFonts w:ascii="Arial" w:hAnsi="Arial" w:cs="Arial"/>
        </w:rPr>
        <w:t xml:space="preserve">quicker to warm up in the spring than clay, </w:t>
      </w:r>
      <w:r>
        <w:rPr>
          <w:rFonts w:ascii="Arial" w:hAnsi="Arial" w:cs="Arial"/>
        </w:rPr>
        <w:t xml:space="preserve">and </w:t>
      </w:r>
      <w:r w:rsidRPr="003B34D8">
        <w:rPr>
          <w:rFonts w:ascii="Arial" w:hAnsi="Arial" w:cs="Arial"/>
        </w:rPr>
        <w:t xml:space="preserve">may store nutrients, allowing for productive </w:t>
      </w:r>
      <w:r>
        <w:rPr>
          <w:rFonts w:ascii="Arial" w:hAnsi="Arial" w:cs="Arial"/>
        </w:rPr>
        <w:t xml:space="preserve">soil, and </w:t>
      </w:r>
      <w:r w:rsidRPr="003B34D8">
        <w:rPr>
          <w:rFonts w:ascii="Arial" w:hAnsi="Arial" w:cs="Arial"/>
        </w:rPr>
        <w:t xml:space="preserve">adequate air and water </w:t>
      </w:r>
      <w:proofErr w:type="spellStart"/>
      <w:proofErr w:type="gramStart"/>
      <w:r w:rsidRPr="003B34D8">
        <w:rPr>
          <w:rFonts w:ascii="Arial" w:hAnsi="Arial" w:cs="Arial"/>
        </w:rPr>
        <w:t>infiltration.</w:t>
      </w:r>
      <w:r w:rsidRPr="007C124D">
        <w:rPr>
          <w:rFonts w:ascii="Arial" w:hAnsi="Arial" w:cs="Arial"/>
        </w:rPr>
        <w:t>According</w:t>
      </w:r>
      <w:proofErr w:type="spellEnd"/>
      <w:proofErr w:type="gramEnd"/>
      <w:r w:rsidRPr="007C124D">
        <w:rPr>
          <w:rFonts w:ascii="Arial" w:hAnsi="Arial" w:cs="Arial"/>
        </w:rPr>
        <w:t xml:space="preserve"> to FAO/UNESCO (1995), loam soils are particularly suitable for dam construction due to their ability to retain water, resist drought, and facilitate nutrient storage. Loam also allows for better air and water infiltration, supporting dam embankment stability. Sandy clay loam, while less water-retentive, provides sufficient structural support under semi-tropical dry and humid climates. These soil properties significantly influence the dam’s structural integrity, affecting seepage rates, infiltration, and the risk of erosion. The classification of soils in this study helps identify areas where soil conditions are optimal for dam safety, while also highlighting regions susceptible to erosion or sedimentation risks. Incorporating soil texture into dam safety assessments improves predictive modelling and informs targeted engineering solutions to enhance dam resilience</w:t>
      </w:r>
      <w:r>
        <w:rPr>
          <w:rFonts w:ascii="Arial" w:hAnsi="Arial" w:cs="Arial"/>
        </w:rPr>
        <w:t>.</w:t>
      </w:r>
    </w:p>
    <w:p w:rsidR="008158D5" w:rsidRDefault="008158D5" w:rsidP="008158D5">
      <w:pPr>
        <w:spacing w:line="276" w:lineRule="auto"/>
        <w:jc w:val="both"/>
        <w:rPr>
          <w:rFonts w:ascii="Arial" w:hAnsi="Arial" w:cs="Arial"/>
        </w:rPr>
      </w:pPr>
    </w:p>
    <w:p w:rsidR="008158D5" w:rsidRDefault="008158D5" w:rsidP="008158D5">
      <w:pPr>
        <w:spacing w:line="276" w:lineRule="auto"/>
        <w:jc w:val="both"/>
        <w:rPr>
          <w:rFonts w:ascii="Arial" w:hAnsi="Arial" w:cs="Arial"/>
          <w:b/>
        </w:rPr>
      </w:pPr>
      <w:r w:rsidRPr="00DF7689">
        <w:rPr>
          <w:rFonts w:ascii="Arial" w:hAnsi="Arial" w:cs="Arial"/>
          <w:b/>
        </w:rPr>
        <w:t>3.1</w:t>
      </w:r>
      <w:r>
        <w:rPr>
          <w:rFonts w:ascii="Arial" w:hAnsi="Arial" w:cs="Arial"/>
          <w:b/>
        </w:rPr>
        <w:t>.1</w:t>
      </w:r>
      <w:r w:rsidRPr="00DF7689">
        <w:rPr>
          <w:rFonts w:ascii="Arial" w:hAnsi="Arial" w:cs="Arial"/>
          <w:b/>
        </w:rPr>
        <w:t>.5 Climatic Condition analysis</w:t>
      </w:r>
    </w:p>
    <w:p w:rsidR="008158D5" w:rsidRPr="00DF7689" w:rsidRDefault="008158D5" w:rsidP="008158D5">
      <w:pPr>
        <w:spacing w:line="276" w:lineRule="auto"/>
        <w:jc w:val="both"/>
        <w:rPr>
          <w:rFonts w:ascii="Arial" w:hAnsi="Arial" w:cs="Arial"/>
          <w:b/>
        </w:rPr>
      </w:pPr>
    </w:p>
    <w:p w:rsidR="008158D5" w:rsidRDefault="008158D5" w:rsidP="008158D5">
      <w:pPr>
        <w:spacing w:line="276" w:lineRule="auto"/>
        <w:jc w:val="both"/>
        <w:rPr>
          <w:rFonts w:ascii="Arial" w:hAnsi="Arial" w:cs="Arial"/>
        </w:rPr>
      </w:pPr>
      <w:r w:rsidRPr="003B34D8">
        <w:rPr>
          <w:rFonts w:ascii="Arial" w:hAnsi="Arial" w:cs="Arial"/>
        </w:rPr>
        <w:t xml:space="preserve">The climate analysis is an important factor in the evaluation of the dam risks and conditions. </w:t>
      </w:r>
      <w:r>
        <w:rPr>
          <w:rFonts w:ascii="Arial" w:hAnsi="Arial" w:cs="Arial"/>
        </w:rPr>
        <w:t>Several</w:t>
      </w:r>
      <w:r w:rsidRPr="003B34D8">
        <w:rPr>
          <w:rFonts w:ascii="Arial" w:hAnsi="Arial" w:cs="Arial"/>
        </w:rPr>
        <w:t xml:space="preserve"> issues affecting the dams, such as the definition of downstream consequences and incoming floods, are predicted to be impacted by climate change. As a result, </w:t>
      </w:r>
      <w:r>
        <w:rPr>
          <w:rFonts w:ascii="Arial" w:hAnsi="Arial" w:cs="Arial"/>
        </w:rPr>
        <w:t>to</w:t>
      </w:r>
      <w:r w:rsidRPr="003B34D8">
        <w:rPr>
          <w:rFonts w:ascii="Arial" w:hAnsi="Arial" w:cs="Arial"/>
        </w:rPr>
        <w:t xml:space="preserve"> analyze how climate change may affect a dam's overall safety, it is important to separate it into the various components that make up dam risk. The study used both climatic </w:t>
      </w:r>
      <w:proofErr w:type="gramStart"/>
      <w:r w:rsidRPr="003B34D8">
        <w:rPr>
          <w:rFonts w:ascii="Arial" w:hAnsi="Arial" w:cs="Arial"/>
        </w:rPr>
        <w:t>data</w:t>
      </w:r>
      <w:proofErr w:type="gramEnd"/>
      <w:r w:rsidRPr="003B34D8">
        <w:rPr>
          <w:rFonts w:ascii="Arial" w:hAnsi="Arial" w:cs="Arial"/>
        </w:rPr>
        <w:t xml:space="preserve"> including the rainfall and temperature data </w:t>
      </w:r>
      <w:r w:rsidRPr="00525402">
        <w:rPr>
          <w:rFonts w:ascii="Arial" w:hAnsi="Arial" w:cs="Arial"/>
          <w:highlight w:val="yellow"/>
        </w:rPr>
        <w:t>obtained in the climate engine</w:t>
      </w:r>
      <w:r w:rsidRPr="003B34D8">
        <w:rPr>
          <w:rFonts w:ascii="Arial" w:hAnsi="Arial" w:cs="Arial"/>
        </w:rPr>
        <w:t xml:space="preserve">. The </w:t>
      </w:r>
      <w:r w:rsidRPr="00525402">
        <w:rPr>
          <w:rFonts w:ascii="Arial" w:hAnsi="Arial" w:cs="Arial"/>
          <w:highlight w:val="yellow"/>
        </w:rPr>
        <w:t>rainfall data was used for runoff analysis</w:t>
      </w:r>
      <w:r w:rsidRPr="003B34D8">
        <w:rPr>
          <w:rFonts w:ascii="Arial" w:hAnsi="Arial" w:cs="Arial"/>
        </w:rPr>
        <w:t xml:space="preserve">, which </w:t>
      </w:r>
      <w:r>
        <w:rPr>
          <w:rFonts w:ascii="Arial" w:hAnsi="Arial" w:cs="Arial"/>
        </w:rPr>
        <w:t>was</w:t>
      </w:r>
      <w:r w:rsidRPr="003B34D8">
        <w:rPr>
          <w:rFonts w:ascii="Arial" w:hAnsi="Arial" w:cs="Arial"/>
        </w:rPr>
        <w:t xml:space="preserve"> received in monthly and annual rainfall for each year. The overall risk impact of each dam safety component can also be </w:t>
      </w:r>
      <w:r>
        <w:rPr>
          <w:rFonts w:ascii="Arial" w:hAnsi="Arial" w:cs="Arial"/>
        </w:rPr>
        <w:t>calculated; emphasizing which area of the dam is</w:t>
      </w:r>
      <w:r w:rsidRPr="003B34D8">
        <w:rPr>
          <w:rFonts w:ascii="Arial" w:hAnsi="Arial" w:cs="Arial"/>
        </w:rPr>
        <w:t xml:space="preserve"> more vulnerable to climate change or has a greater impact on the level of danger that is ultimately </w:t>
      </w:r>
      <w:proofErr w:type="spellStart"/>
      <w:r w:rsidRPr="003B34D8">
        <w:rPr>
          <w:rFonts w:ascii="Arial" w:hAnsi="Arial" w:cs="Arial"/>
        </w:rPr>
        <w:t>present.Furthermore</w:t>
      </w:r>
      <w:proofErr w:type="spellEnd"/>
      <w:r w:rsidRPr="003B34D8">
        <w:rPr>
          <w:rFonts w:ascii="Arial" w:hAnsi="Arial" w:cs="Arial"/>
        </w:rPr>
        <w:t>, the proposed risk analysis approach can be used to reflect how climate change may affect both regular components of risk (like the population exposure downstream of the dam) and extreme components of risk (like flood events).</w:t>
      </w:r>
      <w:r w:rsidRPr="00E73F62">
        <w:rPr>
          <w:rFonts w:ascii="Arial" w:hAnsi="Arial" w:cs="Arial"/>
        </w:rPr>
        <w:t xml:space="preserve">In the context of </w:t>
      </w:r>
      <w:proofErr w:type="spellStart"/>
      <w:r w:rsidRPr="00E73F62">
        <w:rPr>
          <w:rFonts w:ascii="Arial" w:hAnsi="Arial" w:cs="Arial"/>
        </w:rPr>
        <w:t>Mindu</w:t>
      </w:r>
      <w:proofErr w:type="spellEnd"/>
      <w:r w:rsidRPr="00E73F62">
        <w:rPr>
          <w:rFonts w:ascii="Arial" w:hAnsi="Arial" w:cs="Arial"/>
        </w:rPr>
        <w:t xml:space="preserve"> Dam, recent studies have highlighted significant climatic trends over the past few decades. Research conducted by (</w:t>
      </w:r>
      <w:proofErr w:type="spellStart"/>
      <w:r w:rsidRPr="00E73F62">
        <w:rPr>
          <w:rFonts w:ascii="Arial" w:hAnsi="Arial" w:cs="Arial"/>
        </w:rPr>
        <w:t>Mbuligwe</w:t>
      </w:r>
      <w:proofErr w:type="spellEnd"/>
      <w:r w:rsidR="00365FE6" w:rsidRPr="00E73F62">
        <w:rPr>
          <w:rFonts w:ascii="Arial" w:hAnsi="Arial" w:cs="Arial"/>
        </w:rPr>
        <w:t>,</w:t>
      </w:r>
      <w:r w:rsidR="00365FE6">
        <w:rPr>
          <w:rFonts w:ascii="Arial" w:hAnsi="Arial" w:cs="Arial"/>
        </w:rPr>
        <w:t xml:space="preserve"> .</w:t>
      </w:r>
      <w:r w:rsidRPr="00E73F62">
        <w:rPr>
          <w:rFonts w:ascii="Arial" w:hAnsi="Arial" w:cs="Arial"/>
        </w:rPr>
        <w:t xml:space="preserve">2021) indicates that the maximum air temperature in the Morogoro Municipality, where </w:t>
      </w:r>
      <w:proofErr w:type="spellStart"/>
      <w:r w:rsidRPr="00E73F62">
        <w:rPr>
          <w:rFonts w:ascii="Arial" w:hAnsi="Arial" w:cs="Arial"/>
        </w:rPr>
        <w:t>Mindu</w:t>
      </w:r>
      <w:proofErr w:type="spellEnd"/>
      <w:r w:rsidRPr="00E73F62">
        <w:rPr>
          <w:rFonts w:ascii="Arial" w:hAnsi="Arial" w:cs="Arial"/>
        </w:rPr>
        <w:t xml:space="preserve"> Dam is located, has increased at a rate of 0.045% over a span of 30 years. Concurrently, rainfall patterns have shown a decreasing trend, contributing to a reduction in water levels within the dam. The study also observed an increasing trend in wind speed, with a coefficient of determination (R²) of 63.4% for the period from 2014 to 2019. These climatic changes have led to prolonged droughts, further decreasing water levels in the dam and affecting water supply services. Notably, in 2017, </w:t>
      </w:r>
      <w:proofErr w:type="spellStart"/>
      <w:r w:rsidRPr="00E73F62">
        <w:rPr>
          <w:rFonts w:ascii="Arial" w:hAnsi="Arial" w:cs="Arial"/>
        </w:rPr>
        <w:t>Mindu</w:t>
      </w:r>
      <w:proofErr w:type="spellEnd"/>
      <w:r w:rsidRPr="00E73F62">
        <w:rPr>
          <w:rFonts w:ascii="Arial" w:hAnsi="Arial" w:cs="Arial"/>
        </w:rPr>
        <w:t xml:space="preserve"> Dam was closed due to insufficient water levels, underscoring the tangible impacts of climate change on water resources in the region.</w:t>
      </w:r>
    </w:p>
    <w:p w:rsidR="008158D5" w:rsidRPr="003B34D8" w:rsidRDefault="008158D5" w:rsidP="008158D5">
      <w:pPr>
        <w:spacing w:line="276" w:lineRule="auto"/>
        <w:jc w:val="both"/>
        <w:rPr>
          <w:rFonts w:ascii="Arial" w:hAnsi="Arial" w:cs="Arial"/>
        </w:rPr>
      </w:pPr>
    </w:p>
    <w:p w:rsidR="008158D5" w:rsidRDefault="008158D5" w:rsidP="008158D5">
      <w:pPr>
        <w:spacing w:line="276" w:lineRule="auto"/>
        <w:ind w:left="283"/>
        <w:jc w:val="both"/>
        <w:rPr>
          <w:rFonts w:ascii="Arial" w:hAnsi="Arial" w:cs="Arial"/>
          <w:b/>
        </w:rPr>
      </w:pPr>
      <w:r w:rsidRPr="00B41E8A">
        <w:rPr>
          <w:rFonts w:ascii="Arial" w:hAnsi="Arial" w:cs="Arial"/>
          <w:b/>
        </w:rPr>
        <w:t>3.1.1</w:t>
      </w:r>
      <w:r w:rsidRPr="0083507C">
        <w:rPr>
          <w:rFonts w:ascii="Arial" w:hAnsi="Arial" w:cs="Arial"/>
          <w:b/>
        </w:rPr>
        <w:t>.6. Population Density</w:t>
      </w:r>
    </w:p>
    <w:p w:rsidR="008158D5" w:rsidRPr="0083507C" w:rsidRDefault="008158D5" w:rsidP="008158D5">
      <w:pPr>
        <w:spacing w:line="276" w:lineRule="auto"/>
        <w:ind w:left="283"/>
        <w:jc w:val="both"/>
        <w:rPr>
          <w:rFonts w:ascii="Arial" w:hAnsi="Arial" w:cs="Arial"/>
          <w:b/>
        </w:rPr>
      </w:pPr>
    </w:p>
    <w:p w:rsidR="008158D5" w:rsidRPr="00474D7E" w:rsidRDefault="008158D5" w:rsidP="008158D5">
      <w:pPr>
        <w:spacing w:line="276" w:lineRule="auto"/>
        <w:jc w:val="both"/>
        <w:rPr>
          <w:rFonts w:ascii="Arial" w:hAnsi="Arial" w:cs="Arial"/>
          <w:i/>
          <w:iCs/>
        </w:rPr>
      </w:pPr>
      <w:r w:rsidRPr="003B34D8">
        <w:rPr>
          <w:rFonts w:ascii="Arial" w:hAnsi="Arial" w:cs="Arial"/>
        </w:rPr>
        <w:t xml:space="preserve">The possible effects of dam failures are strongly influenced by population density, which has a substantial impact on dam safety. </w:t>
      </w:r>
    </w:p>
    <w:p w:rsidR="008158D5" w:rsidRPr="00474D7E" w:rsidRDefault="008158D5" w:rsidP="008158D5">
      <w:pPr>
        <w:spacing w:line="276" w:lineRule="auto"/>
        <w:jc w:val="both"/>
        <w:rPr>
          <w:rFonts w:ascii="Arial" w:hAnsi="Arial" w:cs="Arial"/>
        </w:rPr>
      </w:pPr>
      <w:r w:rsidRPr="00474D7E">
        <w:rPr>
          <w:rFonts w:ascii="Arial" w:hAnsi="Arial" w:cs="Arial"/>
        </w:rPr>
        <w:lastRenderedPageBreak/>
        <w:t xml:space="preserve">Population density plays a pivotal role in determining the potential consequences of dam failures, influencing both human safety and financial risk. According to the National Bureau of Statistics of Tanzania, the </w:t>
      </w:r>
      <w:proofErr w:type="spellStart"/>
      <w:r w:rsidRPr="00474D7E">
        <w:rPr>
          <w:rFonts w:ascii="Arial" w:hAnsi="Arial" w:cs="Arial"/>
        </w:rPr>
        <w:t>Mindu</w:t>
      </w:r>
      <w:proofErr w:type="spellEnd"/>
      <w:r w:rsidRPr="00474D7E">
        <w:rPr>
          <w:rFonts w:ascii="Arial" w:hAnsi="Arial" w:cs="Arial"/>
        </w:rPr>
        <w:t xml:space="preserve"> Dam </w:t>
      </w:r>
      <w:r>
        <w:rPr>
          <w:rFonts w:ascii="Arial" w:hAnsi="Arial" w:cs="Arial"/>
        </w:rPr>
        <w:t>ward</w:t>
      </w:r>
      <w:r w:rsidRPr="00474D7E">
        <w:rPr>
          <w:rFonts w:ascii="Arial" w:hAnsi="Arial" w:cs="Arial"/>
        </w:rPr>
        <w:t xml:space="preserve"> has experienced a consistent increase in population density over the last few decades. Census data reveals an increase from </w:t>
      </w:r>
      <w:r w:rsidRPr="00D72ED5">
        <w:rPr>
          <w:rFonts w:ascii="Arial" w:hAnsi="Arial" w:cs="Arial"/>
        </w:rPr>
        <w:t>approximately 300 people per square kilometer in 2002</w:t>
      </w:r>
      <w:r w:rsidRPr="00474D7E">
        <w:rPr>
          <w:rFonts w:ascii="Arial" w:hAnsi="Arial" w:cs="Arial"/>
        </w:rPr>
        <w:t xml:space="preserve"> to </w:t>
      </w:r>
      <w:r w:rsidRPr="00D72ED5">
        <w:rPr>
          <w:rFonts w:ascii="Arial" w:hAnsi="Arial" w:cs="Arial"/>
        </w:rPr>
        <w:t>400 people per square kilometer in 2012</w:t>
      </w:r>
      <w:r w:rsidRPr="00474D7E">
        <w:rPr>
          <w:rFonts w:ascii="Arial" w:hAnsi="Arial" w:cs="Arial"/>
        </w:rPr>
        <w:t xml:space="preserve">, reaching an estimated </w:t>
      </w:r>
      <w:r w:rsidRPr="004914CD">
        <w:rPr>
          <w:rFonts w:ascii="Arial" w:hAnsi="Arial" w:cs="Arial"/>
        </w:rPr>
        <w:t>450 people per square kilometer in 2022</w:t>
      </w:r>
      <w:r w:rsidRPr="00474D7E">
        <w:rPr>
          <w:rFonts w:ascii="Arial" w:hAnsi="Arial" w:cs="Arial"/>
        </w:rPr>
        <w:t>. This rising trend reflects growing urbanization and infrastructure development around the dam's downstream areas, heightening the urgency for comprehensive dam safety measures.</w:t>
      </w:r>
    </w:p>
    <w:p w:rsidR="008158D5" w:rsidRPr="00474D7E" w:rsidRDefault="008158D5" w:rsidP="008158D5">
      <w:pPr>
        <w:spacing w:line="276" w:lineRule="auto"/>
        <w:jc w:val="both"/>
        <w:rPr>
          <w:rFonts w:ascii="Arial" w:hAnsi="Arial" w:cs="Arial"/>
        </w:rPr>
      </w:pPr>
      <w:r w:rsidRPr="00474D7E">
        <w:rPr>
          <w:rFonts w:ascii="Arial" w:hAnsi="Arial" w:cs="Arial"/>
        </w:rPr>
        <w:t>Higher population density increases the risk of catastrophic outcomes in the event of dam failure, necessitating enhanced monitoring, maintenance, and emergency preparedness. Each additional resident downstream contributes to a higher likelihood of fatalities and significant property damage, as noted by Smith et al. (2020). Urban expansion alters natural hydrological patterns, leading to increased surface runoff and flood potential, further complicating dam operations and increasing sediment loads.</w:t>
      </w:r>
    </w:p>
    <w:p w:rsidR="008158D5" w:rsidRDefault="008158D5" w:rsidP="008158D5">
      <w:pPr>
        <w:spacing w:line="276" w:lineRule="auto"/>
        <w:jc w:val="both"/>
        <w:rPr>
          <w:rFonts w:ascii="Arial" w:hAnsi="Arial" w:cs="Arial"/>
        </w:rPr>
      </w:pPr>
      <w:r w:rsidRPr="00474D7E">
        <w:rPr>
          <w:rFonts w:ascii="Arial" w:hAnsi="Arial" w:cs="Arial"/>
        </w:rPr>
        <w:t xml:space="preserve">The integration of population data into dam risk assessments allows for more precise identification of vulnerable zones. Effective policy-making, regular inspections, and disaster response planning become critical components in safeguarding communities. Future efforts should incorporate dynamic urban growth models and population forecasting to strengthen adaptive dam safety strategies in </w:t>
      </w:r>
      <w:r>
        <w:rPr>
          <w:rFonts w:ascii="Arial" w:hAnsi="Arial" w:cs="Arial"/>
        </w:rPr>
        <w:t>area</w:t>
      </w:r>
      <w:r w:rsidRPr="00474D7E">
        <w:rPr>
          <w:rFonts w:ascii="Arial" w:hAnsi="Arial" w:cs="Arial"/>
        </w:rPr>
        <w:t xml:space="preserve"> experiencing rapid population increases.</w:t>
      </w:r>
    </w:p>
    <w:p w:rsidR="008158D5" w:rsidRDefault="008158D5" w:rsidP="008158D5">
      <w:pPr>
        <w:spacing w:line="276" w:lineRule="auto"/>
        <w:jc w:val="both"/>
        <w:rPr>
          <w:rFonts w:ascii="Arial" w:hAnsi="Arial" w:cs="Arial"/>
        </w:rPr>
      </w:pPr>
    </w:p>
    <w:p w:rsidR="008158D5" w:rsidRPr="008158D5" w:rsidRDefault="008158D5" w:rsidP="008158D5">
      <w:pPr>
        <w:spacing w:line="276" w:lineRule="auto"/>
        <w:jc w:val="both"/>
        <w:rPr>
          <w:rFonts w:ascii="Arial" w:hAnsi="Arial" w:cs="Arial"/>
          <w:b/>
          <w:bCs/>
          <w:sz w:val="22"/>
          <w:szCs w:val="22"/>
        </w:rPr>
      </w:pPr>
      <w:r w:rsidRPr="008158D5">
        <w:rPr>
          <w:rFonts w:ascii="Arial" w:hAnsi="Arial" w:cs="Arial"/>
          <w:b/>
          <w:bCs/>
          <w:sz w:val="22"/>
          <w:szCs w:val="22"/>
        </w:rPr>
        <w:t>3.2. The application of the AHP model to evaluate the conditions of the dams for compliance with risk management programs for dam safety</w:t>
      </w:r>
      <w:r w:rsidR="0074664D">
        <w:rPr>
          <w:rFonts w:ascii="Arial" w:hAnsi="Arial" w:cs="Arial"/>
          <w:b/>
          <w:bCs/>
          <w:sz w:val="22"/>
          <w:szCs w:val="22"/>
        </w:rPr>
        <w:t>.</w:t>
      </w:r>
    </w:p>
    <w:p w:rsidR="008158D5" w:rsidRPr="003B34D8" w:rsidRDefault="008158D5" w:rsidP="008158D5">
      <w:pPr>
        <w:spacing w:line="276" w:lineRule="auto"/>
        <w:jc w:val="both"/>
        <w:rPr>
          <w:rFonts w:ascii="Arial" w:hAnsi="Arial" w:cs="Arial"/>
          <w:b/>
          <w:bCs/>
        </w:rPr>
      </w:pPr>
    </w:p>
    <w:p w:rsidR="009B736C" w:rsidRDefault="008158D5" w:rsidP="008158D5">
      <w:pPr>
        <w:spacing w:line="276" w:lineRule="auto"/>
        <w:jc w:val="both"/>
        <w:rPr>
          <w:rFonts w:ascii="Arial" w:hAnsi="Arial" w:cs="Arial"/>
        </w:rPr>
        <w:sectPr w:rsidR="009B736C" w:rsidSect="00BF5C96">
          <w:headerReference w:type="even" r:id="rId11"/>
          <w:headerReference w:type="default" r:id="rId12"/>
          <w:footerReference w:type="default" r:id="rId13"/>
          <w:headerReference w:type="first" r:id="rId14"/>
          <w:type w:val="continuous"/>
          <w:pgSz w:w="12240" w:h="15840"/>
          <w:pgMar w:top="1440" w:right="2016" w:bottom="2016" w:left="2016" w:header="720" w:footer="1123" w:gutter="0"/>
          <w:cols w:space="720"/>
          <w:docGrid w:linePitch="272"/>
        </w:sectPr>
      </w:pPr>
      <w:r w:rsidRPr="003B34D8">
        <w:rPr>
          <w:rFonts w:ascii="Arial" w:hAnsi="Arial" w:cs="Arial"/>
        </w:rPr>
        <w:t>The Analytic Hierarchy Process (AHP) approach has been used in the evaluation of the conditions of the dams for compliance with risk management for dam safety that used the principal criteria namely slope, land use/land cover, soil, Distance to river and road, aspects, climatic factors (Rainfall and Temperature), elevation and population density (</w:t>
      </w:r>
      <w:proofErr w:type="spellStart"/>
      <w:r w:rsidRPr="003B34D8">
        <w:rPr>
          <w:rFonts w:ascii="Arial" w:hAnsi="Arial" w:cs="Arial"/>
        </w:rPr>
        <w:t>Saaty</w:t>
      </w:r>
      <w:proofErr w:type="spellEnd"/>
      <w:r w:rsidRPr="003B34D8">
        <w:rPr>
          <w:rFonts w:ascii="Arial" w:hAnsi="Arial" w:cs="Arial"/>
        </w:rPr>
        <w:t xml:space="preserve">, 2008). These criteria were used in the preparation of the suitable map that demonstrated the suitable areas (dam safety). </w:t>
      </w:r>
      <w:r>
        <w:rPr>
          <w:rFonts w:ascii="Arial" w:hAnsi="Arial" w:cs="Arial"/>
        </w:rPr>
        <w:t>Any suitability analysis must be</w:t>
      </w:r>
      <w:r w:rsidRPr="003B34D8">
        <w:rPr>
          <w:rFonts w:ascii="Arial" w:hAnsi="Arial" w:cs="Arial"/>
        </w:rPr>
        <w:t xml:space="preserve"> assigned the scores. The pair-wise matrix has been used to rate the scores </w:t>
      </w:r>
      <w:r>
        <w:rPr>
          <w:rFonts w:ascii="Arial" w:hAnsi="Arial" w:cs="Arial"/>
        </w:rPr>
        <w:t>on</w:t>
      </w:r>
      <w:r w:rsidRPr="003B34D8">
        <w:rPr>
          <w:rFonts w:ascii="Arial" w:hAnsi="Arial" w:cs="Arial"/>
        </w:rPr>
        <w:t xml:space="preserve"> a scale. The development of a </w:t>
      </w:r>
      <w:r>
        <w:rPr>
          <w:rFonts w:ascii="Arial" w:hAnsi="Arial" w:cs="Arial"/>
        </w:rPr>
        <w:t>pairwise</w:t>
      </w:r>
      <w:r w:rsidRPr="003B34D8">
        <w:rPr>
          <w:rFonts w:ascii="Arial" w:hAnsi="Arial" w:cs="Arial"/>
        </w:rPr>
        <w:t xml:space="preserve"> matrix requires the creation of the ratio matrix taken as inputs and relative</w:t>
      </w:r>
      <w:r w:rsidR="0074664D">
        <w:rPr>
          <w:rFonts w:ascii="Arial" w:hAnsi="Arial" w:cs="Arial"/>
        </w:rPr>
        <w:t xml:space="preserve"> weights and </w:t>
      </w:r>
      <w:r w:rsidR="0074664D" w:rsidRPr="00D51849">
        <w:rPr>
          <w:rFonts w:ascii="Arial" w:hAnsi="Arial" w:cs="Arial"/>
          <w:highlight w:val="yellow"/>
        </w:rPr>
        <w:t xml:space="preserve">produced as </w:t>
      </w:r>
      <w:r w:rsidR="00365FE6" w:rsidRPr="00D51849">
        <w:rPr>
          <w:rFonts w:ascii="Arial" w:hAnsi="Arial" w:cs="Arial"/>
          <w:highlight w:val="yellow"/>
        </w:rPr>
        <w:t>output</w:t>
      </w:r>
    </w:p>
    <w:tbl>
      <w:tblPr>
        <w:tblpPr w:leftFromText="180" w:rightFromText="180" w:vertAnchor="page" w:horzAnchor="margin" w:tblpY="1753"/>
        <w:tblW w:w="14805" w:type="dxa"/>
        <w:tblLook w:val="04A0" w:firstRow="1" w:lastRow="0" w:firstColumn="1" w:lastColumn="0" w:noHBand="0" w:noVBand="1"/>
      </w:tblPr>
      <w:tblGrid>
        <w:gridCol w:w="1720"/>
        <w:gridCol w:w="1055"/>
        <w:gridCol w:w="1259"/>
        <w:gridCol w:w="1259"/>
        <w:gridCol w:w="1327"/>
        <w:gridCol w:w="892"/>
        <w:gridCol w:w="1503"/>
        <w:gridCol w:w="1123"/>
        <w:gridCol w:w="905"/>
        <w:gridCol w:w="852"/>
        <w:gridCol w:w="1720"/>
        <w:gridCol w:w="1190"/>
      </w:tblGrid>
      <w:tr w:rsidR="009B736C" w:rsidTr="005701E3">
        <w:trPr>
          <w:trHeight w:val="490"/>
        </w:trPr>
        <w:tc>
          <w:tcPr>
            <w:tcW w:w="1720" w:type="dxa"/>
            <w:tcBorders>
              <w:top w:val="single" w:sz="4" w:space="0" w:color="auto"/>
              <w:left w:val="nil"/>
              <w:bottom w:val="single" w:sz="4" w:space="0" w:color="auto"/>
              <w:right w:val="nil"/>
            </w:tcBorders>
            <w:shd w:val="clear" w:color="auto" w:fill="auto"/>
            <w:noWrap/>
            <w:vAlign w:val="center"/>
          </w:tcPr>
          <w:p w:rsidR="009B736C" w:rsidRDefault="009B736C" w:rsidP="005701E3">
            <w:pPr>
              <w:spacing w:line="276" w:lineRule="auto"/>
              <w:jc w:val="both"/>
              <w:rPr>
                <w:rFonts w:ascii="Arial" w:hAnsi="Arial" w:cs="Arial"/>
                <w:b/>
                <w:bCs/>
                <w:color w:val="000000"/>
              </w:rPr>
            </w:pPr>
            <w:r>
              <w:rPr>
                <w:rFonts w:ascii="Arial" w:hAnsi="Arial" w:cs="Arial"/>
                <w:b/>
                <w:bCs/>
                <w:color w:val="000000"/>
              </w:rPr>
              <w:lastRenderedPageBreak/>
              <w:t>Criteria</w:t>
            </w:r>
          </w:p>
        </w:tc>
        <w:tc>
          <w:tcPr>
            <w:tcW w:w="1055" w:type="dxa"/>
            <w:tcBorders>
              <w:top w:val="single" w:sz="4" w:space="0" w:color="auto"/>
              <w:left w:val="nil"/>
              <w:bottom w:val="single" w:sz="4" w:space="0" w:color="auto"/>
              <w:right w:val="nil"/>
            </w:tcBorders>
            <w:shd w:val="clear" w:color="auto" w:fill="auto"/>
            <w:vAlign w:val="center"/>
          </w:tcPr>
          <w:p w:rsidR="009B736C" w:rsidRDefault="009B736C" w:rsidP="005701E3">
            <w:pPr>
              <w:spacing w:line="276" w:lineRule="auto"/>
              <w:jc w:val="both"/>
              <w:rPr>
                <w:rFonts w:ascii="Arial" w:hAnsi="Arial" w:cs="Arial"/>
                <w:b/>
                <w:bCs/>
                <w:color w:val="000000"/>
              </w:rPr>
            </w:pPr>
            <w:r>
              <w:rPr>
                <w:rFonts w:ascii="Arial" w:hAnsi="Arial" w:cs="Arial"/>
                <w:b/>
                <w:bCs/>
                <w:color w:val="000000"/>
              </w:rPr>
              <w:t>Aspect</w:t>
            </w:r>
          </w:p>
        </w:tc>
        <w:tc>
          <w:tcPr>
            <w:tcW w:w="1259" w:type="dxa"/>
            <w:tcBorders>
              <w:top w:val="single" w:sz="4" w:space="0" w:color="auto"/>
              <w:left w:val="nil"/>
              <w:bottom w:val="single" w:sz="4" w:space="0" w:color="auto"/>
              <w:right w:val="nil"/>
            </w:tcBorders>
            <w:shd w:val="clear" w:color="auto" w:fill="auto"/>
            <w:vAlign w:val="center"/>
          </w:tcPr>
          <w:p w:rsidR="009B736C" w:rsidRDefault="009B736C" w:rsidP="005701E3">
            <w:pPr>
              <w:spacing w:line="276" w:lineRule="auto"/>
              <w:jc w:val="both"/>
              <w:rPr>
                <w:rFonts w:ascii="Arial" w:hAnsi="Arial" w:cs="Arial"/>
                <w:b/>
                <w:bCs/>
                <w:color w:val="000000"/>
              </w:rPr>
            </w:pPr>
            <w:r>
              <w:rPr>
                <w:rFonts w:ascii="Arial" w:hAnsi="Arial" w:cs="Arial"/>
                <w:b/>
                <w:bCs/>
                <w:color w:val="000000"/>
              </w:rPr>
              <w:t>Distance to River</w:t>
            </w:r>
          </w:p>
        </w:tc>
        <w:tc>
          <w:tcPr>
            <w:tcW w:w="1259" w:type="dxa"/>
            <w:tcBorders>
              <w:top w:val="single" w:sz="4" w:space="0" w:color="auto"/>
              <w:left w:val="nil"/>
              <w:bottom w:val="single" w:sz="4" w:space="0" w:color="auto"/>
              <w:right w:val="nil"/>
            </w:tcBorders>
            <w:shd w:val="clear" w:color="auto" w:fill="auto"/>
            <w:vAlign w:val="center"/>
          </w:tcPr>
          <w:p w:rsidR="009B736C" w:rsidRDefault="009B736C" w:rsidP="005701E3">
            <w:pPr>
              <w:spacing w:line="276" w:lineRule="auto"/>
              <w:jc w:val="both"/>
              <w:rPr>
                <w:rFonts w:ascii="Arial" w:hAnsi="Arial" w:cs="Arial"/>
                <w:b/>
                <w:bCs/>
                <w:color w:val="000000"/>
              </w:rPr>
            </w:pPr>
            <w:r>
              <w:rPr>
                <w:rFonts w:ascii="Arial" w:hAnsi="Arial" w:cs="Arial"/>
                <w:b/>
                <w:bCs/>
                <w:color w:val="000000"/>
              </w:rPr>
              <w:t>Distance to Road</w:t>
            </w:r>
          </w:p>
        </w:tc>
        <w:tc>
          <w:tcPr>
            <w:tcW w:w="1327" w:type="dxa"/>
            <w:tcBorders>
              <w:top w:val="single" w:sz="4" w:space="0" w:color="auto"/>
              <w:left w:val="nil"/>
              <w:bottom w:val="single" w:sz="4" w:space="0" w:color="auto"/>
              <w:right w:val="nil"/>
            </w:tcBorders>
            <w:shd w:val="clear" w:color="auto" w:fill="auto"/>
            <w:vAlign w:val="center"/>
          </w:tcPr>
          <w:p w:rsidR="009B736C" w:rsidRDefault="009B736C" w:rsidP="005701E3">
            <w:pPr>
              <w:spacing w:line="276" w:lineRule="auto"/>
              <w:jc w:val="both"/>
              <w:rPr>
                <w:rFonts w:ascii="Arial" w:hAnsi="Arial" w:cs="Arial"/>
                <w:b/>
                <w:bCs/>
                <w:color w:val="000000"/>
              </w:rPr>
            </w:pPr>
            <w:r>
              <w:rPr>
                <w:rFonts w:ascii="Arial" w:hAnsi="Arial" w:cs="Arial"/>
                <w:b/>
                <w:bCs/>
                <w:color w:val="000000"/>
              </w:rPr>
              <w:t>Elevation</w:t>
            </w:r>
          </w:p>
        </w:tc>
        <w:tc>
          <w:tcPr>
            <w:tcW w:w="892" w:type="dxa"/>
            <w:tcBorders>
              <w:top w:val="single" w:sz="4" w:space="0" w:color="auto"/>
              <w:left w:val="nil"/>
              <w:bottom w:val="single" w:sz="4" w:space="0" w:color="auto"/>
              <w:right w:val="nil"/>
            </w:tcBorders>
            <w:shd w:val="clear" w:color="auto" w:fill="auto"/>
            <w:vAlign w:val="center"/>
          </w:tcPr>
          <w:p w:rsidR="009B736C" w:rsidRDefault="009B736C" w:rsidP="005701E3">
            <w:pPr>
              <w:spacing w:line="276" w:lineRule="auto"/>
              <w:jc w:val="both"/>
              <w:rPr>
                <w:rFonts w:ascii="Arial" w:hAnsi="Arial" w:cs="Arial"/>
                <w:b/>
                <w:bCs/>
                <w:color w:val="000000"/>
              </w:rPr>
            </w:pPr>
            <w:r>
              <w:rPr>
                <w:rFonts w:ascii="Arial" w:hAnsi="Arial" w:cs="Arial"/>
                <w:b/>
                <w:bCs/>
                <w:color w:val="000000"/>
              </w:rPr>
              <w:t>LULC</w:t>
            </w:r>
          </w:p>
        </w:tc>
        <w:tc>
          <w:tcPr>
            <w:tcW w:w="1503" w:type="dxa"/>
            <w:tcBorders>
              <w:top w:val="single" w:sz="4" w:space="0" w:color="auto"/>
              <w:left w:val="nil"/>
              <w:bottom w:val="single" w:sz="4" w:space="0" w:color="auto"/>
              <w:right w:val="nil"/>
            </w:tcBorders>
            <w:shd w:val="clear" w:color="auto" w:fill="auto"/>
            <w:vAlign w:val="center"/>
          </w:tcPr>
          <w:p w:rsidR="009B736C" w:rsidRDefault="009B736C" w:rsidP="005701E3">
            <w:pPr>
              <w:spacing w:line="276" w:lineRule="auto"/>
              <w:jc w:val="both"/>
              <w:rPr>
                <w:rFonts w:ascii="Arial" w:hAnsi="Arial" w:cs="Arial"/>
                <w:b/>
                <w:bCs/>
                <w:color w:val="000000"/>
              </w:rPr>
            </w:pPr>
            <w:r>
              <w:rPr>
                <w:rFonts w:ascii="Arial" w:hAnsi="Arial" w:cs="Arial"/>
                <w:b/>
                <w:bCs/>
                <w:color w:val="000000"/>
              </w:rPr>
              <w:t>Population Density</w:t>
            </w:r>
          </w:p>
        </w:tc>
        <w:tc>
          <w:tcPr>
            <w:tcW w:w="1123" w:type="dxa"/>
            <w:tcBorders>
              <w:top w:val="single" w:sz="4" w:space="0" w:color="auto"/>
              <w:left w:val="nil"/>
              <w:bottom w:val="single" w:sz="4" w:space="0" w:color="auto"/>
              <w:right w:val="nil"/>
            </w:tcBorders>
            <w:shd w:val="clear" w:color="auto" w:fill="auto"/>
            <w:vAlign w:val="center"/>
          </w:tcPr>
          <w:p w:rsidR="009B736C" w:rsidRDefault="009B736C" w:rsidP="005701E3">
            <w:pPr>
              <w:spacing w:line="276" w:lineRule="auto"/>
              <w:jc w:val="both"/>
              <w:rPr>
                <w:rFonts w:ascii="Arial" w:hAnsi="Arial" w:cs="Arial"/>
                <w:b/>
                <w:bCs/>
                <w:color w:val="000000"/>
              </w:rPr>
            </w:pPr>
            <w:r>
              <w:rPr>
                <w:rFonts w:ascii="Arial" w:hAnsi="Arial" w:cs="Arial"/>
                <w:b/>
                <w:bCs/>
                <w:color w:val="000000"/>
              </w:rPr>
              <w:t>Rainfall</w:t>
            </w:r>
          </w:p>
        </w:tc>
        <w:tc>
          <w:tcPr>
            <w:tcW w:w="905" w:type="dxa"/>
            <w:tcBorders>
              <w:top w:val="single" w:sz="4" w:space="0" w:color="auto"/>
              <w:left w:val="nil"/>
              <w:bottom w:val="single" w:sz="4" w:space="0" w:color="auto"/>
              <w:right w:val="nil"/>
            </w:tcBorders>
            <w:shd w:val="clear" w:color="auto" w:fill="auto"/>
            <w:vAlign w:val="center"/>
          </w:tcPr>
          <w:p w:rsidR="009B736C" w:rsidRDefault="009B736C" w:rsidP="005701E3">
            <w:pPr>
              <w:spacing w:line="276" w:lineRule="auto"/>
              <w:jc w:val="both"/>
              <w:rPr>
                <w:rFonts w:ascii="Arial" w:hAnsi="Arial" w:cs="Arial"/>
                <w:b/>
                <w:bCs/>
                <w:color w:val="000000"/>
              </w:rPr>
            </w:pPr>
            <w:r>
              <w:rPr>
                <w:rFonts w:ascii="Arial" w:hAnsi="Arial" w:cs="Arial"/>
                <w:b/>
                <w:bCs/>
                <w:color w:val="000000"/>
              </w:rPr>
              <w:t>Slope</w:t>
            </w:r>
          </w:p>
        </w:tc>
        <w:tc>
          <w:tcPr>
            <w:tcW w:w="852" w:type="dxa"/>
            <w:tcBorders>
              <w:top w:val="single" w:sz="4" w:space="0" w:color="auto"/>
              <w:left w:val="nil"/>
              <w:bottom w:val="single" w:sz="4" w:space="0" w:color="auto"/>
              <w:right w:val="nil"/>
            </w:tcBorders>
            <w:shd w:val="clear" w:color="auto" w:fill="auto"/>
            <w:vAlign w:val="center"/>
          </w:tcPr>
          <w:p w:rsidR="009B736C" w:rsidRDefault="009B736C" w:rsidP="005701E3">
            <w:pPr>
              <w:spacing w:line="276" w:lineRule="auto"/>
              <w:jc w:val="both"/>
              <w:rPr>
                <w:rFonts w:ascii="Arial" w:hAnsi="Arial" w:cs="Arial"/>
                <w:b/>
                <w:bCs/>
                <w:color w:val="000000"/>
              </w:rPr>
            </w:pPr>
            <w:r>
              <w:rPr>
                <w:rFonts w:ascii="Arial" w:hAnsi="Arial" w:cs="Arial"/>
                <w:b/>
                <w:bCs/>
                <w:color w:val="000000"/>
              </w:rPr>
              <w:t>Soil</w:t>
            </w:r>
          </w:p>
        </w:tc>
        <w:tc>
          <w:tcPr>
            <w:tcW w:w="1720" w:type="dxa"/>
            <w:tcBorders>
              <w:top w:val="single" w:sz="4" w:space="0" w:color="auto"/>
              <w:left w:val="nil"/>
              <w:bottom w:val="single" w:sz="4" w:space="0" w:color="auto"/>
              <w:right w:val="nil"/>
            </w:tcBorders>
            <w:shd w:val="clear" w:color="auto" w:fill="auto"/>
            <w:vAlign w:val="center"/>
          </w:tcPr>
          <w:p w:rsidR="009B736C" w:rsidRDefault="009B736C" w:rsidP="005701E3">
            <w:pPr>
              <w:spacing w:line="276" w:lineRule="auto"/>
              <w:jc w:val="both"/>
              <w:rPr>
                <w:rFonts w:ascii="Arial" w:hAnsi="Arial" w:cs="Arial"/>
                <w:b/>
                <w:bCs/>
                <w:color w:val="000000"/>
              </w:rPr>
            </w:pPr>
            <w:r>
              <w:rPr>
                <w:rFonts w:ascii="Arial" w:hAnsi="Arial" w:cs="Arial"/>
                <w:b/>
                <w:bCs/>
                <w:color w:val="000000"/>
              </w:rPr>
              <w:t>Temperature</w:t>
            </w:r>
          </w:p>
        </w:tc>
        <w:tc>
          <w:tcPr>
            <w:tcW w:w="1190" w:type="dxa"/>
            <w:tcBorders>
              <w:top w:val="single" w:sz="4" w:space="0" w:color="auto"/>
              <w:left w:val="nil"/>
              <w:bottom w:val="single" w:sz="4" w:space="0" w:color="auto"/>
              <w:right w:val="nil"/>
            </w:tcBorders>
            <w:shd w:val="clear" w:color="auto" w:fill="auto"/>
            <w:vAlign w:val="center"/>
          </w:tcPr>
          <w:p w:rsidR="009B736C" w:rsidRDefault="009B736C" w:rsidP="005701E3">
            <w:pPr>
              <w:spacing w:line="276" w:lineRule="auto"/>
              <w:jc w:val="both"/>
              <w:rPr>
                <w:rFonts w:ascii="Arial" w:hAnsi="Arial" w:cs="Arial"/>
                <w:b/>
                <w:bCs/>
                <w:color w:val="000000"/>
              </w:rPr>
            </w:pPr>
            <w:r>
              <w:rPr>
                <w:rFonts w:ascii="Arial" w:hAnsi="Arial" w:cs="Arial"/>
                <w:b/>
                <w:bCs/>
                <w:color w:val="000000"/>
              </w:rPr>
              <w:t>Criteria Weights</w:t>
            </w:r>
          </w:p>
        </w:tc>
      </w:tr>
      <w:tr w:rsidR="009B736C" w:rsidTr="005701E3">
        <w:trPr>
          <w:trHeight w:val="244"/>
        </w:trPr>
        <w:tc>
          <w:tcPr>
            <w:tcW w:w="1720" w:type="dxa"/>
            <w:tcBorders>
              <w:top w:val="single" w:sz="4" w:space="0" w:color="auto"/>
              <w:left w:val="nil"/>
              <w:bottom w:val="nil"/>
              <w:right w:val="nil"/>
            </w:tcBorders>
            <w:shd w:val="clear" w:color="auto" w:fill="auto"/>
            <w:vAlign w:val="center"/>
          </w:tcPr>
          <w:p w:rsidR="009B736C" w:rsidRDefault="009B736C" w:rsidP="005701E3">
            <w:pPr>
              <w:spacing w:line="276" w:lineRule="auto"/>
              <w:jc w:val="both"/>
              <w:rPr>
                <w:rFonts w:ascii="Arial" w:hAnsi="Arial" w:cs="Arial"/>
                <w:b/>
                <w:bCs/>
                <w:color w:val="000000"/>
              </w:rPr>
            </w:pPr>
            <w:r>
              <w:rPr>
                <w:rFonts w:ascii="Arial" w:hAnsi="Arial" w:cs="Arial"/>
                <w:b/>
                <w:bCs/>
                <w:color w:val="000000"/>
              </w:rPr>
              <w:t>Aspect</w:t>
            </w:r>
          </w:p>
        </w:tc>
        <w:tc>
          <w:tcPr>
            <w:tcW w:w="1055" w:type="dxa"/>
            <w:tcBorders>
              <w:top w:val="single" w:sz="4" w:space="0" w:color="auto"/>
              <w:left w:val="nil"/>
              <w:bottom w:val="nil"/>
              <w:right w:val="nil"/>
            </w:tcBorders>
            <w:shd w:val="clear" w:color="000000" w:fill="FFFF00"/>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0.186</w:t>
            </w:r>
          </w:p>
        </w:tc>
        <w:tc>
          <w:tcPr>
            <w:tcW w:w="1259" w:type="dxa"/>
            <w:tcBorders>
              <w:top w:val="single" w:sz="4" w:space="0" w:color="auto"/>
              <w:left w:val="nil"/>
              <w:bottom w:val="nil"/>
              <w:right w:val="nil"/>
            </w:tcBorders>
            <w:shd w:val="clear" w:color="auto" w:fill="auto"/>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0.163</w:t>
            </w:r>
          </w:p>
        </w:tc>
        <w:tc>
          <w:tcPr>
            <w:tcW w:w="1259" w:type="dxa"/>
            <w:tcBorders>
              <w:top w:val="single" w:sz="4" w:space="0" w:color="auto"/>
              <w:left w:val="nil"/>
              <w:bottom w:val="nil"/>
              <w:right w:val="nil"/>
            </w:tcBorders>
            <w:shd w:val="clear" w:color="auto" w:fill="auto"/>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0.173</w:t>
            </w:r>
          </w:p>
        </w:tc>
        <w:tc>
          <w:tcPr>
            <w:tcW w:w="1327" w:type="dxa"/>
            <w:tcBorders>
              <w:top w:val="single" w:sz="4" w:space="0" w:color="auto"/>
              <w:left w:val="nil"/>
              <w:bottom w:val="nil"/>
              <w:right w:val="nil"/>
            </w:tcBorders>
            <w:shd w:val="clear" w:color="auto" w:fill="auto"/>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0.213</w:t>
            </w:r>
          </w:p>
        </w:tc>
        <w:tc>
          <w:tcPr>
            <w:tcW w:w="892" w:type="dxa"/>
            <w:tcBorders>
              <w:top w:val="single" w:sz="4" w:space="0" w:color="auto"/>
              <w:left w:val="nil"/>
              <w:bottom w:val="nil"/>
              <w:right w:val="nil"/>
            </w:tcBorders>
            <w:shd w:val="clear" w:color="auto" w:fill="auto"/>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0.250</w:t>
            </w:r>
          </w:p>
        </w:tc>
        <w:tc>
          <w:tcPr>
            <w:tcW w:w="1503" w:type="dxa"/>
            <w:tcBorders>
              <w:top w:val="single" w:sz="4" w:space="0" w:color="auto"/>
              <w:left w:val="nil"/>
              <w:bottom w:val="nil"/>
              <w:right w:val="nil"/>
            </w:tcBorders>
            <w:shd w:val="clear" w:color="auto" w:fill="auto"/>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0.197</w:t>
            </w:r>
          </w:p>
        </w:tc>
        <w:tc>
          <w:tcPr>
            <w:tcW w:w="1123" w:type="dxa"/>
            <w:tcBorders>
              <w:top w:val="single" w:sz="4" w:space="0" w:color="auto"/>
              <w:left w:val="nil"/>
              <w:bottom w:val="nil"/>
              <w:right w:val="nil"/>
            </w:tcBorders>
            <w:shd w:val="clear" w:color="auto" w:fill="auto"/>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0.112</w:t>
            </w:r>
          </w:p>
        </w:tc>
        <w:tc>
          <w:tcPr>
            <w:tcW w:w="905" w:type="dxa"/>
            <w:tcBorders>
              <w:top w:val="single" w:sz="4" w:space="0" w:color="auto"/>
              <w:left w:val="nil"/>
              <w:bottom w:val="nil"/>
              <w:right w:val="nil"/>
            </w:tcBorders>
            <w:shd w:val="clear" w:color="auto" w:fill="auto"/>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0.147</w:t>
            </w:r>
          </w:p>
        </w:tc>
        <w:tc>
          <w:tcPr>
            <w:tcW w:w="852" w:type="dxa"/>
            <w:tcBorders>
              <w:top w:val="single" w:sz="4" w:space="0" w:color="auto"/>
              <w:left w:val="nil"/>
              <w:bottom w:val="nil"/>
              <w:right w:val="nil"/>
            </w:tcBorders>
            <w:shd w:val="clear" w:color="auto" w:fill="auto"/>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0.160</w:t>
            </w:r>
          </w:p>
        </w:tc>
        <w:tc>
          <w:tcPr>
            <w:tcW w:w="1720" w:type="dxa"/>
            <w:tcBorders>
              <w:top w:val="single" w:sz="4" w:space="0" w:color="auto"/>
              <w:left w:val="nil"/>
              <w:bottom w:val="nil"/>
              <w:right w:val="nil"/>
            </w:tcBorders>
            <w:shd w:val="clear" w:color="auto" w:fill="auto"/>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0.407</w:t>
            </w:r>
          </w:p>
        </w:tc>
        <w:tc>
          <w:tcPr>
            <w:tcW w:w="1190" w:type="dxa"/>
            <w:tcBorders>
              <w:top w:val="single" w:sz="4" w:space="0" w:color="auto"/>
              <w:left w:val="nil"/>
              <w:bottom w:val="nil"/>
              <w:right w:val="nil"/>
            </w:tcBorders>
            <w:shd w:val="clear" w:color="auto" w:fill="auto"/>
            <w:noWrap/>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0.201</w:t>
            </w:r>
          </w:p>
        </w:tc>
      </w:tr>
      <w:tr w:rsidR="009B736C" w:rsidTr="005701E3">
        <w:trPr>
          <w:trHeight w:val="244"/>
        </w:trPr>
        <w:tc>
          <w:tcPr>
            <w:tcW w:w="1720" w:type="dxa"/>
            <w:tcBorders>
              <w:top w:val="nil"/>
              <w:left w:val="nil"/>
              <w:bottom w:val="nil"/>
              <w:right w:val="nil"/>
            </w:tcBorders>
            <w:shd w:val="clear" w:color="auto" w:fill="auto"/>
            <w:vAlign w:val="center"/>
          </w:tcPr>
          <w:p w:rsidR="009B736C" w:rsidRDefault="009B736C" w:rsidP="005701E3">
            <w:pPr>
              <w:spacing w:line="276" w:lineRule="auto"/>
              <w:jc w:val="both"/>
              <w:rPr>
                <w:rFonts w:ascii="Arial" w:hAnsi="Arial" w:cs="Arial"/>
                <w:b/>
                <w:bCs/>
                <w:color w:val="000000"/>
              </w:rPr>
            </w:pPr>
            <w:r>
              <w:rPr>
                <w:rFonts w:ascii="Arial" w:hAnsi="Arial" w:cs="Arial"/>
                <w:b/>
                <w:bCs/>
                <w:color w:val="000000"/>
              </w:rPr>
              <w:t>Distance to River</w:t>
            </w:r>
          </w:p>
        </w:tc>
        <w:tc>
          <w:tcPr>
            <w:tcW w:w="1055" w:type="dxa"/>
            <w:tcBorders>
              <w:top w:val="nil"/>
              <w:left w:val="nil"/>
              <w:bottom w:val="nil"/>
              <w:right w:val="nil"/>
            </w:tcBorders>
            <w:shd w:val="clear" w:color="auto" w:fill="auto"/>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0.093</w:t>
            </w:r>
          </w:p>
        </w:tc>
        <w:tc>
          <w:tcPr>
            <w:tcW w:w="1259" w:type="dxa"/>
            <w:tcBorders>
              <w:top w:val="nil"/>
              <w:left w:val="nil"/>
              <w:bottom w:val="nil"/>
              <w:right w:val="nil"/>
            </w:tcBorders>
            <w:shd w:val="clear" w:color="000000" w:fill="FFFF00"/>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0.082</w:t>
            </w:r>
          </w:p>
        </w:tc>
        <w:tc>
          <w:tcPr>
            <w:tcW w:w="1259" w:type="dxa"/>
            <w:tcBorders>
              <w:top w:val="nil"/>
              <w:left w:val="nil"/>
              <w:bottom w:val="nil"/>
              <w:right w:val="nil"/>
            </w:tcBorders>
            <w:shd w:val="clear" w:color="auto" w:fill="auto"/>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0.130</w:t>
            </w:r>
          </w:p>
        </w:tc>
        <w:tc>
          <w:tcPr>
            <w:tcW w:w="1327" w:type="dxa"/>
            <w:tcBorders>
              <w:top w:val="nil"/>
              <w:left w:val="nil"/>
              <w:bottom w:val="nil"/>
              <w:right w:val="nil"/>
            </w:tcBorders>
            <w:shd w:val="clear" w:color="auto" w:fill="auto"/>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0.160</w:t>
            </w:r>
          </w:p>
        </w:tc>
        <w:tc>
          <w:tcPr>
            <w:tcW w:w="892" w:type="dxa"/>
            <w:tcBorders>
              <w:top w:val="nil"/>
              <w:left w:val="nil"/>
              <w:bottom w:val="nil"/>
              <w:right w:val="nil"/>
            </w:tcBorders>
            <w:shd w:val="clear" w:color="auto" w:fill="auto"/>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0.104</w:t>
            </w:r>
          </w:p>
        </w:tc>
        <w:tc>
          <w:tcPr>
            <w:tcW w:w="1503" w:type="dxa"/>
            <w:tcBorders>
              <w:top w:val="nil"/>
              <w:left w:val="nil"/>
              <w:bottom w:val="nil"/>
              <w:right w:val="nil"/>
            </w:tcBorders>
            <w:shd w:val="clear" w:color="auto" w:fill="auto"/>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0.123</w:t>
            </w:r>
          </w:p>
        </w:tc>
        <w:tc>
          <w:tcPr>
            <w:tcW w:w="1123" w:type="dxa"/>
            <w:tcBorders>
              <w:top w:val="nil"/>
              <w:left w:val="nil"/>
              <w:bottom w:val="nil"/>
              <w:right w:val="nil"/>
            </w:tcBorders>
            <w:shd w:val="clear" w:color="auto" w:fill="auto"/>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0.160</w:t>
            </w:r>
          </w:p>
        </w:tc>
        <w:tc>
          <w:tcPr>
            <w:tcW w:w="905" w:type="dxa"/>
            <w:tcBorders>
              <w:top w:val="nil"/>
              <w:left w:val="nil"/>
              <w:bottom w:val="nil"/>
              <w:right w:val="nil"/>
            </w:tcBorders>
            <w:shd w:val="clear" w:color="auto" w:fill="auto"/>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0.074</w:t>
            </w:r>
          </w:p>
        </w:tc>
        <w:tc>
          <w:tcPr>
            <w:tcW w:w="852" w:type="dxa"/>
            <w:tcBorders>
              <w:top w:val="nil"/>
              <w:left w:val="nil"/>
              <w:bottom w:val="nil"/>
              <w:right w:val="nil"/>
            </w:tcBorders>
            <w:shd w:val="clear" w:color="auto" w:fill="auto"/>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0.064</w:t>
            </w:r>
          </w:p>
        </w:tc>
        <w:tc>
          <w:tcPr>
            <w:tcW w:w="1720" w:type="dxa"/>
            <w:tcBorders>
              <w:top w:val="nil"/>
              <w:left w:val="nil"/>
              <w:bottom w:val="nil"/>
              <w:right w:val="nil"/>
            </w:tcBorders>
            <w:shd w:val="clear" w:color="auto" w:fill="auto"/>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0.017</w:t>
            </w:r>
          </w:p>
        </w:tc>
        <w:tc>
          <w:tcPr>
            <w:tcW w:w="1190" w:type="dxa"/>
            <w:tcBorders>
              <w:top w:val="nil"/>
              <w:left w:val="nil"/>
              <w:bottom w:val="nil"/>
              <w:right w:val="nil"/>
            </w:tcBorders>
            <w:shd w:val="clear" w:color="auto" w:fill="auto"/>
            <w:noWrap/>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0.101</w:t>
            </w:r>
          </w:p>
        </w:tc>
      </w:tr>
      <w:tr w:rsidR="009B736C" w:rsidTr="005701E3">
        <w:trPr>
          <w:trHeight w:val="244"/>
        </w:trPr>
        <w:tc>
          <w:tcPr>
            <w:tcW w:w="1720" w:type="dxa"/>
            <w:tcBorders>
              <w:top w:val="nil"/>
              <w:left w:val="nil"/>
              <w:bottom w:val="nil"/>
              <w:right w:val="nil"/>
            </w:tcBorders>
            <w:shd w:val="clear" w:color="auto" w:fill="auto"/>
            <w:vAlign w:val="center"/>
          </w:tcPr>
          <w:p w:rsidR="009B736C" w:rsidRDefault="009B736C" w:rsidP="005701E3">
            <w:pPr>
              <w:spacing w:line="276" w:lineRule="auto"/>
              <w:jc w:val="both"/>
              <w:rPr>
                <w:rFonts w:ascii="Arial" w:hAnsi="Arial" w:cs="Arial"/>
                <w:b/>
                <w:bCs/>
                <w:color w:val="000000"/>
              </w:rPr>
            </w:pPr>
            <w:r>
              <w:rPr>
                <w:rFonts w:ascii="Arial" w:hAnsi="Arial" w:cs="Arial"/>
                <w:b/>
                <w:bCs/>
                <w:color w:val="000000"/>
              </w:rPr>
              <w:t>Distance to Road</w:t>
            </w:r>
          </w:p>
        </w:tc>
        <w:tc>
          <w:tcPr>
            <w:tcW w:w="1055" w:type="dxa"/>
            <w:tcBorders>
              <w:top w:val="nil"/>
              <w:left w:val="nil"/>
              <w:bottom w:val="nil"/>
              <w:right w:val="nil"/>
            </w:tcBorders>
            <w:shd w:val="clear" w:color="auto" w:fill="auto"/>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0.047</w:t>
            </w:r>
          </w:p>
        </w:tc>
        <w:tc>
          <w:tcPr>
            <w:tcW w:w="1259" w:type="dxa"/>
            <w:tcBorders>
              <w:top w:val="nil"/>
              <w:left w:val="nil"/>
              <w:bottom w:val="nil"/>
              <w:right w:val="nil"/>
            </w:tcBorders>
            <w:shd w:val="clear" w:color="auto" w:fill="auto"/>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0.027</w:t>
            </w:r>
          </w:p>
        </w:tc>
        <w:tc>
          <w:tcPr>
            <w:tcW w:w="1259" w:type="dxa"/>
            <w:tcBorders>
              <w:top w:val="nil"/>
              <w:left w:val="nil"/>
              <w:bottom w:val="nil"/>
              <w:right w:val="nil"/>
            </w:tcBorders>
            <w:shd w:val="clear" w:color="000000" w:fill="FFFF00"/>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0.043</w:t>
            </w:r>
          </w:p>
        </w:tc>
        <w:tc>
          <w:tcPr>
            <w:tcW w:w="1327" w:type="dxa"/>
            <w:tcBorders>
              <w:top w:val="nil"/>
              <w:left w:val="nil"/>
              <w:bottom w:val="nil"/>
              <w:right w:val="nil"/>
            </w:tcBorders>
            <w:shd w:val="clear" w:color="auto" w:fill="auto"/>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0.015</w:t>
            </w:r>
          </w:p>
        </w:tc>
        <w:tc>
          <w:tcPr>
            <w:tcW w:w="892" w:type="dxa"/>
            <w:tcBorders>
              <w:top w:val="nil"/>
              <w:left w:val="nil"/>
              <w:bottom w:val="nil"/>
              <w:right w:val="nil"/>
            </w:tcBorders>
            <w:shd w:val="clear" w:color="auto" w:fill="auto"/>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0.039</w:t>
            </w:r>
          </w:p>
        </w:tc>
        <w:tc>
          <w:tcPr>
            <w:tcW w:w="1503" w:type="dxa"/>
            <w:tcBorders>
              <w:top w:val="nil"/>
              <w:left w:val="nil"/>
              <w:bottom w:val="nil"/>
              <w:right w:val="nil"/>
            </w:tcBorders>
            <w:shd w:val="clear" w:color="auto" w:fill="auto"/>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0.049</w:t>
            </w:r>
          </w:p>
        </w:tc>
        <w:tc>
          <w:tcPr>
            <w:tcW w:w="1123" w:type="dxa"/>
            <w:tcBorders>
              <w:top w:val="nil"/>
              <w:left w:val="nil"/>
              <w:bottom w:val="nil"/>
              <w:right w:val="nil"/>
            </w:tcBorders>
            <w:shd w:val="clear" w:color="auto" w:fill="auto"/>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0.056</w:t>
            </w:r>
          </w:p>
        </w:tc>
        <w:tc>
          <w:tcPr>
            <w:tcW w:w="905" w:type="dxa"/>
            <w:tcBorders>
              <w:top w:val="nil"/>
              <w:left w:val="nil"/>
              <w:bottom w:val="nil"/>
              <w:right w:val="nil"/>
            </w:tcBorders>
            <w:shd w:val="clear" w:color="auto" w:fill="auto"/>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0.074</w:t>
            </w:r>
          </w:p>
        </w:tc>
        <w:tc>
          <w:tcPr>
            <w:tcW w:w="852" w:type="dxa"/>
            <w:tcBorders>
              <w:top w:val="nil"/>
              <w:left w:val="nil"/>
              <w:bottom w:val="nil"/>
              <w:right w:val="nil"/>
            </w:tcBorders>
            <w:shd w:val="clear" w:color="auto" w:fill="auto"/>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0.053</w:t>
            </w:r>
          </w:p>
        </w:tc>
        <w:tc>
          <w:tcPr>
            <w:tcW w:w="1720" w:type="dxa"/>
            <w:tcBorders>
              <w:top w:val="nil"/>
              <w:left w:val="nil"/>
              <w:bottom w:val="nil"/>
              <w:right w:val="nil"/>
            </w:tcBorders>
            <w:shd w:val="clear" w:color="auto" w:fill="auto"/>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0.025</w:t>
            </w:r>
          </w:p>
        </w:tc>
        <w:tc>
          <w:tcPr>
            <w:tcW w:w="1190" w:type="dxa"/>
            <w:tcBorders>
              <w:top w:val="nil"/>
              <w:left w:val="nil"/>
              <w:bottom w:val="nil"/>
              <w:right w:val="nil"/>
            </w:tcBorders>
            <w:shd w:val="clear" w:color="auto" w:fill="auto"/>
            <w:noWrap/>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0.043</w:t>
            </w:r>
          </w:p>
        </w:tc>
      </w:tr>
      <w:tr w:rsidR="009B736C" w:rsidTr="005701E3">
        <w:trPr>
          <w:trHeight w:val="244"/>
        </w:trPr>
        <w:tc>
          <w:tcPr>
            <w:tcW w:w="1720" w:type="dxa"/>
            <w:tcBorders>
              <w:top w:val="nil"/>
              <w:left w:val="nil"/>
              <w:bottom w:val="nil"/>
              <w:right w:val="nil"/>
            </w:tcBorders>
            <w:shd w:val="clear" w:color="auto" w:fill="auto"/>
            <w:vAlign w:val="center"/>
          </w:tcPr>
          <w:p w:rsidR="009B736C" w:rsidRDefault="009B736C" w:rsidP="005701E3">
            <w:pPr>
              <w:spacing w:line="276" w:lineRule="auto"/>
              <w:jc w:val="both"/>
              <w:rPr>
                <w:rFonts w:ascii="Arial" w:hAnsi="Arial" w:cs="Arial"/>
                <w:b/>
                <w:bCs/>
                <w:color w:val="000000"/>
              </w:rPr>
            </w:pPr>
            <w:r>
              <w:rPr>
                <w:rFonts w:ascii="Arial" w:hAnsi="Arial" w:cs="Arial"/>
                <w:b/>
                <w:bCs/>
                <w:color w:val="000000"/>
              </w:rPr>
              <w:t>Elevation</w:t>
            </w:r>
          </w:p>
        </w:tc>
        <w:tc>
          <w:tcPr>
            <w:tcW w:w="1055" w:type="dxa"/>
            <w:tcBorders>
              <w:top w:val="nil"/>
              <w:left w:val="nil"/>
              <w:bottom w:val="nil"/>
              <w:right w:val="nil"/>
            </w:tcBorders>
            <w:shd w:val="clear" w:color="auto" w:fill="auto"/>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0.047</w:t>
            </w:r>
          </w:p>
        </w:tc>
        <w:tc>
          <w:tcPr>
            <w:tcW w:w="1259" w:type="dxa"/>
            <w:tcBorders>
              <w:top w:val="nil"/>
              <w:left w:val="nil"/>
              <w:bottom w:val="nil"/>
              <w:right w:val="nil"/>
            </w:tcBorders>
            <w:shd w:val="clear" w:color="auto" w:fill="auto"/>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0.027</w:t>
            </w:r>
          </w:p>
        </w:tc>
        <w:tc>
          <w:tcPr>
            <w:tcW w:w="1259" w:type="dxa"/>
            <w:tcBorders>
              <w:top w:val="nil"/>
              <w:left w:val="nil"/>
              <w:bottom w:val="nil"/>
              <w:right w:val="nil"/>
            </w:tcBorders>
            <w:shd w:val="clear" w:color="auto" w:fill="auto"/>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0.152</w:t>
            </w:r>
          </w:p>
        </w:tc>
        <w:tc>
          <w:tcPr>
            <w:tcW w:w="1327" w:type="dxa"/>
            <w:tcBorders>
              <w:top w:val="nil"/>
              <w:left w:val="nil"/>
              <w:bottom w:val="nil"/>
              <w:right w:val="nil"/>
            </w:tcBorders>
            <w:shd w:val="clear" w:color="000000" w:fill="FFFF00"/>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0.053</w:t>
            </w:r>
          </w:p>
        </w:tc>
        <w:tc>
          <w:tcPr>
            <w:tcW w:w="892" w:type="dxa"/>
            <w:tcBorders>
              <w:top w:val="nil"/>
              <w:left w:val="nil"/>
              <w:bottom w:val="nil"/>
              <w:right w:val="nil"/>
            </w:tcBorders>
            <w:shd w:val="clear" w:color="auto" w:fill="auto"/>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0.038</w:t>
            </w:r>
          </w:p>
        </w:tc>
        <w:tc>
          <w:tcPr>
            <w:tcW w:w="1503" w:type="dxa"/>
            <w:tcBorders>
              <w:top w:val="nil"/>
              <w:left w:val="nil"/>
              <w:bottom w:val="nil"/>
              <w:right w:val="nil"/>
            </w:tcBorders>
            <w:shd w:val="clear" w:color="auto" w:fill="auto"/>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0.049</w:t>
            </w:r>
          </w:p>
        </w:tc>
        <w:tc>
          <w:tcPr>
            <w:tcW w:w="1123" w:type="dxa"/>
            <w:tcBorders>
              <w:top w:val="nil"/>
              <w:left w:val="nil"/>
              <w:bottom w:val="nil"/>
              <w:right w:val="nil"/>
            </w:tcBorders>
            <w:shd w:val="clear" w:color="auto" w:fill="auto"/>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0.056</w:t>
            </w:r>
          </w:p>
        </w:tc>
        <w:tc>
          <w:tcPr>
            <w:tcW w:w="905" w:type="dxa"/>
            <w:tcBorders>
              <w:top w:val="nil"/>
              <w:left w:val="nil"/>
              <w:bottom w:val="nil"/>
              <w:right w:val="nil"/>
            </w:tcBorders>
            <w:shd w:val="clear" w:color="auto" w:fill="auto"/>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0.061</w:t>
            </w:r>
          </w:p>
        </w:tc>
        <w:tc>
          <w:tcPr>
            <w:tcW w:w="852" w:type="dxa"/>
            <w:tcBorders>
              <w:top w:val="nil"/>
              <w:left w:val="nil"/>
              <w:bottom w:val="nil"/>
              <w:right w:val="nil"/>
            </w:tcBorders>
            <w:shd w:val="clear" w:color="auto" w:fill="auto"/>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0.053</w:t>
            </w:r>
          </w:p>
        </w:tc>
        <w:tc>
          <w:tcPr>
            <w:tcW w:w="1720" w:type="dxa"/>
            <w:tcBorders>
              <w:top w:val="nil"/>
              <w:left w:val="nil"/>
              <w:bottom w:val="nil"/>
              <w:right w:val="nil"/>
            </w:tcBorders>
            <w:shd w:val="clear" w:color="auto" w:fill="auto"/>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0.085</w:t>
            </w:r>
          </w:p>
        </w:tc>
        <w:tc>
          <w:tcPr>
            <w:tcW w:w="1190" w:type="dxa"/>
            <w:tcBorders>
              <w:top w:val="nil"/>
              <w:left w:val="nil"/>
              <w:bottom w:val="nil"/>
              <w:right w:val="nil"/>
            </w:tcBorders>
            <w:shd w:val="clear" w:color="auto" w:fill="auto"/>
            <w:noWrap/>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0.062</w:t>
            </w:r>
          </w:p>
        </w:tc>
      </w:tr>
      <w:tr w:rsidR="009B736C" w:rsidTr="005701E3">
        <w:trPr>
          <w:trHeight w:val="244"/>
        </w:trPr>
        <w:tc>
          <w:tcPr>
            <w:tcW w:w="1720" w:type="dxa"/>
            <w:tcBorders>
              <w:top w:val="nil"/>
              <w:left w:val="nil"/>
              <w:bottom w:val="nil"/>
              <w:right w:val="nil"/>
            </w:tcBorders>
            <w:shd w:val="clear" w:color="auto" w:fill="auto"/>
            <w:vAlign w:val="center"/>
          </w:tcPr>
          <w:p w:rsidR="009B736C" w:rsidRDefault="009B736C" w:rsidP="005701E3">
            <w:pPr>
              <w:spacing w:line="276" w:lineRule="auto"/>
              <w:jc w:val="both"/>
              <w:rPr>
                <w:rFonts w:ascii="Arial" w:hAnsi="Arial" w:cs="Arial"/>
                <w:b/>
                <w:bCs/>
                <w:color w:val="000000"/>
              </w:rPr>
            </w:pPr>
            <w:r>
              <w:rPr>
                <w:rFonts w:ascii="Arial" w:hAnsi="Arial" w:cs="Arial"/>
                <w:b/>
                <w:bCs/>
                <w:color w:val="000000"/>
              </w:rPr>
              <w:t>LULC</w:t>
            </w:r>
          </w:p>
        </w:tc>
        <w:tc>
          <w:tcPr>
            <w:tcW w:w="1055" w:type="dxa"/>
            <w:tcBorders>
              <w:top w:val="nil"/>
              <w:left w:val="nil"/>
              <w:bottom w:val="nil"/>
              <w:right w:val="nil"/>
            </w:tcBorders>
            <w:shd w:val="clear" w:color="auto" w:fill="auto"/>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0.047</w:t>
            </w:r>
          </w:p>
        </w:tc>
        <w:tc>
          <w:tcPr>
            <w:tcW w:w="1259" w:type="dxa"/>
            <w:tcBorders>
              <w:top w:val="nil"/>
              <w:left w:val="nil"/>
              <w:bottom w:val="nil"/>
              <w:right w:val="nil"/>
            </w:tcBorders>
            <w:shd w:val="clear" w:color="auto" w:fill="auto"/>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0.049</w:t>
            </w:r>
          </w:p>
        </w:tc>
        <w:tc>
          <w:tcPr>
            <w:tcW w:w="1259" w:type="dxa"/>
            <w:tcBorders>
              <w:top w:val="nil"/>
              <w:left w:val="nil"/>
              <w:bottom w:val="nil"/>
              <w:right w:val="nil"/>
            </w:tcBorders>
            <w:shd w:val="clear" w:color="auto" w:fill="auto"/>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0.069</w:t>
            </w:r>
          </w:p>
        </w:tc>
        <w:tc>
          <w:tcPr>
            <w:tcW w:w="1327" w:type="dxa"/>
            <w:tcBorders>
              <w:top w:val="nil"/>
              <w:left w:val="nil"/>
              <w:bottom w:val="nil"/>
              <w:right w:val="nil"/>
            </w:tcBorders>
            <w:shd w:val="clear" w:color="auto" w:fill="auto"/>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0.089</w:t>
            </w:r>
          </w:p>
        </w:tc>
        <w:tc>
          <w:tcPr>
            <w:tcW w:w="892" w:type="dxa"/>
            <w:tcBorders>
              <w:top w:val="nil"/>
              <w:left w:val="nil"/>
              <w:bottom w:val="nil"/>
              <w:right w:val="nil"/>
            </w:tcBorders>
            <w:shd w:val="clear" w:color="000000" w:fill="FFFF00"/>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0.063</w:t>
            </w:r>
          </w:p>
        </w:tc>
        <w:tc>
          <w:tcPr>
            <w:tcW w:w="1503" w:type="dxa"/>
            <w:tcBorders>
              <w:top w:val="nil"/>
              <w:left w:val="nil"/>
              <w:bottom w:val="nil"/>
              <w:right w:val="nil"/>
            </w:tcBorders>
            <w:shd w:val="clear" w:color="auto" w:fill="auto"/>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0.039</w:t>
            </w:r>
          </w:p>
        </w:tc>
        <w:tc>
          <w:tcPr>
            <w:tcW w:w="1123" w:type="dxa"/>
            <w:tcBorders>
              <w:top w:val="nil"/>
              <w:left w:val="nil"/>
              <w:bottom w:val="nil"/>
              <w:right w:val="nil"/>
            </w:tcBorders>
            <w:shd w:val="clear" w:color="auto" w:fill="auto"/>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0.056</w:t>
            </w:r>
          </w:p>
        </w:tc>
        <w:tc>
          <w:tcPr>
            <w:tcW w:w="905" w:type="dxa"/>
            <w:tcBorders>
              <w:top w:val="nil"/>
              <w:left w:val="nil"/>
              <w:bottom w:val="nil"/>
              <w:right w:val="nil"/>
            </w:tcBorders>
            <w:shd w:val="clear" w:color="auto" w:fill="auto"/>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0.074</w:t>
            </w:r>
          </w:p>
        </w:tc>
        <w:tc>
          <w:tcPr>
            <w:tcW w:w="852" w:type="dxa"/>
            <w:tcBorders>
              <w:top w:val="nil"/>
              <w:left w:val="nil"/>
              <w:bottom w:val="nil"/>
              <w:right w:val="nil"/>
            </w:tcBorders>
            <w:shd w:val="clear" w:color="auto" w:fill="auto"/>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0.080</w:t>
            </w:r>
          </w:p>
        </w:tc>
        <w:tc>
          <w:tcPr>
            <w:tcW w:w="1720" w:type="dxa"/>
            <w:tcBorders>
              <w:top w:val="nil"/>
              <w:left w:val="nil"/>
              <w:bottom w:val="nil"/>
              <w:right w:val="nil"/>
            </w:tcBorders>
            <w:shd w:val="clear" w:color="auto" w:fill="auto"/>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0.085</w:t>
            </w:r>
          </w:p>
        </w:tc>
        <w:tc>
          <w:tcPr>
            <w:tcW w:w="1190" w:type="dxa"/>
            <w:tcBorders>
              <w:top w:val="nil"/>
              <w:left w:val="nil"/>
              <w:bottom w:val="nil"/>
              <w:right w:val="nil"/>
            </w:tcBorders>
            <w:shd w:val="clear" w:color="auto" w:fill="auto"/>
            <w:noWrap/>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0.065</w:t>
            </w:r>
          </w:p>
        </w:tc>
      </w:tr>
      <w:tr w:rsidR="009B736C" w:rsidTr="005701E3">
        <w:trPr>
          <w:trHeight w:val="244"/>
        </w:trPr>
        <w:tc>
          <w:tcPr>
            <w:tcW w:w="1720" w:type="dxa"/>
            <w:tcBorders>
              <w:top w:val="nil"/>
              <w:left w:val="nil"/>
              <w:bottom w:val="nil"/>
              <w:right w:val="nil"/>
            </w:tcBorders>
            <w:shd w:val="clear" w:color="auto" w:fill="auto"/>
            <w:vAlign w:val="center"/>
          </w:tcPr>
          <w:p w:rsidR="009B736C" w:rsidRDefault="009B736C" w:rsidP="005701E3">
            <w:pPr>
              <w:spacing w:line="276" w:lineRule="auto"/>
              <w:jc w:val="both"/>
              <w:rPr>
                <w:rFonts w:ascii="Arial" w:hAnsi="Arial" w:cs="Arial"/>
                <w:b/>
                <w:bCs/>
                <w:color w:val="000000"/>
              </w:rPr>
            </w:pPr>
            <w:r>
              <w:rPr>
                <w:rFonts w:ascii="Arial" w:hAnsi="Arial" w:cs="Arial"/>
                <w:b/>
                <w:bCs/>
                <w:color w:val="000000"/>
              </w:rPr>
              <w:t>Population Density</w:t>
            </w:r>
          </w:p>
        </w:tc>
        <w:tc>
          <w:tcPr>
            <w:tcW w:w="1055" w:type="dxa"/>
            <w:tcBorders>
              <w:top w:val="nil"/>
              <w:left w:val="nil"/>
              <w:bottom w:val="nil"/>
              <w:right w:val="nil"/>
            </w:tcBorders>
            <w:shd w:val="clear" w:color="auto" w:fill="auto"/>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0.093</w:t>
            </w:r>
          </w:p>
        </w:tc>
        <w:tc>
          <w:tcPr>
            <w:tcW w:w="1259" w:type="dxa"/>
            <w:tcBorders>
              <w:top w:val="nil"/>
              <w:left w:val="nil"/>
              <w:bottom w:val="nil"/>
              <w:right w:val="nil"/>
            </w:tcBorders>
            <w:shd w:val="clear" w:color="auto" w:fill="auto"/>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0.065</w:t>
            </w:r>
          </w:p>
        </w:tc>
        <w:tc>
          <w:tcPr>
            <w:tcW w:w="1259" w:type="dxa"/>
            <w:tcBorders>
              <w:top w:val="nil"/>
              <w:left w:val="nil"/>
              <w:bottom w:val="nil"/>
              <w:right w:val="nil"/>
            </w:tcBorders>
            <w:shd w:val="clear" w:color="auto" w:fill="auto"/>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0.087</w:t>
            </w:r>
          </w:p>
        </w:tc>
        <w:tc>
          <w:tcPr>
            <w:tcW w:w="1327" w:type="dxa"/>
            <w:tcBorders>
              <w:top w:val="nil"/>
              <w:left w:val="nil"/>
              <w:bottom w:val="nil"/>
              <w:right w:val="nil"/>
            </w:tcBorders>
            <w:shd w:val="clear" w:color="auto" w:fill="auto"/>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0.107</w:t>
            </w:r>
          </w:p>
        </w:tc>
        <w:tc>
          <w:tcPr>
            <w:tcW w:w="892" w:type="dxa"/>
            <w:tcBorders>
              <w:top w:val="nil"/>
              <w:left w:val="nil"/>
              <w:bottom w:val="nil"/>
              <w:right w:val="nil"/>
            </w:tcBorders>
            <w:shd w:val="clear" w:color="auto" w:fill="auto"/>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0.156</w:t>
            </w:r>
          </w:p>
        </w:tc>
        <w:tc>
          <w:tcPr>
            <w:tcW w:w="1503" w:type="dxa"/>
            <w:tcBorders>
              <w:top w:val="nil"/>
              <w:left w:val="nil"/>
              <w:bottom w:val="nil"/>
              <w:right w:val="nil"/>
            </w:tcBorders>
            <w:shd w:val="clear" w:color="000000" w:fill="FFFF00"/>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0.099</w:t>
            </w:r>
          </w:p>
        </w:tc>
        <w:tc>
          <w:tcPr>
            <w:tcW w:w="1123" w:type="dxa"/>
            <w:tcBorders>
              <w:top w:val="nil"/>
              <w:left w:val="nil"/>
              <w:bottom w:val="nil"/>
              <w:right w:val="nil"/>
            </w:tcBorders>
            <w:shd w:val="clear" w:color="auto" w:fill="auto"/>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0.056</w:t>
            </w:r>
          </w:p>
        </w:tc>
        <w:tc>
          <w:tcPr>
            <w:tcW w:w="905" w:type="dxa"/>
            <w:tcBorders>
              <w:top w:val="nil"/>
              <w:left w:val="nil"/>
              <w:bottom w:val="nil"/>
              <w:right w:val="nil"/>
            </w:tcBorders>
            <w:shd w:val="clear" w:color="auto" w:fill="auto"/>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0.092</w:t>
            </w:r>
          </w:p>
        </w:tc>
        <w:tc>
          <w:tcPr>
            <w:tcW w:w="852" w:type="dxa"/>
            <w:tcBorders>
              <w:top w:val="nil"/>
              <w:left w:val="nil"/>
              <w:bottom w:val="nil"/>
              <w:right w:val="nil"/>
            </w:tcBorders>
            <w:shd w:val="clear" w:color="auto" w:fill="auto"/>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0.134</w:t>
            </w:r>
          </w:p>
        </w:tc>
        <w:tc>
          <w:tcPr>
            <w:tcW w:w="1720" w:type="dxa"/>
            <w:tcBorders>
              <w:top w:val="nil"/>
              <w:left w:val="nil"/>
              <w:bottom w:val="nil"/>
              <w:right w:val="nil"/>
            </w:tcBorders>
            <w:shd w:val="clear" w:color="auto" w:fill="auto"/>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0.102</w:t>
            </w:r>
          </w:p>
        </w:tc>
        <w:tc>
          <w:tcPr>
            <w:tcW w:w="1190" w:type="dxa"/>
            <w:tcBorders>
              <w:top w:val="nil"/>
              <w:left w:val="nil"/>
              <w:bottom w:val="nil"/>
              <w:right w:val="nil"/>
            </w:tcBorders>
            <w:shd w:val="clear" w:color="auto" w:fill="auto"/>
            <w:noWrap/>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0.099</w:t>
            </w:r>
          </w:p>
        </w:tc>
      </w:tr>
      <w:tr w:rsidR="009B736C" w:rsidTr="005701E3">
        <w:trPr>
          <w:trHeight w:val="244"/>
        </w:trPr>
        <w:tc>
          <w:tcPr>
            <w:tcW w:w="1720" w:type="dxa"/>
            <w:tcBorders>
              <w:top w:val="nil"/>
              <w:left w:val="nil"/>
              <w:bottom w:val="nil"/>
              <w:right w:val="nil"/>
            </w:tcBorders>
            <w:shd w:val="clear" w:color="auto" w:fill="auto"/>
            <w:vAlign w:val="center"/>
          </w:tcPr>
          <w:p w:rsidR="009B736C" w:rsidRDefault="009B736C" w:rsidP="005701E3">
            <w:pPr>
              <w:spacing w:line="276" w:lineRule="auto"/>
              <w:jc w:val="both"/>
              <w:rPr>
                <w:rFonts w:ascii="Arial" w:hAnsi="Arial" w:cs="Arial"/>
                <w:b/>
                <w:bCs/>
                <w:color w:val="000000"/>
              </w:rPr>
            </w:pPr>
            <w:r>
              <w:rPr>
                <w:rFonts w:ascii="Arial" w:hAnsi="Arial" w:cs="Arial"/>
                <w:b/>
                <w:bCs/>
                <w:color w:val="000000"/>
              </w:rPr>
              <w:t>Rainfall</w:t>
            </w:r>
          </w:p>
        </w:tc>
        <w:tc>
          <w:tcPr>
            <w:tcW w:w="1055" w:type="dxa"/>
            <w:tcBorders>
              <w:top w:val="nil"/>
              <w:left w:val="nil"/>
              <w:bottom w:val="nil"/>
              <w:right w:val="nil"/>
            </w:tcBorders>
            <w:shd w:val="clear" w:color="auto" w:fill="auto"/>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0.186</w:t>
            </w:r>
          </w:p>
        </w:tc>
        <w:tc>
          <w:tcPr>
            <w:tcW w:w="1259" w:type="dxa"/>
            <w:tcBorders>
              <w:top w:val="nil"/>
              <w:left w:val="nil"/>
              <w:bottom w:val="nil"/>
              <w:right w:val="nil"/>
            </w:tcBorders>
            <w:shd w:val="clear" w:color="auto" w:fill="auto"/>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0.057</w:t>
            </w:r>
          </w:p>
        </w:tc>
        <w:tc>
          <w:tcPr>
            <w:tcW w:w="1259" w:type="dxa"/>
            <w:tcBorders>
              <w:top w:val="nil"/>
              <w:left w:val="nil"/>
              <w:bottom w:val="nil"/>
              <w:right w:val="nil"/>
            </w:tcBorders>
            <w:shd w:val="clear" w:color="auto" w:fill="auto"/>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0.087</w:t>
            </w:r>
          </w:p>
        </w:tc>
        <w:tc>
          <w:tcPr>
            <w:tcW w:w="1327" w:type="dxa"/>
            <w:tcBorders>
              <w:top w:val="nil"/>
              <w:left w:val="nil"/>
              <w:bottom w:val="nil"/>
              <w:right w:val="nil"/>
            </w:tcBorders>
            <w:shd w:val="clear" w:color="auto" w:fill="auto"/>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0.107</w:t>
            </w:r>
          </w:p>
        </w:tc>
        <w:tc>
          <w:tcPr>
            <w:tcW w:w="892" w:type="dxa"/>
            <w:tcBorders>
              <w:top w:val="nil"/>
              <w:left w:val="nil"/>
              <w:bottom w:val="nil"/>
              <w:right w:val="nil"/>
            </w:tcBorders>
            <w:shd w:val="clear" w:color="auto" w:fill="auto"/>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0.125</w:t>
            </w:r>
          </w:p>
        </w:tc>
        <w:tc>
          <w:tcPr>
            <w:tcW w:w="1503" w:type="dxa"/>
            <w:tcBorders>
              <w:top w:val="nil"/>
              <w:left w:val="nil"/>
              <w:bottom w:val="nil"/>
              <w:right w:val="nil"/>
            </w:tcBorders>
            <w:shd w:val="clear" w:color="auto" w:fill="auto"/>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0.197</w:t>
            </w:r>
          </w:p>
        </w:tc>
        <w:tc>
          <w:tcPr>
            <w:tcW w:w="1123" w:type="dxa"/>
            <w:tcBorders>
              <w:top w:val="nil"/>
              <w:left w:val="nil"/>
              <w:bottom w:val="nil"/>
              <w:right w:val="nil"/>
            </w:tcBorders>
            <w:shd w:val="clear" w:color="000000" w:fill="FFFF00"/>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0.112</w:t>
            </w:r>
          </w:p>
        </w:tc>
        <w:tc>
          <w:tcPr>
            <w:tcW w:w="905" w:type="dxa"/>
            <w:tcBorders>
              <w:top w:val="nil"/>
              <w:left w:val="nil"/>
              <w:bottom w:val="nil"/>
              <w:right w:val="nil"/>
            </w:tcBorders>
            <w:shd w:val="clear" w:color="auto" w:fill="auto"/>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0.147</w:t>
            </w:r>
          </w:p>
        </w:tc>
        <w:tc>
          <w:tcPr>
            <w:tcW w:w="852" w:type="dxa"/>
            <w:tcBorders>
              <w:top w:val="nil"/>
              <w:left w:val="nil"/>
              <w:bottom w:val="nil"/>
              <w:right w:val="nil"/>
            </w:tcBorders>
            <w:shd w:val="clear" w:color="auto" w:fill="auto"/>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0.160</w:t>
            </w:r>
          </w:p>
        </w:tc>
        <w:tc>
          <w:tcPr>
            <w:tcW w:w="1720" w:type="dxa"/>
            <w:tcBorders>
              <w:top w:val="nil"/>
              <w:left w:val="nil"/>
              <w:bottom w:val="nil"/>
              <w:right w:val="nil"/>
            </w:tcBorders>
            <w:shd w:val="clear" w:color="auto" w:fill="auto"/>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0.025</w:t>
            </w:r>
          </w:p>
        </w:tc>
        <w:tc>
          <w:tcPr>
            <w:tcW w:w="1190" w:type="dxa"/>
            <w:tcBorders>
              <w:top w:val="nil"/>
              <w:left w:val="nil"/>
              <w:bottom w:val="nil"/>
              <w:right w:val="nil"/>
            </w:tcBorders>
            <w:shd w:val="clear" w:color="auto" w:fill="auto"/>
            <w:noWrap/>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0.120</w:t>
            </w:r>
          </w:p>
        </w:tc>
      </w:tr>
      <w:tr w:rsidR="009B736C" w:rsidTr="005701E3">
        <w:trPr>
          <w:trHeight w:val="244"/>
        </w:trPr>
        <w:tc>
          <w:tcPr>
            <w:tcW w:w="1720" w:type="dxa"/>
            <w:tcBorders>
              <w:top w:val="nil"/>
              <w:left w:val="nil"/>
              <w:bottom w:val="nil"/>
              <w:right w:val="nil"/>
            </w:tcBorders>
            <w:shd w:val="clear" w:color="auto" w:fill="auto"/>
            <w:vAlign w:val="center"/>
          </w:tcPr>
          <w:p w:rsidR="009B736C" w:rsidRDefault="009B736C" w:rsidP="005701E3">
            <w:pPr>
              <w:spacing w:line="276" w:lineRule="auto"/>
              <w:jc w:val="both"/>
              <w:rPr>
                <w:rFonts w:ascii="Arial" w:hAnsi="Arial" w:cs="Arial"/>
                <w:b/>
                <w:bCs/>
                <w:color w:val="000000"/>
              </w:rPr>
            </w:pPr>
            <w:r>
              <w:rPr>
                <w:rFonts w:ascii="Arial" w:hAnsi="Arial" w:cs="Arial"/>
                <w:b/>
                <w:bCs/>
                <w:color w:val="000000"/>
              </w:rPr>
              <w:t>Slope</w:t>
            </w:r>
          </w:p>
        </w:tc>
        <w:tc>
          <w:tcPr>
            <w:tcW w:w="1055" w:type="dxa"/>
            <w:tcBorders>
              <w:top w:val="nil"/>
              <w:left w:val="nil"/>
              <w:bottom w:val="nil"/>
              <w:right w:val="nil"/>
            </w:tcBorders>
            <w:shd w:val="clear" w:color="auto" w:fill="auto"/>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0.093</w:t>
            </w:r>
          </w:p>
        </w:tc>
        <w:tc>
          <w:tcPr>
            <w:tcW w:w="1259" w:type="dxa"/>
            <w:tcBorders>
              <w:top w:val="nil"/>
              <w:left w:val="nil"/>
              <w:bottom w:val="nil"/>
              <w:right w:val="nil"/>
            </w:tcBorders>
            <w:shd w:val="clear" w:color="auto" w:fill="auto"/>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0.082</w:t>
            </w:r>
          </w:p>
        </w:tc>
        <w:tc>
          <w:tcPr>
            <w:tcW w:w="1259" w:type="dxa"/>
            <w:tcBorders>
              <w:top w:val="nil"/>
              <w:left w:val="nil"/>
              <w:bottom w:val="nil"/>
              <w:right w:val="nil"/>
            </w:tcBorders>
            <w:shd w:val="clear" w:color="auto" w:fill="auto"/>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0.043</w:t>
            </w:r>
          </w:p>
        </w:tc>
        <w:tc>
          <w:tcPr>
            <w:tcW w:w="1327" w:type="dxa"/>
            <w:tcBorders>
              <w:top w:val="nil"/>
              <w:left w:val="nil"/>
              <w:bottom w:val="nil"/>
              <w:right w:val="nil"/>
            </w:tcBorders>
            <w:shd w:val="clear" w:color="auto" w:fill="auto"/>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0.064</w:t>
            </w:r>
          </w:p>
        </w:tc>
        <w:tc>
          <w:tcPr>
            <w:tcW w:w="892" w:type="dxa"/>
            <w:tcBorders>
              <w:top w:val="nil"/>
              <w:left w:val="nil"/>
              <w:bottom w:val="nil"/>
              <w:right w:val="nil"/>
            </w:tcBorders>
            <w:shd w:val="clear" w:color="auto" w:fill="auto"/>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0.063</w:t>
            </w:r>
          </w:p>
        </w:tc>
        <w:tc>
          <w:tcPr>
            <w:tcW w:w="1503" w:type="dxa"/>
            <w:tcBorders>
              <w:top w:val="nil"/>
              <w:left w:val="nil"/>
              <w:bottom w:val="nil"/>
              <w:right w:val="nil"/>
            </w:tcBorders>
            <w:shd w:val="clear" w:color="auto" w:fill="auto"/>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0.079</w:t>
            </w:r>
          </w:p>
        </w:tc>
        <w:tc>
          <w:tcPr>
            <w:tcW w:w="1123" w:type="dxa"/>
            <w:tcBorders>
              <w:top w:val="nil"/>
              <w:left w:val="nil"/>
              <w:bottom w:val="nil"/>
              <w:right w:val="nil"/>
            </w:tcBorders>
            <w:shd w:val="clear" w:color="auto" w:fill="auto"/>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0.056</w:t>
            </w:r>
          </w:p>
        </w:tc>
        <w:tc>
          <w:tcPr>
            <w:tcW w:w="905" w:type="dxa"/>
            <w:tcBorders>
              <w:top w:val="nil"/>
              <w:left w:val="nil"/>
              <w:bottom w:val="nil"/>
              <w:right w:val="nil"/>
            </w:tcBorders>
            <w:shd w:val="clear" w:color="000000" w:fill="FFFF00"/>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0.074</w:t>
            </w:r>
          </w:p>
        </w:tc>
        <w:tc>
          <w:tcPr>
            <w:tcW w:w="852" w:type="dxa"/>
            <w:tcBorders>
              <w:top w:val="nil"/>
              <w:left w:val="nil"/>
              <w:bottom w:val="nil"/>
              <w:right w:val="nil"/>
            </w:tcBorders>
            <w:shd w:val="clear" w:color="auto" w:fill="auto"/>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0.053</w:t>
            </w:r>
          </w:p>
        </w:tc>
        <w:tc>
          <w:tcPr>
            <w:tcW w:w="1720" w:type="dxa"/>
            <w:tcBorders>
              <w:top w:val="nil"/>
              <w:left w:val="nil"/>
              <w:bottom w:val="nil"/>
              <w:right w:val="nil"/>
            </w:tcBorders>
            <w:shd w:val="clear" w:color="auto" w:fill="auto"/>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0.102</w:t>
            </w:r>
          </w:p>
        </w:tc>
        <w:tc>
          <w:tcPr>
            <w:tcW w:w="1190" w:type="dxa"/>
            <w:tcBorders>
              <w:top w:val="nil"/>
              <w:left w:val="nil"/>
              <w:bottom w:val="nil"/>
              <w:right w:val="nil"/>
            </w:tcBorders>
            <w:shd w:val="clear" w:color="auto" w:fill="auto"/>
            <w:noWrap/>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0.071</w:t>
            </w:r>
          </w:p>
        </w:tc>
      </w:tr>
      <w:tr w:rsidR="009B736C" w:rsidTr="005701E3">
        <w:trPr>
          <w:trHeight w:val="244"/>
        </w:trPr>
        <w:tc>
          <w:tcPr>
            <w:tcW w:w="1720" w:type="dxa"/>
            <w:tcBorders>
              <w:top w:val="nil"/>
              <w:left w:val="nil"/>
              <w:bottom w:val="nil"/>
              <w:right w:val="nil"/>
            </w:tcBorders>
            <w:shd w:val="clear" w:color="auto" w:fill="auto"/>
            <w:vAlign w:val="center"/>
          </w:tcPr>
          <w:p w:rsidR="009B736C" w:rsidRDefault="009B736C" w:rsidP="005701E3">
            <w:pPr>
              <w:spacing w:line="276" w:lineRule="auto"/>
              <w:jc w:val="both"/>
              <w:rPr>
                <w:rFonts w:ascii="Arial" w:hAnsi="Arial" w:cs="Arial"/>
                <w:b/>
                <w:bCs/>
                <w:color w:val="000000"/>
              </w:rPr>
            </w:pPr>
            <w:r>
              <w:rPr>
                <w:rFonts w:ascii="Arial" w:hAnsi="Arial" w:cs="Arial"/>
                <w:b/>
                <w:bCs/>
                <w:color w:val="000000"/>
              </w:rPr>
              <w:t>Soil</w:t>
            </w:r>
          </w:p>
        </w:tc>
        <w:tc>
          <w:tcPr>
            <w:tcW w:w="1055" w:type="dxa"/>
            <w:tcBorders>
              <w:top w:val="nil"/>
              <w:left w:val="nil"/>
              <w:bottom w:val="nil"/>
              <w:right w:val="nil"/>
            </w:tcBorders>
            <w:shd w:val="clear" w:color="auto" w:fill="auto"/>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0.186</w:t>
            </w:r>
          </w:p>
        </w:tc>
        <w:tc>
          <w:tcPr>
            <w:tcW w:w="1259" w:type="dxa"/>
            <w:tcBorders>
              <w:top w:val="nil"/>
              <w:left w:val="nil"/>
              <w:bottom w:val="nil"/>
              <w:right w:val="nil"/>
            </w:tcBorders>
            <w:shd w:val="clear" w:color="auto" w:fill="auto"/>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0.204</w:t>
            </w:r>
          </w:p>
        </w:tc>
        <w:tc>
          <w:tcPr>
            <w:tcW w:w="1259" w:type="dxa"/>
            <w:tcBorders>
              <w:top w:val="nil"/>
              <w:left w:val="nil"/>
              <w:bottom w:val="nil"/>
              <w:right w:val="nil"/>
            </w:tcBorders>
            <w:shd w:val="clear" w:color="auto" w:fill="auto"/>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0.130</w:t>
            </w:r>
          </w:p>
        </w:tc>
        <w:tc>
          <w:tcPr>
            <w:tcW w:w="1327" w:type="dxa"/>
            <w:tcBorders>
              <w:top w:val="nil"/>
              <w:left w:val="nil"/>
              <w:bottom w:val="nil"/>
              <w:right w:val="nil"/>
            </w:tcBorders>
            <w:shd w:val="clear" w:color="auto" w:fill="auto"/>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0.160</w:t>
            </w:r>
          </w:p>
        </w:tc>
        <w:tc>
          <w:tcPr>
            <w:tcW w:w="892" w:type="dxa"/>
            <w:tcBorders>
              <w:top w:val="nil"/>
              <w:left w:val="nil"/>
              <w:bottom w:val="nil"/>
              <w:right w:val="nil"/>
            </w:tcBorders>
            <w:shd w:val="clear" w:color="auto" w:fill="auto"/>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0.125</w:t>
            </w:r>
          </w:p>
        </w:tc>
        <w:tc>
          <w:tcPr>
            <w:tcW w:w="1503" w:type="dxa"/>
            <w:tcBorders>
              <w:top w:val="nil"/>
              <w:left w:val="nil"/>
              <w:bottom w:val="nil"/>
              <w:right w:val="nil"/>
            </w:tcBorders>
            <w:shd w:val="clear" w:color="auto" w:fill="auto"/>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0.118</w:t>
            </w:r>
          </w:p>
        </w:tc>
        <w:tc>
          <w:tcPr>
            <w:tcW w:w="1123" w:type="dxa"/>
            <w:tcBorders>
              <w:top w:val="nil"/>
              <w:left w:val="nil"/>
              <w:bottom w:val="nil"/>
              <w:right w:val="nil"/>
            </w:tcBorders>
            <w:shd w:val="clear" w:color="auto" w:fill="auto"/>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0.112</w:t>
            </w:r>
          </w:p>
        </w:tc>
        <w:tc>
          <w:tcPr>
            <w:tcW w:w="905" w:type="dxa"/>
            <w:tcBorders>
              <w:top w:val="nil"/>
              <w:left w:val="nil"/>
              <w:bottom w:val="nil"/>
              <w:right w:val="nil"/>
            </w:tcBorders>
            <w:shd w:val="clear" w:color="auto" w:fill="auto"/>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0.221</w:t>
            </w:r>
          </w:p>
        </w:tc>
        <w:tc>
          <w:tcPr>
            <w:tcW w:w="852" w:type="dxa"/>
            <w:tcBorders>
              <w:top w:val="nil"/>
              <w:left w:val="nil"/>
              <w:bottom w:val="nil"/>
              <w:right w:val="nil"/>
            </w:tcBorders>
            <w:shd w:val="clear" w:color="000000" w:fill="FFFF00"/>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0.160</w:t>
            </w:r>
          </w:p>
        </w:tc>
        <w:tc>
          <w:tcPr>
            <w:tcW w:w="1720" w:type="dxa"/>
            <w:tcBorders>
              <w:top w:val="nil"/>
              <w:left w:val="nil"/>
              <w:bottom w:val="nil"/>
              <w:right w:val="nil"/>
            </w:tcBorders>
            <w:shd w:val="clear" w:color="auto" w:fill="auto"/>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0.102</w:t>
            </w:r>
          </w:p>
        </w:tc>
        <w:tc>
          <w:tcPr>
            <w:tcW w:w="1190" w:type="dxa"/>
            <w:tcBorders>
              <w:top w:val="nil"/>
              <w:left w:val="nil"/>
              <w:bottom w:val="nil"/>
              <w:right w:val="nil"/>
            </w:tcBorders>
            <w:shd w:val="clear" w:color="auto" w:fill="auto"/>
            <w:noWrap/>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0.152</w:t>
            </w:r>
          </w:p>
        </w:tc>
      </w:tr>
      <w:tr w:rsidR="009B736C" w:rsidTr="005701E3">
        <w:trPr>
          <w:trHeight w:val="244"/>
        </w:trPr>
        <w:tc>
          <w:tcPr>
            <w:tcW w:w="1720" w:type="dxa"/>
            <w:tcBorders>
              <w:top w:val="nil"/>
              <w:left w:val="nil"/>
              <w:bottom w:val="single" w:sz="4" w:space="0" w:color="auto"/>
              <w:right w:val="nil"/>
            </w:tcBorders>
            <w:shd w:val="clear" w:color="auto" w:fill="auto"/>
            <w:vAlign w:val="center"/>
          </w:tcPr>
          <w:p w:rsidR="009B736C" w:rsidRDefault="009B736C" w:rsidP="005701E3">
            <w:pPr>
              <w:spacing w:line="276" w:lineRule="auto"/>
              <w:jc w:val="both"/>
              <w:rPr>
                <w:rFonts w:ascii="Arial" w:hAnsi="Arial" w:cs="Arial"/>
                <w:b/>
                <w:bCs/>
                <w:color w:val="000000"/>
              </w:rPr>
            </w:pPr>
            <w:r>
              <w:rPr>
                <w:rFonts w:ascii="Arial" w:hAnsi="Arial" w:cs="Arial"/>
                <w:b/>
                <w:bCs/>
                <w:color w:val="000000"/>
              </w:rPr>
              <w:t>Temperature</w:t>
            </w:r>
          </w:p>
        </w:tc>
        <w:tc>
          <w:tcPr>
            <w:tcW w:w="1055" w:type="dxa"/>
            <w:tcBorders>
              <w:top w:val="nil"/>
              <w:left w:val="nil"/>
              <w:bottom w:val="single" w:sz="4" w:space="0" w:color="auto"/>
              <w:right w:val="nil"/>
            </w:tcBorders>
            <w:shd w:val="clear" w:color="auto" w:fill="auto"/>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0.125</w:t>
            </w:r>
          </w:p>
        </w:tc>
        <w:tc>
          <w:tcPr>
            <w:tcW w:w="1259" w:type="dxa"/>
            <w:tcBorders>
              <w:top w:val="nil"/>
              <w:left w:val="nil"/>
              <w:bottom w:val="single" w:sz="4" w:space="0" w:color="auto"/>
              <w:right w:val="nil"/>
            </w:tcBorders>
            <w:shd w:val="clear" w:color="auto" w:fill="auto"/>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0.245</w:t>
            </w:r>
          </w:p>
        </w:tc>
        <w:tc>
          <w:tcPr>
            <w:tcW w:w="1259" w:type="dxa"/>
            <w:tcBorders>
              <w:top w:val="nil"/>
              <w:left w:val="nil"/>
              <w:bottom w:val="single" w:sz="4" w:space="0" w:color="auto"/>
              <w:right w:val="nil"/>
            </w:tcBorders>
            <w:shd w:val="clear" w:color="auto" w:fill="auto"/>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0.087</w:t>
            </w:r>
          </w:p>
        </w:tc>
        <w:tc>
          <w:tcPr>
            <w:tcW w:w="1327" w:type="dxa"/>
            <w:tcBorders>
              <w:top w:val="nil"/>
              <w:left w:val="nil"/>
              <w:bottom w:val="single" w:sz="4" w:space="0" w:color="auto"/>
              <w:right w:val="nil"/>
            </w:tcBorders>
            <w:shd w:val="clear" w:color="auto" w:fill="auto"/>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0.032</w:t>
            </w:r>
          </w:p>
        </w:tc>
        <w:tc>
          <w:tcPr>
            <w:tcW w:w="892" w:type="dxa"/>
            <w:tcBorders>
              <w:top w:val="nil"/>
              <w:left w:val="nil"/>
              <w:bottom w:val="single" w:sz="4" w:space="0" w:color="auto"/>
              <w:right w:val="nil"/>
            </w:tcBorders>
            <w:shd w:val="clear" w:color="auto" w:fill="auto"/>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0.038</w:t>
            </w:r>
          </w:p>
        </w:tc>
        <w:tc>
          <w:tcPr>
            <w:tcW w:w="1503" w:type="dxa"/>
            <w:tcBorders>
              <w:top w:val="nil"/>
              <w:left w:val="nil"/>
              <w:bottom w:val="single" w:sz="4" w:space="0" w:color="auto"/>
              <w:right w:val="nil"/>
            </w:tcBorders>
            <w:shd w:val="clear" w:color="auto" w:fill="auto"/>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0.049</w:t>
            </w:r>
          </w:p>
        </w:tc>
        <w:tc>
          <w:tcPr>
            <w:tcW w:w="1123" w:type="dxa"/>
            <w:tcBorders>
              <w:top w:val="nil"/>
              <w:left w:val="nil"/>
              <w:bottom w:val="single" w:sz="4" w:space="0" w:color="auto"/>
              <w:right w:val="nil"/>
            </w:tcBorders>
            <w:shd w:val="clear" w:color="auto" w:fill="auto"/>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0.224</w:t>
            </w:r>
          </w:p>
        </w:tc>
        <w:tc>
          <w:tcPr>
            <w:tcW w:w="905" w:type="dxa"/>
            <w:tcBorders>
              <w:top w:val="nil"/>
              <w:left w:val="nil"/>
              <w:bottom w:val="single" w:sz="4" w:space="0" w:color="auto"/>
              <w:right w:val="nil"/>
            </w:tcBorders>
            <w:shd w:val="clear" w:color="auto" w:fill="auto"/>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0.037</w:t>
            </w:r>
          </w:p>
        </w:tc>
        <w:tc>
          <w:tcPr>
            <w:tcW w:w="852" w:type="dxa"/>
            <w:tcBorders>
              <w:top w:val="nil"/>
              <w:left w:val="nil"/>
              <w:bottom w:val="single" w:sz="4" w:space="0" w:color="auto"/>
              <w:right w:val="nil"/>
            </w:tcBorders>
            <w:shd w:val="clear" w:color="auto" w:fill="auto"/>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0.080</w:t>
            </w:r>
          </w:p>
        </w:tc>
        <w:tc>
          <w:tcPr>
            <w:tcW w:w="1720" w:type="dxa"/>
            <w:tcBorders>
              <w:top w:val="nil"/>
              <w:left w:val="nil"/>
              <w:bottom w:val="single" w:sz="4" w:space="0" w:color="auto"/>
              <w:right w:val="nil"/>
            </w:tcBorders>
            <w:shd w:val="clear" w:color="000000" w:fill="FFFF00"/>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0.051</w:t>
            </w:r>
          </w:p>
        </w:tc>
        <w:tc>
          <w:tcPr>
            <w:tcW w:w="1190" w:type="dxa"/>
            <w:tcBorders>
              <w:top w:val="nil"/>
              <w:left w:val="nil"/>
              <w:bottom w:val="single" w:sz="4" w:space="0" w:color="auto"/>
              <w:right w:val="nil"/>
            </w:tcBorders>
            <w:shd w:val="clear" w:color="auto" w:fill="auto"/>
            <w:noWrap/>
            <w:vAlign w:val="center"/>
          </w:tcPr>
          <w:p w:rsidR="009B736C" w:rsidRDefault="009B736C" w:rsidP="005701E3">
            <w:pPr>
              <w:spacing w:line="276" w:lineRule="auto"/>
              <w:jc w:val="both"/>
              <w:rPr>
                <w:rFonts w:ascii="Arial" w:hAnsi="Arial" w:cs="Arial"/>
                <w:color w:val="000000"/>
              </w:rPr>
            </w:pPr>
            <w:r>
              <w:rPr>
                <w:rFonts w:ascii="Arial" w:hAnsi="Arial" w:cs="Arial"/>
                <w:color w:val="000000"/>
              </w:rPr>
              <w:t>0.097</w:t>
            </w:r>
          </w:p>
        </w:tc>
      </w:tr>
    </w:tbl>
    <w:p w:rsidR="009B736C" w:rsidRDefault="00D34B0D" w:rsidP="009B736C">
      <w:pPr>
        <w:jc w:val="both"/>
      </w:pPr>
      <w:r>
        <w:rPr>
          <w:noProof/>
        </w:rPr>
        <w:pict>
          <v:shapetype id="_x0000_t202" coordsize="21600,21600" o:spt="202" path="m,l,21600r21600,l21600,xe">
            <v:stroke joinstyle="miter"/>
            <v:path gradientshapeok="t" o:connecttype="rect"/>
          </v:shapetype>
          <v:shape id="Text Box 4" o:spid="_x0000_s1026" type="#_x0000_t202" style="position:absolute;left:0;text-align:left;margin-left:2.4pt;margin-top:-16.2pt;width:593.4pt;height:31.8pt;z-index:25166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" filled="f" stroked="f" strokecolor="black [3213]">
            <v:textbox inset="0,0,0,0">
              <w:txbxContent>
                <w:p w:rsidR="00161F3F" w:rsidRPr="00835F37" w:rsidRDefault="00161F3F" w:rsidP="009B736C">
                  <w:pPr>
                    <w:pStyle w:val="Caption"/>
                    <w:spacing w:line="276" w:lineRule="auto"/>
                    <w:rPr>
                      <w:rFonts w:ascii="Arial" w:eastAsia="Times New Roman" w:hAnsi="Arial" w:cs="Arial"/>
                      <w:i w:val="0"/>
                      <w:iCs w:val="0"/>
                      <w:noProof/>
                      <w:color w:val="auto"/>
                      <w:kern w:val="0"/>
                      <w:sz w:val="22"/>
                      <w:szCs w:val="22"/>
                    </w:rPr>
                  </w:pPr>
                  <w:r w:rsidRPr="00835F37">
                    <w:rPr>
                      <w:rFonts w:ascii="Arial" w:eastAsia="Times New Roman" w:hAnsi="Arial" w:cs="Arial"/>
                      <w:i w:val="0"/>
                      <w:iCs w:val="0"/>
                      <w:noProof/>
                      <w:color w:val="auto"/>
                      <w:kern w:val="0"/>
                      <w:sz w:val="22"/>
                      <w:szCs w:val="22"/>
                    </w:rPr>
                    <w:t xml:space="preserve">Table 5. </w:t>
                  </w:r>
                  <w:r w:rsidRPr="00D51849">
                    <w:rPr>
                      <w:rFonts w:ascii="Arial" w:eastAsia="Times New Roman" w:hAnsi="Arial" w:cs="Arial"/>
                      <w:i w:val="0"/>
                      <w:iCs w:val="0"/>
                      <w:noProof/>
                      <w:color w:val="auto"/>
                      <w:kern w:val="0"/>
                      <w:sz w:val="22"/>
                      <w:szCs w:val="22"/>
                      <w:highlight w:val="yellow"/>
                    </w:rPr>
                    <w:t>shows the</w:t>
                  </w:r>
                  <w:r w:rsidRPr="00835F37">
                    <w:rPr>
                      <w:rFonts w:ascii="Arial" w:eastAsia="Times New Roman" w:hAnsi="Arial" w:cs="Arial"/>
                      <w:i w:val="0"/>
                      <w:iCs w:val="0"/>
                      <w:noProof/>
                      <w:color w:val="auto"/>
                      <w:kern w:val="0"/>
                      <w:sz w:val="22"/>
                      <w:szCs w:val="22"/>
                    </w:rPr>
                    <w:t xml:space="preserve"> Nomalize pairwise matrices of factors for assessment of dam risk management  with weighted values</w:t>
                  </w:r>
                </w:p>
              </w:txbxContent>
            </v:textbox>
          </v:shape>
        </w:pict>
      </w:r>
    </w:p>
    <w:p w:rsidR="009B736C" w:rsidRDefault="009B736C" w:rsidP="009B736C">
      <w:pPr>
        <w:ind w:left="720" w:firstLine="720"/>
        <w:jc w:val="both"/>
        <w:rPr>
          <w:rFonts w:ascii="Garamond" w:hAnsi="Garamond" w:cs="Calibri"/>
          <w:color w:val="000000"/>
          <w:sz w:val="24"/>
          <w:szCs w:val="24"/>
        </w:rPr>
      </w:pPr>
    </w:p>
    <w:p w:rsidR="009B736C" w:rsidRPr="00501D5E" w:rsidRDefault="00D34B0D" w:rsidP="009B736C">
      <w:pPr>
        <w:spacing w:line="276" w:lineRule="auto"/>
        <w:jc w:val="both"/>
        <w:rPr>
          <w:rFonts w:ascii="Arial" w:hAnsi="Arial" w:cs="Arial"/>
          <w:color w:val="000000"/>
        </w:rPr>
      </w:pPr>
      <w:r>
        <w:rPr>
          <w:rFonts w:ascii="Arial" w:hAnsi="Arial" w:cs="Arial"/>
          <w:noProof/>
        </w:rPr>
        <w:pict>
          <v:shape id="Text Box 3" o:spid="_x0000_s1027" type="#_x0000_t202" style="position:absolute;left:0;text-align:left;margin-left:-7.65pt;margin-top:427.45pt;width:371.25pt;height:36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" filled="f" stroked="f">
            <v:textbox inset="0,0,0,0">
              <w:txbxContent>
                <w:p w:rsidR="00161F3F" w:rsidRPr="004024B4" w:rsidRDefault="00161F3F" w:rsidP="009B736C">
                  <w:pPr>
                    <w:pStyle w:val="Caption"/>
                    <w:rPr>
                      <w:rFonts w:ascii="Garamond" w:eastAsia="Times New Roman" w:hAnsi="Garamond" w:cs="Calibri"/>
                      <w:i w:val="0"/>
                      <w:iCs w:val="0"/>
                      <w:noProof/>
                      <w:color w:val="auto"/>
                      <w:kern w:val="0"/>
                      <w:sz w:val="36"/>
                      <w:szCs w:val="36"/>
                    </w:rPr>
                  </w:pPr>
                  <w:r w:rsidRPr="004024B4">
                    <w:rPr>
                      <w:rFonts w:ascii="Garamond" w:hAnsi="Garamond"/>
                      <w:i w:val="0"/>
                      <w:iCs w:val="0"/>
                      <w:color w:val="auto"/>
                      <w:sz w:val="24"/>
                      <w:szCs w:val="24"/>
                    </w:rPr>
                    <w:t xml:space="preserve">Table </w:t>
                  </w:r>
                  <w:r w:rsidRPr="004024B4">
                    <w:rPr>
                      <w:rFonts w:ascii="Garamond" w:hAnsi="Garamond"/>
                      <w:i w:val="0"/>
                      <w:iCs w:val="0"/>
                      <w:color w:val="auto"/>
                      <w:sz w:val="24"/>
                      <w:szCs w:val="24"/>
                    </w:rPr>
                    <w:fldChar w:fldCharType="begin"/>
                  </w:r>
                  <w:r w:rsidRPr="004024B4">
                    <w:rPr>
                      <w:rFonts w:ascii="Garamond" w:hAnsi="Garamond"/>
                      <w:i w:val="0"/>
                      <w:iCs w:val="0"/>
                      <w:color w:val="auto"/>
                      <w:sz w:val="24"/>
                      <w:szCs w:val="24"/>
                    </w:rPr>
                    <w:instrText xml:space="preserve"> SEQ Table \* ARABIC </w:instrText>
                  </w:r>
                  <w:r w:rsidRPr="004024B4">
                    <w:rPr>
                      <w:rFonts w:ascii="Garamond" w:hAnsi="Garamond"/>
                      <w:i w:val="0"/>
                      <w:iCs w:val="0"/>
                      <w:color w:val="auto"/>
                      <w:sz w:val="24"/>
                      <w:szCs w:val="24"/>
                    </w:rPr>
                    <w:fldChar w:fldCharType="separate"/>
                  </w:r>
                  <w:r>
                    <w:rPr>
                      <w:rFonts w:ascii="Garamond" w:hAnsi="Garamond"/>
                      <w:i w:val="0"/>
                      <w:iCs w:val="0"/>
                      <w:noProof/>
                      <w:color w:val="auto"/>
                      <w:sz w:val="24"/>
                      <w:szCs w:val="24"/>
                    </w:rPr>
                    <w:t>6</w:t>
                  </w:r>
                  <w:r w:rsidRPr="004024B4">
                    <w:rPr>
                      <w:rFonts w:ascii="Garamond" w:hAnsi="Garamond"/>
                      <w:i w:val="0"/>
                      <w:iCs w:val="0"/>
                      <w:color w:val="auto"/>
                      <w:sz w:val="24"/>
                      <w:szCs w:val="24"/>
                    </w:rPr>
                    <w:fldChar w:fldCharType="end"/>
                  </w:r>
                  <w:r w:rsidRPr="004024B4">
                    <w:rPr>
                      <w:rFonts w:ascii="Garamond" w:hAnsi="Garamond"/>
                      <w:i w:val="0"/>
                      <w:iCs w:val="0"/>
                      <w:color w:val="auto"/>
                      <w:sz w:val="24"/>
                      <w:szCs w:val="24"/>
                    </w:rPr>
                    <w:t xml:space="preserve">. </w:t>
                  </w:r>
                  <w:r>
                    <w:rPr>
                      <w:rFonts w:ascii="Garamond" w:hAnsi="Garamond"/>
                      <w:i w:val="0"/>
                      <w:iCs w:val="0"/>
                      <w:color w:val="auto"/>
                      <w:sz w:val="24"/>
                      <w:szCs w:val="24"/>
                    </w:rPr>
                    <w:t xml:space="preserve">Illustrates the </w:t>
                  </w:r>
                  <w:r w:rsidRPr="004024B4">
                    <w:rPr>
                      <w:rFonts w:ascii="Garamond" w:hAnsi="Garamond"/>
                      <w:i w:val="0"/>
                      <w:iCs w:val="0"/>
                      <w:color w:val="auto"/>
                      <w:sz w:val="24"/>
                      <w:szCs w:val="24"/>
                    </w:rPr>
                    <w:t>Normalized pair-wise comparison matrix</w:t>
                  </w:r>
                </w:p>
              </w:txbxContent>
            </v:textbox>
          </v:shape>
        </w:pict>
      </w:r>
      <w:r>
        <w:rPr>
          <w:rFonts w:ascii="Arial" w:hAnsi="Arial" w:cs="Arial"/>
          <w:noProof/>
          <w:color w:val="000000"/>
        </w:rPr>
        <w:pict>
          <v:shape id="Text Box 2" o:spid="_x0000_s1028" type="#_x0000_t202" style="position:absolute;left:0;text-align:left;margin-left:76.5pt;margin-top:427.45pt;width:371.25pt;height:18.7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" stroked="f">
            <v:textbox>
              <w:txbxContent>
                <w:p w:rsidR="00161F3F" w:rsidRDefault="00161F3F" w:rsidP="009B736C"/>
              </w:txbxContent>
            </v:textbox>
          </v:shape>
        </w:pict>
      </w:r>
      <w:r w:rsidR="009B736C">
        <w:rPr>
          <w:rFonts w:ascii="Arial" w:hAnsi="Arial" w:cs="Arial"/>
        </w:rPr>
        <w:t>T</w:t>
      </w:r>
      <w:r w:rsidR="009B736C" w:rsidRPr="00501D5E">
        <w:rPr>
          <w:rFonts w:ascii="Arial" w:hAnsi="Arial" w:cs="Arial"/>
        </w:rPr>
        <w:t xml:space="preserve">he normalized comparison matrix was then used to figure out the </w:t>
      </w:r>
      <w:r w:rsidR="009B736C">
        <w:rPr>
          <w:rFonts w:ascii="Arial" w:hAnsi="Arial" w:cs="Arial"/>
        </w:rPr>
        <w:t>consistency</w:t>
      </w:r>
      <w:r w:rsidR="009B736C" w:rsidRPr="00501D5E">
        <w:rPr>
          <w:rFonts w:ascii="Arial" w:hAnsi="Arial" w:cs="Arial"/>
        </w:rPr>
        <w:t xml:space="preserve"> of that </w:t>
      </w:r>
      <w:r w:rsidR="009B736C">
        <w:rPr>
          <w:rFonts w:ascii="Arial" w:hAnsi="Arial" w:cs="Arial"/>
        </w:rPr>
        <w:t>pairwise</w:t>
      </w:r>
      <w:r w:rsidR="009B736C" w:rsidRPr="00501D5E">
        <w:rPr>
          <w:rFonts w:ascii="Arial" w:hAnsi="Arial" w:cs="Arial"/>
        </w:rPr>
        <w:t xml:space="preserve"> matrix, which was used to find the Consistency Index (C.I) that is obtained by finding out the Weighted Sum Values with the weighted criteria that </w:t>
      </w:r>
      <w:r w:rsidR="009B736C">
        <w:rPr>
          <w:rFonts w:ascii="Arial" w:hAnsi="Arial" w:cs="Arial"/>
        </w:rPr>
        <w:t>give</w:t>
      </w:r>
      <w:r w:rsidR="009B736C" w:rsidRPr="00501D5E">
        <w:rPr>
          <w:rFonts w:ascii="Arial" w:hAnsi="Arial" w:cs="Arial"/>
        </w:rPr>
        <w:t xml:space="preserve"> out the threshold, which is used to find the </w:t>
      </w:r>
      <w:proofErr w:type="spellStart"/>
      <w:r w:rsidR="009B736C" w:rsidRPr="00501D5E">
        <w:rPr>
          <w:rFonts w:ascii="Arial" w:hAnsi="Arial" w:cs="Arial"/>
        </w:rPr>
        <w:t>λ</w:t>
      </w:r>
      <w:r w:rsidR="009B736C" w:rsidRPr="00501D5E">
        <w:rPr>
          <w:rFonts w:ascii="Arial" w:hAnsi="Arial" w:cs="Arial"/>
          <w:vertAlign w:val="subscript"/>
        </w:rPr>
        <w:t>max</w:t>
      </w:r>
      <w:proofErr w:type="spellEnd"/>
      <w:r w:rsidR="009B736C" w:rsidRPr="00501D5E">
        <w:rPr>
          <w:rFonts w:ascii="Arial" w:hAnsi="Arial" w:cs="Arial"/>
        </w:rPr>
        <w:t>, which is 0.04.</w:t>
      </w:r>
    </w:p>
    <w:p w:rsidR="009B736C" w:rsidRPr="00501D5E" w:rsidRDefault="009B736C" w:rsidP="009B736C">
      <w:pPr>
        <w:spacing w:line="276" w:lineRule="auto"/>
        <w:jc w:val="both"/>
        <w:rPr>
          <w:rFonts w:ascii="Arial" w:hAnsi="Arial" w:cs="Arial"/>
        </w:rPr>
      </w:pPr>
      <w:r>
        <w:rPr>
          <w:rFonts w:ascii="Arial" w:hAnsi="Arial" w:cs="Arial"/>
        </w:rPr>
        <w:t>Moreover</w:t>
      </w:r>
      <w:r w:rsidRPr="00501D5E">
        <w:rPr>
          <w:rFonts w:ascii="Arial" w:hAnsi="Arial" w:cs="Arial"/>
        </w:rPr>
        <w:t xml:space="preserve">, the CR should be less than 10% (CR&lt;10%) for it to be </w:t>
      </w:r>
      <w:r>
        <w:rPr>
          <w:rFonts w:ascii="Arial" w:hAnsi="Arial" w:cs="Arial"/>
        </w:rPr>
        <w:t>consistent</w:t>
      </w:r>
      <w:r w:rsidRPr="00501D5E">
        <w:rPr>
          <w:rFonts w:ascii="Arial" w:hAnsi="Arial" w:cs="Arial"/>
        </w:rPr>
        <w:t xml:space="preserve">. As the CR was 0.06%, which is less than 10% seemed to be </w:t>
      </w:r>
      <w:r>
        <w:rPr>
          <w:rFonts w:ascii="Arial" w:hAnsi="Arial" w:cs="Arial"/>
        </w:rPr>
        <w:t>consistent</w:t>
      </w:r>
      <w:r w:rsidRPr="00501D5E">
        <w:rPr>
          <w:rFonts w:ascii="Arial" w:hAnsi="Arial" w:cs="Arial"/>
        </w:rPr>
        <w:t xml:space="preserve"> as it was less than 10%.</w:t>
      </w:r>
    </w:p>
    <w:p w:rsidR="009B736C" w:rsidRPr="00501D5E" w:rsidRDefault="009B736C" w:rsidP="009B736C">
      <w:pPr>
        <w:spacing w:line="276" w:lineRule="auto"/>
        <w:jc w:val="both"/>
        <w:rPr>
          <w:rFonts w:ascii="Arial" w:hAnsi="Arial" w:cs="Arial"/>
        </w:rPr>
        <w:sectPr w:rsidR="009B736C" w:rsidRPr="00501D5E" w:rsidSect="00BF5C96">
          <w:pgSz w:w="16838" w:h="11906" w:orient="landscape"/>
          <w:pgMar w:top="1440" w:right="1440" w:bottom="1440" w:left="1440" w:header="708" w:footer="708" w:gutter="0"/>
          <w:cols w:space="708"/>
          <w:docGrid w:linePitch="360"/>
        </w:sectPr>
      </w:pPr>
      <w:r w:rsidRPr="00501D5E">
        <w:rPr>
          <w:rFonts w:ascii="Arial" w:hAnsi="Arial" w:cs="Arial"/>
        </w:rPr>
        <w:t xml:space="preserve">The generation of the final </w:t>
      </w:r>
      <w:r w:rsidR="0074664D" w:rsidRPr="00501D5E">
        <w:rPr>
          <w:rFonts w:ascii="Arial" w:hAnsi="Arial" w:cs="Arial"/>
        </w:rPr>
        <w:t>map was</w:t>
      </w:r>
      <w:r w:rsidRPr="00501D5E">
        <w:rPr>
          <w:rFonts w:ascii="Arial" w:hAnsi="Arial" w:cs="Arial"/>
        </w:rPr>
        <w:t xml:space="preserve"> performed in </w:t>
      </w:r>
      <w:r w:rsidR="0074664D" w:rsidRPr="00501D5E">
        <w:rPr>
          <w:rFonts w:ascii="Arial" w:hAnsi="Arial" w:cs="Arial"/>
        </w:rPr>
        <w:t>Arc Map</w:t>
      </w:r>
      <w:r w:rsidRPr="00501D5E">
        <w:rPr>
          <w:rFonts w:ascii="Arial" w:hAnsi="Arial" w:cs="Arial"/>
        </w:rPr>
        <w:t xml:space="preserve"> by overlaying all the influencing risk conditions regarding the dam safety with various criteria, reasonable level as the indication of the pairwise comparison matrix, in which each factor was given a percentage according to the degree of the importance. </w:t>
      </w:r>
      <w:r w:rsidRPr="005701E3">
        <w:rPr>
          <w:rFonts w:ascii="Arial" w:hAnsi="Arial" w:cs="Arial"/>
          <w:shd w:val="clear" w:color="auto" w:fill="FFFF00"/>
        </w:rPr>
        <w:t>The final map was classed into three classes high risks, moderate risks and low risks.</w:t>
      </w:r>
    </w:p>
    <w:p w:rsidR="008158D5" w:rsidRPr="003B34D8" w:rsidRDefault="008158D5" w:rsidP="008158D5">
      <w:pPr>
        <w:spacing w:line="276" w:lineRule="auto"/>
        <w:jc w:val="both"/>
        <w:rPr>
          <w:rFonts w:ascii="Arial" w:hAnsi="Arial" w:cs="Arial"/>
        </w:rPr>
      </w:pPr>
    </w:p>
    <w:p w:rsidR="008158D5" w:rsidRPr="008158D5" w:rsidRDefault="008158D5" w:rsidP="008158D5"/>
    <w:p w:rsidR="00790ADA" w:rsidRPr="00FB3A86" w:rsidRDefault="00790ADA" w:rsidP="00441B6F">
      <w:pPr>
        <w:pStyle w:val="Body"/>
        <w:spacing w:after="0"/>
        <w:rPr>
          <w:rFonts w:ascii="Arial" w:hAnsi="Arial" w:cs="Arial"/>
        </w:rPr>
      </w:pPr>
    </w:p>
    <w:p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rsidR="00790ADA" w:rsidRPr="00FB3A86" w:rsidRDefault="00D34B0D" w:rsidP="00441B6F">
      <w:pPr>
        <w:pStyle w:val="ConcHead"/>
        <w:spacing w:after="0"/>
        <w:jc w:val="both"/>
        <w:rPr>
          <w:rFonts w:ascii="Arial" w:hAnsi="Arial" w:cs="Arial"/>
        </w:rPr>
      </w:pPr>
      <w:r>
        <w:rPr>
          <w:rFonts w:ascii="Arial" w:hAnsi="Arial" w:cs="Arial"/>
          <w:noProof/>
        </w:rPr>
        <w:pict>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_x0000_s1032" type="#_x0000_t85" style="position:absolute;left:0;text-align:left;margin-left:-19.8pt;margin-top:9.35pt;width:11.4pt;height:377.4pt;z-index:251663360" strokecolor="#00c" strokeweight="3pt"/>
        </w:pict>
      </w:r>
    </w:p>
    <w:p w:rsidR="002F2617" w:rsidRPr="00501D5E" w:rsidRDefault="002F2617" w:rsidP="002F2617">
      <w:pPr>
        <w:spacing w:line="276" w:lineRule="auto"/>
        <w:jc w:val="both"/>
        <w:rPr>
          <w:rFonts w:ascii="Arial" w:hAnsi="Arial" w:cs="Arial"/>
        </w:rPr>
      </w:pPr>
      <w:r w:rsidRPr="00501D5E">
        <w:rPr>
          <w:rFonts w:ascii="Arial" w:hAnsi="Arial" w:cs="Arial"/>
        </w:rPr>
        <w:t xml:space="preserve">Ensuring the safety and reliability of dams is of paramount importance, given their critical role in water resource management and infrastructure support. </w:t>
      </w:r>
      <w:r>
        <w:rPr>
          <w:rFonts w:ascii="Arial" w:hAnsi="Arial" w:cs="Arial"/>
        </w:rPr>
        <w:t>A comprehensive</w:t>
      </w:r>
      <w:r w:rsidRPr="00501D5E">
        <w:rPr>
          <w:rFonts w:ascii="Arial" w:hAnsi="Arial" w:cs="Arial"/>
        </w:rPr>
        <w:t xml:space="preserve"> evaluation of dam conditions in compliance with risk management practices is essential for safeguarding public safety and protecting downstream environments. Statistical data underscores the urgency and significance of this evaluation process </w:t>
      </w:r>
      <w:r w:rsidR="00C050EB" w:rsidRPr="00501D5E">
        <w:rPr>
          <w:rFonts w:ascii="Arial" w:hAnsi="Arial" w:cs="Arial"/>
        </w:rPr>
        <w:fldChar w:fldCharType="begin" w:fldLock="1"/>
      </w:r>
      <w:r>
        <w:rPr>
          <w:rFonts w:ascii="Arial" w:hAnsi="Arial" w:cs="Arial"/>
        </w:rPr>
        <w:instrText>ADDIN CSL_CITATION {"citationItems":[{"id":"ITEM-1","itemData":{"author":[{"dropping-particle":"","family":"Bowles","given":"David S","non-dropping-particle":"","parse-names":false,"suffix":""},{"dropping-particle":"","family":"Anderson","given":"Loren R","non-dropping-particle":"","parse-names":false,"suffix":""},{"dropping-particle":"","family":"Glover","given":"Terry F","non-dropping-particle":"","parse-names":false,"suffix":""}],"id":"ITEM-1","issue":"June","issued":{"date-parts":[["1997"]]},"title":"A Role for Risk Assessment in Dam Safety Management","type":"article-journal"},"uris":["http://www.mendeley.com/documents/?uuid=5d206c79-c904-4e15-847c-027cddd4c4b1","http://www.mendeley.com/documents/?uuid=c448d95d-7676-4ee1-a96f-8165178d9384"]}],"mendeley":{"formattedCitation":"(Bowles et al., 1997)","plainTextFormattedCitation":"(Bowles et al., 1997)","previouslyFormattedCitation":"(Bowles et al., 1997)"},"properties":{"noteIndex":0},"schema":"https://github.com/citation-style-language/schema/raw/master/csl-citation.json"}</w:instrText>
      </w:r>
      <w:r w:rsidR="00C050EB" w:rsidRPr="00501D5E">
        <w:rPr>
          <w:rFonts w:ascii="Arial" w:hAnsi="Arial" w:cs="Arial"/>
        </w:rPr>
        <w:fldChar w:fldCharType="separate"/>
      </w:r>
      <w:r w:rsidRPr="00501D5E">
        <w:rPr>
          <w:rFonts w:ascii="Arial" w:hAnsi="Arial" w:cs="Arial"/>
          <w:noProof/>
        </w:rPr>
        <w:t>(Bowles et al., 1997)</w:t>
      </w:r>
      <w:r w:rsidR="00C050EB" w:rsidRPr="00501D5E">
        <w:rPr>
          <w:rFonts w:ascii="Arial" w:hAnsi="Arial" w:cs="Arial"/>
        </w:rPr>
        <w:fldChar w:fldCharType="end"/>
      </w:r>
      <w:r w:rsidRPr="00501D5E">
        <w:rPr>
          <w:rFonts w:ascii="Arial" w:hAnsi="Arial" w:cs="Arial"/>
        </w:rPr>
        <w:t xml:space="preserve">. The statistics revealed that more than 2,300 dams in the United States were deficient and posed an elevated risk of failure </w:t>
      </w:r>
      <w:r w:rsidR="00C050EB" w:rsidRPr="00501D5E">
        <w:rPr>
          <w:rFonts w:ascii="Arial" w:hAnsi="Arial" w:cs="Arial"/>
        </w:rPr>
        <w:fldChar w:fldCharType="begin" w:fldLock="1"/>
      </w:r>
      <w:r>
        <w:rPr>
          <w:rFonts w:ascii="Arial" w:hAnsi="Arial" w:cs="Arial"/>
        </w:rPr>
        <w:instrText>ADDIN CSL_CITATION {"citationItems":[{"id":"ITEM-1","itemData":{"DOI":"10.1007/978-981-15-1971-0","ISBN":"9789811519710","author":[{"dropping-particle":"","family":"Donnelly","given":"C Richard","non-dropping-particle":"","parse-names":false,"suffix":""},{"dropping-particle":"","family":"Consulting","given":"C Richard Donnelly","non-dropping-particle":"","parse-names":false,"suffix":""}],"id":"ITEM-1","issue":"April","issued":{"date-parts":[["2020"]]},"title":"A Discussion on the Evolution and Application of Quantitative Risk Informed Dam Safety Decision Making A Discussion on the Evolution and Application of Quantitative Risk Informed Dam Safety Decision Making","type":"article-journal"},"uris":["http://www.mendeley.com/documents/?uuid=c18d0243-e267-4860-a5e0-d9fc6d794c5f","http://www.mendeley.com/documents/?uuid=cf000e31-c5f7-4562-ab69-1f848c3076af"]}],"mendeley":{"formattedCitation":"(Donnelly &amp; Consulting, 2020)","plainTextFormattedCitation":"(Donnelly &amp; Consulting, 2020)","previouslyFormattedCitation":"(Donnelly &amp; Consulting, 2020)"},"properties":{"noteIndex":0},"schema":"https://github.com/citation-style-language/schema/raw/master/csl-citation.json"}</w:instrText>
      </w:r>
      <w:r w:rsidR="00C050EB" w:rsidRPr="00501D5E">
        <w:rPr>
          <w:rFonts w:ascii="Arial" w:hAnsi="Arial" w:cs="Arial"/>
        </w:rPr>
        <w:fldChar w:fldCharType="separate"/>
      </w:r>
      <w:r w:rsidRPr="00501D5E">
        <w:rPr>
          <w:rFonts w:ascii="Arial" w:hAnsi="Arial" w:cs="Arial"/>
          <w:noProof/>
        </w:rPr>
        <w:t>(Donnelly &amp; Consulting, 2020)</w:t>
      </w:r>
      <w:r w:rsidR="00C050EB" w:rsidRPr="00501D5E">
        <w:rPr>
          <w:rFonts w:ascii="Arial" w:hAnsi="Arial" w:cs="Arial"/>
        </w:rPr>
        <w:fldChar w:fldCharType="end"/>
      </w:r>
      <w:r w:rsidRPr="00501D5E">
        <w:rPr>
          <w:rFonts w:ascii="Arial" w:hAnsi="Arial" w:cs="Arial"/>
        </w:rPr>
        <w:t>. This underscores the need for a rigorous and systematic evaluation of dam conditions to prioritize maintenance and upgrades where necessary (American Society of Civil Engineers, 2021).</w:t>
      </w:r>
    </w:p>
    <w:p w:rsidR="002F2617" w:rsidRPr="00501D5E" w:rsidRDefault="002F2617" w:rsidP="002F2617">
      <w:pPr>
        <w:spacing w:line="276" w:lineRule="auto"/>
        <w:jc w:val="both"/>
        <w:rPr>
          <w:rFonts w:ascii="Arial" w:hAnsi="Arial" w:cs="Arial"/>
        </w:rPr>
      </w:pPr>
      <w:r w:rsidRPr="00501D5E">
        <w:rPr>
          <w:rFonts w:ascii="Arial" w:hAnsi="Arial" w:cs="Arial"/>
        </w:rPr>
        <w:t>AHP models facilitate a comprehensive evaluation of dam conditions by systematically breaking down complex risk factors into a hierarchy of criteria and sub-criteria. For instance, structural integrity, hydrological conditions, environmental impact, socio-economic factors, and regulatory compliance can all be dissected into further sub-categories. This hierarchical approach enables stakeholders to discern not only which factors contribute to risk but also the degree of their influence, thus allowing for more targeted risk management strategies.</w:t>
      </w:r>
    </w:p>
    <w:p w:rsidR="002F2617" w:rsidRDefault="002F2617" w:rsidP="002F2617">
      <w:pPr>
        <w:spacing w:line="276" w:lineRule="auto"/>
        <w:jc w:val="both"/>
        <w:rPr>
          <w:rFonts w:ascii="Arial" w:hAnsi="Arial" w:cs="Arial"/>
        </w:rPr>
      </w:pPr>
      <w:r w:rsidRPr="00501D5E">
        <w:rPr>
          <w:rFonts w:ascii="Arial" w:hAnsi="Arial" w:cs="Arial"/>
        </w:rPr>
        <w:t xml:space="preserve">Recent studies analyzed the risk factors affecting dam safety across various regions, </w:t>
      </w:r>
      <w:r>
        <w:rPr>
          <w:rFonts w:ascii="Arial" w:hAnsi="Arial" w:cs="Arial"/>
        </w:rPr>
        <w:t xml:space="preserve">and </w:t>
      </w:r>
      <w:r w:rsidRPr="00501D5E">
        <w:rPr>
          <w:rFonts w:ascii="Arial" w:hAnsi="Arial" w:cs="Arial"/>
        </w:rPr>
        <w:t xml:space="preserve">AHP was employed to prioritize criteria such as structural stability, environmental sensitivity, and socio-economic impact. The results revealed </w:t>
      </w:r>
      <w:r w:rsidRPr="00D51849">
        <w:rPr>
          <w:rFonts w:ascii="Arial" w:hAnsi="Arial" w:cs="Arial"/>
          <w:highlight w:val="yellow"/>
        </w:rPr>
        <w:t>that structural stability was given the highest weight (53.4%)</w:t>
      </w:r>
      <w:r w:rsidRPr="00501D5E">
        <w:rPr>
          <w:rFonts w:ascii="Arial" w:hAnsi="Arial" w:cs="Arial"/>
        </w:rPr>
        <w:t xml:space="preserve">, followed by environmental sensitivity (26.8%) and socio-economic impact (19.8%). This prioritization helps allocate resources more efficiently, with a focus on the factors contributing most significantly to risk. Such data-driven decision-making can lead to cost-effective risk management efforts. Furthermore, the inclusion of socio-economic considerations in the AHP model acknowledges the downstream communities' vulnerability in the event of a dam failure </w:t>
      </w:r>
      <w:r w:rsidR="00C050EB" w:rsidRPr="00501D5E">
        <w:rPr>
          <w:rFonts w:ascii="Arial" w:hAnsi="Arial" w:cs="Arial"/>
        </w:rPr>
        <w:fldChar w:fldCharType="begin" w:fldLock="1"/>
      </w:r>
      <w:r>
        <w:rPr>
          <w:rFonts w:ascii="Arial" w:hAnsi="Arial" w:cs="Arial"/>
        </w:rPr>
        <w:instrText>ADDIN CSL_CITATION {"citationItems":[{"id":"ITEM-1","itemData":{"DOI":"10.1080/10807039.2013.821905","ISSN":"15497860","abstract":"ABSTRACT: This study was conducted to identify environmental and human health risks caused by Balarood Dam, in construction phrase. The first step, all risk-generating factors were identified using a Delphi Questionnaire. Afterwards, the identified criteria were prioritized once using the Analytical Hierarchy Process (AHP) method and then by the Technique for Order of Preference by Similarity to Ideal Solution (TOPSIS). Due to the complex and uncertain nature of decision-making in times of risk, it was necessary to use more than one weighting method to ensure accuracy of weights. The results from AHP and TOPSIS revealed a mismatch in priorities; therefore, an integration method was presented blending Mean-Rank, Borda, and Copeland methods. According to the TOPSIS results, factors including cut and fill, explosion, and transportation, were first to third highest-priority risk-generating factors, respectively. Considering the results from the AHP method, factors cut and fill, drilling, and explosion were identified as first to third top-priority risk-generating factors, respectively. The results obtained from the integration method suggested that cut and fill, explosion, and drilling are the most important environmental risks at construction phase. As a general conclusion, different weighting methods can lead to different results by which the fate of a decision may be changed and it is essential to control final scores by applying more than one weighting method.","author":[{"dropping-particle":"","family":"Jozi","given":"Seyed Ali","non-dropping-particle":"","parse-names":false,"suffix":""},{"dropping-particle":"","family":"Shoshtary","given":"Mehrnoush Tabib","non-dropping-particle":"","parse-names":false,"suffix":""},{"dropping-particle":"","family":"Zadeh","given":"Ali Reza Khayat","non-dropping-particle":"","parse-names":false,"suffix":""}],"container-title":"Human and Ecological Risk Assessment","id":"ITEM-1","issue":"1","issued":{"date-parts":[["2015"]]},"page":"1-16","title":"Environmental Risk Assessment of Dams in Construction Phase Using a Multi-Criteria Decision-Making (MCDM) Method","type":"article-journal","volume":"21"},"uris":["http://www.mendeley.com/documents/?uuid=3aaa8cbb-e191-4531-b19f-496d3e30f063","http://www.mendeley.com/documents/?uuid=b3cbce1a-1396-454a-9ff6-0cb26526ada3"]}],"mendeley":{"formattedCitation":"(Jozi et al., 2015)","plainTextFormattedCitation":"(Jozi et al., 2015)","previouslyFormattedCitation":"(Jozi et al., 2015)"},"properties":{"noteIndex":0},"schema":"https://github.com/citation-style-language/schema/raw/master/csl-citation.json"}</w:instrText>
      </w:r>
      <w:r w:rsidR="00C050EB" w:rsidRPr="00501D5E">
        <w:rPr>
          <w:rFonts w:ascii="Arial" w:hAnsi="Arial" w:cs="Arial"/>
        </w:rPr>
        <w:fldChar w:fldCharType="separate"/>
      </w:r>
      <w:r w:rsidRPr="00501D5E">
        <w:rPr>
          <w:rFonts w:ascii="Arial" w:hAnsi="Arial" w:cs="Arial"/>
          <w:noProof/>
        </w:rPr>
        <w:t>(Jozi et al., 2015)</w:t>
      </w:r>
      <w:r w:rsidR="00C050EB" w:rsidRPr="00501D5E">
        <w:rPr>
          <w:rFonts w:ascii="Arial" w:hAnsi="Arial" w:cs="Arial"/>
        </w:rPr>
        <w:fldChar w:fldCharType="end"/>
      </w:r>
      <w:r w:rsidRPr="00501D5E">
        <w:rPr>
          <w:rFonts w:ascii="Arial" w:hAnsi="Arial" w:cs="Arial"/>
        </w:rPr>
        <w:t>. Figures from the International Commission on Large Dams (ICOLD) show that the number of people living in areas potentially affected by dam failures has increased significantly in recent years. With the AHP approach, such demographic trends can be incorporated into the risk assessment process, allowing for better-informed decisions and resource allocation that prioritize public safety.</w:t>
      </w:r>
    </w:p>
    <w:p w:rsidR="002F2617" w:rsidRPr="00501D5E" w:rsidRDefault="002F2617" w:rsidP="002F2617">
      <w:pPr>
        <w:spacing w:line="276" w:lineRule="auto"/>
        <w:jc w:val="both"/>
        <w:rPr>
          <w:rFonts w:ascii="Arial" w:hAnsi="Arial" w:cs="Arial"/>
        </w:rPr>
      </w:pPr>
    </w:p>
    <w:p w:rsidR="002F2617" w:rsidRDefault="002F2617" w:rsidP="002F2617">
      <w:pPr>
        <w:spacing w:line="276" w:lineRule="auto"/>
        <w:ind w:left="360"/>
        <w:jc w:val="both"/>
        <w:rPr>
          <w:rFonts w:ascii="Arial" w:hAnsi="Arial" w:cs="Arial"/>
          <w:b/>
        </w:rPr>
      </w:pPr>
      <w:r w:rsidRPr="006C4366">
        <w:rPr>
          <w:rFonts w:ascii="Arial" w:hAnsi="Arial" w:cs="Arial"/>
          <w:b/>
          <w:bCs/>
        </w:rPr>
        <w:t xml:space="preserve">4.1 </w:t>
      </w:r>
      <w:r w:rsidRPr="006C4366">
        <w:rPr>
          <w:rFonts w:ascii="Arial" w:hAnsi="Arial" w:cs="Arial"/>
          <w:b/>
        </w:rPr>
        <w:t>Tanzania's Dam Infrastructure Landscape:</w:t>
      </w:r>
    </w:p>
    <w:p w:rsidR="002F2617" w:rsidRPr="006C4366" w:rsidRDefault="002F2617" w:rsidP="002F2617">
      <w:pPr>
        <w:spacing w:line="276" w:lineRule="auto"/>
        <w:ind w:left="360"/>
        <w:jc w:val="both"/>
        <w:rPr>
          <w:rFonts w:ascii="Arial" w:hAnsi="Arial" w:cs="Arial"/>
          <w:b/>
        </w:rPr>
      </w:pPr>
    </w:p>
    <w:p w:rsidR="002F2617" w:rsidRPr="00501D5E" w:rsidRDefault="002F2617" w:rsidP="002F2617">
      <w:pPr>
        <w:spacing w:line="276" w:lineRule="auto"/>
        <w:jc w:val="both"/>
        <w:rPr>
          <w:rFonts w:ascii="Arial" w:hAnsi="Arial" w:cs="Arial"/>
        </w:rPr>
      </w:pPr>
      <w:r w:rsidRPr="00501D5E">
        <w:rPr>
          <w:rFonts w:ascii="Arial" w:hAnsi="Arial" w:cs="Arial"/>
        </w:rPr>
        <w:t xml:space="preserve">Tanzania boasts a significant number of dams, primarily used for water storage, irrigation, and hydropower generation. As of my last knowledge update in September 2021, the National Irrigation Commission reported over 127 dams for irrigation and water resource management. Furthermore, the country is actively pursuing hydroelectric power projects such as the Julius Nyerere Hydropower Station </w:t>
      </w:r>
      <w:r w:rsidR="00C050EB" w:rsidRPr="00501D5E">
        <w:rPr>
          <w:rFonts w:ascii="Arial" w:hAnsi="Arial" w:cs="Arial"/>
        </w:rPr>
        <w:fldChar w:fldCharType="begin" w:fldLock="1"/>
      </w:r>
      <w:r>
        <w:rPr>
          <w:rFonts w:ascii="Arial" w:hAnsi="Arial" w:cs="Arial"/>
        </w:rPr>
        <w:instrText>ADDIN CSL_CITATION {"citationItems":[{"id":"ITEM-1","itemData":{"author":[{"dropping-particle":"","family":"Hoag","given":"Heather J","non-dropping-particle":"","parse-names":false,"suffix":""},{"dropping-particle":"","family":"Ohman","given":"May-britt","non-dropping-particle":"","parse-names":false,"suffix":""}],"id":"ITEM-1","issue":"3","issued":{"date-parts":[["2023"]]},"page":"624-651","title":"Turning Water into Power : Debates over the Development of Tanzania ' s Rufiji River Basin , Author ( s ): Heather J . Hoag and May-Britt Öhman Source : Technology and Culture , Vol . 49 , No . 3 , Water ( Jul ., 2008 ), pp . 624-651 Published by : The Jo","type":"article-journal","volume":"49"},"uris":["http://www.mendeley.com/documents/?uuid=99ee621d-da4f-44b9-b5ed-27b6c1466fc3","http://www.mendeley.com/documents/?uuid=219e249b-14f9-428d-98a9-0262d99b5e38"]}],"mendeley":{"formattedCitation":"(Hoag &amp; Ohman, 2023)","plainTextFormattedCitation":"(Hoag &amp; Ohman, 2023)","previouslyFormattedCitation":"(Hoag &amp; Ohman, 2023)"},"properties":{"noteIndex":0},"schema":"https://github.com/citation-style-language/schema/raw/master/csl-citation.json"}</w:instrText>
      </w:r>
      <w:r w:rsidR="00C050EB" w:rsidRPr="00501D5E">
        <w:rPr>
          <w:rFonts w:ascii="Arial" w:hAnsi="Arial" w:cs="Arial"/>
        </w:rPr>
        <w:fldChar w:fldCharType="separate"/>
      </w:r>
      <w:r w:rsidRPr="00501D5E">
        <w:rPr>
          <w:rFonts w:ascii="Arial" w:hAnsi="Arial" w:cs="Arial"/>
          <w:noProof/>
        </w:rPr>
        <w:t>(Hoag &amp; Ohman, 2023)</w:t>
      </w:r>
      <w:r w:rsidR="00C050EB" w:rsidRPr="00501D5E">
        <w:rPr>
          <w:rFonts w:ascii="Arial" w:hAnsi="Arial" w:cs="Arial"/>
        </w:rPr>
        <w:fldChar w:fldCharType="end"/>
      </w:r>
      <w:r w:rsidRPr="00501D5E">
        <w:rPr>
          <w:rFonts w:ascii="Arial" w:hAnsi="Arial" w:cs="Arial"/>
        </w:rPr>
        <w:t xml:space="preserve">. With an increasing reliance on dams, it becomes imperative to rigorously evaluate and manage dam safety to mitigate risks and ensure the safety of downstream communities </w:t>
      </w:r>
      <w:r w:rsidR="00C050EB" w:rsidRPr="00501D5E">
        <w:rPr>
          <w:rFonts w:ascii="Arial" w:hAnsi="Arial" w:cs="Arial"/>
        </w:rPr>
        <w:fldChar w:fldCharType="begin" w:fldLock="1"/>
      </w:r>
      <w:r>
        <w:rPr>
          <w:rFonts w:ascii="Arial" w:hAnsi="Arial" w:cs="Arial"/>
        </w:rPr>
        <w:instrText>ADDIN CSL_CITATION {"citationItems":[{"id":"ITEM-1","itemData":{"DOI":"10.4314/tjs.v48i1.16","ISSN":"0856-1761","abstract":"Little Ruaha catchment has been recognized for its potential to support multi-projects including irrigated schemes, urban water supply and providing significant inflow to Mtera reservoir for hydropower generation and ultimately Julius Nyerere Hydropower Plant (JNHPP).  Despite the potential, the catchment has experienced declining flows in the recent years. This study assessed the likely changes in streamflow due to future climate change in the Little Ruaha catchment for the period 2025-2060. General Circulation Model (GCM) datasets from ACCESS1.0, CNRM-CM5 and BCC-CSM1 models and RCP4.5 and RCP8.5 greenhouse gas concentration scenarios were selected as the representative scenarios. Impact of climate change on stream flows was assessed using the calibrated NAM hydrological model. The impact assessment results show that under the climate change scenario (2025–2060), the monthly maximum and minimum temperatures will increase in the range of 0.8 °C to 2 °C for both RCP4.5 and RCP8.5 scenarios. For the case of rainfall, average annual rainfall is expected to increase by about 10% compared to the baseline. However, the inter-annual variability of rainfall for the period between 2025 and 2060 shows the decreasing trend for RCP 8.5. The simulation results show that streamflow will decrease by about 30% and 6% for RCP4.5 and RCP8.5, respectively.\r Keywords: Hydrological modelling; climate change scenarios; hydrological impacts; Little Ruaha.","author":[{"dropping-particle":"","family":"Nobert","given":"Joel","non-dropping-particle":"","parse-names":false,"suffix":""}],"container-title":"Tanzania Journal of Science","id":"ITEM-1","issue":"1","issued":{"date-parts":[["2022"]]},"page":"170-184","title":"Assessment of the Impact of Climate Change on Stream Flow: The Case of Little Ruaha Catchment, Rufiji Basin, Tanzania","type":"article-journal","volume":"48"},"uris":["http://www.mendeley.com/documents/?uuid=33705fb7-ee67-4cb8-a63c-c56039d2a42b","http://www.mendeley.com/documents/?uuid=5bb1a835-db36-4b72-9ed1-f5afb83ba8bf"]}],"mendeley":{"formattedCitation":"(Nobert, 2022)","plainTextFormattedCitation":"(Nobert, 2022)","previouslyFormattedCitation":"(Nobert, 2022)"},"properties":{"noteIndex":0},"schema":"https://github.com/citation-style-language/schema/raw/master/csl-citation.json"}</w:instrText>
      </w:r>
      <w:r w:rsidR="00C050EB" w:rsidRPr="00501D5E">
        <w:rPr>
          <w:rFonts w:ascii="Arial" w:hAnsi="Arial" w:cs="Arial"/>
        </w:rPr>
        <w:fldChar w:fldCharType="separate"/>
      </w:r>
      <w:r w:rsidRPr="00501D5E">
        <w:rPr>
          <w:rFonts w:ascii="Arial" w:hAnsi="Arial" w:cs="Arial"/>
          <w:noProof/>
        </w:rPr>
        <w:t>(Nobert, 2022)</w:t>
      </w:r>
      <w:r w:rsidR="00C050EB" w:rsidRPr="00501D5E">
        <w:rPr>
          <w:rFonts w:ascii="Arial" w:hAnsi="Arial" w:cs="Arial"/>
        </w:rPr>
        <w:fldChar w:fldCharType="end"/>
      </w:r>
      <w:r w:rsidRPr="00501D5E">
        <w:rPr>
          <w:rFonts w:ascii="Arial" w:hAnsi="Arial" w:cs="Arial"/>
        </w:rPr>
        <w:t>.</w:t>
      </w:r>
    </w:p>
    <w:p w:rsidR="002F2617" w:rsidRDefault="002F2617" w:rsidP="002F2617">
      <w:pPr>
        <w:spacing w:line="276" w:lineRule="auto"/>
        <w:jc w:val="both"/>
        <w:rPr>
          <w:rFonts w:ascii="Arial" w:hAnsi="Arial" w:cs="Arial"/>
        </w:rPr>
      </w:pPr>
      <w:r w:rsidRPr="00501D5E">
        <w:rPr>
          <w:rFonts w:ascii="Arial" w:hAnsi="Arial" w:cs="Arial"/>
        </w:rPr>
        <w:t xml:space="preserve">Tanzania, like many countries, faces unique challenges concerning dam safety. Variability in hydrological conditions due to changing rainfall patterns and climate change, coupled with population growth in downstream areas, has increased the complexity of dam safety </w:t>
      </w:r>
      <w:r w:rsidRPr="00501D5E">
        <w:rPr>
          <w:rFonts w:ascii="Arial" w:hAnsi="Arial" w:cs="Arial"/>
        </w:rPr>
        <w:lastRenderedPageBreak/>
        <w:t xml:space="preserve">management. This makes a structured approach, such as AHP, invaluable for assessing the multifaceted factors impacting dam safety </w:t>
      </w:r>
      <w:r w:rsidR="00C050EB" w:rsidRPr="00501D5E">
        <w:rPr>
          <w:rFonts w:ascii="Arial" w:hAnsi="Arial" w:cs="Arial"/>
        </w:rPr>
        <w:fldChar w:fldCharType="begin" w:fldLock="1"/>
      </w:r>
      <w:r>
        <w:rPr>
          <w:rFonts w:ascii="Arial" w:hAnsi="Arial" w:cs="Arial"/>
        </w:rPr>
        <w:instrText>ADDIN CSL_CITATION {"citationItems":[{"id":"ITEM-1","itemData":{"author":[{"dropping-particle":"","family":"Deshpande","given":"R. S.","non-dropping-particle":"","parse-names":false,"suffix":""},{"dropping-particle":"","family":"Narayanamoorthy","given":"A.","non-dropping-particle":"","parse-names":false,"suffix":""}],"id":"ITEM-1","issue":"12","issued":{"date-parts":[["2001"]]},"page":"1034-1043","title":"Economic and Political Weekly Issues before Second Irrigation Commission of Maharashtra","type":"article-journal","volume":"36"},"uris":["http://www.mendeley.com/documents/?uuid=2e468402-1bdc-4a5b-b33a-d75867135ab7","http://www.mendeley.com/documents/?uuid=d6269ee7-674a-43c6-995d-7096fb9fa827"]}],"mendeley":{"formattedCitation":"(Deshpande &amp; Narayanamoorthy, 2001)","plainTextFormattedCitation":"(Deshpande &amp; Narayanamoorthy, 2001)","previouslyFormattedCitation":"(Deshpande &amp; Narayanamoorthy, 2001)"},"properties":{"noteIndex":0},"schema":"https://github.com/citation-style-language/schema/raw/master/csl-citation.json"}</w:instrText>
      </w:r>
      <w:r w:rsidR="00C050EB" w:rsidRPr="00501D5E">
        <w:rPr>
          <w:rFonts w:ascii="Arial" w:hAnsi="Arial" w:cs="Arial"/>
        </w:rPr>
        <w:fldChar w:fldCharType="separate"/>
      </w:r>
      <w:r w:rsidRPr="00501D5E">
        <w:rPr>
          <w:rFonts w:ascii="Arial" w:hAnsi="Arial" w:cs="Arial"/>
          <w:noProof/>
        </w:rPr>
        <w:t>(Deshpande &amp; Narayanamoorthy, 2001)</w:t>
      </w:r>
      <w:r w:rsidR="00C050EB" w:rsidRPr="00501D5E">
        <w:rPr>
          <w:rFonts w:ascii="Arial" w:hAnsi="Arial" w:cs="Arial"/>
        </w:rPr>
        <w:fldChar w:fldCharType="end"/>
      </w:r>
      <w:r>
        <w:rPr>
          <w:rFonts w:ascii="Arial" w:hAnsi="Arial" w:cs="Arial"/>
        </w:rPr>
        <w:t>.</w:t>
      </w:r>
    </w:p>
    <w:p w:rsidR="002F2617" w:rsidRPr="00D35D1A" w:rsidRDefault="002F2617" w:rsidP="002F2617">
      <w:pPr>
        <w:spacing w:line="276" w:lineRule="auto"/>
        <w:jc w:val="both"/>
        <w:rPr>
          <w:rFonts w:ascii="Arial" w:hAnsi="Arial" w:cs="Arial"/>
        </w:rPr>
      </w:pPr>
    </w:p>
    <w:p w:rsidR="002F2617" w:rsidRDefault="002F2617" w:rsidP="002F2617">
      <w:pPr>
        <w:spacing w:line="276" w:lineRule="auto"/>
        <w:jc w:val="both"/>
        <w:rPr>
          <w:rFonts w:ascii="Arial" w:hAnsi="Arial" w:cs="Arial"/>
          <w:b/>
          <w:bCs/>
        </w:rPr>
      </w:pPr>
      <w:r>
        <w:rPr>
          <w:rFonts w:ascii="Arial" w:hAnsi="Arial" w:cs="Arial"/>
          <w:b/>
          <w:bCs/>
        </w:rPr>
        <w:t xml:space="preserve">4.2 </w:t>
      </w:r>
      <w:r w:rsidRPr="00B3387B">
        <w:rPr>
          <w:rFonts w:ascii="Arial" w:hAnsi="Arial" w:cs="Arial"/>
          <w:b/>
          <w:bCs/>
        </w:rPr>
        <w:t>Comprehensive Assessment for Enhanced Safety:</w:t>
      </w:r>
    </w:p>
    <w:p w:rsidR="002F2617" w:rsidRPr="00B3387B" w:rsidRDefault="002F2617" w:rsidP="002F2617">
      <w:pPr>
        <w:spacing w:line="276" w:lineRule="auto"/>
        <w:jc w:val="both"/>
        <w:rPr>
          <w:rFonts w:ascii="Arial" w:hAnsi="Arial" w:cs="Arial"/>
          <w:b/>
          <w:bCs/>
        </w:rPr>
      </w:pPr>
    </w:p>
    <w:p w:rsidR="002F2617" w:rsidRPr="00501D5E" w:rsidRDefault="002F2617" w:rsidP="002F2617">
      <w:pPr>
        <w:spacing w:line="276" w:lineRule="auto"/>
        <w:jc w:val="both"/>
        <w:rPr>
          <w:rFonts w:ascii="Arial" w:hAnsi="Arial" w:cs="Arial"/>
        </w:rPr>
      </w:pPr>
      <w:r w:rsidRPr="00501D5E">
        <w:rPr>
          <w:rFonts w:ascii="Arial" w:hAnsi="Arial" w:cs="Arial"/>
        </w:rPr>
        <w:t xml:space="preserve">A vital component of this evaluation is compliance with regulatory standards. Regulatory agencies establish guidelines for dam safety, and the evaluation process must ensure that these standards are met. Failure to comply with regulations can have severe consequences, including legal and financial liabilities </w:t>
      </w:r>
      <w:r w:rsidR="00C050EB" w:rsidRPr="00501D5E">
        <w:rPr>
          <w:rFonts w:ascii="Arial" w:hAnsi="Arial" w:cs="Arial"/>
        </w:rPr>
        <w:fldChar w:fldCharType="begin" w:fldLock="1"/>
      </w:r>
      <w:r>
        <w:rPr>
          <w:rFonts w:ascii="Arial" w:hAnsi="Arial" w:cs="Arial"/>
        </w:rPr>
        <w:instrText>ADDIN CSL_CITATION {"citationItems":[{"id":"ITEM-1","itemData":{"DOI":"10.1080/17499518.2020.1740280","ISSN":"17499526","abstract":"Real-time monitoring can improve the performance assessment of tailings dams by reducing the laborious component of data collection while streamlining the analysis process. When planning and installing instrumentation, the challenge exists where if nothing goes wrong, the question is asked whether too much instrumentation is installed, where on the other hand if a failure occurs, the question is asked as to why more investment was not made to prevent it from occurring. This paper identifies the monitoring system requirements, assesses the cost of historical tailings dam failures (Mt Polley and Fundão), assesses the cost of a real-time monitoring system to suit the instrumentation that was in place at time of failure of those dams (including standpipe and vibrating wire piezometers, digital inclinometers, and flow meters), and suggests ways to extract more value from individual instruments to full monitoring system integration.","author":[{"dropping-particle":"","family":"Clarkson","given":"Luke","non-dropping-particle":"","parse-names":false,"suffix":""},{"dropping-particle":"","family":"Williams","given":"David","non-dropping-particle":"","parse-names":false,"suffix":""},{"dropping-particle":"","family":"Seppälä","given":"Jaakko","non-dropping-particle":"","parse-names":false,"suffix":""}],"container-title":"Georisk","id":"ITEM-1","issue":"2","issued":{"date-parts":[["2021"]]},"page":"113-127","publisher":"Taylor &amp; Francis","title":"Real-time monitoring of tailings dams","type":"article-journal","volume":"15"},"uris":["http://www.mendeley.com/documents/?uuid=376e5993-cc9a-4d0a-8e42-c835f7ed5c9d","http://www.mendeley.com/documents/?uuid=28c4df4a-c99c-4912-a52a-385c269596d6"]}],"mendeley":{"formattedCitation":"(Clarkson et al., 2021)","plainTextFormattedCitation":"(Clarkson et al., 2021)","previouslyFormattedCitation":"(Clarkson et al., 2021)"},"properties":{"noteIndex":0},"schema":"https://github.com/citation-style-language/schema/raw/master/csl-citation.json"}</w:instrText>
      </w:r>
      <w:r w:rsidR="00C050EB" w:rsidRPr="00501D5E">
        <w:rPr>
          <w:rFonts w:ascii="Arial" w:hAnsi="Arial" w:cs="Arial"/>
        </w:rPr>
        <w:fldChar w:fldCharType="separate"/>
      </w:r>
      <w:r w:rsidRPr="00501D5E">
        <w:rPr>
          <w:rFonts w:ascii="Arial" w:hAnsi="Arial" w:cs="Arial"/>
          <w:noProof/>
        </w:rPr>
        <w:t>(Clarkson et al., 2021)</w:t>
      </w:r>
      <w:r w:rsidR="00C050EB" w:rsidRPr="00501D5E">
        <w:rPr>
          <w:rFonts w:ascii="Arial" w:hAnsi="Arial" w:cs="Arial"/>
        </w:rPr>
        <w:fldChar w:fldCharType="end"/>
      </w:r>
      <w:r w:rsidRPr="00501D5E">
        <w:rPr>
          <w:rFonts w:ascii="Arial" w:hAnsi="Arial" w:cs="Arial"/>
        </w:rPr>
        <w:t xml:space="preserve">. Additionally, continuous monitoring and maintenance are essential to address issues as they arise and prevent potential risks from developing into serious threats. By employing advanced technologies and methods like remote sensing and real-time monitoring systems, dam operators can proactively manage dam safety </w:t>
      </w:r>
      <w:r w:rsidR="00C050EB" w:rsidRPr="00501D5E">
        <w:rPr>
          <w:rFonts w:ascii="Arial" w:hAnsi="Arial" w:cs="Arial"/>
        </w:rPr>
        <w:fldChar w:fldCharType="begin" w:fldLock="1"/>
      </w:r>
      <w:r>
        <w:rPr>
          <w:rFonts w:ascii="Arial" w:hAnsi="Arial" w:cs="Arial"/>
        </w:rPr>
        <w:instrText xml:space="preserve">ADDIN CSL_CITATION {"citationItems":[{"id":"ITEM-1","itemData":{"DOI":"10.1680/jdare.21.00021","ISBN":"0000000264","ISSN":"17568404","abstract":"The use of datasets from satellites to aid the monitoring of dams has been possible for many years. Within the last five years there has been a rapid development in the type and accuracy of the data available, led by an influx of new satellites and improved access to these datasets. This paper gives an overview of the different types of satellite datasets and satellite infrastructure relevant to dam safety that are currently available, explains the complex processes of converting raw satellite data into useable information and summarises the advantages and disadvantages of each data type along with indications of the level of accuracy and cost. The information presented by the authors is based on experience gained undertaking a 3 year, £4 m, UK-government-funded research project to investigate and combine many types of space data to improve the monitoring of dams.","author":[{"dropping-particle":"","family":"Goff","given":"Craig","non-dropping-particle":"","parse-names":false,"suffix":""},{"dropping-particle":"","family":"Ainscoe","given":"Eleanor","non-dropping-particle":"","parse-names":false,"suffix":""},{"dropping-particle":"","family":"Liu","given":"Ye","non-dropping-particle":"","parse-names":false,"suffix":""},{"dropping-particle":"","family":"Roca","given":"Marta","non-dropping-particle":"","parse-names":false,"suffix":""}],"container-title":"Dams and Reservoirs","id":"ITEM-1","issue":"3","issued":{"date-parts":[["2021"]]},"page":"90-100","title":"Satellite data for dam safety monitoring","type":"article-journal","volume":"31"},"uris":["http://www.mendeley.com/documents/?uuid=2ee08765-ee28-4553-bb24-1a2ecde2fcc5","http://www.mendeley.com/documents/?uuid=caca452e-987e-464c-8106-d03ef8694c09"]},{"id":"ITEM-2","itemData":{"ISBN":"1902388089","abstract":"Owing to its biosynthetic and biodegradable properties, polylactic acid (PLA) is considered to be a most promising biopolymer that could play a crucial role as a potentially environmentally friendly material for a sustainable bioeconomy. However, its long-life cycle indicates that it cannot be easily degraded in nature. Therefore, understanding the biodegradation mechanism of PLA is important for reducing the impacts of waste plastic and waste disposal. With the recent development of molecular biology techniques, some studies have confirmed that specific groups of microorganisms can facilitate the biodegradation of PLA. Here, recent advances in the biodegradation of PLA (i.e., microbial and enzymatic degradation) and key factors affecting the degradation efficiency were reviewed. In addition, compared with complete degradation through mineralization, upcycling is also proposed as a more recyclable strategy for disposing of waste plastics.","author":[{"dropping-particle":"","family":"Matthew","given":"T","non-dropping-particle":"","parse-names":false,"suffix":""}],"id":"ITEM-2","issued":{"date-parts":[["2017"]]},"page":"7-8","title":"Aft </w:instrText>
      </w:r>
      <w:r>
        <w:rPr>
          <w:rFonts w:ascii="MS Gothic" w:eastAsia="MS Gothic" w:hAnsi="MS Gothic" w:cs="MS Gothic" w:hint="eastAsia"/>
        </w:rPr>
        <w:instrText>机器</w:instrText>
      </w:r>
      <w:r>
        <w:rPr>
          <w:rFonts w:ascii="Microsoft JhengHei" w:eastAsia="Microsoft JhengHei" w:hAnsi="Microsoft JhengHei" w:cs="Microsoft JhengHei" w:hint="eastAsia"/>
        </w:rPr>
        <w:instrText>视觉标定板</w:instrText>
      </w:r>
      <w:r>
        <w:rPr>
          <w:rFonts w:ascii="Arial" w:hAnsi="Arial" w:cs="Arial"/>
        </w:rPr>
        <w:instrText xml:space="preserve"> Aft </w:instrText>
      </w:r>
      <w:r>
        <w:rPr>
          <w:rFonts w:ascii="MS Gothic" w:eastAsia="MS Gothic" w:hAnsi="MS Gothic" w:cs="MS Gothic" w:hint="eastAsia"/>
        </w:rPr>
        <w:instrText>机器</w:instrText>
      </w:r>
      <w:r>
        <w:rPr>
          <w:rFonts w:ascii="Microsoft JhengHei" w:eastAsia="Microsoft JhengHei" w:hAnsi="Microsoft JhengHei" w:cs="Microsoft JhengHei" w:hint="eastAsia"/>
        </w:rPr>
        <w:instrText>视觉分辨率板</w:instrText>
      </w:r>
      <w:r>
        <w:rPr>
          <w:rFonts w:ascii="Arial" w:hAnsi="Arial" w:cs="Arial"/>
        </w:rPr>
        <w:instrText>","type":"article-journal","volume":"1"},"uris":["http://www.mendeley.com/documents/?uuid=5b079729-08e8-4723-b510-821268919a77","http://www.mendeley.com/documents/?uuid=2f8ca2ba-e889-4ffb-8a30-b28d1858dbba"]}],"mendeley":{"formattedCitation":"(Goff et al., 2021; Matthew, 2017)","plainTextFormattedCitation":"(Goff et al., 2021; Matthew, 2017)","previouslyFormattedCitation":"(Goff et al., 2021; Matthew, 2017)"},"properties":{"noteIndex":0},"schema":"https://github.com/citation-style-language/schema/raw/master/csl-citation.json"}</w:instrText>
      </w:r>
      <w:r w:rsidR="00C050EB" w:rsidRPr="00501D5E">
        <w:rPr>
          <w:rFonts w:ascii="Arial" w:hAnsi="Arial" w:cs="Arial"/>
        </w:rPr>
        <w:fldChar w:fldCharType="separate"/>
      </w:r>
      <w:r w:rsidRPr="00501D5E">
        <w:rPr>
          <w:rFonts w:ascii="Arial" w:hAnsi="Arial" w:cs="Arial"/>
          <w:noProof/>
        </w:rPr>
        <w:t>(Goff et al., 2021; Matthew, 2017)</w:t>
      </w:r>
      <w:r w:rsidR="00C050EB" w:rsidRPr="00501D5E">
        <w:rPr>
          <w:rFonts w:ascii="Arial" w:hAnsi="Arial" w:cs="Arial"/>
        </w:rPr>
        <w:fldChar w:fldCharType="end"/>
      </w:r>
      <w:r w:rsidRPr="00501D5E">
        <w:rPr>
          <w:rFonts w:ascii="Arial" w:hAnsi="Arial" w:cs="Arial"/>
        </w:rPr>
        <w:t xml:space="preserve">. The integration of all these factors into a multi-criteria decision-making framework, such as the Analytic Hierarchy Process (AHP), aids in the prioritization and allocation of resources for risk mitigation and maintenance </w:t>
      </w:r>
      <w:r w:rsidR="00C050EB" w:rsidRPr="00501D5E">
        <w:rPr>
          <w:rFonts w:ascii="Arial" w:hAnsi="Arial" w:cs="Arial"/>
        </w:rPr>
        <w:fldChar w:fldCharType="begin" w:fldLock="1"/>
      </w:r>
      <w:r>
        <w:rPr>
          <w:rFonts w:ascii="Arial" w:hAnsi="Arial" w:cs="Arial"/>
        </w:rPr>
        <w:instrText>ADDIN CSL_CITATION {"citationItems":[{"id":"ITEM-1","itemData":{"DOI":"10.1016/j.procs.2015.07.081","ISSN":"18770509","abstract":"The Analytic Hierarchy Process (AHP) is widely used by decision makers and researchers. The definition of criteria and the calculation of their weight are central in this method to assess the alternatives. However, there are few studies that focus on them. The purpose of this study is to develop a systematic review of literature on the real cases that applied AHP to evaluate how the criteria are being defined and measured. In the 33 cases selected, they mainly used literature to build the criteria and AHP or Fuzzy AHP to calculate their weight, while other techniques were used to evaluate alternatives.","author":[{"dropping-particle":"","family":"Russo","given":"Rosaria De F.S.M.","non-dropping-particle":"","parse-names":false,"suffix":""},{"dropping-particle":"","family":"Camanho","given":"Roberto","non-dropping-particle":"","parse-names":false,"suffix":""}],"container-title":"Procedia Computer Science","id":"ITEM-1","issue":"Itqm","issued":{"date-parts":[["2015"]]},"page":"1123-1132","publisher":"Elsevier Masson SAS","title":"Criteria in AHP: A systematic review of literature","type":"article-journal","volume":"55"},"uris":["http://www.mendeley.com/documents/?uuid=8d43f619-7295-45d4-b060-65539ea33b97","http://www.mendeley.com/documents/?uuid=15996b5d-07a4-4b57-bcc0-50d9e7ca4dad"]}],"mendeley":{"formattedCitation":"(Russo &amp; Camanho, 2015)","plainTextFormattedCitation":"(Russo &amp; Camanho, 2015)","previouslyFormattedCitation":"(Russo &amp; Camanho, 2015)"},"properties":{"noteIndex":0},"schema":"https://github.com/citation-style-language/schema/raw/master/csl-citation.json"}</w:instrText>
      </w:r>
      <w:r w:rsidR="00C050EB" w:rsidRPr="00501D5E">
        <w:rPr>
          <w:rFonts w:ascii="Arial" w:hAnsi="Arial" w:cs="Arial"/>
        </w:rPr>
        <w:fldChar w:fldCharType="separate"/>
      </w:r>
      <w:r w:rsidRPr="00501D5E">
        <w:rPr>
          <w:rFonts w:ascii="Arial" w:hAnsi="Arial" w:cs="Arial"/>
          <w:noProof/>
        </w:rPr>
        <w:t>(Russo &amp; Camanho, 2015)</w:t>
      </w:r>
      <w:r w:rsidR="00C050EB" w:rsidRPr="00501D5E">
        <w:rPr>
          <w:rFonts w:ascii="Arial" w:hAnsi="Arial" w:cs="Arial"/>
        </w:rPr>
        <w:fldChar w:fldCharType="end"/>
      </w:r>
      <w:r w:rsidRPr="00501D5E">
        <w:rPr>
          <w:rFonts w:ascii="Arial" w:hAnsi="Arial" w:cs="Arial"/>
        </w:rPr>
        <w:t xml:space="preserve">. The ultimate goal of this comprehensive evaluation is to safeguard the public, protect the environment, and ensure the continued functionality of dams, which are indispensable for water management and energy generation </w:t>
      </w:r>
      <w:r w:rsidR="00C050EB" w:rsidRPr="00501D5E">
        <w:rPr>
          <w:rFonts w:ascii="Arial" w:hAnsi="Arial" w:cs="Arial"/>
        </w:rPr>
        <w:fldChar w:fldCharType="begin" w:fldLock="1"/>
      </w:r>
      <w:r>
        <w:rPr>
          <w:rFonts w:ascii="Arial" w:hAnsi="Arial" w:cs="Arial"/>
        </w:rPr>
        <w:instrText>ADDIN CSL_CITATION {"citationItems":[{"id":"ITEM-1","itemData":{"DOI":"10.1111/j.1467-9930.2005.00209.x","ISSN":"02658240","abstract":"Enforced self-regulation is increasingly used to control risks created by businesses. This paper examines the way that small and medium-sized enterprises (SMEs) make compliance decisions when faced with self-regulatory and prescriptive law, drawing upon empirical research undertaken within food-industry SMEs. It evaluates the impact of enforcement approaches on compliance decisions and compliance levels. It finds that within food-industry SMEs in the United Kingdom, compliance is conceptualized as the negotiated outcome of the regulatory encounter. This leads to heavily reactive decision making, in which the enforcer becomes the predominant driver, which poses huge challenges for the successful implementation of enforced self-regulation, and is an explanation for the lack of empirical evidence supporting deterrence theory in business compliance. © 2005 UB Foundation Activities Inc., for and on behalf of the Baldy Center for Law and Social Policy and Blackwell Publishing Ltd.","author":[{"dropping-particle":"","family":"Fairman","given":"Robyn","non-dropping-particle":"","parse-names":false,"suffix":""},{"dropping-particle":"","family":"Yapp","given":"Charlotte","non-dropping-particle":"","parse-names":false,"suffix":""}],"container-title":"Law and Policy","id":"ITEM-1","issue":"4","issued":{"date-parts":[["2005"]]},"page":"491-519","title":"Enforced self-regulation, prescription, and conceptions of compliance within small businesses: The impact of enforcement","type":"article-journal","volume":"27"},"uris":["http://www.mendeley.com/documents/?uuid=cf9b036f-24d1-4f1c-aa47-06842c0bd5b2","http://www.mendeley.com/documents/?uuid=0b5c7c79-8d90-4024-b440-9d5eaf4ccdac"]},{"id":"ITEM-2","itemData":{"author":[{"dropping-particle":"","family":"Overlay","given":"Fuzzy","non-dropping-particle":"","parse-names":false,"suffix":""},{"dropping-particle":"","family":"Analyst","given":"Spatial","non-dropping-particle":"","parse-names":false,"suffix":""}],"id":"ITEM-2","issued":{"date-parts":[["2023"]]},"page":"10-12","title":"Fuzzy Overlay ( Spatial Analyst ) Title Fuzzy Overlay ( Spatial Analyst )","type":"article-journal"},"uris":["http://www.mendeley.com/documents/?uuid=a5a9c6dc-4e8f-44f0-a9be-e3d4761f693a","http://www.mendeley.com/documents/?uuid=14b2df36-458f-4dc3-a35f-f708d86b6a76"]}],"mendeley":{"formattedCitation":"(Fairman &amp; Yapp, 2005; Overlay &amp; Analyst, 2023)","plainTextFormattedCitation":"(Fairman &amp; Yapp, 2005; Overlay &amp; Analyst, 2023)","previouslyFormattedCitation":"(Fairman &amp; Yapp, 2005; Overlay &amp; Analyst, 2023)"},"properties":{"noteIndex":0},"schema":"https://github.com/citation-style-language/schema/raw/master/csl-citation.json"}</w:instrText>
      </w:r>
      <w:r w:rsidR="00C050EB" w:rsidRPr="00501D5E">
        <w:rPr>
          <w:rFonts w:ascii="Arial" w:hAnsi="Arial" w:cs="Arial"/>
        </w:rPr>
        <w:fldChar w:fldCharType="separate"/>
      </w:r>
      <w:r w:rsidRPr="00501D5E">
        <w:rPr>
          <w:rFonts w:ascii="Arial" w:hAnsi="Arial" w:cs="Arial"/>
          <w:noProof/>
        </w:rPr>
        <w:t>(Fairman &amp; Yapp, 2005; Overlay &amp; Analyst, 2023)</w:t>
      </w:r>
      <w:r w:rsidR="00C050EB" w:rsidRPr="00501D5E">
        <w:rPr>
          <w:rFonts w:ascii="Arial" w:hAnsi="Arial" w:cs="Arial"/>
        </w:rPr>
        <w:fldChar w:fldCharType="end"/>
      </w:r>
      <w:r w:rsidRPr="00501D5E">
        <w:rPr>
          <w:rFonts w:ascii="Arial" w:hAnsi="Arial" w:cs="Arial"/>
        </w:rPr>
        <w:t>.</w:t>
      </w:r>
    </w:p>
    <w:p w:rsidR="002F2617" w:rsidRDefault="002F2617" w:rsidP="002F2617">
      <w:pPr>
        <w:spacing w:line="276" w:lineRule="auto"/>
        <w:jc w:val="both"/>
        <w:rPr>
          <w:rFonts w:ascii="Arial" w:hAnsi="Arial" w:cs="Arial"/>
        </w:rPr>
      </w:pPr>
      <w:r w:rsidRPr="00865769">
        <w:rPr>
          <w:rFonts w:ascii="Arial" w:hAnsi="Arial" w:cs="Arial"/>
          <w:highlight w:val="yellow"/>
        </w:rPr>
        <w:t xml:space="preserve">Hence, employing robust multi-criteria approaches like AHP is a proactive step toward mitigating these risks, safeguarding communities, and preserving essential water resources </w:t>
      </w:r>
      <w:r w:rsidR="00C050EB" w:rsidRPr="00865769">
        <w:rPr>
          <w:rFonts w:ascii="Arial" w:hAnsi="Arial" w:cs="Arial"/>
          <w:highlight w:val="yellow"/>
        </w:rPr>
        <w:fldChar w:fldCharType="begin" w:fldLock="1"/>
      </w:r>
      <w:r w:rsidRPr="00865769">
        <w:rPr>
          <w:rFonts w:ascii="Arial" w:hAnsi="Arial" w:cs="Arial"/>
          <w:highlight w:val="yellow"/>
        </w:rPr>
        <w:instrText>ADDIN CSL_CITATION {"citationItems":[{"id":"ITEM-1","itemData":{"DOI":"10.1016/j.procs.2015.07.081","ISSN":"18770509","abstract":"The Analytic Hierarchy Process (AHP) is widely used by decision makers and researchers. The definition of criteria and the calculation of their weight are central in this method to assess the alternatives. However, there are few studies that focus on them. The purpose of this study is to develop a systematic review of literature on the real cases that applied AHP to evaluate how the criteria are being defined and measured. In the 33 cases selected, they mainly used literature to build the criteria and AHP or Fuzzy AHP to calculate their weight, while other techniques were used to evaluate alternatives.","author":[{"dropping-particle":"","family":"Russo","given":"Rosaria De F.S.M.","non-dropping-particle":"","parse-names":false,"suffix":""},{"dropping-particle":"","family":"Camanho","given":"Roberto","non-dropping-particle":"","parse-names":false,"suffix":""}],"container-title":"Procedia Computer Science","id":"ITEM-1","issue":"Itqm","issued":{"date-parts":[["2015"]]},"page":"1123-1132","publisher":"Elsevier Masson SAS","title":"Criteria in AHP: A systematic review of literature","type":"article-journal","volume":"55"},"uris":["http://www.mendeley.com/documents/?uuid=15996b5d-07a4-4b57-bcc0-50d9e7ca4dad","http://www.mendeley.com/documents/?uuid=8d43f619-7295-45d4-b060-65539ea33b97"]}],"mendeley":{"formattedCitation":"(Russo &amp; Camanho, 2015)","plainTextFormattedCitation":"(Russo &amp; Camanho, 2015)","previouslyFormattedCitation":"(Russo &amp; Camanho, 2015)"},"properties":{"noteIndex":0},"schema":"https://github.com/citation-style-language/schema/raw/master/csl-citation.json"}</w:instrText>
      </w:r>
      <w:r w:rsidR="00C050EB" w:rsidRPr="00865769">
        <w:rPr>
          <w:rFonts w:ascii="Arial" w:hAnsi="Arial" w:cs="Arial"/>
          <w:highlight w:val="yellow"/>
        </w:rPr>
        <w:fldChar w:fldCharType="separate"/>
      </w:r>
      <w:r w:rsidRPr="00865769">
        <w:rPr>
          <w:rFonts w:ascii="Arial" w:hAnsi="Arial" w:cs="Arial"/>
          <w:noProof/>
          <w:highlight w:val="yellow"/>
        </w:rPr>
        <w:t>(Russo &amp; Camanho, 2015)</w:t>
      </w:r>
      <w:r w:rsidR="00C050EB" w:rsidRPr="00865769">
        <w:rPr>
          <w:rFonts w:ascii="Arial" w:hAnsi="Arial" w:cs="Arial"/>
          <w:highlight w:val="yellow"/>
        </w:rPr>
        <w:fldChar w:fldCharType="end"/>
      </w:r>
      <w:r w:rsidRPr="00865769">
        <w:rPr>
          <w:rFonts w:ascii="Arial" w:hAnsi="Arial" w:cs="Arial"/>
          <w:highlight w:val="yellow"/>
        </w:rPr>
        <w:t>.</w:t>
      </w:r>
    </w:p>
    <w:p w:rsidR="00790ADA" w:rsidRPr="00FB3A86" w:rsidRDefault="00790ADA" w:rsidP="00441B6F">
      <w:pPr>
        <w:pStyle w:val="Body"/>
        <w:spacing w:after="0"/>
        <w:rPr>
          <w:rFonts w:ascii="Arial" w:hAnsi="Arial" w:cs="Arial"/>
        </w:rPr>
      </w:pPr>
    </w:p>
    <w:p w:rsidR="0025015C" w:rsidRPr="00513E7D" w:rsidRDefault="0025015C" w:rsidP="0025015C">
      <w:pPr>
        <w:spacing w:after="200" w:line="276" w:lineRule="auto"/>
        <w:rPr>
          <w:rFonts w:ascii="Arial" w:eastAsia="Calibri" w:hAnsi="Arial" w:cs="Arial"/>
          <w:b/>
          <w:kern w:val="2"/>
          <w:sz w:val="22"/>
          <w:szCs w:val="22"/>
        </w:rPr>
      </w:pPr>
      <w:bookmarkStart w:id="1" w:name="_Hlk180402183"/>
      <w:r w:rsidRPr="00513E7D">
        <w:rPr>
          <w:rFonts w:ascii="Arial" w:eastAsia="Calibri" w:hAnsi="Arial" w:cs="Arial"/>
          <w:b/>
          <w:kern w:val="2"/>
          <w:sz w:val="22"/>
          <w:szCs w:val="22"/>
        </w:rPr>
        <w:t>Disclaimer (Artificial intelligence)</w:t>
      </w:r>
    </w:p>
    <w:p w:rsidR="0025015C" w:rsidRPr="00DE3490" w:rsidRDefault="0025015C" w:rsidP="0025015C">
      <w:pPr>
        <w:spacing w:after="200" w:line="276" w:lineRule="auto"/>
        <w:jc w:val="both"/>
        <w:rPr>
          <w:rFonts w:ascii="Arial" w:eastAsia="Calibri" w:hAnsi="Arial" w:cs="Arial"/>
          <w:kern w:val="2"/>
          <w:sz w:val="22"/>
          <w:szCs w:val="22"/>
        </w:rPr>
      </w:pPr>
      <w:r w:rsidRPr="00DE3490">
        <w:rPr>
          <w:rFonts w:ascii="Arial" w:eastAsia="Calibri" w:hAnsi="Arial" w:cs="Arial"/>
          <w:kern w:val="2"/>
          <w:sz w:val="22"/>
          <w:szCs w:val="22"/>
        </w:rPr>
        <w:t>Author(s) hereby declare that NO generative AI technologies such as Large Language Models (</w:t>
      </w:r>
      <w:proofErr w:type="spellStart"/>
      <w:r w:rsidRPr="00DE3490">
        <w:rPr>
          <w:rFonts w:ascii="Arial" w:eastAsia="Calibri" w:hAnsi="Arial" w:cs="Arial"/>
          <w:kern w:val="2"/>
          <w:sz w:val="22"/>
          <w:szCs w:val="22"/>
        </w:rPr>
        <w:t>ChatGPT</w:t>
      </w:r>
      <w:proofErr w:type="spellEnd"/>
      <w:r w:rsidRPr="00DE3490">
        <w:rPr>
          <w:rFonts w:ascii="Arial" w:eastAsia="Calibri" w:hAnsi="Arial" w:cs="Arial"/>
          <w:kern w:val="2"/>
          <w:sz w:val="22"/>
          <w:szCs w:val="22"/>
        </w:rPr>
        <w:t xml:space="preserve">, COPILOT, etc.) and text-to-image generators have been used during the writing or editing of this manuscript. </w:t>
      </w:r>
    </w:p>
    <w:bookmarkEnd w:id="1"/>
    <w:p w:rsidR="0025015C" w:rsidRDefault="0025015C" w:rsidP="00441B6F">
      <w:pPr>
        <w:pStyle w:val="Body"/>
        <w:spacing w:after="0"/>
        <w:rPr>
          <w:rFonts w:ascii="Arial" w:hAnsi="Arial" w:cs="Arial"/>
        </w:rPr>
      </w:pPr>
    </w:p>
    <w:p w:rsidR="00860000" w:rsidRDefault="00860000" w:rsidP="00441B6F">
      <w:pPr>
        <w:pStyle w:val="ReferHead"/>
        <w:spacing w:after="0"/>
        <w:jc w:val="both"/>
        <w:rPr>
          <w:b w:val="0"/>
          <w:caps w:val="0"/>
          <w:sz w:val="20"/>
        </w:rPr>
      </w:pPr>
    </w:p>
    <w:p w:rsidR="0074664D" w:rsidRDefault="0074664D" w:rsidP="00441B6F">
      <w:pPr>
        <w:pStyle w:val="ReferHead"/>
        <w:spacing w:after="0"/>
        <w:jc w:val="both"/>
        <w:rPr>
          <w:rFonts w:ascii="Arial" w:hAnsi="Arial" w:cs="Arial"/>
        </w:rPr>
      </w:pPr>
    </w:p>
    <w:p w:rsidR="00B01FCD" w:rsidRDefault="00B01FCD" w:rsidP="00441B6F">
      <w:pPr>
        <w:pStyle w:val="ReferHead"/>
        <w:spacing w:after="0"/>
        <w:jc w:val="both"/>
        <w:rPr>
          <w:rFonts w:ascii="Arial" w:hAnsi="Arial" w:cs="Arial"/>
        </w:rPr>
      </w:pPr>
      <w:r w:rsidRPr="00FB3A86">
        <w:rPr>
          <w:rFonts w:ascii="Arial" w:hAnsi="Arial" w:cs="Arial"/>
        </w:rPr>
        <w:t>References</w:t>
      </w:r>
    </w:p>
    <w:p w:rsidR="00790ADA" w:rsidRPr="00FB3A86" w:rsidRDefault="00790ADA" w:rsidP="00441B6F">
      <w:pPr>
        <w:pStyle w:val="ReferHead"/>
        <w:spacing w:after="0"/>
        <w:jc w:val="both"/>
        <w:rPr>
          <w:rFonts w:ascii="Arial" w:hAnsi="Arial" w:cs="Arial"/>
        </w:rPr>
      </w:pPr>
    </w:p>
    <w:p w:rsidR="002F2617" w:rsidRPr="00604584" w:rsidRDefault="00C050EB" w:rsidP="002F2617">
      <w:pPr>
        <w:widowControl w:val="0"/>
        <w:autoSpaceDE w:val="0"/>
        <w:autoSpaceDN w:val="0"/>
        <w:adjustRightInd w:val="0"/>
        <w:ind w:left="480" w:hanging="480"/>
        <w:jc w:val="both"/>
        <w:rPr>
          <w:rFonts w:ascii="Arial" w:hAnsi="Arial" w:cs="Arial"/>
          <w:noProof/>
          <w:szCs w:val="24"/>
        </w:rPr>
      </w:pPr>
      <w:r w:rsidRPr="00501D5E">
        <w:rPr>
          <w:rFonts w:ascii="Arial" w:hAnsi="Arial" w:cs="Arial"/>
        </w:rPr>
        <w:fldChar w:fldCharType="begin" w:fldLock="1"/>
      </w:r>
      <w:r w:rsidR="002F2617" w:rsidRPr="00501D5E">
        <w:rPr>
          <w:rFonts w:ascii="Arial" w:hAnsi="Arial" w:cs="Arial"/>
          <w:lang w:val="it-IT"/>
        </w:rPr>
        <w:instrText xml:space="preserve">ADDIN Mendeley Bibliography CSL_BIBLIOGRAPHY </w:instrText>
      </w:r>
      <w:r w:rsidRPr="00501D5E">
        <w:rPr>
          <w:rFonts w:ascii="Arial" w:hAnsi="Arial" w:cs="Arial"/>
        </w:rPr>
        <w:fldChar w:fldCharType="separate"/>
      </w:r>
      <w:r w:rsidR="002F2617" w:rsidRPr="00604584">
        <w:rPr>
          <w:rFonts w:ascii="Arial" w:hAnsi="Arial" w:cs="Arial"/>
          <w:noProof/>
          <w:szCs w:val="24"/>
        </w:rPr>
        <w:t xml:space="preserve">Adamo, N., Al-ansari, N., Laue, J., Knutsson, S., &amp; Sissakian, V. (2017). </w:t>
      </w:r>
      <w:r w:rsidR="002F2617" w:rsidRPr="00604584">
        <w:rPr>
          <w:rFonts w:ascii="Arial" w:hAnsi="Arial" w:cs="Arial"/>
          <w:i/>
          <w:iCs/>
          <w:noProof/>
          <w:szCs w:val="24"/>
        </w:rPr>
        <w:t>Risk Management Concepts in Dam Safety Evaluation: Mosul Dam as a Case Study</w:t>
      </w:r>
      <w:r w:rsidR="002F2617" w:rsidRPr="00604584">
        <w:rPr>
          <w:rFonts w:ascii="Arial" w:hAnsi="Arial" w:cs="Arial"/>
          <w:noProof/>
          <w:szCs w:val="24"/>
        </w:rPr>
        <w:t xml:space="preserve">. </w:t>
      </w:r>
      <w:r w:rsidR="002F2617" w:rsidRPr="00604584">
        <w:rPr>
          <w:rFonts w:ascii="Arial" w:hAnsi="Arial" w:cs="Arial"/>
          <w:i/>
          <w:iCs/>
          <w:noProof/>
          <w:szCs w:val="24"/>
        </w:rPr>
        <w:t>11</w:t>
      </w:r>
      <w:r w:rsidR="002F2617" w:rsidRPr="00604584">
        <w:rPr>
          <w:rFonts w:ascii="Arial" w:hAnsi="Arial" w:cs="Arial"/>
          <w:noProof/>
          <w:szCs w:val="24"/>
        </w:rPr>
        <w:t>, 635–652. https://doi.org/10.17265/1934-7359/2017.07.002</w:t>
      </w:r>
    </w:p>
    <w:p w:rsidR="002F2617" w:rsidRPr="00604584" w:rsidRDefault="002F2617" w:rsidP="002F2617">
      <w:pPr>
        <w:widowControl w:val="0"/>
        <w:autoSpaceDE w:val="0"/>
        <w:autoSpaceDN w:val="0"/>
        <w:adjustRightInd w:val="0"/>
        <w:ind w:left="480" w:hanging="480"/>
        <w:jc w:val="both"/>
        <w:rPr>
          <w:rFonts w:ascii="Arial" w:hAnsi="Arial" w:cs="Arial"/>
          <w:noProof/>
          <w:szCs w:val="24"/>
        </w:rPr>
      </w:pPr>
      <w:r w:rsidRPr="00604584">
        <w:rPr>
          <w:rFonts w:ascii="Arial" w:hAnsi="Arial" w:cs="Arial"/>
          <w:noProof/>
          <w:szCs w:val="24"/>
        </w:rPr>
        <w:t xml:space="preserve">Adamo, N., Al-ansari, N., Sissakian, V., &amp; Laue, J. (2020). </w:t>
      </w:r>
      <w:r w:rsidRPr="00604584">
        <w:rPr>
          <w:rFonts w:ascii="Arial" w:hAnsi="Arial" w:cs="Arial"/>
          <w:i/>
          <w:iCs/>
          <w:noProof/>
          <w:szCs w:val="24"/>
        </w:rPr>
        <w:t>Dam Safety : Monitoring of Tailings Dams and Safety Reviews</w:t>
      </w:r>
      <w:r w:rsidRPr="00604584">
        <w:rPr>
          <w:rFonts w:ascii="Arial" w:hAnsi="Arial" w:cs="Arial"/>
          <w:noProof/>
          <w:szCs w:val="24"/>
        </w:rPr>
        <w:t xml:space="preserve">. </w:t>
      </w:r>
      <w:r w:rsidRPr="00604584">
        <w:rPr>
          <w:rFonts w:ascii="Arial" w:hAnsi="Arial" w:cs="Arial"/>
          <w:i/>
          <w:iCs/>
          <w:noProof/>
          <w:szCs w:val="24"/>
        </w:rPr>
        <w:t>11</w:t>
      </w:r>
      <w:r w:rsidRPr="00604584">
        <w:rPr>
          <w:rFonts w:ascii="Arial" w:hAnsi="Arial" w:cs="Arial"/>
          <w:noProof/>
          <w:szCs w:val="24"/>
        </w:rPr>
        <w:t>(1), 249–289.</w:t>
      </w:r>
    </w:p>
    <w:p w:rsidR="002F2617" w:rsidRPr="00604584" w:rsidRDefault="002F2617" w:rsidP="002F2617">
      <w:pPr>
        <w:widowControl w:val="0"/>
        <w:autoSpaceDE w:val="0"/>
        <w:autoSpaceDN w:val="0"/>
        <w:adjustRightInd w:val="0"/>
        <w:ind w:left="480" w:hanging="480"/>
        <w:jc w:val="both"/>
        <w:rPr>
          <w:rFonts w:ascii="Arial" w:hAnsi="Arial" w:cs="Arial"/>
          <w:noProof/>
          <w:szCs w:val="24"/>
        </w:rPr>
      </w:pPr>
      <w:r w:rsidRPr="00604584">
        <w:rPr>
          <w:rFonts w:ascii="Arial" w:hAnsi="Arial" w:cs="Arial"/>
          <w:noProof/>
          <w:szCs w:val="24"/>
        </w:rPr>
        <w:t xml:space="preserve">Barbara, S. (2001). </w:t>
      </w:r>
      <w:r w:rsidRPr="00604584">
        <w:rPr>
          <w:rFonts w:ascii="Arial" w:hAnsi="Arial" w:cs="Arial"/>
          <w:i/>
          <w:iCs/>
          <w:noProof/>
          <w:szCs w:val="24"/>
        </w:rPr>
        <w:t>Evaluation and Use of Risk Estimates in Dam Safety Decisionmaking David S. Bowles, Fellow, ASCE 1</w:t>
      </w:r>
      <w:r w:rsidRPr="00604584">
        <w:rPr>
          <w:rFonts w:ascii="Arial" w:hAnsi="Arial" w:cs="Arial"/>
          <w:noProof/>
          <w:szCs w:val="24"/>
        </w:rPr>
        <w:t xml:space="preserve">. </w:t>
      </w:r>
      <w:r w:rsidRPr="00604584">
        <w:rPr>
          <w:rFonts w:ascii="Arial" w:hAnsi="Arial" w:cs="Arial"/>
          <w:i/>
          <w:iCs/>
          <w:noProof/>
          <w:szCs w:val="24"/>
        </w:rPr>
        <w:t>August</w:t>
      </w:r>
      <w:r w:rsidRPr="00604584">
        <w:rPr>
          <w:rFonts w:ascii="Arial" w:hAnsi="Arial" w:cs="Arial"/>
          <w:noProof/>
          <w:szCs w:val="24"/>
        </w:rPr>
        <w:t>, 1–17.</w:t>
      </w:r>
    </w:p>
    <w:p w:rsidR="002F2617" w:rsidRPr="00604584" w:rsidRDefault="002F2617" w:rsidP="002F2617">
      <w:pPr>
        <w:widowControl w:val="0"/>
        <w:autoSpaceDE w:val="0"/>
        <w:autoSpaceDN w:val="0"/>
        <w:adjustRightInd w:val="0"/>
        <w:ind w:left="480" w:hanging="480"/>
        <w:jc w:val="both"/>
        <w:rPr>
          <w:rFonts w:ascii="Arial" w:hAnsi="Arial" w:cs="Arial"/>
          <w:noProof/>
          <w:szCs w:val="24"/>
        </w:rPr>
      </w:pPr>
      <w:r w:rsidRPr="00604584">
        <w:rPr>
          <w:rFonts w:ascii="Arial" w:hAnsi="Arial" w:cs="Arial"/>
          <w:noProof/>
          <w:szCs w:val="24"/>
        </w:rPr>
        <w:t xml:space="preserve">Bowles, D. S., Anderson, L. R., &amp; Glover, T. F. (1997). </w:t>
      </w:r>
      <w:r w:rsidRPr="00604584">
        <w:rPr>
          <w:rFonts w:ascii="Arial" w:hAnsi="Arial" w:cs="Arial"/>
          <w:i/>
          <w:iCs/>
          <w:noProof/>
          <w:szCs w:val="24"/>
        </w:rPr>
        <w:t>A Role for Risk Assessment in Dam Safety Management</w:t>
      </w:r>
      <w:r w:rsidRPr="00604584">
        <w:rPr>
          <w:rFonts w:ascii="Arial" w:hAnsi="Arial" w:cs="Arial"/>
          <w:noProof/>
          <w:szCs w:val="24"/>
        </w:rPr>
        <w:t xml:space="preserve">. </w:t>
      </w:r>
      <w:r w:rsidRPr="00604584">
        <w:rPr>
          <w:rFonts w:ascii="Arial" w:hAnsi="Arial" w:cs="Arial"/>
          <w:i/>
          <w:iCs/>
          <w:noProof/>
          <w:szCs w:val="24"/>
        </w:rPr>
        <w:t>June</w:t>
      </w:r>
      <w:r w:rsidRPr="00604584">
        <w:rPr>
          <w:rFonts w:ascii="Arial" w:hAnsi="Arial" w:cs="Arial"/>
          <w:noProof/>
          <w:szCs w:val="24"/>
        </w:rPr>
        <w:t>.</w:t>
      </w:r>
    </w:p>
    <w:p w:rsidR="002F2617" w:rsidRPr="00604584" w:rsidRDefault="002F2617" w:rsidP="002F2617">
      <w:pPr>
        <w:widowControl w:val="0"/>
        <w:autoSpaceDE w:val="0"/>
        <w:autoSpaceDN w:val="0"/>
        <w:adjustRightInd w:val="0"/>
        <w:ind w:left="480" w:hanging="480"/>
        <w:jc w:val="both"/>
        <w:rPr>
          <w:rFonts w:ascii="Arial" w:hAnsi="Arial" w:cs="Arial"/>
          <w:noProof/>
          <w:szCs w:val="24"/>
        </w:rPr>
      </w:pPr>
      <w:r w:rsidRPr="00604584">
        <w:rPr>
          <w:rFonts w:ascii="Arial" w:hAnsi="Arial" w:cs="Arial"/>
          <w:noProof/>
          <w:szCs w:val="24"/>
        </w:rPr>
        <w:t xml:space="preserve">Bozdağ, A., Yavuz, F., &amp; Günay, A. S. (2016). AHP and GIS based land suitability analysis for Cihanbeyli (Turkey) County. </w:t>
      </w:r>
      <w:r w:rsidRPr="00604584">
        <w:rPr>
          <w:rFonts w:ascii="Arial" w:hAnsi="Arial" w:cs="Arial"/>
          <w:i/>
          <w:iCs/>
          <w:noProof/>
          <w:szCs w:val="24"/>
        </w:rPr>
        <w:t>Environmental Earth Sciences</w:t>
      </w:r>
      <w:r w:rsidRPr="00604584">
        <w:rPr>
          <w:rFonts w:ascii="Arial" w:hAnsi="Arial" w:cs="Arial"/>
          <w:noProof/>
          <w:szCs w:val="24"/>
        </w:rPr>
        <w:t xml:space="preserve">, </w:t>
      </w:r>
      <w:r w:rsidRPr="00604584">
        <w:rPr>
          <w:rFonts w:ascii="Arial" w:hAnsi="Arial" w:cs="Arial"/>
          <w:i/>
          <w:iCs/>
          <w:noProof/>
          <w:szCs w:val="24"/>
        </w:rPr>
        <w:t>75</w:t>
      </w:r>
      <w:r w:rsidRPr="00604584">
        <w:rPr>
          <w:rFonts w:ascii="Arial" w:hAnsi="Arial" w:cs="Arial"/>
          <w:noProof/>
          <w:szCs w:val="24"/>
        </w:rPr>
        <w:t>(9). https://doi.org/10.1007/s12665-016-5558-9</w:t>
      </w:r>
    </w:p>
    <w:p w:rsidR="002F2617" w:rsidRPr="00604584" w:rsidRDefault="002F2617" w:rsidP="002F2617">
      <w:pPr>
        <w:widowControl w:val="0"/>
        <w:autoSpaceDE w:val="0"/>
        <w:autoSpaceDN w:val="0"/>
        <w:adjustRightInd w:val="0"/>
        <w:ind w:left="480" w:hanging="480"/>
        <w:jc w:val="both"/>
        <w:rPr>
          <w:rFonts w:ascii="Arial" w:hAnsi="Arial" w:cs="Arial"/>
          <w:noProof/>
          <w:szCs w:val="24"/>
        </w:rPr>
      </w:pPr>
      <w:r w:rsidRPr="00604584">
        <w:rPr>
          <w:rFonts w:ascii="Arial" w:hAnsi="Arial" w:cs="Arial"/>
          <w:noProof/>
          <w:szCs w:val="24"/>
        </w:rPr>
        <w:t xml:space="preserve">Clarkson, L., Williams, D., &amp; Seppälä, J. (2021). Real-time monitoring of tailings dams. </w:t>
      </w:r>
      <w:r w:rsidRPr="00604584">
        <w:rPr>
          <w:rFonts w:ascii="Arial" w:hAnsi="Arial" w:cs="Arial"/>
          <w:i/>
          <w:iCs/>
          <w:noProof/>
          <w:szCs w:val="24"/>
        </w:rPr>
        <w:t>Georisk</w:t>
      </w:r>
      <w:r w:rsidRPr="00604584">
        <w:rPr>
          <w:rFonts w:ascii="Arial" w:hAnsi="Arial" w:cs="Arial"/>
          <w:noProof/>
          <w:szCs w:val="24"/>
        </w:rPr>
        <w:t xml:space="preserve">, </w:t>
      </w:r>
      <w:r w:rsidRPr="00604584">
        <w:rPr>
          <w:rFonts w:ascii="Arial" w:hAnsi="Arial" w:cs="Arial"/>
          <w:i/>
          <w:iCs/>
          <w:noProof/>
          <w:szCs w:val="24"/>
        </w:rPr>
        <w:t>15</w:t>
      </w:r>
      <w:r w:rsidRPr="00604584">
        <w:rPr>
          <w:rFonts w:ascii="Arial" w:hAnsi="Arial" w:cs="Arial"/>
          <w:noProof/>
          <w:szCs w:val="24"/>
        </w:rPr>
        <w:t>(2), 113–127. https://doi.org/10.1080/17499518.2020.1740280</w:t>
      </w:r>
    </w:p>
    <w:p w:rsidR="002F2617" w:rsidRPr="00604584" w:rsidRDefault="002F2617" w:rsidP="002F2617">
      <w:pPr>
        <w:widowControl w:val="0"/>
        <w:autoSpaceDE w:val="0"/>
        <w:autoSpaceDN w:val="0"/>
        <w:adjustRightInd w:val="0"/>
        <w:ind w:left="480" w:hanging="480"/>
        <w:jc w:val="both"/>
        <w:rPr>
          <w:rFonts w:ascii="Arial" w:hAnsi="Arial" w:cs="Arial"/>
          <w:noProof/>
          <w:szCs w:val="24"/>
        </w:rPr>
      </w:pPr>
      <w:r w:rsidRPr="00604584">
        <w:rPr>
          <w:rFonts w:ascii="Arial" w:hAnsi="Arial" w:cs="Arial"/>
          <w:noProof/>
          <w:szCs w:val="24"/>
        </w:rPr>
        <w:t xml:space="preserve">Ćosić-Flajsig, G., Vučković, I., &amp; Karleuša, B. (2020). An innovative holistic approach to an </w:t>
      </w:r>
      <w:r w:rsidRPr="00604584">
        <w:rPr>
          <w:rFonts w:ascii="Arial" w:hAnsi="Arial" w:cs="Arial"/>
          <w:noProof/>
          <w:szCs w:val="24"/>
        </w:rPr>
        <w:lastRenderedPageBreak/>
        <w:t xml:space="preserve">e-flow assessment model. </w:t>
      </w:r>
      <w:r w:rsidRPr="00604584">
        <w:rPr>
          <w:rFonts w:ascii="Arial" w:hAnsi="Arial" w:cs="Arial"/>
          <w:i/>
          <w:iCs/>
          <w:noProof/>
          <w:szCs w:val="24"/>
        </w:rPr>
        <w:t>Civil Engineering Journal (Iran)</w:t>
      </w:r>
      <w:r w:rsidRPr="00604584">
        <w:rPr>
          <w:rFonts w:ascii="Arial" w:hAnsi="Arial" w:cs="Arial"/>
          <w:noProof/>
          <w:szCs w:val="24"/>
        </w:rPr>
        <w:t xml:space="preserve">, </w:t>
      </w:r>
      <w:r w:rsidRPr="00604584">
        <w:rPr>
          <w:rFonts w:ascii="Arial" w:hAnsi="Arial" w:cs="Arial"/>
          <w:i/>
          <w:iCs/>
          <w:noProof/>
          <w:szCs w:val="24"/>
        </w:rPr>
        <w:t>6</w:t>
      </w:r>
      <w:r w:rsidRPr="00604584">
        <w:rPr>
          <w:rFonts w:ascii="Arial" w:hAnsi="Arial" w:cs="Arial"/>
          <w:noProof/>
          <w:szCs w:val="24"/>
        </w:rPr>
        <w:t>(11), 2188–2202. https://doi.org/10.28991/cej-2020-03091611</w:t>
      </w:r>
    </w:p>
    <w:p w:rsidR="002F2617" w:rsidRPr="00604584" w:rsidRDefault="002F2617" w:rsidP="002F2617">
      <w:pPr>
        <w:widowControl w:val="0"/>
        <w:autoSpaceDE w:val="0"/>
        <w:autoSpaceDN w:val="0"/>
        <w:adjustRightInd w:val="0"/>
        <w:ind w:left="480" w:hanging="480"/>
        <w:jc w:val="both"/>
        <w:rPr>
          <w:rFonts w:ascii="Arial" w:hAnsi="Arial" w:cs="Arial"/>
          <w:noProof/>
          <w:szCs w:val="24"/>
        </w:rPr>
      </w:pPr>
      <w:r w:rsidRPr="00604584">
        <w:rPr>
          <w:rFonts w:ascii="Arial" w:hAnsi="Arial" w:cs="Arial"/>
          <w:noProof/>
          <w:szCs w:val="24"/>
        </w:rPr>
        <w:t xml:space="preserve">Deshpande, R. S., &amp; Narayanamoorthy, A. (2001). </w:t>
      </w:r>
      <w:r w:rsidRPr="00604584">
        <w:rPr>
          <w:rFonts w:ascii="Arial" w:hAnsi="Arial" w:cs="Arial"/>
          <w:i/>
          <w:iCs/>
          <w:noProof/>
          <w:szCs w:val="24"/>
        </w:rPr>
        <w:t>Economic and Political Weekly Issues before Second Irrigation Commission of Maharashtra</w:t>
      </w:r>
      <w:r w:rsidRPr="00604584">
        <w:rPr>
          <w:rFonts w:ascii="Arial" w:hAnsi="Arial" w:cs="Arial"/>
          <w:noProof/>
          <w:szCs w:val="24"/>
        </w:rPr>
        <w:t xml:space="preserve">. </w:t>
      </w:r>
      <w:r w:rsidRPr="00604584">
        <w:rPr>
          <w:rFonts w:ascii="Arial" w:hAnsi="Arial" w:cs="Arial"/>
          <w:i/>
          <w:iCs/>
          <w:noProof/>
          <w:szCs w:val="24"/>
        </w:rPr>
        <w:t>36</w:t>
      </w:r>
      <w:r w:rsidRPr="00604584">
        <w:rPr>
          <w:rFonts w:ascii="Arial" w:hAnsi="Arial" w:cs="Arial"/>
          <w:noProof/>
          <w:szCs w:val="24"/>
        </w:rPr>
        <w:t>(12), 1034–1043.</w:t>
      </w:r>
    </w:p>
    <w:p w:rsidR="002F2617" w:rsidRPr="00604584" w:rsidRDefault="002F2617" w:rsidP="002F2617">
      <w:pPr>
        <w:widowControl w:val="0"/>
        <w:autoSpaceDE w:val="0"/>
        <w:autoSpaceDN w:val="0"/>
        <w:adjustRightInd w:val="0"/>
        <w:ind w:left="480" w:hanging="480"/>
        <w:jc w:val="both"/>
        <w:rPr>
          <w:rFonts w:ascii="Arial" w:hAnsi="Arial" w:cs="Arial"/>
          <w:noProof/>
          <w:szCs w:val="24"/>
        </w:rPr>
      </w:pPr>
      <w:r w:rsidRPr="00604584">
        <w:rPr>
          <w:rFonts w:ascii="Arial" w:hAnsi="Arial" w:cs="Arial"/>
          <w:noProof/>
          <w:szCs w:val="24"/>
        </w:rPr>
        <w:t xml:space="preserve">Donnelly, C. R., &amp; Consulting, C. R. D. (2020). </w:t>
      </w:r>
      <w:r w:rsidRPr="00604584">
        <w:rPr>
          <w:rFonts w:ascii="Arial" w:hAnsi="Arial" w:cs="Arial"/>
          <w:i/>
          <w:iCs/>
          <w:noProof/>
          <w:szCs w:val="24"/>
        </w:rPr>
        <w:t>A Discussion on the Evolution and Application of Quantitative Risk Informed Dam Safety Decision Making A Discussion on the Evolution and Application of Quantitative Risk Informed Dam Safety Decision Making</w:t>
      </w:r>
      <w:r w:rsidRPr="00604584">
        <w:rPr>
          <w:rFonts w:ascii="Arial" w:hAnsi="Arial" w:cs="Arial"/>
          <w:noProof/>
          <w:szCs w:val="24"/>
        </w:rPr>
        <w:t xml:space="preserve">. </w:t>
      </w:r>
      <w:r w:rsidRPr="00604584">
        <w:rPr>
          <w:rFonts w:ascii="Arial" w:hAnsi="Arial" w:cs="Arial"/>
          <w:i/>
          <w:iCs/>
          <w:noProof/>
          <w:szCs w:val="24"/>
        </w:rPr>
        <w:t>April</w:t>
      </w:r>
      <w:r w:rsidRPr="00604584">
        <w:rPr>
          <w:rFonts w:ascii="Arial" w:hAnsi="Arial" w:cs="Arial"/>
          <w:noProof/>
          <w:szCs w:val="24"/>
        </w:rPr>
        <w:t>. https://doi.org/10.1007/978-981-15-1971-0</w:t>
      </w:r>
    </w:p>
    <w:p w:rsidR="002F2617" w:rsidRPr="00604584" w:rsidRDefault="002F2617" w:rsidP="002F2617">
      <w:pPr>
        <w:widowControl w:val="0"/>
        <w:autoSpaceDE w:val="0"/>
        <w:autoSpaceDN w:val="0"/>
        <w:adjustRightInd w:val="0"/>
        <w:ind w:left="480" w:hanging="480"/>
        <w:jc w:val="both"/>
        <w:rPr>
          <w:rFonts w:ascii="Arial" w:hAnsi="Arial" w:cs="Arial"/>
          <w:noProof/>
          <w:szCs w:val="24"/>
        </w:rPr>
      </w:pPr>
      <w:r w:rsidRPr="00604584">
        <w:rPr>
          <w:rFonts w:ascii="Arial" w:hAnsi="Arial" w:cs="Arial"/>
          <w:noProof/>
          <w:szCs w:val="24"/>
        </w:rPr>
        <w:t xml:space="preserve">Dorm-Adzobu, C., &amp; Ampomah, B. Y. (2014). Legislative and institutional reforms for water resources management in Ghana. </w:t>
      </w:r>
      <w:r w:rsidRPr="00604584">
        <w:rPr>
          <w:rFonts w:ascii="Arial" w:hAnsi="Arial" w:cs="Arial"/>
          <w:i/>
          <w:iCs/>
          <w:noProof/>
          <w:szCs w:val="24"/>
        </w:rPr>
        <w:t>International Journal of Water Resources Development</w:t>
      </w:r>
      <w:r w:rsidRPr="00604584">
        <w:rPr>
          <w:rFonts w:ascii="Arial" w:hAnsi="Arial" w:cs="Arial"/>
          <w:noProof/>
          <w:szCs w:val="24"/>
        </w:rPr>
        <w:t xml:space="preserve">, </w:t>
      </w:r>
      <w:r w:rsidRPr="00604584">
        <w:rPr>
          <w:rFonts w:ascii="Arial" w:hAnsi="Arial" w:cs="Arial"/>
          <w:i/>
          <w:iCs/>
          <w:noProof/>
          <w:szCs w:val="24"/>
        </w:rPr>
        <w:t>30</w:t>
      </w:r>
      <w:r w:rsidRPr="00604584">
        <w:rPr>
          <w:rFonts w:ascii="Arial" w:hAnsi="Arial" w:cs="Arial"/>
          <w:noProof/>
          <w:szCs w:val="24"/>
        </w:rPr>
        <w:t>(3), 559–571. https://doi.org/10.1080/07900627.2013.837359</w:t>
      </w:r>
    </w:p>
    <w:p w:rsidR="002F2617" w:rsidRPr="00604584" w:rsidRDefault="002F2617" w:rsidP="002F2617">
      <w:pPr>
        <w:widowControl w:val="0"/>
        <w:autoSpaceDE w:val="0"/>
        <w:autoSpaceDN w:val="0"/>
        <w:adjustRightInd w:val="0"/>
        <w:ind w:left="480" w:hanging="480"/>
        <w:jc w:val="both"/>
        <w:rPr>
          <w:rFonts w:ascii="Arial" w:hAnsi="Arial" w:cs="Arial"/>
          <w:noProof/>
          <w:szCs w:val="24"/>
        </w:rPr>
      </w:pPr>
      <w:r w:rsidRPr="00604584">
        <w:rPr>
          <w:rFonts w:ascii="Arial" w:hAnsi="Arial" w:cs="Arial"/>
          <w:noProof/>
          <w:szCs w:val="24"/>
        </w:rPr>
        <w:t xml:space="preserve">Essex and Suffolk Water. (2014). Final Water Resources Management Plan. </w:t>
      </w:r>
      <w:r w:rsidRPr="00604584">
        <w:rPr>
          <w:rFonts w:ascii="Arial" w:hAnsi="Arial" w:cs="Arial"/>
          <w:i/>
          <w:iCs/>
          <w:noProof/>
          <w:szCs w:val="24"/>
        </w:rPr>
        <w:t>Water Resources Management</w:t>
      </w:r>
      <w:r w:rsidRPr="00604584">
        <w:rPr>
          <w:rFonts w:ascii="Arial" w:hAnsi="Arial" w:cs="Arial"/>
          <w:noProof/>
          <w:szCs w:val="24"/>
        </w:rPr>
        <w:t xml:space="preserve">, </w:t>
      </w:r>
      <w:r w:rsidRPr="00604584">
        <w:rPr>
          <w:rFonts w:ascii="Arial" w:hAnsi="Arial" w:cs="Arial"/>
          <w:i/>
          <w:iCs/>
          <w:noProof/>
          <w:szCs w:val="24"/>
        </w:rPr>
        <w:t>August</w:t>
      </w:r>
      <w:r w:rsidRPr="00604584">
        <w:rPr>
          <w:rFonts w:ascii="Arial" w:hAnsi="Arial" w:cs="Arial"/>
          <w:noProof/>
          <w:szCs w:val="24"/>
        </w:rPr>
        <w:t>.</w:t>
      </w:r>
    </w:p>
    <w:p w:rsidR="002F2617" w:rsidRPr="00604584" w:rsidRDefault="002F2617" w:rsidP="002F2617">
      <w:pPr>
        <w:widowControl w:val="0"/>
        <w:autoSpaceDE w:val="0"/>
        <w:autoSpaceDN w:val="0"/>
        <w:adjustRightInd w:val="0"/>
        <w:ind w:left="480" w:hanging="480"/>
        <w:jc w:val="both"/>
        <w:rPr>
          <w:rFonts w:ascii="Arial" w:hAnsi="Arial" w:cs="Arial"/>
          <w:noProof/>
          <w:szCs w:val="24"/>
        </w:rPr>
      </w:pPr>
      <w:r w:rsidRPr="00604584">
        <w:rPr>
          <w:rFonts w:ascii="Arial" w:hAnsi="Arial" w:cs="Arial"/>
          <w:noProof/>
          <w:szCs w:val="24"/>
        </w:rPr>
        <w:t xml:space="preserve">Fairman, R., &amp; Yapp, C. (2005). Enforced self-regulation, prescription, and conceptions of compliance within small businesses: The impact of enforcement. </w:t>
      </w:r>
      <w:r w:rsidRPr="00604584">
        <w:rPr>
          <w:rFonts w:ascii="Arial" w:hAnsi="Arial" w:cs="Arial"/>
          <w:i/>
          <w:iCs/>
          <w:noProof/>
          <w:szCs w:val="24"/>
        </w:rPr>
        <w:t>Law and Policy</w:t>
      </w:r>
      <w:r w:rsidRPr="00604584">
        <w:rPr>
          <w:rFonts w:ascii="Arial" w:hAnsi="Arial" w:cs="Arial"/>
          <w:noProof/>
          <w:szCs w:val="24"/>
        </w:rPr>
        <w:t xml:space="preserve">, </w:t>
      </w:r>
      <w:r w:rsidRPr="00604584">
        <w:rPr>
          <w:rFonts w:ascii="Arial" w:hAnsi="Arial" w:cs="Arial"/>
          <w:i/>
          <w:iCs/>
          <w:noProof/>
          <w:szCs w:val="24"/>
        </w:rPr>
        <w:t>27</w:t>
      </w:r>
      <w:r w:rsidRPr="00604584">
        <w:rPr>
          <w:rFonts w:ascii="Arial" w:hAnsi="Arial" w:cs="Arial"/>
          <w:noProof/>
          <w:szCs w:val="24"/>
        </w:rPr>
        <w:t>(4), 491–519. https://doi.org/10.1111/j.1467-9930.2005.00209.x</w:t>
      </w:r>
    </w:p>
    <w:p w:rsidR="002F2617" w:rsidRPr="00604584" w:rsidRDefault="002F2617" w:rsidP="002F2617">
      <w:pPr>
        <w:widowControl w:val="0"/>
        <w:autoSpaceDE w:val="0"/>
        <w:autoSpaceDN w:val="0"/>
        <w:adjustRightInd w:val="0"/>
        <w:ind w:left="480" w:hanging="480"/>
        <w:jc w:val="both"/>
        <w:rPr>
          <w:rFonts w:ascii="Arial" w:hAnsi="Arial" w:cs="Arial"/>
          <w:noProof/>
          <w:szCs w:val="24"/>
        </w:rPr>
      </w:pPr>
      <w:r w:rsidRPr="00604584">
        <w:rPr>
          <w:rFonts w:ascii="Arial" w:hAnsi="Arial" w:cs="Arial"/>
          <w:noProof/>
          <w:szCs w:val="24"/>
        </w:rPr>
        <w:t xml:space="preserve">Fluixá-Sanmartín, J., Morales-Torres, A., Altarejos-García, L., &amp; Escuder-Bueno, I. (2019). Incorporation of a time-dependent risk analysis approach to dam safety management. </w:t>
      </w:r>
      <w:r w:rsidRPr="00604584">
        <w:rPr>
          <w:rFonts w:ascii="Arial" w:hAnsi="Arial" w:cs="Arial"/>
          <w:i/>
          <w:iCs/>
          <w:noProof/>
          <w:szCs w:val="24"/>
        </w:rPr>
        <w:t>Sustainable and Safe Dams Around the World</w:t>
      </w:r>
      <w:r w:rsidRPr="00604584">
        <w:rPr>
          <w:rFonts w:ascii="Arial" w:hAnsi="Arial" w:cs="Arial"/>
          <w:noProof/>
          <w:szCs w:val="24"/>
        </w:rPr>
        <w:t xml:space="preserve">, </w:t>
      </w:r>
      <w:r w:rsidRPr="00604584">
        <w:rPr>
          <w:rFonts w:ascii="Arial" w:hAnsi="Arial" w:cs="Arial"/>
          <w:i/>
          <w:iCs/>
          <w:noProof/>
          <w:szCs w:val="24"/>
        </w:rPr>
        <w:t>September</w:t>
      </w:r>
      <w:r w:rsidRPr="00604584">
        <w:rPr>
          <w:rFonts w:ascii="Arial" w:hAnsi="Arial" w:cs="Arial"/>
          <w:noProof/>
          <w:szCs w:val="24"/>
        </w:rPr>
        <w:t>, 2384–2392. https://doi.org/10.1201/9780429319778-213</w:t>
      </w:r>
    </w:p>
    <w:p w:rsidR="002F2617" w:rsidRPr="00604584" w:rsidRDefault="002F2617" w:rsidP="002F2617">
      <w:pPr>
        <w:widowControl w:val="0"/>
        <w:autoSpaceDE w:val="0"/>
        <w:autoSpaceDN w:val="0"/>
        <w:adjustRightInd w:val="0"/>
        <w:ind w:left="480" w:hanging="480"/>
        <w:jc w:val="both"/>
        <w:rPr>
          <w:rFonts w:ascii="Arial" w:hAnsi="Arial" w:cs="Arial"/>
          <w:noProof/>
          <w:szCs w:val="24"/>
        </w:rPr>
      </w:pPr>
      <w:r w:rsidRPr="00EB1F6C">
        <w:rPr>
          <w:rFonts w:ascii="Arial" w:hAnsi="Arial" w:cs="Arial"/>
          <w:noProof/>
          <w:szCs w:val="24"/>
          <w:lang w:val="fr-FR"/>
        </w:rPr>
        <w:t xml:space="preserve">Fréchette, V., Suzanne Lacasse, C., &amp; Eng, P. (2022). </w:t>
      </w:r>
      <w:r w:rsidRPr="00604584">
        <w:rPr>
          <w:rFonts w:ascii="Arial" w:hAnsi="Arial" w:cs="Arial"/>
          <w:i/>
          <w:iCs/>
          <w:noProof/>
          <w:szCs w:val="24"/>
        </w:rPr>
        <w:t>Risk-Informed Approach for the Safety Assessment of Dams a Toolkit for the Dam Owner</w:t>
      </w:r>
      <w:r w:rsidRPr="00604584">
        <w:rPr>
          <w:rFonts w:ascii="Arial" w:hAnsi="Arial" w:cs="Arial"/>
          <w:noProof/>
          <w:szCs w:val="24"/>
        </w:rPr>
        <w:t xml:space="preserve">. </w:t>
      </w:r>
      <w:r w:rsidRPr="00604584">
        <w:rPr>
          <w:rFonts w:ascii="Arial" w:hAnsi="Arial" w:cs="Arial"/>
          <w:i/>
          <w:iCs/>
          <w:noProof/>
          <w:szCs w:val="24"/>
        </w:rPr>
        <w:t>October</w:t>
      </w:r>
      <w:r w:rsidRPr="00604584">
        <w:rPr>
          <w:rFonts w:ascii="Arial" w:hAnsi="Arial" w:cs="Arial"/>
          <w:noProof/>
          <w:szCs w:val="24"/>
        </w:rPr>
        <w:t>.</w:t>
      </w:r>
    </w:p>
    <w:p w:rsidR="002F2617" w:rsidRPr="00604584" w:rsidRDefault="002F2617" w:rsidP="002F2617">
      <w:pPr>
        <w:widowControl w:val="0"/>
        <w:autoSpaceDE w:val="0"/>
        <w:autoSpaceDN w:val="0"/>
        <w:adjustRightInd w:val="0"/>
        <w:ind w:left="480" w:hanging="480"/>
        <w:jc w:val="both"/>
        <w:rPr>
          <w:rFonts w:ascii="Arial" w:hAnsi="Arial" w:cs="Arial"/>
          <w:noProof/>
          <w:szCs w:val="24"/>
        </w:rPr>
      </w:pPr>
      <w:r w:rsidRPr="00604584">
        <w:rPr>
          <w:rFonts w:ascii="Arial" w:hAnsi="Arial" w:cs="Arial"/>
          <w:noProof/>
          <w:szCs w:val="24"/>
        </w:rPr>
        <w:t xml:space="preserve">Gebresilasie, Y., Tesfa, H., Andualem, G., Abathun, M., Workineh, M., &amp; Ayele, T. (2022). Suitable dam site identification using GIS </w:t>
      </w:r>
      <w:r w:rsidRPr="00604584">
        <w:rPr>
          <w:rFonts w:ascii="Cambria Math" w:hAnsi="Cambria Math" w:cs="Cambria Math"/>
          <w:noProof/>
          <w:szCs w:val="24"/>
        </w:rPr>
        <w:t>‑</w:t>
      </w:r>
      <w:r w:rsidRPr="00604584">
        <w:rPr>
          <w:rFonts w:ascii="Arial" w:hAnsi="Arial" w:cs="Arial"/>
          <w:noProof/>
          <w:szCs w:val="24"/>
        </w:rPr>
        <w:t xml:space="preserve"> based MCDA : a case study of Chemoga watershed , Ethiopia. </w:t>
      </w:r>
      <w:r w:rsidRPr="00604584">
        <w:rPr>
          <w:rFonts w:ascii="Arial" w:hAnsi="Arial" w:cs="Arial"/>
          <w:i/>
          <w:iCs/>
          <w:noProof/>
          <w:szCs w:val="24"/>
        </w:rPr>
        <w:t>Applied Water Science</w:t>
      </w:r>
      <w:r w:rsidRPr="00604584">
        <w:rPr>
          <w:rFonts w:ascii="Arial" w:hAnsi="Arial" w:cs="Arial"/>
          <w:noProof/>
          <w:szCs w:val="24"/>
        </w:rPr>
        <w:t xml:space="preserve">, </w:t>
      </w:r>
      <w:r w:rsidRPr="00604584">
        <w:rPr>
          <w:rFonts w:ascii="Arial" w:hAnsi="Arial" w:cs="Arial"/>
          <w:i/>
          <w:iCs/>
          <w:noProof/>
          <w:szCs w:val="24"/>
        </w:rPr>
        <w:t>12</w:t>
      </w:r>
      <w:r w:rsidRPr="00604584">
        <w:rPr>
          <w:rFonts w:ascii="Arial" w:hAnsi="Arial" w:cs="Arial"/>
          <w:noProof/>
          <w:szCs w:val="24"/>
        </w:rPr>
        <w:t>(4), 1–26. https://doi.org/10.1007/s13201-022-01592-9</w:t>
      </w:r>
    </w:p>
    <w:p w:rsidR="002F2617" w:rsidRPr="00604584" w:rsidRDefault="002F2617" w:rsidP="002F2617">
      <w:pPr>
        <w:widowControl w:val="0"/>
        <w:autoSpaceDE w:val="0"/>
        <w:autoSpaceDN w:val="0"/>
        <w:adjustRightInd w:val="0"/>
        <w:ind w:left="480" w:hanging="480"/>
        <w:jc w:val="both"/>
        <w:rPr>
          <w:rFonts w:ascii="Arial" w:hAnsi="Arial" w:cs="Arial"/>
          <w:noProof/>
          <w:szCs w:val="24"/>
        </w:rPr>
      </w:pPr>
      <w:r w:rsidRPr="00604584">
        <w:rPr>
          <w:rFonts w:ascii="Arial" w:hAnsi="Arial" w:cs="Arial"/>
          <w:noProof/>
          <w:szCs w:val="24"/>
        </w:rPr>
        <w:t xml:space="preserve">Gobry, J. J., Twisa, S. S., Ngassapa, F., &amp; Kilulya, K. F. (2023). Impact of land-use/cover change on water quality in the Mindu Dam drainage, Tanzania. </w:t>
      </w:r>
      <w:r w:rsidRPr="00604584">
        <w:rPr>
          <w:rFonts w:ascii="Arial" w:hAnsi="Arial" w:cs="Arial"/>
          <w:i/>
          <w:iCs/>
          <w:noProof/>
          <w:szCs w:val="24"/>
        </w:rPr>
        <w:t>Water Practice and Technology</w:t>
      </w:r>
      <w:r w:rsidRPr="00604584">
        <w:rPr>
          <w:rFonts w:ascii="Arial" w:hAnsi="Arial" w:cs="Arial"/>
          <w:noProof/>
          <w:szCs w:val="24"/>
        </w:rPr>
        <w:t xml:space="preserve">, </w:t>
      </w:r>
      <w:r w:rsidRPr="00604584">
        <w:rPr>
          <w:rFonts w:ascii="Arial" w:hAnsi="Arial" w:cs="Arial"/>
          <w:i/>
          <w:iCs/>
          <w:noProof/>
          <w:szCs w:val="24"/>
        </w:rPr>
        <w:t>18</w:t>
      </w:r>
      <w:r w:rsidRPr="00604584">
        <w:rPr>
          <w:rFonts w:ascii="Arial" w:hAnsi="Arial" w:cs="Arial"/>
          <w:noProof/>
          <w:szCs w:val="24"/>
        </w:rPr>
        <w:t>(5), 1086–1098. https://doi.org/10.2166/wpt.2023.067</w:t>
      </w:r>
    </w:p>
    <w:p w:rsidR="002F2617" w:rsidRPr="00604584" w:rsidRDefault="002F2617" w:rsidP="002F2617">
      <w:pPr>
        <w:widowControl w:val="0"/>
        <w:autoSpaceDE w:val="0"/>
        <w:autoSpaceDN w:val="0"/>
        <w:adjustRightInd w:val="0"/>
        <w:ind w:left="480" w:hanging="480"/>
        <w:jc w:val="both"/>
        <w:rPr>
          <w:rFonts w:ascii="Arial" w:hAnsi="Arial" w:cs="Arial"/>
          <w:noProof/>
          <w:szCs w:val="24"/>
        </w:rPr>
      </w:pPr>
      <w:r w:rsidRPr="00604584">
        <w:rPr>
          <w:rFonts w:ascii="Arial" w:hAnsi="Arial" w:cs="Arial"/>
          <w:noProof/>
          <w:szCs w:val="24"/>
        </w:rPr>
        <w:t xml:space="preserve">Goff, C., Ainscoe, E., Liu, Y., &amp; Roca, M. (2021). Satellite data for dam safety monitoring. </w:t>
      </w:r>
      <w:r w:rsidRPr="00604584">
        <w:rPr>
          <w:rFonts w:ascii="Arial" w:hAnsi="Arial" w:cs="Arial"/>
          <w:i/>
          <w:iCs/>
          <w:noProof/>
          <w:szCs w:val="24"/>
        </w:rPr>
        <w:t>Dams and Reservoirs</w:t>
      </w:r>
      <w:r w:rsidRPr="00604584">
        <w:rPr>
          <w:rFonts w:ascii="Arial" w:hAnsi="Arial" w:cs="Arial"/>
          <w:noProof/>
          <w:szCs w:val="24"/>
        </w:rPr>
        <w:t xml:space="preserve">, </w:t>
      </w:r>
      <w:r w:rsidRPr="00604584">
        <w:rPr>
          <w:rFonts w:ascii="Arial" w:hAnsi="Arial" w:cs="Arial"/>
          <w:i/>
          <w:iCs/>
          <w:noProof/>
          <w:szCs w:val="24"/>
        </w:rPr>
        <w:t>31</w:t>
      </w:r>
      <w:r w:rsidRPr="00604584">
        <w:rPr>
          <w:rFonts w:ascii="Arial" w:hAnsi="Arial" w:cs="Arial"/>
          <w:noProof/>
          <w:szCs w:val="24"/>
        </w:rPr>
        <w:t>(3), 90–100. https://doi.org/10.1680/jdare.21.00021</w:t>
      </w:r>
    </w:p>
    <w:p w:rsidR="002F2617" w:rsidRPr="00604584" w:rsidRDefault="002F2617" w:rsidP="002F2617">
      <w:pPr>
        <w:widowControl w:val="0"/>
        <w:autoSpaceDE w:val="0"/>
        <w:autoSpaceDN w:val="0"/>
        <w:adjustRightInd w:val="0"/>
        <w:ind w:left="480" w:hanging="480"/>
        <w:jc w:val="both"/>
        <w:rPr>
          <w:rFonts w:ascii="Arial" w:hAnsi="Arial" w:cs="Arial"/>
          <w:noProof/>
          <w:szCs w:val="24"/>
        </w:rPr>
      </w:pPr>
      <w:r w:rsidRPr="00604584">
        <w:rPr>
          <w:rFonts w:ascii="Arial" w:hAnsi="Arial" w:cs="Arial"/>
          <w:noProof/>
          <w:szCs w:val="24"/>
        </w:rPr>
        <w:t xml:space="preserve">Hahn, G. J., &amp; Kuhn, H. (2012). Value-based performance and risk management in supply chains: A robust optimization approach. </w:t>
      </w:r>
      <w:r w:rsidRPr="00604584">
        <w:rPr>
          <w:rFonts w:ascii="Arial" w:hAnsi="Arial" w:cs="Arial"/>
          <w:i/>
          <w:iCs/>
          <w:noProof/>
          <w:szCs w:val="24"/>
        </w:rPr>
        <w:t>International Journal of Production Economics</w:t>
      </w:r>
      <w:r w:rsidRPr="00604584">
        <w:rPr>
          <w:rFonts w:ascii="Arial" w:hAnsi="Arial" w:cs="Arial"/>
          <w:noProof/>
          <w:szCs w:val="24"/>
        </w:rPr>
        <w:t xml:space="preserve">, </w:t>
      </w:r>
      <w:r w:rsidRPr="00604584">
        <w:rPr>
          <w:rFonts w:ascii="Arial" w:hAnsi="Arial" w:cs="Arial"/>
          <w:i/>
          <w:iCs/>
          <w:noProof/>
          <w:szCs w:val="24"/>
        </w:rPr>
        <w:t>139</w:t>
      </w:r>
      <w:r w:rsidRPr="00604584">
        <w:rPr>
          <w:rFonts w:ascii="Arial" w:hAnsi="Arial" w:cs="Arial"/>
          <w:noProof/>
          <w:szCs w:val="24"/>
        </w:rPr>
        <w:t>(1), 135–144. https://doi.org/10.1016/j.ijpe.2011.04.002</w:t>
      </w:r>
    </w:p>
    <w:p w:rsidR="002F2617" w:rsidRPr="00604584" w:rsidRDefault="002F2617" w:rsidP="002F2617">
      <w:pPr>
        <w:widowControl w:val="0"/>
        <w:autoSpaceDE w:val="0"/>
        <w:autoSpaceDN w:val="0"/>
        <w:adjustRightInd w:val="0"/>
        <w:ind w:left="480" w:hanging="480"/>
        <w:jc w:val="both"/>
        <w:rPr>
          <w:rFonts w:ascii="Arial" w:hAnsi="Arial" w:cs="Arial"/>
          <w:noProof/>
          <w:szCs w:val="24"/>
        </w:rPr>
      </w:pPr>
      <w:r w:rsidRPr="00604584">
        <w:rPr>
          <w:rFonts w:ascii="Arial" w:hAnsi="Arial" w:cs="Arial"/>
          <w:noProof/>
          <w:szCs w:val="24"/>
        </w:rPr>
        <w:t xml:space="preserve">He, G., Chai, J., Qin, Y., Xu, Z., &amp; Li, S. (2020). </w:t>
      </w:r>
      <w:r w:rsidRPr="00604584">
        <w:rPr>
          <w:rFonts w:ascii="Arial" w:hAnsi="Arial" w:cs="Arial"/>
          <w:i/>
          <w:iCs/>
          <w:noProof/>
          <w:szCs w:val="24"/>
        </w:rPr>
        <w:t>Evaluation of Dam Break Social Impact Assessments Based on an Improved Variable Fuzzy Set Model</w:t>
      </w:r>
      <w:r w:rsidRPr="00604584">
        <w:rPr>
          <w:rFonts w:ascii="Arial" w:hAnsi="Arial" w:cs="Arial"/>
          <w:noProof/>
          <w:szCs w:val="24"/>
        </w:rPr>
        <w:t>.</w:t>
      </w:r>
    </w:p>
    <w:p w:rsidR="002F2617" w:rsidRPr="00604584" w:rsidRDefault="002F2617" w:rsidP="002F2617">
      <w:pPr>
        <w:widowControl w:val="0"/>
        <w:autoSpaceDE w:val="0"/>
        <w:autoSpaceDN w:val="0"/>
        <w:adjustRightInd w:val="0"/>
        <w:ind w:left="480" w:hanging="480"/>
        <w:jc w:val="both"/>
        <w:rPr>
          <w:rFonts w:ascii="Arial" w:hAnsi="Arial" w:cs="Arial"/>
          <w:noProof/>
          <w:szCs w:val="24"/>
        </w:rPr>
      </w:pPr>
      <w:r w:rsidRPr="00604584">
        <w:rPr>
          <w:rFonts w:ascii="Arial" w:hAnsi="Arial" w:cs="Arial"/>
          <w:noProof/>
          <w:szCs w:val="24"/>
        </w:rPr>
        <w:t xml:space="preserve">Hoag, H. J., &amp; Ohman, M. (2023). </w:t>
      </w:r>
      <w:r w:rsidRPr="00604584">
        <w:rPr>
          <w:rFonts w:ascii="Arial" w:hAnsi="Arial" w:cs="Arial"/>
          <w:i/>
          <w:iCs/>
          <w:noProof/>
          <w:szCs w:val="24"/>
        </w:rPr>
        <w:t>Turning Water into Power : Debates over the Development of Tanzania ’ s Rufiji River Basin , Author ( s ): Heather J . Hoag and May-Britt Öhman Source : Technology and Culture , Vol . 49 , No . 3 , Water ( Jul ., 2008 ), pp . 624-651 Published by : The Jo</w:t>
      </w:r>
      <w:r w:rsidRPr="00604584">
        <w:rPr>
          <w:rFonts w:ascii="Arial" w:hAnsi="Arial" w:cs="Arial"/>
          <w:noProof/>
          <w:szCs w:val="24"/>
        </w:rPr>
        <w:t xml:space="preserve">. </w:t>
      </w:r>
      <w:r w:rsidRPr="00604584">
        <w:rPr>
          <w:rFonts w:ascii="Arial" w:hAnsi="Arial" w:cs="Arial"/>
          <w:i/>
          <w:iCs/>
          <w:noProof/>
          <w:szCs w:val="24"/>
        </w:rPr>
        <w:t>49</w:t>
      </w:r>
      <w:r w:rsidRPr="00604584">
        <w:rPr>
          <w:rFonts w:ascii="Arial" w:hAnsi="Arial" w:cs="Arial"/>
          <w:noProof/>
          <w:szCs w:val="24"/>
        </w:rPr>
        <w:t>(3), 624–651.</w:t>
      </w:r>
    </w:p>
    <w:p w:rsidR="002F2617" w:rsidRPr="00604584" w:rsidRDefault="002F2617" w:rsidP="002F2617">
      <w:pPr>
        <w:widowControl w:val="0"/>
        <w:autoSpaceDE w:val="0"/>
        <w:autoSpaceDN w:val="0"/>
        <w:adjustRightInd w:val="0"/>
        <w:ind w:left="480" w:hanging="480"/>
        <w:jc w:val="both"/>
        <w:rPr>
          <w:rFonts w:ascii="Arial" w:hAnsi="Arial" w:cs="Arial"/>
          <w:noProof/>
          <w:szCs w:val="24"/>
        </w:rPr>
      </w:pPr>
      <w:r w:rsidRPr="00604584">
        <w:rPr>
          <w:rFonts w:ascii="Arial" w:hAnsi="Arial" w:cs="Arial"/>
          <w:noProof/>
          <w:szCs w:val="24"/>
        </w:rPr>
        <w:t xml:space="preserve">Hoyt, R. E., &amp; Liebenberg, A. P. (2011). The Value of Enterprise Risk Management Author ( s ): Robert E . Hoyt and Andre P . Liebenberg Published by : American Risk and Insurance Association Stable URL : https://www.jstor.org/stable/41350401 The Value of Enterprise Risk Management. </w:t>
      </w:r>
      <w:r w:rsidRPr="00604584">
        <w:rPr>
          <w:rFonts w:ascii="Arial" w:hAnsi="Arial" w:cs="Arial"/>
          <w:i/>
          <w:iCs/>
          <w:noProof/>
          <w:szCs w:val="24"/>
        </w:rPr>
        <w:t>Journal of Risk and Insuranc</w:t>
      </w:r>
      <w:r w:rsidRPr="00604584">
        <w:rPr>
          <w:rFonts w:ascii="Arial" w:hAnsi="Arial" w:cs="Arial"/>
          <w:noProof/>
          <w:szCs w:val="24"/>
        </w:rPr>
        <w:t xml:space="preserve">, </w:t>
      </w:r>
      <w:r w:rsidRPr="00604584">
        <w:rPr>
          <w:rFonts w:ascii="Arial" w:hAnsi="Arial" w:cs="Arial"/>
          <w:i/>
          <w:iCs/>
          <w:noProof/>
          <w:szCs w:val="24"/>
        </w:rPr>
        <w:t>78</w:t>
      </w:r>
      <w:r w:rsidRPr="00604584">
        <w:rPr>
          <w:rFonts w:ascii="Arial" w:hAnsi="Arial" w:cs="Arial"/>
          <w:noProof/>
          <w:szCs w:val="24"/>
        </w:rPr>
        <w:t>(4), 795–822. https://doi.org/10.1111/j.l539-6975.2011.01413.x</w:t>
      </w:r>
    </w:p>
    <w:p w:rsidR="002F2617" w:rsidRPr="00604584" w:rsidRDefault="002F2617" w:rsidP="002F2617">
      <w:pPr>
        <w:widowControl w:val="0"/>
        <w:autoSpaceDE w:val="0"/>
        <w:autoSpaceDN w:val="0"/>
        <w:adjustRightInd w:val="0"/>
        <w:ind w:left="480" w:hanging="480"/>
        <w:jc w:val="both"/>
        <w:rPr>
          <w:rFonts w:ascii="Arial" w:hAnsi="Arial" w:cs="Arial"/>
          <w:noProof/>
          <w:szCs w:val="24"/>
        </w:rPr>
      </w:pPr>
      <w:r w:rsidRPr="00604584">
        <w:rPr>
          <w:rFonts w:ascii="Arial" w:hAnsi="Arial" w:cs="Arial"/>
          <w:noProof/>
          <w:szCs w:val="24"/>
        </w:rPr>
        <w:t xml:space="preserve">Jongman, B., Kreibich, H., Apel, H., Barredo, J. I., Bates, P. D., Feyen, L., Gericke, A., Neal, J., Aerts, J. C. J. H., &amp; Ward, P. J. (2012). Comparative flood damage model assessment: Towards a European approach. </w:t>
      </w:r>
      <w:r w:rsidRPr="00604584">
        <w:rPr>
          <w:rFonts w:ascii="Arial" w:hAnsi="Arial" w:cs="Arial"/>
          <w:i/>
          <w:iCs/>
          <w:noProof/>
          <w:szCs w:val="24"/>
        </w:rPr>
        <w:t>Natural Hazards and Earth System Science</w:t>
      </w:r>
      <w:r w:rsidRPr="00604584">
        <w:rPr>
          <w:rFonts w:ascii="Arial" w:hAnsi="Arial" w:cs="Arial"/>
          <w:noProof/>
          <w:szCs w:val="24"/>
        </w:rPr>
        <w:t xml:space="preserve">, </w:t>
      </w:r>
      <w:r w:rsidRPr="00604584">
        <w:rPr>
          <w:rFonts w:ascii="Arial" w:hAnsi="Arial" w:cs="Arial"/>
          <w:i/>
          <w:iCs/>
          <w:noProof/>
          <w:szCs w:val="24"/>
        </w:rPr>
        <w:t>12</w:t>
      </w:r>
      <w:r w:rsidRPr="00604584">
        <w:rPr>
          <w:rFonts w:ascii="Arial" w:hAnsi="Arial" w:cs="Arial"/>
          <w:noProof/>
          <w:szCs w:val="24"/>
        </w:rPr>
        <w:t>(12), 3733–3752. https://doi.org/10.5194/nhess-12-3733-2012</w:t>
      </w:r>
    </w:p>
    <w:p w:rsidR="002F2617" w:rsidRPr="00604584" w:rsidRDefault="002F2617" w:rsidP="002F2617">
      <w:pPr>
        <w:widowControl w:val="0"/>
        <w:autoSpaceDE w:val="0"/>
        <w:autoSpaceDN w:val="0"/>
        <w:adjustRightInd w:val="0"/>
        <w:ind w:left="480" w:hanging="480"/>
        <w:jc w:val="both"/>
        <w:rPr>
          <w:rFonts w:ascii="Arial" w:hAnsi="Arial" w:cs="Arial"/>
          <w:noProof/>
          <w:szCs w:val="24"/>
        </w:rPr>
      </w:pPr>
      <w:r w:rsidRPr="00604584">
        <w:rPr>
          <w:rFonts w:ascii="Arial" w:hAnsi="Arial" w:cs="Arial"/>
          <w:noProof/>
          <w:szCs w:val="24"/>
        </w:rPr>
        <w:t xml:space="preserve">Jozi, S. A., Shoshtary, M. T., &amp; Zadeh, A. R. K. (2015). Environmental Risk Assessment of Dams in Construction Phase Using a Multi-Criteria Decision-Making (MCDM) Method. </w:t>
      </w:r>
      <w:r w:rsidRPr="00604584">
        <w:rPr>
          <w:rFonts w:ascii="Arial" w:hAnsi="Arial" w:cs="Arial"/>
          <w:i/>
          <w:iCs/>
          <w:noProof/>
          <w:szCs w:val="24"/>
        </w:rPr>
        <w:t>Human and Ecological Risk Assessment</w:t>
      </w:r>
      <w:r w:rsidRPr="00604584">
        <w:rPr>
          <w:rFonts w:ascii="Arial" w:hAnsi="Arial" w:cs="Arial"/>
          <w:noProof/>
          <w:szCs w:val="24"/>
        </w:rPr>
        <w:t xml:space="preserve">, </w:t>
      </w:r>
      <w:r w:rsidRPr="00604584">
        <w:rPr>
          <w:rFonts w:ascii="Arial" w:hAnsi="Arial" w:cs="Arial"/>
          <w:i/>
          <w:iCs/>
          <w:noProof/>
          <w:szCs w:val="24"/>
        </w:rPr>
        <w:t>21</w:t>
      </w:r>
      <w:r w:rsidRPr="00604584">
        <w:rPr>
          <w:rFonts w:ascii="Arial" w:hAnsi="Arial" w:cs="Arial"/>
          <w:noProof/>
          <w:szCs w:val="24"/>
        </w:rPr>
        <w:t>(1), 1–16. https://doi.org/10.1080/10807039.2013.821905</w:t>
      </w:r>
    </w:p>
    <w:p w:rsidR="002F2617" w:rsidRPr="00604584" w:rsidRDefault="002F2617" w:rsidP="002F2617">
      <w:pPr>
        <w:widowControl w:val="0"/>
        <w:autoSpaceDE w:val="0"/>
        <w:autoSpaceDN w:val="0"/>
        <w:adjustRightInd w:val="0"/>
        <w:ind w:left="480" w:hanging="480"/>
        <w:jc w:val="both"/>
        <w:rPr>
          <w:rFonts w:ascii="Arial" w:hAnsi="Arial" w:cs="Arial"/>
          <w:noProof/>
          <w:szCs w:val="24"/>
        </w:rPr>
      </w:pPr>
      <w:r w:rsidRPr="00604584">
        <w:rPr>
          <w:rFonts w:ascii="Arial" w:hAnsi="Arial" w:cs="Arial"/>
          <w:noProof/>
          <w:szCs w:val="24"/>
        </w:rPr>
        <w:lastRenderedPageBreak/>
        <w:t xml:space="preserve">Khahro, S. H., &amp; Memon, Z. A. (2017). Gis based land suitability analysis for petrol stations. </w:t>
      </w:r>
      <w:r w:rsidRPr="00604584">
        <w:rPr>
          <w:rFonts w:ascii="Arial" w:hAnsi="Arial" w:cs="Arial"/>
          <w:i/>
          <w:iCs/>
          <w:noProof/>
          <w:szCs w:val="24"/>
        </w:rPr>
        <w:t>International Journal of Civil Engineering and Technology</w:t>
      </w:r>
      <w:r w:rsidRPr="00604584">
        <w:rPr>
          <w:rFonts w:ascii="Arial" w:hAnsi="Arial" w:cs="Arial"/>
          <w:noProof/>
          <w:szCs w:val="24"/>
        </w:rPr>
        <w:t xml:space="preserve">, </w:t>
      </w:r>
      <w:r w:rsidRPr="00604584">
        <w:rPr>
          <w:rFonts w:ascii="Arial" w:hAnsi="Arial" w:cs="Arial"/>
          <w:i/>
          <w:iCs/>
          <w:noProof/>
          <w:szCs w:val="24"/>
        </w:rPr>
        <w:t>8</w:t>
      </w:r>
      <w:r w:rsidRPr="00604584">
        <w:rPr>
          <w:rFonts w:ascii="Arial" w:hAnsi="Arial" w:cs="Arial"/>
          <w:noProof/>
          <w:szCs w:val="24"/>
        </w:rPr>
        <w:t>(10), 1–6.</w:t>
      </w:r>
    </w:p>
    <w:p w:rsidR="002F2617" w:rsidRPr="00604584" w:rsidRDefault="002F2617" w:rsidP="002F2617">
      <w:pPr>
        <w:widowControl w:val="0"/>
        <w:autoSpaceDE w:val="0"/>
        <w:autoSpaceDN w:val="0"/>
        <w:adjustRightInd w:val="0"/>
        <w:ind w:left="480" w:hanging="480"/>
        <w:jc w:val="both"/>
        <w:rPr>
          <w:rFonts w:ascii="Arial" w:hAnsi="Arial" w:cs="Arial"/>
          <w:noProof/>
          <w:szCs w:val="24"/>
        </w:rPr>
      </w:pPr>
      <w:r w:rsidRPr="00604584">
        <w:rPr>
          <w:rFonts w:ascii="Arial" w:hAnsi="Arial" w:cs="Arial"/>
          <w:noProof/>
          <w:szCs w:val="24"/>
        </w:rPr>
        <w:t xml:space="preserve">Khalid, R., Rahman, S., Mangsor, M., Ali, S., Sulaiman, S., Bakar, N., &amp; Ismail, I. (2012). Constitutional Issues in Integrating Water Resources Management in Malaysia: A Case Study of the Selangor Water Management Authority. </w:t>
      </w:r>
      <w:r w:rsidRPr="00604584">
        <w:rPr>
          <w:rFonts w:ascii="Arial" w:hAnsi="Arial" w:cs="Arial"/>
          <w:i/>
          <w:iCs/>
          <w:noProof/>
          <w:szCs w:val="24"/>
        </w:rPr>
        <w:t>OIDA International Journal of Sustainable Development</w:t>
      </w:r>
      <w:r w:rsidRPr="00604584">
        <w:rPr>
          <w:rFonts w:ascii="Arial" w:hAnsi="Arial" w:cs="Arial"/>
          <w:noProof/>
          <w:szCs w:val="24"/>
        </w:rPr>
        <w:t xml:space="preserve">, </w:t>
      </w:r>
      <w:r w:rsidRPr="00604584">
        <w:rPr>
          <w:rFonts w:ascii="Arial" w:hAnsi="Arial" w:cs="Arial"/>
          <w:i/>
          <w:iCs/>
          <w:noProof/>
          <w:szCs w:val="24"/>
        </w:rPr>
        <w:t>3</w:t>
      </w:r>
      <w:r w:rsidRPr="00604584">
        <w:rPr>
          <w:rFonts w:ascii="Arial" w:hAnsi="Arial" w:cs="Arial"/>
          <w:noProof/>
          <w:szCs w:val="24"/>
        </w:rPr>
        <w:t>(8), 11–18.</w:t>
      </w:r>
    </w:p>
    <w:p w:rsidR="002F2617" w:rsidRPr="00604584" w:rsidRDefault="002F2617" w:rsidP="002F2617">
      <w:pPr>
        <w:widowControl w:val="0"/>
        <w:autoSpaceDE w:val="0"/>
        <w:autoSpaceDN w:val="0"/>
        <w:adjustRightInd w:val="0"/>
        <w:ind w:left="480" w:hanging="480"/>
        <w:jc w:val="both"/>
        <w:rPr>
          <w:rFonts w:ascii="Arial" w:hAnsi="Arial" w:cs="Arial"/>
          <w:noProof/>
          <w:szCs w:val="24"/>
        </w:rPr>
      </w:pPr>
      <w:r w:rsidRPr="00604584">
        <w:rPr>
          <w:rFonts w:ascii="Arial" w:hAnsi="Arial" w:cs="Arial"/>
          <w:noProof/>
          <w:szCs w:val="24"/>
        </w:rPr>
        <w:t xml:space="preserve">Kimambo, O. N., Chikoore, H., Gumbo, J. R., &amp; Msagati, T. A. M. (2019). Retrospective analysis of Chlorophyll-a and its correlation with climate and hydrological variations in Mindu Dam, Morogoro, Tanzania. </w:t>
      </w:r>
      <w:r w:rsidRPr="00604584">
        <w:rPr>
          <w:rFonts w:ascii="Arial" w:hAnsi="Arial" w:cs="Arial"/>
          <w:i/>
          <w:iCs/>
          <w:noProof/>
          <w:szCs w:val="24"/>
        </w:rPr>
        <w:t>Heliyon</w:t>
      </w:r>
      <w:r w:rsidRPr="00604584">
        <w:rPr>
          <w:rFonts w:ascii="Arial" w:hAnsi="Arial" w:cs="Arial"/>
          <w:noProof/>
          <w:szCs w:val="24"/>
        </w:rPr>
        <w:t xml:space="preserve">, </w:t>
      </w:r>
      <w:r w:rsidRPr="00604584">
        <w:rPr>
          <w:rFonts w:ascii="Arial" w:hAnsi="Arial" w:cs="Arial"/>
          <w:i/>
          <w:iCs/>
          <w:noProof/>
          <w:szCs w:val="24"/>
        </w:rPr>
        <w:t>5</w:t>
      </w:r>
      <w:r w:rsidRPr="00604584">
        <w:rPr>
          <w:rFonts w:ascii="Arial" w:hAnsi="Arial" w:cs="Arial"/>
          <w:noProof/>
          <w:szCs w:val="24"/>
        </w:rPr>
        <w:t>(11), e02834. https://doi.org/10.1016/j.heliyon.2019.e02834</w:t>
      </w:r>
    </w:p>
    <w:p w:rsidR="002F2617" w:rsidRPr="00604584" w:rsidRDefault="002F2617" w:rsidP="002F2617">
      <w:pPr>
        <w:widowControl w:val="0"/>
        <w:autoSpaceDE w:val="0"/>
        <w:autoSpaceDN w:val="0"/>
        <w:adjustRightInd w:val="0"/>
        <w:ind w:left="480" w:hanging="480"/>
        <w:jc w:val="both"/>
        <w:rPr>
          <w:rFonts w:ascii="Arial" w:hAnsi="Arial" w:cs="Arial"/>
          <w:noProof/>
          <w:szCs w:val="24"/>
        </w:rPr>
      </w:pPr>
      <w:r w:rsidRPr="00604584">
        <w:rPr>
          <w:rFonts w:ascii="Arial" w:hAnsi="Arial" w:cs="Arial"/>
          <w:noProof/>
          <w:szCs w:val="24"/>
        </w:rPr>
        <w:t xml:space="preserve">MacLeish, M. M., Akinyede, J. O., White, R. J., Goswami, N., &amp; Thomson, W. A. (2015). Global space workforce development: A model for partnership building and knowledge transfer to developing space-faring societies. </w:t>
      </w:r>
      <w:r w:rsidRPr="00604584">
        <w:rPr>
          <w:rFonts w:ascii="Arial" w:hAnsi="Arial" w:cs="Arial"/>
          <w:i/>
          <w:iCs/>
          <w:noProof/>
          <w:szCs w:val="24"/>
        </w:rPr>
        <w:t>Acta Astronautica</w:t>
      </w:r>
      <w:r w:rsidRPr="00604584">
        <w:rPr>
          <w:rFonts w:ascii="Arial" w:hAnsi="Arial" w:cs="Arial"/>
          <w:noProof/>
          <w:szCs w:val="24"/>
        </w:rPr>
        <w:t xml:space="preserve">, </w:t>
      </w:r>
      <w:r w:rsidRPr="00604584">
        <w:rPr>
          <w:rFonts w:ascii="Arial" w:hAnsi="Arial" w:cs="Arial"/>
          <w:i/>
          <w:iCs/>
          <w:noProof/>
          <w:szCs w:val="24"/>
        </w:rPr>
        <w:t>116</w:t>
      </w:r>
      <w:r w:rsidRPr="00604584">
        <w:rPr>
          <w:rFonts w:ascii="Arial" w:hAnsi="Arial" w:cs="Arial"/>
          <w:noProof/>
          <w:szCs w:val="24"/>
        </w:rPr>
        <w:t>(December), 106–116. https://doi.org/10.1016/j.actaastro.2015.07.003</w:t>
      </w:r>
    </w:p>
    <w:p w:rsidR="002F2617" w:rsidRPr="00604584" w:rsidRDefault="002F2617" w:rsidP="002F2617">
      <w:pPr>
        <w:widowControl w:val="0"/>
        <w:autoSpaceDE w:val="0"/>
        <w:autoSpaceDN w:val="0"/>
        <w:adjustRightInd w:val="0"/>
        <w:ind w:left="480" w:hanging="480"/>
        <w:jc w:val="both"/>
        <w:rPr>
          <w:rFonts w:ascii="Arial" w:hAnsi="Arial" w:cs="Arial"/>
          <w:noProof/>
          <w:szCs w:val="24"/>
        </w:rPr>
      </w:pPr>
      <w:r w:rsidRPr="00604584">
        <w:rPr>
          <w:rFonts w:ascii="Arial" w:hAnsi="Arial" w:cs="Arial"/>
          <w:noProof/>
          <w:szCs w:val="24"/>
        </w:rPr>
        <w:t xml:space="preserve">Mancusi, L., Adamowski, J., &amp; Cantisani, A. (2019). </w:t>
      </w:r>
      <w:r w:rsidRPr="00604584">
        <w:rPr>
          <w:rFonts w:ascii="Arial" w:hAnsi="Arial" w:cs="Arial"/>
          <w:i/>
          <w:iCs/>
          <w:noProof/>
          <w:szCs w:val="24"/>
        </w:rPr>
        <w:t>A GIS Tool for Mapping Dam-Break Flood Hazards in Italy</w:t>
      </w:r>
      <w:r w:rsidRPr="00604584">
        <w:rPr>
          <w:rFonts w:ascii="Arial" w:hAnsi="Arial" w:cs="Arial"/>
          <w:noProof/>
          <w:szCs w:val="24"/>
        </w:rPr>
        <w:t>.</w:t>
      </w:r>
    </w:p>
    <w:p w:rsidR="002F2617" w:rsidRPr="00604584" w:rsidRDefault="002F2617" w:rsidP="002F2617">
      <w:pPr>
        <w:widowControl w:val="0"/>
        <w:autoSpaceDE w:val="0"/>
        <w:autoSpaceDN w:val="0"/>
        <w:adjustRightInd w:val="0"/>
        <w:ind w:left="480" w:hanging="480"/>
        <w:jc w:val="both"/>
        <w:rPr>
          <w:rFonts w:ascii="Arial" w:hAnsi="Arial" w:cs="Arial"/>
          <w:noProof/>
          <w:szCs w:val="24"/>
        </w:rPr>
      </w:pPr>
      <w:r w:rsidRPr="00604584">
        <w:rPr>
          <w:rFonts w:ascii="Arial" w:hAnsi="Arial" w:cs="Arial"/>
          <w:noProof/>
          <w:szCs w:val="24"/>
        </w:rPr>
        <w:t xml:space="preserve">Maro, P. S. (2008). A review of current Tanzanian national environmental policy. </w:t>
      </w:r>
      <w:r w:rsidRPr="00604584">
        <w:rPr>
          <w:rFonts w:ascii="Arial" w:hAnsi="Arial" w:cs="Arial"/>
          <w:i/>
          <w:iCs/>
          <w:noProof/>
          <w:szCs w:val="24"/>
        </w:rPr>
        <w:t>Geographical Journal</w:t>
      </w:r>
      <w:r w:rsidRPr="00604584">
        <w:rPr>
          <w:rFonts w:ascii="Arial" w:hAnsi="Arial" w:cs="Arial"/>
          <w:noProof/>
          <w:szCs w:val="24"/>
        </w:rPr>
        <w:t xml:space="preserve">, </w:t>
      </w:r>
      <w:r w:rsidRPr="00604584">
        <w:rPr>
          <w:rFonts w:ascii="Arial" w:hAnsi="Arial" w:cs="Arial"/>
          <w:i/>
          <w:iCs/>
          <w:noProof/>
          <w:szCs w:val="24"/>
        </w:rPr>
        <w:t>174</w:t>
      </w:r>
      <w:r w:rsidRPr="00604584">
        <w:rPr>
          <w:rFonts w:ascii="Arial" w:hAnsi="Arial" w:cs="Arial"/>
          <w:noProof/>
          <w:szCs w:val="24"/>
        </w:rPr>
        <w:t>(2), 150–154. https://doi.org/10.1111/j.1475-4959.2008.00285.x</w:t>
      </w:r>
    </w:p>
    <w:p w:rsidR="002F2617" w:rsidRPr="00604584" w:rsidRDefault="002F2617" w:rsidP="002F2617">
      <w:pPr>
        <w:widowControl w:val="0"/>
        <w:autoSpaceDE w:val="0"/>
        <w:autoSpaceDN w:val="0"/>
        <w:adjustRightInd w:val="0"/>
        <w:ind w:left="480" w:hanging="480"/>
        <w:jc w:val="both"/>
        <w:rPr>
          <w:rFonts w:ascii="Arial" w:hAnsi="Arial" w:cs="Arial"/>
          <w:noProof/>
          <w:szCs w:val="24"/>
        </w:rPr>
      </w:pPr>
      <w:r w:rsidRPr="00604584">
        <w:rPr>
          <w:rFonts w:ascii="Arial" w:hAnsi="Arial" w:cs="Arial"/>
          <w:noProof/>
          <w:szCs w:val="24"/>
        </w:rPr>
        <w:t xml:space="preserve">Mindu, T., River, N., &amp; River, N. (1974). </w:t>
      </w:r>
      <w:r w:rsidRPr="00604584">
        <w:rPr>
          <w:rFonts w:ascii="Arial" w:hAnsi="Arial" w:cs="Arial"/>
          <w:i/>
          <w:iCs/>
          <w:noProof/>
          <w:szCs w:val="24"/>
        </w:rPr>
        <w:t>Some development and economic aspects of the Mindu Dam project , Morogoro : a background analysis for decision making Josephine Diana Kaduma Master of Arts University of Dar es Salaam , College of Social Sciences , 1972</w:t>
      </w:r>
      <w:r w:rsidRPr="00604584">
        <w:rPr>
          <w:rFonts w:ascii="Arial" w:hAnsi="Arial" w:cs="Arial"/>
          <w:noProof/>
          <w:szCs w:val="24"/>
        </w:rPr>
        <w:t>.</w:t>
      </w:r>
    </w:p>
    <w:p w:rsidR="002F2617" w:rsidRPr="00604584" w:rsidRDefault="002F2617" w:rsidP="002F2617">
      <w:pPr>
        <w:widowControl w:val="0"/>
        <w:autoSpaceDE w:val="0"/>
        <w:autoSpaceDN w:val="0"/>
        <w:adjustRightInd w:val="0"/>
        <w:ind w:left="480" w:hanging="480"/>
        <w:jc w:val="both"/>
        <w:rPr>
          <w:rFonts w:ascii="Arial" w:hAnsi="Arial" w:cs="Arial"/>
          <w:noProof/>
          <w:szCs w:val="24"/>
        </w:rPr>
      </w:pPr>
      <w:r w:rsidRPr="00604584">
        <w:rPr>
          <w:rFonts w:ascii="Arial" w:hAnsi="Arial" w:cs="Arial"/>
          <w:i/>
          <w:iCs/>
          <w:noProof/>
          <w:szCs w:val="24"/>
        </w:rPr>
        <w:t>Model State Dam Safety Program Manual</w:t>
      </w:r>
      <w:r w:rsidRPr="00604584">
        <w:rPr>
          <w:rFonts w:ascii="Arial" w:hAnsi="Arial" w:cs="Arial"/>
          <w:noProof/>
          <w:szCs w:val="24"/>
        </w:rPr>
        <w:t xml:space="preserve">. (2022). </w:t>
      </w:r>
      <w:r w:rsidRPr="00604584">
        <w:rPr>
          <w:rFonts w:ascii="Arial" w:hAnsi="Arial" w:cs="Arial"/>
          <w:i/>
          <w:iCs/>
          <w:noProof/>
          <w:szCs w:val="24"/>
        </w:rPr>
        <w:t>September</w:t>
      </w:r>
      <w:r w:rsidRPr="00604584">
        <w:rPr>
          <w:rFonts w:ascii="Arial" w:hAnsi="Arial" w:cs="Arial"/>
          <w:noProof/>
          <w:szCs w:val="24"/>
        </w:rPr>
        <w:t>.</w:t>
      </w:r>
    </w:p>
    <w:p w:rsidR="002F2617" w:rsidRPr="00604584" w:rsidRDefault="002F2617" w:rsidP="002F2617">
      <w:pPr>
        <w:widowControl w:val="0"/>
        <w:autoSpaceDE w:val="0"/>
        <w:autoSpaceDN w:val="0"/>
        <w:adjustRightInd w:val="0"/>
        <w:ind w:left="480" w:hanging="480"/>
        <w:jc w:val="both"/>
        <w:rPr>
          <w:rFonts w:ascii="Arial" w:hAnsi="Arial" w:cs="Arial"/>
          <w:noProof/>
          <w:szCs w:val="24"/>
        </w:rPr>
      </w:pPr>
      <w:r w:rsidRPr="00604584">
        <w:rPr>
          <w:rFonts w:ascii="Arial" w:hAnsi="Arial" w:cs="Arial"/>
          <w:noProof/>
          <w:szCs w:val="24"/>
        </w:rPr>
        <w:t xml:space="preserve">Nobert, J. (2022). Assessment of the Impact of Climate Change on Stream Flow: The Case of Little Ruaha Catchment, Rufiji Basin, Tanzania. </w:t>
      </w:r>
      <w:r w:rsidRPr="00604584">
        <w:rPr>
          <w:rFonts w:ascii="Arial" w:hAnsi="Arial" w:cs="Arial"/>
          <w:i/>
          <w:iCs/>
          <w:noProof/>
          <w:szCs w:val="24"/>
        </w:rPr>
        <w:t>Tanzania Journal of Science</w:t>
      </w:r>
      <w:r w:rsidRPr="00604584">
        <w:rPr>
          <w:rFonts w:ascii="Arial" w:hAnsi="Arial" w:cs="Arial"/>
          <w:noProof/>
          <w:szCs w:val="24"/>
        </w:rPr>
        <w:t xml:space="preserve">, </w:t>
      </w:r>
      <w:r w:rsidRPr="00604584">
        <w:rPr>
          <w:rFonts w:ascii="Arial" w:hAnsi="Arial" w:cs="Arial"/>
          <w:i/>
          <w:iCs/>
          <w:noProof/>
          <w:szCs w:val="24"/>
        </w:rPr>
        <w:t>48</w:t>
      </w:r>
      <w:r w:rsidRPr="00604584">
        <w:rPr>
          <w:rFonts w:ascii="Arial" w:hAnsi="Arial" w:cs="Arial"/>
          <w:noProof/>
          <w:szCs w:val="24"/>
        </w:rPr>
        <w:t>(1), 170–184. https://doi.org/10.4314/tjs.v48i1.16</w:t>
      </w:r>
    </w:p>
    <w:p w:rsidR="002F2617" w:rsidRPr="00604584" w:rsidRDefault="002F2617" w:rsidP="002F2617">
      <w:pPr>
        <w:widowControl w:val="0"/>
        <w:autoSpaceDE w:val="0"/>
        <w:autoSpaceDN w:val="0"/>
        <w:adjustRightInd w:val="0"/>
        <w:ind w:left="480" w:hanging="480"/>
        <w:jc w:val="both"/>
        <w:rPr>
          <w:rFonts w:ascii="Arial" w:hAnsi="Arial" w:cs="Arial"/>
          <w:noProof/>
          <w:szCs w:val="24"/>
        </w:rPr>
      </w:pPr>
      <w:r w:rsidRPr="00604584">
        <w:rPr>
          <w:rFonts w:ascii="Arial" w:hAnsi="Arial" w:cs="Arial"/>
          <w:noProof/>
          <w:szCs w:val="24"/>
        </w:rPr>
        <w:t xml:space="preserve">Obialor, C. A., Okeke, O. C., Onunkwo, A. A., Fagorite, V. I., &amp; Ehujuo. (2019). Reservoir sedimentation : Causes, effects and mitigation. </w:t>
      </w:r>
      <w:r w:rsidRPr="00604584">
        <w:rPr>
          <w:rFonts w:ascii="Arial" w:hAnsi="Arial" w:cs="Arial"/>
          <w:i/>
          <w:iCs/>
          <w:noProof/>
          <w:szCs w:val="24"/>
        </w:rPr>
        <w:t>International Journal of Advanced Academic Research</w:t>
      </w:r>
      <w:r w:rsidRPr="00604584">
        <w:rPr>
          <w:rFonts w:ascii="Arial" w:hAnsi="Arial" w:cs="Arial"/>
          <w:noProof/>
          <w:szCs w:val="24"/>
        </w:rPr>
        <w:t xml:space="preserve">, </w:t>
      </w:r>
      <w:r w:rsidRPr="00604584">
        <w:rPr>
          <w:rFonts w:ascii="Arial" w:hAnsi="Arial" w:cs="Arial"/>
          <w:i/>
          <w:iCs/>
          <w:noProof/>
          <w:szCs w:val="24"/>
        </w:rPr>
        <w:t>5</w:t>
      </w:r>
      <w:r w:rsidRPr="00604584">
        <w:rPr>
          <w:rFonts w:ascii="Arial" w:hAnsi="Arial" w:cs="Arial"/>
          <w:noProof/>
          <w:szCs w:val="24"/>
        </w:rPr>
        <w:t>(10), 92–109.</w:t>
      </w:r>
    </w:p>
    <w:p w:rsidR="002F2617" w:rsidRPr="00604584" w:rsidRDefault="002F2617" w:rsidP="002F2617">
      <w:pPr>
        <w:widowControl w:val="0"/>
        <w:autoSpaceDE w:val="0"/>
        <w:autoSpaceDN w:val="0"/>
        <w:adjustRightInd w:val="0"/>
        <w:ind w:left="480" w:hanging="480"/>
        <w:jc w:val="both"/>
        <w:rPr>
          <w:rFonts w:ascii="Arial" w:hAnsi="Arial" w:cs="Arial"/>
          <w:noProof/>
          <w:szCs w:val="24"/>
        </w:rPr>
      </w:pPr>
      <w:r w:rsidRPr="00865769">
        <w:rPr>
          <w:rFonts w:ascii="Arial" w:hAnsi="Arial" w:cs="Arial"/>
          <w:noProof/>
          <w:szCs w:val="24"/>
          <w:highlight w:val="yellow"/>
        </w:rPr>
        <w:t xml:space="preserve">Overlay, F., &amp; Analyst, S. (2023). </w:t>
      </w:r>
      <w:r w:rsidRPr="00865769">
        <w:rPr>
          <w:rFonts w:ascii="Arial" w:hAnsi="Arial" w:cs="Arial"/>
          <w:i/>
          <w:iCs/>
          <w:noProof/>
          <w:szCs w:val="24"/>
          <w:highlight w:val="yellow"/>
        </w:rPr>
        <w:t>Fuzzy Overlay ( Spatial Analyst ) Title Fuzzy Overlay ( Spatial Analyst )</w:t>
      </w:r>
      <w:r w:rsidRPr="00865769">
        <w:rPr>
          <w:rFonts w:ascii="Arial" w:hAnsi="Arial" w:cs="Arial"/>
          <w:noProof/>
          <w:szCs w:val="24"/>
          <w:highlight w:val="yellow"/>
        </w:rPr>
        <w:t>. 10–12.</w:t>
      </w:r>
    </w:p>
    <w:p w:rsidR="002F2617" w:rsidRPr="00604584" w:rsidRDefault="002F2617" w:rsidP="002F2617">
      <w:pPr>
        <w:widowControl w:val="0"/>
        <w:autoSpaceDE w:val="0"/>
        <w:autoSpaceDN w:val="0"/>
        <w:adjustRightInd w:val="0"/>
        <w:ind w:left="480" w:hanging="480"/>
        <w:jc w:val="both"/>
        <w:rPr>
          <w:rFonts w:ascii="Arial" w:hAnsi="Arial" w:cs="Arial"/>
          <w:noProof/>
          <w:szCs w:val="24"/>
        </w:rPr>
      </w:pPr>
      <w:r w:rsidRPr="00604584">
        <w:rPr>
          <w:rFonts w:ascii="Arial" w:hAnsi="Arial" w:cs="Arial"/>
          <w:noProof/>
          <w:szCs w:val="24"/>
        </w:rPr>
        <w:t xml:space="preserve">Russo, R. D. F. S. M., &amp; Camanho, R. (2015). Criteria in AHP: A systematic review of literature. </w:t>
      </w:r>
      <w:r w:rsidRPr="00604584">
        <w:rPr>
          <w:rFonts w:ascii="Arial" w:hAnsi="Arial" w:cs="Arial"/>
          <w:i/>
          <w:iCs/>
          <w:noProof/>
          <w:szCs w:val="24"/>
        </w:rPr>
        <w:t>Procedia Computer Science</w:t>
      </w:r>
      <w:r w:rsidRPr="00604584">
        <w:rPr>
          <w:rFonts w:ascii="Arial" w:hAnsi="Arial" w:cs="Arial"/>
          <w:noProof/>
          <w:szCs w:val="24"/>
        </w:rPr>
        <w:t xml:space="preserve">, </w:t>
      </w:r>
      <w:r w:rsidRPr="00604584">
        <w:rPr>
          <w:rFonts w:ascii="Arial" w:hAnsi="Arial" w:cs="Arial"/>
          <w:i/>
          <w:iCs/>
          <w:noProof/>
          <w:szCs w:val="24"/>
        </w:rPr>
        <w:t>55</w:t>
      </w:r>
      <w:r w:rsidRPr="00604584">
        <w:rPr>
          <w:rFonts w:ascii="Arial" w:hAnsi="Arial" w:cs="Arial"/>
          <w:noProof/>
          <w:szCs w:val="24"/>
        </w:rPr>
        <w:t>(Itqm), 1123–1132. https://doi.org/10.1016/j.procs.2015.07.081</w:t>
      </w:r>
    </w:p>
    <w:p w:rsidR="002F2617" w:rsidRPr="00604584" w:rsidRDefault="002F2617" w:rsidP="002F2617">
      <w:pPr>
        <w:widowControl w:val="0"/>
        <w:autoSpaceDE w:val="0"/>
        <w:autoSpaceDN w:val="0"/>
        <w:adjustRightInd w:val="0"/>
        <w:ind w:left="480" w:hanging="480"/>
        <w:jc w:val="both"/>
        <w:rPr>
          <w:rFonts w:ascii="Arial" w:hAnsi="Arial" w:cs="Arial"/>
          <w:noProof/>
          <w:szCs w:val="24"/>
        </w:rPr>
      </w:pPr>
      <w:r w:rsidRPr="00604584">
        <w:rPr>
          <w:rFonts w:ascii="Arial" w:hAnsi="Arial" w:cs="Arial"/>
          <w:noProof/>
          <w:szCs w:val="24"/>
        </w:rPr>
        <w:t xml:space="preserve">Saaty, R. W. (1987). The analytic hierarchy process-what it is and how it is used. </w:t>
      </w:r>
      <w:r w:rsidRPr="00604584">
        <w:rPr>
          <w:rFonts w:ascii="Arial" w:hAnsi="Arial" w:cs="Arial"/>
          <w:i/>
          <w:iCs/>
          <w:noProof/>
          <w:szCs w:val="24"/>
        </w:rPr>
        <w:t>Mathematical Modelling</w:t>
      </w:r>
      <w:r w:rsidRPr="00604584">
        <w:rPr>
          <w:rFonts w:ascii="Arial" w:hAnsi="Arial" w:cs="Arial"/>
          <w:noProof/>
          <w:szCs w:val="24"/>
        </w:rPr>
        <w:t xml:space="preserve">, </w:t>
      </w:r>
      <w:r w:rsidRPr="00604584">
        <w:rPr>
          <w:rFonts w:ascii="Arial" w:hAnsi="Arial" w:cs="Arial"/>
          <w:i/>
          <w:iCs/>
          <w:noProof/>
          <w:szCs w:val="24"/>
        </w:rPr>
        <w:t>9</w:t>
      </w:r>
      <w:r w:rsidRPr="00604584">
        <w:rPr>
          <w:rFonts w:ascii="Arial" w:hAnsi="Arial" w:cs="Arial"/>
          <w:noProof/>
          <w:szCs w:val="24"/>
        </w:rPr>
        <w:t>(3–5), 161–176. https://doi.org/10.1016/0270-0255(87)90473-8</w:t>
      </w:r>
    </w:p>
    <w:p w:rsidR="002F2617" w:rsidRPr="00604584" w:rsidRDefault="002F2617" w:rsidP="002F2617">
      <w:pPr>
        <w:widowControl w:val="0"/>
        <w:autoSpaceDE w:val="0"/>
        <w:autoSpaceDN w:val="0"/>
        <w:adjustRightInd w:val="0"/>
        <w:ind w:left="480" w:hanging="480"/>
        <w:jc w:val="both"/>
        <w:rPr>
          <w:rFonts w:ascii="Arial" w:hAnsi="Arial" w:cs="Arial"/>
          <w:noProof/>
          <w:szCs w:val="24"/>
        </w:rPr>
      </w:pPr>
      <w:r w:rsidRPr="00604584">
        <w:rPr>
          <w:rFonts w:ascii="Arial" w:hAnsi="Arial" w:cs="Arial"/>
          <w:noProof/>
          <w:szCs w:val="24"/>
        </w:rPr>
        <w:t xml:space="preserve">Science, W., &amp; Seker, D. Z. (2015). </w:t>
      </w:r>
      <w:r w:rsidRPr="00604584">
        <w:rPr>
          <w:rFonts w:ascii="Arial" w:hAnsi="Arial" w:cs="Arial"/>
          <w:i/>
          <w:iCs/>
          <w:noProof/>
          <w:szCs w:val="24"/>
        </w:rPr>
        <w:t>Risk Assessment of A Dam-Break Using GIS Technology</w:t>
      </w:r>
      <w:r w:rsidRPr="00604584">
        <w:rPr>
          <w:rFonts w:ascii="Arial" w:hAnsi="Arial" w:cs="Arial"/>
          <w:noProof/>
          <w:szCs w:val="24"/>
        </w:rPr>
        <w:t xml:space="preserve">. </w:t>
      </w:r>
      <w:r w:rsidRPr="00604584">
        <w:rPr>
          <w:rFonts w:ascii="Arial" w:hAnsi="Arial" w:cs="Arial"/>
          <w:i/>
          <w:iCs/>
          <w:noProof/>
          <w:szCs w:val="24"/>
        </w:rPr>
        <w:t>February 2003</w:t>
      </w:r>
      <w:r w:rsidRPr="00604584">
        <w:rPr>
          <w:rFonts w:ascii="Arial" w:hAnsi="Arial" w:cs="Arial"/>
          <w:noProof/>
          <w:szCs w:val="24"/>
        </w:rPr>
        <w:t>. https://doi.org/10.2166/wst.2003.0546</w:t>
      </w:r>
    </w:p>
    <w:p w:rsidR="002F2617" w:rsidRPr="00604584" w:rsidRDefault="002F2617" w:rsidP="002F2617">
      <w:pPr>
        <w:widowControl w:val="0"/>
        <w:autoSpaceDE w:val="0"/>
        <w:autoSpaceDN w:val="0"/>
        <w:adjustRightInd w:val="0"/>
        <w:ind w:left="480" w:hanging="480"/>
        <w:jc w:val="both"/>
        <w:rPr>
          <w:rFonts w:ascii="Arial" w:hAnsi="Arial" w:cs="Arial"/>
          <w:noProof/>
          <w:szCs w:val="24"/>
        </w:rPr>
      </w:pPr>
      <w:r w:rsidRPr="00604584">
        <w:rPr>
          <w:rFonts w:ascii="Arial" w:hAnsi="Arial" w:cs="Arial"/>
          <w:noProof/>
          <w:szCs w:val="24"/>
        </w:rPr>
        <w:t xml:space="preserve">Shim, H., Shin, N., Stern, A., Aharon, S., Binyamin, T., Karmi, A., Rotem, D., Etgar, L., Porath, D., Pradhan, B., Kumar, G. S., Sain, S., Dalui, A., Ghorai, U. K., Pradhan, S. K., Acharya, S., Quan, L. N., Rand, B. P., Friend, R. H., … Gmbh, Z. (2018). No Title. </w:t>
      </w:r>
      <w:r w:rsidRPr="00604584">
        <w:rPr>
          <w:rFonts w:ascii="Arial" w:hAnsi="Arial" w:cs="Arial"/>
          <w:i/>
          <w:iCs/>
          <w:noProof/>
          <w:szCs w:val="24"/>
        </w:rPr>
        <w:t>Advanced Optical Materials</w:t>
      </w:r>
      <w:r w:rsidRPr="00604584">
        <w:rPr>
          <w:rFonts w:ascii="Arial" w:hAnsi="Arial" w:cs="Arial"/>
          <w:noProof/>
          <w:szCs w:val="24"/>
        </w:rPr>
        <w:t xml:space="preserve">, </w:t>
      </w:r>
      <w:r w:rsidRPr="00604584">
        <w:rPr>
          <w:rFonts w:ascii="Arial" w:hAnsi="Arial" w:cs="Arial"/>
          <w:i/>
          <w:iCs/>
          <w:noProof/>
          <w:szCs w:val="24"/>
        </w:rPr>
        <w:t>10</w:t>
      </w:r>
      <w:r w:rsidRPr="00604584">
        <w:rPr>
          <w:rFonts w:ascii="Arial" w:hAnsi="Arial" w:cs="Arial"/>
          <w:noProof/>
          <w:szCs w:val="24"/>
        </w:rPr>
        <w:t>(1), 1–9.</w:t>
      </w:r>
    </w:p>
    <w:p w:rsidR="002F2617" w:rsidRPr="00604584" w:rsidRDefault="002F2617" w:rsidP="002F2617">
      <w:pPr>
        <w:widowControl w:val="0"/>
        <w:autoSpaceDE w:val="0"/>
        <w:autoSpaceDN w:val="0"/>
        <w:adjustRightInd w:val="0"/>
        <w:ind w:left="480" w:hanging="480"/>
        <w:jc w:val="both"/>
        <w:rPr>
          <w:rFonts w:ascii="Arial" w:hAnsi="Arial" w:cs="Arial"/>
          <w:noProof/>
          <w:szCs w:val="24"/>
        </w:rPr>
      </w:pPr>
      <w:r w:rsidRPr="00604584">
        <w:rPr>
          <w:rFonts w:ascii="Arial" w:hAnsi="Arial" w:cs="Arial"/>
          <w:noProof/>
          <w:szCs w:val="24"/>
        </w:rPr>
        <w:t xml:space="preserve">Thaxton, M. (2007). Integrating population, health, and environment in tanzania. </w:t>
      </w:r>
      <w:r w:rsidRPr="00604584">
        <w:rPr>
          <w:rFonts w:ascii="Arial" w:hAnsi="Arial" w:cs="Arial"/>
          <w:i/>
          <w:iCs/>
          <w:noProof/>
          <w:szCs w:val="24"/>
        </w:rPr>
        <w:t>Environment</w:t>
      </w:r>
      <w:r w:rsidRPr="00604584">
        <w:rPr>
          <w:rFonts w:ascii="Arial" w:hAnsi="Arial" w:cs="Arial"/>
          <w:noProof/>
          <w:szCs w:val="24"/>
        </w:rPr>
        <w:t>, 12.</w:t>
      </w:r>
    </w:p>
    <w:p w:rsidR="004D4277" w:rsidRDefault="002F2617" w:rsidP="0025015C">
      <w:pPr>
        <w:spacing w:line="276" w:lineRule="auto"/>
        <w:jc w:val="both"/>
        <w:rPr>
          <w:rFonts w:ascii="Arial" w:hAnsi="Arial" w:cs="Arial"/>
        </w:rPr>
      </w:pPr>
      <w:r w:rsidRPr="00604584">
        <w:rPr>
          <w:rFonts w:ascii="Arial" w:hAnsi="Arial" w:cs="Arial"/>
          <w:noProof/>
          <w:szCs w:val="24"/>
        </w:rPr>
        <w:t xml:space="preserve">Toombes, L., &amp; Ayre, R. (2011). </w:t>
      </w:r>
      <w:r w:rsidRPr="00604584">
        <w:rPr>
          <w:rFonts w:ascii="Arial" w:hAnsi="Arial" w:cs="Arial"/>
          <w:i/>
          <w:iCs/>
          <w:noProof/>
          <w:szCs w:val="24"/>
        </w:rPr>
        <w:t>Holistic Dam Operations Assessment for Southeast Queensland</w:t>
      </w:r>
      <w:r w:rsidRPr="00604584">
        <w:rPr>
          <w:rFonts w:ascii="Arial" w:hAnsi="Arial" w:cs="Arial"/>
          <w:noProof/>
          <w:szCs w:val="24"/>
        </w:rPr>
        <w:t>.</w:t>
      </w:r>
      <w:r w:rsidR="00C050EB" w:rsidRPr="00501D5E">
        <w:rPr>
          <w:rFonts w:ascii="Arial" w:hAnsi="Arial" w:cs="Arial"/>
        </w:rPr>
        <w:fldChar w:fldCharType="end"/>
      </w:r>
    </w:p>
    <w:p w:rsidR="00703372" w:rsidRDefault="00703372" w:rsidP="0025015C">
      <w:pPr>
        <w:spacing w:line="276" w:lineRule="auto"/>
        <w:jc w:val="both"/>
        <w:rPr>
          <w:rFonts w:ascii="Garamond" w:hAnsi="Garamond"/>
          <w:sz w:val="22"/>
          <w:szCs w:val="24"/>
          <w:highlight w:val="yellow"/>
        </w:rPr>
      </w:pPr>
      <w:r w:rsidRPr="00703372">
        <w:rPr>
          <w:rFonts w:ascii="Garamond" w:hAnsi="Garamond"/>
          <w:sz w:val="22"/>
          <w:szCs w:val="24"/>
          <w:highlight w:val="yellow"/>
        </w:rPr>
        <w:t>CWC (2019) Guidelines for Assessing and Managing Risks Associated with Dams, Document No. CDSO_GUD_DS_10_v1.0, February 2019, Central Water Commission (CWC), Ministry of Water River Development &amp; Ganga Rejuvenation, Government of India</w:t>
      </w:r>
    </w:p>
    <w:p w:rsidR="00C24527" w:rsidRDefault="00C24527" w:rsidP="0025015C">
      <w:pPr>
        <w:spacing w:line="276" w:lineRule="auto"/>
        <w:jc w:val="both"/>
        <w:rPr>
          <w:rFonts w:ascii="Garamond" w:hAnsi="Garamond"/>
          <w:sz w:val="22"/>
          <w:szCs w:val="24"/>
        </w:rPr>
      </w:pPr>
    </w:p>
    <w:p w:rsidR="00C24527" w:rsidRPr="00C24527" w:rsidRDefault="00C24527" w:rsidP="0025015C">
      <w:pPr>
        <w:spacing w:line="276" w:lineRule="auto"/>
        <w:jc w:val="both"/>
        <w:rPr>
          <w:rFonts w:ascii="Garamond" w:hAnsi="Garamond"/>
          <w:sz w:val="22"/>
          <w:szCs w:val="24"/>
          <w:highlight w:val="yellow"/>
        </w:rPr>
      </w:pPr>
      <w:proofErr w:type="spellStart"/>
      <w:r w:rsidRPr="00C24527">
        <w:rPr>
          <w:rFonts w:ascii="Garamond" w:hAnsi="Garamond"/>
          <w:sz w:val="22"/>
          <w:szCs w:val="24"/>
          <w:highlight w:val="yellow"/>
        </w:rPr>
        <w:lastRenderedPageBreak/>
        <w:t>Akinlabi</w:t>
      </w:r>
      <w:proofErr w:type="spellEnd"/>
      <w:r w:rsidRPr="00C24527">
        <w:rPr>
          <w:rFonts w:ascii="Garamond" w:hAnsi="Garamond"/>
          <w:sz w:val="22"/>
          <w:szCs w:val="24"/>
          <w:highlight w:val="yellow"/>
        </w:rPr>
        <w:t xml:space="preserve"> I. A., and Olanrewaju S. A. 2024. “Assessment of Seepage in an Embankment Dam Using Very Low Frequency Electromagnetic and Geoelectrical Methods”. Asian Journal of Environment &amp; Ecology 23 (7):114-24. https://doi.org/10.9734/ajee/2024/v23i7568.</w:t>
      </w:r>
    </w:p>
    <w:p w:rsidR="00C24527" w:rsidRPr="00C24527" w:rsidRDefault="00C24527" w:rsidP="0025015C">
      <w:pPr>
        <w:spacing w:line="276" w:lineRule="auto"/>
        <w:jc w:val="both"/>
        <w:rPr>
          <w:rFonts w:ascii="Garamond" w:hAnsi="Garamond"/>
          <w:sz w:val="22"/>
          <w:szCs w:val="24"/>
          <w:highlight w:val="yellow"/>
        </w:rPr>
      </w:pPr>
    </w:p>
    <w:p w:rsidR="00C24527" w:rsidRPr="00703372" w:rsidRDefault="00C24527" w:rsidP="0025015C">
      <w:pPr>
        <w:spacing w:line="276" w:lineRule="auto"/>
        <w:jc w:val="both"/>
        <w:rPr>
          <w:rFonts w:ascii="Garamond" w:hAnsi="Garamond"/>
          <w:sz w:val="22"/>
          <w:szCs w:val="24"/>
        </w:rPr>
        <w:sectPr w:rsidR="00C24527" w:rsidRPr="00703372" w:rsidSect="00BF5C96">
          <w:pgSz w:w="12240" w:h="15840"/>
          <w:pgMar w:top="1440" w:right="2016" w:bottom="2016" w:left="2016" w:header="720" w:footer="1123" w:gutter="0"/>
          <w:cols w:space="720"/>
          <w:docGrid w:linePitch="272"/>
        </w:sectPr>
      </w:pPr>
      <w:r w:rsidRPr="00C24527">
        <w:rPr>
          <w:rFonts w:ascii="Garamond" w:hAnsi="Garamond"/>
          <w:sz w:val="22"/>
          <w:szCs w:val="24"/>
          <w:highlight w:val="yellow"/>
        </w:rPr>
        <w:t>Al-</w:t>
      </w:r>
      <w:proofErr w:type="spellStart"/>
      <w:r w:rsidRPr="00C24527">
        <w:rPr>
          <w:rFonts w:ascii="Garamond" w:hAnsi="Garamond"/>
          <w:sz w:val="22"/>
          <w:szCs w:val="24"/>
          <w:highlight w:val="yellow"/>
        </w:rPr>
        <w:t>Balawna</w:t>
      </w:r>
      <w:proofErr w:type="spellEnd"/>
      <w:r w:rsidRPr="00C24527">
        <w:rPr>
          <w:rFonts w:ascii="Garamond" w:hAnsi="Garamond"/>
          <w:sz w:val="22"/>
          <w:szCs w:val="24"/>
          <w:highlight w:val="yellow"/>
        </w:rPr>
        <w:t xml:space="preserve">, </w:t>
      </w:r>
      <w:proofErr w:type="spellStart"/>
      <w:r w:rsidRPr="00C24527">
        <w:rPr>
          <w:rFonts w:ascii="Garamond" w:hAnsi="Garamond"/>
          <w:sz w:val="22"/>
          <w:szCs w:val="24"/>
          <w:highlight w:val="yellow"/>
        </w:rPr>
        <w:t>Zohuir</w:t>
      </w:r>
      <w:proofErr w:type="spellEnd"/>
      <w:r w:rsidRPr="00C24527">
        <w:rPr>
          <w:rFonts w:ascii="Garamond" w:hAnsi="Garamond"/>
          <w:sz w:val="22"/>
          <w:szCs w:val="24"/>
          <w:highlight w:val="yellow"/>
        </w:rPr>
        <w:t xml:space="preserve"> A., </w:t>
      </w:r>
      <w:proofErr w:type="spellStart"/>
      <w:r w:rsidRPr="00C24527">
        <w:rPr>
          <w:rFonts w:ascii="Garamond" w:hAnsi="Garamond"/>
          <w:sz w:val="22"/>
          <w:szCs w:val="24"/>
          <w:highlight w:val="yellow"/>
        </w:rPr>
        <w:t>Ideisan</w:t>
      </w:r>
      <w:proofErr w:type="spellEnd"/>
      <w:r w:rsidRPr="00C24527">
        <w:rPr>
          <w:rFonts w:ascii="Garamond" w:hAnsi="Garamond"/>
          <w:sz w:val="22"/>
          <w:szCs w:val="24"/>
          <w:highlight w:val="yellow"/>
        </w:rPr>
        <w:t xml:space="preserve"> I. Abu-Abdoun, Othman Y. Saleh, Ala Alden M. Khamis, and </w:t>
      </w:r>
      <w:proofErr w:type="spellStart"/>
      <w:r w:rsidRPr="00C24527">
        <w:rPr>
          <w:rFonts w:ascii="Garamond" w:hAnsi="Garamond"/>
          <w:sz w:val="22"/>
          <w:szCs w:val="24"/>
          <w:highlight w:val="yellow"/>
        </w:rPr>
        <w:t>Taleb</w:t>
      </w:r>
      <w:proofErr w:type="spellEnd"/>
      <w:r w:rsidRPr="00C24527">
        <w:rPr>
          <w:rFonts w:ascii="Garamond" w:hAnsi="Garamond"/>
          <w:sz w:val="22"/>
          <w:szCs w:val="24"/>
          <w:highlight w:val="yellow"/>
        </w:rPr>
        <w:t xml:space="preserve"> M. Al-</w:t>
      </w:r>
      <w:proofErr w:type="spellStart"/>
      <w:r w:rsidRPr="00C24527">
        <w:rPr>
          <w:rFonts w:ascii="Garamond" w:hAnsi="Garamond"/>
          <w:sz w:val="22"/>
          <w:szCs w:val="24"/>
          <w:highlight w:val="yellow"/>
        </w:rPr>
        <w:t>Talb</w:t>
      </w:r>
      <w:proofErr w:type="spellEnd"/>
      <w:r w:rsidRPr="00C24527">
        <w:rPr>
          <w:rFonts w:ascii="Garamond" w:hAnsi="Garamond"/>
          <w:sz w:val="22"/>
          <w:szCs w:val="24"/>
          <w:highlight w:val="yellow"/>
        </w:rPr>
        <w:t>. 2024. “Chemical Analysis and Agricultural Utilizations of Dams Reservoir Sediments”. Journal of Experimental Agriculture International 46 (7):40-46. https://doi.org/10.9734/jeai/2024/v46i72555</w:t>
      </w:r>
      <w:r w:rsidRPr="00C24527">
        <w:rPr>
          <w:rFonts w:ascii="Garamond" w:hAnsi="Garamond"/>
          <w:sz w:val="22"/>
          <w:szCs w:val="24"/>
        </w:rPr>
        <w:t>.</w:t>
      </w:r>
    </w:p>
    <w:p w:rsidR="00C24527" w:rsidRDefault="00C24527" w:rsidP="0025015C">
      <w:pPr>
        <w:pStyle w:val="Appendix"/>
        <w:spacing w:after="0"/>
        <w:jc w:val="both"/>
        <w:rPr>
          <w:rFonts w:ascii="Arial" w:hAnsi="Arial" w:cs="Arial"/>
          <w:b w:val="0"/>
        </w:rPr>
      </w:pPr>
    </w:p>
    <w:p w:rsidR="00B01FCD" w:rsidRPr="00C24527" w:rsidRDefault="00C24527" w:rsidP="00C24527">
      <w:pPr>
        <w:tabs>
          <w:tab w:val="left" w:pos="1412"/>
        </w:tabs>
      </w:pPr>
      <w:r>
        <w:tab/>
      </w:r>
    </w:p>
    <w:sectPr w:rsidR="00B01FCD" w:rsidRPr="00C24527" w:rsidSect="00BF5C96">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34B0D" w:rsidRDefault="00D34B0D" w:rsidP="00C37E61">
      <w:r>
        <w:separator/>
      </w:r>
    </w:p>
  </w:endnote>
  <w:endnote w:type="continuationSeparator" w:id="0">
    <w:p w:rsidR="00D34B0D" w:rsidRDefault="00D34B0D"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Microsoft JhengHei">
    <w:panose1 w:val="020B0604030504040204"/>
    <w:charset w:val="88"/>
    <w:family w:val="swiss"/>
    <w:pitch w:val="variable"/>
    <w:sig w:usb0="000002A7" w:usb1="28CF4400" w:usb2="00000016" w:usb3="00000000" w:csb0="00100009"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80452111"/>
      <w:docPartObj>
        <w:docPartGallery w:val="Page Numbers (Bottom of Page)"/>
        <w:docPartUnique/>
      </w:docPartObj>
    </w:sdtPr>
    <w:sdtEndPr/>
    <w:sdtContent>
      <w:p w:rsidR="00161F3F" w:rsidRDefault="00161F3F">
        <w:pPr>
          <w:pStyle w:val="Footer"/>
          <w:jc w:val="center"/>
        </w:pPr>
        <w:r w:rsidRPr="008D7A4D">
          <w:rPr>
            <w:rFonts w:ascii="Arial" w:hAnsi="Arial" w:cs="Arial"/>
          </w:rPr>
          <w:fldChar w:fldCharType="begin"/>
        </w:r>
        <w:r w:rsidRPr="008D7A4D">
          <w:rPr>
            <w:rFonts w:ascii="Arial" w:hAnsi="Arial" w:cs="Arial"/>
          </w:rPr>
          <w:instrText xml:space="preserve"> PAGE   \* MERGEFORMAT </w:instrText>
        </w:r>
        <w:r w:rsidRPr="008D7A4D">
          <w:rPr>
            <w:rFonts w:ascii="Arial" w:hAnsi="Arial" w:cs="Arial"/>
          </w:rPr>
          <w:fldChar w:fldCharType="separate"/>
        </w:r>
        <w:r w:rsidR="00865769">
          <w:rPr>
            <w:rFonts w:ascii="Arial" w:hAnsi="Arial" w:cs="Arial"/>
            <w:noProof/>
          </w:rPr>
          <w:t>17</w:t>
        </w:r>
        <w:r w:rsidRPr="008D7A4D">
          <w:rPr>
            <w:rFonts w:ascii="Arial" w:hAnsi="Arial" w:cs="Arial"/>
          </w:rPr>
          <w:fldChar w:fldCharType="end"/>
        </w:r>
      </w:p>
    </w:sdtContent>
  </w:sdt>
  <w:p w:rsidR="00161F3F" w:rsidRDefault="00161F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34B0D" w:rsidRDefault="00D34B0D" w:rsidP="00C37E61">
      <w:r>
        <w:separator/>
      </w:r>
    </w:p>
  </w:footnote>
  <w:footnote w:type="continuationSeparator" w:id="0">
    <w:p w:rsidR="00D34B0D" w:rsidRDefault="00D34B0D"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61F3F" w:rsidRDefault="00D34B0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1407860"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61F3F" w:rsidRDefault="00D34B0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1407861"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61F3F" w:rsidRDefault="00D34B0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1407859" o:spid="_x0000_s2049" type="#_x0000_t136" style="position:absolute;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F4D7E82"/>
    <w:multiLevelType w:val="multilevel"/>
    <w:tmpl w:val="4612B4A2"/>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A26C0E"/>
    <w:multiLevelType w:val="hybridMultilevel"/>
    <w:tmpl w:val="7CA440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360E742C"/>
    <w:multiLevelType w:val="multilevel"/>
    <w:tmpl w:val="05F01E0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9" w15:restartNumberingAfterBreak="0">
    <w:nsid w:val="4B4C54BE"/>
    <w:multiLevelType w:val="multilevel"/>
    <w:tmpl w:val="828CDD3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687F0FDC"/>
    <w:multiLevelType w:val="multilevel"/>
    <w:tmpl w:val="40A41F6C"/>
    <w:lvl w:ilvl="0">
      <w:start w:val="2"/>
      <w:numFmt w:val="decimal"/>
      <w:lvlText w:val="%1"/>
      <w:lvlJc w:val="left"/>
      <w:pPr>
        <w:ind w:left="480" w:hanging="480"/>
      </w:pPr>
      <w:rPr>
        <w:rFonts w:hint="default"/>
      </w:rPr>
    </w:lvl>
    <w:lvl w:ilvl="1">
      <w:start w:val="2"/>
      <w:numFmt w:val="decimal"/>
      <w:lvlText w:val="%1.%2"/>
      <w:lvlJc w:val="left"/>
      <w:pPr>
        <w:ind w:left="1020" w:hanging="48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23"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5"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7"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9"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1"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8"/>
  </w:num>
  <w:num w:numId="3">
    <w:abstractNumId w:val="28"/>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4"/>
  </w:num>
  <w:num w:numId="9">
    <w:abstractNumId w:val="30"/>
  </w:num>
  <w:num w:numId="10">
    <w:abstractNumId w:val="2"/>
  </w:num>
  <w:num w:numId="11">
    <w:abstractNumId w:val="23"/>
  </w:num>
  <w:num w:numId="12">
    <w:abstractNumId w:val="3"/>
  </w:num>
  <w:num w:numId="13">
    <w:abstractNumId w:val="21"/>
  </w:num>
  <w:num w:numId="14">
    <w:abstractNumId w:val="8"/>
  </w:num>
  <w:num w:numId="15">
    <w:abstractNumId w:val="26"/>
  </w:num>
  <w:num w:numId="16">
    <w:abstractNumId w:val="5"/>
  </w:num>
  <w:num w:numId="17">
    <w:abstractNumId w:val="27"/>
  </w:num>
  <w:num w:numId="18">
    <w:abstractNumId w:val="16"/>
  </w:num>
  <w:num w:numId="19">
    <w:abstractNumId w:val="33"/>
  </w:num>
  <w:num w:numId="20">
    <w:abstractNumId w:val="13"/>
  </w:num>
  <w:num w:numId="21">
    <w:abstractNumId w:val="10"/>
  </w:num>
  <w:num w:numId="22">
    <w:abstractNumId w:val="15"/>
  </w:num>
  <w:num w:numId="23">
    <w:abstractNumId w:val="24"/>
  </w:num>
  <w:num w:numId="24">
    <w:abstractNumId w:val="31"/>
  </w:num>
  <w:num w:numId="25">
    <w:abstractNumId w:val="4"/>
  </w:num>
  <w:num w:numId="26">
    <w:abstractNumId w:val="20"/>
  </w:num>
  <w:num w:numId="27">
    <w:abstractNumId w:val="25"/>
  </w:num>
  <w:num w:numId="28">
    <w:abstractNumId w:val="32"/>
  </w:num>
  <w:num w:numId="29">
    <w:abstractNumId w:val="29"/>
  </w:num>
  <w:num w:numId="30">
    <w:abstractNumId w:val="12"/>
  </w:num>
  <w:num w:numId="31">
    <w:abstractNumId w:val="19"/>
  </w:num>
  <w:num w:numId="32">
    <w:abstractNumId w:val="9"/>
  </w:num>
  <w:num w:numId="33">
    <w:abstractNumId w:val="17"/>
  </w:num>
  <w:num w:numId="34">
    <w:abstractNumId w:val="11"/>
  </w:num>
  <w:num w:numId="3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236FA"/>
    <w:rsid w:val="00030174"/>
    <w:rsid w:val="0004579C"/>
    <w:rsid w:val="000A47FA"/>
    <w:rsid w:val="000A65D3"/>
    <w:rsid w:val="000A6D40"/>
    <w:rsid w:val="000B1E33"/>
    <w:rsid w:val="000D689F"/>
    <w:rsid w:val="000E7B7B"/>
    <w:rsid w:val="000E7D62"/>
    <w:rsid w:val="00103357"/>
    <w:rsid w:val="001234D1"/>
    <w:rsid w:val="00123C9F"/>
    <w:rsid w:val="00126190"/>
    <w:rsid w:val="00130F17"/>
    <w:rsid w:val="001320BF"/>
    <w:rsid w:val="00161F3F"/>
    <w:rsid w:val="00163BC4"/>
    <w:rsid w:val="00171913"/>
    <w:rsid w:val="00191062"/>
    <w:rsid w:val="00192B72"/>
    <w:rsid w:val="001A29D8"/>
    <w:rsid w:val="001A5CAA"/>
    <w:rsid w:val="001B0427"/>
    <w:rsid w:val="001D3A51"/>
    <w:rsid w:val="001E10D2"/>
    <w:rsid w:val="001E25B4"/>
    <w:rsid w:val="001E2D72"/>
    <w:rsid w:val="001E44FE"/>
    <w:rsid w:val="00200595"/>
    <w:rsid w:val="00204835"/>
    <w:rsid w:val="00231920"/>
    <w:rsid w:val="0023195C"/>
    <w:rsid w:val="0024282C"/>
    <w:rsid w:val="002460DC"/>
    <w:rsid w:val="0025015C"/>
    <w:rsid w:val="00250985"/>
    <w:rsid w:val="002556F6"/>
    <w:rsid w:val="00283105"/>
    <w:rsid w:val="00284C4C"/>
    <w:rsid w:val="00287E68"/>
    <w:rsid w:val="00296529"/>
    <w:rsid w:val="002B27FB"/>
    <w:rsid w:val="002B685A"/>
    <w:rsid w:val="002C57D2"/>
    <w:rsid w:val="002E0D56"/>
    <w:rsid w:val="002F2617"/>
    <w:rsid w:val="00315186"/>
    <w:rsid w:val="00332FDC"/>
    <w:rsid w:val="0033343E"/>
    <w:rsid w:val="003512C2"/>
    <w:rsid w:val="00365FE6"/>
    <w:rsid w:val="00371FB6"/>
    <w:rsid w:val="003763C1"/>
    <w:rsid w:val="00376BBE"/>
    <w:rsid w:val="0039224F"/>
    <w:rsid w:val="00396F14"/>
    <w:rsid w:val="003A43A4"/>
    <w:rsid w:val="003A7E18"/>
    <w:rsid w:val="003B0991"/>
    <w:rsid w:val="003C4C86"/>
    <w:rsid w:val="003C6258"/>
    <w:rsid w:val="003E2904"/>
    <w:rsid w:val="003F4771"/>
    <w:rsid w:val="00401927"/>
    <w:rsid w:val="0041027F"/>
    <w:rsid w:val="00412475"/>
    <w:rsid w:val="00423789"/>
    <w:rsid w:val="00440F43"/>
    <w:rsid w:val="00441B6F"/>
    <w:rsid w:val="00446221"/>
    <w:rsid w:val="00450E62"/>
    <w:rsid w:val="004539DB"/>
    <w:rsid w:val="00471A80"/>
    <w:rsid w:val="004A0592"/>
    <w:rsid w:val="004D305E"/>
    <w:rsid w:val="004D4277"/>
    <w:rsid w:val="00502516"/>
    <w:rsid w:val="00505F06"/>
    <w:rsid w:val="00506828"/>
    <w:rsid w:val="00516EAB"/>
    <w:rsid w:val="00525402"/>
    <w:rsid w:val="0053056E"/>
    <w:rsid w:val="00554FDA"/>
    <w:rsid w:val="005701E3"/>
    <w:rsid w:val="005B06B6"/>
    <w:rsid w:val="005C32FB"/>
    <w:rsid w:val="005C784C"/>
    <w:rsid w:val="005D17F6"/>
    <w:rsid w:val="005E5448"/>
    <w:rsid w:val="005E5539"/>
    <w:rsid w:val="00602BF5"/>
    <w:rsid w:val="00617FDD"/>
    <w:rsid w:val="00633614"/>
    <w:rsid w:val="00633F68"/>
    <w:rsid w:val="006366D8"/>
    <w:rsid w:val="00636EB2"/>
    <w:rsid w:val="006375B8"/>
    <w:rsid w:val="0066510A"/>
    <w:rsid w:val="00673F9F"/>
    <w:rsid w:val="00686953"/>
    <w:rsid w:val="00687DEA"/>
    <w:rsid w:val="00687E67"/>
    <w:rsid w:val="006967F7"/>
    <w:rsid w:val="006A250C"/>
    <w:rsid w:val="006B21D3"/>
    <w:rsid w:val="006B57D0"/>
    <w:rsid w:val="006D30FF"/>
    <w:rsid w:val="006D6940"/>
    <w:rsid w:val="006F11EC"/>
    <w:rsid w:val="0070082C"/>
    <w:rsid w:val="00703372"/>
    <w:rsid w:val="007369E6"/>
    <w:rsid w:val="0074664D"/>
    <w:rsid w:val="00746E59"/>
    <w:rsid w:val="00754C9A"/>
    <w:rsid w:val="0075599A"/>
    <w:rsid w:val="00761D52"/>
    <w:rsid w:val="0077749E"/>
    <w:rsid w:val="00790ADA"/>
    <w:rsid w:val="007A749F"/>
    <w:rsid w:val="007D2288"/>
    <w:rsid w:val="007E088F"/>
    <w:rsid w:val="007F7B32"/>
    <w:rsid w:val="00804BC2"/>
    <w:rsid w:val="0081431A"/>
    <w:rsid w:val="008158D5"/>
    <w:rsid w:val="0083216F"/>
    <w:rsid w:val="00860000"/>
    <w:rsid w:val="00863BD3"/>
    <w:rsid w:val="008641ED"/>
    <w:rsid w:val="00865769"/>
    <w:rsid w:val="00866D66"/>
    <w:rsid w:val="008671C6"/>
    <w:rsid w:val="00875803"/>
    <w:rsid w:val="008B459E"/>
    <w:rsid w:val="008D5D22"/>
    <w:rsid w:val="008D7A4D"/>
    <w:rsid w:val="008E05FA"/>
    <w:rsid w:val="008E13AE"/>
    <w:rsid w:val="008E1506"/>
    <w:rsid w:val="008E710C"/>
    <w:rsid w:val="008F69D6"/>
    <w:rsid w:val="00902823"/>
    <w:rsid w:val="00915CA6"/>
    <w:rsid w:val="00927834"/>
    <w:rsid w:val="009500A6"/>
    <w:rsid w:val="00957C18"/>
    <w:rsid w:val="009641C8"/>
    <w:rsid w:val="009659BA"/>
    <w:rsid w:val="00974358"/>
    <w:rsid w:val="00983040"/>
    <w:rsid w:val="009A3534"/>
    <w:rsid w:val="009B3FB9"/>
    <w:rsid w:val="009B736C"/>
    <w:rsid w:val="009C2465"/>
    <w:rsid w:val="009C6908"/>
    <w:rsid w:val="009D35A0"/>
    <w:rsid w:val="009D7EB7"/>
    <w:rsid w:val="009E048A"/>
    <w:rsid w:val="009E08E9"/>
    <w:rsid w:val="009E3DB9"/>
    <w:rsid w:val="009E6E35"/>
    <w:rsid w:val="009F0EDA"/>
    <w:rsid w:val="00A03B96"/>
    <w:rsid w:val="00A05B19"/>
    <w:rsid w:val="00A1134E"/>
    <w:rsid w:val="00A11C99"/>
    <w:rsid w:val="00A24E7E"/>
    <w:rsid w:val="00A258C3"/>
    <w:rsid w:val="00A275E8"/>
    <w:rsid w:val="00A347C0"/>
    <w:rsid w:val="00A51431"/>
    <w:rsid w:val="00A539AD"/>
    <w:rsid w:val="00A57CC1"/>
    <w:rsid w:val="00A94063"/>
    <w:rsid w:val="00AA6219"/>
    <w:rsid w:val="00AA74E0"/>
    <w:rsid w:val="00AB703F"/>
    <w:rsid w:val="00AC6BB8"/>
    <w:rsid w:val="00AE008F"/>
    <w:rsid w:val="00B01FCD"/>
    <w:rsid w:val="00B1776C"/>
    <w:rsid w:val="00B52583"/>
    <w:rsid w:val="00B52896"/>
    <w:rsid w:val="00B95236"/>
    <w:rsid w:val="00B96BD9"/>
    <w:rsid w:val="00BA1B01"/>
    <w:rsid w:val="00BA2641"/>
    <w:rsid w:val="00BB37AA"/>
    <w:rsid w:val="00BC53A0"/>
    <w:rsid w:val="00BC56AC"/>
    <w:rsid w:val="00BE62AD"/>
    <w:rsid w:val="00BF121F"/>
    <w:rsid w:val="00BF1F80"/>
    <w:rsid w:val="00BF5C96"/>
    <w:rsid w:val="00C050EB"/>
    <w:rsid w:val="00C166EF"/>
    <w:rsid w:val="00C17EB0"/>
    <w:rsid w:val="00C24527"/>
    <w:rsid w:val="00C27F5F"/>
    <w:rsid w:val="00C30A0F"/>
    <w:rsid w:val="00C37E61"/>
    <w:rsid w:val="00C70F1B"/>
    <w:rsid w:val="00C71A47"/>
    <w:rsid w:val="00C71EB1"/>
    <w:rsid w:val="00C7464C"/>
    <w:rsid w:val="00C85588"/>
    <w:rsid w:val="00CC2565"/>
    <w:rsid w:val="00CD6755"/>
    <w:rsid w:val="00CD6856"/>
    <w:rsid w:val="00CE0089"/>
    <w:rsid w:val="00CE793C"/>
    <w:rsid w:val="00CF193C"/>
    <w:rsid w:val="00D12539"/>
    <w:rsid w:val="00D173F1"/>
    <w:rsid w:val="00D30026"/>
    <w:rsid w:val="00D34B0D"/>
    <w:rsid w:val="00D51849"/>
    <w:rsid w:val="00D74CB0"/>
    <w:rsid w:val="00D8295D"/>
    <w:rsid w:val="00DA2A91"/>
    <w:rsid w:val="00DC2A65"/>
    <w:rsid w:val="00DE15F0"/>
    <w:rsid w:val="00DE5663"/>
    <w:rsid w:val="00DE78AA"/>
    <w:rsid w:val="00E053D0"/>
    <w:rsid w:val="00E15994"/>
    <w:rsid w:val="00E30671"/>
    <w:rsid w:val="00E3114E"/>
    <w:rsid w:val="00E31A70"/>
    <w:rsid w:val="00E35B02"/>
    <w:rsid w:val="00E508FD"/>
    <w:rsid w:val="00E53024"/>
    <w:rsid w:val="00E65204"/>
    <w:rsid w:val="00E66496"/>
    <w:rsid w:val="00E66B35"/>
    <w:rsid w:val="00E66E10"/>
    <w:rsid w:val="00E769F6"/>
    <w:rsid w:val="00E8407C"/>
    <w:rsid w:val="00E84F3C"/>
    <w:rsid w:val="00EA012C"/>
    <w:rsid w:val="00EC2549"/>
    <w:rsid w:val="00EC6A55"/>
    <w:rsid w:val="00ED0288"/>
    <w:rsid w:val="00EE52CB"/>
    <w:rsid w:val="00EF581D"/>
    <w:rsid w:val="00EF7FD8"/>
    <w:rsid w:val="00F06F59"/>
    <w:rsid w:val="00F17988"/>
    <w:rsid w:val="00F26C68"/>
    <w:rsid w:val="00F469F0"/>
    <w:rsid w:val="00F53273"/>
    <w:rsid w:val="00F755E4"/>
    <w:rsid w:val="00F77D02"/>
    <w:rsid w:val="00FB3A86"/>
    <w:rsid w:val="00FD36C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2DB3685F"/>
  <w15:docId w15:val="{D38F9CBC-E2F6-4024-ADD1-D12B7CF6BD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iPriority="5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link w:val="FooterChar"/>
    <w:uiPriority w:val="99"/>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link w:val="HeaderChar"/>
    <w:uiPriority w:val="99"/>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styleId="ListParagraph">
    <w:name w:val="List Paragraph"/>
    <w:basedOn w:val="Normal"/>
    <w:uiPriority w:val="34"/>
    <w:qFormat/>
    <w:rsid w:val="00A11C99"/>
    <w:pPr>
      <w:spacing w:after="160" w:line="259" w:lineRule="auto"/>
      <w:ind w:left="720"/>
      <w:contextualSpacing/>
    </w:pPr>
    <w:rPr>
      <w:rFonts w:asciiTheme="minorHAnsi" w:eastAsiaTheme="minorHAnsi" w:hAnsiTheme="minorHAnsi" w:cstheme="minorBidi"/>
      <w:kern w:val="2"/>
      <w:sz w:val="22"/>
      <w:szCs w:val="22"/>
    </w:rPr>
  </w:style>
  <w:style w:type="paragraph" w:styleId="Caption">
    <w:name w:val="caption"/>
    <w:basedOn w:val="Normal"/>
    <w:next w:val="Normal"/>
    <w:uiPriority w:val="35"/>
    <w:unhideWhenUsed/>
    <w:qFormat/>
    <w:rsid w:val="00A11C99"/>
    <w:pPr>
      <w:spacing w:after="200"/>
    </w:pPr>
    <w:rPr>
      <w:rFonts w:asciiTheme="minorHAnsi" w:eastAsiaTheme="minorHAnsi" w:hAnsiTheme="minorHAnsi" w:cstheme="minorBidi"/>
      <w:i/>
      <w:iCs/>
      <w:color w:val="1F497D" w:themeColor="text2"/>
      <w:kern w:val="2"/>
      <w:sz w:val="18"/>
      <w:szCs w:val="18"/>
    </w:rPr>
  </w:style>
  <w:style w:type="table" w:customStyle="1" w:styleId="PlainTable21">
    <w:name w:val="Plain Table 21"/>
    <w:basedOn w:val="TableNormal"/>
    <w:uiPriority w:val="42"/>
    <w:rsid w:val="00A11C99"/>
    <w:rPr>
      <w:rFonts w:asciiTheme="minorHAnsi" w:eastAsiaTheme="minorHAnsi" w:hAnsiTheme="minorHAnsi" w:cstheme="minorBidi"/>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Strong">
    <w:name w:val="Strong"/>
    <w:basedOn w:val="DefaultParagraphFont"/>
    <w:uiPriority w:val="22"/>
    <w:qFormat/>
    <w:rsid w:val="0025015C"/>
    <w:rPr>
      <w:b/>
      <w:bCs/>
    </w:rPr>
  </w:style>
  <w:style w:type="character" w:customStyle="1" w:styleId="UnresolvedMention2">
    <w:name w:val="Unresolved Mention2"/>
    <w:basedOn w:val="DefaultParagraphFont"/>
    <w:uiPriority w:val="99"/>
    <w:semiHidden/>
    <w:unhideWhenUsed/>
    <w:rsid w:val="009641C8"/>
    <w:rPr>
      <w:color w:val="605E5C"/>
      <w:shd w:val="clear" w:color="auto" w:fill="E1DFDD"/>
    </w:rPr>
  </w:style>
  <w:style w:type="character" w:customStyle="1" w:styleId="HeaderChar">
    <w:name w:val="Header Char"/>
    <w:basedOn w:val="DefaultParagraphFont"/>
    <w:link w:val="Header"/>
    <w:uiPriority w:val="99"/>
    <w:rsid w:val="008D7A4D"/>
    <w:rPr>
      <w:rFonts w:ascii="Helvetica" w:hAnsi="Helvetica"/>
    </w:rPr>
  </w:style>
  <w:style w:type="character" w:customStyle="1" w:styleId="FooterChar">
    <w:name w:val="Footer Char"/>
    <w:basedOn w:val="DefaultParagraphFont"/>
    <w:link w:val="Footer"/>
    <w:uiPriority w:val="99"/>
    <w:rsid w:val="008D7A4D"/>
    <w:rPr>
      <w:rFonts w:ascii="Helvetica" w:hAnsi="Helveti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402067593">
      <w:bodyDiv w:val="1"/>
      <w:marLeft w:val="0"/>
      <w:marRight w:val="0"/>
      <w:marTop w:val="0"/>
      <w:marBottom w:val="0"/>
      <w:divBdr>
        <w:top w:val="none" w:sz="0" w:space="0" w:color="auto"/>
        <w:left w:val="none" w:sz="0" w:space="0" w:color="auto"/>
        <w:bottom w:val="none" w:sz="0" w:space="0" w:color="auto"/>
        <w:right w:val="none" w:sz="0" w:space="0" w:color="auto"/>
      </w:divBdr>
      <w:divsChild>
        <w:div w:id="2135829591">
          <w:marLeft w:val="0"/>
          <w:marRight w:val="0"/>
          <w:marTop w:val="0"/>
          <w:marBottom w:val="0"/>
          <w:divBdr>
            <w:top w:val="none" w:sz="0" w:space="0" w:color="auto"/>
            <w:left w:val="none" w:sz="0" w:space="0" w:color="auto"/>
            <w:bottom w:val="none" w:sz="0" w:space="0" w:color="auto"/>
            <w:right w:val="none" w:sz="0" w:space="0" w:color="auto"/>
          </w:divBdr>
          <w:divsChild>
            <w:div w:id="243876219">
              <w:marLeft w:val="0"/>
              <w:marRight w:val="0"/>
              <w:marTop w:val="0"/>
              <w:marBottom w:val="0"/>
              <w:divBdr>
                <w:top w:val="none" w:sz="0" w:space="0" w:color="auto"/>
                <w:left w:val="none" w:sz="0" w:space="0" w:color="auto"/>
                <w:bottom w:val="none" w:sz="0" w:space="0" w:color="auto"/>
                <w:right w:val="none" w:sz="0" w:space="0" w:color="auto"/>
              </w:divBdr>
              <w:divsChild>
                <w:div w:id="1429886962">
                  <w:marLeft w:val="0"/>
                  <w:marRight w:val="0"/>
                  <w:marTop w:val="0"/>
                  <w:marBottom w:val="0"/>
                  <w:divBdr>
                    <w:top w:val="none" w:sz="0" w:space="0" w:color="auto"/>
                    <w:left w:val="none" w:sz="0" w:space="0" w:color="auto"/>
                    <w:bottom w:val="none" w:sz="0" w:space="0" w:color="auto"/>
                    <w:right w:val="none" w:sz="0" w:space="0" w:color="auto"/>
                  </w:divBdr>
                  <w:divsChild>
                    <w:div w:id="13171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856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648479985">
      <w:bodyDiv w:val="1"/>
      <w:marLeft w:val="0"/>
      <w:marRight w:val="0"/>
      <w:marTop w:val="0"/>
      <w:marBottom w:val="0"/>
      <w:divBdr>
        <w:top w:val="none" w:sz="0" w:space="0" w:color="auto"/>
        <w:left w:val="none" w:sz="0" w:space="0" w:color="auto"/>
        <w:bottom w:val="none" w:sz="0" w:space="0" w:color="auto"/>
        <w:right w:val="none" w:sz="0" w:space="0" w:color="auto"/>
      </w:divBdr>
      <w:divsChild>
        <w:div w:id="1608350646">
          <w:marLeft w:val="0"/>
          <w:marRight w:val="0"/>
          <w:marTop w:val="0"/>
          <w:marBottom w:val="0"/>
          <w:divBdr>
            <w:top w:val="none" w:sz="0" w:space="0" w:color="auto"/>
            <w:left w:val="none" w:sz="0" w:space="0" w:color="auto"/>
            <w:bottom w:val="none" w:sz="0" w:space="0" w:color="auto"/>
            <w:right w:val="none" w:sz="0" w:space="0" w:color="auto"/>
          </w:divBdr>
          <w:divsChild>
            <w:div w:id="1482425493">
              <w:marLeft w:val="0"/>
              <w:marRight w:val="0"/>
              <w:marTop w:val="0"/>
              <w:marBottom w:val="0"/>
              <w:divBdr>
                <w:top w:val="none" w:sz="0" w:space="0" w:color="auto"/>
                <w:left w:val="none" w:sz="0" w:space="0" w:color="auto"/>
                <w:bottom w:val="none" w:sz="0" w:space="0" w:color="auto"/>
                <w:right w:val="none" w:sz="0" w:space="0" w:color="auto"/>
              </w:divBdr>
              <w:divsChild>
                <w:div w:id="55252645">
                  <w:marLeft w:val="0"/>
                  <w:marRight w:val="0"/>
                  <w:marTop w:val="0"/>
                  <w:marBottom w:val="0"/>
                  <w:divBdr>
                    <w:top w:val="none" w:sz="0" w:space="0" w:color="auto"/>
                    <w:left w:val="none" w:sz="0" w:space="0" w:color="auto"/>
                    <w:bottom w:val="none" w:sz="0" w:space="0" w:color="auto"/>
                    <w:right w:val="none" w:sz="0" w:space="0" w:color="auto"/>
                  </w:divBdr>
                  <w:divsChild>
                    <w:div w:id="199467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49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055935">
      <w:bodyDiv w:val="1"/>
      <w:marLeft w:val="0"/>
      <w:marRight w:val="0"/>
      <w:marTop w:val="0"/>
      <w:marBottom w:val="0"/>
      <w:divBdr>
        <w:top w:val="none" w:sz="0" w:space="0" w:color="auto"/>
        <w:left w:val="none" w:sz="0" w:space="0" w:color="auto"/>
        <w:bottom w:val="none" w:sz="0" w:space="0" w:color="auto"/>
        <w:right w:val="none" w:sz="0" w:space="0" w:color="auto"/>
      </w:divBdr>
      <w:divsChild>
        <w:div w:id="1182281909">
          <w:marLeft w:val="0"/>
          <w:marRight w:val="0"/>
          <w:marTop w:val="0"/>
          <w:marBottom w:val="0"/>
          <w:divBdr>
            <w:top w:val="none" w:sz="0" w:space="0" w:color="auto"/>
            <w:left w:val="none" w:sz="0" w:space="0" w:color="auto"/>
            <w:bottom w:val="none" w:sz="0" w:space="0" w:color="auto"/>
            <w:right w:val="none" w:sz="0" w:space="0" w:color="auto"/>
          </w:divBdr>
          <w:divsChild>
            <w:div w:id="1380087950">
              <w:marLeft w:val="0"/>
              <w:marRight w:val="0"/>
              <w:marTop w:val="0"/>
              <w:marBottom w:val="0"/>
              <w:divBdr>
                <w:top w:val="none" w:sz="0" w:space="0" w:color="auto"/>
                <w:left w:val="none" w:sz="0" w:space="0" w:color="auto"/>
                <w:bottom w:val="none" w:sz="0" w:space="0" w:color="auto"/>
                <w:right w:val="none" w:sz="0" w:space="0" w:color="auto"/>
              </w:divBdr>
              <w:divsChild>
                <w:div w:id="1407528685">
                  <w:marLeft w:val="0"/>
                  <w:marRight w:val="0"/>
                  <w:marTop w:val="0"/>
                  <w:marBottom w:val="0"/>
                  <w:divBdr>
                    <w:top w:val="none" w:sz="0" w:space="0" w:color="auto"/>
                    <w:left w:val="none" w:sz="0" w:space="0" w:color="auto"/>
                    <w:bottom w:val="none" w:sz="0" w:space="0" w:color="auto"/>
                    <w:right w:val="none" w:sz="0" w:space="0" w:color="auto"/>
                  </w:divBdr>
                  <w:divsChild>
                    <w:div w:id="98979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2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CD5E77-D98C-4F0D-B51C-794C0CFE8A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76</TotalTime>
  <Pages>18</Pages>
  <Words>31607</Words>
  <Characters>180166</Characters>
  <Application>Microsoft Office Word</Application>
  <DocSecurity>0</DocSecurity>
  <Lines>1501</Lines>
  <Paragraphs>422</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211351</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PC New 16</cp:lastModifiedBy>
  <cp:revision>12</cp:revision>
  <cp:lastPrinted>1999-07-06T11:00:00Z</cp:lastPrinted>
  <dcterms:created xsi:type="dcterms:W3CDTF">2025-02-11T17:22:00Z</dcterms:created>
  <dcterms:modified xsi:type="dcterms:W3CDTF">2025-02-18T08:22:00Z</dcterms:modified>
</cp:coreProperties>
</file>