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3B5" w:rsidRPr="00370BB1" w:rsidRDefault="00C413B5" w:rsidP="00C413B5">
      <w:pPr>
        <w:jc w:val="right"/>
        <w:rPr>
          <w:b/>
          <w:color w:val="000000"/>
          <w:sz w:val="36"/>
          <w:szCs w:val="36"/>
        </w:rPr>
      </w:pPr>
      <w:r w:rsidRPr="00370BB1">
        <w:rPr>
          <w:b/>
          <w:color w:val="000000"/>
          <w:sz w:val="36"/>
          <w:szCs w:val="36"/>
        </w:rPr>
        <w:t xml:space="preserve">Internet and Mobile Game Addictions among Adolescents in Nigeria: Influence on Psychological Adjustment </w:t>
      </w:r>
    </w:p>
    <w:p w:rsidR="00C413B5" w:rsidRPr="00370BB1" w:rsidRDefault="00C413B5" w:rsidP="00C413B5">
      <w:pPr>
        <w:jc w:val="right"/>
        <w:rPr>
          <w:b/>
          <w:color w:val="000000"/>
          <w:sz w:val="24"/>
          <w:szCs w:val="24"/>
        </w:rPr>
      </w:pPr>
      <w:r w:rsidRPr="00370BB1">
        <w:rPr>
          <w:b/>
          <w:color w:val="000000"/>
          <w:sz w:val="24"/>
          <w:szCs w:val="24"/>
        </w:rPr>
        <w:t xml:space="preserve"> </w:t>
      </w:r>
    </w:p>
    <w:p w:rsidR="00C413B5" w:rsidRPr="00370BB1" w:rsidRDefault="00C413B5" w:rsidP="00C413B5">
      <w:pPr>
        <w:jc w:val="center"/>
        <w:rPr>
          <w:color w:val="000000"/>
          <w:sz w:val="24"/>
          <w:szCs w:val="24"/>
        </w:rPr>
      </w:pPr>
    </w:p>
    <w:p w:rsidR="00C413B5" w:rsidRPr="00370BB1" w:rsidRDefault="00C413B5" w:rsidP="00C413B5">
      <w:pPr>
        <w:rPr>
          <w:b/>
          <w:bCs/>
          <w:color w:val="000000"/>
          <w:sz w:val="20"/>
          <w:szCs w:val="20"/>
        </w:rPr>
      </w:pPr>
      <w:r w:rsidRPr="00370BB1">
        <w:rPr>
          <w:b/>
          <w:bCs/>
          <w:color w:val="000000"/>
          <w:sz w:val="20"/>
          <w:szCs w:val="20"/>
        </w:rPr>
        <w:t>ABSTRACT</w:t>
      </w:r>
    </w:p>
    <w:p w:rsidR="00C413B5" w:rsidRPr="00370BB1" w:rsidRDefault="00C413B5" w:rsidP="00C413B5">
      <w:pPr>
        <w:jc w:val="both"/>
        <w:rPr>
          <w:color w:val="000000"/>
          <w:sz w:val="20"/>
          <w:szCs w:val="20"/>
        </w:rPr>
      </w:pPr>
      <w:r w:rsidRPr="00370BB1">
        <w:rPr>
          <w:rStyle w:val="17"/>
          <w:rFonts w:ascii="Arial" w:hAnsi="Arial" w:hint="default"/>
          <w:b/>
          <w:color w:val="000000"/>
          <w:sz w:val="20"/>
          <w:szCs w:val="20"/>
        </w:rPr>
        <w:t>Aims</w:t>
      </w:r>
      <w:r w:rsidRPr="00370BB1">
        <w:rPr>
          <w:rStyle w:val="17"/>
          <w:rFonts w:ascii="Arial" w:hAnsi="Arial" w:hint="default"/>
          <w:color w:val="000000"/>
          <w:sz w:val="20"/>
          <w:szCs w:val="20"/>
        </w:rPr>
        <w:t xml:space="preserve">: This study examined how </w:t>
      </w:r>
      <w:r w:rsidRPr="00370BB1">
        <w:rPr>
          <w:color w:val="000000"/>
          <w:sz w:val="20"/>
          <w:szCs w:val="20"/>
        </w:rPr>
        <w:t xml:space="preserve">internet and mobile game addictions influence psychological adjustment among secondary school adolescents in the Ibadan metropolis of Oyo State, Nigeria. </w:t>
      </w:r>
    </w:p>
    <w:p w:rsidR="00C413B5" w:rsidRPr="00370BB1" w:rsidRDefault="00C413B5" w:rsidP="00C413B5">
      <w:pPr>
        <w:jc w:val="both"/>
        <w:rPr>
          <w:color w:val="000000"/>
          <w:sz w:val="20"/>
          <w:szCs w:val="20"/>
        </w:rPr>
      </w:pPr>
      <w:r w:rsidRPr="00370BB1">
        <w:rPr>
          <w:b/>
          <w:color w:val="000000"/>
          <w:sz w:val="20"/>
          <w:szCs w:val="20"/>
        </w:rPr>
        <w:t>Study design:</w:t>
      </w:r>
      <w:r w:rsidRPr="00370BB1">
        <w:rPr>
          <w:color w:val="000000"/>
          <w:sz w:val="20"/>
          <w:szCs w:val="20"/>
        </w:rPr>
        <w:t xml:space="preserve"> The study adopted an ex-post facto research design which utilizes cross-sectional survey method to gather data. </w:t>
      </w:r>
    </w:p>
    <w:p w:rsidR="00C413B5" w:rsidRPr="00370BB1" w:rsidRDefault="00C413B5" w:rsidP="00C413B5">
      <w:pPr>
        <w:rPr>
          <w:sz w:val="20"/>
          <w:szCs w:val="20"/>
        </w:rPr>
      </w:pPr>
      <w:r w:rsidRPr="00370BB1">
        <w:rPr>
          <w:rFonts w:eastAsia="Calibri"/>
          <w:b/>
          <w:sz w:val="20"/>
          <w:szCs w:val="20"/>
        </w:rPr>
        <w:t xml:space="preserve">Place and Duration of Study: </w:t>
      </w:r>
      <w:r w:rsidRPr="00370BB1">
        <w:rPr>
          <w:rFonts w:eastAsia="Calibri"/>
          <w:sz w:val="20"/>
          <w:szCs w:val="20"/>
        </w:rPr>
        <w:t>The study was carried out in the department of Psychology Redeemer’s University</w:t>
      </w:r>
    </w:p>
    <w:p w:rsidR="00C413B5" w:rsidRPr="00370BB1" w:rsidRDefault="00C413B5" w:rsidP="00C413B5">
      <w:pPr>
        <w:jc w:val="both"/>
        <w:rPr>
          <w:color w:val="000000"/>
          <w:sz w:val="20"/>
          <w:szCs w:val="20"/>
        </w:rPr>
      </w:pPr>
      <w:r w:rsidRPr="00370BB1">
        <w:rPr>
          <w:b/>
          <w:color w:val="000000"/>
          <w:sz w:val="20"/>
          <w:szCs w:val="20"/>
        </w:rPr>
        <w:t>Methodology</w:t>
      </w:r>
      <w:r w:rsidRPr="00370BB1">
        <w:rPr>
          <w:color w:val="000000"/>
          <w:sz w:val="20"/>
          <w:szCs w:val="20"/>
        </w:rPr>
        <w:t xml:space="preserve">:  The Brief Adjustment Scale, the Internet Addiction Test and the Internet Game Addiction Scale were used to collect data from 500 secondary school students purposively drawn for the study. </w:t>
      </w:r>
    </w:p>
    <w:p w:rsidR="00C413B5" w:rsidRPr="00370BB1" w:rsidRDefault="00C413B5" w:rsidP="00C413B5">
      <w:pPr>
        <w:jc w:val="both"/>
        <w:rPr>
          <w:color w:val="000000"/>
          <w:sz w:val="20"/>
          <w:szCs w:val="20"/>
        </w:rPr>
      </w:pPr>
      <w:r w:rsidRPr="00370BB1">
        <w:rPr>
          <w:b/>
          <w:color w:val="000000"/>
          <w:sz w:val="20"/>
          <w:szCs w:val="20"/>
        </w:rPr>
        <w:t>Results</w:t>
      </w:r>
      <w:r w:rsidRPr="00370BB1">
        <w:rPr>
          <w:color w:val="000000"/>
          <w:sz w:val="20"/>
          <w:szCs w:val="20"/>
        </w:rPr>
        <w:t>: An 8.0% and 2.0% prevalence of internet addiction and mobile gaming addiction were reported among the participants. Internet addiction (</w:t>
      </w:r>
      <w:proofErr w:type="gramStart"/>
      <w:r w:rsidRPr="00370BB1">
        <w:rPr>
          <w:color w:val="000000"/>
          <w:sz w:val="20"/>
          <w:szCs w:val="20"/>
        </w:rPr>
        <w:t>F</w:t>
      </w:r>
      <w:r w:rsidRPr="00370BB1">
        <w:rPr>
          <w:color w:val="000000"/>
          <w:sz w:val="20"/>
          <w:szCs w:val="20"/>
          <w:vertAlign w:val="subscript"/>
        </w:rPr>
        <w:t>(</w:t>
      </w:r>
      <w:proofErr w:type="gramEnd"/>
      <w:r w:rsidRPr="00370BB1">
        <w:rPr>
          <w:color w:val="000000"/>
          <w:sz w:val="20"/>
          <w:szCs w:val="20"/>
          <w:vertAlign w:val="subscript"/>
        </w:rPr>
        <w:t>1,499)</w:t>
      </w:r>
      <w:r w:rsidRPr="00370BB1">
        <w:rPr>
          <w:color w:val="000000"/>
          <w:sz w:val="20"/>
          <w:szCs w:val="20"/>
        </w:rPr>
        <w:t>= 30.19; p&lt; 0.05) and mobile game addiction (F</w:t>
      </w:r>
      <w:r w:rsidRPr="00370BB1">
        <w:rPr>
          <w:color w:val="000000"/>
          <w:sz w:val="20"/>
          <w:szCs w:val="20"/>
          <w:vertAlign w:val="subscript"/>
        </w:rPr>
        <w:t>(1,499)</w:t>
      </w:r>
      <w:r w:rsidRPr="00370BB1">
        <w:rPr>
          <w:color w:val="000000"/>
          <w:sz w:val="20"/>
          <w:szCs w:val="20"/>
        </w:rPr>
        <w:t>= 54.49; p&lt; 0.05) have significant influence on psychological adjustment among secondary school adolescents. Significant difference in the psychological adjustment of the participants was found on gender (T</w:t>
      </w:r>
      <w:r w:rsidRPr="00370BB1">
        <w:rPr>
          <w:color w:val="000000"/>
          <w:sz w:val="20"/>
          <w:szCs w:val="20"/>
          <w:vertAlign w:val="subscript"/>
        </w:rPr>
        <w:t>(498)</w:t>
      </w:r>
      <w:r w:rsidRPr="00370BB1">
        <w:rPr>
          <w:color w:val="000000"/>
          <w:sz w:val="20"/>
          <w:szCs w:val="20"/>
        </w:rPr>
        <w:t xml:space="preserve">=-3.492, p&lt;.05) and school type (public / privately owned) among the secondary school students with female participants and private schools reporting higher mean scores respectively. </w:t>
      </w:r>
    </w:p>
    <w:p w:rsidR="00C413B5" w:rsidRPr="00370BB1" w:rsidRDefault="00C413B5" w:rsidP="00C413B5">
      <w:pPr>
        <w:jc w:val="both"/>
        <w:rPr>
          <w:color w:val="000000"/>
          <w:sz w:val="20"/>
          <w:szCs w:val="20"/>
        </w:rPr>
      </w:pPr>
      <w:r w:rsidRPr="00370BB1">
        <w:rPr>
          <w:b/>
          <w:color w:val="000000"/>
          <w:sz w:val="20"/>
          <w:szCs w:val="20"/>
        </w:rPr>
        <w:t>Conclusion:</w:t>
      </w:r>
      <w:r w:rsidRPr="00370BB1">
        <w:rPr>
          <w:color w:val="000000"/>
          <w:sz w:val="20"/>
          <w:szCs w:val="20"/>
        </w:rPr>
        <w:t xml:space="preserve"> The study concluded that internet addiction, mobile game addictions, gender, and school type have significant influence on psychological adjustment among secondary school students. </w:t>
      </w:r>
      <w:r w:rsidR="008C773A" w:rsidRPr="00370BB1">
        <w:rPr>
          <w:color w:val="000000"/>
          <w:sz w:val="20"/>
          <w:szCs w:val="20"/>
        </w:rPr>
        <w:t xml:space="preserve">Based on the findings of this research, recommendations of </w:t>
      </w:r>
      <w:r w:rsidR="00867845" w:rsidRPr="00370BB1">
        <w:rPr>
          <w:color w:val="000000"/>
          <w:sz w:val="20"/>
          <w:szCs w:val="20"/>
        </w:rPr>
        <w:t xml:space="preserve">psychological and behavioral </w:t>
      </w:r>
      <w:r w:rsidR="008C773A" w:rsidRPr="00370BB1">
        <w:rPr>
          <w:color w:val="000000"/>
          <w:sz w:val="20"/>
          <w:szCs w:val="20"/>
        </w:rPr>
        <w:t>management strategies</w:t>
      </w:r>
      <w:r w:rsidR="00867845" w:rsidRPr="00370BB1">
        <w:rPr>
          <w:color w:val="000000"/>
          <w:sz w:val="20"/>
          <w:szCs w:val="20"/>
        </w:rPr>
        <w:t xml:space="preserve"> to parents, school managements</w:t>
      </w:r>
      <w:r w:rsidR="008C773A" w:rsidRPr="00370BB1">
        <w:rPr>
          <w:color w:val="000000"/>
          <w:sz w:val="20"/>
          <w:szCs w:val="20"/>
        </w:rPr>
        <w:t xml:space="preserve"> and policies of government</w:t>
      </w:r>
      <w:r w:rsidR="00867845" w:rsidRPr="00370BB1">
        <w:rPr>
          <w:color w:val="000000"/>
          <w:sz w:val="20"/>
          <w:szCs w:val="20"/>
        </w:rPr>
        <w:t>s were given.</w:t>
      </w:r>
      <w:r w:rsidR="008C773A" w:rsidRPr="00370BB1">
        <w:rPr>
          <w:color w:val="000000"/>
          <w:sz w:val="20"/>
          <w:szCs w:val="20"/>
        </w:rPr>
        <w:t xml:space="preserve">  </w:t>
      </w:r>
    </w:p>
    <w:p w:rsidR="00C413B5" w:rsidRPr="00370BB1" w:rsidRDefault="00C413B5" w:rsidP="00C413B5">
      <w:pPr>
        <w:jc w:val="both"/>
        <w:rPr>
          <w:color w:val="000000"/>
          <w:sz w:val="20"/>
          <w:szCs w:val="20"/>
        </w:rPr>
      </w:pPr>
      <w:r w:rsidRPr="00370BB1">
        <w:rPr>
          <w:color w:val="000000"/>
          <w:sz w:val="20"/>
          <w:szCs w:val="20"/>
        </w:rPr>
        <w:t xml:space="preserve"> </w:t>
      </w:r>
    </w:p>
    <w:p w:rsidR="00C413B5" w:rsidRPr="00370BB1" w:rsidRDefault="00C413B5" w:rsidP="00C413B5">
      <w:pPr>
        <w:jc w:val="both"/>
        <w:rPr>
          <w:i/>
          <w:color w:val="000000"/>
          <w:sz w:val="20"/>
          <w:szCs w:val="20"/>
        </w:rPr>
      </w:pPr>
      <w:r w:rsidRPr="00370BB1">
        <w:rPr>
          <w:i/>
          <w:color w:val="000000"/>
          <w:sz w:val="20"/>
          <w:szCs w:val="20"/>
        </w:rPr>
        <w:t>Keywords: Internet addiction, mobile game addiction, psychological adjustment, in-school adolescents, Nigerian</w:t>
      </w:r>
    </w:p>
    <w:p w:rsidR="00C413B5" w:rsidRPr="00370BB1" w:rsidRDefault="00C413B5" w:rsidP="00C413B5">
      <w:pPr>
        <w:rPr>
          <w:b/>
          <w:color w:val="000000"/>
          <w:sz w:val="20"/>
          <w:szCs w:val="20"/>
        </w:rPr>
      </w:pPr>
      <w:r w:rsidRPr="00370BB1">
        <w:rPr>
          <w:b/>
          <w:color w:val="000000"/>
          <w:sz w:val="20"/>
          <w:szCs w:val="20"/>
        </w:rPr>
        <w:t xml:space="preserve"> </w:t>
      </w:r>
    </w:p>
    <w:p w:rsidR="00C413B5" w:rsidRPr="00370BB1" w:rsidRDefault="00C413B5" w:rsidP="00C413B5">
      <w:pPr>
        <w:pStyle w:val="NormalWeb"/>
        <w:numPr>
          <w:ilvl w:val="0"/>
          <w:numId w:val="1"/>
        </w:numPr>
        <w:spacing w:before="0" w:beforeAutospacing="0" w:after="0" w:afterAutospacing="0"/>
        <w:ind w:left="360"/>
        <w:jc w:val="both"/>
        <w:rPr>
          <w:rFonts w:ascii="Arial" w:hAnsi="Arial" w:cs="Arial"/>
          <w:color w:val="0E101A"/>
          <w:sz w:val="22"/>
          <w:szCs w:val="22"/>
        </w:rPr>
      </w:pPr>
      <w:r w:rsidRPr="00370BB1">
        <w:rPr>
          <w:rStyle w:val="16"/>
          <w:rFonts w:ascii="Arial" w:eastAsia="Times New Roman" w:hAnsi="Arial" w:cs="Arial" w:hint="default"/>
          <w:color w:val="0E101A"/>
          <w:sz w:val="22"/>
          <w:szCs w:val="22"/>
        </w:rPr>
        <w:t>INTRODUCTION</w:t>
      </w:r>
    </w:p>
    <w:p w:rsidR="00520116" w:rsidRPr="00370BB1" w:rsidRDefault="00520116" w:rsidP="00C413B5">
      <w:pPr>
        <w:pStyle w:val="NormalWeb"/>
        <w:spacing w:before="0" w:beforeAutospacing="0" w:after="0" w:afterAutospacing="0"/>
        <w:jc w:val="both"/>
        <w:rPr>
          <w:rFonts w:ascii="Arial" w:hAnsi="Arial" w:cs="Arial"/>
          <w:color w:val="0E101A"/>
          <w:sz w:val="20"/>
          <w:szCs w:val="20"/>
        </w:rPr>
      </w:pPr>
    </w:p>
    <w:p w:rsidR="00C56E75" w:rsidRPr="00370BB1" w:rsidRDefault="00C56E75" w:rsidP="00A63AC2">
      <w:pPr>
        <w:spacing w:line="240" w:lineRule="auto"/>
        <w:jc w:val="both"/>
        <w:rPr>
          <w:sz w:val="20"/>
          <w:szCs w:val="20"/>
        </w:rPr>
      </w:pPr>
      <w:r w:rsidRPr="00370BB1">
        <w:rPr>
          <w:sz w:val="20"/>
          <w:szCs w:val="20"/>
        </w:rPr>
        <w:t xml:space="preserve">From birth to death, humans (and all living beings) face </w:t>
      </w:r>
      <w:r w:rsidR="00D3533F" w:rsidRPr="00370BB1">
        <w:rPr>
          <w:sz w:val="20"/>
          <w:szCs w:val="20"/>
        </w:rPr>
        <w:t>continuing</w:t>
      </w:r>
      <w:r w:rsidRPr="00370BB1">
        <w:rPr>
          <w:sz w:val="20"/>
          <w:szCs w:val="20"/>
        </w:rPr>
        <w:t xml:space="preserve"> challenges of adapting to circumstances, and adjustment can be internal or external. In almost every situation, </w:t>
      </w:r>
      <w:r w:rsidR="00A63AC2" w:rsidRPr="00370BB1">
        <w:rPr>
          <w:sz w:val="20"/>
          <w:szCs w:val="20"/>
        </w:rPr>
        <w:t xml:space="preserve">a </w:t>
      </w:r>
      <w:r w:rsidRPr="00370BB1">
        <w:rPr>
          <w:sz w:val="20"/>
          <w:szCs w:val="20"/>
        </w:rPr>
        <w:t xml:space="preserve">person must act according to a fixed set of principles in order to strike a balance among various forces. </w:t>
      </w:r>
      <w:r w:rsidR="001225B6" w:rsidRPr="00370BB1">
        <w:rPr>
          <w:sz w:val="20"/>
          <w:szCs w:val="20"/>
        </w:rPr>
        <w:t>P</w:t>
      </w:r>
      <w:r w:rsidR="00A63AC2" w:rsidRPr="00370BB1">
        <w:rPr>
          <w:sz w:val="20"/>
          <w:szCs w:val="20"/>
        </w:rPr>
        <w:t>sycholog</w:t>
      </w:r>
      <w:r w:rsidR="001225B6" w:rsidRPr="00370BB1">
        <w:rPr>
          <w:sz w:val="20"/>
          <w:szCs w:val="20"/>
        </w:rPr>
        <w:t>ical</w:t>
      </w:r>
      <w:r w:rsidR="00A63AC2" w:rsidRPr="00370BB1">
        <w:rPr>
          <w:sz w:val="20"/>
          <w:szCs w:val="20"/>
        </w:rPr>
        <w:t xml:space="preserve"> a</w:t>
      </w:r>
      <w:r w:rsidRPr="00370BB1">
        <w:rPr>
          <w:sz w:val="20"/>
          <w:szCs w:val="20"/>
        </w:rPr>
        <w:t xml:space="preserve">djustment </w:t>
      </w:r>
      <w:r w:rsidR="00A63AC2" w:rsidRPr="00370BB1">
        <w:rPr>
          <w:sz w:val="20"/>
          <w:szCs w:val="20"/>
        </w:rPr>
        <w:t xml:space="preserve">can thus be </w:t>
      </w:r>
      <w:r w:rsidRPr="00370BB1">
        <w:rPr>
          <w:sz w:val="20"/>
          <w:szCs w:val="20"/>
        </w:rPr>
        <w:t>defined as the behavioral process through which humans and other animals maintain a balance among their diverse needs, or between their needs and the obstacles to those needs</w:t>
      </w:r>
      <w:r w:rsidR="00A63AC2" w:rsidRPr="00370BB1">
        <w:rPr>
          <w:sz w:val="20"/>
          <w:szCs w:val="20"/>
        </w:rPr>
        <w:t xml:space="preserve"> </w:t>
      </w:r>
      <w:r w:rsidR="00B50159" w:rsidRPr="00370BB1">
        <w:rPr>
          <w:sz w:val="20"/>
          <w:szCs w:val="20"/>
        </w:rPr>
        <w:t>(</w:t>
      </w:r>
      <w:r w:rsidR="00B50159" w:rsidRPr="00370BB1">
        <w:rPr>
          <w:color w:val="333333"/>
          <w:sz w:val="20"/>
          <w:szCs w:val="20"/>
          <w:shd w:val="clear" w:color="auto" w:fill="FFFFFF"/>
        </w:rPr>
        <w:t>Dekker, &amp; de Groot</w:t>
      </w:r>
      <w:r w:rsidR="00830F3E" w:rsidRPr="00370BB1">
        <w:rPr>
          <w:color w:val="333333"/>
          <w:sz w:val="20"/>
          <w:szCs w:val="20"/>
          <w:shd w:val="clear" w:color="auto" w:fill="FFFFFF"/>
        </w:rPr>
        <w:t>,</w:t>
      </w:r>
      <w:r w:rsidR="00B50159" w:rsidRPr="00370BB1">
        <w:rPr>
          <w:sz w:val="20"/>
          <w:szCs w:val="20"/>
        </w:rPr>
        <w:t xml:space="preserve"> 2016). </w:t>
      </w:r>
      <w:r w:rsidR="00A63AC2" w:rsidRPr="00370BB1">
        <w:rPr>
          <w:sz w:val="20"/>
          <w:szCs w:val="20"/>
        </w:rPr>
        <w:t xml:space="preserve">Psychological Adjustment (PA) include dynamics of adjustment pertaining to various aspects including mental or physical health, academic performance, personality, stress, communication, friendship, marriage, family and divorce as well as work and career and so on. </w:t>
      </w:r>
      <w:r w:rsidR="00A63AC2" w:rsidRPr="00370BB1">
        <w:rPr>
          <w:color w:val="0E101A"/>
          <w:sz w:val="20"/>
          <w:szCs w:val="20"/>
        </w:rPr>
        <w:t xml:space="preserve">Again, psychological adjustment </w:t>
      </w:r>
      <w:proofErr w:type="gramStart"/>
      <w:r w:rsidR="00A63AC2" w:rsidRPr="00370BB1">
        <w:rPr>
          <w:color w:val="0E101A"/>
          <w:sz w:val="20"/>
          <w:szCs w:val="20"/>
        </w:rPr>
        <w:t>include</w:t>
      </w:r>
      <w:proofErr w:type="gramEnd"/>
      <w:r w:rsidR="00A63AC2" w:rsidRPr="00370BB1">
        <w:rPr>
          <w:color w:val="0E101A"/>
          <w:sz w:val="20"/>
          <w:szCs w:val="20"/>
        </w:rPr>
        <w:t xml:space="preserve"> how individuals adjust to changes in their surroundings and psychic problems. </w:t>
      </w:r>
      <w:r w:rsidR="00A63AC2" w:rsidRPr="00370BB1">
        <w:rPr>
          <w:sz w:val="20"/>
          <w:szCs w:val="20"/>
        </w:rPr>
        <w:t>In this study psychological adjustment is used to refer to the psychological processes in response to inte</w:t>
      </w:r>
      <w:r w:rsidR="001225B6" w:rsidRPr="00370BB1">
        <w:rPr>
          <w:sz w:val="20"/>
          <w:szCs w:val="20"/>
        </w:rPr>
        <w:t>rnet addiction and mobile game</w:t>
      </w:r>
      <w:r w:rsidR="00A63AC2" w:rsidRPr="00370BB1">
        <w:rPr>
          <w:sz w:val="20"/>
          <w:szCs w:val="20"/>
        </w:rPr>
        <w:t xml:space="preserve"> addiction especially among secondary school students.</w:t>
      </w:r>
    </w:p>
    <w:p w:rsidR="00A63AC2" w:rsidRPr="00370BB1" w:rsidRDefault="00A63AC2" w:rsidP="00C413B5">
      <w:pPr>
        <w:pStyle w:val="NormalWeb"/>
        <w:spacing w:before="0" w:beforeAutospacing="0" w:after="0" w:afterAutospacing="0"/>
        <w:jc w:val="both"/>
        <w:rPr>
          <w:rFonts w:ascii="Arial" w:hAnsi="Arial" w:cs="Arial"/>
          <w:color w:val="0E101A"/>
          <w:sz w:val="20"/>
          <w:szCs w:val="20"/>
        </w:rPr>
      </w:pPr>
    </w:p>
    <w:p w:rsidR="00C413B5" w:rsidRPr="00370BB1" w:rsidRDefault="00C413B5" w:rsidP="00C413B5">
      <w:pPr>
        <w:pStyle w:val="NormalWeb"/>
        <w:spacing w:before="0" w:beforeAutospacing="0" w:after="0" w:afterAutospacing="0"/>
        <w:jc w:val="both"/>
        <w:rPr>
          <w:rFonts w:ascii="Arial" w:hAnsi="Arial" w:cs="Arial"/>
          <w:color w:val="0E101A"/>
          <w:sz w:val="20"/>
          <w:szCs w:val="20"/>
        </w:rPr>
      </w:pPr>
      <w:r w:rsidRPr="00370BB1">
        <w:rPr>
          <w:rFonts w:ascii="Arial" w:hAnsi="Arial" w:cs="Arial"/>
          <w:color w:val="0E101A"/>
          <w:sz w:val="20"/>
          <w:szCs w:val="20"/>
        </w:rPr>
        <w:t xml:space="preserve">The issue of psychological adjustment among secondary school students </w:t>
      </w:r>
      <w:r w:rsidR="001225B6" w:rsidRPr="00370BB1">
        <w:rPr>
          <w:rFonts w:ascii="Arial" w:hAnsi="Arial" w:cs="Arial"/>
          <w:color w:val="0E101A"/>
          <w:sz w:val="20"/>
          <w:szCs w:val="20"/>
        </w:rPr>
        <w:t xml:space="preserve">both globally and </w:t>
      </w:r>
      <w:r w:rsidRPr="00370BB1">
        <w:rPr>
          <w:rFonts w:ascii="Arial" w:hAnsi="Arial" w:cs="Arial"/>
          <w:color w:val="0E101A"/>
          <w:sz w:val="20"/>
          <w:szCs w:val="20"/>
        </w:rPr>
        <w:t xml:space="preserve">in Nigeria </w:t>
      </w:r>
      <w:r w:rsidR="001225B6" w:rsidRPr="00370BB1">
        <w:rPr>
          <w:rFonts w:ascii="Arial" w:hAnsi="Arial" w:cs="Arial"/>
          <w:color w:val="0E101A"/>
          <w:sz w:val="20"/>
          <w:szCs w:val="20"/>
        </w:rPr>
        <w:t xml:space="preserve">is so vital </w:t>
      </w:r>
      <w:r w:rsidRPr="00370BB1">
        <w:rPr>
          <w:rFonts w:ascii="Arial" w:hAnsi="Arial" w:cs="Arial"/>
          <w:color w:val="0E101A"/>
          <w:sz w:val="20"/>
          <w:szCs w:val="20"/>
        </w:rPr>
        <w:t xml:space="preserve">that it requires the attention of psychologists. Many secondary school students are known to exhibit aggressive </w:t>
      </w:r>
      <w:proofErr w:type="spellStart"/>
      <w:r w:rsidRPr="00370BB1">
        <w:rPr>
          <w:rFonts w:ascii="Arial" w:hAnsi="Arial" w:cs="Arial"/>
          <w:color w:val="0E101A"/>
          <w:sz w:val="20"/>
          <w:szCs w:val="20"/>
        </w:rPr>
        <w:t>behaviour</w:t>
      </w:r>
      <w:proofErr w:type="spellEnd"/>
      <w:r w:rsidRPr="00370BB1">
        <w:rPr>
          <w:rFonts w:ascii="Arial" w:hAnsi="Arial" w:cs="Arial"/>
          <w:color w:val="0E101A"/>
          <w:sz w:val="20"/>
          <w:szCs w:val="20"/>
        </w:rPr>
        <w:t xml:space="preserve">, destructive attitudes, unnatural fears, absenteeism, attention disorder, and amnesia among other psychopathologies (Akpunne et al., 2019), which are indices of poor psychological adjustment. In a related study, </w:t>
      </w:r>
      <w:proofErr w:type="spellStart"/>
      <w:r w:rsidRPr="00370BB1">
        <w:rPr>
          <w:rFonts w:ascii="Arial" w:hAnsi="Arial" w:cs="Arial"/>
          <w:color w:val="0E101A"/>
          <w:sz w:val="20"/>
          <w:szCs w:val="20"/>
        </w:rPr>
        <w:t>Vigoet</w:t>
      </w:r>
      <w:proofErr w:type="spellEnd"/>
      <w:r w:rsidRPr="00370BB1">
        <w:rPr>
          <w:rFonts w:ascii="Arial" w:hAnsi="Arial" w:cs="Arial"/>
          <w:color w:val="0E101A"/>
          <w:sz w:val="20"/>
          <w:szCs w:val="20"/>
        </w:rPr>
        <w:t xml:space="preserve"> al., (2016) reported that the prevalence of mental health disorders in adolescents is 15% globally.  Also, according to a UNICEF report, it was estimated that globally one in seven adolescents (89 million boys and 77 million girls) experienced mental disorders in 2019 (UNICEF, </w:t>
      </w:r>
      <w:r w:rsidRPr="00370BB1">
        <w:rPr>
          <w:rFonts w:ascii="Arial" w:hAnsi="Arial" w:cs="Arial"/>
          <w:color w:val="0E101A"/>
          <w:sz w:val="20"/>
          <w:szCs w:val="20"/>
        </w:rPr>
        <w:lastRenderedPageBreak/>
        <w:t>2024). Again there is a recognition that 50% of mental health disorders begin by 14 years of age, and 75% by age of 24 (</w:t>
      </w:r>
      <w:proofErr w:type="spellStart"/>
      <w:r w:rsidRPr="00370BB1">
        <w:rPr>
          <w:rFonts w:ascii="Arial" w:hAnsi="Arial" w:cs="Arial"/>
          <w:color w:val="0E101A"/>
          <w:sz w:val="20"/>
          <w:szCs w:val="20"/>
        </w:rPr>
        <w:t>Polanczyk</w:t>
      </w:r>
      <w:proofErr w:type="spellEnd"/>
      <w:r w:rsidRPr="00370BB1">
        <w:rPr>
          <w:rFonts w:ascii="Arial" w:hAnsi="Arial" w:cs="Arial"/>
          <w:color w:val="0E101A"/>
          <w:sz w:val="20"/>
          <w:szCs w:val="20"/>
        </w:rPr>
        <w:t xml:space="preserve"> et al., 2015). Young people who find it hard to cope with stress may turn to some activities such as the Internet and internet gaming to cope with challenges. These activities could influence their psychological adjustment and be at risk of developing mental health problems. Previous studies have documented the adverse impacts of internet and internet gaming addiction on a wide range of aspects of the individual's life (</w:t>
      </w:r>
      <w:proofErr w:type="spellStart"/>
      <w:r w:rsidR="00CD0CD0" w:rsidRPr="00370BB1">
        <w:rPr>
          <w:rFonts w:ascii="Arial" w:hAnsi="Arial" w:cs="Arial"/>
          <w:color w:val="000000"/>
          <w:sz w:val="20"/>
          <w:szCs w:val="20"/>
        </w:rPr>
        <w:t>Xie</w:t>
      </w:r>
      <w:proofErr w:type="spellEnd"/>
      <w:r w:rsidR="00CD0CD0" w:rsidRPr="00370BB1">
        <w:rPr>
          <w:rFonts w:ascii="Arial" w:hAnsi="Arial" w:cs="Arial"/>
          <w:color w:val="0E101A"/>
          <w:sz w:val="20"/>
          <w:szCs w:val="20"/>
        </w:rPr>
        <w:t xml:space="preserve"> et al., 2023; </w:t>
      </w:r>
      <w:r w:rsidRPr="00370BB1">
        <w:rPr>
          <w:rFonts w:ascii="Arial" w:hAnsi="Arial" w:cs="Arial"/>
          <w:color w:val="0E101A"/>
          <w:sz w:val="20"/>
          <w:szCs w:val="20"/>
        </w:rPr>
        <w:t xml:space="preserve">Leung &amp; Lee, 2012) and its impact on several aspects of family life and functioning (Alizadeh et al., 2011). </w:t>
      </w:r>
      <w:r w:rsidR="00CD0CD0" w:rsidRPr="00370BB1">
        <w:rPr>
          <w:rFonts w:ascii="Arial" w:hAnsi="Arial" w:cs="Arial"/>
          <w:color w:val="0E101A"/>
          <w:sz w:val="20"/>
          <w:szCs w:val="20"/>
        </w:rPr>
        <w:t xml:space="preserve">Internet </w:t>
      </w:r>
      <w:r w:rsidRPr="00370BB1">
        <w:rPr>
          <w:rFonts w:ascii="Arial" w:hAnsi="Arial" w:cs="Arial"/>
          <w:color w:val="0E101A"/>
          <w:sz w:val="20"/>
          <w:szCs w:val="20"/>
        </w:rPr>
        <w:t>addicts manifest a range of co-morbid psychological symptoms such as attention deficit and hyperactive disorder (ADHD), and depression (</w:t>
      </w:r>
      <w:r w:rsidR="00CD0CD0" w:rsidRPr="00370BB1">
        <w:rPr>
          <w:rFonts w:ascii="Arial" w:hAnsi="Arial" w:cs="Arial"/>
          <w:color w:val="212121"/>
          <w:sz w:val="20"/>
          <w:szCs w:val="20"/>
          <w:shd w:val="clear" w:color="auto" w:fill="FFFFFF"/>
        </w:rPr>
        <w:t>Otsuka</w:t>
      </w:r>
      <w:r w:rsidR="00CD0CD0" w:rsidRPr="00370BB1">
        <w:rPr>
          <w:rFonts w:ascii="Arial" w:hAnsi="Arial" w:cs="Arial"/>
          <w:color w:val="0E101A"/>
          <w:sz w:val="20"/>
          <w:szCs w:val="20"/>
        </w:rPr>
        <w:t xml:space="preserve"> et al</w:t>
      </w:r>
      <w:r w:rsidR="00830F3E" w:rsidRPr="00370BB1">
        <w:rPr>
          <w:rFonts w:ascii="Arial" w:hAnsi="Arial" w:cs="Arial"/>
          <w:color w:val="0E101A"/>
          <w:sz w:val="20"/>
          <w:szCs w:val="20"/>
        </w:rPr>
        <w:t>.,</w:t>
      </w:r>
      <w:r w:rsidR="00CD0CD0" w:rsidRPr="00370BB1">
        <w:rPr>
          <w:rFonts w:ascii="Arial" w:hAnsi="Arial" w:cs="Arial"/>
          <w:color w:val="0E101A"/>
          <w:sz w:val="20"/>
          <w:szCs w:val="20"/>
        </w:rPr>
        <w:t xml:space="preserve"> 2020; </w:t>
      </w:r>
      <w:proofErr w:type="spellStart"/>
      <w:r w:rsidRPr="00370BB1">
        <w:rPr>
          <w:rFonts w:ascii="Arial" w:hAnsi="Arial" w:cs="Arial"/>
          <w:color w:val="0E101A"/>
          <w:sz w:val="20"/>
          <w:szCs w:val="20"/>
        </w:rPr>
        <w:t>Akpunne</w:t>
      </w:r>
      <w:proofErr w:type="spellEnd"/>
      <w:r w:rsidRPr="00370BB1">
        <w:rPr>
          <w:rFonts w:ascii="Arial" w:hAnsi="Arial" w:cs="Arial"/>
          <w:color w:val="0E101A"/>
          <w:sz w:val="20"/>
          <w:szCs w:val="20"/>
        </w:rPr>
        <w:t xml:space="preserve"> &amp; </w:t>
      </w:r>
      <w:proofErr w:type="spellStart"/>
      <w:r w:rsidRPr="00370BB1">
        <w:rPr>
          <w:rFonts w:ascii="Arial" w:hAnsi="Arial" w:cs="Arial"/>
          <w:color w:val="0E101A"/>
          <w:sz w:val="20"/>
          <w:szCs w:val="20"/>
        </w:rPr>
        <w:t>Akinnawo</w:t>
      </w:r>
      <w:proofErr w:type="spellEnd"/>
      <w:r w:rsidRPr="00370BB1">
        <w:rPr>
          <w:rFonts w:ascii="Arial" w:hAnsi="Arial" w:cs="Arial"/>
          <w:color w:val="0E101A"/>
          <w:sz w:val="20"/>
          <w:szCs w:val="20"/>
        </w:rPr>
        <w:t xml:space="preserve">, 2019; </w:t>
      </w:r>
      <w:proofErr w:type="spellStart"/>
      <w:r w:rsidRPr="00370BB1">
        <w:rPr>
          <w:rFonts w:ascii="Arial" w:hAnsi="Arial" w:cs="Arial"/>
          <w:color w:val="0E101A"/>
          <w:sz w:val="20"/>
          <w:szCs w:val="20"/>
        </w:rPr>
        <w:t>Gundogar</w:t>
      </w:r>
      <w:proofErr w:type="spellEnd"/>
      <w:r w:rsidRPr="00370BB1">
        <w:rPr>
          <w:rFonts w:ascii="Arial" w:hAnsi="Arial" w:cs="Arial"/>
          <w:color w:val="0E101A"/>
          <w:sz w:val="20"/>
          <w:szCs w:val="20"/>
        </w:rPr>
        <w:t xml:space="preserve"> et al., 2012). Internet gaming addiction has been linked with high rates of depression, anxiety, and poor school achievement (</w:t>
      </w:r>
      <w:proofErr w:type="spellStart"/>
      <w:r w:rsidR="00CD0CD0" w:rsidRPr="00370BB1">
        <w:rPr>
          <w:rFonts w:ascii="Arial" w:hAnsi="Arial" w:cs="Arial"/>
          <w:color w:val="000000"/>
          <w:sz w:val="20"/>
          <w:szCs w:val="20"/>
        </w:rPr>
        <w:t>Xie</w:t>
      </w:r>
      <w:proofErr w:type="spellEnd"/>
      <w:r w:rsidR="00CD0CD0" w:rsidRPr="00370BB1">
        <w:rPr>
          <w:rFonts w:ascii="Arial" w:hAnsi="Arial" w:cs="Arial"/>
          <w:color w:val="0E101A"/>
          <w:sz w:val="20"/>
          <w:szCs w:val="20"/>
        </w:rPr>
        <w:t xml:space="preserve"> et al., 2023; </w:t>
      </w:r>
      <w:proofErr w:type="spellStart"/>
      <w:r w:rsidRPr="00370BB1">
        <w:rPr>
          <w:rFonts w:ascii="Arial" w:hAnsi="Arial" w:cs="Arial"/>
          <w:color w:val="0E101A"/>
          <w:sz w:val="20"/>
          <w:szCs w:val="20"/>
        </w:rPr>
        <w:t>Peukert</w:t>
      </w:r>
      <w:proofErr w:type="spellEnd"/>
      <w:r w:rsidRPr="00370BB1">
        <w:rPr>
          <w:rFonts w:ascii="Arial" w:hAnsi="Arial" w:cs="Arial"/>
          <w:color w:val="0E101A"/>
          <w:sz w:val="20"/>
          <w:szCs w:val="20"/>
        </w:rPr>
        <w:t xml:space="preserve"> et al., 2010).  Internet gaming is also positively related to Attention Deficit Hyperactivity Disorder (ADHD) (</w:t>
      </w:r>
      <w:proofErr w:type="spellStart"/>
      <w:r w:rsidRPr="00370BB1">
        <w:rPr>
          <w:rFonts w:ascii="Arial" w:hAnsi="Arial" w:cs="Arial"/>
          <w:color w:val="0E101A"/>
          <w:sz w:val="20"/>
          <w:szCs w:val="20"/>
        </w:rPr>
        <w:t>Ariyo</w:t>
      </w:r>
      <w:proofErr w:type="spellEnd"/>
      <w:r w:rsidRPr="00370BB1">
        <w:rPr>
          <w:rFonts w:ascii="Arial" w:hAnsi="Arial" w:cs="Arial"/>
          <w:color w:val="0E101A"/>
          <w:sz w:val="20"/>
          <w:szCs w:val="20"/>
        </w:rPr>
        <w:t>, et al., 2020) and is associated with social isolation and low self-esteem (</w:t>
      </w:r>
      <w:r w:rsidR="001C6E90" w:rsidRPr="00370BB1">
        <w:rPr>
          <w:rFonts w:ascii="Arial" w:hAnsi="Arial" w:cs="Arial"/>
          <w:color w:val="000000"/>
          <w:sz w:val="20"/>
          <w:szCs w:val="20"/>
        </w:rPr>
        <w:t>Shi</w:t>
      </w:r>
      <w:r w:rsidR="001C6E90" w:rsidRPr="00370BB1">
        <w:rPr>
          <w:rFonts w:ascii="Arial" w:hAnsi="Arial" w:cs="Arial"/>
          <w:color w:val="0E101A"/>
          <w:sz w:val="20"/>
          <w:szCs w:val="20"/>
        </w:rPr>
        <w:t xml:space="preserve"> et al</w:t>
      </w:r>
      <w:r w:rsidR="00830F3E" w:rsidRPr="00370BB1">
        <w:rPr>
          <w:rFonts w:ascii="Arial" w:hAnsi="Arial" w:cs="Arial"/>
          <w:color w:val="0E101A"/>
          <w:sz w:val="20"/>
          <w:szCs w:val="20"/>
        </w:rPr>
        <w:t>.,</w:t>
      </w:r>
      <w:r w:rsidR="001C6E90" w:rsidRPr="00370BB1">
        <w:rPr>
          <w:rFonts w:ascii="Arial" w:hAnsi="Arial" w:cs="Arial"/>
          <w:color w:val="0E101A"/>
          <w:sz w:val="20"/>
          <w:szCs w:val="20"/>
        </w:rPr>
        <w:t xml:space="preserve"> 2023; </w:t>
      </w:r>
      <w:r w:rsidRPr="00370BB1">
        <w:rPr>
          <w:rFonts w:ascii="Arial" w:hAnsi="Arial" w:cs="Arial"/>
          <w:color w:val="0E101A"/>
          <w:sz w:val="20"/>
          <w:szCs w:val="20"/>
        </w:rPr>
        <w:t xml:space="preserve">Kim &amp; </w:t>
      </w:r>
      <w:proofErr w:type="spellStart"/>
      <w:r w:rsidRPr="00370BB1">
        <w:rPr>
          <w:rFonts w:ascii="Arial" w:hAnsi="Arial" w:cs="Arial"/>
          <w:color w:val="0E101A"/>
          <w:sz w:val="20"/>
          <w:szCs w:val="20"/>
        </w:rPr>
        <w:t>Haridakis</w:t>
      </w:r>
      <w:proofErr w:type="spellEnd"/>
      <w:r w:rsidRPr="00370BB1">
        <w:rPr>
          <w:rFonts w:ascii="Arial" w:hAnsi="Arial" w:cs="Arial"/>
          <w:color w:val="0E101A"/>
          <w:sz w:val="20"/>
          <w:szCs w:val="20"/>
        </w:rPr>
        <w:t>, 2009).</w:t>
      </w:r>
    </w:p>
    <w:p w:rsidR="00B10E43" w:rsidRPr="00370BB1" w:rsidRDefault="00C413B5" w:rsidP="00C413B5">
      <w:pPr>
        <w:pStyle w:val="NormalWeb"/>
        <w:spacing w:before="0" w:beforeAutospacing="0" w:after="0" w:afterAutospacing="0"/>
        <w:jc w:val="both"/>
        <w:rPr>
          <w:rFonts w:ascii="Arial" w:hAnsi="Arial" w:cs="Arial"/>
          <w:color w:val="0E101A"/>
          <w:sz w:val="20"/>
          <w:szCs w:val="20"/>
        </w:rPr>
      </w:pPr>
      <w:r w:rsidRPr="00370BB1">
        <w:rPr>
          <w:rFonts w:ascii="Arial" w:hAnsi="Arial" w:cs="Arial"/>
          <w:color w:val="0E101A"/>
          <w:sz w:val="20"/>
          <w:szCs w:val="20"/>
        </w:rPr>
        <w:t xml:space="preserve"> </w:t>
      </w:r>
    </w:p>
    <w:p w:rsidR="00C413B5" w:rsidRPr="00370BB1" w:rsidRDefault="00C413B5" w:rsidP="00C413B5">
      <w:pPr>
        <w:pStyle w:val="NormalWeb"/>
        <w:spacing w:before="0" w:beforeAutospacing="0" w:after="0" w:afterAutospacing="0"/>
        <w:jc w:val="both"/>
        <w:rPr>
          <w:rFonts w:ascii="Arial" w:hAnsi="Arial" w:cs="Arial"/>
          <w:color w:val="0E101A"/>
          <w:sz w:val="20"/>
          <w:szCs w:val="20"/>
        </w:rPr>
      </w:pPr>
      <w:r w:rsidRPr="00370BB1">
        <w:rPr>
          <w:rFonts w:ascii="Arial" w:hAnsi="Arial" w:cs="Arial"/>
          <w:color w:val="0E101A"/>
          <w:sz w:val="20"/>
          <w:szCs w:val="20"/>
        </w:rPr>
        <w:t>The Internet is attractive and initially has a positive impact on the user. These initial positive impacts have varied influences on different people concerning their self-concept, body image, mental health, adjustment and so on, through cognition (</w:t>
      </w:r>
      <w:r w:rsidR="00830F3E" w:rsidRPr="00370BB1">
        <w:rPr>
          <w:rFonts w:ascii="Arial" w:hAnsi="Arial" w:cs="Arial"/>
          <w:color w:val="333333"/>
          <w:sz w:val="20"/>
          <w:szCs w:val="20"/>
          <w:shd w:val="clear" w:color="auto" w:fill="FFFFFF"/>
        </w:rPr>
        <w:t>Dekker, &amp; de Groot,</w:t>
      </w:r>
      <w:r w:rsidR="00830F3E" w:rsidRPr="00370BB1">
        <w:rPr>
          <w:rFonts w:ascii="Arial" w:hAnsi="Arial" w:cs="Arial"/>
          <w:sz w:val="20"/>
          <w:szCs w:val="20"/>
        </w:rPr>
        <w:t xml:space="preserve"> 2016; </w:t>
      </w:r>
      <w:r w:rsidRPr="00370BB1">
        <w:rPr>
          <w:rFonts w:ascii="Arial" w:hAnsi="Arial" w:cs="Arial"/>
          <w:color w:val="0E101A"/>
          <w:sz w:val="20"/>
          <w:szCs w:val="20"/>
        </w:rPr>
        <w:t>Shah et al., 2002). For instance, depending on users' personality, internet users may be self-enriching and self-enhancing in the areas of their self-concept, body image, mental health and adjustment. Slowly the user may enter into a specific response, followed by a chronic response, and finally, into a sort of compulsive response in which non-use becomes painful, thus resulting in anxiety, stress, depression, and other pathological disorders (</w:t>
      </w:r>
      <w:proofErr w:type="spellStart"/>
      <w:r w:rsidR="00830F3E" w:rsidRPr="00370BB1">
        <w:rPr>
          <w:rFonts w:ascii="Arial" w:hAnsi="Arial" w:cs="Arial"/>
          <w:color w:val="000000"/>
          <w:sz w:val="20"/>
          <w:szCs w:val="20"/>
        </w:rPr>
        <w:t>Xie</w:t>
      </w:r>
      <w:proofErr w:type="spellEnd"/>
      <w:r w:rsidR="00830F3E" w:rsidRPr="00370BB1">
        <w:rPr>
          <w:rFonts w:ascii="Arial" w:hAnsi="Arial" w:cs="Arial"/>
          <w:color w:val="0E101A"/>
          <w:sz w:val="20"/>
          <w:szCs w:val="20"/>
        </w:rPr>
        <w:t xml:space="preserve">  2023; </w:t>
      </w:r>
      <w:r w:rsidR="00830F3E" w:rsidRPr="00370BB1">
        <w:rPr>
          <w:rFonts w:ascii="Arial" w:hAnsi="Arial" w:cs="Arial"/>
          <w:color w:val="000000"/>
          <w:sz w:val="20"/>
          <w:szCs w:val="20"/>
        </w:rPr>
        <w:t>Shi</w:t>
      </w:r>
      <w:r w:rsidR="00830F3E" w:rsidRPr="00370BB1">
        <w:rPr>
          <w:rFonts w:ascii="Arial" w:hAnsi="Arial" w:cs="Arial"/>
          <w:color w:val="0E101A"/>
          <w:sz w:val="20"/>
          <w:szCs w:val="20"/>
        </w:rPr>
        <w:t xml:space="preserve"> et al., 2023; </w:t>
      </w:r>
      <w:r w:rsidRPr="00370BB1">
        <w:rPr>
          <w:rFonts w:ascii="Arial" w:hAnsi="Arial" w:cs="Arial"/>
          <w:color w:val="0E101A"/>
          <w:sz w:val="20"/>
          <w:szCs w:val="20"/>
        </w:rPr>
        <w:t xml:space="preserve">Shah et al., 2002), and this could influence psychological adjustment. Thus, despite the positive characteristics, the adverse effects of the Internet known as compulsive Internet usage or Internet Addiction Disorder (IAD), cyberspace addiction, or pathological computer use (Shah et al., 2002) have also been identified. </w:t>
      </w:r>
    </w:p>
    <w:p w:rsidR="00C413B5" w:rsidRPr="00370BB1" w:rsidRDefault="00C413B5" w:rsidP="00C413B5">
      <w:pPr>
        <w:pStyle w:val="NormalWeb"/>
        <w:spacing w:before="0" w:beforeAutospacing="0" w:after="0" w:afterAutospacing="0"/>
        <w:jc w:val="both"/>
        <w:rPr>
          <w:rFonts w:ascii="Arial" w:hAnsi="Arial" w:cs="Arial"/>
          <w:color w:val="0E101A"/>
          <w:sz w:val="20"/>
          <w:szCs w:val="20"/>
        </w:rPr>
      </w:pPr>
      <w:r w:rsidRPr="00370BB1">
        <w:rPr>
          <w:rFonts w:ascii="Arial" w:hAnsi="Arial" w:cs="Arial"/>
          <w:color w:val="0E101A"/>
          <w:sz w:val="20"/>
          <w:szCs w:val="20"/>
        </w:rPr>
        <w:t xml:space="preserve"> </w:t>
      </w:r>
    </w:p>
    <w:p w:rsidR="00C413B5" w:rsidRPr="00370BB1" w:rsidRDefault="00C413B5" w:rsidP="00C413B5">
      <w:pPr>
        <w:pStyle w:val="NormalWeb"/>
        <w:spacing w:before="0" w:beforeAutospacing="0" w:after="0" w:afterAutospacing="0"/>
        <w:jc w:val="both"/>
        <w:rPr>
          <w:rFonts w:ascii="Arial" w:hAnsi="Arial" w:cs="Arial"/>
          <w:color w:val="0E101A"/>
          <w:sz w:val="20"/>
          <w:szCs w:val="20"/>
        </w:rPr>
      </w:pPr>
      <w:r w:rsidRPr="00370BB1">
        <w:rPr>
          <w:rFonts w:ascii="Arial" w:hAnsi="Arial" w:cs="Arial"/>
          <w:color w:val="0E101A"/>
          <w:sz w:val="20"/>
          <w:szCs w:val="20"/>
        </w:rPr>
        <w:t>Internet addiction has been widely debated in medical literature as a sort of psychopathology (Block, 2008) that affects many people. People engage in various activities on the Internet, some of which are addictive (</w:t>
      </w:r>
      <w:proofErr w:type="spellStart"/>
      <w:r w:rsidRPr="00370BB1">
        <w:rPr>
          <w:rFonts w:ascii="Arial" w:hAnsi="Arial" w:cs="Arial"/>
          <w:color w:val="0E101A"/>
          <w:sz w:val="20"/>
          <w:szCs w:val="20"/>
        </w:rPr>
        <w:t>Kuss</w:t>
      </w:r>
      <w:proofErr w:type="spellEnd"/>
      <w:r w:rsidRPr="00370BB1">
        <w:rPr>
          <w:rFonts w:ascii="Arial" w:hAnsi="Arial" w:cs="Arial"/>
          <w:color w:val="0E101A"/>
          <w:sz w:val="20"/>
          <w:szCs w:val="20"/>
        </w:rPr>
        <w:t xml:space="preserve"> &amp; Griffiths, 2011). For instance, Walker (2012) defined a social networking addict as someone who spends excessive time on Social Network Sites (SNSs) to the extent that it interferes with the essential activities of his daily life. The Diagnostic and Statistical Manual of Mental Disorders (DSM-V) opined that IA is a disorder that needs further study and research (APA 2013).  A meta-analysis by Meng et al., (2022) revealed internationally pooled prevalence estimates of 26.99% for addiction to smartphones, 17.42% for addiction to social media, 14.22% for addiction to the Internet, 8.23% for addiction to cybersex, and 6.04% for addiction to games. </w:t>
      </w:r>
    </w:p>
    <w:p w:rsidR="00C413B5" w:rsidRPr="00370BB1" w:rsidRDefault="00C413B5" w:rsidP="00C413B5">
      <w:pPr>
        <w:pStyle w:val="NormalWeb"/>
        <w:spacing w:before="0" w:beforeAutospacing="0" w:after="0" w:afterAutospacing="0"/>
        <w:jc w:val="both"/>
        <w:rPr>
          <w:rFonts w:ascii="Arial" w:hAnsi="Arial" w:cs="Arial"/>
          <w:color w:val="0E101A"/>
          <w:sz w:val="20"/>
          <w:szCs w:val="20"/>
        </w:rPr>
      </w:pPr>
      <w:r w:rsidRPr="00370BB1">
        <w:rPr>
          <w:rFonts w:ascii="Arial" w:hAnsi="Arial" w:cs="Arial"/>
          <w:color w:val="0E101A"/>
          <w:sz w:val="20"/>
          <w:szCs w:val="20"/>
        </w:rPr>
        <w:t xml:space="preserve"> </w:t>
      </w:r>
    </w:p>
    <w:p w:rsidR="00C413B5" w:rsidRPr="00370BB1" w:rsidRDefault="00C413B5" w:rsidP="00C413B5">
      <w:pPr>
        <w:pStyle w:val="NormalWeb"/>
        <w:spacing w:before="0" w:beforeAutospacing="0" w:after="0" w:afterAutospacing="0"/>
        <w:jc w:val="both"/>
        <w:rPr>
          <w:rFonts w:ascii="Arial" w:hAnsi="Arial" w:cs="Arial"/>
          <w:color w:val="0E101A"/>
          <w:sz w:val="20"/>
          <w:szCs w:val="20"/>
        </w:rPr>
      </w:pPr>
      <w:r w:rsidRPr="00370BB1">
        <w:rPr>
          <w:rFonts w:ascii="Arial" w:hAnsi="Arial" w:cs="Arial"/>
          <w:color w:val="0E101A"/>
          <w:sz w:val="20"/>
          <w:szCs w:val="20"/>
        </w:rPr>
        <w:t>IA and Mobile game addiction (MGA) have an impact on the psychological well-being of young people (</w:t>
      </w:r>
      <w:proofErr w:type="spellStart"/>
      <w:r w:rsidRPr="00370BB1">
        <w:rPr>
          <w:rFonts w:ascii="Arial" w:hAnsi="Arial" w:cs="Arial"/>
          <w:color w:val="0E101A"/>
          <w:sz w:val="20"/>
          <w:szCs w:val="20"/>
        </w:rPr>
        <w:t>Akpunne</w:t>
      </w:r>
      <w:proofErr w:type="spellEnd"/>
      <w:r w:rsidRPr="00370BB1">
        <w:rPr>
          <w:rFonts w:ascii="Arial" w:hAnsi="Arial" w:cs="Arial"/>
          <w:color w:val="0E101A"/>
          <w:sz w:val="20"/>
          <w:szCs w:val="20"/>
        </w:rPr>
        <w:t xml:space="preserve"> &amp; </w:t>
      </w:r>
      <w:proofErr w:type="spellStart"/>
      <w:r w:rsidRPr="00370BB1">
        <w:rPr>
          <w:rFonts w:ascii="Arial" w:hAnsi="Arial" w:cs="Arial"/>
          <w:color w:val="0E101A"/>
          <w:sz w:val="20"/>
          <w:szCs w:val="20"/>
        </w:rPr>
        <w:t>Akinnawo</w:t>
      </w:r>
      <w:proofErr w:type="spellEnd"/>
      <w:r w:rsidRPr="00370BB1">
        <w:rPr>
          <w:rFonts w:ascii="Arial" w:hAnsi="Arial" w:cs="Arial"/>
          <w:color w:val="0E101A"/>
          <w:sz w:val="20"/>
          <w:szCs w:val="20"/>
        </w:rPr>
        <w:t xml:space="preserve"> 2019).  Walker, (2012) described Internet addiction as excessive use of the Internet or over-dependent. Again when the disadvantages of gaming exceed the benefits, it is considered excessive and harmful (Clark, 2022). Many detrimental effects of mobile gaming, particularly when played excessively, have been shown in recent years (Ferguson et al., 2011). For instance, Sayeed et al., (2021) have linked excessive gaming to several physical and mental health problems, such as dependence, loneliness, depression, and insomnia. Nigerian studies have shown the disturbing prevalence of IA and Mobile game addiction (MGA) among young people. For instance, </w:t>
      </w:r>
      <w:proofErr w:type="spellStart"/>
      <w:r w:rsidRPr="00370BB1">
        <w:rPr>
          <w:rFonts w:ascii="Arial" w:hAnsi="Arial" w:cs="Arial"/>
          <w:color w:val="0E101A"/>
          <w:sz w:val="20"/>
          <w:szCs w:val="20"/>
        </w:rPr>
        <w:t>Akpunne</w:t>
      </w:r>
      <w:proofErr w:type="spellEnd"/>
      <w:r w:rsidRPr="00370BB1">
        <w:rPr>
          <w:rFonts w:ascii="Arial" w:hAnsi="Arial" w:cs="Arial"/>
          <w:color w:val="0E101A"/>
          <w:sz w:val="20"/>
          <w:szCs w:val="20"/>
        </w:rPr>
        <w:t xml:space="preserve"> and </w:t>
      </w:r>
      <w:proofErr w:type="spellStart"/>
      <w:r w:rsidRPr="00370BB1">
        <w:rPr>
          <w:rFonts w:ascii="Arial" w:hAnsi="Arial" w:cs="Arial"/>
          <w:color w:val="0E101A"/>
          <w:sz w:val="20"/>
          <w:szCs w:val="20"/>
        </w:rPr>
        <w:t>Akinnawo</w:t>
      </w:r>
      <w:proofErr w:type="spellEnd"/>
      <w:r w:rsidRPr="00370BB1">
        <w:rPr>
          <w:rFonts w:ascii="Arial" w:hAnsi="Arial" w:cs="Arial"/>
          <w:color w:val="0E101A"/>
          <w:sz w:val="20"/>
          <w:szCs w:val="20"/>
        </w:rPr>
        <w:t xml:space="preserve"> (2019) reported 30.1% and 18.5% mild to moderate, and moderate to severe IA respectively among young people in Osun state.  Among secondary school adolescents in Ibadan Oyo state, South-western Nigeria, Afolabi et al., (2022) reported a 50% prevalence of IA. </w:t>
      </w:r>
      <w:proofErr w:type="spellStart"/>
      <w:r w:rsidRPr="00370BB1">
        <w:rPr>
          <w:rFonts w:ascii="Arial" w:hAnsi="Arial" w:cs="Arial"/>
          <w:color w:val="0E101A"/>
          <w:sz w:val="20"/>
          <w:szCs w:val="20"/>
        </w:rPr>
        <w:t>Aguocha</w:t>
      </w:r>
      <w:proofErr w:type="spellEnd"/>
      <w:r w:rsidRPr="00370BB1">
        <w:rPr>
          <w:rFonts w:ascii="Arial" w:hAnsi="Arial" w:cs="Arial"/>
          <w:color w:val="0E101A"/>
          <w:sz w:val="20"/>
          <w:szCs w:val="20"/>
        </w:rPr>
        <w:t xml:space="preserve"> and </w:t>
      </w:r>
      <w:proofErr w:type="spellStart"/>
      <w:r w:rsidRPr="00370BB1">
        <w:rPr>
          <w:rFonts w:ascii="Arial" w:hAnsi="Arial" w:cs="Arial"/>
          <w:color w:val="0E101A"/>
          <w:sz w:val="20"/>
          <w:szCs w:val="20"/>
        </w:rPr>
        <w:t>Uwakwe</w:t>
      </w:r>
      <w:proofErr w:type="spellEnd"/>
      <w:r w:rsidRPr="00370BB1">
        <w:rPr>
          <w:rFonts w:ascii="Arial" w:hAnsi="Arial" w:cs="Arial"/>
          <w:color w:val="0E101A"/>
          <w:sz w:val="20"/>
          <w:szCs w:val="20"/>
        </w:rPr>
        <w:t xml:space="preserve"> (2023) reported a 0.6% prevalence of MGA in Imo state, South Eastern Nigeria, while in Edo state, South Southern Nigeria </w:t>
      </w:r>
      <w:proofErr w:type="spellStart"/>
      <w:r w:rsidRPr="00370BB1">
        <w:rPr>
          <w:rFonts w:ascii="Arial" w:hAnsi="Arial" w:cs="Arial"/>
          <w:color w:val="0E101A"/>
          <w:sz w:val="20"/>
          <w:szCs w:val="20"/>
        </w:rPr>
        <w:t>Ariyo</w:t>
      </w:r>
      <w:proofErr w:type="spellEnd"/>
      <w:r w:rsidRPr="00370BB1">
        <w:rPr>
          <w:rFonts w:ascii="Arial" w:hAnsi="Arial" w:cs="Arial"/>
          <w:color w:val="0E101A"/>
          <w:sz w:val="20"/>
          <w:szCs w:val="20"/>
        </w:rPr>
        <w:t xml:space="preserve"> et al., (2020) reported a 51% prevalence of MGA. </w:t>
      </w:r>
    </w:p>
    <w:p w:rsidR="00C413B5" w:rsidRPr="00370BB1" w:rsidRDefault="00C413B5" w:rsidP="00C413B5">
      <w:pPr>
        <w:pStyle w:val="NormalWeb"/>
        <w:spacing w:before="0" w:beforeAutospacing="0" w:after="0" w:afterAutospacing="0"/>
        <w:jc w:val="both"/>
        <w:rPr>
          <w:rFonts w:ascii="Arial" w:hAnsi="Arial" w:cs="Arial"/>
          <w:color w:val="0E101A"/>
          <w:sz w:val="20"/>
          <w:szCs w:val="20"/>
        </w:rPr>
      </w:pPr>
      <w:r w:rsidRPr="00370BB1">
        <w:rPr>
          <w:rFonts w:ascii="Arial" w:hAnsi="Arial" w:cs="Arial"/>
          <w:color w:val="0E101A"/>
          <w:sz w:val="20"/>
          <w:szCs w:val="20"/>
        </w:rPr>
        <w:t xml:space="preserve"> </w:t>
      </w:r>
    </w:p>
    <w:p w:rsidR="00C413B5" w:rsidRPr="00370BB1" w:rsidRDefault="00C413B5" w:rsidP="00C413B5">
      <w:pPr>
        <w:pStyle w:val="NormalWeb"/>
        <w:spacing w:before="0" w:beforeAutospacing="0" w:after="0" w:afterAutospacing="0"/>
        <w:jc w:val="both"/>
        <w:rPr>
          <w:rFonts w:ascii="Arial" w:hAnsi="Arial" w:cs="Arial"/>
          <w:color w:val="0E101A"/>
          <w:sz w:val="20"/>
          <w:szCs w:val="20"/>
        </w:rPr>
      </w:pPr>
      <w:r w:rsidRPr="00370BB1">
        <w:rPr>
          <w:rFonts w:ascii="Arial" w:hAnsi="Arial" w:cs="Arial"/>
          <w:color w:val="0E101A"/>
          <w:sz w:val="20"/>
          <w:szCs w:val="20"/>
        </w:rPr>
        <w:t xml:space="preserve">Internet use may influence the psychological adjustments (PA) of individuals in general and school adolescents in particular. The reason is that adolescents are explorative by nature and as a result might prefer online activities to physical social relationships, to hide feelings of anger, depression, and low self-esteem (Illinois Institute for Addiction Recovery, 2012). Sequel to the foregoing, researchers in this study believe that it is very important to understand IA and MGA and its impact on psychological adjustment to help addicted gamers cope in society and help reduce the level of psychopathological symptoms. </w:t>
      </w:r>
    </w:p>
    <w:p w:rsidR="00C413B5" w:rsidRPr="00370BB1" w:rsidRDefault="00C413B5" w:rsidP="00C413B5">
      <w:pPr>
        <w:pStyle w:val="NormalWeb"/>
        <w:spacing w:before="0" w:beforeAutospacing="0" w:after="0" w:afterAutospacing="0"/>
        <w:jc w:val="both"/>
        <w:rPr>
          <w:rFonts w:ascii="Arial" w:hAnsi="Arial" w:cs="Arial"/>
          <w:color w:val="0E101A"/>
          <w:sz w:val="20"/>
          <w:szCs w:val="20"/>
        </w:rPr>
      </w:pPr>
      <w:r w:rsidRPr="00370BB1">
        <w:rPr>
          <w:rFonts w:ascii="Arial" w:hAnsi="Arial" w:cs="Arial"/>
          <w:color w:val="0E101A"/>
          <w:sz w:val="20"/>
          <w:szCs w:val="20"/>
        </w:rPr>
        <w:lastRenderedPageBreak/>
        <w:t xml:space="preserve"> </w:t>
      </w:r>
    </w:p>
    <w:p w:rsidR="00C413B5" w:rsidRPr="00370BB1" w:rsidRDefault="00C413B5" w:rsidP="00C413B5">
      <w:pPr>
        <w:pStyle w:val="NormalWeb"/>
        <w:spacing w:before="0" w:beforeAutospacing="0" w:after="0" w:afterAutospacing="0"/>
        <w:jc w:val="both"/>
        <w:rPr>
          <w:rFonts w:ascii="Arial" w:hAnsi="Arial" w:cs="Arial"/>
          <w:color w:val="0E101A"/>
          <w:sz w:val="20"/>
          <w:szCs w:val="20"/>
        </w:rPr>
      </w:pPr>
      <w:r w:rsidRPr="00370BB1">
        <w:rPr>
          <w:rFonts w:ascii="Arial" w:hAnsi="Arial" w:cs="Arial"/>
          <w:color w:val="0E101A"/>
          <w:sz w:val="20"/>
          <w:szCs w:val="20"/>
        </w:rPr>
        <w:t xml:space="preserve">Again, studies show that gender is linked to the psychological well-being of individuals. According to certain population studies, there are relative differences in the prevalence of mental health issues and disorder types between both genders among adolescents. Adolescent girls are more likely to experience </w:t>
      </w:r>
      <w:proofErr w:type="spellStart"/>
      <w:r w:rsidRPr="00370BB1">
        <w:rPr>
          <w:rFonts w:ascii="Arial" w:hAnsi="Arial" w:cs="Arial"/>
          <w:color w:val="0E101A"/>
          <w:sz w:val="20"/>
          <w:szCs w:val="20"/>
        </w:rPr>
        <w:t>internalising</w:t>
      </w:r>
      <w:proofErr w:type="spellEnd"/>
      <w:r w:rsidRPr="00370BB1">
        <w:rPr>
          <w:rFonts w:ascii="Arial" w:hAnsi="Arial" w:cs="Arial"/>
          <w:color w:val="0E101A"/>
          <w:sz w:val="20"/>
          <w:szCs w:val="20"/>
        </w:rPr>
        <w:t xml:space="preserve"> disorders like depression or anxiety, while boys are more likely to experience </w:t>
      </w:r>
      <w:proofErr w:type="spellStart"/>
      <w:r w:rsidRPr="00370BB1">
        <w:rPr>
          <w:rFonts w:ascii="Arial" w:hAnsi="Arial" w:cs="Arial"/>
          <w:color w:val="0E101A"/>
          <w:sz w:val="20"/>
          <w:szCs w:val="20"/>
        </w:rPr>
        <w:t>externalising</w:t>
      </w:r>
      <w:proofErr w:type="spellEnd"/>
      <w:r w:rsidRPr="00370BB1">
        <w:rPr>
          <w:rFonts w:ascii="Arial" w:hAnsi="Arial" w:cs="Arial"/>
          <w:color w:val="0E101A"/>
          <w:sz w:val="20"/>
          <w:szCs w:val="20"/>
        </w:rPr>
        <w:t xml:space="preserve"> problems like aggression (Van </w:t>
      </w:r>
      <w:proofErr w:type="spellStart"/>
      <w:r w:rsidRPr="00370BB1">
        <w:rPr>
          <w:rFonts w:ascii="Arial" w:hAnsi="Arial" w:cs="Arial"/>
          <w:color w:val="0E101A"/>
          <w:sz w:val="20"/>
          <w:szCs w:val="20"/>
        </w:rPr>
        <w:t>Droogenbroeck</w:t>
      </w:r>
      <w:proofErr w:type="spellEnd"/>
      <w:r w:rsidRPr="00370BB1">
        <w:rPr>
          <w:rFonts w:ascii="Arial" w:hAnsi="Arial" w:cs="Arial"/>
          <w:color w:val="0E101A"/>
          <w:sz w:val="20"/>
          <w:szCs w:val="20"/>
        </w:rPr>
        <w:t xml:space="preserve"> et al., 2018; Campbell et al., 2021).  Numerous ideas about psychological well-being and mental health outcomes during adolescence have put forth factors that determine gender differences and the consequences that follow (Esteban-Gonzalo et al., 2020]. The Gender Intensification Hypothesis, for example, proposes that the gender difference in depression during adolescence and the onset of puberty is caused by greater pressure on girls and boys to conform to normative gender norms. According to the notion, girls experience physical and hormonal changes linked with entering the pubertal developmental stage earlier than boys. According to Lewis et al. (2018) and Conley &amp; Rudolph (2009), early pubertal development in girls and the effects of femininity have been related to depressive systems and are thought to be a factor in the gender variations in depression. Additionally, research indicates that females who reach puberty earlier than their peers have higher levels of depressive symptoms (Hamlet et al</w:t>
      </w:r>
      <w:r w:rsidR="00B93633" w:rsidRPr="00370BB1">
        <w:rPr>
          <w:rFonts w:ascii="Arial" w:hAnsi="Arial" w:cs="Arial"/>
          <w:color w:val="0E101A"/>
          <w:sz w:val="20"/>
          <w:szCs w:val="20"/>
        </w:rPr>
        <w:t>.,</w:t>
      </w:r>
      <w:r w:rsidRPr="00370BB1">
        <w:rPr>
          <w:rFonts w:ascii="Arial" w:hAnsi="Arial" w:cs="Arial"/>
          <w:color w:val="0E101A"/>
          <w:sz w:val="20"/>
          <w:szCs w:val="20"/>
        </w:rPr>
        <w:t xml:space="preserve"> 2019; Lewis et al., 2018; </w:t>
      </w:r>
      <w:proofErr w:type="spellStart"/>
      <w:r w:rsidRPr="00370BB1">
        <w:rPr>
          <w:rFonts w:ascii="Arial" w:hAnsi="Arial" w:cs="Arial"/>
          <w:color w:val="0E101A"/>
          <w:sz w:val="20"/>
          <w:szCs w:val="20"/>
        </w:rPr>
        <w:t>Mendle</w:t>
      </w:r>
      <w:proofErr w:type="spellEnd"/>
      <w:r w:rsidRPr="00370BB1">
        <w:rPr>
          <w:rFonts w:ascii="Arial" w:hAnsi="Arial" w:cs="Arial"/>
          <w:color w:val="0E101A"/>
          <w:sz w:val="20"/>
          <w:szCs w:val="20"/>
        </w:rPr>
        <w:t xml:space="preserve"> et al., 2018).</w:t>
      </w:r>
    </w:p>
    <w:p w:rsidR="00C413B5" w:rsidRPr="00370BB1" w:rsidRDefault="00C413B5" w:rsidP="00C413B5">
      <w:pPr>
        <w:pStyle w:val="NormalWeb"/>
        <w:spacing w:before="0" w:beforeAutospacing="0" w:after="0" w:afterAutospacing="0"/>
        <w:jc w:val="both"/>
        <w:rPr>
          <w:rFonts w:ascii="Arial" w:hAnsi="Arial" w:cs="Arial"/>
          <w:color w:val="0E101A"/>
          <w:sz w:val="20"/>
          <w:szCs w:val="20"/>
        </w:rPr>
      </w:pPr>
      <w:r w:rsidRPr="00370BB1">
        <w:rPr>
          <w:rFonts w:ascii="Arial" w:hAnsi="Arial" w:cs="Arial"/>
          <w:color w:val="0E101A"/>
          <w:sz w:val="20"/>
          <w:szCs w:val="20"/>
        </w:rPr>
        <w:t xml:space="preserve"> </w:t>
      </w:r>
    </w:p>
    <w:p w:rsidR="00C413B5" w:rsidRPr="00370BB1" w:rsidRDefault="00C413B5" w:rsidP="00C413B5">
      <w:pPr>
        <w:pStyle w:val="NormalWeb"/>
        <w:spacing w:before="0" w:beforeAutospacing="0" w:after="0" w:afterAutospacing="0"/>
        <w:jc w:val="both"/>
        <w:rPr>
          <w:rFonts w:ascii="Arial" w:hAnsi="Arial" w:cs="Arial"/>
          <w:color w:val="0E101A"/>
          <w:sz w:val="20"/>
          <w:szCs w:val="20"/>
        </w:rPr>
      </w:pPr>
      <w:r w:rsidRPr="00370BB1">
        <w:rPr>
          <w:rFonts w:ascii="Arial" w:hAnsi="Arial" w:cs="Arial"/>
          <w:color w:val="0E101A"/>
          <w:sz w:val="20"/>
          <w:szCs w:val="20"/>
        </w:rPr>
        <w:t xml:space="preserve">Most previous studies on the variables of interest in this study were conducted among Western and Asian populations. Hence, considering extraneous variables such as differences in sociocultural settings, the </w:t>
      </w:r>
      <w:proofErr w:type="spellStart"/>
      <w:r w:rsidRPr="00370BB1">
        <w:rPr>
          <w:rFonts w:ascii="Arial" w:hAnsi="Arial" w:cs="Arial"/>
          <w:color w:val="0E101A"/>
          <w:sz w:val="20"/>
          <w:szCs w:val="20"/>
        </w:rPr>
        <w:t>generalisation</w:t>
      </w:r>
      <w:proofErr w:type="spellEnd"/>
      <w:r w:rsidRPr="00370BB1">
        <w:rPr>
          <w:rFonts w:ascii="Arial" w:hAnsi="Arial" w:cs="Arial"/>
          <w:color w:val="0E101A"/>
          <w:sz w:val="20"/>
          <w:szCs w:val="20"/>
        </w:rPr>
        <w:t xml:space="preserve"> of findings from Western clime might be restraining to the Nigerian population. Thus, this study examines IA and MGA as predictors of psychological adjustment among secondary school students in the Ibadan metropolis of Oyo state Southwestern Nigeria. The study's objectives include examining the prevalence of internet addiction MGA and psychological adjustment among the participants, investigating if IA and MGA would predict psychological adjustment among the participants, and determining the gender difference in PA among secondary school students in Ibadan metropolis, Oyo state, Nigeria. The last objective is to explore if school structure (private/public) would influence PA among secondary school adolescents. </w:t>
      </w:r>
    </w:p>
    <w:p w:rsidR="00C413B5" w:rsidRPr="00370BB1" w:rsidRDefault="00C413B5" w:rsidP="00C413B5">
      <w:pPr>
        <w:pStyle w:val="NormalWeb"/>
        <w:spacing w:before="0" w:beforeAutospacing="0" w:after="0" w:afterAutospacing="0"/>
        <w:jc w:val="both"/>
        <w:rPr>
          <w:rFonts w:ascii="Arial" w:hAnsi="Arial" w:cs="Arial"/>
          <w:color w:val="0E101A"/>
          <w:sz w:val="20"/>
          <w:szCs w:val="20"/>
        </w:rPr>
      </w:pPr>
      <w:r w:rsidRPr="00370BB1">
        <w:rPr>
          <w:rFonts w:ascii="Arial" w:hAnsi="Arial" w:cs="Arial"/>
          <w:color w:val="0E101A"/>
          <w:sz w:val="20"/>
          <w:szCs w:val="20"/>
        </w:rPr>
        <w:t xml:space="preserve"> </w:t>
      </w:r>
    </w:p>
    <w:p w:rsidR="00C413B5" w:rsidRPr="00370BB1" w:rsidRDefault="00C413B5" w:rsidP="00C413B5">
      <w:pPr>
        <w:pStyle w:val="NormalWeb"/>
        <w:numPr>
          <w:ilvl w:val="0"/>
          <w:numId w:val="1"/>
        </w:numPr>
        <w:spacing w:before="0" w:beforeAutospacing="0" w:after="0" w:afterAutospacing="0"/>
        <w:ind w:left="360"/>
        <w:jc w:val="both"/>
        <w:rPr>
          <w:rFonts w:ascii="Arial" w:hAnsi="Arial" w:cs="Arial"/>
          <w:color w:val="0E101A"/>
          <w:sz w:val="20"/>
          <w:szCs w:val="20"/>
        </w:rPr>
      </w:pPr>
      <w:r w:rsidRPr="00370BB1">
        <w:rPr>
          <w:rStyle w:val="16"/>
          <w:rFonts w:ascii="Arial" w:eastAsia="Times New Roman" w:hAnsi="Arial" w:cs="Arial" w:hint="default"/>
          <w:color w:val="0E101A"/>
          <w:sz w:val="20"/>
          <w:szCs w:val="20"/>
        </w:rPr>
        <w:t>MATERIALS AND METHOD</w:t>
      </w:r>
    </w:p>
    <w:p w:rsidR="00C413B5" w:rsidRPr="00370BB1" w:rsidRDefault="00C413B5" w:rsidP="00C413B5">
      <w:pPr>
        <w:pStyle w:val="NormalWeb"/>
        <w:spacing w:before="0" w:beforeAutospacing="0" w:after="0" w:afterAutospacing="0"/>
        <w:jc w:val="both"/>
        <w:rPr>
          <w:rFonts w:ascii="Arial" w:hAnsi="Arial" w:cs="Arial"/>
          <w:color w:val="0E101A"/>
          <w:sz w:val="20"/>
          <w:szCs w:val="20"/>
        </w:rPr>
      </w:pPr>
      <w:r w:rsidRPr="00370BB1">
        <w:rPr>
          <w:rStyle w:val="16"/>
          <w:rFonts w:ascii="Arial" w:eastAsia="Times New Roman" w:hAnsi="Arial" w:cs="Arial" w:hint="default"/>
          <w:color w:val="0E101A"/>
          <w:sz w:val="20"/>
          <w:szCs w:val="20"/>
        </w:rPr>
        <w:t>2.1 Participants</w:t>
      </w:r>
    </w:p>
    <w:p w:rsidR="00C413B5" w:rsidRPr="00370BB1" w:rsidRDefault="00C413B5" w:rsidP="00C413B5">
      <w:pPr>
        <w:pStyle w:val="NormalWeb"/>
        <w:spacing w:before="0" w:beforeAutospacing="0" w:after="0" w:afterAutospacing="0"/>
        <w:jc w:val="both"/>
        <w:rPr>
          <w:rFonts w:ascii="Arial" w:hAnsi="Arial" w:cs="Arial"/>
          <w:color w:val="0E101A"/>
          <w:sz w:val="20"/>
          <w:szCs w:val="20"/>
        </w:rPr>
      </w:pPr>
      <w:r w:rsidRPr="00370BB1">
        <w:rPr>
          <w:rFonts w:ascii="Arial" w:hAnsi="Arial" w:cs="Arial"/>
          <w:color w:val="0E101A"/>
          <w:sz w:val="20"/>
          <w:szCs w:val="20"/>
        </w:rPr>
        <w:t xml:space="preserve">This study adopted an ex-post facto research design which </w:t>
      </w:r>
      <w:proofErr w:type="spellStart"/>
      <w:r w:rsidRPr="00370BB1">
        <w:rPr>
          <w:rFonts w:ascii="Arial" w:hAnsi="Arial" w:cs="Arial"/>
          <w:color w:val="0E101A"/>
          <w:sz w:val="20"/>
          <w:szCs w:val="20"/>
        </w:rPr>
        <w:t>utilises</w:t>
      </w:r>
      <w:proofErr w:type="spellEnd"/>
      <w:r w:rsidRPr="00370BB1">
        <w:rPr>
          <w:rFonts w:ascii="Arial" w:hAnsi="Arial" w:cs="Arial"/>
          <w:color w:val="0E101A"/>
          <w:sz w:val="20"/>
          <w:szCs w:val="20"/>
        </w:rPr>
        <w:t xml:space="preserve"> cross-sectional survey method to gather data.  A multistage sampling procedure was used to select participants in this study between June and July 2022. The first stage involved using a simple random sampling technique to select two (2) Local Government Areas out of eleven Local Government Areas that constituted the Ibadan metropolis, Oyo state of Nigeria. The adequacy of the two local governments is that the two local government areas have the highest number of secondary schools, the two local governments are Ibadan South-West and Ibadan North. The second stage involved using the convenience sampling technique to select five secondary schools from the selected two Local Government Areas in the Ibadan metropolis, Oyo state of Nigeria. These schools comprised five public schools, making the total selected secondary schools for the study ten secondary schools. </w:t>
      </w:r>
    </w:p>
    <w:p w:rsidR="00C413B5" w:rsidRPr="00370BB1" w:rsidRDefault="00C413B5" w:rsidP="00C413B5">
      <w:pPr>
        <w:pStyle w:val="NormalWeb"/>
        <w:spacing w:before="0" w:beforeAutospacing="0" w:after="0" w:afterAutospacing="0"/>
        <w:jc w:val="both"/>
        <w:rPr>
          <w:rFonts w:ascii="Arial" w:hAnsi="Arial" w:cs="Arial"/>
          <w:color w:val="0E101A"/>
          <w:sz w:val="20"/>
          <w:szCs w:val="20"/>
        </w:rPr>
      </w:pPr>
      <w:r w:rsidRPr="00370BB1">
        <w:rPr>
          <w:rFonts w:ascii="Arial" w:hAnsi="Arial" w:cs="Arial"/>
          <w:color w:val="0E101A"/>
          <w:sz w:val="20"/>
          <w:szCs w:val="20"/>
        </w:rPr>
        <w:t xml:space="preserve"> </w:t>
      </w:r>
    </w:p>
    <w:p w:rsidR="00C413B5" w:rsidRPr="00370BB1" w:rsidRDefault="00C413B5" w:rsidP="00C413B5">
      <w:pPr>
        <w:pStyle w:val="NormalWeb"/>
        <w:spacing w:before="0" w:beforeAutospacing="0" w:after="0" w:afterAutospacing="0"/>
        <w:jc w:val="both"/>
        <w:rPr>
          <w:rFonts w:ascii="Arial" w:hAnsi="Arial" w:cs="Arial"/>
          <w:color w:val="0E101A"/>
          <w:sz w:val="20"/>
          <w:szCs w:val="20"/>
        </w:rPr>
      </w:pPr>
      <w:r w:rsidRPr="00370BB1">
        <w:rPr>
          <w:rFonts w:ascii="Arial" w:hAnsi="Arial" w:cs="Arial"/>
          <w:color w:val="0E101A"/>
          <w:sz w:val="20"/>
          <w:szCs w:val="20"/>
        </w:rPr>
        <w:t>The third stage involved using the convenience sampling technique to select fifty (50) secondary school students from each of the ten selected Senior Secondary Schools in the Ibadan metropolis. The reason for using the convenience sampling technique is that it allows the researchers to quickly gather data from readily available participants, making it practical and time-efficient.  Also, it is cost-effective since it targets a nearby or easily accessible population, and it can reduce costs related to travel and recruitment. This led to a total number of five hundred (500) secondary school students who participated in the study. This sample will be representative of the population.</w:t>
      </w:r>
    </w:p>
    <w:p w:rsidR="00C620FC" w:rsidRPr="00370BB1" w:rsidRDefault="00C620FC" w:rsidP="00C413B5">
      <w:pPr>
        <w:pStyle w:val="NormalWeb"/>
        <w:spacing w:before="0" w:beforeAutospacing="0" w:after="0" w:afterAutospacing="0"/>
        <w:jc w:val="both"/>
        <w:rPr>
          <w:rFonts w:ascii="Arial" w:hAnsi="Arial" w:cs="Arial"/>
          <w:color w:val="0E101A"/>
          <w:sz w:val="20"/>
          <w:szCs w:val="20"/>
        </w:rPr>
      </w:pPr>
    </w:p>
    <w:p w:rsidR="00C620FC" w:rsidRPr="00370BB1" w:rsidRDefault="00C620FC" w:rsidP="00C413B5">
      <w:pPr>
        <w:pStyle w:val="NormalWeb"/>
        <w:spacing w:before="0" w:beforeAutospacing="0" w:after="0" w:afterAutospacing="0"/>
        <w:jc w:val="both"/>
        <w:rPr>
          <w:rFonts w:ascii="Arial" w:hAnsi="Arial" w:cs="Arial"/>
          <w:b/>
          <w:color w:val="0E101A"/>
          <w:sz w:val="20"/>
          <w:szCs w:val="20"/>
        </w:rPr>
      </w:pPr>
      <w:r w:rsidRPr="00370BB1">
        <w:rPr>
          <w:rFonts w:ascii="Arial" w:hAnsi="Arial" w:cs="Arial"/>
          <w:b/>
          <w:color w:val="0E101A"/>
          <w:sz w:val="20"/>
          <w:szCs w:val="20"/>
        </w:rPr>
        <w:t>2.2 Inclusion and exclusion criteria</w:t>
      </w:r>
    </w:p>
    <w:p w:rsidR="00C620FC" w:rsidRPr="00370BB1" w:rsidRDefault="00C620FC" w:rsidP="00C413B5">
      <w:pPr>
        <w:pStyle w:val="NormalWeb"/>
        <w:spacing w:before="0" w:beforeAutospacing="0" w:after="0" w:afterAutospacing="0"/>
        <w:jc w:val="both"/>
        <w:rPr>
          <w:rFonts w:ascii="Arial" w:hAnsi="Arial" w:cs="Arial"/>
          <w:color w:val="0E101A"/>
          <w:sz w:val="20"/>
          <w:szCs w:val="20"/>
        </w:rPr>
      </w:pPr>
      <w:r w:rsidRPr="00370BB1">
        <w:rPr>
          <w:rFonts w:ascii="Arial" w:hAnsi="Arial" w:cs="Arial"/>
          <w:color w:val="0E101A"/>
          <w:sz w:val="20"/>
          <w:szCs w:val="20"/>
        </w:rPr>
        <w:t>Only students of the selected secondary schools were included in this study. Also, only those students present in the selected schools on the days of data collection who, having been informed of the purpose of the study agreed to participate were included. Students who were absent on the day of the data collection and those who did not wish to participate were excluded.</w:t>
      </w:r>
    </w:p>
    <w:p w:rsidR="00C413B5" w:rsidRPr="00370BB1" w:rsidRDefault="00C413B5" w:rsidP="00C413B5">
      <w:pPr>
        <w:pStyle w:val="NormalWeb"/>
        <w:spacing w:before="0" w:beforeAutospacing="0" w:after="0" w:afterAutospacing="0"/>
        <w:jc w:val="both"/>
        <w:rPr>
          <w:rFonts w:ascii="Arial" w:hAnsi="Arial" w:cs="Arial"/>
          <w:color w:val="0E101A"/>
          <w:sz w:val="20"/>
          <w:szCs w:val="20"/>
        </w:rPr>
      </w:pPr>
      <w:r w:rsidRPr="00370BB1">
        <w:rPr>
          <w:rFonts w:ascii="Arial" w:hAnsi="Arial" w:cs="Arial"/>
          <w:color w:val="0E101A"/>
          <w:sz w:val="20"/>
          <w:szCs w:val="20"/>
        </w:rPr>
        <w:t xml:space="preserve"> </w:t>
      </w:r>
    </w:p>
    <w:p w:rsidR="00C413B5" w:rsidRPr="00370BB1" w:rsidRDefault="00C413B5" w:rsidP="00C413B5">
      <w:pPr>
        <w:pStyle w:val="NormalWeb"/>
        <w:spacing w:before="0" w:beforeAutospacing="0" w:after="0" w:afterAutospacing="0"/>
        <w:jc w:val="both"/>
        <w:rPr>
          <w:rFonts w:ascii="Arial" w:hAnsi="Arial" w:cs="Arial"/>
          <w:color w:val="0E101A"/>
          <w:sz w:val="20"/>
          <w:szCs w:val="20"/>
        </w:rPr>
      </w:pPr>
      <w:r w:rsidRPr="00370BB1">
        <w:rPr>
          <w:rStyle w:val="16"/>
          <w:rFonts w:ascii="Arial" w:eastAsia="Times New Roman" w:hAnsi="Arial" w:cs="Arial" w:hint="default"/>
          <w:color w:val="0E101A"/>
          <w:sz w:val="20"/>
          <w:szCs w:val="20"/>
        </w:rPr>
        <w:t xml:space="preserve">2.2 Research Instruments </w:t>
      </w:r>
    </w:p>
    <w:p w:rsidR="00C413B5" w:rsidRPr="00370BB1" w:rsidRDefault="00C413B5" w:rsidP="00C413B5">
      <w:pPr>
        <w:pStyle w:val="NormalWeb"/>
        <w:spacing w:before="0" w:beforeAutospacing="0" w:after="0" w:afterAutospacing="0"/>
        <w:jc w:val="both"/>
        <w:rPr>
          <w:rFonts w:ascii="Arial" w:hAnsi="Arial" w:cs="Arial"/>
          <w:color w:val="0E101A"/>
          <w:sz w:val="20"/>
          <w:szCs w:val="20"/>
        </w:rPr>
      </w:pPr>
      <w:r w:rsidRPr="00370BB1">
        <w:rPr>
          <w:rFonts w:ascii="Arial" w:hAnsi="Arial" w:cs="Arial"/>
          <w:color w:val="0E101A"/>
          <w:sz w:val="20"/>
          <w:szCs w:val="20"/>
        </w:rPr>
        <w:lastRenderedPageBreak/>
        <w:t xml:space="preserve">Three research instruments were used for the collection of data in this study. They are the Brief adjustment scale, the Internet Addiction Test and the internet game addiction scale. </w:t>
      </w:r>
    </w:p>
    <w:p w:rsidR="00C413B5" w:rsidRPr="00370BB1" w:rsidRDefault="00C413B5" w:rsidP="00C413B5">
      <w:pPr>
        <w:pStyle w:val="NormalWeb"/>
        <w:spacing w:before="0" w:beforeAutospacing="0" w:after="0" w:afterAutospacing="0"/>
        <w:jc w:val="both"/>
        <w:rPr>
          <w:rFonts w:ascii="Arial" w:hAnsi="Arial" w:cs="Arial"/>
          <w:color w:val="0E101A"/>
          <w:sz w:val="20"/>
          <w:szCs w:val="20"/>
        </w:rPr>
      </w:pPr>
      <w:r w:rsidRPr="00370BB1">
        <w:rPr>
          <w:rFonts w:ascii="Arial" w:hAnsi="Arial" w:cs="Arial"/>
          <w:color w:val="0E101A"/>
          <w:sz w:val="20"/>
          <w:szCs w:val="20"/>
        </w:rPr>
        <w:t xml:space="preserve"> </w:t>
      </w:r>
    </w:p>
    <w:p w:rsidR="00C413B5" w:rsidRPr="00370BB1" w:rsidRDefault="00C413B5" w:rsidP="00C413B5">
      <w:pPr>
        <w:pStyle w:val="NormalWeb"/>
        <w:spacing w:before="0" w:beforeAutospacing="0" w:after="0" w:afterAutospacing="0"/>
        <w:jc w:val="both"/>
        <w:rPr>
          <w:rFonts w:ascii="Arial" w:hAnsi="Arial" w:cs="Arial"/>
          <w:color w:val="0E101A"/>
          <w:sz w:val="20"/>
          <w:szCs w:val="20"/>
        </w:rPr>
      </w:pPr>
      <w:r w:rsidRPr="00370BB1">
        <w:rPr>
          <w:rFonts w:ascii="Arial" w:hAnsi="Arial" w:cs="Arial"/>
          <w:color w:val="0E101A"/>
          <w:sz w:val="20"/>
          <w:szCs w:val="20"/>
        </w:rPr>
        <w:t xml:space="preserve">The Brief Adjustment Scale-6 is a brief self-report measure of general psychological adjustment developed by Smith et al., (2011) for stand-alone use and as part of a measurement feedback system. The item pool contained six items and was designed to assess individuals' perceptions of emotional distress (three items: depression, anxiety and anger) and related interference (three items: self-esteem, personal relationships, and occupational functioning). Sample items include "To what extent have you felt unhappy, discouraged, and/or depressed this week?" and "How much has emotional distress interfered with feeling good about yourself this week?". All six items were on a seven-point Likert scale (1 = not at all, 4 = somewhat, 7 = extremely), with higher scores indicating lower general psychological adjustment. Alexandra (2015) revalidated the 6-item psychological adjustment scale and reported excellent internal consistency, ranging from α = 0.87 to α = 0.92. The pilot study yielded a Cronbach alpha coefficient value of 0.617, indicating that the psychological adjustment scale is reliable among the sampled population. This makes the scale the most appropriate for measuring psychological adjustment for the study. </w:t>
      </w:r>
    </w:p>
    <w:p w:rsidR="00C413B5" w:rsidRPr="00370BB1" w:rsidRDefault="00C413B5" w:rsidP="00C413B5">
      <w:pPr>
        <w:pStyle w:val="NormalWeb"/>
        <w:spacing w:before="0" w:beforeAutospacing="0" w:after="0" w:afterAutospacing="0"/>
        <w:jc w:val="both"/>
        <w:rPr>
          <w:rFonts w:ascii="Arial" w:hAnsi="Arial" w:cs="Arial"/>
          <w:color w:val="0E101A"/>
          <w:sz w:val="20"/>
          <w:szCs w:val="20"/>
        </w:rPr>
      </w:pPr>
      <w:r w:rsidRPr="00370BB1">
        <w:rPr>
          <w:rFonts w:ascii="Arial" w:hAnsi="Arial" w:cs="Arial"/>
          <w:color w:val="0E101A"/>
          <w:sz w:val="20"/>
          <w:szCs w:val="20"/>
        </w:rPr>
        <w:t xml:space="preserve"> </w:t>
      </w:r>
    </w:p>
    <w:p w:rsidR="00C413B5" w:rsidRPr="00370BB1" w:rsidRDefault="00C413B5" w:rsidP="00C413B5">
      <w:pPr>
        <w:pStyle w:val="NormalWeb"/>
        <w:spacing w:before="0" w:beforeAutospacing="0" w:after="0" w:afterAutospacing="0"/>
        <w:jc w:val="both"/>
        <w:rPr>
          <w:rFonts w:ascii="Arial" w:hAnsi="Arial" w:cs="Arial"/>
          <w:color w:val="0E101A"/>
          <w:sz w:val="20"/>
          <w:szCs w:val="20"/>
        </w:rPr>
      </w:pPr>
      <w:r w:rsidRPr="00370BB1">
        <w:rPr>
          <w:rFonts w:ascii="Arial" w:hAnsi="Arial" w:cs="Arial"/>
          <w:color w:val="0E101A"/>
          <w:sz w:val="20"/>
          <w:szCs w:val="20"/>
        </w:rPr>
        <w:t>Young developed the Internet Addiction Test (2016). The scale exhibits the following characteristics: It comprises 20 items rated on a five-point Likert scale (from 1-not at all, to 5-always). As with the first diagnostic questionnaire, this measurement is derived from the DSM-IV criteria for pathological gambling and alcoholism, and it measures the extent of individual problems due to Internet use in daily routine, social life, productivity, sleeping patterns and feelings. The author reported high reliabilities for the scale with Cronbach alpha .89. The norm of the scale depicted that any score on the scale between 0 and 33 is mild internet addiction while any score on the scale between 34 and 66 is moderate internet addiction and scores between 67 and 100 are severe internet addiction.  The internet addiction scale has been validated and used among Nigerian samples (Akpunne et al., 2020).</w:t>
      </w:r>
    </w:p>
    <w:p w:rsidR="00C413B5" w:rsidRPr="00370BB1" w:rsidRDefault="00C413B5" w:rsidP="00C413B5">
      <w:pPr>
        <w:pStyle w:val="NormalWeb"/>
        <w:spacing w:before="0" w:beforeAutospacing="0" w:after="0" w:afterAutospacing="0"/>
        <w:jc w:val="both"/>
        <w:rPr>
          <w:rFonts w:ascii="Arial" w:hAnsi="Arial" w:cs="Arial"/>
          <w:color w:val="0E101A"/>
          <w:sz w:val="20"/>
          <w:szCs w:val="20"/>
        </w:rPr>
      </w:pPr>
      <w:r w:rsidRPr="00370BB1">
        <w:rPr>
          <w:rFonts w:ascii="Arial" w:hAnsi="Arial" w:cs="Arial"/>
          <w:color w:val="0E101A"/>
          <w:sz w:val="20"/>
          <w:szCs w:val="20"/>
        </w:rPr>
        <w:t xml:space="preserve"> </w:t>
      </w:r>
    </w:p>
    <w:p w:rsidR="00C413B5" w:rsidRPr="00370BB1" w:rsidRDefault="00C413B5" w:rsidP="00C413B5">
      <w:pPr>
        <w:pStyle w:val="NormalWeb"/>
        <w:spacing w:before="0" w:beforeAutospacing="0" w:after="0" w:afterAutospacing="0"/>
        <w:jc w:val="both"/>
        <w:rPr>
          <w:rFonts w:ascii="Arial" w:hAnsi="Arial" w:cs="Arial"/>
          <w:color w:val="0E101A"/>
          <w:sz w:val="20"/>
          <w:szCs w:val="20"/>
        </w:rPr>
      </w:pPr>
      <w:r w:rsidRPr="00370BB1">
        <w:rPr>
          <w:rFonts w:ascii="Arial" w:hAnsi="Arial" w:cs="Arial"/>
          <w:color w:val="0E101A"/>
          <w:sz w:val="20"/>
          <w:szCs w:val="20"/>
        </w:rPr>
        <w:t xml:space="preserve">The Internet game Addiction Scale is a seven-item scale developed by </w:t>
      </w:r>
      <w:proofErr w:type="spellStart"/>
      <w:r w:rsidRPr="00370BB1">
        <w:rPr>
          <w:rFonts w:ascii="Arial" w:hAnsi="Arial" w:cs="Arial"/>
          <w:color w:val="0E101A"/>
          <w:sz w:val="20"/>
          <w:szCs w:val="20"/>
        </w:rPr>
        <w:t>Lemmens</w:t>
      </w:r>
      <w:proofErr w:type="spellEnd"/>
      <w:r w:rsidRPr="00370BB1">
        <w:rPr>
          <w:rFonts w:ascii="Arial" w:hAnsi="Arial" w:cs="Arial"/>
          <w:color w:val="0E101A"/>
          <w:sz w:val="20"/>
          <w:szCs w:val="20"/>
        </w:rPr>
        <w:t xml:space="preserve"> et al. (2009) to assess the extent to which an individual is addicted to gaming (including cyber-games on the Internet or games on a console). According to the authors, those who scored "sometimes" or more on all seven items were defined as monothetic gamers (pathological gaming), and those who scored "sometimes" or more on at least half of the items (four to six of seven items) were defined as polythetic gamers (excessive gaming). The author reported high reliability for the internet gaming addiction scale with Cronbach alpha which ranges from .82 to .87. The seven items in the IGAS are rated using a five-point Likert scale ranging from 1 (</w:t>
      </w:r>
      <w:r w:rsidRPr="00370BB1">
        <w:rPr>
          <w:rStyle w:val="18"/>
          <w:rFonts w:ascii="Arial" w:eastAsia="Times New Roman" w:hAnsi="Arial" w:cs="Arial" w:hint="default"/>
          <w:color w:val="0E101A"/>
          <w:sz w:val="20"/>
          <w:szCs w:val="20"/>
        </w:rPr>
        <w:t>never</w:t>
      </w:r>
      <w:r w:rsidRPr="00370BB1">
        <w:rPr>
          <w:rFonts w:ascii="Arial" w:hAnsi="Arial" w:cs="Arial"/>
          <w:color w:val="0E101A"/>
          <w:sz w:val="20"/>
          <w:szCs w:val="20"/>
        </w:rPr>
        <w:t>) to 5 (</w:t>
      </w:r>
      <w:r w:rsidRPr="00370BB1">
        <w:rPr>
          <w:rStyle w:val="18"/>
          <w:rFonts w:ascii="Arial" w:eastAsia="Times New Roman" w:hAnsi="Arial" w:cs="Arial" w:hint="default"/>
          <w:color w:val="0E101A"/>
          <w:sz w:val="20"/>
          <w:szCs w:val="20"/>
        </w:rPr>
        <w:t>very often</w:t>
      </w:r>
      <w:r w:rsidRPr="00370BB1">
        <w:rPr>
          <w:rFonts w:ascii="Arial" w:hAnsi="Arial" w:cs="Arial"/>
          <w:color w:val="0E101A"/>
          <w:sz w:val="20"/>
          <w:szCs w:val="20"/>
        </w:rPr>
        <w:t>). A higher score on the GAS indicates a more problematic use of online gaming (</w:t>
      </w:r>
      <w:proofErr w:type="spellStart"/>
      <w:r w:rsidRPr="00370BB1">
        <w:rPr>
          <w:rFonts w:ascii="Arial" w:hAnsi="Arial" w:cs="Arial"/>
          <w:color w:val="0E101A"/>
          <w:sz w:val="20"/>
          <w:szCs w:val="20"/>
        </w:rPr>
        <w:t>Lemmens</w:t>
      </w:r>
      <w:proofErr w:type="spellEnd"/>
      <w:r w:rsidRPr="00370BB1">
        <w:rPr>
          <w:rFonts w:ascii="Arial" w:hAnsi="Arial" w:cs="Arial"/>
          <w:color w:val="0E101A"/>
          <w:sz w:val="20"/>
          <w:szCs w:val="20"/>
        </w:rPr>
        <w:t xml:space="preserve"> et al., 2009). The norm of the scale depicted that any score on the scale between 0 to 12 is mild internet game addiction. In contrast, any score on the scale between 13 to 25 is moderate internet game addiction and scores between 26 to 35 are severe internet game addiction. Our pilot study yielded a Cronbach’s alpha coefficient of 0.72 which indicated that the internet game addiction scale is reliable among the sampled population. </w:t>
      </w:r>
    </w:p>
    <w:p w:rsidR="00C413B5" w:rsidRPr="00370BB1" w:rsidRDefault="00C413B5" w:rsidP="00C413B5">
      <w:pPr>
        <w:pStyle w:val="NormalWeb"/>
        <w:spacing w:before="0" w:beforeAutospacing="0" w:after="0" w:afterAutospacing="0"/>
        <w:jc w:val="both"/>
        <w:rPr>
          <w:rFonts w:ascii="Arial" w:hAnsi="Arial" w:cs="Arial"/>
          <w:color w:val="0E101A"/>
          <w:sz w:val="20"/>
          <w:szCs w:val="20"/>
        </w:rPr>
      </w:pPr>
      <w:r w:rsidRPr="00370BB1">
        <w:rPr>
          <w:rFonts w:ascii="Arial" w:hAnsi="Arial" w:cs="Arial"/>
          <w:color w:val="0E101A"/>
          <w:sz w:val="20"/>
          <w:szCs w:val="20"/>
        </w:rPr>
        <w:t xml:space="preserve"> </w:t>
      </w:r>
    </w:p>
    <w:p w:rsidR="00C413B5" w:rsidRPr="00370BB1" w:rsidRDefault="00C413B5" w:rsidP="00C413B5">
      <w:pPr>
        <w:pStyle w:val="NormalWeb"/>
        <w:numPr>
          <w:ilvl w:val="0"/>
          <w:numId w:val="1"/>
        </w:numPr>
        <w:spacing w:before="0" w:beforeAutospacing="0" w:after="0" w:afterAutospacing="0"/>
        <w:ind w:left="360"/>
        <w:jc w:val="both"/>
        <w:rPr>
          <w:rFonts w:ascii="Arial" w:hAnsi="Arial" w:cs="Arial"/>
          <w:color w:val="0E101A"/>
          <w:sz w:val="22"/>
          <w:szCs w:val="22"/>
        </w:rPr>
      </w:pPr>
      <w:r w:rsidRPr="00370BB1">
        <w:rPr>
          <w:rStyle w:val="16"/>
          <w:rFonts w:ascii="Arial" w:eastAsia="Times New Roman" w:hAnsi="Arial" w:cs="Arial" w:hint="default"/>
          <w:color w:val="0E101A"/>
          <w:sz w:val="22"/>
          <w:szCs w:val="22"/>
        </w:rPr>
        <w:t>RESULTS</w:t>
      </w:r>
    </w:p>
    <w:p w:rsidR="00C413B5" w:rsidRPr="00370BB1" w:rsidRDefault="00C413B5" w:rsidP="00C413B5">
      <w:pPr>
        <w:pStyle w:val="NormalWeb"/>
        <w:spacing w:before="0" w:beforeAutospacing="0" w:after="0" w:afterAutospacing="0"/>
        <w:jc w:val="both"/>
        <w:rPr>
          <w:rFonts w:ascii="Arial" w:hAnsi="Arial" w:cs="Arial"/>
          <w:color w:val="0E101A"/>
          <w:sz w:val="20"/>
          <w:szCs w:val="20"/>
        </w:rPr>
      </w:pPr>
      <w:r w:rsidRPr="00370BB1">
        <w:rPr>
          <w:rStyle w:val="16"/>
          <w:rFonts w:ascii="Arial" w:eastAsia="Times New Roman" w:hAnsi="Arial" w:cs="Arial" w:hint="default"/>
          <w:color w:val="0E101A"/>
          <w:sz w:val="20"/>
          <w:szCs w:val="20"/>
        </w:rPr>
        <w:t>3.1 Demographic Information of the Respondents</w:t>
      </w:r>
      <w:r w:rsidRPr="00370BB1">
        <w:rPr>
          <w:rFonts w:ascii="Arial" w:hAnsi="Arial" w:cs="Arial"/>
          <w:color w:val="0E101A"/>
          <w:sz w:val="20"/>
          <w:szCs w:val="20"/>
        </w:rPr>
        <w:t xml:space="preserve"> </w:t>
      </w:r>
    </w:p>
    <w:p w:rsidR="00C413B5" w:rsidRPr="00370BB1" w:rsidRDefault="00C413B5" w:rsidP="00C413B5">
      <w:pPr>
        <w:pStyle w:val="NormalWeb"/>
        <w:spacing w:before="0" w:beforeAutospacing="0" w:after="0" w:afterAutospacing="0"/>
        <w:jc w:val="both"/>
        <w:rPr>
          <w:rFonts w:ascii="Arial" w:hAnsi="Arial" w:cs="Arial"/>
          <w:color w:val="0E101A"/>
          <w:sz w:val="20"/>
          <w:szCs w:val="20"/>
        </w:rPr>
      </w:pPr>
      <w:r w:rsidRPr="00370BB1">
        <w:rPr>
          <w:rFonts w:ascii="Arial" w:hAnsi="Arial" w:cs="Arial"/>
          <w:color w:val="0E101A"/>
          <w:sz w:val="20"/>
          <w:szCs w:val="20"/>
        </w:rPr>
        <w:t xml:space="preserve">The result of the demographic information of the selected secondary school students in the Ibadan metropolis revealed that the majority, 340 (68.0%) of the selected secondary school students, were female, this is due to the accessibility and availability of the female respondents, while more than half 270 (54.0%) of the respondents were within the age group of 16 to 17 years,  also, 150(30%) of the respondents fall between the age range of 12 to 15 years, while, 80(16%) of the respondents fall between the age range of 18 years and above. </w:t>
      </w:r>
    </w:p>
    <w:p w:rsidR="00C413B5" w:rsidRPr="00370BB1" w:rsidRDefault="00C413B5" w:rsidP="00C413B5">
      <w:pPr>
        <w:pStyle w:val="NormalWeb"/>
        <w:spacing w:before="0" w:beforeAutospacing="0" w:after="0" w:afterAutospacing="0"/>
        <w:jc w:val="both"/>
        <w:rPr>
          <w:rFonts w:ascii="Arial" w:hAnsi="Arial" w:cs="Arial"/>
          <w:color w:val="0E101A"/>
          <w:sz w:val="20"/>
          <w:szCs w:val="20"/>
        </w:rPr>
      </w:pPr>
      <w:r w:rsidRPr="00370BB1">
        <w:rPr>
          <w:rFonts w:ascii="Arial" w:hAnsi="Arial" w:cs="Arial"/>
          <w:color w:val="0E101A"/>
          <w:sz w:val="20"/>
          <w:szCs w:val="20"/>
        </w:rPr>
        <w:t xml:space="preserve"> </w:t>
      </w:r>
    </w:p>
    <w:p w:rsidR="00C413B5" w:rsidRPr="00370BB1" w:rsidRDefault="00C413B5" w:rsidP="00C413B5">
      <w:pPr>
        <w:pStyle w:val="NormalWeb"/>
        <w:spacing w:before="0" w:beforeAutospacing="0" w:after="0" w:afterAutospacing="0"/>
        <w:jc w:val="both"/>
        <w:rPr>
          <w:rFonts w:ascii="Arial" w:hAnsi="Arial" w:cs="Arial"/>
          <w:color w:val="0E101A"/>
          <w:sz w:val="20"/>
          <w:szCs w:val="20"/>
        </w:rPr>
      </w:pPr>
      <w:r w:rsidRPr="00370BB1">
        <w:rPr>
          <w:rStyle w:val="16"/>
          <w:rFonts w:ascii="Arial" w:eastAsia="Times New Roman" w:hAnsi="Arial" w:cs="Arial" w:hint="default"/>
          <w:color w:val="0E101A"/>
          <w:sz w:val="20"/>
          <w:szCs w:val="20"/>
        </w:rPr>
        <w:t>3.2 Patterns of internet and mobile game addictions</w:t>
      </w:r>
    </w:p>
    <w:p w:rsidR="00C413B5" w:rsidRPr="00370BB1" w:rsidRDefault="00C413B5" w:rsidP="00C413B5">
      <w:pPr>
        <w:pStyle w:val="NormalWeb"/>
        <w:spacing w:before="0" w:beforeAutospacing="0" w:after="0" w:afterAutospacing="0"/>
        <w:jc w:val="both"/>
        <w:rPr>
          <w:rFonts w:ascii="Arial" w:hAnsi="Arial" w:cs="Arial"/>
          <w:color w:val="0E101A"/>
          <w:sz w:val="20"/>
          <w:szCs w:val="20"/>
        </w:rPr>
      </w:pPr>
      <w:r w:rsidRPr="00370BB1">
        <w:rPr>
          <w:rFonts w:ascii="Arial" w:hAnsi="Arial" w:cs="Arial"/>
          <w:color w:val="0E101A"/>
          <w:sz w:val="20"/>
          <w:szCs w:val="20"/>
        </w:rPr>
        <w:t xml:space="preserve">To ascertain the pattern of internet addiction among the participants, the test of norm analysis was carried out. The result is presented in Table 1. The overall internet addiction scale consists of twenty statements and five measures (Rarely, occasionally, frequently, often and always). The twenty statements were multiplied by five measures, which gave a score of 100. The division of 100 by 3 gives 33.3. Thus, the scale between 0-33.3 shows a mild level of internet addiction. The scale between 33.4 - 66.7 indicates a </w:t>
      </w:r>
      <w:r w:rsidRPr="00370BB1">
        <w:rPr>
          <w:rFonts w:ascii="Arial" w:hAnsi="Arial" w:cs="Arial"/>
          <w:color w:val="0E101A"/>
          <w:sz w:val="20"/>
          <w:szCs w:val="20"/>
        </w:rPr>
        <w:lastRenderedPageBreak/>
        <w:t xml:space="preserve">moderate level of internet addiction. The scale between 66.8- 100 indicates the severe level of internet addiction. </w:t>
      </w:r>
    </w:p>
    <w:p w:rsidR="00C413B5" w:rsidRPr="00370BB1" w:rsidRDefault="00C413B5" w:rsidP="00C413B5">
      <w:pPr>
        <w:jc w:val="both"/>
        <w:rPr>
          <w:color w:val="000000"/>
          <w:sz w:val="20"/>
          <w:szCs w:val="20"/>
        </w:rPr>
      </w:pPr>
      <w:r w:rsidRPr="00370BB1">
        <w:rPr>
          <w:color w:val="000000"/>
          <w:sz w:val="20"/>
          <w:szCs w:val="20"/>
        </w:rPr>
        <w:t xml:space="preserve"> </w:t>
      </w:r>
    </w:p>
    <w:p w:rsidR="00C413B5" w:rsidRPr="00370BB1" w:rsidRDefault="00C413B5" w:rsidP="00C413B5">
      <w:pPr>
        <w:ind w:left="1080" w:hanging="1080"/>
        <w:jc w:val="both"/>
        <w:rPr>
          <w:color w:val="000000"/>
          <w:sz w:val="20"/>
          <w:szCs w:val="20"/>
        </w:rPr>
      </w:pPr>
      <w:r w:rsidRPr="00370BB1">
        <w:rPr>
          <w:b/>
          <w:color w:val="000000"/>
          <w:sz w:val="20"/>
          <w:szCs w:val="20"/>
        </w:rPr>
        <w:t xml:space="preserve">Table 1. </w:t>
      </w:r>
      <w:r w:rsidRPr="00370BB1">
        <w:rPr>
          <w:bCs/>
          <w:i/>
          <w:iCs/>
          <w:color w:val="000000"/>
          <w:sz w:val="20"/>
          <w:szCs w:val="20"/>
        </w:rPr>
        <w:t>Test of Norm Showing Pattern of Internet Addiction and Mobile Game Addiction</w:t>
      </w:r>
    </w:p>
    <w:tbl>
      <w:tblPr>
        <w:tblW w:w="7653" w:type="dxa"/>
        <w:jc w:val="center"/>
        <w:tblBorders>
          <w:top w:val="single" w:sz="12" w:space="0" w:color="000000"/>
          <w:bottom w:val="single" w:sz="12" w:space="0" w:color="000000"/>
        </w:tblBorders>
        <w:tblLook w:val="04A0" w:firstRow="1" w:lastRow="0" w:firstColumn="1" w:lastColumn="0" w:noHBand="0" w:noVBand="1"/>
      </w:tblPr>
      <w:tblGrid>
        <w:gridCol w:w="1807"/>
        <w:gridCol w:w="1417"/>
        <w:gridCol w:w="1418"/>
        <w:gridCol w:w="1362"/>
        <w:gridCol w:w="1649"/>
      </w:tblGrid>
      <w:tr w:rsidR="00C413B5" w:rsidRPr="00370BB1" w:rsidTr="00B93633">
        <w:trPr>
          <w:trHeight w:val="150"/>
          <w:jc w:val="center"/>
        </w:trPr>
        <w:tc>
          <w:tcPr>
            <w:tcW w:w="1807" w:type="dxa"/>
            <w:tcBorders>
              <w:top w:val="single" w:sz="12" w:space="0" w:color="000000"/>
              <w:left w:val="nil"/>
              <w:bottom w:val="single" w:sz="12" w:space="0" w:color="000000"/>
              <w:right w:val="nil"/>
            </w:tcBorders>
          </w:tcPr>
          <w:p w:rsidR="00C413B5" w:rsidRPr="00370BB1" w:rsidRDefault="00C413B5">
            <w:pPr>
              <w:pStyle w:val="NoSpacing"/>
              <w:jc w:val="both"/>
              <w:rPr>
                <w:b/>
                <w:color w:val="000000"/>
                <w:sz w:val="20"/>
                <w:szCs w:val="20"/>
              </w:rPr>
            </w:pPr>
          </w:p>
        </w:tc>
        <w:tc>
          <w:tcPr>
            <w:tcW w:w="1417" w:type="dxa"/>
            <w:tcBorders>
              <w:top w:val="single" w:sz="12" w:space="0" w:color="000000"/>
              <w:left w:val="nil"/>
              <w:bottom w:val="single" w:sz="12" w:space="0" w:color="000000"/>
              <w:right w:val="nil"/>
            </w:tcBorders>
            <w:hideMark/>
          </w:tcPr>
          <w:p w:rsidR="00C413B5" w:rsidRPr="00370BB1" w:rsidRDefault="00C413B5">
            <w:pPr>
              <w:pStyle w:val="NoSpacing"/>
              <w:jc w:val="both"/>
              <w:rPr>
                <w:b/>
                <w:color w:val="000000"/>
                <w:sz w:val="20"/>
                <w:szCs w:val="20"/>
              </w:rPr>
            </w:pPr>
            <w:r w:rsidRPr="00370BB1">
              <w:rPr>
                <w:b/>
                <w:color w:val="000000"/>
                <w:sz w:val="20"/>
                <w:szCs w:val="20"/>
              </w:rPr>
              <w:t>Interval</w:t>
            </w:r>
          </w:p>
        </w:tc>
        <w:tc>
          <w:tcPr>
            <w:tcW w:w="1418" w:type="dxa"/>
            <w:tcBorders>
              <w:top w:val="single" w:sz="12" w:space="0" w:color="000000"/>
              <w:left w:val="nil"/>
              <w:bottom w:val="single" w:sz="12" w:space="0" w:color="000000"/>
              <w:right w:val="nil"/>
            </w:tcBorders>
            <w:hideMark/>
          </w:tcPr>
          <w:p w:rsidR="00C413B5" w:rsidRPr="00370BB1" w:rsidRDefault="00C413B5">
            <w:pPr>
              <w:pStyle w:val="NoSpacing"/>
              <w:jc w:val="both"/>
              <w:rPr>
                <w:b/>
                <w:color w:val="000000"/>
                <w:sz w:val="20"/>
                <w:szCs w:val="20"/>
              </w:rPr>
            </w:pPr>
            <w:r w:rsidRPr="00370BB1">
              <w:rPr>
                <w:b/>
                <w:color w:val="000000"/>
                <w:sz w:val="20"/>
                <w:szCs w:val="20"/>
              </w:rPr>
              <w:t>Level</w:t>
            </w:r>
          </w:p>
        </w:tc>
        <w:tc>
          <w:tcPr>
            <w:tcW w:w="1362" w:type="dxa"/>
            <w:tcBorders>
              <w:top w:val="single" w:sz="12" w:space="0" w:color="000000"/>
              <w:left w:val="nil"/>
              <w:bottom w:val="single" w:sz="12" w:space="0" w:color="000000"/>
              <w:right w:val="nil"/>
            </w:tcBorders>
            <w:hideMark/>
          </w:tcPr>
          <w:p w:rsidR="00C413B5" w:rsidRPr="00370BB1" w:rsidRDefault="00C413B5">
            <w:pPr>
              <w:pStyle w:val="NoSpacing"/>
              <w:jc w:val="both"/>
              <w:rPr>
                <w:b/>
                <w:color w:val="000000"/>
                <w:sz w:val="20"/>
                <w:szCs w:val="20"/>
              </w:rPr>
            </w:pPr>
            <w:r w:rsidRPr="00370BB1">
              <w:rPr>
                <w:b/>
                <w:color w:val="000000"/>
                <w:sz w:val="20"/>
                <w:szCs w:val="20"/>
              </w:rPr>
              <w:t>Frequency</w:t>
            </w:r>
          </w:p>
        </w:tc>
        <w:tc>
          <w:tcPr>
            <w:tcW w:w="1649" w:type="dxa"/>
            <w:tcBorders>
              <w:top w:val="single" w:sz="12" w:space="0" w:color="000000"/>
              <w:left w:val="nil"/>
              <w:bottom w:val="single" w:sz="12" w:space="0" w:color="000000"/>
              <w:right w:val="nil"/>
            </w:tcBorders>
            <w:hideMark/>
          </w:tcPr>
          <w:p w:rsidR="00C413B5" w:rsidRPr="00370BB1" w:rsidRDefault="00C413B5">
            <w:pPr>
              <w:pStyle w:val="NoSpacing"/>
              <w:jc w:val="both"/>
              <w:rPr>
                <w:b/>
                <w:color w:val="000000"/>
                <w:sz w:val="20"/>
                <w:szCs w:val="20"/>
              </w:rPr>
            </w:pPr>
            <w:r w:rsidRPr="00370BB1">
              <w:rPr>
                <w:b/>
                <w:color w:val="000000"/>
                <w:sz w:val="20"/>
                <w:szCs w:val="20"/>
              </w:rPr>
              <w:t>Percentage (%)</w:t>
            </w:r>
          </w:p>
        </w:tc>
      </w:tr>
      <w:tr w:rsidR="00C413B5" w:rsidRPr="00370BB1" w:rsidTr="00C413B5">
        <w:trPr>
          <w:trHeight w:val="323"/>
          <w:jc w:val="center"/>
        </w:trPr>
        <w:tc>
          <w:tcPr>
            <w:tcW w:w="1807" w:type="dxa"/>
            <w:tcBorders>
              <w:top w:val="single" w:sz="12" w:space="0" w:color="000000"/>
              <w:left w:val="nil"/>
              <w:bottom w:val="nil"/>
              <w:right w:val="nil"/>
            </w:tcBorders>
          </w:tcPr>
          <w:p w:rsidR="00C413B5" w:rsidRPr="00370BB1" w:rsidRDefault="00C413B5">
            <w:pPr>
              <w:pStyle w:val="NoSpacing"/>
              <w:jc w:val="both"/>
              <w:rPr>
                <w:color w:val="000000"/>
                <w:sz w:val="20"/>
                <w:szCs w:val="20"/>
              </w:rPr>
            </w:pPr>
          </w:p>
        </w:tc>
        <w:tc>
          <w:tcPr>
            <w:tcW w:w="1417" w:type="dxa"/>
            <w:tcBorders>
              <w:top w:val="single" w:sz="12" w:space="0" w:color="000000"/>
              <w:left w:val="nil"/>
              <w:bottom w:val="nil"/>
              <w:right w:val="nil"/>
            </w:tcBorders>
            <w:hideMark/>
          </w:tcPr>
          <w:p w:rsidR="00C413B5" w:rsidRPr="00370BB1" w:rsidRDefault="00C413B5">
            <w:pPr>
              <w:pStyle w:val="NoSpacing"/>
              <w:jc w:val="both"/>
              <w:rPr>
                <w:color w:val="000000"/>
                <w:sz w:val="20"/>
                <w:szCs w:val="20"/>
              </w:rPr>
            </w:pPr>
            <w:r w:rsidRPr="00370BB1">
              <w:rPr>
                <w:color w:val="000000"/>
                <w:sz w:val="20"/>
                <w:szCs w:val="20"/>
              </w:rPr>
              <w:t>0-33.3</w:t>
            </w:r>
          </w:p>
        </w:tc>
        <w:tc>
          <w:tcPr>
            <w:tcW w:w="1418" w:type="dxa"/>
            <w:tcBorders>
              <w:top w:val="single" w:sz="12" w:space="0" w:color="000000"/>
              <w:left w:val="nil"/>
              <w:bottom w:val="nil"/>
              <w:right w:val="nil"/>
            </w:tcBorders>
            <w:hideMark/>
          </w:tcPr>
          <w:p w:rsidR="00C413B5" w:rsidRPr="00370BB1" w:rsidRDefault="00C413B5">
            <w:pPr>
              <w:pStyle w:val="NoSpacing"/>
              <w:jc w:val="both"/>
              <w:rPr>
                <w:color w:val="000000"/>
                <w:sz w:val="20"/>
                <w:szCs w:val="20"/>
              </w:rPr>
            </w:pPr>
            <w:r w:rsidRPr="00370BB1">
              <w:rPr>
                <w:color w:val="000000"/>
                <w:sz w:val="20"/>
                <w:szCs w:val="20"/>
              </w:rPr>
              <w:t xml:space="preserve">Mild </w:t>
            </w:r>
          </w:p>
        </w:tc>
        <w:tc>
          <w:tcPr>
            <w:tcW w:w="1362" w:type="dxa"/>
            <w:tcBorders>
              <w:top w:val="single" w:sz="12" w:space="0" w:color="000000"/>
              <w:left w:val="nil"/>
              <w:bottom w:val="nil"/>
              <w:right w:val="nil"/>
            </w:tcBorders>
            <w:hideMark/>
          </w:tcPr>
          <w:p w:rsidR="00C413B5" w:rsidRPr="00370BB1" w:rsidRDefault="00C413B5">
            <w:pPr>
              <w:pStyle w:val="NoSpacing"/>
              <w:jc w:val="both"/>
              <w:rPr>
                <w:color w:val="000000"/>
                <w:sz w:val="20"/>
                <w:szCs w:val="20"/>
              </w:rPr>
            </w:pPr>
            <w:r w:rsidRPr="00370BB1">
              <w:rPr>
                <w:color w:val="000000"/>
                <w:sz w:val="20"/>
                <w:szCs w:val="20"/>
              </w:rPr>
              <w:t>70</w:t>
            </w:r>
          </w:p>
        </w:tc>
        <w:tc>
          <w:tcPr>
            <w:tcW w:w="1649" w:type="dxa"/>
            <w:tcBorders>
              <w:top w:val="single" w:sz="12" w:space="0" w:color="000000"/>
              <w:left w:val="nil"/>
              <w:bottom w:val="nil"/>
              <w:right w:val="nil"/>
            </w:tcBorders>
            <w:hideMark/>
          </w:tcPr>
          <w:p w:rsidR="00C413B5" w:rsidRPr="00370BB1" w:rsidRDefault="00C413B5">
            <w:pPr>
              <w:pStyle w:val="NoSpacing"/>
              <w:jc w:val="both"/>
              <w:rPr>
                <w:color w:val="000000"/>
                <w:sz w:val="20"/>
                <w:szCs w:val="20"/>
              </w:rPr>
            </w:pPr>
            <w:r w:rsidRPr="00370BB1">
              <w:rPr>
                <w:color w:val="000000"/>
                <w:sz w:val="20"/>
                <w:szCs w:val="20"/>
              </w:rPr>
              <w:t>14.0%</w:t>
            </w:r>
          </w:p>
        </w:tc>
      </w:tr>
      <w:tr w:rsidR="00C413B5" w:rsidRPr="00370BB1" w:rsidTr="00C413B5">
        <w:trPr>
          <w:trHeight w:val="341"/>
          <w:jc w:val="center"/>
        </w:trPr>
        <w:tc>
          <w:tcPr>
            <w:tcW w:w="1807" w:type="dxa"/>
            <w:tcBorders>
              <w:top w:val="nil"/>
              <w:left w:val="nil"/>
              <w:bottom w:val="nil"/>
              <w:right w:val="nil"/>
            </w:tcBorders>
            <w:hideMark/>
          </w:tcPr>
          <w:p w:rsidR="00C413B5" w:rsidRPr="00370BB1" w:rsidRDefault="00C413B5">
            <w:pPr>
              <w:pStyle w:val="NoSpacing"/>
              <w:jc w:val="both"/>
              <w:rPr>
                <w:color w:val="000000"/>
                <w:sz w:val="20"/>
                <w:szCs w:val="20"/>
              </w:rPr>
            </w:pPr>
            <w:r w:rsidRPr="00370BB1">
              <w:rPr>
                <w:color w:val="000000"/>
                <w:sz w:val="20"/>
                <w:szCs w:val="20"/>
              </w:rPr>
              <w:t>Internet addiction</w:t>
            </w:r>
          </w:p>
        </w:tc>
        <w:tc>
          <w:tcPr>
            <w:tcW w:w="1417" w:type="dxa"/>
            <w:tcBorders>
              <w:top w:val="nil"/>
              <w:left w:val="nil"/>
              <w:bottom w:val="nil"/>
              <w:right w:val="nil"/>
            </w:tcBorders>
            <w:hideMark/>
          </w:tcPr>
          <w:p w:rsidR="00C413B5" w:rsidRPr="00370BB1" w:rsidRDefault="00C413B5">
            <w:pPr>
              <w:pStyle w:val="NoSpacing"/>
              <w:jc w:val="both"/>
              <w:rPr>
                <w:color w:val="000000"/>
                <w:sz w:val="20"/>
                <w:szCs w:val="20"/>
              </w:rPr>
            </w:pPr>
            <w:r w:rsidRPr="00370BB1">
              <w:rPr>
                <w:color w:val="000000"/>
                <w:sz w:val="20"/>
                <w:szCs w:val="20"/>
              </w:rPr>
              <w:t>33.4-66.7</w:t>
            </w:r>
          </w:p>
        </w:tc>
        <w:tc>
          <w:tcPr>
            <w:tcW w:w="1418" w:type="dxa"/>
            <w:tcBorders>
              <w:top w:val="nil"/>
              <w:left w:val="nil"/>
              <w:bottom w:val="nil"/>
              <w:right w:val="nil"/>
            </w:tcBorders>
            <w:hideMark/>
          </w:tcPr>
          <w:p w:rsidR="00C413B5" w:rsidRPr="00370BB1" w:rsidRDefault="00C413B5">
            <w:pPr>
              <w:pStyle w:val="NoSpacing"/>
              <w:jc w:val="both"/>
              <w:rPr>
                <w:color w:val="000000"/>
                <w:sz w:val="20"/>
                <w:szCs w:val="20"/>
              </w:rPr>
            </w:pPr>
            <w:r w:rsidRPr="00370BB1">
              <w:rPr>
                <w:color w:val="000000"/>
                <w:sz w:val="20"/>
                <w:szCs w:val="20"/>
              </w:rPr>
              <w:t xml:space="preserve">Moderate </w:t>
            </w:r>
          </w:p>
        </w:tc>
        <w:tc>
          <w:tcPr>
            <w:tcW w:w="1362" w:type="dxa"/>
            <w:tcBorders>
              <w:top w:val="nil"/>
              <w:left w:val="nil"/>
              <w:bottom w:val="nil"/>
              <w:right w:val="nil"/>
            </w:tcBorders>
            <w:hideMark/>
          </w:tcPr>
          <w:p w:rsidR="00C413B5" w:rsidRPr="00370BB1" w:rsidRDefault="00C413B5">
            <w:pPr>
              <w:pStyle w:val="NoSpacing"/>
              <w:jc w:val="both"/>
              <w:rPr>
                <w:color w:val="000000"/>
                <w:sz w:val="20"/>
                <w:szCs w:val="20"/>
              </w:rPr>
            </w:pPr>
            <w:r w:rsidRPr="00370BB1">
              <w:rPr>
                <w:color w:val="000000"/>
                <w:sz w:val="20"/>
                <w:szCs w:val="20"/>
              </w:rPr>
              <w:t>390</w:t>
            </w:r>
          </w:p>
        </w:tc>
        <w:tc>
          <w:tcPr>
            <w:tcW w:w="1649" w:type="dxa"/>
            <w:tcBorders>
              <w:top w:val="nil"/>
              <w:left w:val="nil"/>
              <w:bottom w:val="nil"/>
              <w:right w:val="nil"/>
            </w:tcBorders>
            <w:hideMark/>
          </w:tcPr>
          <w:p w:rsidR="00C413B5" w:rsidRPr="00370BB1" w:rsidRDefault="00C413B5">
            <w:pPr>
              <w:pStyle w:val="NoSpacing"/>
              <w:jc w:val="both"/>
              <w:rPr>
                <w:color w:val="000000"/>
                <w:sz w:val="20"/>
                <w:szCs w:val="20"/>
              </w:rPr>
            </w:pPr>
            <w:r w:rsidRPr="00370BB1">
              <w:rPr>
                <w:color w:val="000000"/>
                <w:sz w:val="20"/>
                <w:szCs w:val="20"/>
              </w:rPr>
              <w:t>78.0%</w:t>
            </w:r>
          </w:p>
        </w:tc>
      </w:tr>
      <w:tr w:rsidR="00C413B5" w:rsidRPr="00370BB1" w:rsidTr="00C413B5">
        <w:trPr>
          <w:trHeight w:val="341"/>
          <w:jc w:val="center"/>
        </w:trPr>
        <w:tc>
          <w:tcPr>
            <w:tcW w:w="1807" w:type="dxa"/>
            <w:tcBorders>
              <w:top w:val="nil"/>
              <w:left w:val="nil"/>
              <w:bottom w:val="single" w:sz="12" w:space="0" w:color="000000"/>
              <w:right w:val="nil"/>
            </w:tcBorders>
          </w:tcPr>
          <w:p w:rsidR="00C413B5" w:rsidRPr="00370BB1" w:rsidRDefault="00C413B5">
            <w:pPr>
              <w:pStyle w:val="NoSpacing"/>
              <w:jc w:val="both"/>
              <w:rPr>
                <w:color w:val="000000"/>
                <w:sz w:val="20"/>
                <w:szCs w:val="20"/>
              </w:rPr>
            </w:pPr>
          </w:p>
        </w:tc>
        <w:tc>
          <w:tcPr>
            <w:tcW w:w="1417" w:type="dxa"/>
            <w:tcBorders>
              <w:top w:val="nil"/>
              <w:left w:val="nil"/>
              <w:bottom w:val="single" w:sz="12" w:space="0" w:color="000000"/>
              <w:right w:val="nil"/>
            </w:tcBorders>
            <w:hideMark/>
          </w:tcPr>
          <w:p w:rsidR="00C413B5" w:rsidRPr="00370BB1" w:rsidRDefault="00C413B5">
            <w:pPr>
              <w:pStyle w:val="NoSpacing"/>
              <w:jc w:val="both"/>
              <w:rPr>
                <w:color w:val="000000"/>
                <w:sz w:val="20"/>
                <w:szCs w:val="20"/>
              </w:rPr>
            </w:pPr>
            <w:r w:rsidRPr="00370BB1">
              <w:rPr>
                <w:color w:val="000000"/>
                <w:sz w:val="20"/>
                <w:szCs w:val="20"/>
              </w:rPr>
              <w:t>66.8-100</w:t>
            </w:r>
          </w:p>
        </w:tc>
        <w:tc>
          <w:tcPr>
            <w:tcW w:w="1418" w:type="dxa"/>
            <w:tcBorders>
              <w:top w:val="nil"/>
              <w:left w:val="nil"/>
              <w:bottom w:val="single" w:sz="12" w:space="0" w:color="000000"/>
              <w:right w:val="nil"/>
            </w:tcBorders>
            <w:hideMark/>
          </w:tcPr>
          <w:p w:rsidR="00C413B5" w:rsidRPr="00370BB1" w:rsidRDefault="00C413B5">
            <w:pPr>
              <w:pStyle w:val="NoSpacing"/>
              <w:jc w:val="both"/>
              <w:rPr>
                <w:color w:val="000000"/>
                <w:sz w:val="20"/>
                <w:szCs w:val="20"/>
              </w:rPr>
            </w:pPr>
            <w:r w:rsidRPr="00370BB1">
              <w:rPr>
                <w:color w:val="000000"/>
                <w:sz w:val="20"/>
                <w:szCs w:val="20"/>
              </w:rPr>
              <w:t xml:space="preserve">Severe </w:t>
            </w:r>
          </w:p>
        </w:tc>
        <w:tc>
          <w:tcPr>
            <w:tcW w:w="1362" w:type="dxa"/>
            <w:tcBorders>
              <w:top w:val="nil"/>
              <w:left w:val="nil"/>
              <w:bottom w:val="single" w:sz="12" w:space="0" w:color="000000"/>
              <w:right w:val="nil"/>
            </w:tcBorders>
            <w:hideMark/>
          </w:tcPr>
          <w:p w:rsidR="00C413B5" w:rsidRPr="00370BB1" w:rsidRDefault="00C413B5">
            <w:pPr>
              <w:pStyle w:val="NoSpacing"/>
              <w:jc w:val="both"/>
              <w:rPr>
                <w:color w:val="000000"/>
                <w:sz w:val="20"/>
                <w:szCs w:val="20"/>
              </w:rPr>
            </w:pPr>
            <w:r w:rsidRPr="00370BB1">
              <w:rPr>
                <w:color w:val="000000"/>
                <w:sz w:val="20"/>
                <w:szCs w:val="20"/>
              </w:rPr>
              <w:t>40</w:t>
            </w:r>
          </w:p>
        </w:tc>
        <w:tc>
          <w:tcPr>
            <w:tcW w:w="1649" w:type="dxa"/>
            <w:tcBorders>
              <w:top w:val="nil"/>
              <w:left w:val="nil"/>
              <w:bottom w:val="single" w:sz="12" w:space="0" w:color="000000"/>
              <w:right w:val="nil"/>
            </w:tcBorders>
            <w:hideMark/>
          </w:tcPr>
          <w:p w:rsidR="00C413B5" w:rsidRPr="00370BB1" w:rsidRDefault="00C413B5">
            <w:pPr>
              <w:pStyle w:val="NoSpacing"/>
              <w:jc w:val="both"/>
              <w:rPr>
                <w:color w:val="000000"/>
                <w:sz w:val="20"/>
                <w:szCs w:val="20"/>
              </w:rPr>
            </w:pPr>
            <w:r w:rsidRPr="00370BB1">
              <w:rPr>
                <w:color w:val="000000"/>
                <w:sz w:val="20"/>
                <w:szCs w:val="20"/>
              </w:rPr>
              <w:t>8.0%</w:t>
            </w:r>
          </w:p>
        </w:tc>
      </w:tr>
      <w:tr w:rsidR="00C413B5" w:rsidRPr="00370BB1" w:rsidTr="00C413B5">
        <w:trPr>
          <w:trHeight w:val="536"/>
          <w:jc w:val="center"/>
        </w:trPr>
        <w:tc>
          <w:tcPr>
            <w:tcW w:w="1807" w:type="dxa"/>
            <w:tcBorders>
              <w:top w:val="single" w:sz="12" w:space="0" w:color="000000"/>
              <w:left w:val="nil"/>
              <w:bottom w:val="nil"/>
              <w:right w:val="nil"/>
            </w:tcBorders>
            <w:hideMark/>
          </w:tcPr>
          <w:p w:rsidR="00C413B5" w:rsidRPr="00370BB1" w:rsidRDefault="00C413B5">
            <w:pPr>
              <w:pStyle w:val="NoSpacing"/>
              <w:jc w:val="both"/>
              <w:rPr>
                <w:color w:val="000000"/>
                <w:sz w:val="20"/>
                <w:szCs w:val="20"/>
              </w:rPr>
            </w:pPr>
            <w:r w:rsidRPr="00370BB1">
              <w:rPr>
                <w:color w:val="000000"/>
                <w:sz w:val="20"/>
                <w:szCs w:val="20"/>
              </w:rPr>
              <w:t>Mobile game addiction</w:t>
            </w:r>
          </w:p>
        </w:tc>
        <w:tc>
          <w:tcPr>
            <w:tcW w:w="1417" w:type="dxa"/>
            <w:tcBorders>
              <w:top w:val="single" w:sz="12" w:space="0" w:color="000000"/>
              <w:left w:val="nil"/>
              <w:bottom w:val="nil"/>
              <w:right w:val="nil"/>
            </w:tcBorders>
            <w:hideMark/>
          </w:tcPr>
          <w:p w:rsidR="00C413B5" w:rsidRPr="00370BB1" w:rsidRDefault="00C413B5">
            <w:pPr>
              <w:pStyle w:val="NoSpacing"/>
              <w:jc w:val="both"/>
              <w:rPr>
                <w:color w:val="000000"/>
                <w:sz w:val="20"/>
                <w:szCs w:val="20"/>
              </w:rPr>
            </w:pPr>
            <w:r w:rsidRPr="00370BB1">
              <w:rPr>
                <w:color w:val="000000"/>
                <w:sz w:val="20"/>
                <w:szCs w:val="20"/>
              </w:rPr>
              <w:t>0-33.3</w:t>
            </w:r>
          </w:p>
        </w:tc>
        <w:tc>
          <w:tcPr>
            <w:tcW w:w="1418" w:type="dxa"/>
            <w:tcBorders>
              <w:top w:val="single" w:sz="12" w:space="0" w:color="000000"/>
              <w:left w:val="nil"/>
              <w:bottom w:val="nil"/>
              <w:right w:val="nil"/>
            </w:tcBorders>
            <w:hideMark/>
          </w:tcPr>
          <w:p w:rsidR="00C413B5" w:rsidRPr="00370BB1" w:rsidRDefault="00C413B5">
            <w:pPr>
              <w:pStyle w:val="NoSpacing"/>
              <w:jc w:val="both"/>
              <w:rPr>
                <w:color w:val="000000"/>
                <w:sz w:val="20"/>
                <w:szCs w:val="20"/>
              </w:rPr>
            </w:pPr>
            <w:r w:rsidRPr="00370BB1">
              <w:rPr>
                <w:color w:val="000000"/>
                <w:sz w:val="20"/>
                <w:szCs w:val="20"/>
              </w:rPr>
              <w:t xml:space="preserve">Mild </w:t>
            </w:r>
          </w:p>
        </w:tc>
        <w:tc>
          <w:tcPr>
            <w:tcW w:w="1362" w:type="dxa"/>
            <w:tcBorders>
              <w:top w:val="single" w:sz="12" w:space="0" w:color="000000"/>
              <w:left w:val="nil"/>
              <w:bottom w:val="nil"/>
              <w:right w:val="nil"/>
            </w:tcBorders>
            <w:hideMark/>
          </w:tcPr>
          <w:p w:rsidR="00C413B5" w:rsidRPr="00370BB1" w:rsidRDefault="00C413B5">
            <w:pPr>
              <w:pStyle w:val="NoSpacing"/>
              <w:jc w:val="both"/>
              <w:rPr>
                <w:color w:val="000000"/>
                <w:sz w:val="20"/>
                <w:szCs w:val="20"/>
              </w:rPr>
            </w:pPr>
            <w:r w:rsidRPr="00370BB1">
              <w:rPr>
                <w:color w:val="000000"/>
                <w:sz w:val="20"/>
                <w:szCs w:val="20"/>
              </w:rPr>
              <w:t>210</w:t>
            </w:r>
          </w:p>
        </w:tc>
        <w:tc>
          <w:tcPr>
            <w:tcW w:w="1649" w:type="dxa"/>
            <w:tcBorders>
              <w:top w:val="single" w:sz="12" w:space="0" w:color="000000"/>
              <w:left w:val="nil"/>
              <w:bottom w:val="nil"/>
              <w:right w:val="nil"/>
            </w:tcBorders>
            <w:hideMark/>
          </w:tcPr>
          <w:p w:rsidR="00C413B5" w:rsidRPr="00370BB1" w:rsidRDefault="00C413B5">
            <w:pPr>
              <w:pStyle w:val="NoSpacing"/>
              <w:jc w:val="both"/>
              <w:rPr>
                <w:color w:val="000000"/>
                <w:sz w:val="20"/>
                <w:szCs w:val="20"/>
              </w:rPr>
            </w:pPr>
            <w:r w:rsidRPr="00370BB1">
              <w:rPr>
                <w:color w:val="000000"/>
                <w:sz w:val="20"/>
                <w:szCs w:val="20"/>
              </w:rPr>
              <w:t>42.0%</w:t>
            </w:r>
          </w:p>
        </w:tc>
      </w:tr>
      <w:tr w:rsidR="00C413B5" w:rsidRPr="00370BB1" w:rsidTr="00C413B5">
        <w:trPr>
          <w:trHeight w:val="341"/>
          <w:jc w:val="center"/>
        </w:trPr>
        <w:tc>
          <w:tcPr>
            <w:tcW w:w="1807" w:type="dxa"/>
            <w:tcBorders>
              <w:top w:val="nil"/>
              <w:left w:val="nil"/>
              <w:bottom w:val="nil"/>
              <w:right w:val="nil"/>
            </w:tcBorders>
          </w:tcPr>
          <w:p w:rsidR="00C413B5" w:rsidRPr="00370BB1" w:rsidRDefault="00C413B5">
            <w:pPr>
              <w:pStyle w:val="NoSpacing"/>
              <w:jc w:val="both"/>
              <w:rPr>
                <w:color w:val="000000"/>
                <w:sz w:val="20"/>
                <w:szCs w:val="20"/>
              </w:rPr>
            </w:pPr>
          </w:p>
        </w:tc>
        <w:tc>
          <w:tcPr>
            <w:tcW w:w="1417" w:type="dxa"/>
            <w:tcBorders>
              <w:top w:val="nil"/>
              <w:left w:val="nil"/>
              <w:bottom w:val="nil"/>
              <w:right w:val="nil"/>
            </w:tcBorders>
            <w:hideMark/>
          </w:tcPr>
          <w:p w:rsidR="00C413B5" w:rsidRPr="00370BB1" w:rsidRDefault="00C413B5">
            <w:pPr>
              <w:pStyle w:val="NoSpacing"/>
              <w:jc w:val="both"/>
              <w:rPr>
                <w:color w:val="000000"/>
                <w:sz w:val="20"/>
                <w:szCs w:val="20"/>
              </w:rPr>
            </w:pPr>
            <w:r w:rsidRPr="00370BB1">
              <w:rPr>
                <w:color w:val="000000"/>
                <w:sz w:val="20"/>
                <w:szCs w:val="20"/>
              </w:rPr>
              <w:t>33.4-66.7</w:t>
            </w:r>
          </w:p>
        </w:tc>
        <w:tc>
          <w:tcPr>
            <w:tcW w:w="1418" w:type="dxa"/>
            <w:tcBorders>
              <w:top w:val="nil"/>
              <w:left w:val="nil"/>
              <w:bottom w:val="nil"/>
              <w:right w:val="nil"/>
            </w:tcBorders>
            <w:hideMark/>
          </w:tcPr>
          <w:p w:rsidR="00C413B5" w:rsidRPr="00370BB1" w:rsidRDefault="00C413B5">
            <w:pPr>
              <w:pStyle w:val="NoSpacing"/>
              <w:jc w:val="both"/>
              <w:rPr>
                <w:color w:val="000000"/>
                <w:sz w:val="20"/>
                <w:szCs w:val="20"/>
              </w:rPr>
            </w:pPr>
            <w:r w:rsidRPr="00370BB1">
              <w:rPr>
                <w:color w:val="000000"/>
                <w:sz w:val="20"/>
                <w:szCs w:val="20"/>
              </w:rPr>
              <w:t xml:space="preserve">Moderate </w:t>
            </w:r>
          </w:p>
        </w:tc>
        <w:tc>
          <w:tcPr>
            <w:tcW w:w="1362" w:type="dxa"/>
            <w:tcBorders>
              <w:top w:val="nil"/>
              <w:left w:val="nil"/>
              <w:bottom w:val="nil"/>
              <w:right w:val="nil"/>
            </w:tcBorders>
            <w:hideMark/>
          </w:tcPr>
          <w:p w:rsidR="00C413B5" w:rsidRPr="00370BB1" w:rsidRDefault="00C413B5">
            <w:pPr>
              <w:pStyle w:val="NoSpacing"/>
              <w:jc w:val="both"/>
              <w:rPr>
                <w:color w:val="000000"/>
                <w:sz w:val="20"/>
                <w:szCs w:val="20"/>
              </w:rPr>
            </w:pPr>
            <w:r w:rsidRPr="00370BB1">
              <w:rPr>
                <w:color w:val="000000"/>
                <w:sz w:val="20"/>
                <w:szCs w:val="20"/>
              </w:rPr>
              <w:t>280</w:t>
            </w:r>
          </w:p>
        </w:tc>
        <w:tc>
          <w:tcPr>
            <w:tcW w:w="1649" w:type="dxa"/>
            <w:tcBorders>
              <w:top w:val="nil"/>
              <w:left w:val="nil"/>
              <w:bottom w:val="nil"/>
              <w:right w:val="nil"/>
            </w:tcBorders>
            <w:hideMark/>
          </w:tcPr>
          <w:p w:rsidR="00C413B5" w:rsidRPr="00370BB1" w:rsidRDefault="00C413B5">
            <w:pPr>
              <w:pStyle w:val="NoSpacing"/>
              <w:jc w:val="both"/>
              <w:rPr>
                <w:color w:val="000000"/>
                <w:sz w:val="20"/>
                <w:szCs w:val="20"/>
              </w:rPr>
            </w:pPr>
            <w:r w:rsidRPr="00370BB1">
              <w:rPr>
                <w:color w:val="000000"/>
                <w:sz w:val="20"/>
                <w:szCs w:val="20"/>
              </w:rPr>
              <w:t>56.0%</w:t>
            </w:r>
          </w:p>
        </w:tc>
      </w:tr>
      <w:tr w:rsidR="00C413B5" w:rsidRPr="00370BB1" w:rsidTr="00C413B5">
        <w:trPr>
          <w:trHeight w:val="341"/>
          <w:jc w:val="center"/>
        </w:trPr>
        <w:tc>
          <w:tcPr>
            <w:tcW w:w="1807" w:type="dxa"/>
            <w:tcBorders>
              <w:top w:val="nil"/>
              <w:left w:val="nil"/>
              <w:bottom w:val="single" w:sz="12" w:space="0" w:color="000000"/>
              <w:right w:val="nil"/>
            </w:tcBorders>
          </w:tcPr>
          <w:p w:rsidR="00C413B5" w:rsidRPr="00370BB1" w:rsidRDefault="00C413B5">
            <w:pPr>
              <w:pStyle w:val="NoSpacing"/>
              <w:jc w:val="both"/>
              <w:rPr>
                <w:color w:val="000000"/>
                <w:sz w:val="20"/>
                <w:szCs w:val="20"/>
              </w:rPr>
            </w:pPr>
          </w:p>
        </w:tc>
        <w:tc>
          <w:tcPr>
            <w:tcW w:w="1417" w:type="dxa"/>
            <w:tcBorders>
              <w:top w:val="nil"/>
              <w:left w:val="nil"/>
              <w:bottom w:val="single" w:sz="12" w:space="0" w:color="000000"/>
              <w:right w:val="nil"/>
            </w:tcBorders>
            <w:hideMark/>
          </w:tcPr>
          <w:p w:rsidR="00C413B5" w:rsidRPr="00370BB1" w:rsidRDefault="00C413B5">
            <w:pPr>
              <w:pStyle w:val="NoSpacing"/>
              <w:jc w:val="both"/>
              <w:rPr>
                <w:color w:val="000000"/>
                <w:sz w:val="20"/>
                <w:szCs w:val="20"/>
              </w:rPr>
            </w:pPr>
            <w:r w:rsidRPr="00370BB1">
              <w:rPr>
                <w:color w:val="000000"/>
                <w:sz w:val="20"/>
                <w:szCs w:val="20"/>
              </w:rPr>
              <w:t>66.8-100</w:t>
            </w:r>
          </w:p>
        </w:tc>
        <w:tc>
          <w:tcPr>
            <w:tcW w:w="1418" w:type="dxa"/>
            <w:tcBorders>
              <w:top w:val="nil"/>
              <w:left w:val="nil"/>
              <w:bottom w:val="single" w:sz="12" w:space="0" w:color="000000"/>
              <w:right w:val="nil"/>
            </w:tcBorders>
            <w:hideMark/>
          </w:tcPr>
          <w:p w:rsidR="00C413B5" w:rsidRPr="00370BB1" w:rsidRDefault="00C413B5">
            <w:pPr>
              <w:pStyle w:val="NoSpacing"/>
              <w:jc w:val="both"/>
              <w:rPr>
                <w:color w:val="000000"/>
                <w:sz w:val="20"/>
                <w:szCs w:val="20"/>
              </w:rPr>
            </w:pPr>
            <w:r w:rsidRPr="00370BB1">
              <w:rPr>
                <w:color w:val="000000"/>
                <w:sz w:val="20"/>
                <w:szCs w:val="20"/>
              </w:rPr>
              <w:t xml:space="preserve">Severe </w:t>
            </w:r>
          </w:p>
        </w:tc>
        <w:tc>
          <w:tcPr>
            <w:tcW w:w="1362" w:type="dxa"/>
            <w:tcBorders>
              <w:top w:val="nil"/>
              <w:left w:val="nil"/>
              <w:bottom w:val="single" w:sz="12" w:space="0" w:color="000000"/>
              <w:right w:val="nil"/>
            </w:tcBorders>
            <w:hideMark/>
          </w:tcPr>
          <w:p w:rsidR="00C413B5" w:rsidRPr="00370BB1" w:rsidRDefault="00C413B5">
            <w:pPr>
              <w:pStyle w:val="NoSpacing"/>
              <w:jc w:val="both"/>
              <w:rPr>
                <w:color w:val="000000"/>
                <w:sz w:val="20"/>
                <w:szCs w:val="20"/>
              </w:rPr>
            </w:pPr>
            <w:r w:rsidRPr="00370BB1">
              <w:rPr>
                <w:color w:val="000000"/>
                <w:sz w:val="20"/>
                <w:szCs w:val="20"/>
              </w:rPr>
              <w:t>10</w:t>
            </w:r>
          </w:p>
        </w:tc>
        <w:tc>
          <w:tcPr>
            <w:tcW w:w="1649" w:type="dxa"/>
            <w:tcBorders>
              <w:top w:val="nil"/>
              <w:left w:val="nil"/>
              <w:bottom w:val="single" w:sz="12" w:space="0" w:color="000000"/>
              <w:right w:val="nil"/>
            </w:tcBorders>
            <w:hideMark/>
          </w:tcPr>
          <w:p w:rsidR="00C413B5" w:rsidRPr="00370BB1" w:rsidRDefault="00C413B5">
            <w:pPr>
              <w:pStyle w:val="NoSpacing"/>
              <w:jc w:val="both"/>
              <w:rPr>
                <w:color w:val="000000"/>
                <w:sz w:val="20"/>
                <w:szCs w:val="20"/>
              </w:rPr>
            </w:pPr>
            <w:r w:rsidRPr="00370BB1">
              <w:rPr>
                <w:color w:val="000000"/>
                <w:sz w:val="20"/>
                <w:szCs w:val="20"/>
              </w:rPr>
              <w:t>2.0%</w:t>
            </w:r>
          </w:p>
        </w:tc>
      </w:tr>
    </w:tbl>
    <w:p w:rsidR="00C413B5" w:rsidRPr="00370BB1" w:rsidRDefault="00C413B5" w:rsidP="00C413B5">
      <w:pPr>
        <w:jc w:val="both"/>
        <w:rPr>
          <w:bCs/>
          <w:color w:val="000000"/>
          <w:sz w:val="20"/>
          <w:szCs w:val="20"/>
        </w:rPr>
      </w:pPr>
      <w:r w:rsidRPr="00370BB1">
        <w:rPr>
          <w:bCs/>
          <w:color w:val="000000"/>
          <w:sz w:val="20"/>
          <w:szCs w:val="20"/>
        </w:rPr>
        <w:t xml:space="preserve"> </w:t>
      </w:r>
    </w:p>
    <w:p w:rsidR="00C413B5" w:rsidRPr="00370BB1" w:rsidRDefault="00C413B5" w:rsidP="00C413B5">
      <w:pPr>
        <w:jc w:val="both"/>
        <w:rPr>
          <w:color w:val="0E101A"/>
          <w:sz w:val="20"/>
          <w:szCs w:val="20"/>
        </w:rPr>
      </w:pPr>
      <w:r w:rsidRPr="00370BB1">
        <w:rPr>
          <w:color w:val="0E101A"/>
          <w:sz w:val="20"/>
          <w:szCs w:val="20"/>
        </w:rPr>
        <w:t>The result revealed that 390 (78.0%) of the selected participants reported moderate internet addiction, 70 (14.0%) reported mild internet addiction and 40 (8.0%) reported severe internet addiction. In other to ascertain the pattern of MGA among the participants, the test of norm analysis was carried out, and the result is also presented in Table 1. The overall Internet game addiction scale consists of seven statements and five measures (Never, Rarely, Sometimes, often and Very Often). The seven statements were multiplied by five measures, which gave a score of 35. The division of 35 by 3 gives 11.7. Thus, the scale between 0 - 11.7 shows a mild level of internet game addiction. The scale between 11.8 - 23.5 indicates a moderate level of internet game addiction. A scale between 23.6 and 35 marks a severe level of internet game addiction. The result revealed that the majority of 280 (56.0%) of the selected secondary school students in the Ibadan metropolis, Oyo state, reported moderate internet game addiction.</w:t>
      </w:r>
    </w:p>
    <w:p w:rsidR="00C413B5" w:rsidRPr="00370BB1" w:rsidRDefault="00C413B5" w:rsidP="00C413B5">
      <w:pPr>
        <w:jc w:val="both"/>
        <w:rPr>
          <w:color w:val="0E101A"/>
          <w:sz w:val="20"/>
          <w:szCs w:val="20"/>
        </w:rPr>
      </w:pPr>
      <w:r w:rsidRPr="00370BB1">
        <w:rPr>
          <w:color w:val="0E101A"/>
          <w:sz w:val="20"/>
          <w:szCs w:val="20"/>
        </w:rPr>
        <w:t xml:space="preserve">In comparison, some 210 (42.0%) of them reported mild internet game addiction, and a few 10 (2.0%) reported severe internet addiction. This prevalence has implications for psychological adjustment. It suggested that psycho-educational </w:t>
      </w:r>
      <w:proofErr w:type="spellStart"/>
      <w:r w:rsidRPr="00370BB1">
        <w:rPr>
          <w:color w:val="0E101A"/>
          <w:sz w:val="20"/>
          <w:szCs w:val="20"/>
        </w:rPr>
        <w:t>programmes</w:t>
      </w:r>
      <w:proofErr w:type="spellEnd"/>
      <w:r w:rsidRPr="00370BB1">
        <w:rPr>
          <w:color w:val="0E101A"/>
          <w:sz w:val="20"/>
          <w:szCs w:val="20"/>
        </w:rPr>
        <w:t xml:space="preserve"> incorporating systematic desensitization should be </w:t>
      </w:r>
      <w:proofErr w:type="spellStart"/>
      <w:r w:rsidRPr="00370BB1">
        <w:rPr>
          <w:color w:val="0E101A"/>
          <w:sz w:val="20"/>
          <w:szCs w:val="20"/>
        </w:rPr>
        <w:t>organised</w:t>
      </w:r>
      <w:proofErr w:type="spellEnd"/>
      <w:r w:rsidRPr="00370BB1">
        <w:rPr>
          <w:color w:val="0E101A"/>
          <w:sz w:val="20"/>
          <w:szCs w:val="20"/>
        </w:rPr>
        <w:t xml:space="preserve"> for secondary school students to mitigate their internet game addiction and change it for productive academic activities.    </w:t>
      </w:r>
    </w:p>
    <w:p w:rsidR="00C413B5" w:rsidRPr="00370BB1" w:rsidRDefault="00C413B5" w:rsidP="00C413B5">
      <w:pPr>
        <w:jc w:val="both"/>
        <w:rPr>
          <w:color w:val="0E101A"/>
          <w:sz w:val="20"/>
          <w:szCs w:val="20"/>
        </w:rPr>
      </w:pPr>
      <w:r w:rsidRPr="00370BB1">
        <w:rPr>
          <w:color w:val="0E101A"/>
          <w:sz w:val="20"/>
          <w:szCs w:val="20"/>
        </w:rPr>
        <w:t xml:space="preserve"> </w:t>
      </w:r>
    </w:p>
    <w:p w:rsidR="00C413B5" w:rsidRPr="00370BB1" w:rsidRDefault="00C413B5" w:rsidP="00C413B5">
      <w:pPr>
        <w:jc w:val="both"/>
        <w:rPr>
          <w:color w:val="0E101A"/>
          <w:sz w:val="20"/>
          <w:szCs w:val="20"/>
        </w:rPr>
      </w:pPr>
      <w:r w:rsidRPr="00370BB1">
        <w:rPr>
          <w:b/>
          <w:bCs/>
          <w:color w:val="0E101A"/>
          <w:sz w:val="20"/>
          <w:szCs w:val="20"/>
        </w:rPr>
        <w:t>3.3 Test of Hypotheses</w:t>
      </w:r>
    </w:p>
    <w:p w:rsidR="00C413B5" w:rsidRPr="00370BB1" w:rsidRDefault="00C413B5" w:rsidP="00C413B5">
      <w:pPr>
        <w:jc w:val="both"/>
        <w:rPr>
          <w:color w:val="0E101A"/>
          <w:sz w:val="20"/>
          <w:szCs w:val="20"/>
        </w:rPr>
      </w:pPr>
      <w:r w:rsidRPr="00370BB1">
        <w:rPr>
          <w:color w:val="0E101A"/>
          <w:sz w:val="20"/>
          <w:szCs w:val="20"/>
        </w:rPr>
        <w:t xml:space="preserve">Hypothesis one stated that internet addiction would significantly predict psychological adjustment among secondary school students in the Ibadan metropolis, Oyo state, Nigeria. This was </w:t>
      </w:r>
      <w:proofErr w:type="spellStart"/>
      <w:r w:rsidRPr="00370BB1">
        <w:rPr>
          <w:color w:val="0E101A"/>
          <w:sz w:val="20"/>
          <w:szCs w:val="20"/>
        </w:rPr>
        <w:t>analysed</w:t>
      </w:r>
      <w:proofErr w:type="spellEnd"/>
      <w:r w:rsidRPr="00370BB1">
        <w:rPr>
          <w:color w:val="0E101A"/>
          <w:sz w:val="20"/>
          <w:szCs w:val="20"/>
        </w:rPr>
        <w:t xml:space="preserve"> using a regression analysis, and the result is presented in Table 2.</w:t>
      </w:r>
    </w:p>
    <w:p w:rsidR="00C413B5" w:rsidRPr="00370BB1" w:rsidRDefault="00C413B5" w:rsidP="00C413B5">
      <w:pPr>
        <w:jc w:val="both"/>
        <w:rPr>
          <w:b/>
          <w:bCs/>
          <w:color w:val="0E101A"/>
          <w:sz w:val="20"/>
          <w:szCs w:val="20"/>
        </w:rPr>
      </w:pPr>
      <w:r w:rsidRPr="00370BB1">
        <w:rPr>
          <w:b/>
          <w:bCs/>
          <w:color w:val="0E101A"/>
          <w:sz w:val="20"/>
          <w:szCs w:val="20"/>
        </w:rPr>
        <w:t xml:space="preserve"> </w:t>
      </w:r>
    </w:p>
    <w:p w:rsidR="00C413B5" w:rsidRPr="00370BB1" w:rsidRDefault="00C413B5" w:rsidP="00B93633">
      <w:pPr>
        <w:spacing w:line="240" w:lineRule="auto"/>
        <w:jc w:val="both"/>
        <w:rPr>
          <w:color w:val="0E101A"/>
          <w:sz w:val="20"/>
          <w:szCs w:val="20"/>
        </w:rPr>
      </w:pPr>
      <w:r w:rsidRPr="00370BB1">
        <w:rPr>
          <w:b/>
          <w:bCs/>
          <w:color w:val="0E101A"/>
          <w:sz w:val="20"/>
          <w:szCs w:val="20"/>
        </w:rPr>
        <w:t xml:space="preserve">Table 2: </w:t>
      </w:r>
      <w:r w:rsidRPr="00370BB1">
        <w:rPr>
          <w:i/>
          <w:iCs/>
          <w:color w:val="0E101A"/>
          <w:sz w:val="20"/>
          <w:szCs w:val="20"/>
        </w:rPr>
        <w:t>Regression Analysis of Psychological Adjustment by Internet Addiction among Adolescents.</w:t>
      </w:r>
    </w:p>
    <w:p w:rsidR="00C413B5" w:rsidRPr="00370BB1" w:rsidRDefault="00C413B5" w:rsidP="00B93633">
      <w:pPr>
        <w:shd w:val="clear" w:color="auto" w:fill="FFFFFF"/>
        <w:autoSpaceDE w:val="0"/>
        <w:autoSpaceDN w:val="0"/>
        <w:adjustRightInd w:val="0"/>
        <w:spacing w:line="240" w:lineRule="auto"/>
        <w:ind w:right="883"/>
        <w:jc w:val="both"/>
        <w:rPr>
          <w:b/>
          <w:color w:val="000000"/>
          <w:sz w:val="20"/>
          <w:szCs w:val="20"/>
        </w:rPr>
      </w:pPr>
      <w:r w:rsidRPr="00370BB1">
        <w:rPr>
          <w:b/>
          <w:color w:val="000000"/>
          <w:sz w:val="20"/>
          <w:szCs w:val="20"/>
        </w:rPr>
        <w:t xml:space="preserve"> </w:t>
      </w:r>
    </w:p>
    <w:tbl>
      <w:tblPr>
        <w:tblW w:w="0" w:type="auto"/>
        <w:jc w:val="center"/>
        <w:tblBorders>
          <w:top w:val="single" w:sz="4" w:space="0" w:color="auto"/>
          <w:bottom w:val="single" w:sz="4" w:space="0" w:color="auto"/>
        </w:tblBorders>
        <w:tblLayout w:type="fixed"/>
        <w:tblCellMar>
          <w:left w:w="40" w:type="dxa"/>
          <w:right w:w="40" w:type="dxa"/>
        </w:tblCellMar>
        <w:tblLook w:val="04A0" w:firstRow="1" w:lastRow="0" w:firstColumn="1" w:lastColumn="0" w:noHBand="0" w:noVBand="1"/>
      </w:tblPr>
      <w:tblGrid>
        <w:gridCol w:w="1478"/>
        <w:gridCol w:w="10"/>
        <w:gridCol w:w="1612"/>
        <w:gridCol w:w="20"/>
        <w:gridCol w:w="729"/>
        <w:gridCol w:w="1670"/>
        <w:gridCol w:w="107"/>
        <w:gridCol w:w="891"/>
        <w:gridCol w:w="1018"/>
        <w:gridCol w:w="1067"/>
      </w:tblGrid>
      <w:tr w:rsidR="00C413B5" w:rsidRPr="00370BB1" w:rsidTr="00B93633">
        <w:trPr>
          <w:trHeight w:val="325"/>
          <w:jc w:val="center"/>
        </w:trPr>
        <w:tc>
          <w:tcPr>
            <w:tcW w:w="1488" w:type="dxa"/>
            <w:gridSpan w:val="2"/>
            <w:tcBorders>
              <w:top w:val="single" w:sz="4" w:space="0" w:color="auto"/>
              <w:left w:val="nil"/>
              <w:bottom w:val="single" w:sz="4" w:space="0" w:color="auto"/>
              <w:right w:val="nil"/>
            </w:tcBorders>
            <w:shd w:val="clear" w:color="auto" w:fill="FFFFFF"/>
            <w:hideMark/>
          </w:tcPr>
          <w:p w:rsidR="00C413B5" w:rsidRPr="00370BB1" w:rsidRDefault="00C413B5" w:rsidP="00B93633">
            <w:pPr>
              <w:shd w:val="clear" w:color="auto" w:fill="FFFFFF"/>
              <w:autoSpaceDE w:val="0"/>
              <w:autoSpaceDN w:val="0"/>
              <w:adjustRightInd w:val="0"/>
              <w:spacing w:line="240" w:lineRule="auto"/>
              <w:jc w:val="both"/>
              <w:rPr>
                <w:b/>
                <w:color w:val="000000"/>
                <w:sz w:val="20"/>
                <w:szCs w:val="20"/>
              </w:rPr>
            </w:pPr>
            <w:r w:rsidRPr="00370BB1">
              <w:rPr>
                <w:b/>
                <w:color w:val="000000"/>
                <w:sz w:val="20"/>
                <w:szCs w:val="20"/>
              </w:rPr>
              <w:t>R</w:t>
            </w:r>
          </w:p>
        </w:tc>
        <w:tc>
          <w:tcPr>
            <w:tcW w:w="1632" w:type="dxa"/>
            <w:gridSpan w:val="2"/>
            <w:tcBorders>
              <w:top w:val="single" w:sz="4" w:space="0" w:color="auto"/>
              <w:left w:val="nil"/>
              <w:bottom w:val="single" w:sz="4" w:space="0" w:color="auto"/>
              <w:right w:val="nil"/>
            </w:tcBorders>
            <w:shd w:val="clear" w:color="auto" w:fill="FFFFFF"/>
            <w:hideMark/>
          </w:tcPr>
          <w:p w:rsidR="00C413B5" w:rsidRPr="00370BB1" w:rsidRDefault="00C413B5" w:rsidP="00B93633">
            <w:pPr>
              <w:shd w:val="clear" w:color="auto" w:fill="FFFFFF"/>
              <w:autoSpaceDE w:val="0"/>
              <w:autoSpaceDN w:val="0"/>
              <w:adjustRightInd w:val="0"/>
              <w:spacing w:line="240" w:lineRule="auto"/>
              <w:jc w:val="both"/>
              <w:rPr>
                <w:b/>
                <w:color w:val="000000"/>
                <w:sz w:val="20"/>
                <w:szCs w:val="20"/>
              </w:rPr>
            </w:pPr>
            <w:r w:rsidRPr="00370BB1">
              <w:rPr>
                <w:b/>
                <w:color w:val="000000"/>
                <w:spacing w:val="-3"/>
                <w:sz w:val="20"/>
                <w:szCs w:val="20"/>
              </w:rPr>
              <w:t>R</w:t>
            </w:r>
            <w:r w:rsidRPr="00370BB1">
              <w:rPr>
                <w:b/>
                <w:color w:val="000000"/>
                <w:spacing w:val="-3"/>
                <w:sz w:val="20"/>
                <w:szCs w:val="20"/>
                <w:vertAlign w:val="superscript"/>
              </w:rPr>
              <w:t>2</w:t>
            </w:r>
          </w:p>
        </w:tc>
        <w:tc>
          <w:tcPr>
            <w:tcW w:w="2506" w:type="dxa"/>
            <w:gridSpan w:val="3"/>
            <w:tcBorders>
              <w:top w:val="single" w:sz="4" w:space="0" w:color="auto"/>
              <w:left w:val="nil"/>
              <w:bottom w:val="single" w:sz="4" w:space="0" w:color="auto"/>
              <w:right w:val="nil"/>
            </w:tcBorders>
            <w:shd w:val="clear" w:color="auto" w:fill="FFFFFF"/>
            <w:hideMark/>
          </w:tcPr>
          <w:p w:rsidR="00C413B5" w:rsidRPr="00370BB1" w:rsidRDefault="00C413B5" w:rsidP="00B93633">
            <w:pPr>
              <w:shd w:val="clear" w:color="auto" w:fill="FFFFFF"/>
              <w:autoSpaceDE w:val="0"/>
              <w:autoSpaceDN w:val="0"/>
              <w:adjustRightInd w:val="0"/>
              <w:spacing w:line="240" w:lineRule="auto"/>
              <w:jc w:val="both"/>
              <w:rPr>
                <w:b/>
                <w:color w:val="000000"/>
                <w:sz w:val="20"/>
                <w:szCs w:val="20"/>
              </w:rPr>
            </w:pPr>
            <w:r w:rsidRPr="00370BB1">
              <w:rPr>
                <w:bCs/>
                <w:color w:val="000000"/>
                <w:sz w:val="20"/>
                <w:szCs w:val="20"/>
              </w:rPr>
              <w:t>ΔR</w:t>
            </w:r>
            <w:r w:rsidRPr="00370BB1">
              <w:rPr>
                <w:bCs/>
                <w:color w:val="000000"/>
                <w:sz w:val="20"/>
                <w:szCs w:val="20"/>
                <w:vertAlign w:val="superscript"/>
              </w:rPr>
              <w:t>2</w:t>
            </w:r>
          </w:p>
        </w:tc>
        <w:tc>
          <w:tcPr>
            <w:tcW w:w="2976" w:type="dxa"/>
            <w:gridSpan w:val="3"/>
            <w:tcBorders>
              <w:top w:val="single" w:sz="4" w:space="0" w:color="auto"/>
              <w:left w:val="nil"/>
              <w:bottom w:val="single" w:sz="4" w:space="0" w:color="auto"/>
              <w:right w:val="nil"/>
            </w:tcBorders>
            <w:shd w:val="clear" w:color="auto" w:fill="FFFFFF"/>
            <w:hideMark/>
          </w:tcPr>
          <w:p w:rsidR="00C413B5" w:rsidRPr="00370BB1" w:rsidRDefault="00C413B5" w:rsidP="00B93633">
            <w:pPr>
              <w:shd w:val="clear" w:color="auto" w:fill="FFFFFF"/>
              <w:autoSpaceDE w:val="0"/>
              <w:autoSpaceDN w:val="0"/>
              <w:adjustRightInd w:val="0"/>
              <w:spacing w:line="240" w:lineRule="auto"/>
              <w:jc w:val="both"/>
              <w:rPr>
                <w:b/>
                <w:color w:val="000000"/>
                <w:sz w:val="20"/>
                <w:szCs w:val="20"/>
              </w:rPr>
            </w:pPr>
            <w:r w:rsidRPr="00370BB1">
              <w:rPr>
                <w:b/>
                <w:color w:val="000000"/>
                <w:spacing w:val="-2"/>
                <w:sz w:val="20"/>
                <w:szCs w:val="20"/>
              </w:rPr>
              <w:t>Std. Error of the Estimate</w:t>
            </w:r>
          </w:p>
        </w:tc>
      </w:tr>
      <w:tr w:rsidR="00C413B5" w:rsidRPr="00370BB1" w:rsidTr="00B93633">
        <w:trPr>
          <w:trHeight w:val="357"/>
          <w:jc w:val="center"/>
        </w:trPr>
        <w:tc>
          <w:tcPr>
            <w:tcW w:w="1488" w:type="dxa"/>
            <w:gridSpan w:val="2"/>
            <w:tcBorders>
              <w:top w:val="single" w:sz="4" w:space="0" w:color="auto"/>
              <w:left w:val="nil"/>
              <w:bottom w:val="single" w:sz="4" w:space="0" w:color="auto"/>
              <w:right w:val="nil"/>
            </w:tcBorders>
            <w:shd w:val="clear" w:color="auto" w:fill="FFFFFF"/>
            <w:vAlign w:val="center"/>
            <w:hideMark/>
          </w:tcPr>
          <w:p w:rsidR="00C413B5" w:rsidRPr="00370BB1" w:rsidRDefault="00C413B5" w:rsidP="00B93633">
            <w:pPr>
              <w:autoSpaceDE w:val="0"/>
              <w:autoSpaceDN w:val="0"/>
              <w:adjustRightInd w:val="0"/>
              <w:spacing w:line="240" w:lineRule="auto"/>
              <w:ind w:left="60" w:right="60"/>
              <w:jc w:val="both"/>
              <w:rPr>
                <w:color w:val="000000"/>
                <w:sz w:val="20"/>
                <w:szCs w:val="20"/>
              </w:rPr>
            </w:pPr>
            <w:r w:rsidRPr="00370BB1">
              <w:rPr>
                <w:color w:val="000000"/>
                <w:sz w:val="20"/>
                <w:szCs w:val="20"/>
              </w:rPr>
              <w:t>.239</w:t>
            </w:r>
          </w:p>
        </w:tc>
        <w:tc>
          <w:tcPr>
            <w:tcW w:w="1632" w:type="dxa"/>
            <w:gridSpan w:val="2"/>
            <w:tcBorders>
              <w:top w:val="single" w:sz="4" w:space="0" w:color="auto"/>
              <w:left w:val="nil"/>
              <w:bottom w:val="single" w:sz="4" w:space="0" w:color="auto"/>
              <w:right w:val="nil"/>
            </w:tcBorders>
            <w:shd w:val="clear" w:color="auto" w:fill="FFFFFF"/>
            <w:vAlign w:val="center"/>
            <w:hideMark/>
          </w:tcPr>
          <w:p w:rsidR="00C413B5" w:rsidRPr="00370BB1" w:rsidRDefault="00C413B5" w:rsidP="00B93633">
            <w:pPr>
              <w:autoSpaceDE w:val="0"/>
              <w:autoSpaceDN w:val="0"/>
              <w:adjustRightInd w:val="0"/>
              <w:spacing w:line="240" w:lineRule="auto"/>
              <w:ind w:left="60" w:right="60"/>
              <w:jc w:val="both"/>
              <w:rPr>
                <w:color w:val="000000"/>
                <w:sz w:val="20"/>
                <w:szCs w:val="20"/>
              </w:rPr>
            </w:pPr>
            <w:r w:rsidRPr="00370BB1">
              <w:rPr>
                <w:color w:val="000000"/>
                <w:sz w:val="20"/>
                <w:szCs w:val="20"/>
              </w:rPr>
              <w:t>.057</w:t>
            </w:r>
          </w:p>
        </w:tc>
        <w:tc>
          <w:tcPr>
            <w:tcW w:w="2506" w:type="dxa"/>
            <w:gridSpan w:val="3"/>
            <w:tcBorders>
              <w:top w:val="single" w:sz="4" w:space="0" w:color="auto"/>
              <w:left w:val="nil"/>
              <w:bottom w:val="single" w:sz="4" w:space="0" w:color="auto"/>
              <w:right w:val="nil"/>
            </w:tcBorders>
            <w:shd w:val="clear" w:color="auto" w:fill="FFFFFF"/>
            <w:vAlign w:val="center"/>
            <w:hideMark/>
          </w:tcPr>
          <w:p w:rsidR="00C413B5" w:rsidRPr="00370BB1" w:rsidRDefault="00C413B5" w:rsidP="00B93633">
            <w:pPr>
              <w:autoSpaceDE w:val="0"/>
              <w:autoSpaceDN w:val="0"/>
              <w:adjustRightInd w:val="0"/>
              <w:spacing w:line="240" w:lineRule="auto"/>
              <w:ind w:left="60" w:right="60"/>
              <w:jc w:val="both"/>
              <w:rPr>
                <w:color w:val="000000"/>
                <w:sz w:val="20"/>
                <w:szCs w:val="20"/>
              </w:rPr>
            </w:pPr>
            <w:r w:rsidRPr="00370BB1">
              <w:rPr>
                <w:color w:val="000000"/>
                <w:sz w:val="20"/>
                <w:szCs w:val="20"/>
              </w:rPr>
              <w:t>.055</w:t>
            </w:r>
          </w:p>
        </w:tc>
        <w:tc>
          <w:tcPr>
            <w:tcW w:w="2976" w:type="dxa"/>
            <w:gridSpan w:val="3"/>
            <w:tcBorders>
              <w:top w:val="single" w:sz="4" w:space="0" w:color="auto"/>
              <w:left w:val="nil"/>
              <w:bottom w:val="single" w:sz="4" w:space="0" w:color="auto"/>
              <w:right w:val="nil"/>
            </w:tcBorders>
            <w:shd w:val="clear" w:color="auto" w:fill="FFFFFF"/>
            <w:vAlign w:val="center"/>
            <w:hideMark/>
          </w:tcPr>
          <w:p w:rsidR="00C413B5" w:rsidRPr="00370BB1" w:rsidRDefault="00C413B5" w:rsidP="00B93633">
            <w:pPr>
              <w:autoSpaceDE w:val="0"/>
              <w:autoSpaceDN w:val="0"/>
              <w:adjustRightInd w:val="0"/>
              <w:spacing w:line="240" w:lineRule="auto"/>
              <w:ind w:left="60" w:right="60"/>
              <w:jc w:val="both"/>
              <w:rPr>
                <w:color w:val="000000"/>
                <w:sz w:val="20"/>
                <w:szCs w:val="20"/>
              </w:rPr>
            </w:pPr>
            <w:r w:rsidRPr="00370BB1">
              <w:rPr>
                <w:color w:val="000000"/>
                <w:sz w:val="20"/>
                <w:szCs w:val="20"/>
              </w:rPr>
              <w:t>6.520</w:t>
            </w:r>
          </w:p>
        </w:tc>
      </w:tr>
      <w:tr w:rsidR="00C413B5" w:rsidRPr="00370BB1" w:rsidTr="00B93633">
        <w:trPr>
          <w:trHeight w:val="280"/>
          <w:jc w:val="center"/>
        </w:trPr>
        <w:tc>
          <w:tcPr>
            <w:tcW w:w="8602" w:type="dxa"/>
            <w:gridSpan w:val="10"/>
            <w:tcBorders>
              <w:top w:val="single" w:sz="4" w:space="0" w:color="auto"/>
              <w:left w:val="nil"/>
              <w:bottom w:val="single" w:sz="4" w:space="0" w:color="auto"/>
              <w:right w:val="nil"/>
            </w:tcBorders>
            <w:shd w:val="clear" w:color="auto" w:fill="FFFFFF"/>
            <w:hideMark/>
          </w:tcPr>
          <w:p w:rsidR="00C413B5" w:rsidRPr="00370BB1" w:rsidRDefault="00C413B5" w:rsidP="00B93633">
            <w:pPr>
              <w:shd w:val="clear" w:color="auto" w:fill="FFFFFF"/>
              <w:autoSpaceDE w:val="0"/>
              <w:autoSpaceDN w:val="0"/>
              <w:adjustRightInd w:val="0"/>
              <w:spacing w:line="240" w:lineRule="auto"/>
              <w:jc w:val="both"/>
              <w:rPr>
                <w:color w:val="000000"/>
                <w:spacing w:val="-10"/>
                <w:sz w:val="20"/>
                <w:szCs w:val="20"/>
              </w:rPr>
            </w:pPr>
            <w:r w:rsidRPr="00370BB1">
              <w:rPr>
                <w:b/>
                <w:bCs/>
                <w:color w:val="000000"/>
                <w:spacing w:val="-2"/>
                <w:sz w:val="20"/>
                <w:szCs w:val="20"/>
              </w:rPr>
              <w:t xml:space="preserve">Summary Regression </w:t>
            </w:r>
            <w:r w:rsidRPr="00370BB1">
              <w:rPr>
                <w:b/>
                <w:color w:val="000000"/>
                <w:spacing w:val="-2"/>
                <w:sz w:val="20"/>
                <w:szCs w:val="20"/>
              </w:rPr>
              <w:t>ANOVA</w:t>
            </w:r>
          </w:p>
        </w:tc>
      </w:tr>
      <w:tr w:rsidR="00C413B5" w:rsidRPr="00370BB1" w:rsidTr="00B93633">
        <w:trPr>
          <w:trHeight w:val="413"/>
          <w:jc w:val="center"/>
        </w:trPr>
        <w:tc>
          <w:tcPr>
            <w:tcW w:w="1478" w:type="dxa"/>
            <w:tcBorders>
              <w:top w:val="single" w:sz="4" w:space="0" w:color="auto"/>
              <w:left w:val="nil"/>
              <w:bottom w:val="single" w:sz="4" w:space="0" w:color="auto"/>
              <w:right w:val="nil"/>
            </w:tcBorders>
            <w:shd w:val="clear" w:color="auto" w:fill="FFFFFF"/>
          </w:tcPr>
          <w:p w:rsidR="00C413B5" w:rsidRPr="00370BB1" w:rsidRDefault="00C413B5" w:rsidP="00B93633">
            <w:pPr>
              <w:shd w:val="clear" w:color="auto" w:fill="FFFFFF"/>
              <w:autoSpaceDE w:val="0"/>
              <w:autoSpaceDN w:val="0"/>
              <w:adjustRightInd w:val="0"/>
              <w:spacing w:line="240" w:lineRule="auto"/>
              <w:jc w:val="both"/>
              <w:rPr>
                <w:color w:val="000000"/>
                <w:sz w:val="20"/>
                <w:szCs w:val="20"/>
              </w:rPr>
            </w:pPr>
          </w:p>
        </w:tc>
        <w:tc>
          <w:tcPr>
            <w:tcW w:w="1622" w:type="dxa"/>
            <w:gridSpan w:val="2"/>
            <w:tcBorders>
              <w:top w:val="single" w:sz="4" w:space="0" w:color="auto"/>
              <w:left w:val="nil"/>
              <w:bottom w:val="single" w:sz="4" w:space="0" w:color="auto"/>
              <w:right w:val="nil"/>
            </w:tcBorders>
            <w:shd w:val="clear" w:color="auto" w:fill="FFFFFF"/>
            <w:hideMark/>
          </w:tcPr>
          <w:p w:rsidR="00C413B5" w:rsidRPr="00370BB1" w:rsidRDefault="00C413B5" w:rsidP="00B93633">
            <w:pPr>
              <w:shd w:val="clear" w:color="auto" w:fill="FFFFFF"/>
              <w:autoSpaceDE w:val="0"/>
              <w:autoSpaceDN w:val="0"/>
              <w:adjustRightInd w:val="0"/>
              <w:spacing w:line="240" w:lineRule="auto"/>
              <w:ind w:left="10" w:right="638" w:firstLine="5"/>
              <w:jc w:val="both"/>
              <w:rPr>
                <w:b/>
                <w:color w:val="000000"/>
                <w:sz w:val="20"/>
                <w:szCs w:val="20"/>
              </w:rPr>
            </w:pPr>
            <w:r w:rsidRPr="00370BB1">
              <w:rPr>
                <w:b/>
                <w:color w:val="000000"/>
                <w:spacing w:val="3"/>
                <w:sz w:val="20"/>
                <w:szCs w:val="20"/>
              </w:rPr>
              <w:t xml:space="preserve">Sum of </w:t>
            </w:r>
            <w:r w:rsidRPr="00370BB1">
              <w:rPr>
                <w:b/>
                <w:color w:val="000000"/>
                <w:spacing w:val="-4"/>
                <w:sz w:val="20"/>
                <w:szCs w:val="20"/>
              </w:rPr>
              <w:t>Squares</w:t>
            </w:r>
          </w:p>
        </w:tc>
        <w:tc>
          <w:tcPr>
            <w:tcW w:w="749" w:type="dxa"/>
            <w:gridSpan w:val="2"/>
            <w:tcBorders>
              <w:top w:val="single" w:sz="4" w:space="0" w:color="auto"/>
              <w:left w:val="nil"/>
              <w:bottom w:val="single" w:sz="4" w:space="0" w:color="auto"/>
              <w:right w:val="nil"/>
            </w:tcBorders>
            <w:shd w:val="clear" w:color="auto" w:fill="FFFFFF"/>
            <w:hideMark/>
          </w:tcPr>
          <w:p w:rsidR="00C413B5" w:rsidRPr="00370BB1" w:rsidRDefault="00C413B5" w:rsidP="00B93633">
            <w:pPr>
              <w:shd w:val="clear" w:color="auto" w:fill="FFFFFF"/>
              <w:autoSpaceDE w:val="0"/>
              <w:autoSpaceDN w:val="0"/>
              <w:adjustRightInd w:val="0"/>
              <w:spacing w:line="240" w:lineRule="auto"/>
              <w:jc w:val="both"/>
              <w:rPr>
                <w:b/>
                <w:color w:val="000000"/>
                <w:sz w:val="20"/>
                <w:szCs w:val="20"/>
              </w:rPr>
            </w:pPr>
            <w:r w:rsidRPr="00370BB1">
              <w:rPr>
                <w:b/>
                <w:color w:val="000000"/>
                <w:sz w:val="20"/>
                <w:szCs w:val="20"/>
              </w:rPr>
              <w:t>Df</w:t>
            </w:r>
          </w:p>
        </w:tc>
        <w:tc>
          <w:tcPr>
            <w:tcW w:w="1670" w:type="dxa"/>
            <w:tcBorders>
              <w:top w:val="single" w:sz="4" w:space="0" w:color="auto"/>
              <w:left w:val="nil"/>
              <w:bottom w:val="single" w:sz="4" w:space="0" w:color="auto"/>
              <w:right w:val="nil"/>
            </w:tcBorders>
            <w:shd w:val="clear" w:color="auto" w:fill="FFFFFF"/>
            <w:hideMark/>
          </w:tcPr>
          <w:p w:rsidR="00C413B5" w:rsidRPr="00370BB1" w:rsidRDefault="00C413B5" w:rsidP="00B93633">
            <w:pPr>
              <w:shd w:val="clear" w:color="auto" w:fill="FFFFFF"/>
              <w:autoSpaceDE w:val="0"/>
              <w:autoSpaceDN w:val="0"/>
              <w:adjustRightInd w:val="0"/>
              <w:spacing w:line="240" w:lineRule="auto"/>
              <w:ind w:left="5"/>
              <w:jc w:val="both"/>
              <w:rPr>
                <w:b/>
                <w:color w:val="000000"/>
                <w:sz w:val="20"/>
                <w:szCs w:val="20"/>
              </w:rPr>
            </w:pPr>
            <w:r w:rsidRPr="00370BB1">
              <w:rPr>
                <w:b/>
                <w:color w:val="000000"/>
                <w:spacing w:val="-4"/>
                <w:sz w:val="20"/>
                <w:szCs w:val="20"/>
              </w:rPr>
              <w:t>Mean Square</w:t>
            </w:r>
          </w:p>
        </w:tc>
        <w:tc>
          <w:tcPr>
            <w:tcW w:w="998" w:type="dxa"/>
            <w:gridSpan w:val="2"/>
            <w:tcBorders>
              <w:top w:val="single" w:sz="4" w:space="0" w:color="auto"/>
              <w:left w:val="nil"/>
              <w:bottom w:val="single" w:sz="4" w:space="0" w:color="auto"/>
              <w:right w:val="nil"/>
            </w:tcBorders>
            <w:shd w:val="clear" w:color="auto" w:fill="FFFFFF"/>
            <w:hideMark/>
          </w:tcPr>
          <w:p w:rsidR="00C413B5" w:rsidRPr="00370BB1" w:rsidRDefault="00C413B5" w:rsidP="00B93633">
            <w:pPr>
              <w:shd w:val="clear" w:color="auto" w:fill="FFFFFF"/>
              <w:autoSpaceDE w:val="0"/>
              <w:autoSpaceDN w:val="0"/>
              <w:adjustRightInd w:val="0"/>
              <w:spacing w:line="240" w:lineRule="auto"/>
              <w:ind w:left="5"/>
              <w:jc w:val="both"/>
              <w:rPr>
                <w:b/>
                <w:color w:val="000000"/>
                <w:sz w:val="20"/>
                <w:szCs w:val="20"/>
              </w:rPr>
            </w:pPr>
            <w:r w:rsidRPr="00370BB1">
              <w:rPr>
                <w:b/>
                <w:color w:val="000000"/>
                <w:sz w:val="20"/>
                <w:szCs w:val="20"/>
              </w:rPr>
              <w:t>F</w:t>
            </w:r>
          </w:p>
        </w:tc>
        <w:tc>
          <w:tcPr>
            <w:tcW w:w="1018" w:type="dxa"/>
            <w:tcBorders>
              <w:top w:val="single" w:sz="4" w:space="0" w:color="auto"/>
              <w:left w:val="nil"/>
              <w:bottom w:val="single" w:sz="4" w:space="0" w:color="auto"/>
              <w:right w:val="nil"/>
            </w:tcBorders>
            <w:shd w:val="clear" w:color="auto" w:fill="FFFFFF"/>
            <w:hideMark/>
          </w:tcPr>
          <w:p w:rsidR="00C413B5" w:rsidRPr="00370BB1" w:rsidRDefault="00C413B5" w:rsidP="00B93633">
            <w:pPr>
              <w:shd w:val="clear" w:color="auto" w:fill="FFFFFF"/>
              <w:autoSpaceDE w:val="0"/>
              <w:autoSpaceDN w:val="0"/>
              <w:adjustRightInd w:val="0"/>
              <w:spacing w:line="240" w:lineRule="auto"/>
              <w:ind w:left="10"/>
              <w:jc w:val="both"/>
              <w:rPr>
                <w:b/>
                <w:color w:val="000000"/>
                <w:sz w:val="20"/>
                <w:szCs w:val="20"/>
              </w:rPr>
            </w:pPr>
            <w:r w:rsidRPr="00370BB1">
              <w:rPr>
                <w:b/>
                <w:color w:val="000000"/>
                <w:sz w:val="20"/>
                <w:szCs w:val="20"/>
              </w:rPr>
              <w:t>P</w:t>
            </w:r>
          </w:p>
        </w:tc>
        <w:tc>
          <w:tcPr>
            <w:tcW w:w="1067" w:type="dxa"/>
            <w:tcBorders>
              <w:top w:val="single" w:sz="4" w:space="0" w:color="auto"/>
              <w:left w:val="nil"/>
              <w:bottom w:val="single" w:sz="4" w:space="0" w:color="auto"/>
              <w:right w:val="nil"/>
            </w:tcBorders>
            <w:shd w:val="clear" w:color="auto" w:fill="FFFFFF"/>
          </w:tcPr>
          <w:p w:rsidR="00C413B5" w:rsidRPr="00370BB1" w:rsidRDefault="00C413B5" w:rsidP="00B93633">
            <w:pPr>
              <w:shd w:val="clear" w:color="auto" w:fill="FFFFFF"/>
              <w:autoSpaceDE w:val="0"/>
              <w:autoSpaceDN w:val="0"/>
              <w:adjustRightInd w:val="0"/>
              <w:spacing w:line="240" w:lineRule="auto"/>
              <w:jc w:val="both"/>
              <w:rPr>
                <w:b/>
                <w:color w:val="000000"/>
                <w:sz w:val="20"/>
                <w:szCs w:val="20"/>
              </w:rPr>
            </w:pPr>
          </w:p>
        </w:tc>
      </w:tr>
      <w:tr w:rsidR="00C413B5" w:rsidRPr="00370BB1" w:rsidTr="00B93633">
        <w:trPr>
          <w:trHeight w:val="505"/>
          <w:jc w:val="center"/>
        </w:trPr>
        <w:tc>
          <w:tcPr>
            <w:tcW w:w="1478" w:type="dxa"/>
            <w:tcBorders>
              <w:top w:val="single" w:sz="4" w:space="0" w:color="auto"/>
              <w:left w:val="nil"/>
              <w:bottom w:val="nil"/>
              <w:right w:val="nil"/>
            </w:tcBorders>
            <w:shd w:val="clear" w:color="auto" w:fill="FFFFFF"/>
            <w:hideMark/>
          </w:tcPr>
          <w:p w:rsidR="00C413B5" w:rsidRPr="00370BB1" w:rsidRDefault="00C413B5" w:rsidP="00B93633">
            <w:pPr>
              <w:shd w:val="clear" w:color="auto" w:fill="FFFFFF"/>
              <w:autoSpaceDE w:val="0"/>
              <w:autoSpaceDN w:val="0"/>
              <w:adjustRightInd w:val="0"/>
              <w:spacing w:line="240" w:lineRule="auto"/>
              <w:ind w:left="5"/>
              <w:jc w:val="both"/>
              <w:rPr>
                <w:color w:val="000000"/>
                <w:sz w:val="20"/>
                <w:szCs w:val="20"/>
              </w:rPr>
            </w:pPr>
            <w:r w:rsidRPr="00370BB1">
              <w:rPr>
                <w:color w:val="000000"/>
                <w:spacing w:val="-4"/>
                <w:sz w:val="20"/>
                <w:szCs w:val="20"/>
              </w:rPr>
              <w:t>Regression</w:t>
            </w:r>
          </w:p>
        </w:tc>
        <w:tc>
          <w:tcPr>
            <w:tcW w:w="1622" w:type="dxa"/>
            <w:gridSpan w:val="2"/>
            <w:tcBorders>
              <w:top w:val="single" w:sz="4" w:space="0" w:color="auto"/>
              <w:left w:val="nil"/>
              <w:bottom w:val="nil"/>
              <w:right w:val="nil"/>
            </w:tcBorders>
            <w:shd w:val="clear" w:color="auto" w:fill="FFFFFF"/>
            <w:vAlign w:val="center"/>
            <w:hideMark/>
          </w:tcPr>
          <w:p w:rsidR="00C413B5" w:rsidRPr="00370BB1" w:rsidRDefault="00C413B5" w:rsidP="00B93633">
            <w:pPr>
              <w:autoSpaceDE w:val="0"/>
              <w:autoSpaceDN w:val="0"/>
              <w:adjustRightInd w:val="0"/>
              <w:spacing w:line="240" w:lineRule="auto"/>
              <w:ind w:left="60" w:right="60"/>
              <w:jc w:val="both"/>
              <w:rPr>
                <w:color w:val="000000"/>
                <w:sz w:val="20"/>
                <w:szCs w:val="20"/>
              </w:rPr>
            </w:pPr>
            <w:r w:rsidRPr="00370BB1">
              <w:rPr>
                <w:color w:val="000000"/>
                <w:sz w:val="20"/>
                <w:szCs w:val="20"/>
              </w:rPr>
              <w:t>1283.063</w:t>
            </w:r>
          </w:p>
        </w:tc>
        <w:tc>
          <w:tcPr>
            <w:tcW w:w="749" w:type="dxa"/>
            <w:gridSpan w:val="2"/>
            <w:tcBorders>
              <w:top w:val="single" w:sz="4" w:space="0" w:color="auto"/>
              <w:left w:val="nil"/>
              <w:bottom w:val="nil"/>
              <w:right w:val="nil"/>
            </w:tcBorders>
            <w:shd w:val="clear" w:color="auto" w:fill="FFFFFF"/>
            <w:vAlign w:val="center"/>
            <w:hideMark/>
          </w:tcPr>
          <w:p w:rsidR="00C413B5" w:rsidRPr="00370BB1" w:rsidRDefault="00C413B5" w:rsidP="00B93633">
            <w:pPr>
              <w:autoSpaceDE w:val="0"/>
              <w:autoSpaceDN w:val="0"/>
              <w:adjustRightInd w:val="0"/>
              <w:spacing w:line="240" w:lineRule="auto"/>
              <w:ind w:left="60" w:right="60"/>
              <w:jc w:val="both"/>
              <w:rPr>
                <w:color w:val="000000"/>
                <w:sz w:val="20"/>
                <w:szCs w:val="20"/>
              </w:rPr>
            </w:pPr>
            <w:r w:rsidRPr="00370BB1">
              <w:rPr>
                <w:color w:val="000000"/>
                <w:sz w:val="20"/>
                <w:szCs w:val="20"/>
              </w:rPr>
              <w:t>1</w:t>
            </w:r>
          </w:p>
        </w:tc>
        <w:tc>
          <w:tcPr>
            <w:tcW w:w="1670" w:type="dxa"/>
            <w:tcBorders>
              <w:top w:val="single" w:sz="4" w:space="0" w:color="auto"/>
              <w:left w:val="nil"/>
              <w:bottom w:val="nil"/>
              <w:right w:val="nil"/>
            </w:tcBorders>
            <w:shd w:val="clear" w:color="auto" w:fill="FFFFFF"/>
            <w:vAlign w:val="center"/>
            <w:hideMark/>
          </w:tcPr>
          <w:p w:rsidR="00C413B5" w:rsidRPr="00370BB1" w:rsidRDefault="00C413B5" w:rsidP="00B93633">
            <w:pPr>
              <w:autoSpaceDE w:val="0"/>
              <w:autoSpaceDN w:val="0"/>
              <w:adjustRightInd w:val="0"/>
              <w:spacing w:line="240" w:lineRule="auto"/>
              <w:ind w:left="60" w:right="60"/>
              <w:jc w:val="both"/>
              <w:rPr>
                <w:color w:val="000000"/>
                <w:sz w:val="20"/>
                <w:szCs w:val="20"/>
              </w:rPr>
            </w:pPr>
            <w:r w:rsidRPr="00370BB1">
              <w:rPr>
                <w:color w:val="000000"/>
                <w:sz w:val="20"/>
                <w:szCs w:val="20"/>
              </w:rPr>
              <w:t>1283.063</w:t>
            </w:r>
          </w:p>
        </w:tc>
        <w:tc>
          <w:tcPr>
            <w:tcW w:w="998" w:type="dxa"/>
            <w:gridSpan w:val="2"/>
            <w:tcBorders>
              <w:top w:val="nil"/>
              <w:left w:val="nil"/>
              <w:bottom w:val="nil"/>
              <w:right w:val="nil"/>
            </w:tcBorders>
            <w:shd w:val="clear" w:color="auto" w:fill="FFFFFF"/>
            <w:vAlign w:val="center"/>
          </w:tcPr>
          <w:p w:rsidR="00C413B5" w:rsidRPr="00370BB1" w:rsidRDefault="00C413B5" w:rsidP="00B93633">
            <w:pPr>
              <w:autoSpaceDE w:val="0"/>
              <w:autoSpaceDN w:val="0"/>
              <w:adjustRightInd w:val="0"/>
              <w:spacing w:line="240" w:lineRule="auto"/>
              <w:ind w:left="60" w:right="60"/>
              <w:jc w:val="both"/>
              <w:rPr>
                <w:color w:val="000000"/>
                <w:sz w:val="20"/>
                <w:szCs w:val="20"/>
              </w:rPr>
            </w:pPr>
            <w:r w:rsidRPr="00370BB1">
              <w:rPr>
                <w:color w:val="000000"/>
                <w:sz w:val="20"/>
                <w:szCs w:val="20"/>
              </w:rPr>
              <w:t>30.185</w:t>
            </w:r>
          </w:p>
          <w:p w:rsidR="00C413B5" w:rsidRPr="00370BB1" w:rsidRDefault="00C413B5" w:rsidP="00B93633">
            <w:pPr>
              <w:autoSpaceDE w:val="0"/>
              <w:autoSpaceDN w:val="0"/>
              <w:adjustRightInd w:val="0"/>
              <w:spacing w:line="240" w:lineRule="auto"/>
              <w:ind w:left="60" w:right="60"/>
              <w:jc w:val="both"/>
              <w:rPr>
                <w:color w:val="000000"/>
                <w:sz w:val="20"/>
                <w:szCs w:val="20"/>
              </w:rPr>
            </w:pPr>
          </w:p>
        </w:tc>
        <w:tc>
          <w:tcPr>
            <w:tcW w:w="1018" w:type="dxa"/>
            <w:tcBorders>
              <w:top w:val="nil"/>
              <w:left w:val="nil"/>
              <w:bottom w:val="nil"/>
              <w:right w:val="nil"/>
            </w:tcBorders>
            <w:shd w:val="clear" w:color="auto" w:fill="FFFFFF"/>
            <w:vAlign w:val="center"/>
          </w:tcPr>
          <w:p w:rsidR="00C413B5" w:rsidRPr="00370BB1" w:rsidRDefault="00C413B5" w:rsidP="00B93633">
            <w:pPr>
              <w:autoSpaceDE w:val="0"/>
              <w:autoSpaceDN w:val="0"/>
              <w:adjustRightInd w:val="0"/>
              <w:spacing w:line="240" w:lineRule="auto"/>
              <w:ind w:left="60" w:right="60"/>
              <w:jc w:val="both"/>
              <w:rPr>
                <w:color w:val="000000"/>
                <w:sz w:val="20"/>
                <w:szCs w:val="20"/>
              </w:rPr>
            </w:pPr>
            <w:r w:rsidRPr="00370BB1">
              <w:rPr>
                <w:color w:val="000000"/>
                <w:sz w:val="20"/>
                <w:szCs w:val="20"/>
              </w:rPr>
              <w:t>.000</w:t>
            </w:r>
          </w:p>
          <w:p w:rsidR="00C413B5" w:rsidRPr="00370BB1" w:rsidRDefault="00C413B5" w:rsidP="00B93633">
            <w:pPr>
              <w:autoSpaceDE w:val="0"/>
              <w:autoSpaceDN w:val="0"/>
              <w:adjustRightInd w:val="0"/>
              <w:spacing w:line="240" w:lineRule="auto"/>
              <w:ind w:left="60" w:right="60"/>
              <w:jc w:val="both"/>
              <w:rPr>
                <w:color w:val="000000"/>
                <w:sz w:val="20"/>
                <w:szCs w:val="20"/>
              </w:rPr>
            </w:pPr>
          </w:p>
        </w:tc>
        <w:tc>
          <w:tcPr>
            <w:tcW w:w="1067" w:type="dxa"/>
            <w:tcBorders>
              <w:top w:val="nil"/>
              <w:left w:val="nil"/>
              <w:bottom w:val="nil"/>
              <w:right w:val="nil"/>
            </w:tcBorders>
            <w:shd w:val="clear" w:color="auto" w:fill="FFFFFF"/>
          </w:tcPr>
          <w:p w:rsidR="00C413B5" w:rsidRPr="00370BB1" w:rsidRDefault="00C413B5" w:rsidP="00B93633">
            <w:pPr>
              <w:shd w:val="clear" w:color="auto" w:fill="FFFFFF"/>
              <w:autoSpaceDE w:val="0"/>
              <w:autoSpaceDN w:val="0"/>
              <w:adjustRightInd w:val="0"/>
              <w:spacing w:line="240" w:lineRule="auto"/>
              <w:ind w:left="5"/>
              <w:jc w:val="both"/>
              <w:rPr>
                <w:color w:val="000000"/>
                <w:sz w:val="20"/>
                <w:szCs w:val="20"/>
              </w:rPr>
            </w:pPr>
          </w:p>
        </w:tc>
      </w:tr>
      <w:tr w:rsidR="00C413B5" w:rsidRPr="00370BB1" w:rsidTr="00B93633">
        <w:trPr>
          <w:trHeight w:val="432"/>
          <w:jc w:val="center"/>
        </w:trPr>
        <w:tc>
          <w:tcPr>
            <w:tcW w:w="1478" w:type="dxa"/>
            <w:tcBorders>
              <w:top w:val="nil"/>
              <w:left w:val="nil"/>
              <w:bottom w:val="nil"/>
              <w:right w:val="nil"/>
            </w:tcBorders>
            <w:shd w:val="clear" w:color="auto" w:fill="FFFFFF"/>
            <w:hideMark/>
          </w:tcPr>
          <w:p w:rsidR="00C413B5" w:rsidRPr="00370BB1" w:rsidRDefault="00C413B5" w:rsidP="00B93633">
            <w:pPr>
              <w:shd w:val="clear" w:color="auto" w:fill="FFFFFF"/>
              <w:autoSpaceDE w:val="0"/>
              <w:autoSpaceDN w:val="0"/>
              <w:adjustRightInd w:val="0"/>
              <w:spacing w:line="240" w:lineRule="auto"/>
              <w:ind w:left="5"/>
              <w:jc w:val="both"/>
              <w:rPr>
                <w:color w:val="000000"/>
                <w:sz w:val="20"/>
                <w:szCs w:val="20"/>
              </w:rPr>
            </w:pPr>
            <w:r w:rsidRPr="00370BB1">
              <w:rPr>
                <w:color w:val="000000"/>
                <w:spacing w:val="-4"/>
                <w:sz w:val="20"/>
                <w:szCs w:val="20"/>
              </w:rPr>
              <w:t>Residual</w:t>
            </w:r>
          </w:p>
        </w:tc>
        <w:tc>
          <w:tcPr>
            <w:tcW w:w="1622" w:type="dxa"/>
            <w:gridSpan w:val="2"/>
            <w:tcBorders>
              <w:top w:val="nil"/>
              <w:left w:val="nil"/>
              <w:bottom w:val="nil"/>
              <w:right w:val="nil"/>
            </w:tcBorders>
            <w:shd w:val="clear" w:color="auto" w:fill="FFFFFF"/>
            <w:vAlign w:val="center"/>
            <w:hideMark/>
          </w:tcPr>
          <w:p w:rsidR="00C413B5" w:rsidRPr="00370BB1" w:rsidRDefault="00C413B5" w:rsidP="00B93633">
            <w:pPr>
              <w:shd w:val="clear" w:color="auto" w:fill="FFFFFF"/>
              <w:autoSpaceDE w:val="0"/>
              <w:autoSpaceDN w:val="0"/>
              <w:adjustRightInd w:val="0"/>
              <w:spacing w:line="240" w:lineRule="auto"/>
              <w:jc w:val="both"/>
              <w:rPr>
                <w:color w:val="000000"/>
                <w:sz w:val="20"/>
                <w:szCs w:val="20"/>
              </w:rPr>
            </w:pPr>
            <w:r w:rsidRPr="00370BB1">
              <w:rPr>
                <w:color w:val="000000"/>
                <w:sz w:val="20"/>
                <w:szCs w:val="20"/>
              </w:rPr>
              <w:t>21168.137</w:t>
            </w:r>
          </w:p>
        </w:tc>
        <w:tc>
          <w:tcPr>
            <w:tcW w:w="749" w:type="dxa"/>
            <w:gridSpan w:val="2"/>
            <w:tcBorders>
              <w:top w:val="nil"/>
              <w:left w:val="nil"/>
              <w:bottom w:val="nil"/>
              <w:right w:val="nil"/>
            </w:tcBorders>
            <w:shd w:val="clear" w:color="auto" w:fill="FFFFFF"/>
            <w:vAlign w:val="center"/>
            <w:hideMark/>
          </w:tcPr>
          <w:p w:rsidR="00C413B5" w:rsidRPr="00370BB1" w:rsidRDefault="00C413B5" w:rsidP="00B93633">
            <w:pPr>
              <w:shd w:val="clear" w:color="auto" w:fill="FFFFFF"/>
              <w:autoSpaceDE w:val="0"/>
              <w:autoSpaceDN w:val="0"/>
              <w:adjustRightInd w:val="0"/>
              <w:spacing w:line="240" w:lineRule="auto"/>
              <w:jc w:val="both"/>
              <w:rPr>
                <w:color w:val="000000"/>
                <w:sz w:val="20"/>
                <w:szCs w:val="20"/>
              </w:rPr>
            </w:pPr>
            <w:r w:rsidRPr="00370BB1">
              <w:rPr>
                <w:color w:val="000000"/>
                <w:sz w:val="20"/>
                <w:szCs w:val="20"/>
              </w:rPr>
              <w:t>498</w:t>
            </w:r>
          </w:p>
        </w:tc>
        <w:tc>
          <w:tcPr>
            <w:tcW w:w="1670" w:type="dxa"/>
            <w:tcBorders>
              <w:top w:val="nil"/>
              <w:left w:val="nil"/>
              <w:bottom w:val="nil"/>
              <w:right w:val="nil"/>
            </w:tcBorders>
            <w:shd w:val="clear" w:color="auto" w:fill="FFFFFF"/>
            <w:vAlign w:val="center"/>
            <w:hideMark/>
          </w:tcPr>
          <w:p w:rsidR="00C413B5" w:rsidRPr="00370BB1" w:rsidRDefault="00C413B5" w:rsidP="00B93633">
            <w:pPr>
              <w:shd w:val="clear" w:color="auto" w:fill="FFFFFF"/>
              <w:autoSpaceDE w:val="0"/>
              <w:autoSpaceDN w:val="0"/>
              <w:adjustRightInd w:val="0"/>
              <w:spacing w:line="240" w:lineRule="auto"/>
              <w:ind w:left="24"/>
              <w:jc w:val="both"/>
              <w:rPr>
                <w:color w:val="000000"/>
                <w:sz w:val="20"/>
                <w:szCs w:val="20"/>
              </w:rPr>
            </w:pPr>
            <w:r w:rsidRPr="00370BB1">
              <w:rPr>
                <w:color w:val="000000"/>
                <w:sz w:val="20"/>
                <w:szCs w:val="20"/>
              </w:rPr>
              <w:t>42.506</w:t>
            </w:r>
          </w:p>
        </w:tc>
        <w:tc>
          <w:tcPr>
            <w:tcW w:w="998" w:type="dxa"/>
            <w:gridSpan w:val="2"/>
            <w:tcBorders>
              <w:top w:val="nil"/>
              <w:left w:val="nil"/>
              <w:bottom w:val="nil"/>
              <w:right w:val="nil"/>
            </w:tcBorders>
            <w:shd w:val="clear" w:color="auto" w:fill="FFFFFF"/>
          </w:tcPr>
          <w:p w:rsidR="00C413B5" w:rsidRPr="00370BB1" w:rsidRDefault="00C413B5" w:rsidP="00B93633">
            <w:pPr>
              <w:shd w:val="clear" w:color="auto" w:fill="FFFFFF"/>
              <w:autoSpaceDE w:val="0"/>
              <w:autoSpaceDN w:val="0"/>
              <w:adjustRightInd w:val="0"/>
              <w:spacing w:line="240" w:lineRule="auto"/>
              <w:ind w:left="24"/>
              <w:jc w:val="both"/>
              <w:rPr>
                <w:color w:val="000000"/>
                <w:sz w:val="20"/>
                <w:szCs w:val="20"/>
              </w:rPr>
            </w:pPr>
          </w:p>
          <w:p w:rsidR="00C413B5" w:rsidRPr="00370BB1" w:rsidRDefault="00C413B5" w:rsidP="00B93633">
            <w:pPr>
              <w:shd w:val="clear" w:color="auto" w:fill="FFFFFF"/>
              <w:autoSpaceDE w:val="0"/>
              <w:autoSpaceDN w:val="0"/>
              <w:adjustRightInd w:val="0"/>
              <w:spacing w:line="240" w:lineRule="auto"/>
              <w:ind w:left="24"/>
              <w:jc w:val="both"/>
              <w:rPr>
                <w:color w:val="000000"/>
                <w:sz w:val="20"/>
                <w:szCs w:val="20"/>
              </w:rPr>
            </w:pPr>
          </w:p>
        </w:tc>
        <w:tc>
          <w:tcPr>
            <w:tcW w:w="1018" w:type="dxa"/>
            <w:tcBorders>
              <w:top w:val="nil"/>
              <w:left w:val="nil"/>
              <w:bottom w:val="nil"/>
              <w:right w:val="nil"/>
            </w:tcBorders>
            <w:shd w:val="clear" w:color="auto" w:fill="FFFFFF"/>
          </w:tcPr>
          <w:p w:rsidR="00C413B5" w:rsidRPr="00370BB1" w:rsidRDefault="00C413B5" w:rsidP="00B93633">
            <w:pPr>
              <w:shd w:val="clear" w:color="auto" w:fill="FFFFFF"/>
              <w:autoSpaceDE w:val="0"/>
              <w:autoSpaceDN w:val="0"/>
              <w:adjustRightInd w:val="0"/>
              <w:spacing w:line="240" w:lineRule="auto"/>
              <w:ind w:left="24"/>
              <w:jc w:val="both"/>
              <w:rPr>
                <w:color w:val="000000"/>
                <w:sz w:val="20"/>
                <w:szCs w:val="20"/>
              </w:rPr>
            </w:pPr>
          </w:p>
          <w:p w:rsidR="00C413B5" w:rsidRPr="00370BB1" w:rsidRDefault="00C413B5" w:rsidP="00B93633">
            <w:pPr>
              <w:shd w:val="clear" w:color="auto" w:fill="FFFFFF"/>
              <w:autoSpaceDE w:val="0"/>
              <w:autoSpaceDN w:val="0"/>
              <w:adjustRightInd w:val="0"/>
              <w:spacing w:line="240" w:lineRule="auto"/>
              <w:ind w:left="24"/>
              <w:jc w:val="both"/>
              <w:rPr>
                <w:color w:val="000000"/>
                <w:sz w:val="20"/>
                <w:szCs w:val="20"/>
              </w:rPr>
            </w:pPr>
          </w:p>
        </w:tc>
        <w:tc>
          <w:tcPr>
            <w:tcW w:w="1067" w:type="dxa"/>
            <w:tcBorders>
              <w:top w:val="nil"/>
              <w:left w:val="nil"/>
              <w:bottom w:val="nil"/>
              <w:right w:val="nil"/>
            </w:tcBorders>
            <w:shd w:val="clear" w:color="auto" w:fill="FFFFFF"/>
          </w:tcPr>
          <w:p w:rsidR="00C413B5" w:rsidRPr="00370BB1" w:rsidRDefault="00C413B5" w:rsidP="00B93633">
            <w:pPr>
              <w:shd w:val="clear" w:color="auto" w:fill="FFFFFF"/>
              <w:autoSpaceDE w:val="0"/>
              <w:autoSpaceDN w:val="0"/>
              <w:adjustRightInd w:val="0"/>
              <w:spacing w:line="240" w:lineRule="auto"/>
              <w:ind w:left="24"/>
              <w:jc w:val="both"/>
              <w:rPr>
                <w:color w:val="000000"/>
                <w:sz w:val="20"/>
                <w:szCs w:val="20"/>
              </w:rPr>
            </w:pPr>
          </w:p>
        </w:tc>
      </w:tr>
      <w:tr w:rsidR="00C413B5" w:rsidRPr="00370BB1" w:rsidTr="00B93633">
        <w:trPr>
          <w:trHeight w:val="342"/>
          <w:jc w:val="center"/>
        </w:trPr>
        <w:tc>
          <w:tcPr>
            <w:tcW w:w="1478" w:type="dxa"/>
            <w:tcBorders>
              <w:top w:val="nil"/>
              <w:left w:val="nil"/>
              <w:bottom w:val="single" w:sz="4" w:space="0" w:color="auto"/>
              <w:right w:val="nil"/>
            </w:tcBorders>
            <w:shd w:val="clear" w:color="auto" w:fill="FFFFFF"/>
            <w:hideMark/>
          </w:tcPr>
          <w:p w:rsidR="00C413B5" w:rsidRPr="00370BB1" w:rsidRDefault="00C413B5" w:rsidP="00B93633">
            <w:pPr>
              <w:shd w:val="clear" w:color="auto" w:fill="FFFFFF"/>
              <w:autoSpaceDE w:val="0"/>
              <w:autoSpaceDN w:val="0"/>
              <w:adjustRightInd w:val="0"/>
              <w:spacing w:line="240" w:lineRule="auto"/>
              <w:ind w:left="5"/>
              <w:jc w:val="both"/>
              <w:rPr>
                <w:color w:val="000000"/>
                <w:sz w:val="20"/>
                <w:szCs w:val="20"/>
              </w:rPr>
            </w:pPr>
            <w:r w:rsidRPr="00370BB1">
              <w:rPr>
                <w:color w:val="000000"/>
                <w:spacing w:val="-5"/>
                <w:sz w:val="20"/>
                <w:szCs w:val="20"/>
              </w:rPr>
              <w:t>Total</w:t>
            </w:r>
          </w:p>
        </w:tc>
        <w:tc>
          <w:tcPr>
            <w:tcW w:w="1622" w:type="dxa"/>
            <w:gridSpan w:val="2"/>
            <w:tcBorders>
              <w:top w:val="nil"/>
              <w:left w:val="nil"/>
              <w:bottom w:val="single" w:sz="4" w:space="0" w:color="auto"/>
              <w:right w:val="nil"/>
            </w:tcBorders>
            <w:shd w:val="clear" w:color="auto" w:fill="FFFFFF"/>
            <w:vAlign w:val="center"/>
            <w:hideMark/>
          </w:tcPr>
          <w:p w:rsidR="00C413B5" w:rsidRPr="00370BB1" w:rsidRDefault="00C413B5" w:rsidP="00B93633">
            <w:pPr>
              <w:shd w:val="clear" w:color="auto" w:fill="FFFFFF"/>
              <w:autoSpaceDE w:val="0"/>
              <w:autoSpaceDN w:val="0"/>
              <w:adjustRightInd w:val="0"/>
              <w:spacing w:line="240" w:lineRule="auto"/>
              <w:jc w:val="both"/>
              <w:rPr>
                <w:color w:val="000000"/>
                <w:sz w:val="20"/>
                <w:szCs w:val="20"/>
              </w:rPr>
            </w:pPr>
            <w:r w:rsidRPr="00370BB1">
              <w:rPr>
                <w:color w:val="000000"/>
                <w:sz w:val="20"/>
                <w:szCs w:val="20"/>
              </w:rPr>
              <w:t>22451.200</w:t>
            </w:r>
          </w:p>
        </w:tc>
        <w:tc>
          <w:tcPr>
            <w:tcW w:w="749" w:type="dxa"/>
            <w:gridSpan w:val="2"/>
            <w:tcBorders>
              <w:top w:val="nil"/>
              <w:left w:val="nil"/>
              <w:bottom w:val="single" w:sz="4" w:space="0" w:color="auto"/>
              <w:right w:val="nil"/>
            </w:tcBorders>
            <w:shd w:val="clear" w:color="auto" w:fill="FFFFFF"/>
            <w:vAlign w:val="center"/>
            <w:hideMark/>
          </w:tcPr>
          <w:p w:rsidR="00C413B5" w:rsidRPr="00370BB1" w:rsidRDefault="00C413B5" w:rsidP="00B93633">
            <w:pPr>
              <w:shd w:val="clear" w:color="auto" w:fill="FFFFFF"/>
              <w:autoSpaceDE w:val="0"/>
              <w:autoSpaceDN w:val="0"/>
              <w:adjustRightInd w:val="0"/>
              <w:spacing w:line="240" w:lineRule="auto"/>
              <w:jc w:val="both"/>
              <w:rPr>
                <w:color w:val="000000"/>
                <w:sz w:val="20"/>
                <w:szCs w:val="20"/>
              </w:rPr>
            </w:pPr>
            <w:r w:rsidRPr="00370BB1">
              <w:rPr>
                <w:color w:val="000000"/>
                <w:sz w:val="20"/>
                <w:szCs w:val="20"/>
              </w:rPr>
              <w:t>499</w:t>
            </w:r>
          </w:p>
        </w:tc>
        <w:tc>
          <w:tcPr>
            <w:tcW w:w="1670" w:type="dxa"/>
            <w:tcBorders>
              <w:top w:val="nil"/>
              <w:left w:val="nil"/>
              <w:bottom w:val="single" w:sz="4" w:space="0" w:color="auto"/>
              <w:right w:val="nil"/>
            </w:tcBorders>
            <w:shd w:val="clear" w:color="auto" w:fill="FFFFFF"/>
          </w:tcPr>
          <w:p w:rsidR="00C413B5" w:rsidRPr="00370BB1" w:rsidRDefault="00C413B5" w:rsidP="00B93633">
            <w:pPr>
              <w:shd w:val="clear" w:color="auto" w:fill="FFFFFF"/>
              <w:autoSpaceDE w:val="0"/>
              <w:autoSpaceDN w:val="0"/>
              <w:adjustRightInd w:val="0"/>
              <w:spacing w:line="240" w:lineRule="auto"/>
              <w:jc w:val="both"/>
              <w:rPr>
                <w:color w:val="000000"/>
                <w:sz w:val="20"/>
                <w:szCs w:val="20"/>
              </w:rPr>
            </w:pPr>
          </w:p>
        </w:tc>
        <w:tc>
          <w:tcPr>
            <w:tcW w:w="998" w:type="dxa"/>
            <w:gridSpan w:val="2"/>
            <w:tcBorders>
              <w:top w:val="nil"/>
              <w:left w:val="nil"/>
              <w:bottom w:val="single" w:sz="4" w:space="0" w:color="auto"/>
              <w:right w:val="nil"/>
            </w:tcBorders>
            <w:shd w:val="clear" w:color="auto" w:fill="FFFFFF"/>
          </w:tcPr>
          <w:p w:rsidR="00C413B5" w:rsidRPr="00370BB1" w:rsidRDefault="00C413B5" w:rsidP="00B93633">
            <w:pPr>
              <w:shd w:val="clear" w:color="auto" w:fill="FFFFFF"/>
              <w:autoSpaceDE w:val="0"/>
              <w:autoSpaceDN w:val="0"/>
              <w:adjustRightInd w:val="0"/>
              <w:spacing w:line="240" w:lineRule="auto"/>
              <w:jc w:val="both"/>
              <w:rPr>
                <w:color w:val="000000"/>
                <w:sz w:val="20"/>
                <w:szCs w:val="20"/>
              </w:rPr>
            </w:pPr>
          </w:p>
          <w:p w:rsidR="00C413B5" w:rsidRPr="00370BB1" w:rsidRDefault="00C413B5" w:rsidP="00B93633">
            <w:pPr>
              <w:shd w:val="clear" w:color="auto" w:fill="FFFFFF"/>
              <w:autoSpaceDE w:val="0"/>
              <w:autoSpaceDN w:val="0"/>
              <w:adjustRightInd w:val="0"/>
              <w:spacing w:line="240" w:lineRule="auto"/>
              <w:jc w:val="both"/>
              <w:rPr>
                <w:color w:val="000000"/>
                <w:sz w:val="20"/>
                <w:szCs w:val="20"/>
              </w:rPr>
            </w:pPr>
          </w:p>
        </w:tc>
        <w:tc>
          <w:tcPr>
            <w:tcW w:w="1018" w:type="dxa"/>
            <w:tcBorders>
              <w:top w:val="nil"/>
              <w:left w:val="nil"/>
              <w:bottom w:val="single" w:sz="4" w:space="0" w:color="auto"/>
              <w:right w:val="nil"/>
            </w:tcBorders>
            <w:shd w:val="clear" w:color="auto" w:fill="FFFFFF"/>
          </w:tcPr>
          <w:p w:rsidR="00C413B5" w:rsidRPr="00370BB1" w:rsidRDefault="00C413B5" w:rsidP="00B93633">
            <w:pPr>
              <w:shd w:val="clear" w:color="auto" w:fill="FFFFFF"/>
              <w:autoSpaceDE w:val="0"/>
              <w:autoSpaceDN w:val="0"/>
              <w:adjustRightInd w:val="0"/>
              <w:spacing w:line="240" w:lineRule="auto"/>
              <w:jc w:val="both"/>
              <w:rPr>
                <w:color w:val="000000"/>
                <w:sz w:val="20"/>
                <w:szCs w:val="20"/>
              </w:rPr>
            </w:pPr>
          </w:p>
          <w:p w:rsidR="00C413B5" w:rsidRPr="00370BB1" w:rsidRDefault="00C413B5" w:rsidP="00B93633">
            <w:pPr>
              <w:shd w:val="clear" w:color="auto" w:fill="FFFFFF"/>
              <w:autoSpaceDE w:val="0"/>
              <w:autoSpaceDN w:val="0"/>
              <w:adjustRightInd w:val="0"/>
              <w:spacing w:line="240" w:lineRule="auto"/>
              <w:jc w:val="both"/>
              <w:rPr>
                <w:color w:val="000000"/>
                <w:sz w:val="20"/>
                <w:szCs w:val="20"/>
              </w:rPr>
            </w:pPr>
          </w:p>
        </w:tc>
        <w:tc>
          <w:tcPr>
            <w:tcW w:w="1067" w:type="dxa"/>
            <w:tcBorders>
              <w:top w:val="nil"/>
              <w:left w:val="nil"/>
              <w:bottom w:val="single" w:sz="4" w:space="0" w:color="auto"/>
              <w:right w:val="nil"/>
            </w:tcBorders>
            <w:shd w:val="clear" w:color="auto" w:fill="FFFFFF"/>
          </w:tcPr>
          <w:p w:rsidR="00C413B5" w:rsidRPr="00370BB1" w:rsidRDefault="00C413B5" w:rsidP="00B93633">
            <w:pPr>
              <w:shd w:val="clear" w:color="auto" w:fill="FFFFFF"/>
              <w:autoSpaceDE w:val="0"/>
              <w:autoSpaceDN w:val="0"/>
              <w:adjustRightInd w:val="0"/>
              <w:spacing w:line="240" w:lineRule="auto"/>
              <w:jc w:val="both"/>
              <w:rPr>
                <w:color w:val="000000"/>
                <w:sz w:val="20"/>
                <w:szCs w:val="20"/>
              </w:rPr>
            </w:pPr>
          </w:p>
        </w:tc>
      </w:tr>
    </w:tbl>
    <w:p w:rsidR="00C413B5" w:rsidRPr="00370BB1" w:rsidRDefault="00C413B5" w:rsidP="00B93633">
      <w:pPr>
        <w:spacing w:line="240" w:lineRule="auto"/>
        <w:jc w:val="both"/>
        <w:rPr>
          <w:color w:val="000000"/>
          <w:spacing w:val="4"/>
          <w:sz w:val="20"/>
          <w:szCs w:val="20"/>
        </w:rPr>
      </w:pPr>
      <w:r w:rsidRPr="00370BB1">
        <w:rPr>
          <w:color w:val="000000"/>
          <w:spacing w:val="4"/>
          <w:sz w:val="20"/>
          <w:szCs w:val="20"/>
        </w:rPr>
        <w:lastRenderedPageBreak/>
        <w:t xml:space="preserve"> </w:t>
      </w:r>
    </w:p>
    <w:p w:rsidR="00C413B5" w:rsidRPr="00370BB1" w:rsidRDefault="00C413B5" w:rsidP="00B93633">
      <w:pPr>
        <w:spacing w:line="240" w:lineRule="auto"/>
        <w:jc w:val="both"/>
        <w:rPr>
          <w:color w:val="0E101A"/>
          <w:sz w:val="20"/>
          <w:szCs w:val="20"/>
        </w:rPr>
      </w:pPr>
      <w:r w:rsidRPr="00370BB1">
        <w:rPr>
          <w:color w:val="0E101A"/>
          <w:sz w:val="20"/>
          <w:szCs w:val="20"/>
        </w:rPr>
        <w:t xml:space="preserve"> </w:t>
      </w:r>
    </w:p>
    <w:p w:rsidR="00C413B5" w:rsidRPr="00370BB1" w:rsidRDefault="00C413B5" w:rsidP="00B93633">
      <w:pPr>
        <w:spacing w:line="240" w:lineRule="auto"/>
        <w:jc w:val="both"/>
        <w:rPr>
          <w:color w:val="0E101A"/>
          <w:sz w:val="20"/>
          <w:szCs w:val="20"/>
        </w:rPr>
      </w:pPr>
      <w:r w:rsidRPr="00370BB1">
        <w:rPr>
          <w:color w:val="0E101A"/>
          <w:sz w:val="20"/>
          <w:szCs w:val="20"/>
        </w:rPr>
        <w:t>Table 2   revealed that there is a significant influence of internet addiction on psychological adjustment among secondary school students, with a p-value of (.000) less than (0.05). The result also indicated that internet addiction yielded a coefficient of multiple correlations (R) of 0.239 and multiple correlations square R</w:t>
      </w:r>
      <w:r w:rsidRPr="00370BB1">
        <w:rPr>
          <w:color w:val="0E101A"/>
          <w:sz w:val="20"/>
          <w:szCs w:val="20"/>
          <w:vertAlign w:val="superscript"/>
        </w:rPr>
        <w:t>2</w:t>
      </w:r>
      <w:r w:rsidRPr="00370BB1">
        <w:rPr>
          <w:color w:val="0E101A"/>
          <w:sz w:val="20"/>
          <w:szCs w:val="20"/>
        </w:rPr>
        <w:t xml:space="preserve"> of 0.057. This shows that about 5.7% of the total variance of psychological adjustment among secondary school students in the Ibadan metropolis, Oyo state, Nigeria, was accounted for by the linear contribution of internet addiction. In comparison, the remaining 94.3% could be assigned to other estranged factors not considered in this study. The result in Table 2 also indicated that internet addiction had a significant influence on psychological adjustment (</w:t>
      </w:r>
      <w:proofErr w:type="gramStart"/>
      <w:r w:rsidRPr="00370BB1">
        <w:rPr>
          <w:color w:val="0E101A"/>
          <w:sz w:val="20"/>
          <w:szCs w:val="20"/>
        </w:rPr>
        <w:t>F(</w:t>
      </w:r>
      <w:proofErr w:type="gramEnd"/>
      <w:r w:rsidRPr="00370BB1">
        <w:rPr>
          <w:color w:val="0E101A"/>
          <w:sz w:val="20"/>
          <w:szCs w:val="20"/>
        </w:rPr>
        <w:t>1,499) = 30.19; p &lt; 0.05) among secondary school students in Ibadan metropolis, Oyo state, Nigeria.</w:t>
      </w:r>
    </w:p>
    <w:p w:rsidR="00C413B5" w:rsidRPr="00370BB1" w:rsidRDefault="00C413B5" w:rsidP="00C413B5">
      <w:pPr>
        <w:jc w:val="both"/>
        <w:rPr>
          <w:color w:val="0E101A"/>
          <w:sz w:val="20"/>
          <w:szCs w:val="20"/>
        </w:rPr>
      </w:pPr>
      <w:r w:rsidRPr="00370BB1">
        <w:rPr>
          <w:color w:val="0E101A"/>
          <w:sz w:val="20"/>
          <w:szCs w:val="20"/>
        </w:rPr>
        <w:t xml:space="preserve"> </w:t>
      </w:r>
    </w:p>
    <w:p w:rsidR="00C413B5" w:rsidRPr="00370BB1" w:rsidRDefault="00C413B5" w:rsidP="00C413B5">
      <w:pPr>
        <w:jc w:val="both"/>
        <w:rPr>
          <w:color w:val="0E101A"/>
          <w:sz w:val="20"/>
          <w:szCs w:val="20"/>
        </w:rPr>
      </w:pPr>
      <w:r w:rsidRPr="00370BB1">
        <w:rPr>
          <w:color w:val="0E101A"/>
          <w:sz w:val="20"/>
          <w:szCs w:val="20"/>
        </w:rPr>
        <w:t xml:space="preserve">Hypothesis two stated that Internet game addiction would significantly influence psychological adjustment among secondary school students in the Ibadan metropolis, Oyo state, Nigeria. This was </w:t>
      </w:r>
      <w:proofErr w:type="spellStart"/>
      <w:r w:rsidRPr="00370BB1">
        <w:rPr>
          <w:color w:val="0E101A"/>
          <w:sz w:val="20"/>
          <w:szCs w:val="20"/>
        </w:rPr>
        <w:t>analysed</w:t>
      </w:r>
      <w:proofErr w:type="spellEnd"/>
      <w:r w:rsidRPr="00370BB1">
        <w:rPr>
          <w:color w:val="0E101A"/>
          <w:sz w:val="20"/>
          <w:szCs w:val="20"/>
        </w:rPr>
        <w:t xml:space="preserve"> using a multiple regression statistical tool, and the result is presented in Table 3.</w:t>
      </w:r>
    </w:p>
    <w:p w:rsidR="00C413B5" w:rsidRPr="00370BB1" w:rsidRDefault="00C413B5" w:rsidP="00C413B5">
      <w:pPr>
        <w:jc w:val="both"/>
        <w:rPr>
          <w:b/>
          <w:bCs/>
          <w:color w:val="0E101A"/>
          <w:sz w:val="20"/>
          <w:szCs w:val="20"/>
        </w:rPr>
      </w:pPr>
      <w:r w:rsidRPr="00370BB1">
        <w:rPr>
          <w:b/>
          <w:bCs/>
          <w:color w:val="0E101A"/>
          <w:sz w:val="20"/>
          <w:szCs w:val="20"/>
        </w:rPr>
        <w:t xml:space="preserve"> </w:t>
      </w:r>
    </w:p>
    <w:p w:rsidR="00C413B5" w:rsidRPr="00370BB1" w:rsidRDefault="00C413B5" w:rsidP="00C413B5">
      <w:pPr>
        <w:jc w:val="both"/>
        <w:rPr>
          <w:color w:val="0E101A"/>
          <w:sz w:val="20"/>
          <w:szCs w:val="20"/>
        </w:rPr>
      </w:pPr>
      <w:r w:rsidRPr="00370BB1">
        <w:rPr>
          <w:b/>
          <w:bCs/>
          <w:color w:val="0E101A"/>
          <w:sz w:val="20"/>
          <w:szCs w:val="20"/>
        </w:rPr>
        <w:t>Table 3</w:t>
      </w:r>
    </w:p>
    <w:p w:rsidR="00C413B5" w:rsidRPr="00370BB1" w:rsidRDefault="00C413B5" w:rsidP="00B93633">
      <w:pPr>
        <w:spacing w:line="240" w:lineRule="auto"/>
        <w:jc w:val="both"/>
        <w:rPr>
          <w:color w:val="0E101A"/>
          <w:sz w:val="20"/>
          <w:szCs w:val="20"/>
        </w:rPr>
      </w:pPr>
      <w:r w:rsidRPr="00370BB1">
        <w:rPr>
          <w:i/>
          <w:iCs/>
          <w:color w:val="0E101A"/>
          <w:sz w:val="20"/>
          <w:szCs w:val="20"/>
        </w:rPr>
        <w:t>Regression Analysis of prediction of Psychological Adjustment by MGA among Secondary School adolescents.</w:t>
      </w:r>
    </w:p>
    <w:tbl>
      <w:tblPr>
        <w:tblW w:w="0" w:type="auto"/>
        <w:jc w:val="center"/>
        <w:tblBorders>
          <w:top w:val="single" w:sz="4" w:space="0" w:color="auto"/>
          <w:bottom w:val="single" w:sz="4" w:space="0" w:color="auto"/>
        </w:tblBorders>
        <w:tblLayout w:type="fixed"/>
        <w:tblCellMar>
          <w:left w:w="40" w:type="dxa"/>
          <w:right w:w="40" w:type="dxa"/>
        </w:tblCellMar>
        <w:tblLook w:val="04A0" w:firstRow="1" w:lastRow="0" w:firstColumn="1" w:lastColumn="0" w:noHBand="0" w:noVBand="1"/>
      </w:tblPr>
      <w:tblGrid>
        <w:gridCol w:w="1478"/>
        <w:gridCol w:w="10"/>
        <w:gridCol w:w="1612"/>
        <w:gridCol w:w="20"/>
        <w:gridCol w:w="729"/>
        <w:gridCol w:w="1670"/>
        <w:gridCol w:w="107"/>
        <w:gridCol w:w="891"/>
        <w:gridCol w:w="1018"/>
        <w:gridCol w:w="1067"/>
      </w:tblGrid>
      <w:tr w:rsidR="00C413B5" w:rsidRPr="00370BB1" w:rsidTr="00B93633">
        <w:trPr>
          <w:trHeight w:val="298"/>
          <w:jc w:val="center"/>
        </w:trPr>
        <w:tc>
          <w:tcPr>
            <w:tcW w:w="1488" w:type="dxa"/>
            <w:gridSpan w:val="2"/>
            <w:tcBorders>
              <w:top w:val="single" w:sz="4" w:space="0" w:color="auto"/>
              <w:left w:val="nil"/>
              <w:bottom w:val="single" w:sz="4" w:space="0" w:color="auto"/>
              <w:right w:val="nil"/>
            </w:tcBorders>
            <w:shd w:val="clear" w:color="auto" w:fill="FFFFFF"/>
            <w:hideMark/>
          </w:tcPr>
          <w:p w:rsidR="00C413B5" w:rsidRPr="00370BB1" w:rsidRDefault="00C413B5" w:rsidP="00B93633">
            <w:pPr>
              <w:shd w:val="clear" w:color="auto" w:fill="FFFFFF"/>
              <w:autoSpaceDE w:val="0"/>
              <w:autoSpaceDN w:val="0"/>
              <w:adjustRightInd w:val="0"/>
              <w:spacing w:line="240" w:lineRule="auto"/>
              <w:jc w:val="both"/>
              <w:rPr>
                <w:b/>
                <w:color w:val="000000"/>
                <w:sz w:val="20"/>
                <w:szCs w:val="20"/>
              </w:rPr>
            </w:pPr>
            <w:r w:rsidRPr="00370BB1">
              <w:rPr>
                <w:b/>
                <w:color w:val="000000"/>
                <w:sz w:val="20"/>
                <w:szCs w:val="20"/>
              </w:rPr>
              <w:t>R</w:t>
            </w:r>
          </w:p>
        </w:tc>
        <w:tc>
          <w:tcPr>
            <w:tcW w:w="1632" w:type="dxa"/>
            <w:gridSpan w:val="2"/>
            <w:tcBorders>
              <w:top w:val="single" w:sz="4" w:space="0" w:color="auto"/>
              <w:left w:val="nil"/>
              <w:bottom w:val="single" w:sz="4" w:space="0" w:color="auto"/>
              <w:right w:val="nil"/>
            </w:tcBorders>
            <w:shd w:val="clear" w:color="auto" w:fill="FFFFFF"/>
            <w:hideMark/>
          </w:tcPr>
          <w:p w:rsidR="00C413B5" w:rsidRPr="00370BB1" w:rsidRDefault="00C413B5" w:rsidP="00B93633">
            <w:pPr>
              <w:shd w:val="clear" w:color="auto" w:fill="FFFFFF"/>
              <w:autoSpaceDE w:val="0"/>
              <w:autoSpaceDN w:val="0"/>
              <w:adjustRightInd w:val="0"/>
              <w:spacing w:line="240" w:lineRule="auto"/>
              <w:jc w:val="both"/>
              <w:rPr>
                <w:b/>
                <w:color w:val="000000"/>
                <w:sz w:val="20"/>
                <w:szCs w:val="20"/>
              </w:rPr>
            </w:pPr>
            <w:r w:rsidRPr="00370BB1">
              <w:rPr>
                <w:b/>
                <w:color w:val="000000"/>
                <w:spacing w:val="-3"/>
                <w:sz w:val="20"/>
                <w:szCs w:val="20"/>
              </w:rPr>
              <w:t>R</w:t>
            </w:r>
            <w:r w:rsidRPr="00370BB1">
              <w:rPr>
                <w:b/>
                <w:color w:val="000000"/>
                <w:spacing w:val="-3"/>
                <w:sz w:val="20"/>
                <w:szCs w:val="20"/>
                <w:vertAlign w:val="superscript"/>
              </w:rPr>
              <w:t>2</w:t>
            </w:r>
          </w:p>
        </w:tc>
        <w:tc>
          <w:tcPr>
            <w:tcW w:w="2506" w:type="dxa"/>
            <w:gridSpan w:val="3"/>
            <w:tcBorders>
              <w:top w:val="single" w:sz="4" w:space="0" w:color="auto"/>
              <w:left w:val="nil"/>
              <w:bottom w:val="single" w:sz="4" w:space="0" w:color="auto"/>
              <w:right w:val="nil"/>
            </w:tcBorders>
            <w:shd w:val="clear" w:color="auto" w:fill="FFFFFF"/>
            <w:hideMark/>
          </w:tcPr>
          <w:p w:rsidR="00C413B5" w:rsidRPr="00370BB1" w:rsidRDefault="00C413B5" w:rsidP="00B93633">
            <w:pPr>
              <w:shd w:val="clear" w:color="auto" w:fill="FFFFFF"/>
              <w:autoSpaceDE w:val="0"/>
              <w:autoSpaceDN w:val="0"/>
              <w:adjustRightInd w:val="0"/>
              <w:spacing w:line="240" w:lineRule="auto"/>
              <w:jc w:val="both"/>
              <w:rPr>
                <w:b/>
                <w:color w:val="000000"/>
                <w:sz w:val="20"/>
                <w:szCs w:val="20"/>
              </w:rPr>
            </w:pPr>
            <w:r w:rsidRPr="00370BB1">
              <w:rPr>
                <w:bCs/>
                <w:color w:val="000000"/>
                <w:sz w:val="20"/>
                <w:szCs w:val="20"/>
              </w:rPr>
              <w:t>ΔR</w:t>
            </w:r>
            <w:r w:rsidRPr="00370BB1">
              <w:rPr>
                <w:bCs/>
                <w:color w:val="000000"/>
                <w:sz w:val="20"/>
                <w:szCs w:val="20"/>
                <w:vertAlign w:val="superscript"/>
              </w:rPr>
              <w:t>2</w:t>
            </w:r>
          </w:p>
        </w:tc>
        <w:tc>
          <w:tcPr>
            <w:tcW w:w="2976" w:type="dxa"/>
            <w:gridSpan w:val="3"/>
            <w:tcBorders>
              <w:top w:val="single" w:sz="4" w:space="0" w:color="auto"/>
              <w:left w:val="nil"/>
              <w:bottom w:val="single" w:sz="4" w:space="0" w:color="auto"/>
              <w:right w:val="nil"/>
            </w:tcBorders>
            <w:shd w:val="clear" w:color="auto" w:fill="FFFFFF"/>
            <w:hideMark/>
          </w:tcPr>
          <w:p w:rsidR="00C413B5" w:rsidRPr="00370BB1" w:rsidRDefault="00C413B5" w:rsidP="00B93633">
            <w:pPr>
              <w:shd w:val="clear" w:color="auto" w:fill="FFFFFF"/>
              <w:autoSpaceDE w:val="0"/>
              <w:autoSpaceDN w:val="0"/>
              <w:adjustRightInd w:val="0"/>
              <w:spacing w:line="240" w:lineRule="auto"/>
              <w:jc w:val="both"/>
              <w:rPr>
                <w:b/>
                <w:color w:val="000000"/>
                <w:sz w:val="20"/>
                <w:szCs w:val="20"/>
              </w:rPr>
            </w:pPr>
            <w:r w:rsidRPr="00370BB1">
              <w:rPr>
                <w:b/>
                <w:color w:val="000000"/>
                <w:spacing w:val="-2"/>
                <w:sz w:val="20"/>
                <w:szCs w:val="20"/>
              </w:rPr>
              <w:t>Std. Error of the Estimate</w:t>
            </w:r>
          </w:p>
        </w:tc>
      </w:tr>
      <w:tr w:rsidR="00C413B5" w:rsidRPr="00370BB1" w:rsidTr="00B93633">
        <w:trPr>
          <w:trHeight w:val="271"/>
          <w:jc w:val="center"/>
        </w:trPr>
        <w:tc>
          <w:tcPr>
            <w:tcW w:w="1488" w:type="dxa"/>
            <w:gridSpan w:val="2"/>
            <w:tcBorders>
              <w:top w:val="single" w:sz="4" w:space="0" w:color="auto"/>
              <w:left w:val="nil"/>
              <w:bottom w:val="single" w:sz="4" w:space="0" w:color="auto"/>
              <w:right w:val="nil"/>
            </w:tcBorders>
            <w:shd w:val="clear" w:color="auto" w:fill="FFFFFF"/>
            <w:vAlign w:val="center"/>
            <w:hideMark/>
          </w:tcPr>
          <w:p w:rsidR="00C413B5" w:rsidRPr="00370BB1" w:rsidRDefault="00C413B5" w:rsidP="00B93633">
            <w:pPr>
              <w:autoSpaceDE w:val="0"/>
              <w:autoSpaceDN w:val="0"/>
              <w:adjustRightInd w:val="0"/>
              <w:spacing w:line="240" w:lineRule="auto"/>
              <w:ind w:left="60" w:right="60"/>
              <w:jc w:val="both"/>
              <w:rPr>
                <w:color w:val="000000"/>
                <w:sz w:val="20"/>
                <w:szCs w:val="20"/>
              </w:rPr>
            </w:pPr>
            <w:r w:rsidRPr="00370BB1">
              <w:rPr>
                <w:color w:val="000000"/>
                <w:sz w:val="20"/>
                <w:szCs w:val="20"/>
              </w:rPr>
              <w:t>.314</w:t>
            </w:r>
          </w:p>
        </w:tc>
        <w:tc>
          <w:tcPr>
            <w:tcW w:w="1632" w:type="dxa"/>
            <w:gridSpan w:val="2"/>
            <w:tcBorders>
              <w:top w:val="single" w:sz="4" w:space="0" w:color="auto"/>
              <w:left w:val="nil"/>
              <w:bottom w:val="single" w:sz="4" w:space="0" w:color="auto"/>
              <w:right w:val="nil"/>
            </w:tcBorders>
            <w:shd w:val="clear" w:color="auto" w:fill="FFFFFF"/>
            <w:vAlign w:val="center"/>
            <w:hideMark/>
          </w:tcPr>
          <w:p w:rsidR="00C413B5" w:rsidRPr="00370BB1" w:rsidRDefault="00C413B5" w:rsidP="00B93633">
            <w:pPr>
              <w:autoSpaceDE w:val="0"/>
              <w:autoSpaceDN w:val="0"/>
              <w:adjustRightInd w:val="0"/>
              <w:spacing w:line="240" w:lineRule="auto"/>
              <w:ind w:left="60" w:right="60"/>
              <w:jc w:val="both"/>
              <w:rPr>
                <w:color w:val="000000"/>
                <w:sz w:val="20"/>
                <w:szCs w:val="20"/>
              </w:rPr>
            </w:pPr>
            <w:r w:rsidRPr="00370BB1">
              <w:rPr>
                <w:color w:val="000000"/>
                <w:sz w:val="20"/>
                <w:szCs w:val="20"/>
              </w:rPr>
              <w:t>.099</w:t>
            </w:r>
          </w:p>
        </w:tc>
        <w:tc>
          <w:tcPr>
            <w:tcW w:w="2506" w:type="dxa"/>
            <w:gridSpan w:val="3"/>
            <w:tcBorders>
              <w:top w:val="single" w:sz="4" w:space="0" w:color="auto"/>
              <w:left w:val="nil"/>
              <w:bottom w:val="single" w:sz="4" w:space="0" w:color="auto"/>
              <w:right w:val="nil"/>
            </w:tcBorders>
            <w:shd w:val="clear" w:color="auto" w:fill="FFFFFF"/>
            <w:vAlign w:val="center"/>
            <w:hideMark/>
          </w:tcPr>
          <w:p w:rsidR="00C413B5" w:rsidRPr="00370BB1" w:rsidRDefault="00C413B5" w:rsidP="00B93633">
            <w:pPr>
              <w:autoSpaceDE w:val="0"/>
              <w:autoSpaceDN w:val="0"/>
              <w:adjustRightInd w:val="0"/>
              <w:spacing w:line="240" w:lineRule="auto"/>
              <w:ind w:left="60" w:right="60"/>
              <w:jc w:val="both"/>
              <w:rPr>
                <w:color w:val="000000"/>
                <w:sz w:val="20"/>
                <w:szCs w:val="20"/>
              </w:rPr>
            </w:pPr>
            <w:r w:rsidRPr="00370BB1">
              <w:rPr>
                <w:color w:val="000000"/>
                <w:sz w:val="20"/>
                <w:szCs w:val="20"/>
              </w:rPr>
              <w:t>.097</w:t>
            </w:r>
          </w:p>
        </w:tc>
        <w:tc>
          <w:tcPr>
            <w:tcW w:w="2976" w:type="dxa"/>
            <w:gridSpan w:val="3"/>
            <w:tcBorders>
              <w:top w:val="single" w:sz="4" w:space="0" w:color="auto"/>
              <w:left w:val="nil"/>
              <w:bottom w:val="single" w:sz="4" w:space="0" w:color="auto"/>
              <w:right w:val="nil"/>
            </w:tcBorders>
            <w:shd w:val="clear" w:color="auto" w:fill="FFFFFF"/>
            <w:vAlign w:val="center"/>
            <w:hideMark/>
          </w:tcPr>
          <w:p w:rsidR="00C413B5" w:rsidRPr="00370BB1" w:rsidRDefault="00C413B5" w:rsidP="00B93633">
            <w:pPr>
              <w:autoSpaceDE w:val="0"/>
              <w:autoSpaceDN w:val="0"/>
              <w:adjustRightInd w:val="0"/>
              <w:spacing w:line="240" w:lineRule="auto"/>
              <w:ind w:left="60" w:right="60"/>
              <w:jc w:val="both"/>
              <w:rPr>
                <w:color w:val="000000"/>
                <w:sz w:val="20"/>
                <w:szCs w:val="20"/>
              </w:rPr>
            </w:pPr>
            <w:r w:rsidRPr="00370BB1">
              <w:rPr>
                <w:color w:val="000000"/>
                <w:sz w:val="20"/>
                <w:szCs w:val="20"/>
              </w:rPr>
              <w:t>6.375</w:t>
            </w:r>
          </w:p>
        </w:tc>
      </w:tr>
      <w:tr w:rsidR="00C413B5" w:rsidRPr="00370BB1" w:rsidTr="00B93633">
        <w:trPr>
          <w:trHeight w:val="262"/>
          <w:jc w:val="center"/>
        </w:trPr>
        <w:tc>
          <w:tcPr>
            <w:tcW w:w="8602" w:type="dxa"/>
            <w:gridSpan w:val="10"/>
            <w:tcBorders>
              <w:top w:val="single" w:sz="4" w:space="0" w:color="auto"/>
              <w:left w:val="nil"/>
              <w:bottom w:val="single" w:sz="4" w:space="0" w:color="auto"/>
              <w:right w:val="nil"/>
            </w:tcBorders>
            <w:shd w:val="clear" w:color="auto" w:fill="FFFFFF"/>
            <w:hideMark/>
          </w:tcPr>
          <w:p w:rsidR="00C413B5" w:rsidRPr="00370BB1" w:rsidRDefault="00C413B5" w:rsidP="00B93633">
            <w:pPr>
              <w:shd w:val="clear" w:color="auto" w:fill="FFFFFF"/>
              <w:autoSpaceDE w:val="0"/>
              <w:autoSpaceDN w:val="0"/>
              <w:adjustRightInd w:val="0"/>
              <w:spacing w:line="240" w:lineRule="auto"/>
              <w:jc w:val="both"/>
              <w:rPr>
                <w:color w:val="000000"/>
                <w:spacing w:val="-10"/>
                <w:sz w:val="20"/>
                <w:szCs w:val="20"/>
              </w:rPr>
            </w:pPr>
            <w:r w:rsidRPr="00370BB1">
              <w:rPr>
                <w:b/>
                <w:bCs/>
                <w:color w:val="000000"/>
                <w:spacing w:val="-2"/>
                <w:sz w:val="20"/>
                <w:szCs w:val="20"/>
              </w:rPr>
              <w:t xml:space="preserve">SUMMARY REGRESSION </w:t>
            </w:r>
            <w:r w:rsidRPr="00370BB1">
              <w:rPr>
                <w:b/>
                <w:color w:val="000000"/>
                <w:spacing w:val="-2"/>
                <w:sz w:val="20"/>
                <w:szCs w:val="20"/>
              </w:rPr>
              <w:t>ANOVA</w:t>
            </w:r>
          </w:p>
        </w:tc>
      </w:tr>
      <w:tr w:rsidR="00C413B5" w:rsidRPr="00370BB1" w:rsidTr="00B93633">
        <w:trPr>
          <w:trHeight w:val="54"/>
          <w:jc w:val="center"/>
        </w:trPr>
        <w:tc>
          <w:tcPr>
            <w:tcW w:w="1478" w:type="dxa"/>
            <w:tcBorders>
              <w:top w:val="single" w:sz="4" w:space="0" w:color="auto"/>
              <w:left w:val="nil"/>
              <w:bottom w:val="single" w:sz="4" w:space="0" w:color="auto"/>
              <w:right w:val="nil"/>
            </w:tcBorders>
            <w:shd w:val="clear" w:color="auto" w:fill="FFFFFF"/>
          </w:tcPr>
          <w:p w:rsidR="00C413B5" w:rsidRPr="00370BB1" w:rsidRDefault="00C413B5" w:rsidP="00B93633">
            <w:pPr>
              <w:shd w:val="clear" w:color="auto" w:fill="FFFFFF"/>
              <w:autoSpaceDE w:val="0"/>
              <w:autoSpaceDN w:val="0"/>
              <w:adjustRightInd w:val="0"/>
              <w:spacing w:line="240" w:lineRule="auto"/>
              <w:jc w:val="both"/>
              <w:rPr>
                <w:color w:val="000000"/>
                <w:sz w:val="20"/>
                <w:szCs w:val="20"/>
              </w:rPr>
            </w:pPr>
          </w:p>
        </w:tc>
        <w:tc>
          <w:tcPr>
            <w:tcW w:w="1622" w:type="dxa"/>
            <w:gridSpan w:val="2"/>
            <w:tcBorders>
              <w:top w:val="single" w:sz="4" w:space="0" w:color="auto"/>
              <w:left w:val="nil"/>
              <w:bottom w:val="single" w:sz="4" w:space="0" w:color="auto"/>
              <w:right w:val="nil"/>
            </w:tcBorders>
            <w:shd w:val="clear" w:color="auto" w:fill="FFFFFF"/>
            <w:hideMark/>
          </w:tcPr>
          <w:p w:rsidR="00C413B5" w:rsidRPr="00370BB1" w:rsidRDefault="00C413B5" w:rsidP="00B93633">
            <w:pPr>
              <w:shd w:val="clear" w:color="auto" w:fill="FFFFFF"/>
              <w:autoSpaceDE w:val="0"/>
              <w:autoSpaceDN w:val="0"/>
              <w:adjustRightInd w:val="0"/>
              <w:spacing w:line="240" w:lineRule="auto"/>
              <w:ind w:left="10" w:right="638" w:firstLine="5"/>
              <w:jc w:val="both"/>
              <w:rPr>
                <w:b/>
                <w:color w:val="000000"/>
                <w:sz w:val="20"/>
                <w:szCs w:val="20"/>
              </w:rPr>
            </w:pPr>
            <w:r w:rsidRPr="00370BB1">
              <w:rPr>
                <w:b/>
                <w:color w:val="000000"/>
                <w:spacing w:val="3"/>
                <w:sz w:val="20"/>
                <w:szCs w:val="20"/>
              </w:rPr>
              <w:t xml:space="preserve">Sum of </w:t>
            </w:r>
            <w:r w:rsidRPr="00370BB1">
              <w:rPr>
                <w:b/>
                <w:color w:val="000000"/>
                <w:spacing w:val="-4"/>
                <w:sz w:val="20"/>
                <w:szCs w:val="20"/>
              </w:rPr>
              <w:t>Squares</w:t>
            </w:r>
          </w:p>
        </w:tc>
        <w:tc>
          <w:tcPr>
            <w:tcW w:w="749" w:type="dxa"/>
            <w:gridSpan w:val="2"/>
            <w:tcBorders>
              <w:top w:val="single" w:sz="4" w:space="0" w:color="auto"/>
              <w:left w:val="nil"/>
              <w:bottom w:val="single" w:sz="4" w:space="0" w:color="auto"/>
              <w:right w:val="nil"/>
            </w:tcBorders>
            <w:shd w:val="clear" w:color="auto" w:fill="FFFFFF"/>
            <w:hideMark/>
          </w:tcPr>
          <w:p w:rsidR="00C413B5" w:rsidRPr="00370BB1" w:rsidRDefault="00C413B5" w:rsidP="00B93633">
            <w:pPr>
              <w:shd w:val="clear" w:color="auto" w:fill="FFFFFF"/>
              <w:autoSpaceDE w:val="0"/>
              <w:autoSpaceDN w:val="0"/>
              <w:adjustRightInd w:val="0"/>
              <w:spacing w:line="240" w:lineRule="auto"/>
              <w:jc w:val="both"/>
              <w:rPr>
                <w:b/>
                <w:color w:val="000000"/>
                <w:sz w:val="20"/>
                <w:szCs w:val="20"/>
              </w:rPr>
            </w:pPr>
            <w:r w:rsidRPr="00370BB1">
              <w:rPr>
                <w:b/>
                <w:color w:val="000000"/>
                <w:sz w:val="20"/>
                <w:szCs w:val="20"/>
              </w:rPr>
              <w:t>Df</w:t>
            </w:r>
          </w:p>
        </w:tc>
        <w:tc>
          <w:tcPr>
            <w:tcW w:w="1670" w:type="dxa"/>
            <w:tcBorders>
              <w:top w:val="single" w:sz="4" w:space="0" w:color="auto"/>
              <w:left w:val="nil"/>
              <w:bottom w:val="single" w:sz="4" w:space="0" w:color="auto"/>
              <w:right w:val="nil"/>
            </w:tcBorders>
            <w:shd w:val="clear" w:color="auto" w:fill="FFFFFF"/>
            <w:hideMark/>
          </w:tcPr>
          <w:p w:rsidR="00C413B5" w:rsidRPr="00370BB1" w:rsidRDefault="00C413B5" w:rsidP="00B93633">
            <w:pPr>
              <w:shd w:val="clear" w:color="auto" w:fill="FFFFFF"/>
              <w:autoSpaceDE w:val="0"/>
              <w:autoSpaceDN w:val="0"/>
              <w:adjustRightInd w:val="0"/>
              <w:spacing w:line="240" w:lineRule="auto"/>
              <w:ind w:left="5"/>
              <w:jc w:val="both"/>
              <w:rPr>
                <w:b/>
                <w:color w:val="000000"/>
                <w:sz w:val="20"/>
                <w:szCs w:val="20"/>
              </w:rPr>
            </w:pPr>
            <w:r w:rsidRPr="00370BB1">
              <w:rPr>
                <w:b/>
                <w:color w:val="000000"/>
                <w:spacing w:val="-4"/>
                <w:sz w:val="20"/>
                <w:szCs w:val="20"/>
              </w:rPr>
              <w:t>Mean Square</w:t>
            </w:r>
          </w:p>
        </w:tc>
        <w:tc>
          <w:tcPr>
            <w:tcW w:w="998" w:type="dxa"/>
            <w:gridSpan w:val="2"/>
            <w:tcBorders>
              <w:top w:val="single" w:sz="4" w:space="0" w:color="auto"/>
              <w:left w:val="nil"/>
              <w:bottom w:val="single" w:sz="4" w:space="0" w:color="auto"/>
              <w:right w:val="nil"/>
            </w:tcBorders>
            <w:shd w:val="clear" w:color="auto" w:fill="FFFFFF"/>
            <w:hideMark/>
          </w:tcPr>
          <w:p w:rsidR="00C413B5" w:rsidRPr="00370BB1" w:rsidRDefault="00C413B5" w:rsidP="00B93633">
            <w:pPr>
              <w:shd w:val="clear" w:color="auto" w:fill="FFFFFF"/>
              <w:autoSpaceDE w:val="0"/>
              <w:autoSpaceDN w:val="0"/>
              <w:adjustRightInd w:val="0"/>
              <w:spacing w:line="240" w:lineRule="auto"/>
              <w:ind w:left="5"/>
              <w:jc w:val="both"/>
              <w:rPr>
                <w:b/>
                <w:color w:val="000000"/>
                <w:sz w:val="20"/>
                <w:szCs w:val="20"/>
              </w:rPr>
            </w:pPr>
            <w:r w:rsidRPr="00370BB1">
              <w:rPr>
                <w:b/>
                <w:color w:val="000000"/>
                <w:sz w:val="20"/>
                <w:szCs w:val="20"/>
              </w:rPr>
              <w:t>F</w:t>
            </w:r>
          </w:p>
        </w:tc>
        <w:tc>
          <w:tcPr>
            <w:tcW w:w="1018" w:type="dxa"/>
            <w:tcBorders>
              <w:top w:val="single" w:sz="4" w:space="0" w:color="auto"/>
              <w:left w:val="nil"/>
              <w:bottom w:val="single" w:sz="4" w:space="0" w:color="auto"/>
              <w:right w:val="nil"/>
            </w:tcBorders>
            <w:shd w:val="clear" w:color="auto" w:fill="FFFFFF"/>
            <w:hideMark/>
          </w:tcPr>
          <w:p w:rsidR="00C413B5" w:rsidRPr="00370BB1" w:rsidRDefault="00C413B5" w:rsidP="00B93633">
            <w:pPr>
              <w:shd w:val="clear" w:color="auto" w:fill="FFFFFF"/>
              <w:autoSpaceDE w:val="0"/>
              <w:autoSpaceDN w:val="0"/>
              <w:adjustRightInd w:val="0"/>
              <w:spacing w:line="240" w:lineRule="auto"/>
              <w:ind w:left="10"/>
              <w:jc w:val="both"/>
              <w:rPr>
                <w:b/>
                <w:color w:val="000000"/>
                <w:sz w:val="20"/>
                <w:szCs w:val="20"/>
              </w:rPr>
            </w:pPr>
            <w:r w:rsidRPr="00370BB1">
              <w:rPr>
                <w:b/>
                <w:color w:val="000000"/>
                <w:sz w:val="20"/>
                <w:szCs w:val="20"/>
              </w:rPr>
              <w:t>P</w:t>
            </w:r>
          </w:p>
        </w:tc>
        <w:tc>
          <w:tcPr>
            <w:tcW w:w="1067" w:type="dxa"/>
            <w:tcBorders>
              <w:top w:val="single" w:sz="4" w:space="0" w:color="auto"/>
              <w:left w:val="nil"/>
              <w:bottom w:val="single" w:sz="4" w:space="0" w:color="auto"/>
              <w:right w:val="nil"/>
            </w:tcBorders>
            <w:shd w:val="clear" w:color="auto" w:fill="FFFFFF"/>
          </w:tcPr>
          <w:p w:rsidR="00C413B5" w:rsidRPr="00370BB1" w:rsidRDefault="00C413B5" w:rsidP="00B93633">
            <w:pPr>
              <w:shd w:val="clear" w:color="auto" w:fill="FFFFFF"/>
              <w:autoSpaceDE w:val="0"/>
              <w:autoSpaceDN w:val="0"/>
              <w:adjustRightInd w:val="0"/>
              <w:spacing w:line="240" w:lineRule="auto"/>
              <w:jc w:val="both"/>
              <w:rPr>
                <w:b/>
                <w:color w:val="000000"/>
                <w:sz w:val="20"/>
                <w:szCs w:val="20"/>
              </w:rPr>
            </w:pPr>
          </w:p>
        </w:tc>
      </w:tr>
      <w:tr w:rsidR="00C413B5" w:rsidRPr="00370BB1" w:rsidTr="00B93633">
        <w:trPr>
          <w:trHeight w:val="54"/>
          <w:jc w:val="center"/>
        </w:trPr>
        <w:tc>
          <w:tcPr>
            <w:tcW w:w="1478" w:type="dxa"/>
            <w:tcBorders>
              <w:top w:val="single" w:sz="4" w:space="0" w:color="auto"/>
              <w:left w:val="nil"/>
              <w:bottom w:val="nil"/>
              <w:right w:val="nil"/>
            </w:tcBorders>
            <w:shd w:val="clear" w:color="auto" w:fill="FFFFFF"/>
            <w:hideMark/>
          </w:tcPr>
          <w:p w:rsidR="00C413B5" w:rsidRPr="00370BB1" w:rsidRDefault="00C413B5" w:rsidP="00B93633">
            <w:pPr>
              <w:shd w:val="clear" w:color="auto" w:fill="FFFFFF"/>
              <w:autoSpaceDE w:val="0"/>
              <w:autoSpaceDN w:val="0"/>
              <w:adjustRightInd w:val="0"/>
              <w:spacing w:line="240" w:lineRule="auto"/>
              <w:ind w:left="5"/>
              <w:jc w:val="both"/>
              <w:rPr>
                <w:color w:val="000000"/>
                <w:sz w:val="20"/>
                <w:szCs w:val="20"/>
              </w:rPr>
            </w:pPr>
            <w:r w:rsidRPr="00370BB1">
              <w:rPr>
                <w:color w:val="000000"/>
                <w:spacing w:val="-4"/>
                <w:sz w:val="20"/>
                <w:szCs w:val="20"/>
              </w:rPr>
              <w:t>Regression</w:t>
            </w:r>
          </w:p>
        </w:tc>
        <w:tc>
          <w:tcPr>
            <w:tcW w:w="1622" w:type="dxa"/>
            <w:gridSpan w:val="2"/>
            <w:tcBorders>
              <w:top w:val="single" w:sz="4" w:space="0" w:color="auto"/>
              <w:left w:val="nil"/>
              <w:bottom w:val="nil"/>
              <w:right w:val="nil"/>
            </w:tcBorders>
            <w:shd w:val="clear" w:color="auto" w:fill="FFFFFF"/>
            <w:vAlign w:val="center"/>
            <w:hideMark/>
          </w:tcPr>
          <w:p w:rsidR="00C413B5" w:rsidRPr="00370BB1" w:rsidRDefault="00C413B5" w:rsidP="00B93633">
            <w:pPr>
              <w:autoSpaceDE w:val="0"/>
              <w:autoSpaceDN w:val="0"/>
              <w:adjustRightInd w:val="0"/>
              <w:spacing w:line="240" w:lineRule="auto"/>
              <w:ind w:left="60" w:right="60"/>
              <w:jc w:val="both"/>
              <w:rPr>
                <w:color w:val="000000"/>
                <w:sz w:val="20"/>
                <w:szCs w:val="20"/>
              </w:rPr>
            </w:pPr>
            <w:r w:rsidRPr="00370BB1">
              <w:rPr>
                <w:color w:val="000000"/>
                <w:sz w:val="20"/>
                <w:szCs w:val="20"/>
              </w:rPr>
              <w:t>2214.297</w:t>
            </w:r>
          </w:p>
        </w:tc>
        <w:tc>
          <w:tcPr>
            <w:tcW w:w="749" w:type="dxa"/>
            <w:gridSpan w:val="2"/>
            <w:tcBorders>
              <w:top w:val="single" w:sz="4" w:space="0" w:color="auto"/>
              <w:left w:val="nil"/>
              <w:bottom w:val="nil"/>
              <w:right w:val="nil"/>
            </w:tcBorders>
            <w:shd w:val="clear" w:color="auto" w:fill="FFFFFF"/>
            <w:vAlign w:val="center"/>
            <w:hideMark/>
          </w:tcPr>
          <w:p w:rsidR="00C413B5" w:rsidRPr="00370BB1" w:rsidRDefault="00C413B5" w:rsidP="00B93633">
            <w:pPr>
              <w:autoSpaceDE w:val="0"/>
              <w:autoSpaceDN w:val="0"/>
              <w:adjustRightInd w:val="0"/>
              <w:spacing w:line="240" w:lineRule="auto"/>
              <w:ind w:left="60" w:right="60"/>
              <w:jc w:val="both"/>
              <w:rPr>
                <w:color w:val="000000"/>
                <w:sz w:val="20"/>
                <w:szCs w:val="20"/>
              </w:rPr>
            </w:pPr>
            <w:r w:rsidRPr="00370BB1">
              <w:rPr>
                <w:color w:val="000000"/>
                <w:sz w:val="20"/>
                <w:szCs w:val="20"/>
              </w:rPr>
              <w:t>1</w:t>
            </w:r>
          </w:p>
        </w:tc>
        <w:tc>
          <w:tcPr>
            <w:tcW w:w="1670" w:type="dxa"/>
            <w:tcBorders>
              <w:top w:val="single" w:sz="4" w:space="0" w:color="auto"/>
              <w:left w:val="nil"/>
              <w:bottom w:val="nil"/>
              <w:right w:val="nil"/>
            </w:tcBorders>
            <w:shd w:val="clear" w:color="auto" w:fill="FFFFFF"/>
            <w:vAlign w:val="center"/>
            <w:hideMark/>
          </w:tcPr>
          <w:p w:rsidR="00C413B5" w:rsidRPr="00370BB1" w:rsidRDefault="00C413B5" w:rsidP="00B93633">
            <w:pPr>
              <w:autoSpaceDE w:val="0"/>
              <w:autoSpaceDN w:val="0"/>
              <w:adjustRightInd w:val="0"/>
              <w:spacing w:line="240" w:lineRule="auto"/>
              <w:ind w:left="60" w:right="60"/>
              <w:jc w:val="both"/>
              <w:rPr>
                <w:color w:val="000000"/>
                <w:sz w:val="20"/>
                <w:szCs w:val="20"/>
              </w:rPr>
            </w:pPr>
            <w:r w:rsidRPr="00370BB1">
              <w:rPr>
                <w:color w:val="000000"/>
                <w:sz w:val="20"/>
                <w:szCs w:val="20"/>
              </w:rPr>
              <w:t>2214.297</w:t>
            </w:r>
          </w:p>
        </w:tc>
        <w:tc>
          <w:tcPr>
            <w:tcW w:w="998" w:type="dxa"/>
            <w:gridSpan w:val="2"/>
            <w:tcBorders>
              <w:top w:val="nil"/>
              <w:left w:val="nil"/>
              <w:bottom w:val="nil"/>
              <w:right w:val="nil"/>
            </w:tcBorders>
            <w:shd w:val="clear" w:color="auto" w:fill="FFFFFF"/>
            <w:vAlign w:val="center"/>
          </w:tcPr>
          <w:p w:rsidR="00C413B5" w:rsidRPr="00370BB1" w:rsidRDefault="00C413B5" w:rsidP="00B93633">
            <w:pPr>
              <w:autoSpaceDE w:val="0"/>
              <w:autoSpaceDN w:val="0"/>
              <w:adjustRightInd w:val="0"/>
              <w:spacing w:line="240" w:lineRule="auto"/>
              <w:ind w:left="60" w:right="60"/>
              <w:jc w:val="both"/>
              <w:rPr>
                <w:color w:val="000000"/>
                <w:sz w:val="20"/>
                <w:szCs w:val="20"/>
              </w:rPr>
            </w:pPr>
            <w:r w:rsidRPr="00370BB1">
              <w:rPr>
                <w:color w:val="000000"/>
                <w:sz w:val="20"/>
                <w:szCs w:val="20"/>
              </w:rPr>
              <w:t>54.491</w:t>
            </w:r>
          </w:p>
          <w:p w:rsidR="00C413B5" w:rsidRPr="00370BB1" w:rsidRDefault="00C413B5" w:rsidP="00B93633">
            <w:pPr>
              <w:autoSpaceDE w:val="0"/>
              <w:autoSpaceDN w:val="0"/>
              <w:adjustRightInd w:val="0"/>
              <w:spacing w:line="240" w:lineRule="auto"/>
              <w:ind w:left="60" w:right="60"/>
              <w:jc w:val="both"/>
              <w:rPr>
                <w:color w:val="000000"/>
                <w:sz w:val="20"/>
                <w:szCs w:val="20"/>
              </w:rPr>
            </w:pPr>
          </w:p>
        </w:tc>
        <w:tc>
          <w:tcPr>
            <w:tcW w:w="1018" w:type="dxa"/>
            <w:tcBorders>
              <w:top w:val="nil"/>
              <w:left w:val="nil"/>
              <w:bottom w:val="nil"/>
              <w:right w:val="nil"/>
            </w:tcBorders>
            <w:shd w:val="clear" w:color="auto" w:fill="FFFFFF"/>
            <w:vAlign w:val="center"/>
          </w:tcPr>
          <w:p w:rsidR="00C413B5" w:rsidRPr="00370BB1" w:rsidRDefault="00C413B5" w:rsidP="00B93633">
            <w:pPr>
              <w:autoSpaceDE w:val="0"/>
              <w:autoSpaceDN w:val="0"/>
              <w:adjustRightInd w:val="0"/>
              <w:spacing w:line="240" w:lineRule="auto"/>
              <w:ind w:left="60" w:right="60"/>
              <w:jc w:val="both"/>
              <w:rPr>
                <w:color w:val="000000"/>
                <w:sz w:val="20"/>
                <w:szCs w:val="20"/>
              </w:rPr>
            </w:pPr>
            <w:r w:rsidRPr="00370BB1">
              <w:rPr>
                <w:color w:val="000000"/>
                <w:sz w:val="20"/>
                <w:szCs w:val="20"/>
              </w:rPr>
              <w:t>.000</w:t>
            </w:r>
          </w:p>
          <w:p w:rsidR="00C413B5" w:rsidRPr="00370BB1" w:rsidRDefault="00C413B5" w:rsidP="00B93633">
            <w:pPr>
              <w:autoSpaceDE w:val="0"/>
              <w:autoSpaceDN w:val="0"/>
              <w:adjustRightInd w:val="0"/>
              <w:spacing w:line="240" w:lineRule="auto"/>
              <w:ind w:left="60" w:right="60"/>
              <w:jc w:val="both"/>
              <w:rPr>
                <w:color w:val="000000"/>
                <w:sz w:val="20"/>
                <w:szCs w:val="20"/>
              </w:rPr>
            </w:pPr>
          </w:p>
        </w:tc>
        <w:tc>
          <w:tcPr>
            <w:tcW w:w="1067" w:type="dxa"/>
            <w:tcBorders>
              <w:top w:val="nil"/>
              <w:left w:val="nil"/>
              <w:bottom w:val="nil"/>
              <w:right w:val="nil"/>
            </w:tcBorders>
            <w:shd w:val="clear" w:color="auto" w:fill="FFFFFF"/>
          </w:tcPr>
          <w:p w:rsidR="00C413B5" w:rsidRPr="00370BB1" w:rsidRDefault="00C413B5" w:rsidP="00B93633">
            <w:pPr>
              <w:shd w:val="clear" w:color="auto" w:fill="FFFFFF"/>
              <w:autoSpaceDE w:val="0"/>
              <w:autoSpaceDN w:val="0"/>
              <w:adjustRightInd w:val="0"/>
              <w:spacing w:line="240" w:lineRule="auto"/>
              <w:ind w:left="5"/>
              <w:jc w:val="both"/>
              <w:rPr>
                <w:color w:val="000000"/>
                <w:sz w:val="20"/>
                <w:szCs w:val="20"/>
              </w:rPr>
            </w:pPr>
          </w:p>
        </w:tc>
      </w:tr>
      <w:tr w:rsidR="00C413B5" w:rsidRPr="00370BB1" w:rsidTr="00B93633">
        <w:trPr>
          <w:trHeight w:val="171"/>
          <w:jc w:val="center"/>
        </w:trPr>
        <w:tc>
          <w:tcPr>
            <w:tcW w:w="1478" w:type="dxa"/>
            <w:tcBorders>
              <w:top w:val="nil"/>
              <w:left w:val="nil"/>
              <w:bottom w:val="nil"/>
              <w:right w:val="nil"/>
            </w:tcBorders>
            <w:shd w:val="clear" w:color="auto" w:fill="FFFFFF"/>
            <w:hideMark/>
          </w:tcPr>
          <w:p w:rsidR="00C413B5" w:rsidRPr="00370BB1" w:rsidRDefault="00C413B5" w:rsidP="00B93633">
            <w:pPr>
              <w:shd w:val="clear" w:color="auto" w:fill="FFFFFF"/>
              <w:autoSpaceDE w:val="0"/>
              <w:autoSpaceDN w:val="0"/>
              <w:adjustRightInd w:val="0"/>
              <w:spacing w:line="240" w:lineRule="auto"/>
              <w:ind w:left="5"/>
              <w:jc w:val="both"/>
              <w:rPr>
                <w:color w:val="000000"/>
                <w:sz w:val="20"/>
                <w:szCs w:val="20"/>
              </w:rPr>
            </w:pPr>
            <w:r w:rsidRPr="00370BB1">
              <w:rPr>
                <w:color w:val="000000"/>
                <w:spacing w:val="-4"/>
                <w:sz w:val="20"/>
                <w:szCs w:val="20"/>
              </w:rPr>
              <w:t>Residual</w:t>
            </w:r>
          </w:p>
        </w:tc>
        <w:tc>
          <w:tcPr>
            <w:tcW w:w="1622" w:type="dxa"/>
            <w:gridSpan w:val="2"/>
            <w:tcBorders>
              <w:top w:val="nil"/>
              <w:left w:val="nil"/>
              <w:bottom w:val="nil"/>
              <w:right w:val="nil"/>
            </w:tcBorders>
            <w:shd w:val="clear" w:color="auto" w:fill="FFFFFF"/>
            <w:vAlign w:val="center"/>
            <w:hideMark/>
          </w:tcPr>
          <w:p w:rsidR="00C413B5" w:rsidRPr="00370BB1" w:rsidRDefault="00C413B5" w:rsidP="00B93633">
            <w:pPr>
              <w:shd w:val="clear" w:color="auto" w:fill="FFFFFF"/>
              <w:autoSpaceDE w:val="0"/>
              <w:autoSpaceDN w:val="0"/>
              <w:adjustRightInd w:val="0"/>
              <w:spacing w:line="240" w:lineRule="auto"/>
              <w:jc w:val="both"/>
              <w:rPr>
                <w:color w:val="000000"/>
                <w:sz w:val="20"/>
                <w:szCs w:val="20"/>
              </w:rPr>
            </w:pPr>
            <w:r w:rsidRPr="00370BB1">
              <w:rPr>
                <w:color w:val="000000"/>
                <w:sz w:val="20"/>
                <w:szCs w:val="20"/>
              </w:rPr>
              <w:t>20236.903</w:t>
            </w:r>
          </w:p>
        </w:tc>
        <w:tc>
          <w:tcPr>
            <w:tcW w:w="749" w:type="dxa"/>
            <w:gridSpan w:val="2"/>
            <w:tcBorders>
              <w:top w:val="nil"/>
              <w:left w:val="nil"/>
              <w:bottom w:val="nil"/>
              <w:right w:val="nil"/>
            </w:tcBorders>
            <w:shd w:val="clear" w:color="auto" w:fill="FFFFFF"/>
            <w:vAlign w:val="center"/>
            <w:hideMark/>
          </w:tcPr>
          <w:p w:rsidR="00C413B5" w:rsidRPr="00370BB1" w:rsidRDefault="00C413B5" w:rsidP="00B93633">
            <w:pPr>
              <w:shd w:val="clear" w:color="auto" w:fill="FFFFFF"/>
              <w:autoSpaceDE w:val="0"/>
              <w:autoSpaceDN w:val="0"/>
              <w:adjustRightInd w:val="0"/>
              <w:spacing w:line="240" w:lineRule="auto"/>
              <w:jc w:val="both"/>
              <w:rPr>
                <w:color w:val="000000"/>
                <w:sz w:val="20"/>
                <w:szCs w:val="20"/>
              </w:rPr>
            </w:pPr>
            <w:r w:rsidRPr="00370BB1">
              <w:rPr>
                <w:color w:val="000000"/>
                <w:sz w:val="20"/>
                <w:szCs w:val="20"/>
              </w:rPr>
              <w:t>498</w:t>
            </w:r>
          </w:p>
        </w:tc>
        <w:tc>
          <w:tcPr>
            <w:tcW w:w="1670" w:type="dxa"/>
            <w:tcBorders>
              <w:top w:val="nil"/>
              <w:left w:val="nil"/>
              <w:bottom w:val="nil"/>
              <w:right w:val="nil"/>
            </w:tcBorders>
            <w:shd w:val="clear" w:color="auto" w:fill="FFFFFF"/>
            <w:vAlign w:val="center"/>
            <w:hideMark/>
          </w:tcPr>
          <w:p w:rsidR="00C413B5" w:rsidRPr="00370BB1" w:rsidRDefault="00C413B5" w:rsidP="00B93633">
            <w:pPr>
              <w:shd w:val="clear" w:color="auto" w:fill="FFFFFF"/>
              <w:autoSpaceDE w:val="0"/>
              <w:autoSpaceDN w:val="0"/>
              <w:adjustRightInd w:val="0"/>
              <w:spacing w:line="240" w:lineRule="auto"/>
              <w:ind w:left="24"/>
              <w:jc w:val="both"/>
              <w:rPr>
                <w:color w:val="000000"/>
                <w:sz w:val="20"/>
                <w:szCs w:val="20"/>
              </w:rPr>
            </w:pPr>
            <w:r w:rsidRPr="00370BB1">
              <w:rPr>
                <w:color w:val="000000"/>
                <w:sz w:val="20"/>
                <w:szCs w:val="20"/>
              </w:rPr>
              <w:t>40.636</w:t>
            </w:r>
          </w:p>
        </w:tc>
        <w:tc>
          <w:tcPr>
            <w:tcW w:w="998" w:type="dxa"/>
            <w:gridSpan w:val="2"/>
            <w:tcBorders>
              <w:top w:val="nil"/>
              <w:left w:val="nil"/>
              <w:bottom w:val="nil"/>
              <w:right w:val="nil"/>
            </w:tcBorders>
            <w:shd w:val="clear" w:color="auto" w:fill="FFFFFF"/>
          </w:tcPr>
          <w:p w:rsidR="00C413B5" w:rsidRPr="00370BB1" w:rsidRDefault="00C413B5" w:rsidP="00B93633">
            <w:pPr>
              <w:shd w:val="clear" w:color="auto" w:fill="FFFFFF"/>
              <w:autoSpaceDE w:val="0"/>
              <w:autoSpaceDN w:val="0"/>
              <w:adjustRightInd w:val="0"/>
              <w:spacing w:line="240" w:lineRule="auto"/>
              <w:ind w:left="24"/>
              <w:jc w:val="both"/>
              <w:rPr>
                <w:color w:val="000000"/>
                <w:sz w:val="20"/>
                <w:szCs w:val="20"/>
              </w:rPr>
            </w:pPr>
          </w:p>
          <w:p w:rsidR="00C413B5" w:rsidRPr="00370BB1" w:rsidRDefault="00C413B5" w:rsidP="00B93633">
            <w:pPr>
              <w:shd w:val="clear" w:color="auto" w:fill="FFFFFF"/>
              <w:autoSpaceDE w:val="0"/>
              <w:autoSpaceDN w:val="0"/>
              <w:adjustRightInd w:val="0"/>
              <w:spacing w:line="240" w:lineRule="auto"/>
              <w:ind w:left="24"/>
              <w:jc w:val="both"/>
              <w:rPr>
                <w:color w:val="000000"/>
                <w:sz w:val="20"/>
                <w:szCs w:val="20"/>
              </w:rPr>
            </w:pPr>
          </w:p>
        </w:tc>
        <w:tc>
          <w:tcPr>
            <w:tcW w:w="1018" w:type="dxa"/>
            <w:tcBorders>
              <w:top w:val="nil"/>
              <w:left w:val="nil"/>
              <w:bottom w:val="nil"/>
              <w:right w:val="nil"/>
            </w:tcBorders>
            <w:shd w:val="clear" w:color="auto" w:fill="FFFFFF"/>
          </w:tcPr>
          <w:p w:rsidR="00C413B5" w:rsidRPr="00370BB1" w:rsidRDefault="00C413B5" w:rsidP="00B93633">
            <w:pPr>
              <w:shd w:val="clear" w:color="auto" w:fill="FFFFFF"/>
              <w:autoSpaceDE w:val="0"/>
              <w:autoSpaceDN w:val="0"/>
              <w:adjustRightInd w:val="0"/>
              <w:spacing w:line="240" w:lineRule="auto"/>
              <w:ind w:left="24"/>
              <w:jc w:val="both"/>
              <w:rPr>
                <w:color w:val="000000"/>
                <w:sz w:val="20"/>
                <w:szCs w:val="20"/>
              </w:rPr>
            </w:pPr>
          </w:p>
          <w:p w:rsidR="00C413B5" w:rsidRPr="00370BB1" w:rsidRDefault="00C413B5" w:rsidP="00B93633">
            <w:pPr>
              <w:shd w:val="clear" w:color="auto" w:fill="FFFFFF"/>
              <w:autoSpaceDE w:val="0"/>
              <w:autoSpaceDN w:val="0"/>
              <w:adjustRightInd w:val="0"/>
              <w:spacing w:line="240" w:lineRule="auto"/>
              <w:ind w:left="24"/>
              <w:jc w:val="both"/>
              <w:rPr>
                <w:color w:val="000000"/>
                <w:sz w:val="20"/>
                <w:szCs w:val="20"/>
              </w:rPr>
            </w:pPr>
          </w:p>
        </w:tc>
        <w:tc>
          <w:tcPr>
            <w:tcW w:w="1067" w:type="dxa"/>
            <w:tcBorders>
              <w:top w:val="nil"/>
              <w:left w:val="nil"/>
              <w:bottom w:val="nil"/>
              <w:right w:val="nil"/>
            </w:tcBorders>
            <w:shd w:val="clear" w:color="auto" w:fill="FFFFFF"/>
          </w:tcPr>
          <w:p w:rsidR="00C413B5" w:rsidRPr="00370BB1" w:rsidRDefault="00C413B5" w:rsidP="00B93633">
            <w:pPr>
              <w:shd w:val="clear" w:color="auto" w:fill="FFFFFF"/>
              <w:autoSpaceDE w:val="0"/>
              <w:autoSpaceDN w:val="0"/>
              <w:adjustRightInd w:val="0"/>
              <w:spacing w:line="240" w:lineRule="auto"/>
              <w:ind w:left="24"/>
              <w:jc w:val="both"/>
              <w:rPr>
                <w:color w:val="000000"/>
                <w:sz w:val="20"/>
                <w:szCs w:val="20"/>
              </w:rPr>
            </w:pPr>
          </w:p>
        </w:tc>
      </w:tr>
      <w:tr w:rsidR="00C413B5" w:rsidRPr="00370BB1" w:rsidTr="00B93633">
        <w:trPr>
          <w:trHeight w:val="72"/>
          <w:jc w:val="center"/>
        </w:trPr>
        <w:tc>
          <w:tcPr>
            <w:tcW w:w="1478" w:type="dxa"/>
            <w:tcBorders>
              <w:top w:val="nil"/>
              <w:left w:val="nil"/>
              <w:bottom w:val="single" w:sz="4" w:space="0" w:color="auto"/>
              <w:right w:val="nil"/>
            </w:tcBorders>
            <w:shd w:val="clear" w:color="auto" w:fill="FFFFFF"/>
            <w:hideMark/>
          </w:tcPr>
          <w:p w:rsidR="00C413B5" w:rsidRPr="00370BB1" w:rsidRDefault="00C413B5" w:rsidP="00B93633">
            <w:pPr>
              <w:shd w:val="clear" w:color="auto" w:fill="FFFFFF"/>
              <w:autoSpaceDE w:val="0"/>
              <w:autoSpaceDN w:val="0"/>
              <w:adjustRightInd w:val="0"/>
              <w:spacing w:line="240" w:lineRule="auto"/>
              <w:ind w:left="5"/>
              <w:jc w:val="both"/>
              <w:rPr>
                <w:color w:val="000000"/>
                <w:sz w:val="20"/>
                <w:szCs w:val="20"/>
              </w:rPr>
            </w:pPr>
            <w:r w:rsidRPr="00370BB1">
              <w:rPr>
                <w:color w:val="000000"/>
                <w:spacing w:val="-5"/>
                <w:sz w:val="20"/>
                <w:szCs w:val="20"/>
              </w:rPr>
              <w:t>Total</w:t>
            </w:r>
          </w:p>
        </w:tc>
        <w:tc>
          <w:tcPr>
            <w:tcW w:w="1622" w:type="dxa"/>
            <w:gridSpan w:val="2"/>
            <w:tcBorders>
              <w:top w:val="nil"/>
              <w:left w:val="nil"/>
              <w:bottom w:val="single" w:sz="4" w:space="0" w:color="auto"/>
              <w:right w:val="nil"/>
            </w:tcBorders>
            <w:shd w:val="clear" w:color="auto" w:fill="FFFFFF"/>
            <w:vAlign w:val="center"/>
            <w:hideMark/>
          </w:tcPr>
          <w:p w:rsidR="00C413B5" w:rsidRPr="00370BB1" w:rsidRDefault="00C413B5" w:rsidP="00B93633">
            <w:pPr>
              <w:shd w:val="clear" w:color="auto" w:fill="FFFFFF"/>
              <w:autoSpaceDE w:val="0"/>
              <w:autoSpaceDN w:val="0"/>
              <w:adjustRightInd w:val="0"/>
              <w:spacing w:line="240" w:lineRule="auto"/>
              <w:jc w:val="both"/>
              <w:rPr>
                <w:color w:val="000000"/>
                <w:sz w:val="20"/>
                <w:szCs w:val="20"/>
              </w:rPr>
            </w:pPr>
            <w:r w:rsidRPr="00370BB1">
              <w:rPr>
                <w:color w:val="000000"/>
                <w:sz w:val="20"/>
                <w:szCs w:val="20"/>
              </w:rPr>
              <w:t>22451.200</w:t>
            </w:r>
          </w:p>
        </w:tc>
        <w:tc>
          <w:tcPr>
            <w:tcW w:w="749" w:type="dxa"/>
            <w:gridSpan w:val="2"/>
            <w:tcBorders>
              <w:top w:val="nil"/>
              <w:left w:val="nil"/>
              <w:bottom w:val="single" w:sz="4" w:space="0" w:color="auto"/>
              <w:right w:val="nil"/>
            </w:tcBorders>
            <w:shd w:val="clear" w:color="auto" w:fill="FFFFFF"/>
            <w:vAlign w:val="center"/>
            <w:hideMark/>
          </w:tcPr>
          <w:p w:rsidR="00C413B5" w:rsidRPr="00370BB1" w:rsidRDefault="00C413B5" w:rsidP="00B93633">
            <w:pPr>
              <w:shd w:val="clear" w:color="auto" w:fill="FFFFFF"/>
              <w:autoSpaceDE w:val="0"/>
              <w:autoSpaceDN w:val="0"/>
              <w:adjustRightInd w:val="0"/>
              <w:spacing w:line="240" w:lineRule="auto"/>
              <w:jc w:val="both"/>
              <w:rPr>
                <w:color w:val="000000"/>
                <w:sz w:val="20"/>
                <w:szCs w:val="20"/>
              </w:rPr>
            </w:pPr>
            <w:r w:rsidRPr="00370BB1">
              <w:rPr>
                <w:color w:val="000000"/>
                <w:sz w:val="20"/>
                <w:szCs w:val="20"/>
              </w:rPr>
              <w:t>499</w:t>
            </w:r>
          </w:p>
        </w:tc>
        <w:tc>
          <w:tcPr>
            <w:tcW w:w="1670" w:type="dxa"/>
            <w:tcBorders>
              <w:top w:val="nil"/>
              <w:left w:val="nil"/>
              <w:bottom w:val="single" w:sz="4" w:space="0" w:color="auto"/>
              <w:right w:val="nil"/>
            </w:tcBorders>
            <w:shd w:val="clear" w:color="auto" w:fill="FFFFFF"/>
          </w:tcPr>
          <w:p w:rsidR="00C413B5" w:rsidRPr="00370BB1" w:rsidRDefault="00C413B5" w:rsidP="00B93633">
            <w:pPr>
              <w:shd w:val="clear" w:color="auto" w:fill="FFFFFF"/>
              <w:autoSpaceDE w:val="0"/>
              <w:autoSpaceDN w:val="0"/>
              <w:adjustRightInd w:val="0"/>
              <w:spacing w:line="240" w:lineRule="auto"/>
              <w:jc w:val="both"/>
              <w:rPr>
                <w:color w:val="000000"/>
                <w:sz w:val="20"/>
                <w:szCs w:val="20"/>
              </w:rPr>
            </w:pPr>
          </w:p>
        </w:tc>
        <w:tc>
          <w:tcPr>
            <w:tcW w:w="998" w:type="dxa"/>
            <w:gridSpan w:val="2"/>
            <w:tcBorders>
              <w:top w:val="nil"/>
              <w:left w:val="nil"/>
              <w:bottom w:val="single" w:sz="4" w:space="0" w:color="auto"/>
              <w:right w:val="nil"/>
            </w:tcBorders>
            <w:shd w:val="clear" w:color="auto" w:fill="FFFFFF"/>
          </w:tcPr>
          <w:p w:rsidR="00C413B5" w:rsidRPr="00370BB1" w:rsidRDefault="00C413B5" w:rsidP="00B93633">
            <w:pPr>
              <w:shd w:val="clear" w:color="auto" w:fill="FFFFFF"/>
              <w:autoSpaceDE w:val="0"/>
              <w:autoSpaceDN w:val="0"/>
              <w:adjustRightInd w:val="0"/>
              <w:spacing w:line="240" w:lineRule="auto"/>
              <w:jc w:val="both"/>
              <w:rPr>
                <w:color w:val="000000"/>
                <w:sz w:val="20"/>
                <w:szCs w:val="20"/>
              </w:rPr>
            </w:pPr>
          </w:p>
          <w:p w:rsidR="00C413B5" w:rsidRPr="00370BB1" w:rsidRDefault="00C413B5" w:rsidP="00B93633">
            <w:pPr>
              <w:shd w:val="clear" w:color="auto" w:fill="FFFFFF"/>
              <w:autoSpaceDE w:val="0"/>
              <w:autoSpaceDN w:val="0"/>
              <w:adjustRightInd w:val="0"/>
              <w:spacing w:line="240" w:lineRule="auto"/>
              <w:jc w:val="both"/>
              <w:rPr>
                <w:color w:val="000000"/>
                <w:sz w:val="20"/>
                <w:szCs w:val="20"/>
              </w:rPr>
            </w:pPr>
          </w:p>
        </w:tc>
        <w:tc>
          <w:tcPr>
            <w:tcW w:w="1018" w:type="dxa"/>
            <w:tcBorders>
              <w:top w:val="nil"/>
              <w:left w:val="nil"/>
              <w:bottom w:val="single" w:sz="4" w:space="0" w:color="auto"/>
              <w:right w:val="nil"/>
            </w:tcBorders>
            <w:shd w:val="clear" w:color="auto" w:fill="FFFFFF"/>
          </w:tcPr>
          <w:p w:rsidR="00C413B5" w:rsidRPr="00370BB1" w:rsidRDefault="00C413B5" w:rsidP="00B93633">
            <w:pPr>
              <w:shd w:val="clear" w:color="auto" w:fill="FFFFFF"/>
              <w:autoSpaceDE w:val="0"/>
              <w:autoSpaceDN w:val="0"/>
              <w:adjustRightInd w:val="0"/>
              <w:spacing w:line="240" w:lineRule="auto"/>
              <w:jc w:val="both"/>
              <w:rPr>
                <w:color w:val="000000"/>
                <w:sz w:val="20"/>
                <w:szCs w:val="20"/>
              </w:rPr>
            </w:pPr>
          </w:p>
          <w:p w:rsidR="00C413B5" w:rsidRPr="00370BB1" w:rsidRDefault="00C413B5" w:rsidP="00B93633">
            <w:pPr>
              <w:shd w:val="clear" w:color="auto" w:fill="FFFFFF"/>
              <w:autoSpaceDE w:val="0"/>
              <w:autoSpaceDN w:val="0"/>
              <w:adjustRightInd w:val="0"/>
              <w:spacing w:line="240" w:lineRule="auto"/>
              <w:jc w:val="both"/>
              <w:rPr>
                <w:color w:val="000000"/>
                <w:sz w:val="20"/>
                <w:szCs w:val="20"/>
              </w:rPr>
            </w:pPr>
          </w:p>
        </w:tc>
        <w:tc>
          <w:tcPr>
            <w:tcW w:w="1067" w:type="dxa"/>
            <w:tcBorders>
              <w:top w:val="nil"/>
              <w:left w:val="nil"/>
              <w:bottom w:val="single" w:sz="4" w:space="0" w:color="auto"/>
              <w:right w:val="nil"/>
            </w:tcBorders>
            <w:shd w:val="clear" w:color="auto" w:fill="FFFFFF"/>
          </w:tcPr>
          <w:p w:rsidR="00C413B5" w:rsidRPr="00370BB1" w:rsidRDefault="00C413B5" w:rsidP="00B93633">
            <w:pPr>
              <w:shd w:val="clear" w:color="auto" w:fill="FFFFFF"/>
              <w:autoSpaceDE w:val="0"/>
              <w:autoSpaceDN w:val="0"/>
              <w:adjustRightInd w:val="0"/>
              <w:spacing w:line="240" w:lineRule="auto"/>
              <w:jc w:val="both"/>
              <w:rPr>
                <w:color w:val="000000"/>
                <w:sz w:val="20"/>
                <w:szCs w:val="20"/>
              </w:rPr>
            </w:pPr>
          </w:p>
        </w:tc>
      </w:tr>
    </w:tbl>
    <w:p w:rsidR="00C413B5" w:rsidRPr="00370BB1" w:rsidRDefault="00C413B5" w:rsidP="00B93633">
      <w:pPr>
        <w:spacing w:line="240" w:lineRule="auto"/>
        <w:jc w:val="both"/>
        <w:rPr>
          <w:color w:val="000000"/>
          <w:spacing w:val="4"/>
          <w:sz w:val="20"/>
          <w:szCs w:val="20"/>
        </w:rPr>
      </w:pPr>
      <w:r w:rsidRPr="00370BB1">
        <w:rPr>
          <w:color w:val="000000"/>
          <w:spacing w:val="4"/>
          <w:sz w:val="20"/>
          <w:szCs w:val="20"/>
        </w:rPr>
        <w:t xml:space="preserve"> </w:t>
      </w:r>
    </w:p>
    <w:p w:rsidR="00C413B5" w:rsidRPr="00370BB1" w:rsidRDefault="00C413B5" w:rsidP="00B93633">
      <w:pPr>
        <w:spacing w:line="240" w:lineRule="auto"/>
        <w:jc w:val="both"/>
        <w:rPr>
          <w:color w:val="0E101A"/>
          <w:sz w:val="20"/>
          <w:szCs w:val="20"/>
        </w:rPr>
      </w:pPr>
      <w:r w:rsidRPr="00370BB1">
        <w:rPr>
          <w:color w:val="0E101A"/>
          <w:sz w:val="20"/>
          <w:szCs w:val="20"/>
        </w:rPr>
        <w:t>Table 3 shows a significant influence of internet game addiction on psychological adjustment. The result also showed that MGA yielded a coefficient of multiple correlations (R) of 0.314 and multiple correlations square of 0.099. This showed that about 9.9% (R</w:t>
      </w:r>
      <w:r w:rsidRPr="00370BB1">
        <w:rPr>
          <w:color w:val="0E101A"/>
          <w:sz w:val="20"/>
          <w:szCs w:val="20"/>
          <w:vertAlign w:val="superscript"/>
        </w:rPr>
        <w:t>2</w:t>
      </w:r>
      <w:r w:rsidRPr="00370BB1">
        <w:rPr>
          <w:color w:val="0E101A"/>
          <w:sz w:val="20"/>
          <w:szCs w:val="20"/>
        </w:rPr>
        <w:t>=.099) of the total variance of psychological adjustment among secondary school students in the Ibadan metropolis, Oyo state, Nigeria, was accounted for by the linear contribution of mobile game addiction. In comparison, the remaining 90.1% could be assigned to other estranged factors not considered in this study. The result in Table 3 also indicated that internet game addiction had a significant influence on psychological adjustment (</w:t>
      </w:r>
      <w:proofErr w:type="gramStart"/>
      <w:r w:rsidRPr="00370BB1">
        <w:rPr>
          <w:color w:val="0E101A"/>
          <w:sz w:val="20"/>
          <w:szCs w:val="20"/>
        </w:rPr>
        <w:t>F(</w:t>
      </w:r>
      <w:proofErr w:type="gramEnd"/>
      <w:r w:rsidRPr="00370BB1">
        <w:rPr>
          <w:color w:val="0E101A"/>
          <w:sz w:val="20"/>
          <w:szCs w:val="20"/>
        </w:rPr>
        <w:t xml:space="preserve">1,499) = 54.49; p &lt; 0.05) among secondary school students in the Ibadan metropolis, Oyo state, Nigeria. </w:t>
      </w:r>
    </w:p>
    <w:p w:rsidR="00C413B5" w:rsidRPr="00370BB1" w:rsidRDefault="00C413B5" w:rsidP="00C413B5">
      <w:pPr>
        <w:jc w:val="both"/>
        <w:rPr>
          <w:color w:val="0E101A"/>
          <w:sz w:val="20"/>
          <w:szCs w:val="20"/>
        </w:rPr>
      </w:pPr>
      <w:r w:rsidRPr="00370BB1">
        <w:rPr>
          <w:color w:val="0E101A"/>
          <w:sz w:val="20"/>
          <w:szCs w:val="20"/>
        </w:rPr>
        <w:t>Hypothesis three stated that</w:t>
      </w:r>
      <w:r w:rsidRPr="00370BB1">
        <w:rPr>
          <w:b/>
          <w:bCs/>
          <w:color w:val="0E101A"/>
          <w:sz w:val="20"/>
          <w:szCs w:val="20"/>
        </w:rPr>
        <w:t xml:space="preserve"> </w:t>
      </w:r>
      <w:r w:rsidRPr="00370BB1">
        <w:rPr>
          <w:color w:val="0E101A"/>
          <w:sz w:val="20"/>
          <w:szCs w:val="20"/>
        </w:rPr>
        <w:t>Male secondary school students would report significantly better psychological adjustment than their female counterparts among secondary school students in the Ibadan metropolis, Oyo state, Nigeria. This was tested using an independent sample t-test. The result is presented in Table 4.</w:t>
      </w:r>
    </w:p>
    <w:p w:rsidR="00C413B5" w:rsidRPr="00370BB1" w:rsidRDefault="00C413B5" w:rsidP="00C413B5">
      <w:pPr>
        <w:jc w:val="both"/>
        <w:rPr>
          <w:color w:val="0E101A"/>
          <w:sz w:val="20"/>
          <w:szCs w:val="20"/>
        </w:rPr>
      </w:pPr>
      <w:r w:rsidRPr="00370BB1">
        <w:rPr>
          <w:color w:val="0E101A"/>
          <w:sz w:val="20"/>
          <w:szCs w:val="20"/>
        </w:rPr>
        <w:t xml:space="preserve"> </w:t>
      </w:r>
    </w:p>
    <w:p w:rsidR="00C413B5" w:rsidRPr="00370BB1" w:rsidRDefault="00C413B5" w:rsidP="00C413B5">
      <w:pPr>
        <w:jc w:val="both"/>
        <w:rPr>
          <w:color w:val="0E101A"/>
          <w:sz w:val="20"/>
          <w:szCs w:val="20"/>
        </w:rPr>
      </w:pPr>
      <w:r w:rsidRPr="00370BB1">
        <w:rPr>
          <w:b/>
          <w:bCs/>
          <w:color w:val="0E101A"/>
          <w:sz w:val="20"/>
          <w:szCs w:val="20"/>
        </w:rPr>
        <w:t>Table 4</w:t>
      </w:r>
    </w:p>
    <w:p w:rsidR="00C413B5" w:rsidRPr="00370BB1" w:rsidRDefault="00C413B5" w:rsidP="00C413B5">
      <w:pPr>
        <w:jc w:val="both"/>
        <w:rPr>
          <w:color w:val="0E101A"/>
          <w:sz w:val="20"/>
          <w:szCs w:val="20"/>
        </w:rPr>
      </w:pPr>
      <w:r w:rsidRPr="00370BB1">
        <w:rPr>
          <w:i/>
          <w:iCs/>
          <w:color w:val="0E101A"/>
          <w:sz w:val="20"/>
          <w:szCs w:val="20"/>
        </w:rPr>
        <w:t xml:space="preserve">t-test for Independent Measures showing Comparison of Gender on Psychological adjustment  </w:t>
      </w:r>
    </w:p>
    <w:p w:rsidR="00C413B5" w:rsidRPr="00370BB1" w:rsidRDefault="00C413B5" w:rsidP="00C413B5">
      <w:pPr>
        <w:jc w:val="both"/>
        <w:rPr>
          <w:color w:val="000000"/>
          <w:sz w:val="20"/>
          <w:szCs w:val="20"/>
        </w:rPr>
      </w:pPr>
      <w:r w:rsidRPr="00370BB1">
        <w:rPr>
          <w:color w:val="000000"/>
          <w:sz w:val="20"/>
          <w:szCs w:val="20"/>
        </w:rPr>
        <w:t xml:space="preserve">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603"/>
        <w:gridCol w:w="1177"/>
        <w:gridCol w:w="1121"/>
        <w:gridCol w:w="1160"/>
        <w:gridCol w:w="1133"/>
        <w:gridCol w:w="1128"/>
        <w:gridCol w:w="1119"/>
        <w:gridCol w:w="1135"/>
      </w:tblGrid>
      <w:tr w:rsidR="00C413B5" w:rsidRPr="00370BB1" w:rsidTr="00C413B5">
        <w:tc>
          <w:tcPr>
            <w:tcW w:w="1603" w:type="dxa"/>
            <w:tcBorders>
              <w:top w:val="single" w:sz="4" w:space="0" w:color="auto"/>
              <w:left w:val="nil"/>
              <w:bottom w:val="single" w:sz="4" w:space="0" w:color="auto"/>
              <w:right w:val="nil"/>
            </w:tcBorders>
          </w:tcPr>
          <w:p w:rsidR="00C413B5" w:rsidRPr="00370BB1" w:rsidRDefault="00C413B5">
            <w:pPr>
              <w:jc w:val="both"/>
              <w:rPr>
                <w:color w:val="000000"/>
                <w:sz w:val="20"/>
                <w:szCs w:val="20"/>
              </w:rPr>
            </w:pPr>
          </w:p>
        </w:tc>
        <w:tc>
          <w:tcPr>
            <w:tcW w:w="1177" w:type="dxa"/>
            <w:tcBorders>
              <w:top w:val="single" w:sz="4" w:space="0" w:color="auto"/>
              <w:left w:val="nil"/>
              <w:bottom w:val="single" w:sz="4" w:space="0" w:color="auto"/>
              <w:right w:val="nil"/>
            </w:tcBorders>
            <w:hideMark/>
          </w:tcPr>
          <w:p w:rsidR="00C413B5" w:rsidRPr="00370BB1" w:rsidRDefault="00C413B5">
            <w:pPr>
              <w:autoSpaceDE w:val="0"/>
              <w:autoSpaceDN w:val="0"/>
              <w:adjustRightInd w:val="0"/>
              <w:jc w:val="both"/>
              <w:rPr>
                <w:color w:val="000000"/>
                <w:sz w:val="20"/>
                <w:szCs w:val="20"/>
              </w:rPr>
            </w:pPr>
            <w:r w:rsidRPr="00370BB1">
              <w:rPr>
                <w:color w:val="000000"/>
                <w:sz w:val="20"/>
                <w:szCs w:val="20"/>
              </w:rPr>
              <w:t xml:space="preserve">Gender            </w:t>
            </w:r>
          </w:p>
        </w:tc>
        <w:tc>
          <w:tcPr>
            <w:tcW w:w="1121" w:type="dxa"/>
            <w:tcBorders>
              <w:top w:val="single" w:sz="4" w:space="0" w:color="auto"/>
              <w:left w:val="nil"/>
              <w:bottom w:val="single" w:sz="4" w:space="0" w:color="auto"/>
              <w:right w:val="nil"/>
            </w:tcBorders>
            <w:hideMark/>
          </w:tcPr>
          <w:p w:rsidR="00C413B5" w:rsidRPr="00370BB1" w:rsidRDefault="00C413B5">
            <w:pPr>
              <w:autoSpaceDE w:val="0"/>
              <w:autoSpaceDN w:val="0"/>
              <w:adjustRightInd w:val="0"/>
              <w:jc w:val="both"/>
              <w:rPr>
                <w:color w:val="000000"/>
                <w:sz w:val="20"/>
                <w:szCs w:val="20"/>
              </w:rPr>
            </w:pPr>
            <w:r w:rsidRPr="00370BB1">
              <w:rPr>
                <w:color w:val="000000"/>
                <w:sz w:val="20"/>
                <w:szCs w:val="20"/>
              </w:rPr>
              <w:t>N</w:t>
            </w:r>
          </w:p>
        </w:tc>
        <w:tc>
          <w:tcPr>
            <w:tcW w:w="1160" w:type="dxa"/>
            <w:tcBorders>
              <w:top w:val="single" w:sz="4" w:space="0" w:color="auto"/>
              <w:left w:val="nil"/>
              <w:bottom w:val="single" w:sz="4" w:space="0" w:color="auto"/>
              <w:right w:val="nil"/>
            </w:tcBorders>
            <w:hideMark/>
          </w:tcPr>
          <w:p w:rsidR="00C413B5" w:rsidRPr="00370BB1" w:rsidRDefault="00C413B5">
            <w:pPr>
              <w:autoSpaceDE w:val="0"/>
              <w:autoSpaceDN w:val="0"/>
              <w:adjustRightInd w:val="0"/>
              <w:jc w:val="both"/>
              <w:rPr>
                <w:color w:val="000000"/>
                <w:sz w:val="20"/>
                <w:szCs w:val="20"/>
              </w:rPr>
            </w:pPr>
            <w:r w:rsidRPr="00370BB1">
              <w:rPr>
                <w:color w:val="000000"/>
                <w:sz w:val="20"/>
                <w:szCs w:val="20"/>
              </w:rPr>
              <w:t>Mean</w:t>
            </w:r>
          </w:p>
        </w:tc>
        <w:tc>
          <w:tcPr>
            <w:tcW w:w="1133" w:type="dxa"/>
            <w:tcBorders>
              <w:top w:val="single" w:sz="4" w:space="0" w:color="auto"/>
              <w:left w:val="nil"/>
              <w:bottom w:val="single" w:sz="4" w:space="0" w:color="auto"/>
              <w:right w:val="nil"/>
            </w:tcBorders>
            <w:hideMark/>
          </w:tcPr>
          <w:p w:rsidR="00C413B5" w:rsidRPr="00370BB1" w:rsidRDefault="00C413B5">
            <w:pPr>
              <w:autoSpaceDE w:val="0"/>
              <w:autoSpaceDN w:val="0"/>
              <w:adjustRightInd w:val="0"/>
              <w:jc w:val="both"/>
              <w:rPr>
                <w:color w:val="000000"/>
                <w:sz w:val="20"/>
                <w:szCs w:val="20"/>
              </w:rPr>
            </w:pPr>
            <w:r w:rsidRPr="00370BB1">
              <w:rPr>
                <w:color w:val="000000"/>
                <w:sz w:val="20"/>
                <w:szCs w:val="20"/>
              </w:rPr>
              <w:t>SD</w:t>
            </w:r>
          </w:p>
        </w:tc>
        <w:tc>
          <w:tcPr>
            <w:tcW w:w="1128" w:type="dxa"/>
            <w:tcBorders>
              <w:top w:val="single" w:sz="4" w:space="0" w:color="auto"/>
              <w:left w:val="nil"/>
              <w:bottom w:val="single" w:sz="4" w:space="0" w:color="auto"/>
              <w:right w:val="nil"/>
            </w:tcBorders>
            <w:hideMark/>
          </w:tcPr>
          <w:p w:rsidR="00C413B5" w:rsidRPr="00370BB1" w:rsidRDefault="00C413B5">
            <w:pPr>
              <w:autoSpaceDE w:val="0"/>
              <w:autoSpaceDN w:val="0"/>
              <w:adjustRightInd w:val="0"/>
              <w:jc w:val="both"/>
              <w:rPr>
                <w:color w:val="000000"/>
                <w:sz w:val="20"/>
                <w:szCs w:val="20"/>
              </w:rPr>
            </w:pPr>
            <w:r w:rsidRPr="00370BB1">
              <w:rPr>
                <w:color w:val="000000"/>
                <w:sz w:val="20"/>
                <w:szCs w:val="20"/>
              </w:rPr>
              <w:t>df</w:t>
            </w:r>
          </w:p>
        </w:tc>
        <w:tc>
          <w:tcPr>
            <w:tcW w:w="1119" w:type="dxa"/>
            <w:tcBorders>
              <w:top w:val="single" w:sz="4" w:space="0" w:color="auto"/>
              <w:left w:val="nil"/>
              <w:bottom w:val="single" w:sz="4" w:space="0" w:color="auto"/>
              <w:right w:val="nil"/>
            </w:tcBorders>
            <w:hideMark/>
          </w:tcPr>
          <w:p w:rsidR="00C413B5" w:rsidRPr="00370BB1" w:rsidRDefault="00C413B5">
            <w:pPr>
              <w:autoSpaceDE w:val="0"/>
              <w:autoSpaceDN w:val="0"/>
              <w:adjustRightInd w:val="0"/>
              <w:jc w:val="both"/>
              <w:rPr>
                <w:color w:val="000000"/>
                <w:sz w:val="20"/>
                <w:szCs w:val="20"/>
              </w:rPr>
            </w:pPr>
            <w:r w:rsidRPr="00370BB1">
              <w:rPr>
                <w:color w:val="000000"/>
                <w:sz w:val="20"/>
                <w:szCs w:val="20"/>
              </w:rPr>
              <w:t>t</w:t>
            </w:r>
          </w:p>
        </w:tc>
        <w:tc>
          <w:tcPr>
            <w:tcW w:w="1135" w:type="dxa"/>
            <w:tcBorders>
              <w:top w:val="single" w:sz="4" w:space="0" w:color="auto"/>
              <w:left w:val="nil"/>
              <w:bottom w:val="single" w:sz="4" w:space="0" w:color="auto"/>
              <w:right w:val="nil"/>
            </w:tcBorders>
            <w:hideMark/>
          </w:tcPr>
          <w:p w:rsidR="00C413B5" w:rsidRPr="00370BB1" w:rsidRDefault="00C413B5">
            <w:pPr>
              <w:autoSpaceDE w:val="0"/>
              <w:autoSpaceDN w:val="0"/>
              <w:adjustRightInd w:val="0"/>
              <w:jc w:val="both"/>
              <w:rPr>
                <w:color w:val="000000"/>
                <w:sz w:val="20"/>
                <w:szCs w:val="20"/>
              </w:rPr>
            </w:pPr>
            <w:r w:rsidRPr="00370BB1">
              <w:rPr>
                <w:color w:val="000000"/>
                <w:sz w:val="20"/>
                <w:szCs w:val="20"/>
              </w:rPr>
              <w:t xml:space="preserve">Sig </w:t>
            </w:r>
          </w:p>
        </w:tc>
      </w:tr>
      <w:tr w:rsidR="00C413B5" w:rsidRPr="00370BB1" w:rsidTr="00C413B5">
        <w:tc>
          <w:tcPr>
            <w:tcW w:w="1603" w:type="dxa"/>
            <w:vMerge w:val="restart"/>
            <w:tcBorders>
              <w:top w:val="nil"/>
              <w:left w:val="nil"/>
              <w:bottom w:val="nil"/>
              <w:right w:val="nil"/>
            </w:tcBorders>
            <w:hideMark/>
          </w:tcPr>
          <w:p w:rsidR="00C413B5" w:rsidRPr="00370BB1" w:rsidRDefault="00C413B5">
            <w:pPr>
              <w:jc w:val="both"/>
              <w:rPr>
                <w:color w:val="000000"/>
                <w:sz w:val="20"/>
                <w:szCs w:val="20"/>
              </w:rPr>
            </w:pPr>
            <w:r w:rsidRPr="00370BB1">
              <w:rPr>
                <w:color w:val="000000"/>
                <w:sz w:val="20"/>
                <w:szCs w:val="20"/>
              </w:rPr>
              <w:t xml:space="preserve">Psychological Adjustment    </w:t>
            </w:r>
          </w:p>
        </w:tc>
        <w:tc>
          <w:tcPr>
            <w:tcW w:w="1177" w:type="dxa"/>
            <w:tcBorders>
              <w:top w:val="single" w:sz="4" w:space="0" w:color="auto"/>
              <w:left w:val="nil"/>
              <w:bottom w:val="nil"/>
              <w:right w:val="nil"/>
            </w:tcBorders>
            <w:hideMark/>
          </w:tcPr>
          <w:p w:rsidR="00C413B5" w:rsidRPr="00370BB1" w:rsidRDefault="00C413B5">
            <w:pPr>
              <w:jc w:val="both"/>
              <w:rPr>
                <w:color w:val="000000"/>
                <w:sz w:val="20"/>
                <w:szCs w:val="20"/>
              </w:rPr>
            </w:pPr>
            <w:r w:rsidRPr="00370BB1">
              <w:rPr>
                <w:color w:val="000000"/>
                <w:sz w:val="20"/>
                <w:szCs w:val="20"/>
              </w:rPr>
              <w:t xml:space="preserve">Male </w:t>
            </w:r>
          </w:p>
        </w:tc>
        <w:tc>
          <w:tcPr>
            <w:tcW w:w="1121" w:type="dxa"/>
            <w:tcBorders>
              <w:top w:val="single" w:sz="4" w:space="0" w:color="auto"/>
              <w:left w:val="nil"/>
              <w:bottom w:val="nil"/>
              <w:right w:val="nil"/>
            </w:tcBorders>
            <w:hideMark/>
          </w:tcPr>
          <w:p w:rsidR="00C413B5" w:rsidRPr="00370BB1" w:rsidRDefault="00C413B5">
            <w:pPr>
              <w:jc w:val="both"/>
              <w:rPr>
                <w:color w:val="000000"/>
                <w:sz w:val="20"/>
                <w:szCs w:val="20"/>
              </w:rPr>
            </w:pPr>
            <w:r w:rsidRPr="00370BB1">
              <w:rPr>
                <w:color w:val="000000"/>
                <w:sz w:val="20"/>
                <w:szCs w:val="20"/>
              </w:rPr>
              <w:t>160</w:t>
            </w:r>
          </w:p>
        </w:tc>
        <w:tc>
          <w:tcPr>
            <w:tcW w:w="1160" w:type="dxa"/>
            <w:tcBorders>
              <w:top w:val="single" w:sz="4" w:space="0" w:color="auto"/>
              <w:left w:val="nil"/>
              <w:bottom w:val="nil"/>
              <w:right w:val="nil"/>
            </w:tcBorders>
            <w:hideMark/>
          </w:tcPr>
          <w:p w:rsidR="00C413B5" w:rsidRPr="00370BB1" w:rsidRDefault="00C413B5">
            <w:pPr>
              <w:jc w:val="both"/>
              <w:rPr>
                <w:color w:val="000000"/>
                <w:sz w:val="20"/>
                <w:szCs w:val="20"/>
              </w:rPr>
            </w:pPr>
            <w:r w:rsidRPr="00370BB1">
              <w:rPr>
                <w:color w:val="000000"/>
                <w:sz w:val="20"/>
                <w:szCs w:val="20"/>
              </w:rPr>
              <w:t>13.25</w:t>
            </w:r>
          </w:p>
        </w:tc>
        <w:tc>
          <w:tcPr>
            <w:tcW w:w="1133" w:type="dxa"/>
            <w:tcBorders>
              <w:top w:val="single" w:sz="4" w:space="0" w:color="auto"/>
              <w:left w:val="nil"/>
              <w:bottom w:val="nil"/>
              <w:right w:val="nil"/>
            </w:tcBorders>
            <w:hideMark/>
          </w:tcPr>
          <w:p w:rsidR="00C413B5" w:rsidRPr="00370BB1" w:rsidRDefault="00C413B5">
            <w:pPr>
              <w:jc w:val="both"/>
              <w:rPr>
                <w:color w:val="000000"/>
                <w:sz w:val="20"/>
                <w:szCs w:val="20"/>
              </w:rPr>
            </w:pPr>
            <w:r w:rsidRPr="00370BB1">
              <w:rPr>
                <w:color w:val="000000"/>
                <w:sz w:val="20"/>
                <w:szCs w:val="20"/>
              </w:rPr>
              <w:t>7.32</w:t>
            </w:r>
          </w:p>
        </w:tc>
        <w:tc>
          <w:tcPr>
            <w:tcW w:w="1128" w:type="dxa"/>
            <w:vMerge w:val="restart"/>
            <w:tcBorders>
              <w:top w:val="nil"/>
              <w:left w:val="nil"/>
              <w:bottom w:val="nil"/>
              <w:right w:val="nil"/>
            </w:tcBorders>
            <w:hideMark/>
          </w:tcPr>
          <w:p w:rsidR="00C413B5" w:rsidRPr="00370BB1" w:rsidRDefault="00C413B5">
            <w:pPr>
              <w:jc w:val="both"/>
              <w:rPr>
                <w:color w:val="000000"/>
                <w:sz w:val="20"/>
                <w:szCs w:val="20"/>
              </w:rPr>
            </w:pPr>
            <w:r w:rsidRPr="00370BB1">
              <w:rPr>
                <w:color w:val="000000"/>
                <w:sz w:val="20"/>
                <w:szCs w:val="20"/>
              </w:rPr>
              <w:t>498</w:t>
            </w:r>
          </w:p>
        </w:tc>
        <w:tc>
          <w:tcPr>
            <w:tcW w:w="1119" w:type="dxa"/>
            <w:vMerge w:val="restart"/>
            <w:tcBorders>
              <w:top w:val="nil"/>
              <w:left w:val="nil"/>
              <w:bottom w:val="nil"/>
              <w:right w:val="nil"/>
            </w:tcBorders>
            <w:hideMark/>
          </w:tcPr>
          <w:p w:rsidR="00C413B5" w:rsidRPr="00370BB1" w:rsidRDefault="00C413B5">
            <w:pPr>
              <w:jc w:val="both"/>
              <w:rPr>
                <w:color w:val="000000"/>
                <w:sz w:val="20"/>
                <w:szCs w:val="20"/>
              </w:rPr>
            </w:pPr>
            <w:r w:rsidRPr="00370BB1">
              <w:rPr>
                <w:color w:val="000000"/>
                <w:sz w:val="20"/>
                <w:szCs w:val="20"/>
              </w:rPr>
              <w:t>-3.49</w:t>
            </w:r>
          </w:p>
        </w:tc>
        <w:tc>
          <w:tcPr>
            <w:tcW w:w="1135" w:type="dxa"/>
            <w:vMerge w:val="restart"/>
            <w:tcBorders>
              <w:top w:val="nil"/>
              <w:left w:val="nil"/>
              <w:bottom w:val="nil"/>
              <w:right w:val="nil"/>
            </w:tcBorders>
            <w:hideMark/>
          </w:tcPr>
          <w:p w:rsidR="00C413B5" w:rsidRPr="00370BB1" w:rsidRDefault="00C413B5">
            <w:pPr>
              <w:jc w:val="both"/>
              <w:rPr>
                <w:color w:val="000000"/>
                <w:sz w:val="20"/>
                <w:szCs w:val="20"/>
              </w:rPr>
            </w:pPr>
            <w:r w:rsidRPr="00370BB1">
              <w:rPr>
                <w:color w:val="000000"/>
                <w:sz w:val="20"/>
                <w:szCs w:val="20"/>
              </w:rPr>
              <w:t>.001</w:t>
            </w:r>
          </w:p>
        </w:tc>
      </w:tr>
      <w:tr w:rsidR="00C413B5" w:rsidRPr="00370BB1" w:rsidTr="00FE7566">
        <w:tc>
          <w:tcPr>
            <w:tcW w:w="0" w:type="auto"/>
            <w:vMerge/>
            <w:tcBorders>
              <w:top w:val="nil"/>
              <w:left w:val="nil"/>
              <w:bottom w:val="single" w:sz="4" w:space="0" w:color="auto"/>
              <w:right w:val="nil"/>
            </w:tcBorders>
            <w:vAlign w:val="center"/>
            <w:hideMark/>
          </w:tcPr>
          <w:p w:rsidR="00C413B5" w:rsidRPr="00370BB1" w:rsidRDefault="00C413B5">
            <w:pPr>
              <w:spacing w:line="240" w:lineRule="auto"/>
              <w:rPr>
                <w:rFonts w:eastAsia="Calibri"/>
                <w:color w:val="000000"/>
                <w:sz w:val="20"/>
                <w:szCs w:val="20"/>
              </w:rPr>
            </w:pPr>
          </w:p>
        </w:tc>
        <w:tc>
          <w:tcPr>
            <w:tcW w:w="1177" w:type="dxa"/>
            <w:tcBorders>
              <w:top w:val="nil"/>
              <w:left w:val="nil"/>
              <w:bottom w:val="single" w:sz="4" w:space="0" w:color="auto"/>
              <w:right w:val="nil"/>
            </w:tcBorders>
            <w:hideMark/>
          </w:tcPr>
          <w:p w:rsidR="00C413B5" w:rsidRPr="00370BB1" w:rsidRDefault="00C413B5">
            <w:pPr>
              <w:jc w:val="both"/>
              <w:rPr>
                <w:color w:val="000000"/>
                <w:sz w:val="20"/>
                <w:szCs w:val="20"/>
              </w:rPr>
            </w:pPr>
            <w:r w:rsidRPr="00370BB1">
              <w:rPr>
                <w:color w:val="000000"/>
                <w:sz w:val="20"/>
                <w:szCs w:val="20"/>
              </w:rPr>
              <w:t xml:space="preserve">Female </w:t>
            </w:r>
          </w:p>
        </w:tc>
        <w:tc>
          <w:tcPr>
            <w:tcW w:w="1121" w:type="dxa"/>
            <w:tcBorders>
              <w:top w:val="nil"/>
              <w:left w:val="nil"/>
              <w:bottom w:val="single" w:sz="4" w:space="0" w:color="auto"/>
              <w:right w:val="nil"/>
            </w:tcBorders>
            <w:hideMark/>
          </w:tcPr>
          <w:p w:rsidR="00C413B5" w:rsidRPr="00370BB1" w:rsidRDefault="00C413B5">
            <w:pPr>
              <w:jc w:val="both"/>
              <w:rPr>
                <w:color w:val="000000"/>
                <w:sz w:val="20"/>
                <w:szCs w:val="20"/>
              </w:rPr>
            </w:pPr>
            <w:r w:rsidRPr="00370BB1">
              <w:rPr>
                <w:color w:val="000000"/>
                <w:sz w:val="20"/>
                <w:szCs w:val="20"/>
              </w:rPr>
              <w:t>340</w:t>
            </w:r>
          </w:p>
        </w:tc>
        <w:tc>
          <w:tcPr>
            <w:tcW w:w="1160" w:type="dxa"/>
            <w:tcBorders>
              <w:top w:val="nil"/>
              <w:left w:val="nil"/>
              <w:bottom w:val="single" w:sz="4" w:space="0" w:color="auto"/>
              <w:right w:val="nil"/>
            </w:tcBorders>
            <w:hideMark/>
          </w:tcPr>
          <w:p w:rsidR="00C413B5" w:rsidRPr="00370BB1" w:rsidRDefault="00C413B5">
            <w:pPr>
              <w:jc w:val="both"/>
              <w:rPr>
                <w:color w:val="000000"/>
                <w:sz w:val="20"/>
                <w:szCs w:val="20"/>
              </w:rPr>
            </w:pPr>
            <w:r w:rsidRPr="00370BB1">
              <w:rPr>
                <w:color w:val="000000"/>
                <w:sz w:val="20"/>
                <w:szCs w:val="20"/>
              </w:rPr>
              <w:t>15.47</w:t>
            </w:r>
          </w:p>
        </w:tc>
        <w:tc>
          <w:tcPr>
            <w:tcW w:w="1133" w:type="dxa"/>
            <w:tcBorders>
              <w:top w:val="nil"/>
              <w:left w:val="nil"/>
              <w:bottom w:val="single" w:sz="4" w:space="0" w:color="auto"/>
              <w:right w:val="nil"/>
            </w:tcBorders>
            <w:hideMark/>
          </w:tcPr>
          <w:p w:rsidR="00C413B5" w:rsidRPr="00370BB1" w:rsidRDefault="00C413B5">
            <w:pPr>
              <w:jc w:val="both"/>
              <w:rPr>
                <w:color w:val="000000"/>
                <w:sz w:val="20"/>
                <w:szCs w:val="20"/>
              </w:rPr>
            </w:pPr>
            <w:r w:rsidRPr="00370BB1">
              <w:rPr>
                <w:color w:val="000000"/>
                <w:sz w:val="20"/>
                <w:szCs w:val="20"/>
              </w:rPr>
              <w:t>6.28</w:t>
            </w:r>
          </w:p>
        </w:tc>
        <w:tc>
          <w:tcPr>
            <w:tcW w:w="0" w:type="auto"/>
            <w:vMerge/>
            <w:tcBorders>
              <w:top w:val="nil"/>
              <w:left w:val="nil"/>
              <w:bottom w:val="single" w:sz="4" w:space="0" w:color="auto"/>
              <w:right w:val="nil"/>
            </w:tcBorders>
            <w:vAlign w:val="center"/>
            <w:hideMark/>
          </w:tcPr>
          <w:p w:rsidR="00C413B5" w:rsidRPr="00370BB1" w:rsidRDefault="00C413B5">
            <w:pPr>
              <w:spacing w:line="240" w:lineRule="auto"/>
              <w:rPr>
                <w:rFonts w:eastAsia="Calibri"/>
                <w:color w:val="000000"/>
                <w:sz w:val="20"/>
                <w:szCs w:val="20"/>
              </w:rPr>
            </w:pPr>
          </w:p>
        </w:tc>
        <w:tc>
          <w:tcPr>
            <w:tcW w:w="0" w:type="auto"/>
            <w:vMerge/>
            <w:tcBorders>
              <w:top w:val="nil"/>
              <w:left w:val="nil"/>
              <w:bottom w:val="single" w:sz="4" w:space="0" w:color="auto"/>
              <w:right w:val="nil"/>
            </w:tcBorders>
            <w:vAlign w:val="center"/>
            <w:hideMark/>
          </w:tcPr>
          <w:p w:rsidR="00C413B5" w:rsidRPr="00370BB1" w:rsidRDefault="00C413B5">
            <w:pPr>
              <w:spacing w:line="240" w:lineRule="auto"/>
              <w:rPr>
                <w:rFonts w:eastAsia="Calibri"/>
                <w:color w:val="000000"/>
                <w:sz w:val="20"/>
                <w:szCs w:val="20"/>
              </w:rPr>
            </w:pPr>
          </w:p>
        </w:tc>
        <w:tc>
          <w:tcPr>
            <w:tcW w:w="0" w:type="auto"/>
            <w:vMerge/>
            <w:tcBorders>
              <w:top w:val="nil"/>
              <w:left w:val="nil"/>
              <w:bottom w:val="single" w:sz="4" w:space="0" w:color="auto"/>
              <w:right w:val="nil"/>
            </w:tcBorders>
            <w:vAlign w:val="center"/>
            <w:hideMark/>
          </w:tcPr>
          <w:p w:rsidR="00C413B5" w:rsidRPr="00370BB1" w:rsidRDefault="00C413B5">
            <w:pPr>
              <w:spacing w:line="240" w:lineRule="auto"/>
              <w:rPr>
                <w:rFonts w:eastAsia="Calibri"/>
                <w:color w:val="000000"/>
                <w:sz w:val="20"/>
                <w:szCs w:val="20"/>
              </w:rPr>
            </w:pPr>
          </w:p>
        </w:tc>
      </w:tr>
    </w:tbl>
    <w:p w:rsidR="00C413B5" w:rsidRPr="00370BB1" w:rsidRDefault="00C413B5" w:rsidP="00C413B5">
      <w:pPr>
        <w:jc w:val="both"/>
        <w:rPr>
          <w:color w:val="0E101A"/>
          <w:sz w:val="20"/>
          <w:szCs w:val="20"/>
        </w:rPr>
      </w:pPr>
      <w:r w:rsidRPr="00370BB1">
        <w:rPr>
          <w:color w:val="0E101A"/>
          <w:sz w:val="20"/>
          <w:szCs w:val="20"/>
        </w:rPr>
        <w:t xml:space="preserve"> </w:t>
      </w:r>
    </w:p>
    <w:p w:rsidR="00C413B5" w:rsidRPr="00370BB1" w:rsidRDefault="00C413B5" w:rsidP="00C413B5">
      <w:pPr>
        <w:jc w:val="both"/>
        <w:rPr>
          <w:color w:val="0E101A"/>
          <w:sz w:val="20"/>
          <w:szCs w:val="20"/>
        </w:rPr>
      </w:pPr>
      <w:r w:rsidRPr="00370BB1">
        <w:rPr>
          <w:color w:val="0E101A"/>
          <w:sz w:val="20"/>
          <w:szCs w:val="20"/>
        </w:rPr>
        <w:lastRenderedPageBreak/>
        <w:t>Table 4 showed that there was a significant gender difference in the psychological adjustment among the participants (t (498) = -3.492, p &lt; .05).  The result showed that female students reported higher mean score on PA (15.47) than their male counterparts (13.25).  This result indicates that secondary school students of the female gender in the Ibadan metropolis reported better psychological adjustment than those of the male gender.</w:t>
      </w:r>
    </w:p>
    <w:p w:rsidR="00C413B5" w:rsidRPr="00370BB1" w:rsidRDefault="00C413B5" w:rsidP="00C413B5">
      <w:pPr>
        <w:jc w:val="both"/>
        <w:rPr>
          <w:color w:val="0E101A"/>
          <w:sz w:val="20"/>
          <w:szCs w:val="20"/>
        </w:rPr>
      </w:pPr>
      <w:r w:rsidRPr="00370BB1">
        <w:rPr>
          <w:color w:val="0E101A"/>
          <w:sz w:val="20"/>
          <w:szCs w:val="20"/>
        </w:rPr>
        <w:t xml:space="preserve"> </w:t>
      </w:r>
    </w:p>
    <w:p w:rsidR="00C413B5" w:rsidRPr="00370BB1" w:rsidRDefault="00C413B5" w:rsidP="00C413B5">
      <w:pPr>
        <w:jc w:val="both"/>
        <w:rPr>
          <w:color w:val="0E101A"/>
          <w:sz w:val="20"/>
          <w:szCs w:val="20"/>
        </w:rPr>
      </w:pPr>
      <w:r w:rsidRPr="00370BB1">
        <w:rPr>
          <w:color w:val="0E101A"/>
          <w:sz w:val="20"/>
          <w:szCs w:val="20"/>
        </w:rPr>
        <w:t>Hypothesis four stated that Secondary school students in private schools would report significantly better psychological adjustment than their counterparts from public schools among secondary school students in the Ibadan metropolis, Oyo state, Nigeria. This was tested using an independent sample t-test, and the result is presented in Table 5.</w:t>
      </w:r>
    </w:p>
    <w:p w:rsidR="00C413B5" w:rsidRPr="00370BB1" w:rsidRDefault="00C413B5" w:rsidP="00C413B5">
      <w:pPr>
        <w:jc w:val="both"/>
        <w:rPr>
          <w:color w:val="0E101A"/>
          <w:sz w:val="20"/>
          <w:szCs w:val="20"/>
        </w:rPr>
      </w:pPr>
      <w:r w:rsidRPr="00370BB1">
        <w:rPr>
          <w:color w:val="0E101A"/>
          <w:sz w:val="20"/>
          <w:szCs w:val="20"/>
        </w:rPr>
        <w:t xml:space="preserve"> </w:t>
      </w:r>
    </w:p>
    <w:p w:rsidR="00C413B5" w:rsidRPr="00370BB1" w:rsidRDefault="00C413B5" w:rsidP="00C413B5">
      <w:pPr>
        <w:jc w:val="both"/>
        <w:rPr>
          <w:color w:val="0E101A"/>
          <w:sz w:val="20"/>
          <w:szCs w:val="20"/>
        </w:rPr>
      </w:pPr>
      <w:r w:rsidRPr="00370BB1">
        <w:rPr>
          <w:b/>
          <w:bCs/>
          <w:color w:val="0E101A"/>
          <w:sz w:val="20"/>
          <w:szCs w:val="20"/>
        </w:rPr>
        <w:t>Table 5</w:t>
      </w:r>
    </w:p>
    <w:p w:rsidR="00C413B5" w:rsidRPr="00370BB1" w:rsidRDefault="00C413B5" w:rsidP="00C413B5">
      <w:pPr>
        <w:jc w:val="both"/>
        <w:rPr>
          <w:color w:val="0E101A"/>
          <w:sz w:val="20"/>
          <w:szCs w:val="20"/>
        </w:rPr>
      </w:pPr>
      <w:r w:rsidRPr="00370BB1">
        <w:rPr>
          <w:i/>
          <w:iCs/>
          <w:color w:val="0E101A"/>
          <w:sz w:val="20"/>
          <w:szCs w:val="20"/>
        </w:rPr>
        <w:t xml:space="preserve">Summary Table of t-test for Independent Measures showing Comparison of School type with Psychological adjustment  </w:t>
      </w:r>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1603"/>
        <w:gridCol w:w="1177"/>
        <w:gridCol w:w="1121"/>
        <w:gridCol w:w="1160"/>
        <w:gridCol w:w="1133"/>
        <w:gridCol w:w="1128"/>
        <w:gridCol w:w="1119"/>
        <w:gridCol w:w="1135"/>
      </w:tblGrid>
      <w:tr w:rsidR="00C413B5" w:rsidRPr="00370BB1" w:rsidTr="00FE7566">
        <w:trPr>
          <w:jc w:val="center"/>
        </w:trPr>
        <w:tc>
          <w:tcPr>
            <w:tcW w:w="1603" w:type="dxa"/>
            <w:tcBorders>
              <w:top w:val="single" w:sz="4" w:space="0" w:color="auto"/>
              <w:left w:val="nil"/>
              <w:bottom w:val="single" w:sz="4" w:space="0" w:color="auto"/>
              <w:right w:val="nil"/>
            </w:tcBorders>
          </w:tcPr>
          <w:p w:rsidR="00C413B5" w:rsidRPr="00370BB1" w:rsidRDefault="00C413B5">
            <w:pPr>
              <w:jc w:val="both"/>
              <w:rPr>
                <w:color w:val="000000"/>
                <w:sz w:val="20"/>
                <w:szCs w:val="20"/>
              </w:rPr>
            </w:pPr>
          </w:p>
        </w:tc>
        <w:tc>
          <w:tcPr>
            <w:tcW w:w="1177" w:type="dxa"/>
            <w:tcBorders>
              <w:top w:val="single" w:sz="4" w:space="0" w:color="auto"/>
              <w:left w:val="nil"/>
              <w:bottom w:val="single" w:sz="4" w:space="0" w:color="auto"/>
              <w:right w:val="nil"/>
            </w:tcBorders>
            <w:hideMark/>
          </w:tcPr>
          <w:p w:rsidR="00C413B5" w:rsidRPr="00370BB1" w:rsidRDefault="00C413B5">
            <w:pPr>
              <w:autoSpaceDE w:val="0"/>
              <w:autoSpaceDN w:val="0"/>
              <w:adjustRightInd w:val="0"/>
              <w:jc w:val="both"/>
              <w:rPr>
                <w:color w:val="000000"/>
                <w:sz w:val="20"/>
                <w:szCs w:val="20"/>
              </w:rPr>
            </w:pPr>
            <w:r w:rsidRPr="00370BB1">
              <w:rPr>
                <w:color w:val="000000"/>
                <w:sz w:val="20"/>
                <w:szCs w:val="20"/>
              </w:rPr>
              <w:t xml:space="preserve">School Type         </w:t>
            </w:r>
          </w:p>
        </w:tc>
        <w:tc>
          <w:tcPr>
            <w:tcW w:w="1121" w:type="dxa"/>
            <w:tcBorders>
              <w:top w:val="single" w:sz="4" w:space="0" w:color="auto"/>
              <w:left w:val="nil"/>
              <w:bottom w:val="single" w:sz="4" w:space="0" w:color="auto"/>
              <w:right w:val="nil"/>
            </w:tcBorders>
            <w:hideMark/>
          </w:tcPr>
          <w:p w:rsidR="00C413B5" w:rsidRPr="00370BB1" w:rsidRDefault="00C413B5">
            <w:pPr>
              <w:autoSpaceDE w:val="0"/>
              <w:autoSpaceDN w:val="0"/>
              <w:adjustRightInd w:val="0"/>
              <w:jc w:val="both"/>
              <w:rPr>
                <w:color w:val="000000"/>
                <w:sz w:val="20"/>
                <w:szCs w:val="20"/>
              </w:rPr>
            </w:pPr>
            <w:r w:rsidRPr="00370BB1">
              <w:rPr>
                <w:color w:val="000000"/>
                <w:sz w:val="20"/>
                <w:szCs w:val="20"/>
              </w:rPr>
              <w:t>N</w:t>
            </w:r>
          </w:p>
        </w:tc>
        <w:tc>
          <w:tcPr>
            <w:tcW w:w="1160" w:type="dxa"/>
            <w:tcBorders>
              <w:top w:val="single" w:sz="4" w:space="0" w:color="auto"/>
              <w:left w:val="nil"/>
              <w:bottom w:val="single" w:sz="4" w:space="0" w:color="auto"/>
              <w:right w:val="nil"/>
            </w:tcBorders>
            <w:hideMark/>
          </w:tcPr>
          <w:p w:rsidR="00C413B5" w:rsidRPr="00370BB1" w:rsidRDefault="00C413B5">
            <w:pPr>
              <w:autoSpaceDE w:val="0"/>
              <w:autoSpaceDN w:val="0"/>
              <w:adjustRightInd w:val="0"/>
              <w:jc w:val="both"/>
              <w:rPr>
                <w:color w:val="000000"/>
                <w:sz w:val="20"/>
                <w:szCs w:val="20"/>
              </w:rPr>
            </w:pPr>
            <w:r w:rsidRPr="00370BB1">
              <w:rPr>
                <w:color w:val="000000"/>
                <w:sz w:val="20"/>
                <w:szCs w:val="20"/>
              </w:rPr>
              <w:t>Mean</w:t>
            </w:r>
          </w:p>
        </w:tc>
        <w:tc>
          <w:tcPr>
            <w:tcW w:w="1133" w:type="dxa"/>
            <w:tcBorders>
              <w:top w:val="single" w:sz="4" w:space="0" w:color="auto"/>
              <w:left w:val="nil"/>
              <w:bottom w:val="single" w:sz="4" w:space="0" w:color="auto"/>
              <w:right w:val="nil"/>
            </w:tcBorders>
            <w:hideMark/>
          </w:tcPr>
          <w:p w:rsidR="00C413B5" w:rsidRPr="00370BB1" w:rsidRDefault="00C413B5">
            <w:pPr>
              <w:autoSpaceDE w:val="0"/>
              <w:autoSpaceDN w:val="0"/>
              <w:adjustRightInd w:val="0"/>
              <w:jc w:val="both"/>
              <w:rPr>
                <w:color w:val="000000"/>
                <w:sz w:val="20"/>
                <w:szCs w:val="20"/>
              </w:rPr>
            </w:pPr>
            <w:r w:rsidRPr="00370BB1">
              <w:rPr>
                <w:color w:val="000000"/>
                <w:sz w:val="20"/>
                <w:szCs w:val="20"/>
              </w:rPr>
              <w:t>SD</w:t>
            </w:r>
          </w:p>
        </w:tc>
        <w:tc>
          <w:tcPr>
            <w:tcW w:w="1128" w:type="dxa"/>
            <w:tcBorders>
              <w:top w:val="single" w:sz="4" w:space="0" w:color="auto"/>
              <w:left w:val="nil"/>
              <w:bottom w:val="single" w:sz="4" w:space="0" w:color="auto"/>
              <w:right w:val="nil"/>
            </w:tcBorders>
            <w:hideMark/>
          </w:tcPr>
          <w:p w:rsidR="00C413B5" w:rsidRPr="00370BB1" w:rsidRDefault="00C413B5">
            <w:pPr>
              <w:autoSpaceDE w:val="0"/>
              <w:autoSpaceDN w:val="0"/>
              <w:adjustRightInd w:val="0"/>
              <w:jc w:val="both"/>
              <w:rPr>
                <w:color w:val="000000"/>
                <w:sz w:val="20"/>
                <w:szCs w:val="20"/>
              </w:rPr>
            </w:pPr>
            <w:r w:rsidRPr="00370BB1">
              <w:rPr>
                <w:color w:val="000000"/>
                <w:sz w:val="20"/>
                <w:szCs w:val="20"/>
              </w:rPr>
              <w:t>df</w:t>
            </w:r>
          </w:p>
        </w:tc>
        <w:tc>
          <w:tcPr>
            <w:tcW w:w="1119" w:type="dxa"/>
            <w:tcBorders>
              <w:top w:val="single" w:sz="4" w:space="0" w:color="auto"/>
              <w:left w:val="nil"/>
              <w:bottom w:val="single" w:sz="4" w:space="0" w:color="auto"/>
              <w:right w:val="nil"/>
            </w:tcBorders>
            <w:hideMark/>
          </w:tcPr>
          <w:p w:rsidR="00C413B5" w:rsidRPr="00370BB1" w:rsidRDefault="00C413B5">
            <w:pPr>
              <w:autoSpaceDE w:val="0"/>
              <w:autoSpaceDN w:val="0"/>
              <w:adjustRightInd w:val="0"/>
              <w:jc w:val="both"/>
              <w:rPr>
                <w:color w:val="000000"/>
                <w:sz w:val="20"/>
                <w:szCs w:val="20"/>
              </w:rPr>
            </w:pPr>
            <w:r w:rsidRPr="00370BB1">
              <w:rPr>
                <w:color w:val="000000"/>
                <w:sz w:val="20"/>
                <w:szCs w:val="20"/>
              </w:rPr>
              <w:t>t</w:t>
            </w:r>
          </w:p>
        </w:tc>
        <w:tc>
          <w:tcPr>
            <w:tcW w:w="1135" w:type="dxa"/>
            <w:tcBorders>
              <w:top w:val="single" w:sz="4" w:space="0" w:color="auto"/>
              <w:left w:val="nil"/>
              <w:bottom w:val="single" w:sz="4" w:space="0" w:color="auto"/>
              <w:right w:val="nil"/>
            </w:tcBorders>
            <w:hideMark/>
          </w:tcPr>
          <w:p w:rsidR="00C413B5" w:rsidRPr="00370BB1" w:rsidRDefault="00C413B5">
            <w:pPr>
              <w:autoSpaceDE w:val="0"/>
              <w:autoSpaceDN w:val="0"/>
              <w:adjustRightInd w:val="0"/>
              <w:jc w:val="both"/>
              <w:rPr>
                <w:color w:val="000000"/>
                <w:sz w:val="20"/>
                <w:szCs w:val="20"/>
              </w:rPr>
            </w:pPr>
            <w:r w:rsidRPr="00370BB1">
              <w:rPr>
                <w:color w:val="000000"/>
                <w:sz w:val="20"/>
                <w:szCs w:val="20"/>
              </w:rPr>
              <w:t xml:space="preserve">Sig </w:t>
            </w:r>
          </w:p>
        </w:tc>
      </w:tr>
      <w:tr w:rsidR="00C413B5" w:rsidRPr="00370BB1" w:rsidTr="00FE7566">
        <w:trPr>
          <w:jc w:val="center"/>
        </w:trPr>
        <w:tc>
          <w:tcPr>
            <w:tcW w:w="1603" w:type="dxa"/>
            <w:vMerge w:val="restart"/>
            <w:tcBorders>
              <w:top w:val="nil"/>
              <w:left w:val="nil"/>
              <w:bottom w:val="nil"/>
              <w:right w:val="nil"/>
            </w:tcBorders>
            <w:hideMark/>
          </w:tcPr>
          <w:p w:rsidR="00C413B5" w:rsidRPr="00370BB1" w:rsidRDefault="00C413B5">
            <w:pPr>
              <w:jc w:val="both"/>
              <w:rPr>
                <w:color w:val="000000"/>
                <w:sz w:val="20"/>
                <w:szCs w:val="20"/>
              </w:rPr>
            </w:pPr>
            <w:r w:rsidRPr="00370BB1">
              <w:rPr>
                <w:color w:val="000000"/>
                <w:sz w:val="20"/>
                <w:szCs w:val="20"/>
              </w:rPr>
              <w:t xml:space="preserve">Psychological Adjustment    </w:t>
            </w:r>
          </w:p>
        </w:tc>
        <w:tc>
          <w:tcPr>
            <w:tcW w:w="1177" w:type="dxa"/>
            <w:tcBorders>
              <w:top w:val="single" w:sz="4" w:space="0" w:color="auto"/>
              <w:left w:val="nil"/>
              <w:bottom w:val="nil"/>
              <w:right w:val="nil"/>
            </w:tcBorders>
            <w:hideMark/>
          </w:tcPr>
          <w:p w:rsidR="00C413B5" w:rsidRPr="00370BB1" w:rsidRDefault="00C413B5">
            <w:pPr>
              <w:jc w:val="both"/>
              <w:rPr>
                <w:color w:val="000000"/>
                <w:sz w:val="20"/>
                <w:szCs w:val="20"/>
              </w:rPr>
            </w:pPr>
            <w:r w:rsidRPr="00370BB1">
              <w:rPr>
                <w:color w:val="000000"/>
                <w:sz w:val="20"/>
                <w:szCs w:val="20"/>
              </w:rPr>
              <w:t xml:space="preserve">Private </w:t>
            </w:r>
          </w:p>
        </w:tc>
        <w:tc>
          <w:tcPr>
            <w:tcW w:w="1121" w:type="dxa"/>
            <w:tcBorders>
              <w:top w:val="single" w:sz="4" w:space="0" w:color="auto"/>
              <w:left w:val="nil"/>
              <w:bottom w:val="nil"/>
              <w:right w:val="nil"/>
            </w:tcBorders>
            <w:hideMark/>
          </w:tcPr>
          <w:p w:rsidR="00C413B5" w:rsidRPr="00370BB1" w:rsidRDefault="00C413B5">
            <w:pPr>
              <w:jc w:val="both"/>
              <w:rPr>
                <w:color w:val="000000"/>
                <w:sz w:val="20"/>
                <w:szCs w:val="20"/>
              </w:rPr>
            </w:pPr>
            <w:r w:rsidRPr="00370BB1">
              <w:rPr>
                <w:color w:val="000000"/>
                <w:sz w:val="20"/>
                <w:szCs w:val="20"/>
              </w:rPr>
              <w:t>220</w:t>
            </w:r>
          </w:p>
        </w:tc>
        <w:tc>
          <w:tcPr>
            <w:tcW w:w="1160" w:type="dxa"/>
            <w:tcBorders>
              <w:top w:val="single" w:sz="4" w:space="0" w:color="auto"/>
              <w:left w:val="nil"/>
              <w:bottom w:val="nil"/>
              <w:right w:val="nil"/>
            </w:tcBorders>
            <w:hideMark/>
          </w:tcPr>
          <w:p w:rsidR="00C413B5" w:rsidRPr="00370BB1" w:rsidRDefault="00C413B5">
            <w:pPr>
              <w:jc w:val="both"/>
              <w:rPr>
                <w:color w:val="000000"/>
                <w:sz w:val="20"/>
                <w:szCs w:val="20"/>
              </w:rPr>
            </w:pPr>
            <w:r w:rsidRPr="00370BB1">
              <w:rPr>
                <w:color w:val="000000"/>
                <w:sz w:val="20"/>
                <w:szCs w:val="20"/>
              </w:rPr>
              <w:t>18.00</w:t>
            </w:r>
          </w:p>
        </w:tc>
        <w:tc>
          <w:tcPr>
            <w:tcW w:w="1133" w:type="dxa"/>
            <w:tcBorders>
              <w:top w:val="single" w:sz="4" w:space="0" w:color="auto"/>
              <w:left w:val="nil"/>
              <w:bottom w:val="nil"/>
              <w:right w:val="nil"/>
            </w:tcBorders>
            <w:hideMark/>
          </w:tcPr>
          <w:p w:rsidR="00C413B5" w:rsidRPr="00370BB1" w:rsidRDefault="00C413B5">
            <w:pPr>
              <w:jc w:val="both"/>
              <w:rPr>
                <w:color w:val="000000"/>
                <w:sz w:val="20"/>
                <w:szCs w:val="20"/>
              </w:rPr>
            </w:pPr>
            <w:r w:rsidRPr="00370BB1">
              <w:rPr>
                <w:color w:val="000000"/>
                <w:sz w:val="20"/>
                <w:szCs w:val="20"/>
              </w:rPr>
              <w:t>11.29</w:t>
            </w:r>
          </w:p>
        </w:tc>
        <w:tc>
          <w:tcPr>
            <w:tcW w:w="1128" w:type="dxa"/>
            <w:vMerge w:val="restart"/>
            <w:tcBorders>
              <w:top w:val="nil"/>
              <w:left w:val="nil"/>
              <w:bottom w:val="nil"/>
              <w:right w:val="nil"/>
            </w:tcBorders>
            <w:hideMark/>
          </w:tcPr>
          <w:p w:rsidR="00C413B5" w:rsidRPr="00370BB1" w:rsidRDefault="00C413B5">
            <w:pPr>
              <w:jc w:val="both"/>
              <w:rPr>
                <w:color w:val="000000"/>
                <w:sz w:val="20"/>
                <w:szCs w:val="20"/>
              </w:rPr>
            </w:pPr>
            <w:r w:rsidRPr="00370BB1">
              <w:rPr>
                <w:color w:val="000000"/>
                <w:sz w:val="20"/>
                <w:szCs w:val="20"/>
              </w:rPr>
              <w:t>498</w:t>
            </w:r>
          </w:p>
        </w:tc>
        <w:tc>
          <w:tcPr>
            <w:tcW w:w="1119" w:type="dxa"/>
            <w:vMerge w:val="restart"/>
            <w:tcBorders>
              <w:top w:val="nil"/>
              <w:left w:val="nil"/>
              <w:bottom w:val="nil"/>
              <w:right w:val="nil"/>
            </w:tcBorders>
            <w:hideMark/>
          </w:tcPr>
          <w:p w:rsidR="00C413B5" w:rsidRPr="00370BB1" w:rsidRDefault="00C413B5">
            <w:pPr>
              <w:jc w:val="both"/>
              <w:rPr>
                <w:color w:val="000000"/>
                <w:sz w:val="20"/>
                <w:szCs w:val="20"/>
              </w:rPr>
            </w:pPr>
            <w:r w:rsidRPr="00370BB1">
              <w:rPr>
                <w:color w:val="000000"/>
                <w:sz w:val="20"/>
                <w:szCs w:val="20"/>
              </w:rPr>
              <w:t>2.21</w:t>
            </w:r>
          </w:p>
        </w:tc>
        <w:tc>
          <w:tcPr>
            <w:tcW w:w="1135" w:type="dxa"/>
            <w:vMerge w:val="restart"/>
            <w:tcBorders>
              <w:top w:val="nil"/>
              <w:left w:val="nil"/>
              <w:bottom w:val="nil"/>
              <w:right w:val="nil"/>
            </w:tcBorders>
            <w:hideMark/>
          </w:tcPr>
          <w:p w:rsidR="00C413B5" w:rsidRPr="00370BB1" w:rsidRDefault="00C413B5">
            <w:pPr>
              <w:jc w:val="both"/>
              <w:rPr>
                <w:color w:val="000000"/>
                <w:sz w:val="20"/>
                <w:szCs w:val="20"/>
              </w:rPr>
            </w:pPr>
            <w:r w:rsidRPr="00370BB1">
              <w:rPr>
                <w:color w:val="000000"/>
                <w:sz w:val="20"/>
                <w:szCs w:val="20"/>
              </w:rPr>
              <w:t>.027</w:t>
            </w:r>
          </w:p>
        </w:tc>
      </w:tr>
      <w:tr w:rsidR="00C413B5" w:rsidRPr="00370BB1" w:rsidTr="00FE7566">
        <w:trPr>
          <w:jc w:val="center"/>
        </w:trPr>
        <w:tc>
          <w:tcPr>
            <w:tcW w:w="0" w:type="auto"/>
            <w:vMerge/>
            <w:tcBorders>
              <w:top w:val="nil"/>
              <w:left w:val="nil"/>
              <w:bottom w:val="single" w:sz="4" w:space="0" w:color="auto"/>
              <w:right w:val="nil"/>
            </w:tcBorders>
            <w:vAlign w:val="center"/>
            <w:hideMark/>
          </w:tcPr>
          <w:p w:rsidR="00C413B5" w:rsidRPr="00370BB1" w:rsidRDefault="00C413B5">
            <w:pPr>
              <w:spacing w:line="240" w:lineRule="auto"/>
              <w:rPr>
                <w:rFonts w:eastAsia="Calibri"/>
                <w:color w:val="000000"/>
                <w:sz w:val="20"/>
                <w:szCs w:val="20"/>
              </w:rPr>
            </w:pPr>
          </w:p>
        </w:tc>
        <w:tc>
          <w:tcPr>
            <w:tcW w:w="1177" w:type="dxa"/>
            <w:tcBorders>
              <w:top w:val="nil"/>
              <w:left w:val="nil"/>
              <w:bottom w:val="single" w:sz="4" w:space="0" w:color="auto"/>
              <w:right w:val="nil"/>
            </w:tcBorders>
            <w:hideMark/>
          </w:tcPr>
          <w:p w:rsidR="00C413B5" w:rsidRPr="00370BB1" w:rsidRDefault="00C413B5">
            <w:pPr>
              <w:jc w:val="both"/>
              <w:rPr>
                <w:color w:val="000000"/>
                <w:sz w:val="20"/>
                <w:szCs w:val="20"/>
              </w:rPr>
            </w:pPr>
            <w:r w:rsidRPr="00370BB1">
              <w:rPr>
                <w:color w:val="000000"/>
                <w:sz w:val="20"/>
                <w:szCs w:val="20"/>
              </w:rPr>
              <w:t xml:space="preserve">Public </w:t>
            </w:r>
          </w:p>
        </w:tc>
        <w:tc>
          <w:tcPr>
            <w:tcW w:w="1121" w:type="dxa"/>
            <w:tcBorders>
              <w:top w:val="nil"/>
              <w:left w:val="nil"/>
              <w:bottom w:val="single" w:sz="4" w:space="0" w:color="auto"/>
              <w:right w:val="nil"/>
            </w:tcBorders>
            <w:hideMark/>
          </w:tcPr>
          <w:p w:rsidR="00C413B5" w:rsidRPr="00370BB1" w:rsidRDefault="00C413B5">
            <w:pPr>
              <w:jc w:val="both"/>
              <w:rPr>
                <w:color w:val="000000"/>
                <w:sz w:val="20"/>
                <w:szCs w:val="20"/>
              </w:rPr>
            </w:pPr>
            <w:r w:rsidRPr="00370BB1">
              <w:rPr>
                <w:color w:val="000000"/>
                <w:sz w:val="20"/>
                <w:szCs w:val="20"/>
              </w:rPr>
              <w:t>280</w:t>
            </w:r>
          </w:p>
        </w:tc>
        <w:tc>
          <w:tcPr>
            <w:tcW w:w="1160" w:type="dxa"/>
            <w:tcBorders>
              <w:top w:val="nil"/>
              <w:left w:val="nil"/>
              <w:bottom w:val="single" w:sz="4" w:space="0" w:color="auto"/>
              <w:right w:val="nil"/>
            </w:tcBorders>
            <w:hideMark/>
          </w:tcPr>
          <w:p w:rsidR="00C413B5" w:rsidRPr="00370BB1" w:rsidRDefault="00C413B5">
            <w:pPr>
              <w:jc w:val="both"/>
              <w:rPr>
                <w:color w:val="000000"/>
                <w:sz w:val="20"/>
                <w:szCs w:val="20"/>
              </w:rPr>
            </w:pPr>
            <w:r w:rsidRPr="00370BB1">
              <w:rPr>
                <w:color w:val="000000"/>
                <w:sz w:val="20"/>
                <w:szCs w:val="20"/>
              </w:rPr>
              <w:t>14.63</w:t>
            </w:r>
          </w:p>
        </w:tc>
        <w:tc>
          <w:tcPr>
            <w:tcW w:w="1133" w:type="dxa"/>
            <w:tcBorders>
              <w:top w:val="nil"/>
              <w:left w:val="nil"/>
              <w:bottom w:val="single" w:sz="4" w:space="0" w:color="auto"/>
              <w:right w:val="nil"/>
            </w:tcBorders>
            <w:hideMark/>
          </w:tcPr>
          <w:p w:rsidR="00C413B5" w:rsidRPr="00370BB1" w:rsidRDefault="00C413B5">
            <w:pPr>
              <w:jc w:val="both"/>
              <w:rPr>
                <w:color w:val="000000"/>
                <w:sz w:val="20"/>
                <w:szCs w:val="20"/>
              </w:rPr>
            </w:pPr>
            <w:r w:rsidRPr="00370BB1">
              <w:rPr>
                <w:color w:val="000000"/>
                <w:sz w:val="20"/>
                <w:szCs w:val="20"/>
              </w:rPr>
              <w:t>6.43</w:t>
            </w:r>
          </w:p>
        </w:tc>
        <w:tc>
          <w:tcPr>
            <w:tcW w:w="0" w:type="auto"/>
            <w:vMerge/>
            <w:tcBorders>
              <w:top w:val="nil"/>
              <w:left w:val="nil"/>
              <w:bottom w:val="single" w:sz="4" w:space="0" w:color="auto"/>
              <w:right w:val="nil"/>
            </w:tcBorders>
            <w:vAlign w:val="center"/>
            <w:hideMark/>
          </w:tcPr>
          <w:p w:rsidR="00C413B5" w:rsidRPr="00370BB1" w:rsidRDefault="00C413B5">
            <w:pPr>
              <w:spacing w:line="240" w:lineRule="auto"/>
              <w:rPr>
                <w:rFonts w:eastAsia="Calibri"/>
                <w:color w:val="000000"/>
                <w:sz w:val="20"/>
                <w:szCs w:val="20"/>
              </w:rPr>
            </w:pPr>
          </w:p>
        </w:tc>
        <w:tc>
          <w:tcPr>
            <w:tcW w:w="0" w:type="auto"/>
            <w:vMerge/>
            <w:tcBorders>
              <w:top w:val="nil"/>
              <w:left w:val="nil"/>
              <w:bottom w:val="single" w:sz="4" w:space="0" w:color="auto"/>
              <w:right w:val="nil"/>
            </w:tcBorders>
            <w:vAlign w:val="center"/>
            <w:hideMark/>
          </w:tcPr>
          <w:p w:rsidR="00C413B5" w:rsidRPr="00370BB1" w:rsidRDefault="00C413B5">
            <w:pPr>
              <w:spacing w:line="240" w:lineRule="auto"/>
              <w:rPr>
                <w:rFonts w:eastAsia="Calibri"/>
                <w:color w:val="000000"/>
                <w:sz w:val="20"/>
                <w:szCs w:val="20"/>
              </w:rPr>
            </w:pPr>
          </w:p>
        </w:tc>
        <w:tc>
          <w:tcPr>
            <w:tcW w:w="0" w:type="auto"/>
            <w:vMerge/>
            <w:tcBorders>
              <w:top w:val="nil"/>
              <w:left w:val="nil"/>
              <w:bottom w:val="single" w:sz="4" w:space="0" w:color="auto"/>
              <w:right w:val="nil"/>
            </w:tcBorders>
            <w:vAlign w:val="center"/>
            <w:hideMark/>
          </w:tcPr>
          <w:p w:rsidR="00C413B5" w:rsidRPr="00370BB1" w:rsidRDefault="00C413B5">
            <w:pPr>
              <w:spacing w:line="240" w:lineRule="auto"/>
              <w:rPr>
                <w:rFonts w:eastAsia="Calibri"/>
                <w:color w:val="000000"/>
                <w:sz w:val="20"/>
                <w:szCs w:val="20"/>
              </w:rPr>
            </w:pPr>
          </w:p>
        </w:tc>
      </w:tr>
    </w:tbl>
    <w:p w:rsidR="00C413B5" w:rsidRPr="00370BB1" w:rsidRDefault="00C413B5" w:rsidP="00C413B5">
      <w:pPr>
        <w:jc w:val="both"/>
        <w:rPr>
          <w:color w:val="000000"/>
          <w:sz w:val="20"/>
          <w:szCs w:val="20"/>
        </w:rPr>
      </w:pPr>
      <w:r w:rsidRPr="00370BB1">
        <w:rPr>
          <w:color w:val="000000"/>
          <w:sz w:val="20"/>
          <w:szCs w:val="20"/>
        </w:rPr>
        <w:t xml:space="preserve"> </w:t>
      </w:r>
    </w:p>
    <w:p w:rsidR="00C413B5" w:rsidRPr="00370BB1" w:rsidRDefault="00C413B5" w:rsidP="00C413B5">
      <w:pPr>
        <w:jc w:val="both"/>
        <w:rPr>
          <w:color w:val="0E101A"/>
          <w:sz w:val="20"/>
          <w:szCs w:val="20"/>
        </w:rPr>
      </w:pPr>
      <w:r w:rsidRPr="00370BB1">
        <w:rPr>
          <w:color w:val="0E101A"/>
          <w:sz w:val="20"/>
          <w:szCs w:val="20"/>
        </w:rPr>
        <w:t xml:space="preserve">Table 5 showed that there was a significant difference in the psychological adjustment of the secondary school students in private schools compared to those who are in public schools (t (498)=2.213, p&lt;.05) among secondary school students in the Ibadan metropolis, Oyo state, Nigeria.  From Table 5 participants attending private schools had a mean score of 18.00 in PA compared to mean score of 14.63 reported by their counterparts in public secondary schools.  This result indicates that secondary school students attending private schools in the Ibadan metropolis reported better significant psychological adjustment than those attending public schools. It can also be deduced from the result that there was a significant influence of school type on psychological adjustment among secondary school students in the Ibadan metropolis, Oyo state, Nigeria. </w:t>
      </w:r>
    </w:p>
    <w:p w:rsidR="00C413B5" w:rsidRPr="00370BB1" w:rsidRDefault="00C413B5" w:rsidP="00C413B5">
      <w:pPr>
        <w:jc w:val="both"/>
        <w:rPr>
          <w:color w:val="0E101A"/>
          <w:sz w:val="20"/>
          <w:szCs w:val="20"/>
        </w:rPr>
      </w:pPr>
      <w:r w:rsidRPr="00370BB1">
        <w:rPr>
          <w:color w:val="0E101A"/>
          <w:sz w:val="20"/>
          <w:szCs w:val="20"/>
        </w:rPr>
        <w:t xml:space="preserve"> </w:t>
      </w:r>
    </w:p>
    <w:p w:rsidR="00C413B5" w:rsidRPr="00370BB1" w:rsidRDefault="00C413B5" w:rsidP="00C413B5">
      <w:pPr>
        <w:pStyle w:val="ListParagraph"/>
        <w:numPr>
          <w:ilvl w:val="0"/>
          <w:numId w:val="1"/>
        </w:numPr>
        <w:ind w:left="360"/>
        <w:jc w:val="both"/>
        <w:rPr>
          <w:color w:val="0E101A"/>
        </w:rPr>
      </w:pPr>
      <w:r w:rsidRPr="00370BB1">
        <w:rPr>
          <w:b/>
          <w:bCs/>
          <w:color w:val="0E101A"/>
        </w:rPr>
        <w:t>Discussions</w:t>
      </w:r>
      <w:r w:rsidRPr="00370BB1">
        <w:rPr>
          <w:color w:val="0E101A"/>
        </w:rPr>
        <w:t xml:space="preserve">                 </w:t>
      </w:r>
    </w:p>
    <w:p w:rsidR="00C413B5" w:rsidRPr="00370BB1" w:rsidRDefault="00C413B5" w:rsidP="00C413B5">
      <w:pPr>
        <w:jc w:val="both"/>
        <w:rPr>
          <w:color w:val="000000"/>
          <w:sz w:val="20"/>
          <w:szCs w:val="20"/>
        </w:rPr>
      </w:pPr>
      <w:r w:rsidRPr="00370BB1">
        <w:rPr>
          <w:color w:val="0E101A"/>
          <w:sz w:val="20"/>
          <w:szCs w:val="20"/>
        </w:rPr>
        <w:t>The study examined the extent to which internet and mobile game addictions influence the PA of secondary school adolescents in Ibadan Metropolis Nigeria. The result revealed that 78.0% of the selected secondary school students in the Ibadan metropolis, Oyo state reported moderate internet addiction while 14.0% of them reported mild internet addiction and a few 8.0% reported severe internet addiction. Also, 56.0% of the selected secondary school students reported moderate internet game addiction while 42.0% of them reported mild internet game addiction, and 2.0% reported severe internet addiction. This reported high prevalence of internet addiction and internet gaming is consistent with previous findings both within and outside Nigeria (</w:t>
      </w:r>
      <w:proofErr w:type="spellStart"/>
      <w:r w:rsidRPr="00370BB1">
        <w:rPr>
          <w:color w:val="0E101A"/>
          <w:sz w:val="20"/>
          <w:szCs w:val="20"/>
        </w:rPr>
        <w:t>Smetaniuk</w:t>
      </w:r>
      <w:proofErr w:type="spellEnd"/>
      <w:r w:rsidRPr="00370BB1">
        <w:rPr>
          <w:color w:val="0E101A"/>
          <w:sz w:val="20"/>
          <w:szCs w:val="20"/>
        </w:rPr>
        <w:t xml:space="preserve">, 2014; </w:t>
      </w:r>
      <w:proofErr w:type="spellStart"/>
      <w:r w:rsidRPr="00370BB1">
        <w:rPr>
          <w:color w:val="0E101A"/>
          <w:sz w:val="20"/>
          <w:szCs w:val="20"/>
        </w:rPr>
        <w:t>Demirci</w:t>
      </w:r>
      <w:proofErr w:type="spellEnd"/>
      <w:r w:rsidRPr="00370BB1">
        <w:rPr>
          <w:color w:val="0E101A"/>
          <w:sz w:val="20"/>
          <w:szCs w:val="20"/>
        </w:rPr>
        <w:t xml:space="preserve">, et al., 2015; </w:t>
      </w:r>
      <w:proofErr w:type="spellStart"/>
      <w:r w:rsidRPr="00370BB1">
        <w:rPr>
          <w:color w:val="0E101A"/>
          <w:sz w:val="20"/>
          <w:szCs w:val="20"/>
        </w:rPr>
        <w:t>Elhai</w:t>
      </w:r>
      <w:proofErr w:type="spellEnd"/>
      <w:r w:rsidRPr="00370BB1">
        <w:rPr>
          <w:color w:val="0E101A"/>
          <w:sz w:val="20"/>
          <w:szCs w:val="20"/>
        </w:rPr>
        <w:t xml:space="preserve">, et al., 2016; </w:t>
      </w:r>
      <w:proofErr w:type="spellStart"/>
      <w:r w:rsidRPr="00370BB1">
        <w:rPr>
          <w:color w:val="0E101A"/>
          <w:sz w:val="20"/>
          <w:szCs w:val="20"/>
        </w:rPr>
        <w:t>Akpunne</w:t>
      </w:r>
      <w:proofErr w:type="spellEnd"/>
      <w:r w:rsidRPr="00370BB1">
        <w:rPr>
          <w:color w:val="0E101A"/>
          <w:sz w:val="20"/>
          <w:szCs w:val="20"/>
        </w:rPr>
        <w:t xml:space="preserve"> &amp; </w:t>
      </w:r>
      <w:proofErr w:type="spellStart"/>
      <w:r w:rsidRPr="00370BB1">
        <w:rPr>
          <w:color w:val="0E101A"/>
          <w:sz w:val="20"/>
          <w:szCs w:val="20"/>
        </w:rPr>
        <w:t>Akinnawo</w:t>
      </w:r>
      <w:proofErr w:type="spellEnd"/>
      <w:r w:rsidRPr="00370BB1">
        <w:rPr>
          <w:color w:val="0E101A"/>
          <w:sz w:val="20"/>
          <w:szCs w:val="20"/>
        </w:rPr>
        <w:t xml:space="preserve">, 2019; </w:t>
      </w:r>
      <w:proofErr w:type="spellStart"/>
      <w:r w:rsidRPr="00370BB1">
        <w:rPr>
          <w:color w:val="0E101A"/>
          <w:sz w:val="20"/>
          <w:szCs w:val="20"/>
        </w:rPr>
        <w:t>Ariyo</w:t>
      </w:r>
      <w:proofErr w:type="spellEnd"/>
      <w:r w:rsidRPr="00370BB1">
        <w:rPr>
          <w:color w:val="0E101A"/>
          <w:sz w:val="20"/>
          <w:szCs w:val="20"/>
        </w:rPr>
        <w:t xml:space="preserve">, et al., 2020). A previous Nigerian study </w:t>
      </w:r>
      <w:proofErr w:type="spellStart"/>
      <w:r w:rsidRPr="00370BB1">
        <w:rPr>
          <w:color w:val="0E101A"/>
          <w:sz w:val="20"/>
          <w:szCs w:val="20"/>
        </w:rPr>
        <w:t>Ariyo</w:t>
      </w:r>
      <w:proofErr w:type="spellEnd"/>
      <w:r w:rsidRPr="00370BB1">
        <w:rPr>
          <w:color w:val="0E101A"/>
          <w:sz w:val="20"/>
          <w:szCs w:val="20"/>
        </w:rPr>
        <w:t xml:space="preserve"> et al. (2020), reported a 51.5% prevalence of internet gaming among adolescents in Benin City, Nigeria. A research in 2022 show that globally 5.32 billion people were mobile users, 63% of the global population use the internet and 58.7% of the global population use social media (Kemp, 2022). global prevalence of IA was 6% with different variations in the internet addiction rate by countries (</w:t>
      </w:r>
      <w:r w:rsidRPr="00370BB1">
        <w:rPr>
          <w:rStyle w:val="19"/>
          <w:rFonts w:ascii="Arial" w:eastAsia="Cambria" w:hAnsi="Arial" w:hint="default"/>
          <w:i w:val="0"/>
          <w:iCs w:val="0"/>
          <w:color w:val="1B1B1B"/>
          <w:sz w:val="20"/>
          <w:szCs w:val="20"/>
          <w:shd w:val="clear" w:color="auto" w:fill="FFFFFF"/>
        </w:rPr>
        <w:t xml:space="preserve">Hull &amp; Proulx, 2022; </w:t>
      </w:r>
      <w:r w:rsidRPr="00370BB1">
        <w:rPr>
          <w:color w:val="000000"/>
          <w:sz w:val="20"/>
          <w:szCs w:val="20"/>
        </w:rPr>
        <w:t>Des Marais, 2024</w:t>
      </w:r>
      <w:r w:rsidRPr="00370BB1">
        <w:rPr>
          <w:rStyle w:val="19"/>
          <w:rFonts w:ascii="Arial" w:eastAsia="Cambria" w:hAnsi="Arial" w:hint="default"/>
          <w:i w:val="0"/>
          <w:iCs w:val="0"/>
          <w:color w:val="1B1B1B"/>
          <w:sz w:val="20"/>
          <w:szCs w:val="20"/>
          <w:shd w:val="clear" w:color="auto" w:fill="FFFFFF"/>
        </w:rPr>
        <w:t xml:space="preserve">). </w:t>
      </w:r>
      <w:r w:rsidRPr="00370BB1">
        <w:rPr>
          <w:color w:val="0E101A"/>
          <w:sz w:val="20"/>
          <w:szCs w:val="20"/>
        </w:rPr>
        <w:t xml:space="preserve">It is true that our devices (smartphones, tablets, </w:t>
      </w:r>
      <w:proofErr w:type="spellStart"/>
      <w:r w:rsidRPr="00370BB1">
        <w:rPr>
          <w:color w:val="0E101A"/>
          <w:sz w:val="20"/>
          <w:szCs w:val="20"/>
        </w:rPr>
        <w:t>etc</w:t>
      </w:r>
      <w:proofErr w:type="spellEnd"/>
      <w:r w:rsidRPr="00370BB1">
        <w:rPr>
          <w:color w:val="0E101A"/>
          <w:sz w:val="20"/>
          <w:szCs w:val="20"/>
        </w:rPr>
        <w:t xml:space="preserve"> play significant role in keeping us connected entertained and informed the adverse effect of the high prevalence on people of all ages is a global concern. Studies however show that the impacts on young people is more (</w:t>
      </w:r>
      <w:r w:rsidRPr="00370BB1">
        <w:rPr>
          <w:rFonts w:eastAsia="Cambria"/>
          <w:color w:val="1B1B1B"/>
          <w:sz w:val="20"/>
          <w:szCs w:val="20"/>
          <w:shd w:val="clear" w:color="auto" w:fill="FFFFFF"/>
        </w:rPr>
        <w:t xml:space="preserve">Kemp, 2022; </w:t>
      </w:r>
      <w:r w:rsidRPr="00370BB1">
        <w:rPr>
          <w:color w:val="000000"/>
          <w:sz w:val="20"/>
          <w:szCs w:val="20"/>
        </w:rPr>
        <w:t>Des Marais,2024). for instance some studies show that</w:t>
      </w:r>
      <w:r w:rsidRPr="00370BB1">
        <w:rPr>
          <w:color w:val="0E101A"/>
          <w:sz w:val="20"/>
          <w:szCs w:val="20"/>
        </w:rPr>
        <w:t xml:space="preserve"> 80% of </w:t>
      </w:r>
      <w:r w:rsidRPr="00370BB1">
        <w:rPr>
          <w:i/>
          <w:iCs/>
          <w:color w:val="0E101A"/>
          <w:sz w:val="20"/>
          <w:szCs w:val="20"/>
        </w:rPr>
        <w:t>Gen Z</w:t>
      </w:r>
      <w:r w:rsidRPr="00370BB1">
        <w:rPr>
          <w:color w:val="0E101A"/>
          <w:sz w:val="20"/>
          <w:szCs w:val="20"/>
        </w:rPr>
        <w:t xml:space="preserve"> check their phones with five minutes of </w:t>
      </w:r>
      <w:r w:rsidRPr="00370BB1">
        <w:rPr>
          <w:color w:val="0E101A"/>
          <w:sz w:val="20"/>
          <w:szCs w:val="20"/>
        </w:rPr>
        <w:lastRenderedPageBreak/>
        <w:t>receiving notification, 40% of emerging adults (ages 18 to 22 years) affirm being addicted to social media; majority of teenagers check their devices as soon as they wake up in the morning; teenagers are over twice more likely to be addicted to video games than adults (</w:t>
      </w:r>
      <w:r w:rsidRPr="00370BB1">
        <w:rPr>
          <w:rFonts w:eastAsia="Consolas"/>
          <w:color w:val="1B1B1B"/>
          <w:sz w:val="20"/>
          <w:szCs w:val="20"/>
          <w:shd w:val="clear" w:color="auto" w:fill="FFFFFF"/>
        </w:rPr>
        <w:t xml:space="preserve">Acharya et al., 2023; </w:t>
      </w:r>
      <w:r w:rsidRPr="00370BB1">
        <w:rPr>
          <w:color w:val="000000"/>
          <w:sz w:val="20"/>
          <w:szCs w:val="20"/>
        </w:rPr>
        <w:t xml:space="preserve">Des Marais, 2024; </w:t>
      </w:r>
      <w:r w:rsidRPr="00370BB1">
        <w:rPr>
          <w:rFonts w:eastAsia="Consolas"/>
          <w:color w:val="1B1B1B"/>
          <w:sz w:val="20"/>
          <w:szCs w:val="20"/>
          <w:shd w:val="clear" w:color="auto" w:fill="FFFFFF"/>
        </w:rPr>
        <w:t>Li et al., 2021).</w:t>
      </w:r>
      <w:r w:rsidRPr="00370BB1">
        <w:rPr>
          <w:color w:val="000000"/>
          <w:sz w:val="20"/>
          <w:szCs w:val="20"/>
        </w:rPr>
        <w:t xml:space="preserve"> </w:t>
      </w:r>
    </w:p>
    <w:p w:rsidR="00C413B5" w:rsidRPr="00370BB1" w:rsidRDefault="00C413B5" w:rsidP="00C413B5">
      <w:pPr>
        <w:jc w:val="both"/>
        <w:rPr>
          <w:color w:val="0E101A"/>
          <w:sz w:val="20"/>
          <w:szCs w:val="20"/>
        </w:rPr>
      </w:pPr>
      <w:r w:rsidRPr="00370BB1">
        <w:rPr>
          <w:color w:val="0E101A"/>
          <w:sz w:val="20"/>
          <w:szCs w:val="20"/>
        </w:rPr>
        <w:t xml:space="preserve"> </w:t>
      </w:r>
    </w:p>
    <w:p w:rsidR="00C413B5" w:rsidRPr="00370BB1" w:rsidRDefault="00C413B5" w:rsidP="00C413B5">
      <w:pPr>
        <w:jc w:val="both"/>
        <w:rPr>
          <w:color w:val="0E101A"/>
          <w:sz w:val="20"/>
          <w:szCs w:val="20"/>
        </w:rPr>
      </w:pPr>
      <w:r w:rsidRPr="00370BB1">
        <w:rPr>
          <w:color w:val="0E101A"/>
          <w:sz w:val="20"/>
          <w:szCs w:val="20"/>
        </w:rPr>
        <w:t xml:space="preserve">This study found that there was a significant influence of internet addiction on psychological adjustment. This finding is consistent with Neeta and Km (2015) and </w:t>
      </w:r>
      <w:proofErr w:type="spellStart"/>
      <w:r w:rsidRPr="00370BB1">
        <w:rPr>
          <w:color w:val="0E101A"/>
          <w:sz w:val="20"/>
          <w:szCs w:val="20"/>
        </w:rPr>
        <w:t>Akpunne</w:t>
      </w:r>
      <w:proofErr w:type="spellEnd"/>
      <w:r w:rsidRPr="00370BB1">
        <w:rPr>
          <w:color w:val="0E101A"/>
          <w:sz w:val="20"/>
          <w:szCs w:val="20"/>
        </w:rPr>
        <w:t xml:space="preserve"> and </w:t>
      </w:r>
      <w:proofErr w:type="spellStart"/>
      <w:r w:rsidRPr="00370BB1">
        <w:rPr>
          <w:color w:val="0E101A"/>
          <w:sz w:val="20"/>
          <w:szCs w:val="20"/>
        </w:rPr>
        <w:t>Akinnawo</w:t>
      </w:r>
      <w:proofErr w:type="spellEnd"/>
      <w:r w:rsidRPr="00370BB1">
        <w:rPr>
          <w:color w:val="0E101A"/>
          <w:sz w:val="20"/>
          <w:szCs w:val="20"/>
        </w:rPr>
        <w:t xml:space="preserve"> (2019) who found that internet addiction had a significant effect on mental health and adjustment of students. Also, </w:t>
      </w:r>
      <w:proofErr w:type="spellStart"/>
      <w:r w:rsidRPr="00370BB1">
        <w:rPr>
          <w:color w:val="0E101A"/>
          <w:sz w:val="20"/>
          <w:szCs w:val="20"/>
        </w:rPr>
        <w:t>Bindhu</w:t>
      </w:r>
      <w:proofErr w:type="spellEnd"/>
      <w:r w:rsidRPr="00370BB1">
        <w:rPr>
          <w:color w:val="0E101A"/>
          <w:sz w:val="20"/>
          <w:szCs w:val="20"/>
        </w:rPr>
        <w:t xml:space="preserve">, (2019) investigated internet addiction concerning emotional adjustment among students of higher secondary school and found a significant negative correlation between internet addiction and psychological adjustment of the Students which supported the finding of this present study. Again, this study's finding corroborates with the results of a study conducted by Cheng and Yee-lam (2014), who studied the prevalence of Internet addiction among college students and mental health status and found that internet addiction predicted a high abnormal rate of mental health issues such as obsession, depression, impulse control and anxiety which is partially consistent with the finding of the study. </w:t>
      </w:r>
      <w:proofErr w:type="gramStart"/>
      <w:r w:rsidRPr="00370BB1">
        <w:rPr>
          <w:color w:val="0E101A"/>
          <w:sz w:val="20"/>
          <w:szCs w:val="20"/>
        </w:rPr>
        <w:t>Also</w:t>
      </w:r>
      <w:proofErr w:type="gramEnd"/>
      <w:r w:rsidRPr="00370BB1">
        <w:rPr>
          <w:color w:val="0E101A"/>
          <w:sz w:val="20"/>
          <w:szCs w:val="20"/>
        </w:rPr>
        <w:t xml:space="preserve"> internet addiction have been reported have physical impairments such as insomnia, eye strain and daytime sleepiness among users (</w:t>
      </w:r>
      <w:proofErr w:type="spellStart"/>
      <w:r w:rsidRPr="00370BB1">
        <w:rPr>
          <w:rStyle w:val="19"/>
          <w:rFonts w:ascii="Arial" w:eastAsia="Cambria" w:hAnsi="Arial" w:hint="default"/>
          <w:i w:val="0"/>
          <w:iCs w:val="0"/>
          <w:color w:val="1B1B1B"/>
          <w:sz w:val="20"/>
          <w:szCs w:val="20"/>
          <w:shd w:val="clear" w:color="auto" w:fill="FFFFFF"/>
        </w:rPr>
        <w:t>Balhara</w:t>
      </w:r>
      <w:proofErr w:type="spellEnd"/>
      <w:r w:rsidRPr="00370BB1">
        <w:rPr>
          <w:rStyle w:val="19"/>
          <w:rFonts w:ascii="Arial" w:eastAsia="Cambria" w:hAnsi="Arial" w:hint="default"/>
          <w:i w:val="0"/>
          <w:iCs w:val="0"/>
          <w:color w:val="1B1B1B"/>
          <w:sz w:val="20"/>
          <w:szCs w:val="20"/>
          <w:shd w:val="clear" w:color="auto" w:fill="FFFFFF"/>
        </w:rPr>
        <w:t xml:space="preserve"> et al., 2018.)</w:t>
      </w:r>
    </w:p>
    <w:p w:rsidR="00C413B5" w:rsidRPr="00370BB1" w:rsidRDefault="00C413B5" w:rsidP="00C413B5">
      <w:pPr>
        <w:jc w:val="both"/>
        <w:rPr>
          <w:color w:val="0E101A"/>
          <w:sz w:val="20"/>
          <w:szCs w:val="20"/>
        </w:rPr>
      </w:pPr>
      <w:r w:rsidRPr="00370BB1">
        <w:rPr>
          <w:color w:val="0E101A"/>
          <w:sz w:val="20"/>
          <w:szCs w:val="20"/>
        </w:rPr>
        <w:t xml:space="preserve"> </w:t>
      </w:r>
    </w:p>
    <w:p w:rsidR="00C413B5" w:rsidRPr="00370BB1" w:rsidRDefault="00C413B5" w:rsidP="00C413B5">
      <w:pPr>
        <w:jc w:val="both"/>
        <w:rPr>
          <w:color w:val="0E101A"/>
          <w:sz w:val="20"/>
          <w:szCs w:val="20"/>
        </w:rPr>
      </w:pPr>
      <w:r w:rsidRPr="00370BB1">
        <w:rPr>
          <w:color w:val="0E101A"/>
          <w:sz w:val="20"/>
          <w:szCs w:val="20"/>
        </w:rPr>
        <w:t>Furthermore our finding revealed that there was a significant influence of mobile game addiction on PA among the participants. This research finding supports a previous Nigerian study (</w:t>
      </w:r>
      <w:proofErr w:type="spellStart"/>
      <w:r w:rsidRPr="00370BB1">
        <w:rPr>
          <w:color w:val="0E101A"/>
          <w:sz w:val="20"/>
          <w:szCs w:val="20"/>
        </w:rPr>
        <w:t>Ariyo</w:t>
      </w:r>
      <w:proofErr w:type="spellEnd"/>
      <w:r w:rsidRPr="00370BB1">
        <w:rPr>
          <w:color w:val="0E101A"/>
          <w:sz w:val="20"/>
          <w:szCs w:val="20"/>
        </w:rPr>
        <w:t xml:space="preserve"> et al., 2020) and is also by the findings of </w:t>
      </w:r>
      <w:proofErr w:type="spellStart"/>
      <w:r w:rsidRPr="00370BB1">
        <w:rPr>
          <w:color w:val="0E101A"/>
          <w:sz w:val="20"/>
          <w:szCs w:val="20"/>
        </w:rPr>
        <w:t>Grüsser</w:t>
      </w:r>
      <w:proofErr w:type="spellEnd"/>
      <w:r w:rsidRPr="00370BB1">
        <w:rPr>
          <w:color w:val="0E101A"/>
          <w:sz w:val="20"/>
          <w:szCs w:val="20"/>
        </w:rPr>
        <w:t xml:space="preserve">, </w:t>
      </w:r>
      <w:proofErr w:type="gramStart"/>
      <w:r w:rsidRPr="00370BB1">
        <w:rPr>
          <w:color w:val="0E101A"/>
          <w:sz w:val="20"/>
          <w:szCs w:val="20"/>
        </w:rPr>
        <w:t>et al.,(</w:t>
      </w:r>
      <w:proofErr w:type="gramEnd"/>
      <w:r w:rsidRPr="00370BB1">
        <w:rPr>
          <w:color w:val="0E101A"/>
          <w:sz w:val="20"/>
          <w:szCs w:val="20"/>
        </w:rPr>
        <w:t xml:space="preserve">2007), which revealed that internet game-addicted adolescents had higher hostile attribution scores and were significantly reported to have been in a physical fight in the last year and had more arguments with friends and teachers. Also, this study's finding is in agreement with </w:t>
      </w:r>
      <w:r w:rsidR="00C33775" w:rsidRPr="00370BB1">
        <w:rPr>
          <w:color w:val="1B1B1B"/>
          <w:sz w:val="20"/>
          <w:szCs w:val="20"/>
          <w:shd w:val="clear" w:color="auto" w:fill="FFFFFF"/>
        </w:rPr>
        <w:t>Kaya</w:t>
      </w:r>
      <w:r w:rsidR="00C33775" w:rsidRPr="00370BB1">
        <w:rPr>
          <w:color w:val="0E101A"/>
          <w:sz w:val="20"/>
          <w:szCs w:val="20"/>
        </w:rPr>
        <w:t xml:space="preserve"> et al., (2023) and </w:t>
      </w:r>
      <w:r w:rsidRPr="00370BB1">
        <w:rPr>
          <w:color w:val="0E101A"/>
          <w:sz w:val="20"/>
          <w:szCs w:val="20"/>
        </w:rPr>
        <w:t>Kim et al. (2008), who found a significant difference in reported psychological adjustment between pathological and non</w:t>
      </w:r>
      <w:r w:rsidRPr="00370BB1">
        <w:rPr>
          <w:rFonts w:ascii="Cambria Math" w:hAnsi="Cambria Math" w:cs="Cambria Math"/>
          <w:color w:val="0E101A"/>
          <w:sz w:val="20"/>
          <w:szCs w:val="20"/>
        </w:rPr>
        <w:t>‐</w:t>
      </w:r>
      <w:r w:rsidRPr="00370BB1">
        <w:rPr>
          <w:color w:val="0E101A"/>
          <w:sz w:val="20"/>
          <w:szCs w:val="20"/>
        </w:rPr>
        <w:t>pathological players of the internet game.</w:t>
      </w:r>
    </w:p>
    <w:p w:rsidR="00C33775" w:rsidRPr="00370BB1" w:rsidRDefault="00C33775" w:rsidP="00C413B5">
      <w:pPr>
        <w:jc w:val="both"/>
        <w:rPr>
          <w:color w:val="0E101A"/>
          <w:sz w:val="20"/>
          <w:szCs w:val="20"/>
        </w:rPr>
      </w:pPr>
    </w:p>
    <w:p w:rsidR="00C413B5" w:rsidRPr="00370BB1" w:rsidRDefault="00C413B5" w:rsidP="00C413B5">
      <w:pPr>
        <w:jc w:val="both"/>
        <w:rPr>
          <w:color w:val="0E101A"/>
          <w:sz w:val="20"/>
          <w:szCs w:val="20"/>
        </w:rPr>
      </w:pPr>
      <w:r w:rsidRPr="00370BB1">
        <w:rPr>
          <w:color w:val="0E101A"/>
          <w:sz w:val="20"/>
          <w:szCs w:val="20"/>
        </w:rPr>
        <w:t xml:space="preserve">The result of this study also showed a significant difference in the psychological adjustment of secondary school students who are of male gender compared to those who are female. The result also indicated that </w:t>
      </w:r>
      <w:r w:rsidR="00FE7566" w:rsidRPr="00370BB1">
        <w:rPr>
          <w:color w:val="0E101A"/>
          <w:sz w:val="20"/>
          <w:szCs w:val="20"/>
        </w:rPr>
        <w:t xml:space="preserve">female </w:t>
      </w:r>
      <w:r w:rsidRPr="00370BB1">
        <w:rPr>
          <w:color w:val="0E101A"/>
          <w:sz w:val="20"/>
          <w:szCs w:val="20"/>
        </w:rPr>
        <w:t xml:space="preserve">secondary school students reported better psychological adjustment than those of the male gender, and there was a significant influence of gender on psychological adjustment among secondary school students. This finding is in harmony with Vishal and </w:t>
      </w:r>
      <w:proofErr w:type="spellStart"/>
      <w:r w:rsidRPr="00370BB1">
        <w:rPr>
          <w:color w:val="0E101A"/>
          <w:sz w:val="20"/>
          <w:szCs w:val="20"/>
        </w:rPr>
        <w:t>Kaji</w:t>
      </w:r>
      <w:proofErr w:type="spellEnd"/>
      <w:r w:rsidRPr="00370BB1">
        <w:rPr>
          <w:color w:val="0E101A"/>
          <w:sz w:val="20"/>
          <w:szCs w:val="20"/>
        </w:rPr>
        <w:t xml:space="preserve"> (2014), who examined the adjustment of boy and girl school students. They found a significant difference in total home, social and emotional adjustment of boy and girl students and girls were more highly adjusted in social and emotional adjustment than the boy</w:t>
      </w:r>
      <w:r w:rsidR="00CE2243" w:rsidRPr="00370BB1">
        <w:rPr>
          <w:color w:val="0E101A"/>
          <w:sz w:val="20"/>
          <w:szCs w:val="20"/>
        </w:rPr>
        <w:t xml:space="preserve">s. Also </w:t>
      </w:r>
      <w:proofErr w:type="spellStart"/>
      <w:r w:rsidRPr="00370BB1">
        <w:rPr>
          <w:color w:val="0E101A"/>
          <w:sz w:val="20"/>
          <w:szCs w:val="20"/>
        </w:rPr>
        <w:t>Yau</w:t>
      </w:r>
      <w:proofErr w:type="spellEnd"/>
      <w:r w:rsidRPr="00370BB1">
        <w:rPr>
          <w:color w:val="0E101A"/>
          <w:sz w:val="20"/>
          <w:szCs w:val="20"/>
        </w:rPr>
        <w:t xml:space="preserve"> et al., (2012) reported that female students were psychologically adjusted more than male students. Contrary to this finding </w:t>
      </w:r>
      <w:proofErr w:type="spellStart"/>
      <w:r w:rsidRPr="00370BB1">
        <w:rPr>
          <w:color w:val="0E101A"/>
          <w:sz w:val="20"/>
          <w:szCs w:val="20"/>
        </w:rPr>
        <w:t>Yoo</w:t>
      </w:r>
      <w:proofErr w:type="spellEnd"/>
      <w:r w:rsidRPr="00370BB1">
        <w:rPr>
          <w:color w:val="0E101A"/>
          <w:sz w:val="20"/>
          <w:szCs w:val="20"/>
        </w:rPr>
        <w:t xml:space="preserve"> and Miller (2011) and </w:t>
      </w:r>
      <w:proofErr w:type="spellStart"/>
      <w:r w:rsidRPr="00370BB1">
        <w:rPr>
          <w:color w:val="0E101A"/>
          <w:sz w:val="20"/>
          <w:szCs w:val="20"/>
        </w:rPr>
        <w:t>Yau</w:t>
      </w:r>
      <w:proofErr w:type="spellEnd"/>
      <w:r w:rsidRPr="00370BB1">
        <w:rPr>
          <w:color w:val="0E101A"/>
          <w:sz w:val="20"/>
          <w:szCs w:val="20"/>
        </w:rPr>
        <w:t xml:space="preserve"> and Cheng (2012) found no significant differences between males and fema</w:t>
      </w:r>
      <w:r w:rsidR="00CE2243" w:rsidRPr="00370BB1">
        <w:rPr>
          <w:color w:val="0E101A"/>
          <w:sz w:val="20"/>
          <w:szCs w:val="20"/>
        </w:rPr>
        <w:t xml:space="preserve">les in psychological adjustment, while </w:t>
      </w:r>
      <w:proofErr w:type="spellStart"/>
      <w:r w:rsidR="00CE2243" w:rsidRPr="00370BB1">
        <w:rPr>
          <w:color w:val="0E101A"/>
          <w:sz w:val="20"/>
          <w:szCs w:val="20"/>
        </w:rPr>
        <w:t>Ayele</w:t>
      </w:r>
      <w:proofErr w:type="spellEnd"/>
      <w:r w:rsidR="00CE2243" w:rsidRPr="00370BB1">
        <w:rPr>
          <w:color w:val="0E101A"/>
          <w:sz w:val="20"/>
          <w:szCs w:val="20"/>
        </w:rPr>
        <w:t xml:space="preserve"> (2018) found and concluded that male students are better adjusted than female students.</w:t>
      </w:r>
    </w:p>
    <w:p w:rsidR="00C413B5" w:rsidRPr="00370BB1" w:rsidRDefault="00C413B5" w:rsidP="00C413B5">
      <w:pPr>
        <w:jc w:val="both"/>
        <w:rPr>
          <w:color w:val="0E101A"/>
          <w:sz w:val="20"/>
          <w:szCs w:val="20"/>
        </w:rPr>
      </w:pPr>
      <w:r w:rsidRPr="00370BB1">
        <w:rPr>
          <w:color w:val="0E101A"/>
          <w:sz w:val="20"/>
          <w:szCs w:val="20"/>
        </w:rPr>
        <w:t xml:space="preserve"> </w:t>
      </w:r>
    </w:p>
    <w:p w:rsidR="00C413B5" w:rsidRPr="00370BB1" w:rsidRDefault="00C413B5" w:rsidP="00C413B5">
      <w:pPr>
        <w:jc w:val="both"/>
        <w:rPr>
          <w:color w:val="0E101A"/>
          <w:sz w:val="20"/>
          <w:szCs w:val="20"/>
        </w:rPr>
      </w:pPr>
      <w:r w:rsidRPr="00370BB1">
        <w:rPr>
          <w:color w:val="0E101A"/>
          <w:sz w:val="20"/>
          <w:szCs w:val="20"/>
        </w:rPr>
        <w:t>Finally, our research findings revealed a significant difference in the psychological adjustment of the secondary school students in private schools compared to those in public schools. Further analysis revealed that secondary school students attending private schools in the Ibadan metropolis reported better significant psychological adjustment than those attending private schools. The result also indicated a significant influence of school type on psychological ad</w:t>
      </w:r>
      <w:r w:rsidR="00FD41DF" w:rsidRPr="00370BB1">
        <w:rPr>
          <w:color w:val="0E101A"/>
          <w:sz w:val="20"/>
          <w:szCs w:val="20"/>
        </w:rPr>
        <w:t>justment among secondary school</w:t>
      </w:r>
      <w:r w:rsidRPr="00370BB1">
        <w:rPr>
          <w:color w:val="0E101A"/>
          <w:sz w:val="20"/>
          <w:szCs w:val="20"/>
        </w:rPr>
        <w:t>. However, previous studies have not delineated the direction of significant influence or difference or relationship between school type and psychological adjustment of secondary school students. Still, this present study has proven a significant difference in the psychological adjustment of secondary school students in private schools compared to those in public schools.</w:t>
      </w:r>
    </w:p>
    <w:p w:rsidR="00C413B5" w:rsidRPr="00370BB1" w:rsidRDefault="00C413B5" w:rsidP="00C413B5">
      <w:pPr>
        <w:jc w:val="both"/>
        <w:rPr>
          <w:color w:val="0E101A"/>
          <w:sz w:val="20"/>
          <w:szCs w:val="20"/>
        </w:rPr>
      </w:pPr>
      <w:r w:rsidRPr="00370BB1">
        <w:rPr>
          <w:color w:val="0E101A"/>
          <w:sz w:val="20"/>
          <w:szCs w:val="20"/>
        </w:rPr>
        <w:t xml:space="preserve"> </w:t>
      </w:r>
    </w:p>
    <w:p w:rsidR="00C413B5" w:rsidRPr="00370BB1" w:rsidRDefault="00C413B5" w:rsidP="00C413B5">
      <w:pPr>
        <w:pStyle w:val="ListParagraph"/>
        <w:numPr>
          <w:ilvl w:val="0"/>
          <w:numId w:val="1"/>
        </w:numPr>
        <w:ind w:left="360"/>
        <w:jc w:val="both"/>
        <w:rPr>
          <w:color w:val="0E101A"/>
          <w:sz w:val="20"/>
          <w:szCs w:val="20"/>
        </w:rPr>
      </w:pPr>
      <w:r w:rsidRPr="00370BB1">
        <w:rPr>
          <w:b/>
          <w:bCs/>
          <w:color w:val="0E101A"/>
          <w:sz w:val="20"/>
          <w:szCs w:val="20"/>
        </w:rPr>
        <w:lastRenderedPageBreak/>
        <w:t>CONCLUSION AND RECOMMENDATIONS</w:t>
      </w:r>
    </w:p>
    <w:p w:rsidR="00C413B5" w:rsidRPr="00370BB1" w:rsidRDefault="00C413B5" w:rsidP="00C413B5">
      <w:pPr>
        <w:jc w:val="both"/>
        <w:rPr>
          <w:color w:val="0E101A"/>
          <w:sz w:val="20"/>
          <w:szCs w:val="20"/>
        </w:rPr>
      </w:pPr>
      <w:r w:rsidRPr="00370BB1">
        <w:rPr>
          <w:color w:val="0E101A"/>
          <w:sz w:val="20"/>
          <w:szCs w:val="20"/>
        </w:rPr>
        <w:t>The present study investigated Internet and Mobile game addiction as predictors of psychological adjustments among secondary school students in Ibadan Metropolis Oyo State, Nigeria. It was discovered that internet addiction and internet game addiction are significant predictors of psychological adjustment of secondary school students. Furthermore, the findings revealed that female students were more psychologically adjusted when compared to male students. Finally, the findings revealed that secondary school students attending private schools psychological adjustment compared to those attending private schools.</w:t>
      </w:r>
    </w:p>
    <w:p w:rsidR="00C413B5" w:rsidRPr="00370BB1" w:rsidRDefault="00C413B5" w:rsidP="00C413B5">
      <w:pPr>
        <w:jc w:val="both"/>
        <w:rPr>
          <w:color w:val="0E101A"/>
          <w:sz w:val="20"/>
          <w:szCs w:val="20"/>
        </w:rPr>
      </w:pPr>
      <w:r w:rsidRPr="00370BB1">
        <w:rPr>
          <w:color w:val="0E101A"/>
          <w:sz w:val="20"/>
          <w:szCs w:val="20"/>
        </w:rPr>
        <w:t xml:space="preserve"> </w:t>
      </w:r>
    </w:p>
    <w:p w:rsidR="00C413B5" w:rsidRPr="00370BB1" w:rsidRDefault="00C413B5" w:rsidP="00C413B5">
      <w:pPr>
        <w:jc w:val="both"/>
        <w:rPr>
          <w:color w:val="0E101A"/>
          <w:sz w:val="20"/>
          <w:szCs w:val="20"/>
        </w:rPr>
      </w:pPr>
      <w:r w:rsidRPr="00370BB1">
        <w:rPr>
          <w:color w:val="0E101A"/>
          <w:sz w:val="20"/>
          <w:szCs w:val="20"/>
        </w:rPr>
        <w:t xml:space="preserve">Based on the findings of this study, the authors recommended that parents and teachers should </w:t>
      </w:r>
      <w:proofErr w:type="spellStart"/>
      <w:r w:rsidRPr="00370BB1">
        <w:rPr>
          <w:color w:val="0E101A"/>
          <w:sz w:val="20"/>
          <w:szCs w:val="20"/>
        </w:rPr>
        <w:t>endeavour</w:t>
      </w:r>
      <w:proofErr w:type="spellEnd"/>
      <w:r w:rsidRPr="00370BB1">
        <w:rPr>
          <w:color w:val="0E101A"/>
          <w:sz w:val="20"/>
          <w:szCs w:val="20"/>
        </w:rPr>
        <w:t xml:space="preserve"> to work collaboratively and ensure that internet usage and mobile games among their children/students are regulated to prevent internet addiction. School authorities should </w:t>
      </w:r>
      <w:proofErr w:type="spellStart"/>
      <w:r w:rsidRPr="00370BB1">
        <w:rPr>
          <w:color w:val="0E101A"/>
          <w:sz w:val="20"/>
          <w:szCs w:val="20"/>
        </w:rPr>
        <w:t>endeavour</w:t>
      </w:r>
      <w:proofErr w:type="spellEnd"/>
      <w:r w:rsidRPr="00370BB1">
        <w:rPr>
          <w:color w:val="0E101A"/>
          <w:sz w:val="20"/>
          <w:szCs w:val="20"/>
        </w:rPr>
        <w:t xml:space="preserve"> to employ the services of clinical psychologists and school counselors to assist their children/students who are addicted to the Internet and mobile games as this will invariably improve their psychological adjustment. Furthermore, we recommend that government and educational stakeholders should </w:t>
      </w:r>
      <w:proofErr w:type="spellStart"/>
      <w:r w:rsidRPr="00370BB1">
        <w:rPr>
          <w:color w:val="0E101A"/>
          <w:sz w:val="20"/>
          <w:szCs w:val="20"/>
        </w:rPr>
        <w:t>endeavour</w:t>
      </w:r>
      <w:proofErr w:type="spellEnd"/>
      <w:r w:rsidRPr="00370BB1">
        <w:rPr>
          <w:color w:val="0E101A"/>
          <w:sz w:val="20"/>
          <w:szCs w:val="20"/>
        </w:rPr>
        <w:t xml:space="preserve"> to investigate public schools and address some factors within the schools that can influence students' psychological adjustment negatively. To this end, school based mental wellness interventions such that by policies of government</w:t>
      </w:r>
      <w:r w:rsidR="00057280" w:rsidRPr="00370BB1">
        <w:rPr>
          <w:color w:val="0E101A"/>
          <w:sz w:val="20"/>
          <w:szCs w:val="20"/>
        </w:rPr>
        <w:t>s,</w:t>
      </w:r>
      <w:r w:rsidRPr="00370BB1">
        <w:rPr>
          <w:color w:val="0E101A"/>
          <w:sz w:val="20"/>
          <w:szCs w:val="20"/>
        </w:rPr>
        <w:t xml:space="preserve"> well equipped and adequately staffed mental health care services centers are established in secondary schools to manage </w:t>
      </w:r>
      <w:r w:rsidR="008C773A" w:rsidRPr="00370BB1">
        <w:rPr>
          <w:color w:val="0E101A"/>
          <w:sz w:val="20"/>
          <w:szCs w:val="20"/>
        </w:rPr>
        <w:t>some psychological</w:t>
      </w:r>
      <w:r w:rsidRPr="00370BB1">
        <w:rPr>
          <w:color w:val="0E101A"/>
          <w:sz w:val="20"/>
          <w:szCs w:val="20"/>
        </w:rPr>
        <w:t xml:space="preserve"> issues among this population. Again enlightenment </w:t>
      </w:r>
      <w:proofErr w:type="spellStart"/>
      <w:r w:rsidRPr="00370BB1">
        <w:rPr>
          <w:color w:val="0E101A"/>
          <w:sz w:val="20"/>
          <w:szCs w:val="20"/>
        </w:rPr>
        <w:t>programmes</w:t>
      </w:r>
      <w:proofErr w:type="spellEnd"/>
      <w:r w:rsidRPr="00370BB1">
        <w:rPr>
          <w:color w:val="0E101A"/>
          <w:sz w:val="20"/>
          <w:szCs w:val="20"/>
        </w:rPr>
        <w:t xml:space="preserve"> on the adverse effects of negative psychological adjustment should be </w:t>
      </w:r>
      <w:proofErr w:type="spellStart"/>
      <w:r w:rsidRPr="00370BB1">
        <w:rPr>
          <w:color w:val="0E101A"/>
          <w:sz w:val="20"/>
          <w:szCs w:val="20"/>
        </w:rPr>
        <w:t>organised</w:t>
      </w:r>
      <w:proofErr w:type="spellEnd"/>
      <w:r w:rsidRPr="00370BB1">
        <w:rPr>
          <w:color w:val="0E101A"/>
          <w:sz w:val="20"/>
          <w:szCs w:val="20"/>
        </w:rPr>
        <w:t xml:space="preserve"> by government and educational stakeholders, to mitigate risky </w:t>
      </w:r>
      <w:proofErr w:type="spellStart"/>
      <w:r w:rsidRPr="00370BB1">
        <w:rPr>
          <w:color w:val="0E101A"/>
          <w:sz w:val="20"/>
          <w:szCs w:val="20"/>
        </w:rPr>
        <w:t>behaviour</w:t>
      </w:r>
      <w:proofErr w:type="spellEnd"/>
      <w:r w:rsidRPr="00370BB1">
        <w:rPr>
          <w:color w:val="0E101A"/>
          <w:sz w:val="20"/>
          <w:szCs w:val="20"/>
        </w:rPr>
        <w:t xml:space="preserve">. Finally, adequate parental monitoring of smartphones use by their children especially at night is expedient. House rules of strict adherence to sleep-times can be made and enforced wherein random visits to child’s room at night to check internet use and possible applications of some prior agreed contingency managements  strategies (of rewards and punishments) are employed. </w:t>
      </w:r>
    </w:p>
    <w:p w:rsidR="00C413B5" w:rsidRPr="00370BB1" w:rsidRDefault="00C413B5" w:rsidP="00C413B5">
      <w:pPr>
        <w:jc w:val="both"/>
        <w:rPr>
          <w:color w:val="0E101A"/>
          <w:sz w:val="20"/>
          <w:szCs w:val="20"/>
        </w:rPr>
      </w:pPr>
      <w:r w:rsidRPr="00370BB1">
        <w:rPr>
          <w:color w:val="0E101A"/>
          <w:sz w:val="20"/>
          <w:szCs w:val="20"/>
        </w:rPr>
        <w:t xml:space="preserve"> </w:t>
      </w:r>
    </w:p>
    <w:p w:rsidR="00C413B5" w:rsidRPr="00370BB1" w:rsidRDefault="00C413B5" w:rsidP="00C413B5">
      <w:pPr>
        <w:jc w:val="both"/>
        <w:rPr>
          <w:b/>
          <w:bCs/>
          <w:color w:val="0E101A"/>
          <w:sz w:val="20"/>
          <w:szCs w:val="20"/>
        </w:rPr>
      </w:pPr>
      <w:r w:rsidRPr="00370BB1">
        <w:rPr>
          <w:b/>
          <w:bCs/>
          <w:color w:val="0E101A"/>
        </w:rPr>
        <w:t>ACKNOWLEDGEMENTS</w:t>
      </w:r>
    </w:p>
    <w:p w:rsidR="00C413B5" w:rsidRPr="00370BB1" w:rsidRDefault="00C413B5" w:rsidP="00C413B5">
      <w:pPr>
        <w:jc w:val="both"/>
        <w:rPr>
          <w:bCs/>
          <w:color w:val="0E101A"/>
          <w:sz w:val="20"/>
          <w:szCs w:val="20"/>
        </w:rPr>
      </w:pPr>
      <w:r w:rsidRPr="00370BB1">
        <w:rPr>
          <w:bCs/>
          <w:color w:val="0E101A"/>
          <w:sz w:val="20"/>
          <w:szCs w:val="20"/>
        </w:rPr>
        <w:t xml:space="preserve"> </w:t>
      </w:r>
    </w:p>
    <w:p w:rsidR="00C413B5" w:rsidRPr="00370BB1" w:rsidRDefault="00C413B5" w:rsidP="00C413B5">
      <w:pPr>
        <w:jc w:val="both"/>
        <w:rPr>
          <w:bCs/>
          <w:color w:val="0E101A"/>
          <w:sz w:val="20"/>
          <w:szCs w:val="20"/>
        </w:rPr>
      </w:pPr>
      <w:r w:rsidRPr="00370BB1">
        <w:rPr>
          <w:bCs/>
          <w:color w:val="0E101A"/>
          <w:sz w:val="20"/>
          <w:szCs w:val="20"/>
        </w:rPr>
        <w:t>We acknowledge the management of Redeemer’s University, Ede Osun State for making available the facilities for this study.</w:t>
      </w:r>
    </w:p>
    <w:p w:rsidR="00C413B5" w:rsidRPr="00370BB1" w:rsidRDefault="00C413B5" w:rsidP="00C413B5">
      <w:pPr>
        <w:jc w:val="both"/>
        <w:rPr>
          <w:b/>
          <w:bCs/>
          <w:color w:val="0E101A"/>
          <w:sz w:val="20"/>
          <w:szCs w:val="20"/>
        </w:rPr>
      </w:pPr>
      <w:r w:rsidRPr="00370BB1">
        <w:rPr>
          <w:b/>
          <w:bCs/>
          <w:color w:val="0E101A"/>
          <w:sz w:val="20"/>
          <w:szCs w:val="20"/>
        </w:rPr>
        <w:t xml:space="preserve"> </w:t>
      </w:r>
    </w:p>
    <w:p w:rsidR="00C413B5" w:rsidRPr="00370BB1" w:rsidRDefault="00C413B5" w:rsidP="00C413B5">
      <w:pPr>
        <w:jc w:val="both"/>
        <w:rPr>
          <w:color w:val="0E101A"/>
          <w:sz w:val="20"/>
          <w:szCs w:val="20"/>
        </w:rPr>
      </w:pPr>
      <w:r w:rsidRPr="00370BB1">
        <w:rPr>
          <w:b/>
          <w:bCs/>
          <w:color w:val="0E101A"/>
        </w:rPr>
        <w:t xml:space="preserve">ETHICAL </w:t>
      </w:r>
      <w:r w:rsidR="00BD3A6B" w:rsidRPr="00370BB1">
        <w:rPr>
          <w:b/>
          <w:bCs/>
          <w:color w:val="0E101A"/>
        </w:rPr>
        <w:t>APPROVAL</w:t>
      </w:r>
      <w:r w:rsidRPr="00370BB1">
        <w:rPr>
          <w:color w:val="0E101A"/>
          <w:sz w:val="20"/>
          <w:szCs w:val="20"/>
        </w:rPr>
        <w:t xml:space="preserve"> </w:t>
      </w:r>
    </w:p>
    <w:p w:rsidR="00C413B5" w:rsidRPr="00370BB1" w:rsidRDefault="00C413B5" w:rsidP="00C413B5">
      <w:pPr>
        <w:jc w:val="both"/>
        <w:rPr>
          <w:color w:val="0E101A"/>
          <w:sz w:val="20"/>
          <w:szCs w:val="20"/>
        </w:rPr>
      </w:pPr>
      <w:r w:rsidRPr="00370BB1">
        <w:rPr>
          <w:color w:val="0E101A"/>
          <w:sz w:val="20"/>
          <w:szCs w:val="20"/>
        </w:rPr>
        <w:t xml:space="preserve"> </w:t>
      </w:r>
    </w:p>
    <w:p w:rsidR="00C413B5" w:rsidRPr="00370BB1" w:rsidRDefault="00C413B5" w:rsidP="00C413B5">
      <w:pPr>
        <w:jc w:val="both"/>
        <w:rPr>
          <w:color w:val="0E101A"/>
          <w:sz w:val="20"/>
          <w:szCs w:val="20"/>
        </w:rPr>
      </w:pPr>
      <w:r w:rsidRPr="00370BB1">
        <w:rPr>
          <w:color w:val="0E101A"/>
          <w:sz w:val="20"/>
          <w:szCs w:val="20"/>
        </w:rPr>
        <w:t>The ethics of research on human subjects were observed in this study in compliance with the Helsinki Declaration.</w:t>
      </w:r>
    </w:p>
    <w:p w:rsidR="00C413B5" w:rsidRPr="00370BB1" w:rsidRDefault="00C413B5" w:rsidP="00C413B5">
      <w:pPr>
        <w:jc w:val="both"/>
        <w:rPr>
          <w:color w:val="000000"/>
          <w:sz w:val="20"/>
          <w:szCs w:val="20"/>
        </w:rPr>
      </w:pPr>
      <w:r w:rsidRPr="00370BB1">
        <w:rPr>
          <w:color w:val="000000"/>
          <w:sz w:val="20"/>
          <w:szCs w:val="20"/>
        </w:rPr>
        <w:t xml:space="preserve"> </w:t>
      </w:r>
    </w:p>
    <w:p w:rsidR="00C413B5" w:rsidRPr="00370BB1" w:rsidRDefault="00C413B5" w:rsidP="00C413B5">
      <w:pPr>
        <w:pStyle w:val="ReferHead"/>
        <w:spacing w:before="0" w:beforeAutospacing="0" w:after="0"/>
        <w:jc w:val="both"/>
        <w:rPr>
          <w:rFonts w:ascii="Arial" w:hAnsi="Arial" w:cs="Arial"/>
          <w:bCs/>
        </w:rPr>
      </w:pPr>
      <w:r w:rsidRPr="00370BB1">
        <w:rPr>
          <w:rFonts w:ascii="Arial" w:hAnsi="Arial" w:cs="Arial"/>
          <w:bCs/>
        </w:rPr>
        <w:t>Competing interests</w:t>
      </w:r>
    </w:p>
    <w:p w:rsidR="00C413B5" w:rsidRPr="00370BB1" w:rsidRDefault="00C413B5" w:rsidP="00C413B5">
      <w:pPr>
        <w:pStyle w:val="ReferHead"/>
        <w:spacing w:before="0" w:beforeAutospacing="0" w:after="0"/>
        <w:jc w:val="both"/>
        <w:rPr>
          <w:rFonts w:ascii="Arial" w:hAnsi="Arial" w:cs="Arial"/>
        </w:rPr>
      </w:pPr>
      <w:r w:rsidRPr="00370BB1">
        <w:rPr>
          <w:rFonts w:ascii="Arial" w:hAnsi="Arial" w:cs="Arial"/>
        </w:rPr>
        <w:t xml:space="preserve"> </w:t>
      </w:r>
    </w:p>
    <w:p w:rsidR="00C413B5" w:rsidRPr="00370BB1" w:rsidRDefault="00C413B5" w:rsidP="00C413B5">
      <w:pPr>
        <w:jc w:val="both"/>
        <w:rPr>
          <w:color w:val="000000"/>
          <w:sz w:val="20"/>
          <w:szCs w:val="20"/>
        </w:rPr>
      </w:pPr>
      <w:r w:rsidRPr="00370BB1">
        <w:rPr>
          <w:color w:val="000000"/>
          <w:sz w:val="20"/>
          <w:szCs w:val="20"/>
        </w:rPr>
        <w:t xml:space="preserve">Authors declare that there are no conflicts of interests. </w:t>
      </w:r>
    </w:p>
    <w:p w:rsidR="00C413B5" w:rsidRPr="00370BB1" w:rsidRDefault="00C413B5" w:rsidP="00C413B5">
      <w:pPr>
        <w:pStyle w:val="ReferHead"/>
        <w:spacing w:after="0"/>
        <w:jc w:val="both"/>
        <w:rPr>
          <w:rFonts w:ascii="Arial" w:hAnsi="Arial" w:cs="Arial"/>
          <w:bCs/>
        </w:rPr>
      </w:pPr>
      <w:r w:rsidRPr="00370BB1">
        <w:rPr>
          <w:rFonts w:ascii="Arial" w:hAnsi="Arial" w:cs="Arial"/>
          <w:bCs/>
        </w:rPr>
        <w:lastRenderedPageBreak/>
        <w:t>Authors’ Contributions</w:t>
      </w:r>
    </w:p>
    <w:p w:rsidR="00C413B5" w:rsidRPr="00370BB1" w:rsidRDefault="00C413B5" w:rsidP="00C413B5">
      <w:pPr>
        <w:pStyle w:val="ReferHead"/>
        <w:spacing w:after="0"/>
        <w:jc w:val="both"/>
        <w:rPr>
          <w:rFonts w:ascii="Arial" w:hAnsi="Arial" w:cs="Arial"/>
          <w:b w:val="0"/>
          <w:caps w:val="0"/>
          <w:sz w:val="20"/>
          <w:szCs w:val="20"/>
        </w:rPr>
      </w:pPr>
      <w:r w:rsidRPr="00370BB1">
        <w:rPr>
          <w:rFonts w:ascii="Arial" w:hAnsi="Arial" w:cs="Arial"/>
          <w:b w:val="0"/>
          <w:caps w:val="0"/>
          <w:sz w:val="20"/>
          <w:szCs w:val="20"/>
        </w:rPr>
        <w:t xml:space="preserve">EOA, EOO and BCA designed the study, performed the statistical analysis, wrote the protocol, and wrote the first draft of the manuscript. EOO and BCA managed the analyses of the study. EOA, EOO, BCA and </w:t>
      </w:r>
      <w:proofErr w:type="gramStart"/>
      <w:r w:rsidRPr="00370BB1">
        <w:rPr>
          <w:rFonts w:ascii="Arial" w:hAnsi="Arial" w:cs="Arial"/>
          <w:b w:val="0"/>
          <w:caps w:val="0"/>
          <w:sz w:val="20"/>
          <w:szCs w:val="20"/>
        </w:rPr>
        <w:t>ASO  managed</w:t>
      </w:r>
      <w:proofErr w:type="gramEnd"/>
      <w:r w:rsidRPr="00370BB1">
        <w:rPr>
          <w:rFonts w:ascii="Arial" w:hAnsi="Arial" w:cs="Arial"/>
          <w:b w:val="0"/>
          <w:caps w:val="0"/>
          <w:sz w:val="20"/>
          <w:szCs w:val="20"/>
        </w:rPr>
        <w:t xml:space="preserve"> the literature searches. All authors read and approved the final manuscript.”</w:t>
      </w:r>
    </w:p>
    <w:p w:rsidR="00391325" w:rsidRPr="00370BB1" w:rsidRDefault="00391325" w:rsidP="00C413B5">
      <w:pPr>
        <w:pStyle w:val="ReferHead"/>
        <w:spacing w:after="0"/>
        <w:jc w:val="both"/>
        <w:rPr>
          <w:rFonts w:ascii="Arial" w:hAnsi="Arial" w:cs="Arial"/>
          <w:b w:val="0"/>
          <w:caps w:val="0"/>
          <w:sz w:val="20"/>
          <w:szCs w:val="20"/>
        </w:rPr>
      </w:pPr>
    </w:p>
    <w:p w:rsidR="00391325" w:rsidRPr="00370BB1" w:rsidRDefault="00391325" w:rsidP="00391325">
      <w:pPr>
        <w:pStyle w:val="ReferHead"/>
        <w:jc w:val="both"/>
        <w:rPr>
          <w:rFonts w:ascii="Arial" w:hAnsi="Arial" w:cs="Arial"/>
          <w:b w:val="0"/>
          <w:caps w:val="0"/>
          <w:sz w:val="20"/>
          <w:szCs w:val="20"/>
        </w:rPr>
      </w:pPr>
      <w:r w:rsidRPr="00370BB1">
        <w:rPr>
          <w:rFonts w:ascii="Arial" w:hAnsi="Arial" w:cs="Arial"/>
          <w:b w:val="0"/>
          <w:caps w:val="0"/>
          <w:sz w:val="20"/>
          <w:szCs w:val="20"/>
        </w:rPr>
        <w:t>Disclaimer (Artificial intelligence)</w:t>
      </w:r>
    </w:p>
    <w:p w:rsidR="00391325" w:rsidRPr="00370BB1" w:rsidRDefault="00391325" w:rsidP="00391325">
      <w:pPr>
        <w:pStyle w:val="ReferHead"/>
        <w:jc w:val="both"/>
        <w:rPr>
          <w:rFonts w:ascii="Arial" w:hAnsi="Arial" w:cs="Arial"/>
          <w:b w:val="0"/>
          <w:caps w:val="0"/>
          <w:sz w:val="20"/>
          <w:szCs w:val="20"/>
        </w:rPr>
      </w:pPr>
      <w:r w:rsidRPr="00370BB1">
        <w:rPr>
          <w:rFonts w:ascii="Arial" w:hAnsi="Arial" w:cs="Arial"/>
          <w:b w:val="0"/>
          <w:caps w:val="0"/>
          <w:sz w:val="20"/>
          <w:szCs w:val="20"/>
        </w:rPr>
        <w:t xml:space="preserve">Option 1: </w:t>
      </w:r>
    </w:p>
    <w:p w:rsidR="00391325" w:rsidRPr="00370BB1" w:rsidRDefault="00391325" w:rsidP="00391325">
      <w:pPr>
        <w:pStyle w:val="ReferHead"/>
        <w:jc w:val="both"/>
        <w:rPr>
          <w:rFonts w:ascii="Arial" w:hAnsi="Arial" w:cs="Arial"/>
          <w:b w:val="0"/>
          <w:caps w:val="0"/>
          <w:sz w:val="20"/>
          <w:szCs w:val="20"/>
        </w:rPr>
      </w:pPr>
      <w:r w:rsidRPr="00370BB1">
        <w:rPr>
          <w:rFonts w:ascii="Arial" w:hAnsi="Arial" w:cs="Arial"/>
          <w:b w:val="0"/>
          <w:caps w:val="0"/>
          <w:sz w:val="20"/>
          <w:szCs w:val="20"/>
        </w:rPr>
        <w:t>Author(s) hereby declare that NO generative AI technologies such as Large Language Models (</w:t>
      </w:r>
      <w:proofErr w:type="spellStart"/>
      <w:r w:rsidRPr="00370BB1">
        <w:rPr>
          <w:rFonts w:ascii="Arial" w:hAnsi="Arial" w:cs="Arial"/>
          <w:b w:val="0"/>
          <w:caps w:val="0"/>
          <w:sz w:val="20"/>
          <w:szCs w:val="20"/>
        </w:rPr>
        <w:t>ChatGPT</w:t>
      </w:r>
      <w:proofErr w:type="spellEnd"/>
      <w:r w:rsidRPr="00370BB1">
        <w:rPr>
          <w:rFonts w:ascii="Arial" w:hAnsi="Arial" w:cs="Arial"/>
          <w:b w:val="0"/>
          <w:caps w:val="0"/>
          <w:sz w:val="20"/>
          <w:szCs w:val="20"/>
        </w:rPr>
        <w:t xml:space="preserve">, COPILOT, etc.) and text-to-image generators have been used during the writing or editing of this manuscript. </w:t>
      </w:r>
    </w:p>
    <w:p w:rsidR="00391325" w:rsidRPr="00370BB1" w:rsidRDefault="00391325" w:rsidP="00391325">
      <w:pPr>
        <w:pStyle w:val="ReferHead"/>
        <w:jc w:val="both"/>
        <w:rPr>
          <w:rFonts w:ascii="Arial" w:hAnsi="Arial" w:cs="Arial"/>
          <w:b w:val="0"/>
          <w:caps w:val="0"/>
          <w:sz w:val="20"/>
          <w:szCs w:val="20"/>
        </w:rPr>
      </w:pPr>
      <w:r w:rsidRPr="00370BB1">
        <w:rPr>
          <w:rFonts w:ascii="Arial" w:hAnsi="Arial" w:cs="Arial"/>
          <w:b w:val="0"/>
          <w:caps w:val="0"/>
          <w:sz w:val="20"/>
          <w:szCs w:val="20"/>
        </w:rPr>
        <w:t xml:space="preserve">Option 2: </w:t>
      </w:r>
    </w:p>
    <w:p w:rsidR="00391325" w:rsidRPr="00370BB1" w:rsidRDefault="00391325" w:rsidP="00391325">
      <w:pPr>
        <w:pStyle w:val="ReferHead"/>
        <w:jc w:val="both"/>
        <w:rPr>
          <w:rFonts w:ascii="Arial" w:hAnsi="Arial" w:cs="Arial"/>
          <w:b w:val="0"/>
          <w:caps w:val="0"/>
          <w:sz w:val="20"/>
          <w:szCs w:val="20"/>
        </w:rPr>
      </w:pPr>
      <w:r w:rsidRPr="00370BB1">
        <w:rPr>
          <w:rFonts w:ascii="Arial" w:hAnsi="Arial" w:cs="Arial"/>
          <w:b w:val="0"/>
          <w:caps w:val="0"/>
          <w:sz w:val="20"/>
          <w:szCs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391325" w:rsidRPr="00370BB1" w:rsidRDefault="00391325" w:rsidP="00391325">
      <w:pPr>
        <w:pStyle w:val="ReferHead"/>
        <w:jc w:val="both"/>
        <w:rPr>
          <w:rFonts w:ascii="Arial" w:hAnsi="Arial" w:cs="Arial"/>
          <w:b w:val="0"/>
          <w:caps w:val="0"/>
          <w:sz w:val="20"/>
          <w:szCs w:val="20"/>
        </w:rPr>
      </w:pPr>
      <w:r w:rsidRPr="00370BB1">
        <w:rPr>
          <w:rFonts w:ascii="Arial" w:hAnsi="Arial" w:cs="Arial"/>
          <w:b w:val="0"/>
          <w:caps w:val="0"/>
          <w:sz w:val="20"/>
          <w:szCs w:val="20"/>
        </w:rPr>
        <w:t>Details of the AI usage are given below:</w:t>
      </w:r>
    </w:p>
    <w:p w:rsidR="00391325" w:rsidRPr="00370BB1" w:rsidRDefault="00391325" w:rsidP="00391325">
      <w:pPr>
        <w:pStyle w:val="ReferHead"/>
        <w:jc w:val="both"/>
        <w:rPr>
          <w:rFonts w:ascii="Arial" w:hAnsi="Arial" w:cs="Arial"/>
          <w:b w:val="0"/>
          <w:caps w:val="0"/>
          <w:sz w:val="20"/>
          <w:szCs w:val="20"/>
        </w:rPr>
      </w:pPr>
      <w:r w:rsidRPr="00370BB1">
        <w:rPr>
          <w:rFonts w:ascii="Arial" w:hAnsi="Arial" w:cs="Arial"/>
          <w:b w:val="0"/>
          <w:caps w:val="0"/>
          <w:sz w:val="20"/>
          <w:szCs w:val="20"/>
        </w:rPr>
        <w:t>1.</w:t>
      </w:r>
    </w:p>
    <w:p w:rsidR="00391325" w:rsidRPr="00370BB1" w:rsidRDefault="00391325" w:rsidP="00391325">
      <w:pPr>
        <w:pStyle w:val="ReferHead"/>
        <w:jc w:val="both"/>
        <w:rPr>
          <w:rFonts w:ascii="Arial" w:hAnsi="Arial" w:cs="Arial"/>
          <w:b w:val="0"/>
          <w:caps w:val="0"/>
          <w:sz w:val="20"/>
          <w:szCs w:val="20"/>
        </w:rPr>
      </w:pPr>
      <w:r w:rsidRPr="00370BB1">
        <w:rPr>
          <w:rFonts w:ascii="Arial" w:hAnsi="Arial" w:cs="Arial"/>
          <w:b w:val="0"/>
          <w:caps w:val="0"/>
          <w:sz w:val="20"/>
          <w:szCs w:val="20"/>
        </w:rPr>
        <w:t>2.</w:t>
      </w:r>
    </w:p>
    <w:p w:rsidR="00391325" w:rsidRPr="00370BB1" w:rsidRDefault="00391325" w:rsidP="00391325">
      <w:pPr>
        <w:pStyle w:val="ReferHead"/>
        <w:spacing w:after="0"/>
        <w:jc w:val="both"/>
        <w:rPr>
          <w:rFonts w:ascii="Arial" w:hAnsi="Arial" w:cs="Arial"/>
          <w:b w:val="0"/>
          <w:caps w:val="0"/>
          <w:sz w:val="20"/>
          <w:szCs w:val="20"/>
        </w:rPr>
      </w:pPr>
      <w:r w:rsidRPr="00370BB1">
        <w:rPr>
          <w:rFonts w:ascii="Arial" w:hAnsi="Arial" w:cs="Arial"/>
          <w:b w:val="0"/>
          <w:caps w:val="0"/>
          <w:sz w:val="20"/>
          <w:szCs w:val="20"/>
        </w:rPr>
        <w:t>3.</w:t>
      </w:r>
    </w:p>
    <w:p w:rsidR="00C413B5" w:rsidRPr="00370BB1" w:rsidRDefault="00C413B5" w:rsidP="00C413B5">
      <w:pPr>
        <w:rPr>
          <w:color w:val="000000"/>
          <w:sz w:val="20"/>
          <w:szCs w:val="20"/>
        </w:rPr>
      </w:pPr>
      <w:r w:rsidRPr="00370BB1">
        <w:rPr>
          <w:color w:val="000000"/>
          <w:sz w:val="20"/>
          <w:szCs w:val="20"/>
        </w:rPr>
        <w:t xml:space="preserve"> </w:t>
      </w:r>
    </w:p>
    <w:p w:rsidR="00C413B5" w:rsidRPr="00370BB1" w:rsidRDefault="00C413B5" w:rsidP="00C413B5">
      <w:pPr>
        <w:rPr>
          <w:b/>
          <w:color w:val="000000"/>
          <w:sz w:val="20"/>
          <w:szCs w:val="20"/>
        </w:rPr>
      </w:pPr>
      <w:r w:rsidRPr="00370BB1">
        <w:rPr>
          <w:b/>
          <w:color w:val="000000"/>
        </w:rPr>
        <w:t>REFERENCES</w:t>
      </w:r>
    </w:p>
    <w:p w:rsidR="00C413B5" w:rsidRPr="00370BB1" w:rsidRDefault="00C413B5" w:rsidP="00C413B5">
      <w:pPr>
        <w:shd w:val="clear" w:color="auto" w:fill="FFFFFF"/>
        <w:jc w:val="both"/>
        <w:rPr>
          <w:sz w:val="20"/>
          <w:szCs w:val="20"/>
        </w:rPr>
      </w:pPr>
      <w:r w:rsidRPr="00370BB1">
        <w:rPr>
          <w:sz w:val="20"/>
          <w:szCs w:val="20"/>
        </w:rPr>
        <w:t xml:space="preserve"> </w:t>
      </w:r>
    </w:p>
    <w:p w:rsidR="00C413B5" w:rsidRPr="00370BB1" w:rsidRDefault="00C413B5" w:rsidP="00C413B5">
      <w:pPr>
        <w:shd w:val="clear" w:color="auto" w:fill="FFFFFF"/>
        <w:jc w:val="both"/>
        <w:rPr>
          <w:sz w:val="20"/>
          <w:szCs w:val="20"/>
        </w:rPr>
      </w:pPr>
      <w:r w:rsidRPr="00370BB1">
        <w:rPr>
          <w:sz w:val="20"/>
          <w:szCs w:val="20"/>
        </w:rPr>
        <w:t xml:space="preserve">Afolabi, A. A., </w:t>
      </w:r>
      <w:proofErr w:type="spellStart"/>
      <w:r w:rsidRPr="00370BB1">
        <w:rPr>
          <w:sz w:val="20"/>
          <w:szCs w:val="20"/>
        </w:rPr>
        <w:t>Ilesanmi</w:t>
      </w:r>
      <w:proofErr w:type="spellEnd"/>
      <w:r w:rsidRPr="00370BB1">
        <w:rPr>
          <w:sz w:val="20"/>
          <w:szCs w:val="20"/>
        </w:rPr>
        <w:t xml:space="preserve">, O. S., &amp; Adebayo, A. M. (2022). Prevalence and Pattern of Internet Addiction Among Adolescents in Ibadan, Nigeria: A Cross-Sectional Study. </w:t>
      </w:r>
      <w:proofErr w:type="spellStart"/>
      <w:r w:rsidRPr="00370BB1">
        <w:rPr>
          <w:i/>
          <w:iCs/>
          <w:sz w:val="20"/>
          <w:szCs w:val="20"/>
        </w:rPr>
        <w:t>Cureus</w:t>
      </w:r>
      <w:proofErr w:type="spellEnd"/>
      <w:r w:rsidRPr="00370BB1">
        <w:rPr>
          <w:sz w:val="20"/>
          <w:szCs w:val="20"/>
        </w:rPr>
        <w:t xml:space="preserve">, </w:t>
      </w:r>
      <w:r w:rsidRPr="00370BB1">
        <w:rPr>
          <w:i/>
          <w:iCs/>
          <w:sz w:val="20"/>
          <w:szCs w:val="20"/>
        </w:rPr>
        <w:t>14</w:t>
      </w:r>
      <w:r w:rsidRPr="00370BB1">
        <w:rPr>
          <w:sz w:val="20"/>
          <w:szCs w:val="20"/>
        </w:rPr>
        <w:t xml:space="preserve">(2), e22293. </w:t>
      </w:r>
      <w:hyperlink r:id="rId5" w:history="1">
        <w:r w:rsidRPr="00370BB1">
          <w:rPr>
            <w:rStyle w:val="15"/>
            <w:rFonts w:ascii="Arial" w:eastAsia="Times New Roman" w:hAnsi="Arial" w:hint="default"/>
            <w:sz w:val="20"/>
            <w:szCs w:val="20"/>
          </w:rPr>
          <w:t>https://doi.org/10.7759/cureus.22293</w:t>
        </w:r>
      </w:hyperlink>
    </w:p>
    <w:p w:rsidR="00C413B5" w:rsidRPr="00370BB1" w:rsidRDefault="00C413B5" w:rsidP="00C413B5">
      <w:pPr>
        <w:shd w:val="clear" w:color="auto" w:fill="FFFFFF"/>
        <w:jc w:val="both"/>
        <w:rPr>
          <w:sz w:val="20"/>
          <w:szCs w:val="20"/>
        </w:rPr>
      </w:pPr>
      <w:r w:rsidRPr="00370BB1">
        <w:rPr>
          <w:sz w:val="20"/>
          <w:szCs w:val="20"/>
        </w:rPr>
        <w:t xml:space="preserve"> </w:t>
      </w:r>
    </w:p>
    <w:p w:rsidR="00C413B5" w:rsidRPr="00370BB1" w:rsidRDefault="00C413B5" w:rsidP="00C413B5">
      <w:pPr>
        <w:autoSpaceDE w:val="0"/>
        <w:jc w:val="both"/>
        <w:rPr>
          <w:color w:val="000000"/>
          <w:sz w:val="20"/>
          <w:szCs w:val="20"/>
        </w:rPr>
      </w:pPr>
      <w:r w:rsidRPr="00370BB1">
        <w:rPr>
          <w:rFonts w:eastAsia="Consolas"/>
          <w:color w:val="1B1B1B"/>
          <w:sz w:val="20"/>
          <w:szCs w:val="20"/>
          <w:shd w:val="clear" w:color="auto" w:fill="FFFFFF"/>
        </w:rPr>
        <w:t xml:space="preserve">Acharya, S., Adhikari, L., Khadka, S., </w:t>
      </w:r>
      <w:proofErr w:type="spellStart"/>
      <w:r w:rsidRPr="00370BB1">
        <w:rPr>
          <w:rFonts w:eastAsia="Consolas"/>
          <w:color w:val="1B1B1B"/>
          <w:sz w:val="20"/>
          <w:szCs w:val="20"/>
          <w:shd w:val="clear" w:color="auto" w:fill="FFFFFF"/>
        </w:rPr>
        <w:t>Paudel</w:t>
      </w:r>
      <w:proofErr w:type="spellEnd"/>
      <w:r w:rsidRPr="00370BB1">
        <w:rPr>
          <w:rFonts w:eastAsia="Consolas"/>
          <w:color w:val="1B1B1B"/>
          <w:sz w:val="20"/>
          <w:szCs w:val="20"/>
          <w:shd w:val="clear" w:color="auto" w:fill="FFFFFF"/>
        </w:rPr>
        <w:t xml:space="preserve">, S., &amp; </w:t>
      </w:r>
      <w:proofErr w:type="spellStart"/>
      <w:r w:rsidRPr="00370BB1">
        <w:rPr>
          <w:rFonts w:eastAsia="Consolas"/>
          <w:color w:val="1B1B1B"/>
          <w:sz w:val="20"/>
          <w:szCs w:val="20"/>
          <w:shd w:val="clear" w:color="auto" w:fill="FFFFFF"/>
        </w:rPr>
        <w:t>Kaphle</w:t>
      </w:r>
      <w:proofErr w:type="spellEnd"/>
      <w:r w:rsidRPr="00370BB1">
        <w:rPr>
          <w:rFonts w:eastAsia="Consolas"/>
          <w:color w:val="1B1B1B"/>
          <w:sz w:val="20"/>
          <w:szCs w:val="20"/>
          <w:shd w:val="clear" w:color="auto" w:fill="FFFFFF"/>
        </w:rPr>
        <w:t xml:space="preserve">, M. (2023). Internet Addiction and Its Associated Factors among Undergraduate Students in Kathmandu, Nepal. </w:t>
      </w:r>
      <w:r w:rsidRPr="00370BB1">
        <w:rPr>
          <w:rFonts w:eastAsia="Consolas"/>
          <w:i/>
          <w:iCs/>
          <w:color w:val="1B1B1B"/>
          <w:sz w:val="20"/>
          <w:szCs w:val="20"/>
          <w:shd w:val="clear" w:color="auto" w:fill="FFFFFF"/>
        </w:rPr>
        <w:t>Journal of addiction</w:t>
      </w:r>
      <w:r w:rsidRPr="00370BB1">
        <w:rPr>
          <w:rFonts w:eastAsia="Consolas"/>
          <w:color w:val="1B1B1B"/>
          <w:sz w:val="20"/>
          <w:szCs w:val="20"/>
          <w:shd w:val="clear" w:color="auto" w:fill="FFFFFF"/>
        </w:rPr>
        <w:t xml:space="preserve">, </w:t>
      </w:r>
      <w:r w:rsidRPr="00370BB1">
        <w:rPr>
          <w:rFonts w:eastAsia="Consolas"/>
          <w:i/>
          <w:iCs/>
          <w:color w:val="1B1B1B"/>
          <w:sz w:val="20"/>
          <w:szCs w:val="20"/>
          <w:shd w:val="clear" w:color="auto" w:fill="FFFFFF"/>
        </w:rPr>
        <w:t>2023</w:t>
      </w:r>
      <w:r w:rsidRPr="00370BB1">
        <w:rPr>
          <w:rFonts w:eastAsia="Consolas"/>
          <w:color w:val="1B1B1B"/>
          <w:sz w:val="20"/>
          <w:szCs w:val="20"/>
          <w:shd w:val="clear" w:color="auto" w:fill="FFFFFF"/>
        </w:rPr>
        <w:t>, 8782527. https://doi.org/10.1155/2023/8782527</w:t>
      </w:r>
    </w:p>
    <w:p w:rsidR="00C413B5" w:rsidRPr="00370BB1" w:rsidRDefault="00C413B5" w:rsidP="00C413B5">
      <w:pPr>
        <w:jc w:val="both"/>
        <w:rPr>
          <w:sz w:val="20"/>
          <w:szCs w:val="20"/>
        </w:rPr>
      </w:pPr>
      <w:r w:rsidRPr="00370BB1">
        <w:rPr>
          <w:sz w:val="20"/>
          <w:szCs w:val="20"/>
        </w:rPr>
        <w:t xml:space="preserve"> </w:t>
      </w:r>
    </w:p>
    <w:p w:rsidR="00C413B5" w:rsidRPr="00370BB1" w:rsidRDefault="00C413B5" w:rsidP="00C413B5">
      <w:pPr>
        <w:jc w:val="both"/>
        <w:rPr>
          <w:sz w:val="20"/>
          <w:szCs w:val="20"/>
        </w:rPr>
      </w:pPr>
      <w:proofErr w:type="spellStart"/>
      <w:r w:rsidRPr="00370BB1">
        <w:rPr>
          <w:sz w:val="20"/>
          <w:szCs w:val="20"/>
        </w:rPr>
        <w:t>Aguocha</w:t>
      </w:r>
      <w:proofErr w:type="spellEnd"/>
      <w:r w:rsidRPr="00370BB1">
        <w:rPr>
          <w:sz w:val="20"/>
          <w:szCs w:val="20"/>
        </w:rPr>
        <w:t xml:space="preserve"> C. M.</w:t>
      </w:r>
      <w:proofErr w:type="gramStart"/>
      <w:r w:rsidRPr="00370BB1">
        <w:rPr>
          <w:sz w:val="20"/>
          <w:szCs w:val="20"/>
        </w:rPr>
        <w:t xml:space="preserve">,  </w:t>
      </w:r>
      <w:proofErr w:type="spellStart"/>
      <w:r w:rsidRPr="00370BB1">
        <w:rPr>
          <w:sz w:val="20"/>
          <w:szCs w:val="20"/>
        </w:rPr>
        <w:t>Uwakwe</w:t>
      </w:r>
      <w:proofErr w:type="spellEnd"/>
      <w:proofErr w:type="gramEnd"/>
      <w:r w:rsidRPr="00370BB1">
        <w:rPr>
          <w:sz w:val="20"/>
          <w:szCs w:val="20"/>
        </w:rPr>
        <w:t xml:space="preserve"> K. A (2023). Prevalence and Pattern of Mobile Gaming among Senior Secondary School Students in a Semi-Urban Town in Nigeria. Journal of Community Medicine and Primary Health Care. 35 (1) 125-135</w:t>
      </w:r>
    </w:p>
    <w:p w:rsidR="00C413B5" w:rsidRPr="00370BB1" w:rsidRDefault="00C413B5" w:rsidP="00C413B5">
      <w:pPr>
        <w:shd w:val="clear" w:color="auto" w:fill="FFFFFF"/>
        <w:jc w:val="both"/>
        <w:rPr>
          <w:sz w:val="20"/>
          <w:szCs w:val="20"/>
        </w:rPr>
      </w:pPr>
      <w:r w:rsidRPr="00370BB1">
        <w:rPr>
          <w:sz w:val="20"/>
          <w:szCs w:val="20"/>
        </w:rPr>
        <w:t xml:space="preserve"> </w:t>
      </w:r>
    </w:p>
    <w:p w:rsidR="00C413B5" w:rsidRPr="00370BB1" w:rsidRDefault="00C413B5" w:rsidP="00C413B5">
      <w:pPr>
        <w:shd w:val="clear" w:color="auto" w:fill="FFFFFF"/>
        <w:jc w:val="both"/>
        <w:rPr>
          <w:i/>
          <w:color w:val="000000"/>
          <w:sz w:val="20"/>
          <w:szCs w:val="20"/>
        </w:rPr>
      </w:pPr>
      <w:r w:rsidRPr="00370BB1">
        <w:rPr>
          <w:rFonts w:eastAsia="Calibri"/>
          <w:color w:val="000000"/>
          <w:sz w:val="20"/>
          <w:szCs w:val="20"/>
        </w:rPr>
        <w:t xml:space="preserve">Akpunne B. C., &amp; </w:t>
      </w:r>
      <w:proofErr w:type="spellStart"/>
      <w:r w:rsidRPr="00370BB1">
        <w:rPr>
          <w:rFonts w:eastAsia="Calibri"/>
          <w:color w:val="000000"/>
          <w:sz w:val="20"/>
          <w:szCs w:val="20"/>
        </w:rPr>
        <w:t>Akinnawo</w:t>
      </w:r>
      <w:proofErr w:type="spellEnd"/>
      <w:r w:rsidRPr="00370BB1">
        <w:rPr>
          <w:rFonts w:eastAsia="Calibri"/>
          <w:color w:val="000000"/>
          <w:sz w:val="20"/>
          <w:szCs w:val="20"/>
        </w:rPr>
        <w:t xml:space="preserve"> E. O. (2019). Internet addiction, problematic smartphone </w:t>
      </w:r>
      <w:proofErr w:type="gramStart"/>
      <w:r w:rsidRPr="00370BB1">
        <w:rPr>
          <w:rFonts w:eastAsia="Calibri"/>
          <w:color w:val="000000"/>
          <w:sz w:val="20"/>
          <w:szCs w:val="20"/>
        </w:rPr>
        <w:t>use</w:t>
      </w:r>
      <w:proofErr w:type="gramEnd"/>
      <w:r w:rsidRPr="00370BB1">
        <w:rPr>
          <w:rFonts w:eastAsia="Calibri"/>
          <w:color w:val="000000"/>
          <w:sz w:val="20"/>
          <w:szCs w:val="20"/>
        </w:rPr>
        <w:t xml:space="preserve"> and psychological health of Nigerian University Undergraduates. </w:t>
      </w:r>
      <w:r w:rsidRPr="00370BB1">
        <w:rPr>
          <w:rFonts w:eastAsia="Calibri"/>
          <w:i/>
          <w:color w:val="000000"/>
          <w:sz w:val="20"/>
          <w:szCs w:val="20"/>
        </w:rPr>
        <w:t>International Neuropsychiatric Disease Journal</w:t>
      </w:r>
      <w:r w:rsidRPr="00370BB1">
        <w:rPr>
          <w:rFonts w:eastAsia="Calibri"/>
          <w:color w:val="000000"/>
          <w:sz w:val="20"/>
          <w:szCs w:val="20"/>
        </w:rPr>
        <w:t xml:space="preserve">, 12(3) 1-13 </w:t>
      </w:r>
      <w:hyperlink r:id="rId6" w:history="1">
        <w:r w:rsidRPr="00370BB1">
          <w:rPr>
            <w:rStyle w:val="15"/>
            <w:rFonts w:ascii="Arial" w:eastAsia="Calibri" w:hAnsi="Arial" w:hint="default"/>
            <w:color w:val="000000"/>
            <w:sz w:val="20"/>
            <w:szCs w:val="20"/>
          </w:rPr>
          <w:t>http://doi.org/10.9734/INDJ/2018/v12i330093</w:t>
        </w:r>
      </w:hyperlink>
    </w:p>
    <w:p w:rsidR="00C413B5" w:rsidRPr="00370BB1" w:rsidRDefault="00C413B5" w:rsidP="00C413B5">
      <w:pPr>
        <w:shd w:val="clear" w:color="auto" w:fill="FFFFFF"/>
        <w:jc w:val="both"/>
        <w:rPr>
          <w:i/>
          <w:color w:val="000000"/>
          <w:sz w:val="20"/>
          <w:szCs w:val="20"/>
        </w:rPr>
      </w:pPr>
      <w:r w:rsidRPr="00370BB1">
        <w:rPr>
          <w:i/>
          <w:color w:val="000000"/>
          <w:sz w:val="20"/>
          <w:szCs w:val="20"/>
        </w:rPr>
        <w:t xml:space="preserve"> </w:t>
      </w:r>
    </w:p>
    <w:p w:rsidR="00C413B5" w:rsidRPr="00370BB1" w:rsidRDefault="00C413B5" w:rsidP="00C413B5">
      <w:pPr>
        <w:shd w:val="clear" w:color="auto" w:fill="FFFFFF"/>
        <w:jc w:val="both"/>
        <w:rPr>
          <w:rStyle w:val="15"/>
          <w:rFonts w:ascii="Arial" w:eastAsia="Times New Roman" w:hAnsi="Arial" w:hint="default"/>
          <w:color w:val="000000"/>
        </w:rPr>
      </w:pPr>
      <w:r w:rsidRPr="00370BB1">
        <w:rPr>
          <w:color w:val="000000"/>
          <w:sz w:val="20"/>
          <w:szCs w:val="20"/>
        </w:rPr>
        <w:lastRenderedPageBreak/>
        <w:t xml:space="preserve">Akpunne B. C., </w:t>
      </w:r>
      <w:proofErr w:type="spellStart"/>
      <w:r w:rsidRPr="00370BB1">
        <w:rPr>
          <w:color w:val="000000"/>
          <w:sz w:val="20"/>
          <w:szCs w:val="20"/>
        </w:rPr>
        <w:t>Akinnawo</w:t>
      </w:r>
      <w:proofErr w:type="spellEnd"/>
      <w:r w:rsidRPr="00370BB1">
        <w:rPr>
          <w:color w:val="000000"/>
          <w:sz w:val="20"/>
          <w:szCs w:val="20"/>
        </w:rPr>
        <w:t xml:space="preserve"> E. O., </w:t>
      </w:r>
      <w:proofErr w:type="spellStart"/>
      <w:r w:rsidRPr="00370BB1">
        <w:rPr>
          <w:color w:val="000000"/>
          <w:sz w:val="20"/>
          <w:szCs w:val="20"/>
        </w:rPr>
        <w:t>Alakija</w:t>
      </w:r>
      <w:proofErr w:type="spellEnd"/>
      <w:r w:rsidRPr="00370BB1">
        <w:rPr>
          <w:color w:val="000000"/>
          <w:sz w:val="20"/>
          <w:szCs w:val="20"/>
        </w:rPr>
        <w:t xml:space="preserve"> O. A., &amp; </w:t>
      </w:r>
      <w:proofErr w:type="spellStart"/>
      <w:r w:rsidRPr="00370BB1">
        <w:rPr>
          <w:color w:val="000000"/>
          <w:sz w:val="20"/>
          <w:szCs w:val="20"/>
        </w:rPr>
        <w:t>Kumuyi</w:t>
      </w:r>
      <w:proofErr w:type="spellEnd"/>
      <w:r w:rsidRPr="00370BB1">
        <w:rPr>
          <w:color w:val="000000"/>
          <w:sz w:val="20"/>
          <w:szCs w:val="20"/>
        </w:rPr>
        <w:t xml:space="preserve"> D. O. (2020). Psychometric properties of Young's Internet Addiction Test in Nigeria. </w:t>
      </w:r>
      <w:r w:rsidRPr="00370BB1">
        <w:rPr>
          <w:i/>
          <w:color w:val="000000"/>
          <w:sz w:val="20"/>
          <w:szCs w:val="20"/>
        </w:rPr>
        <w:t xml:space="preserve">Int J High Risk </w:t>
      </w:r>
      <w:proofErr w:type="spellStart"/>
      <w:r w:rsidRPr="00370BB1">
        <w:rPr>
          <w:i/>
          <w:color w:val="000000"/>
          <w:sz w:val="20"/>
          <w:szCs w:val="20"/>
        </w:rPr>
        <w:t>Behav</w:t>
      </w:r>
      <w:proofErr w:type="spellEnd"/>
      <w:r w:rsidRPr="00370BB1">
        <w:rPr>
          <w:i/>
          <w:color w:val="000000"/>
          <w:sz w:val="20"/>
          <w:szCs w:val="20"/>
        </w:rPr>
        <w:t xml:space="preserve"> Addict</w:t>
      </w:r>
      <w:r w:rsidRPr="00370BB1">
        <w:rPr>
          <w:color w:val="000000"/>
          <w:sz w:val="20"/>
          <w:szCs w:val="20"/>
        </w:rPr>
        <w:t>, 9(4</w:t>
      </w:r>
      <w:proofErr w:type="gramStart"/>
      <w:r w:rsidRPr="00370BB1">
        <w:rPr>
          <w:color w:val="000000"/>
          <w:sz w:val="20"/>
          <w:szCs w:val="20"/>
        </w:rPr>
        <w:t>),e</w:t>
      </w:r>
      <w:proofErr w:type="gramEnd"/>
      <w:r w:rsidRPr="00370BB1">
        <w:rPr>
          <w:color w:val="000000"/>
          <w:sz w:val="20"/>
          <w:szCs w:val="20"/>
        </w:rPr>
        <w:t xml:space="preserve">91968. </w:t>
      </w:r>
      <w:hyperlink r:id="rId7" w:history="1">
        <w:proofErr w:type="spellStart"/>
        <w:r w:rsidRPr="00370BB1">
          <w:rPr>
            <w:rStyle w:val="15"/>
            <w:rFonts w:ascii="Arial" w:hAnsi="Arial" w:hint="default"/>
            <w:color w:val="000000"/>
            <w:sz w:val="20"/>
            <w:szCs w:val="20"/>
          </w:rPr>
          <w:t>doi</w:t>
        </w:r>
        <w:proofErr w:type="spellEnd"/>
        <w:r w:rsidRPr="00370BB1">
          <w:rPr>
            <w:rStyle w:val="15"/>
            <w:rFonts w:ascii="Arial" w:hAnsi="Arial" w:hint="default"/>
            <w:color w:val="000000"/>
            <w:sz w:val="20"/>
            <w:szCs w:val="20"/>
          </w:rPr>
          <w:t>: 10.5812/ijhrba.91968</w:t>
        </w:r>
      </w:hyperlink>
    </w:p>
    <w:p w:rsidR="00C413B5" w:rsidRPr="00370BB1" w:rsidRDefault="00C413B5" w:rsidP="00C413B5">
      <w:pPr>
        <w:jc w:val="both"/>
        <w:rPr>
          <w:shd w:val="clear" w:color="auto" w:fill="FFFFFF"/>
        </w:rPr>
      </w:pPr>
      <w:r w:rsidRPr="00370BB1">
        <w:rPr>
          <w:color w:val="000000"/>
          <w:sz w:val="20"/>
          <w:szCs w:val="20"/>
          <w:shd w:val="clear" w:color="auto" w:fill="FFFFFF"/>
        </w:rPr>
        <w:t xml:space="preserve"> </w:t>
      </w:r>
    </w:p>
    <w:p w:rsidR="00C413B5" w:rsidRPr="00370BB1" w:rsidRDefault="00C413B5" w:rsidP="00C413B5">
      <w:pPr>
        <w:jc w:val="both"/>
        <w:rPr>
          <w:rStyle w:val="15"/>
          <w:rFonts w:ascii="Arial" w:eastAsia="Times New Roman" w:hAnsi="Arial" w:hint="default"/>
          <w:i/>
          <w:color w:val="000000"/>
        </w:rPr>
      </w:pPr>
      <w:r w:rsidRPr="00370BB1">
        <w:rPr>
          <w:color w:val="000000"/>
          <w:sz w:val="20"/>
          <w:szCs w:val="20"/>
          <w:shd w:val="clear" w:color="auto" w:fill="FFFFFF"/>
        </w:rPr>
        <w:t xml:space="preserve">Akpunne, B., </w:t>
      </w:r>
      <w:proofErr w:type="spellStart"/>
      <w:r w:rsidRPr="00370BB1">
        <w:rPr>
          <w:color w:val="000000"/>
          <w:sz w:val="20"/>
          <w:szCs w:val="20"/>
          <w:shd w:val="clear" w:color="auto" w:fill="FFFFFF"/>
        </w:rPr>
        <w:t>Lanre</w:t>
      </w:r>
      <w:proofErr w:type="spellEnd"/>
      <w:r w:rsidRPr="00370BB1">
        <w:rPr>
          <w:color w:val="000000"/>
          <w:sz w:val="20"/>
          <w:szCs w:val="20"/>
          <w:shd w:val="clear" w:color="auto" w:fill="FFFFFF"/>
        </w:rPr>
        <w:t xml:space="preserve">-Babalola, F., &amp; S. </w:t>
      </w:r>
      <w:proofErr w:type="spellStart"/>
      <w:r w:rsidRPr="00370BB1">
        <w:rPr>
          <w:color w:val="000000"/>
          <w:sz w:val="20"/>
          <w:szCs w:val="20"/>
          <w:shd w:val="clear" w:color="auto" w:fill="FFFFFF"/>
        </w:rPr>
        <w:t>Alo</w:t>
      </w:r>
      <w:proofErr w:type="spellEnd"/>
      <w:r w:rsidRPr="00370BB1">
        <w:rPr>
          <w:color w:val="000000"/>
          <w:sz w:val="20"/>
          <w:szCs w:val="20"/>
          <w:shd w:val="clear" w:color="auto" w:fill="FFFFFF"/>
        </w:rPr>
        <w:t xml:space="preserve">, F. (2019). Classroom size as a predictor of bullying </w:t>
      </w:r>
      <w:proofErr w:type="spellStart"/>
      <w:r w:rsidRPr="00370BB1">
        <w:rPr>
          <w:color w:val="000000"/>
          <w:sz w:val="20"/>
          <w:szCs w:val="20"/>
          <w:shd w:val="clear" w:color="auto" w:fill="FFFFFF"/>
        </w:rPr>
        <w:t>behaviour</w:t>
      </w:r>
      <w:proofErr w:type="spellEnd"/>
      <w:r w:rsidRPr="00370BB1">
        <w:rPr>
          <w:color w:val="000000"/>
          <w:sz w:val="20"/>
          <w:szCs w:val="20"/>
          <w:shd w:val="clear" w:color="auto" w:fill="FFFFFF"/>
        </w:rPr>
        <w:t xml:space="preserve"> among secondary school adolescents in Nigeria. </w:t>
      </w:r>
      <w:r w:rsidRPr="00370BB1">
        <w:rPr>
          <w:i/>
          <w:iCs/>
          <w:color w:val="000000"/>
          <w:sz w:val="20"/>
          <w:szCs w:val="20"/>
          <w:shd w:val="clear" w:color="auto" w:fill="FFFFFF"/>
        </w:rPr>
        <w:t>Asian Journal of Education and Social Studies</w:t>
      </w:r>
      <w:r w:rsidRPr="00370BB1">
        <w:rPr>
          <w:color w:val="000000"/>
          <w:sz w:val="20"/>
          <w:szCs w:val="20"/>
          <w:shd w:val="clear" w:color="auto" w:fill="FFFFFF"/>
        </w:rPr>
        <w:t xml:space="preserve">, </w:t>
      </w:r>
      <w:r w:rsidRPr="00370BB1">
        <w:rPr>
          <w:i/>
          <w:iCs/>
          <w:color w:val="000000"/>
          <w:sz w:val="20"/>
          <w:szCs w:val="20"/>
          <w:shd w:val="clear" w:color="auto" w:fill="FFFFFF"/>
        </w:rPr>
        <w:t>3</w:t>
      </w:r>
      <w:r w:rsidRPr="00370BB1">
        <w:rPr>
          <w:color w:val="000000"/>
          <w:sz w:val="20"/>
          <w:szCs w:val="20"/>
          <w:shd w:val="clear" w:color="auto" w:fill="FFFFFF"/>
        </w:rPr>
        <w:t xml:space="preserve">(4), 1-9. </w:t>
      </w:r>
      <w:hyperlink r:id="rId8" w:history="1">
        <w:r w:rsidRPr="00370BB1">
          <w:rPr>
            <w:rStyle w:val="15"/>
            <w:rFonts w:ascii="Arial" w:hAnsi="Arial" w:hint="default"/>
            <w:color w:val="000000"/>
            <w:sz w:val="20"/>
            <w:szCs w:val="20"/>
            <w:shd w:val="clear" w:color="auto" w:fill="FFFFFF"/>
          </w:rPr>
          <w:t>https://doi.org/10.9734/ajess/2019/v3i430102</w:t>
        </w:r>
      </w:hyperlink>
    </w:p>
    <w:p w:rsidR="00C413B5" w:rsidRPr="00370BB1" w:rsidRDefault="00C413B5" w:rsidP="00C413B5">
      <w:pPr>
        <w:jc w:val="both"/>
      </w:pPr>
      <w:r w:rsidRPr="00370BB1">
        <w:rPr>
          <w:color w:val="000000"/>
          <w:sz w:val="20"/>
          <w:szCs w:val="20"/>
        </w:rPr>
        <w:t xml:space="preserve"> </w:t>
      </w:r>
    </w:p>
    <w:p w:rsidR="00C413B5" w:rsidRPr="00370BB1" w:rsidRDefault="00C413B5" w:rsidP="00C413B5">
      <w:pPr>
        <w:jc w:val="both"/>
        <w:rPr>
          <w:i/>
          <w:color w:val="000000"/>
          <w:sz w:val="20"/>
          <w:szCs w:val="20"/>
        </w:rPr>
      </w:pPr>
      <w:r w:rsidRPr="00370BB1">
        <w:rPr>
          <w:color w:val="000000"/>
          <w:sz w:val="20"/>
          <w:szCs w:val="20"/>
        </w:rPr>
        <w:t xml:space="preserve">Alizadeh, S.O., </w:t>
      </w:r>
      <w:proofErr w:type="spellStart"/>
      <w:r w:rsidRPr="00370BB1">
        <w:rPr>
          <w:color w:val="000000"/>
          <w:sz w:val="20"/>
          <w:szCs w:val="20"/>
        </w:rPr>
        <w:t>Khosravi</w:t>
      </w:r>
      <w:proofErr w:type="spellEnd"/>
      <w:r w:rsidRPr="00370BB1">
        <w:rPr>
          <w:color w:val="000000"/>
          <w:sz w:val="20"/>
          <w:szCs w:val="20"/>
        </w:rPr>
        <w:t xml:space="preserve">, Z., &amp; </w:t>
      </w:r>
      <w:proofErr w:type="spellStart"/>
      <w:r w:rsidRPr="00370BB1">
        <w:rPr>
          <w:color w:val="000000"/>
          <w:sz w:val="20"/>
          <w:szCs w:val="20"/>
        </w:rPr>
        <w:t>Yusefnejad</w:t>
      </w:r>
      <w:proofErr w:type="spellEnd"/>
      <w:r w:rsidRPr="00370BB1">
        <w:rPr>
          <w:color w:val="000000"/>
          <w:sz w:val="20"/>
          <w:szCs w:val="20"/>
        </w:rPr>
        <w:t xml:space="preserve">, M. (2011). The relationship of internet addiction with family functioning and mental health among Iranian students. </w:t>
      </w:r>
      <w:r w:rsidRPr="00370BB1">
        <w:rPr>
          <w:i/>
          <w:color w:val="000000"/>
          <w:sz w:val="20"/>
          <w:szCs w:val="20"/>
        </w:rPr>
        <w:t>European Psychiatry</w:t>
      </w:r>
    </w:p>
    <w:p w:rsidR="00C413B5" w:rsidRPr="00370BB1" w:rsidRDefault="00C413B5" w:rsidP="00C413B5">
      <w:pPr>
        <w:jc w:val="both"/>
        <w:rPr>
          <w:rFonts w:eastAsia="Calibri"/>
          <w:color w:val="000000"/>
          <w:sz w:val="20"/>
          <w:szCs w:val="20"/>
        </w:rPr>
      </w:pPr>
      <w:r w:rsidRPr="00370BB1">
        <w:rPr>
          <w:rFonts w:eastAsia="Calibri"/>
          <w:color w:val="000000"/>
          <w:sz w:val="20"/>
          <w:szCs w:val="20"/>
        </w:rPr>
        <w:t xml:space="preserve"> </w:t>
      </w:r>
    </w:p>
    <w:p w:rsidR="00C413B5" w:rsidRPr="00370BB1" w:rsidRDefault="00C413B5" w:rsidP="00C413B5">
      <w:pPr>
        <w:jc w:val="both"/>
        <w:rPr>
          <w:i/>
          <w:color w:val="000000"/>
          <w:sz w:val="20"/>
          <w:szCs w:val="20"/>
        </w:rPr>
      </w:pPr>
      <w:r w:rsidRPr="00370BB1">
        <w:rPr>
          <w:rFonts w:eastAsia="Calibri"/>
          <w:color w:val="000000"/>
          <w:sz w:val="20"/>
          <w:szCs w:val="20"/>
        </w:rPr>
        <w:t xml:space="preserve">American Psychiatric Association (2013). Diagnostic and Statistical Manual of Mental Disorders, 5th </w:t>
      </w:r>
      <w:proofErr w:type="spellStart"/>
      <w:r w:rsidRPr="00370BB1">
        <w:rPr>
          <w:rFonts w:eastAsia="Calibri"/>
          <w:color w:val="000000"/>
          <w:sz w:val="20"/>
          <w:szCs w:val="20"/>
        </w:rPr>
        <w:t>Edn</w:t>
      </w:r>
      <w:proofErr w:type="spellEnd"/>
      <w:r w:rsidRPr="00370BB1">
        <w:rPr>
          <w:rFonts w:eastAsia="Calibri"/>
          <w:color w:val="000000"/>
          <w:sz w:val="20"/>
          <w:szCs w:val="20"/>
        </w:rPr>
        <w:t xml:space="preserve"> Arlington, VA: Author. </w:t>
      </w:r>
      <w:proofErr w:type="spellStart"/>
      <w:r w:rsidRPr="00370BB1">
        <w:rPr>
          <w:rFonts w:eastAsia="Calibri"/>
          <w:color w:val="000000"/>
          <w:sz w:val="20"/>
          <w:szCs w:val="20"/>
        </w:rPr>
        <w:t>doi</w:t>
      </w:r>
      <w:proofErr w:type="spellEnd"/>
      <w:r w:rsidRPr="00370BB1">
        <w:rPr>
          <w:rFonts w:eastAsia="Calibri"/>
          <w:color w:val="000000"/>
          <w:sz w:val="20"/>
          <w:szCs w:val="20"/>
        </w:rPr>
        <w:t>: 10.1176/appi.books.9780890425596</w:t>
      </w:r>
    </w:p>
    <w:p w:rsidR="00C413B5" w:rsidRPr="00370BB1" w:rsidRDefault="00C413B5" w:rsidP="00C413B5">
      <w:pPr>
        <w:jc w:val="both"/>
        <w:rPr>
          <w:color w:val="000000"/>
          <w:sz w:val="20"/>
          <w:szCs w:val="20"/>
        </w:rPr>
      </w:pPr>
      <w:r w:rsidRPr="00370BB1">
        <w:rPr>
          <w:color w:val="000000"/>
          <w:sz w:val="20"/>
          <w:szCs w:val="20"/>
        </w:rPr>
        <w:t xml:space="preserve"> </w:t>
      </w:r>
    </w:p>
    <w:p w:rsidR="00C413B5" w:rsidRPr="00370BB1" w:rsidRDefault="00C413B5" w:rsidP="00C413B5">
      <w:pPr>
        <w:jc w:val="both"/>
        <w:rPr>
          <w:i/>
          <w:color w:val="000000"/>
          <w:sz w:val="20"/>
          <w:szCs w:val="20"/>
        </w:rPr>
      </w:pPr>
      <w:proofErr w:type="spellStart"/>
      <w:r w:rsidRPr="00370BB1">
        <w:rPr>
          <w:color w:val="000000"/>
          <w:sz w:val="20"/>
          <w:szCs w:val="20"/>
        </w:rPr>
        <w:t>Ariyo</w:t>
      </w:r>
      <w:proofErr w:type="spellEnd"/>
      <w:r w:rsidRPr="00370BB1">
        <w:rPr>
          <w:color w:val="000000"/>
          <w:sz w:val="20"/>
          <w:szCs w:val="20"/>
        </w:rPr>
        <w:t xml:space="preserve">, J.O., </w:t>
      </w:r>
      <w:proofErr w:type="spellStart"/>
      <w:r w:rsidRPr="00370BB1">
        <w:rPr>
          <w:color w:val="000000"/>
          <w:sz w:val="20"/>
          <w:szCs w:val="20"/>
        </w:rPr>
        <w:t>Akinnawo</w:t>
      </w:r>
      <w:proofErr w:type="spellEnd"/>
      <w:r w:rsidRPr="00370BB1">
        <w:rPr>
          <w:color w:val="000000"/>
          <w:sz w:val="20"/>
          <w:szCs w:val="20"/>
        </w:rPr>
        <w:t xml:space="preserve">, E.O., &amp; Akpunne, B.C. (2020). Predictive influence of internet game addiction on severities of attention deficit hyperactivity disorder among Nigerian adolescents.  </w:t>
      </w:r>
      <w:r w:rsidRPr="00370BB1">
        <w:rPr>
          <w:i/>
          <w:iCs/>
          <w:color w:val="000000"/>
          <w:sz w:val="20"/>
          <w:szCs w:val="20"/>
        </w:rPr>
        <w:t>International Journal of Progressive Sciences and Technologies</w:t>
      </w:r>
      <w:r w:rsidRPr="00370BB1">
        <w:rPr>
          <w:color w:val="000000"/>
          <w:sz w:val="20"/>
          <w:szCs w:val="20"/>
        </w:rPr>
        <w:t xml:space="preserve">, 22(2) 347-356. </w:t>
      </w:r>
      <w:hyperlink r:id="rId9" w:history="1">
        <w:r w:rsidRPr="00370BB1">
          <w:rPr>
            <w:rStyle w:val="15"/>
            <w:rFonts w:ascii="Arial" w:hAnsi="Arial" w:hint="default"/>
            <w:color w:val="000000"/>
            <w:sz w:val="20"/>
            <w:szCs w:val="20"/>
          </w:rPr>
          <w:t>https://ijpsat.ijsht-journals.org/index.php/ijpsat</w:t>
        </w:r>
      </w:hyperlink>
    </w:p>
    <w:p w:rsidR="00C413B5" w:rsidRPr="00370BB1" w:rsidRDefault="00C413B5" w:rsidP="00C413B5">
      <w:pPr>
        <w:jc w:val="both"/>
        <w:rPr>
          <w:color w:val="000000"/>
          <w:sz w:val="20"/>
          <w:szCs w:val="20"/>
        </w:rPr>
      </w:pPr>
      <w:r w:rsidRPr="00370BB1">
        <w:rPr>
          <w:color w:val="000000"/>
          <w:sz w:val="20"/>
          <w:szCs w:val="20"/>
        </w:rPr>
        <w:t xml:space="preserve"> </w:t>
      </w:r>
    </w:p>
    <w:p w:rsidR="00C413B5" w:rsidRPr="00370BB1" w:rsidRDefault="00C413B5" w:rsidP="00C413B5">
      <w:pPr>
        <w:jc w:val="both"/>
        <w:rPr>
          <w:i/>
          <w:color w:val="000000"/>
          <w:sz w:val="20"/>
          <w:szCs w:val="20"/>
        </w:rPr>
      </w:pPr>
      <w:proofErr w:type="spellStart"/>
      <w:r w:rsidRPr="00370BB1">
        <w:rPr>
          <w:color w:val="000000"/>
          <w:sz w:val="20"/>
          <w:szCs w:val="20"/>
        </w:rPr>
        <w:t>Ayele</w:t>
      </w:r>
      <w:proofErr w:type="spellEnd"/>
      <w:r w:rsidRPr="00370BB1">
        <w:rPr>
          <w:color w:val="000000"/>
          <w:sz w:val="20"/>
          <w:szCs w:val="20"/>
        </w:rPr>
        <w:t xml:space="preserve">, A. (2018). Assessing major adjustment problems of first year students in Ethiopia, </w:t>
      </w:r>
      <w:proofErr w:type="spellStart"/>
      <w:r w:rsidRPr="00370BB1">
        <w:rPr>
          <w:color w:val="000000"/>
          <w:sz w:val="20"/>
          <w:szCs w:val="20"/>
        </w:rPr>
        <w:t>WolaitaSodo</w:t>
      </w:r>
      <w:proofErr w:type="spellEnd"/>
      <w:r w:rsidRPr="00370BB1">
        <w:rPr>
          <w:color w:val="000000"/>
          <w:sz w:val="20"/>
          <w:szCs w:val="20"/>
        </w:rPr>
        <w:t xml:space="preserve"> University. </w:t>
      </w:r>
      <w:r w:rsidRPr="00370BB1">
        <w:rPr>
          <w:i/>
          <w:color w:val="000000"/>
          <w:sz w:val="20"/>
          <w:szCs w:val="20"/>
        </w:rPr>
        <w:t>American Journal of Educational Research</w:t>
      </w:r>
      <w:r w:rsidRPr="00370BB1">
        <w:rPr>
          <w:color w:val="000000"/>
          <w:sz w:val="20"/>
          <w:szCs w:val="20"/>
        </w:rPr>
        <w:t>, 6(9),1326-1332.https://doi.org/10.12691/education-6-9-13.</w:t>
      </w:r>
      <w:r w:rsidRPr="00370BB1">
        <w:rPr>
          <w:rFonts w:eastAsia="Calibri"/>
          <w:color w:val="000000"/>
          <w:sz w:val="20"/>
          <w:szCs w:val="20"/>
        </w:rPr>
        <w:t xml:space="preserve"> </w:t>
      </w:r>
    </w:p>
    <w:p w:rsidR="00C413B5" w:rsidRPr="00370BB1" w:rsidRDefault="00C413B5" w:rsidP="00C413B5">
      <w:pPr>
        <w:autoSpaceDE w:val="0"/>
        <w:rPr>
          <w:rStyle w:val="19"/>
          <w:rFonts w:ascii="Arial" w:eastAsia="Cambria" w:hAnsi="Arial" w:hint="default"/>
          <w:iCs w:val="0"/>
          <w:color w:val="1B1B1B"/>
          <w:shd w:val="clear" w:color="auto" w:fill="FFFFFF"/>
        </w:rPr>
      </w:pPr>
      <w:r w:rsidRPr="00370BB1">
        <w:rPr>
          <w:rStyle w:val="19"/>
          <w:rFonts w:ascii="Arial" w:eastAsia="Cambria" w:hAnsi="Arial" w:hint="default"/>
          <w:i w:val="0"/>
          <w:iCs w:val="0"/>
          <w:color w:val="1B1B1B"/>
          <w:sz w:val="20"/>
          <w:szCs w:val="20"/>
          <w:shd w:val="clear" w:color="auto" w:fill="FFFFFF"/>
        </w:rPr>
        <w:t xml:space="preserve"> </w:t>
      </w:r>
    </w:p>
    <w:p w:rsidR="00C413B5" w:rsidRPr="00370BB1" w:rsidRDefault="00C413B5" w:rsidP="00C413B5">
      <w:pPr>
        <w:autoSpaceDE w:val="0"/>
      </w:pPr>
      <w:proofErr w:type="spellStart"/>
      <w:r w:rsidRPr="00370BB1">
        <w:rPr>
          <w:rStyle w:val="19"/>
          <w:rFonts w:ascii="Arial" w:eastAsia="Cambria" w:hAnsi="Arial" w:hint="default"/>
          <w:i w:val="0"/>
          <w:iCs w:val="0"/>
          <w:color w:val="1B1B1B"/>
          <w:sz w:val="20"/>
          <w:szCs w:val="20"/>
          <w:shd w:val="clear" w:color="auto" w:fill="FFFFFF"/>
        </w:rPr>
        <w:t>Balhara</w:t>
      </w:r>
      <w:proofErr w:type="spellEnd"/>
      <w:r w:rsidRPr="00370BB1">
        <w:rPr>
          <w:rStyle w:val="19"/>
          <w:rFonts w:ascii="Arial" w:eastAsia="Cambria" w:hAnsi="Arial" w:hint="default"/>
          <w:i w:val="0"/>
          <w:iCs w:val="0"/>
          <w:color w:val="1B1B1B"/>
          <w:sz w:val="20"/>
          <w:szCs w:val="20"/>
          <w:shd w:val="clear" w:color="auto" w:fill="FFFFFF"/>
        </w:rPr>
        <w:t xml:space="preserve"> Y. S., Mahapatra A., Sharma P., </w:t>
      </w:r>
      <w:r w:rsidR="00CE2243" w:rsidRPr="00370BB1">
        <w:rPr>
          <w:rStyle w:val="19"/>
          <w:rFonts w:ascii="Arial" w:eastAsia="Cambria" w:hAnsi="Arial" w:hint="default"/>
          <w:i w:val="0"/>
          <w:iCs w:val="0"/>
          <w:color w:val="1B1B1B"/>
          <w:sz w:val="20"/>
          <w:szCs w:val="20"/>
          <w:shd w:val="clear" w:color="auto" w:fill="FFFFFF"/>
        </w:rPr>
        <w:t xml:space="preserve">&amp; </w:t>
      </w:r>
      <w:r w:rsidRPr="00370BB1">
        <w:rPr>
          <w:rStyle w:val="19"/>
          <w:rFonts w:ascii="Arial" w:eastAsia="Cambria" w:hAnsi="Arial" w:hint="default"/>
          <w:i w:val="0"/>
          <w:iCs w:val="0"/>
          <w:color w:val="1B1B1B"/>
          <w:sz w:val="20"/>
          <w:szCs w:val="20"/>
          <w:shd w:val="clear" w:color="auto" w:fill="FFFFFF"/>
        </w:rPr>
        <w:t xml:space="preserve">Bhargava R. </w:t>
      </w:r>
      <w:r w:rsidR="00CE2243" w:rsidRPr="00370BB1">
        <w:rPr>
          <w:rStyle w:val="19"/>
          <w:rFonts w:ascii="Arial" w:eastAsia="Cambria" w:hAnsi="Arial" w:hint="default"/>
          <w:i w:val="0"/>
          <w:iCs w:val="0"/>
          <w:color w:val="1B1B1B"/>
          <w:sz w:val="20"/>
          <w:szCs w:val="20"/>
          <w:shd w:val="clear" w:color="auto" w:fill="FFFFFF"/>
        </w:rPr>
        <w:t xml:space="preserve">(2018). </w:t>
      </w:r>
      <w:r w:rsidRPr="00370BB1">
        <w:rPr>
          <w:rStyle w:val="19"/>
          <w:rFonts w:ascii="Arial" w:eastAsia="Cambria" w:hAnsi="Arial" w:hint="default"/>
          <w:i w:val="0"/>
          <w:iCs w:val="0"/>
          <w:color w:val="1B1B1B"/>
          <w:sz w:val="20"/>
          <w:szCs w:val="20"/>
          <w:shd w:val="clear" w:color="auto" w:fill="FFFFFF"/>
        </w:rPr>
        <w:t xml:space="preserve">Problematic internet use among students in South-East Asia: current state of evidence. </w:t>
      </w:r>
      <w:r w:rsidRPr="00370BB1">
        <w:rPr>
          <w:rStyle w:val="19"/>
          <w:rFonts w:ascii="Arial" w:eastAsia="Cambria" w:hAnsi="Arial" w:hint="default"/>
          <w:iCs w:val="0"/>
          <w:color w:val="1B1B1B"/>
          <w:sz w:val="20"/>
          <w:szCs w:val="20"/>
          <w:shd w:val="clear" w:color="auto" w:fill="FFFFFF"/>
        </w:rPr>
        <w:t>Indian Journal of Public Health</w:t>
      </w:r>
      <w:r w:rsidRPr="00370BB1">
        <w:rPr>
          <w:rStyle w:val="19"/>
          <w:rFonts w:ascii="Arial" w:eastAsia="Cambria" w:hAnsi="Arial" w:hint="default"/>
          <w:i w:val="0"/>
          <w:iCs w:val="0"/>
          <w:color w:val="1B1B1B"/>
          <w:sz w:val="20"/>
          <w:szCs w:val="20"/>
          <w:shd w:val="clear" w:color="auto" w:fill="FFFFFF"/>
        </w:rPr>
        <w:t xml:space="preserve"> .62(3):197–210. </w:t>
      </w:r>
      <w:proofErr w:type="spellStart"/>
      <w:r w:rsidRPr="00370BB1">
        <w:rPr>
          <w:rStyle w:val="19"/>
          <w:rFonts w:ascii="Arial" w:eastAsia="Cambria" w:hAnsi="Arial" w:hint="default"/>
          <w:i w:val="0"/>
          <w:iCs w:val="0"/>
          <w:color w:val="1B1B1B"/>
          <w:sz w:val="20"/>
          <w:szCs w:val="20"/>
          <w:shd w:val="clear" w:color="auto" w:fill="FFFFFF"/>
        </w:rPr>
        <w:t>doi</w:t>
      </w:r>
      <w:proofErr w:type="spellEnd"/>
      <w:r w:rsidRPr="00370BB1">
        <w:rPr>
          <w:rStyle w:val="19"/>
          <w:rFonts w:ascii="Arial" w:eastAsia="Cambria" w:hAnsi="Arial" w:hint="default"/>
          <w:i w:val="0"/>
          <w:iCs w:val="0"/>
          <w:color w:val="1B1B1B"/>
          <w:sz w:val="20"/>
          <w:szCs w:val="20"/>
          <w:shd w:val="clear" w:color="auto" w:fill="FFFFFF"/>
        </w:rPr>
        <w:t>: 10.4103/ijph.ijph_288_17.</w:t>
      </w:r>
      <w:r w:rsidRPr="00370BB1">
        <w:rPr>
          <w:rFonts w:eastAsia="Cambria"/>
          <w:color w:val="1B1B1B"/>
          <w:sz w:val="20"/>
          <w:szCs w:val="20"/>
          <w:shd w:val="clear" w:color="auto" w:fill="FFFFFF"/>
        </w:rPr>
        <w:t xml:space="preserve"> </w:t>
      </w:r>
    </w:p>
    <w:p w:rsidR="00C413B5" w:rsidRPr="00370BB1" w:rsidRDefault="00C413B5" w:rsidP="00C413B5">
      <w:pPr>
        <w:jc w:val="both"/>
        <w:rPr>
          <w:color w:val="000000"/>
          <w:sz w:val="20"/>
          <w:szCs w:val="20"/>
        </w:rPr>
      </w:pPr>
      <w:r w:rsidRPr="00370BB1">
        <w:rPr>
          <w:color w:val="000000"/>
          <w:sz w:val="20"/>
          <w:szCs w:val="20"/>
        </w:rPr>
        <w:t xml:space="preserve"> </w:t>
      </w:r>
    </w:p>
    <w:p w:rsidR="00C413B5" w:rsidRPr="00370BB1" w:rsidRDefault="00C413B5" w:rsidP="00C413B5">
      <w:pPr>
        <w:jc w:val="both"/>
        <w:rPr>
          <w:color w:val="000000"/>
          <w:sz w:val="20"/>
          <w:szCs w:val="20"/>
        </w:rPr>
      </w:pPr>
      <w:proofErr w:type="spellStart"/>
      <w:r w:rsidRPr="00370BB1">
        <w:rPr>
          <w:color w:val="000000"/>
          <w:sz w:val="20"/>
          <w:szCs w:val="20"/>
        </w:rPr>
        <w:t>Bindhu</w:t>
      </w:r>
      <w:proofErr w:type="spellEnd"/>
      <w:r w:rsidRPr="00370BB1">
        <w:rPr>
          <w:color w:val="000000"/>
          <w:sz w:val="20"/>
          <w:szCs w:val="20"/>
        </w:rPr>
        <w:t xml:space="preserve">, J. (2019). Internet Addiction in Relation to Emotional Adjustment among Students of Higher Secondary Schools. </w:t>
      </w:r>
      <w:r w:rsidRPr="00370BB1">
        <w:rPr>
          <w:i/>
          <w:color w:val="000000"/>
          <w:sz w:val="20"/>
          <w:szCs w:val="20"/>
        </w:rPr>
        <w:t>International Journal of Arts, Humanities and Management Studies</w:t>
      </w:r>
      <w:r w:rsidRPr="00370BB1">
        <w:rPr>
          <w:color w:val="000000"/>
          <w:sz w:val="20"/>
          <w:szCs w:val="20"/>
        </w:rPr>
        <w:t>, 05(02), 37-48.</w:t>
      </w:r>
    </w:p>
    <w:p w:rsidR="00C413B5" w:rsidRPr="00370BB1" w:rsidRDefault="00C413B5" w:rsidP="00C413B5">
      <w:pPr>
        <w:jc w:val="both"/>
        <w:rPr>
          <w:color w:val="000000"/>
          <w:sz w:val="20"/>
          <w:szCs w:val="20"/>
        </w:rPr>
      </w:pPr>
      <w:r w:rsidRPr="00370BB1">
        <w:rPr>
          <w:color w:val="000000"/>
          <w:sz w:val="20"/>
          <w:szCs w:val="20"/>
        </w:rPr>
        <w:t xml:space="preserve"> </w:t>
      </w:r>
    </w:p>
    <w:p w:rsidR="00C413B5" w:rsidRPr="00370BB1" w:rsidRDefault="00C413B5" w:rsidP="00C413B5">
      <w:pPr>
        <w:jc w:val="both"/>
        <w:rPr>
          <w:color w:val="000000"/>
          <w:sz w:val="20"/>
          <w:szCs w:val="20"/>
        </w:rPr>
      </w:pPr>
      <w:r w:rsidRPr="00370BB1">
        <w:rPr>
          <w:color w:val="000000"/>
          <w:sz w:val="20"/>
          <w:szCs w:val="20"/>
        </w:rPr>
        <w:t xml:space="preserve">Block, J. J. (2008).  Issues for </w:t>
      </w:r>
      <w:proofErr w:type="spellStart"/>
      <w:r w:rsidRPr="00370BB1">
        <w:rPr>
          <w:color w:val="000000"/>
          <w:sz w:val="20"/>
          <w:szCs w:val="20"/>
        </w:rPr>
        <w:t>dsm</w:t>
      </w:r>
      <w:proofErr w:type="spellEnd"/>
      <w:r w:rsidRPr="00370BB1">
        <w:rPr>
          <w:color w:val="000000"/>
          <w:sz w:val="20"/>
          <w:szCs w:val="20"/>
        </w:rPr>
        <w:t xml:space="preserve">-v: Internet addiction. </w:t>
      </w:r>
      <w:r w:rsidRPr="00370BB1">
        <w:rPr>
          <w:i/>
          <w:color w:val="000000"/>
          <w:sz w:val="20"/>
          <w:szCs w:val="20"/>
        </w:rPr>
        <w:t xml:space="preserve">American Journal of Psychiatry </w:t>
      </w:r>
      <w:r w:rsidRPr="00370BB1">
        <w:rPr>
          <w:color w:val="000000"/>
          <w:sz w:val="20"/>
          <w:szCs w:val="20"/>
        </w:rPr>
        <w:t>165(3), 306–307</w:t>
      </w:r>
    </w:p>
    <w:p w:rsidR="00C413B5" w:rsidRPr="00370BB1" w:rsidRDefault="00C413B5" w:rsidP="00C413B5">
      <w:pPr>
        <w:jc w:val="both"/>
        <w:rPr>
          <w:sz w:val="20"/>
          <w:szCs w:val="20"/>
          <w:shd w:val="clear" w:color="auto" w:fill="FFFFFF"/>
        </w:rPr>
      </w:pPr>
      <w:r w:rsidRPr="00370BB1">
        <w:rPr>
          <w:sz w:val="20"/>
          <w:szCs w:val="20"/>
          <w:shd w:val="clear" w:color="auto" w:fill="FFFFFF"/>
        </w:rPr>
        <w:t xml:space="preserve"> </w:t>
      </w:r>
    </w:p>
    <w:p w:rsidR="00C413B5" w:rsidRPr="00370BB1" w:rsidRDefault="00C413B5" w:rsidP="00C413B5">
      <w:pPr>
        <w:jc w:val="both"/>
        <w:rPr>
          <w:sz w:val="20"/>
          <w:szCs w:val="20"/>
          <w:shd w:val="clear" w:color="auto" w:fill="FFFFFF"/>
        </w:rPr>
      </w:pPr>
      <w:r w:rsidRPr="00370BB1">
        <w:rPr>
          <w:sz w:val="20"/>
          <w:szCs w:val="20"/>
          <w:shd w:val="clear" w:color="auto" w:fill="FFFFFF"/>
        </w:rPr>
        <w:t xml:space="preserve">Campbell O, Bann D, </w:t>
      </w:r>
      <w:proofErr w:type="spellStart"/>
      <w:r w:rsidRPr="00370BB1">
        <w:rPr>
          <w:sz w:val="20"/>
          <w:szCs w:val="20"/>
          <w:shd w:val="clear" w:color="auto" w:fill="FFFFFF"/>
        </w:rPr>
        <w:t>Patalay</w:t>
      </w:r>
      <w:proofErr w:type="spellEnd"/>
      <w:r w:rsidRPr="00370BB1">
        <w:rPr>
          <w:sz w:val="20"/>
          <w:szCs w:val="20"/>
          <w:shd w:val="clear" w:color="auto" w:fill="FFFFFF"/>
        </w:rPr>
        <w:t xml:space="preserve"> P (2021) The gender gap in adolescent mental health: a cross-national investigation of 566,829 adolescents across 73 countries. SSM-Population Health:100742 </w:t>
      </w:r>
    </w:p>
    <w:p w:rsidR="00C413B5" w:rsidRPr="00370BB1" w:rsidRDefault="00C413B5" w:rsidP="00C413B5">
      <w:pPr>
        <w:jc w:val="both"/>
        <w:rPr>
          <w:sz w:val="20"/>
          <w:szCs w:val="20"/>
          <w:shd w:val="clear" w:color="auto" w:fill="FFFFFF"/>
        </w:rPr>
      </w:pPr>
      <w:r w:rsidRPr="00370BB1">
        <w:rPr>
          <w:sz w:val="20"/>
          <w:szCs w:val="20"/>
          <w:shd w:val="clear" w:color="auto" w:fill="FFFFFF"/>
        </w:rPr>
        <w:t xml:space="preserve"> </w:t>
      </w:r>
    </w:p>
    <w:p w:rsidR="00C413B5" w:rsidRPr="00370BB1" w:rsidRDefault="00C413B5" w:rsidP="00C413B5">
      <w:pPr>
        <w:jc w:val="both"/>
        <w:rPr>
          <w:rStyle w:val="15"/>
          <w:rFonts w:ascii="Arial" w:eastAsia="Times New Roman" w:hAnsi="Arial" w:hint="default"/>
          <w:color w:val="000000"/>
        </w:rPr>
      </w:pPr>
      <w:r w:rsidRPr="00370BB1">
        <w:rPr>
          <w:color w:val="000000"/>
          <w:sz w:val="20"/>
          <w:szCs w:val="20"/>
        </w:rPr>
        <w:t xml:space="preserve">Cheng, C., &amp; Li, A. Y. (2014). Internet addiction prevalence and quality of (real) life: a meta-analysis of 31 nations across seven world regions. </w:t>
      </w:r>
      <w:r w:rsidRPr="00370BB1">
        <w:rPr>
          <w:i/>
          <w:iCs/>
          <w:color w:val="000000"/>
          <w:sz w:val="20"/>
          <w:szCs w:val="20"/>
        </w:rPr>
        <w:t>Cyberpsychology, Behavior and Social Networking</w:t>
      </w:r>
      <w:r w:rsidRPr="00370BB1">
        <w:rPr>
          <w:color w:val="000000"/>
          <w:sz w:val="20"/>
          <w:szCs w:val="20"/>
        </w:rPr>
        <w:t xml:space="preserve">, </w:t>
      </w:r>
      <w:r w:rsidRPr="00370BB1">
        <w:rPr>
          <w:i/>
          <w:iCs/>
          <w:color w:val="000000"/>
          <w:sz w:val="20"/>
          <w:szCs w:val="20"/>
        </w:rPr>
        <w:t>17</w:t>
      </w:r>
      <w:r w:rsidRPr="00370BB1">
        <w:rPr>
          <w:color w:val="000000"/>
          <w:sz w:val="20"/>
          <w:szCs w:val="20"/>
        </w:rPr>
        <w:t xml:space="preserve">(12), 755–760. </w:t>
      </w:r>
      <w:hyperlink r:id="rId10" w:history="1">
        <w:r w:rsidRPr="00370BB1">
          <w:rPr>
            <w:rStyle w:val="15"/>
            <w:rFonts w:ascii="Arial" w:eastAsia="Times New Roman" w:hAnsi="Arial" w:hint="default"/>
            <w:color w:val="000000"/>
            <w:sz w:val="20"/>
            <w:szCs w:val="20"/>
          </w:rPr>
          <w:t>https://doi.org/10.1089/cyber.2014.0317</w:t>
        </w:r>
      </w:hyperlink>
    </w:p>
    <w:p w:rsidR="00C413B5" w:rsidRPr="00370BB1" w:rsidRDefault="00C413B5" w:rsidP="00C413B5">
      <w:pPr>
        <w:jc w:val="both"/>
      </w:pPr>
      <w:r w:rsidRPr="00370BB1">
        <w:rPr>
          <w:sz w:val="20"/>
          <w:szCs w:val="20"/>
        </w:rPr>
        <w:t xml:space="preserve"> </w:t>
      </w:r>
    </w:p>
    <w:p w:rsidR="00C413B5" w:rsidRPr="00370BB1" w:rsidRDefault="00C413B5" w:rsidP="00C413B5">
      <w:pPr>
        <w:jc w:val="both"/>
        <w:rPr>
          <w:sz w:val="20"/>
          <w:szCs w:val="20"/>
        </w:rPr>
      </w:pPr>
      <w:r w:rsidRPr="00370BB1">
        <w:rPr>
          <w:sz w:val="20"/>
          <w:szCs w:val="20"/>
        </w:rPr>
        <w:t xml:space="preserve">Clark S. Is Excessive Mobile App Gaming a Mental Disorder? Fenced.ai; 2022; Available from: </w:t>
      </w:r>
      <w:hyperlink r:id="rId11" w:history="1">
        <w:r w:rsidRPr="00370BB1">
          <w:rPr>
            <w:rStyle w:val="15"/>
            <w:rFonts w:ascii="Arial" w:hAnsi="Arial" w:hint="default"/>
            <w:sz w:val="20"/>
            <w:szCs w:val="20"/>
          </w:rPr>
          <w:t>https://fenced.ai/blogs/excessivemobile-gaming/</w:t>
        </w:r>
      </w:hyperlink>
      <w:r w:rsidRPr="00370BB1">
        <w:rPr>
          <w:sz w:val="20"/>
          <w:szCs w:val="20"/>
        </w:rPr>
        <w:t>.</w:t>
      </w:r>
    </w:p>
    <w:p w:rsidR="00C413B5" w:rsidRPr="00370BB1" w:rsidRDefault="00C413B5" w:rsidP="00C413B5">
      <w:pPr>
        <w:ind w:left="720" w:hanging="720"/>
        <w:jc w:val="both"/>
        <w:rPr>
          <w:color w:val="000000"/>
          <w:sz w:val="20"/>
          <w:szCs w:val="20"/>
        </w:rPr>
      </w:pPr>
      <w:r w:rsidRPr="00370BB1">
        <w:rPr>
          <w:color w:val="000000"/>
          <w:sz w:val="20"/>
          <w:szCs w:val="20"/>
        </w:rPr>
        <w:t xml:space="preserve"> </w:t>
      </w:r>
    </w:p>
    <w:p w:rsidR="00C413B5" w:rsidRPr="00370BB1" w:rsidRDefault="00C413B5" w:rsidP="00C413B5">
      <w:pPr>
        <w:jc w:val="both"/>
        <w:rPr>
          <w:sz w:val="20"/>
          <w:szCs w:val="20"/>
          <w:shd w:val="clear" w:color="auto" w:fill="FFFFFF"/>
        </w:rPr>
      </w:pPr>
      <w:r w:rsidRPr="00370BB1">
        <w:rPr>
          <w:sz w:val="20"/>
          <w:szCs w:val="20"/>
          <w:shd w:val="clear" w:color="auto" w:fill="FFFFFF"/>
        </w:rPr>
        <w:t xml:space="preserve">Conley CS, Rudolph KD. The emerging sex difference in adolescent depression: Interacting contributions of puberty and peer stress. </w:t>
      </w:r>
      <w:r w:rsidRPr="00370BB1">
        <w:rPr>
          <w:rStyle w:val="20"/>
          <w:rFonts w:ascii="Arial" w:hAnsi="Arial" w:hint="default"/>
          <w:i/>
          <w:iCs/>
          <w:sz w:val="20"/>
          <w:szCs w:val="20"/>
          <w:shd w:val="clear" w:color="auto" w:fill="FFFFFF"/>
        </w:rPr>
        <w:t xml:space="preserve">Dev </w:t>
      </w:r>
      <w:proofErr w:type="spellStart"/>
      <w:r w:rsidRPr="00370BB1">
        <w:rPr>
          <w:rStyle w:val="20"/>
          <w:rFonts w:ascii="Arial" w:hAnsi="Arial" w:hint="default"/>
          <w:i/>
          <w:iCs/>
          <w:sz w:val="20"/>
          <w:szCs w:val="20"/>
          <w:shd w:val="clear" w:color="auto" w:fill="FFFFFF"/>
        </w:rPr>
        <w:t>Psychopathol</w:t>
      </w:r>
      <w:proofErr w:type="spellEnd"/>
      <w:r w:rsidRPr="00370BB1">
        <w:rPr>
          <w:rStyle w:val="20"/>
          <w:rFonts w:ascii="Arial" w:hAnsi="Arial" w:hint="default"/>
          <w:i/>
          <w:iCs/>
          <w:sz w:val="20"/>
          <w:szCs w:val="20"/>
          <w:shd w:val="clear" w:color="auto" w:fill="FFFFFF"/>
        </w:rPr>
        <w:t xml:space="preserve">. </w:t>
      </w:r>
      <w:proofErr w:type="gramStart"/>
      <w:r w:rsidRPr="00370BB1">
        <w:rPr>
          <w:sz w:val="20"/>
          <w:szCs w:val="20"/>
          <w:shd w:val="clear" w:color="auto" w:fill="FFFFFF"/>
        </w:rPr>
        <w:t>2009;</w:t>
      </w:r>
      <w:r w:rsidRPr="00370BB1">
        <w:rPr>
          <w:rStyle w:val="21"/>
          <w:rFonts w:ascii="Arial" w:hAnsi="Arial" w:hint="default"/>
          <w:sz w:val="20"/>
          <w:szCs w:val="20"/>
          <w:shd w:val="clear" w:color="auto" w:fill="FFFFFF"/>
        </w:rPr>
        <w:t>21</w:t>
      </w:r>
      <w:r w:rsidRPr="00370BB1">
        <w:rPr>
          <w:sz w:val="20"/>
          <w:szCs w:val="20"/>
          <w:shd w:val="clear" w:color="auto" w:fill="FFFFFF"/>
        </w:rPr>
        <w:t>:593</w:t>
      </w:r>
      <w:proofErr w:type="gramEnd"/>
      <w:r w:rsidRPr="00370BB1">
        <w:rPr>
          <w:sz w:val="20"/>
          <w:szCs w:val="20"/>
          <w:shd w:val="clear" w:color="auto" w:fill="FFFFFF"/>
        </w:rPr>
        <w:t xml:space="preserve">. </w:t>
      </w:r>
      <w:proofErr w:type="spellStart"/>
      <w:r w:rsidRPr="00370BB1">
        <w:rPr>
          <w:sz w:val="20"/>
          <w:szCs w:val="20"/>
          <w:shd w:val="clear" w:color="auto" w:fill="FFFFFF"/>
        </w:rPr>
        <w:t>doi</w:t>
      </w:r>
      <w:proofErr w:type="spellEnd"/>
      <w:r w:rsidRPr="00370BB1">
        <w:rPr>
          <w:sz w:val="20"/>
          <w:szCs w:val="20"/>
          <w:shd w:val="clear" w:color="auto" w:fill="FFFFFF"/>
        </w:rPr>
        <w:t>: 10.1017/S0954579409000327.</w:t>
      </w:r>
    </w:p>
    <w:p w:rsidR="00C413B5" w:rsidRPr="00370BB1" w:rsidRDefault="00C413B5" w:rsidP="00C413B5">
      <w:pPr>
        <w:ind w:left="720" w:hanging="720"/>
        <w:jc w:val="both"/>
        <w:rPr>
          <w:color w:val="000000"/>
          <w:sz w:val="20"/>
          <w:szCs w:val="20"/>
        </w:rPr>
      </w:pPr>
      <w:r w:rsidRPr="00370BB1">
        <w:rPr>
          <w:color w:val="000000"/>
          <w:sz w:val="20"/>
          <w:szCs w:val="20"/>
        </w:rPr>
        <w:t xml:space="preserve"> </w:t>
      </w:r>
    </w:p>
    <w:p w:rsidR="00C413B5" w:rsidRPr="00370BB1" w:rsidRDefault="00C413B5" w:rsidP="00C413B5">
      <w:pPr>
        <w:jc w:val="both"/>
        <w:rPr>
          <w:color w:val="000000"/>
          <w:sz w:val="20"/>
          <w:szCs w:val="20"/>
        </w:rPr>
      </w:pPr>
      <w:proofErr w:type="spellStart"/>
      <w:r w:rsidRPr="00370BB1">
        <w:rPr>
          <w:rFonts w:eastAsia="Calibri"/>
          <w:color w:val="000000"/>
          <w:sz w:val="20"/>
          <w:szCs w:val="20"/>
        </w:rPr>
        <w:t>Demirci</w:t>
      </w:r>
      <w:proofErr w:type="spellEnd"/>
      <w:r w:rsidRPr="00370BB1">
        <w:rPr>
          <w:rFonts w:eastAsia="Calibri"/>
          <w:color w:val="000000"/>
          <w:sz w:val="20"/>
          <w:szCs w:val="20"/>
        </w:rPr>
        <w:t xml:space="preserve">, K., </w:t>
      </w:r>
      <w:proofErr w:type="spellStart"/>
      <w:r w:rsidRPr="00370BB1">
        <w:rPr>
          <w:rFonts w:eastAsia="Calibri"/>
          <w:color w:val="000000"/>
          <w:sz w:val="20"/>
          <w:szCs w:val="20"/>
        </w:rPr>
        <w:t>Akgönül</w:t>
      </w:r>
      <w:proofErr w:type="spellEnd"/>
      <w:r w:rsidRPr="00370BB1">
        <w:rPr>
          <w:rFonts w:eastAsia="Calibri"/>
          <w:color w:val="000000"/>
          <w:sz w:val="20"/>
          <w:szCs w:val="20"/>
        </w:rPr>
        <w:t xml:space="preserve">, M., &amp; </w:t>
      </w:r>
      <w:proofErr w:type="spellStart"/>
      <w:r w:rsidRPr="00370BB1">
        <w:rPr>
          <w:rFonts w:eastAsia="Calibri"/>
          <w:color w:val="000000"/>
          <w:sz w:val="20"/>
          <w:szCs w:val="20"/>
        </w:rPr>
        <w:t>Akpinar</w:t>
      </w:r>
      <w:proofErr w:type="spellEnd"/>
      <w:r w:rsidRPr="00370BB1">
        <w:rPr>
          <w:rFonts w:eastAsia="Calibri"/>
          <w:color w:val="000000"/>
          <w:sz w:val="20"/>
          <w:szCs w:val="20"/>
        </w:rPr>
        <w:t xml:space="preserve">, A. (2015). Relationship of smartphone use severity with sleep quality, depression, and anxiety in university students. </w:t>
      </w:r>
      <w:r w:rsidRPr="00370BB1">
        <w:rPr>
          <w:rFonts w:eastAsia="Calibri"/>
          <w:i/>
          <w:color w:val="000000"/>
          <w:sz w:val="20"/>
          <w:szCs w:val="20"/>
        </w:rPr>
        <w:t xml:space="preserve">J </w:t>
      </w:r>
      <w:proofErr w:type="spellStart"/>
      <w:r w:rsidRPr="00370BB1">
        <w:rPr>
          <w:rFonts w:eastAsia="Calibri"/>
          <w:i/>
          <w:color w:val="000000"/>
          <w:sz w:val="20"/>
          <w:szCs w:val="20"/>
        </w:rPr>
        <w:t>Behav</w:t>
      </w:r>
      <w:proofErr w:type="spellEnd"/>
      <w:r w:rsidRPr="00370BB1">
        <w:rPr>
          <w:rFonts w:eastAsia="Calibri"/>
          <w:i/>
          <w:color w:val="000000"/>
          <w:sz w:val="20"/>
          <w:szCs w:val="20"/>
        </w:rPr>
        <w:t xml:space="preserve"> Addict</w:t>
      </w:r>
      <w:r w:rsidRPr="00370BB1">
        <w:rPr>
          <w:rStyle w:val="22"/>
          <w:rFonts w:ascii="Arial" w:hAnsi="Arial" w:hint="default"/>
          <w:color w:val="000000"/>
          <w:sz w:val="20"/>
          <w:szCs w:val="20"/>
        </w:rPr>
        <w:t>,</w:t>
      </w:r>
      <w:r w:rsidRPr="00370BB1">
        <w:rPr>
          <w:rFonts w:eastAsia="Calibri"/>
          <w:color w:val="000000"/>
          <w:sz w:val="20"/>
          <w:szCs w:val="20"/>
        </w:rPr>
        <w:t>4(2),85–92.</w:t>
      </w:r>
    </w:p>
    <w:p w:rsidR="00B50159" w:rsidRPr="00370BB1" w:rsidRDefault="00B50159" w:rsidP="00B50159">
      <w:pPr>
        <w:spacing w:line="240" w:lineRule="auto"/>
        <w:jc w:val="both"/>
        <w:rPr>
          <w:color w:val="000000"/>
          <w:sz w:val="20"/>
          <w:szCs w:val="20"/>
        </w:rPr>
      </w:pPr>
    </w:p>
    <w:p w:rsidR="00B50159" w:rsidRPr="00370BB1" w:rsidRDefault="00C413B5" w:rsidP="00B50159">
      <w:pPr>
        <w:spacing w:line="240" w:lineRule="auto"/>
        <w:jc w:val="both"/>
        <w:rPr>
          <w:sz w:val="20"/>
          <w:szCs w:val="20"/>
        </w:rPr>
      </w:pPr>
      <w:r w:rsidRPr="00370BB1">
        <w:rPr>
          <w:color w:val="000000"/>
          <w:sz w:val="20"/>
          <w:szCs w:val="20"/>
        </w:rPr>
        <w:lastRenderedPageBreak/>
        <w:t xml:space="preserve"> </w:t>
      </w:r>
      <w:r w:rsidR="00B50159" w:rsidRPr="00370BB1">
        <w:rPr>
          <w:color w:val="333333"/>
          <w:sz w:val="20"/>
          <w:szCs w:val="20"/>
          <w:shd w:val="clear" w:color="auto" w:fill="FFFFFF"/>
        </w:rPr>
        <w:t>Dekker, J., &amp; de Groot, V. (2016). Psychological adjustment to chronic disease and rehabilitation </w:t>
      </w:r>
      <w:r w:rsidR="00B50159" w:rsidRPr="00370BB1">
        <w:rPr>
          <w:i/>
          <w:iCs/>
          <w:color w:val="333333"/>
          <w:sz w:val="20"/>
          <w:szCs w:val="20"/>
          <w:shd w:val="clear" w:color="auto" w:fill="FFFFFF"/>
        </w:rPr>
        <w:t>–</w:t>
      </w:r>
      <w:r w:rsidR="00B50159" w:rsidRPr="00370BB1">
        <w:rPr>
          <w:color w:val="333333"/>
          <w:sz w:val="20"/>
          <w:szCs w:val="20"/>
          <w:shd w:val="clear" w:color="auto" w:fill="FFFFFF"/>
        </w:rPr>
        <w:t> an exploration. </w:t>
      </w:r>
      <w:r w:rsidR="00B50159" w:rsidRPr="00370BB1">
        <w:rPr>
          <w:i/>
          <w:iCs/>
          <w:color w:val="333333"/>
          <w:sz w:val="20"/>
          <w:szCs w:val="20"/>
          <w:shd w:val="clear" w:color="auto" w:fill="FFFFFF"/>
        </w:rPr>
        <w:t>Disability and Rehabilitation</w:t>
      </w:r>
      <w:r w:rsidR="00B50159" w:rsidRPr="00370BB1">
        <w:rPr>
          <w:color w:val="333333"/>
          <w:sz w:val="20"/>
          <w:szCs w:val="20"/>
          <w:shd w:val="clear" w:color="auto" w:fill="FFFFFF"/>
        </w:rPr>
        <w:t>, </w:t>
      </w:r>
      <w:r w:rsidR="00B50159" w:rsidRPr="00370BB1">
        <w:rPr>
          <w:i/>
          <w:iCs/>
          <w:color w:val="333333"/>
          <w:sz w:val="20"/>
          <w:szCs w:val="20"/>
          <w:shd w:val="clear" w:color="auto" w:fill="FFFFFF"/>
        </w:rPr>
        <w:t>40</w:t>
      </w:r>
      <w:r w:rsidR="00B50159" w:rsidRPr="00370BB1">
        <w:rPr>
          <w:color w:val="333333"/>
          <w:sz w:val="20"/>
          <w:szCs w:val="20"/>
          <w:shd w:val="clear" w:color="auto" w:fill="FFFFFF"/>
        </w:rPr>
        <w:t>(1), 116–120. https://doi.org/10.1080/09638288.2016.1247469</w:t>
      </w:r>
    </w:p>
    <w:p w:rsidR="00C413B5" w:rsidRPr="00370BB1" w:rsidRDefault="00C413B5" w:rsidP="00C413B5">
      <w:pPr>
        <w:pStyle w:val="NormalWeb"/>
        <w:autoSpaceDE w:val="0"/>
        <w:spacing w:before="0" w:beforeAutospacing="0" w:after="0" w:afterAutospacing="0"/>
        <w:rPr>
          <w:rFonts w:ascii="Arial" w:hAnsi="Arial" w:cs="Arial"/>
          <w:color w:val="000000"/>
          <w:sz w:val="20"/>
          <w:szCs w:val="20"/>
        </w:rPr>
      </w:pPr>
    </w:p>
    <w:p w:rsidR="00C413B5" w:rsidRPr="00370BB1" w:rsidRDefault="00C413B5" w:rsidP="00C413B5">
      <w:pPr>
        <w:pStyle w:val="NormalWeb"/>
        <w:autoSpaceDE w:val="0"/>
        <w:spacing w:before="0" w:beforeAutospacing="0" w:after="0" w:afterAutospacing="0"/>
        <w:rPr>
          <w:rFonts w:ascii="Arial" w:hAnsi="Arial" w:cs="Arial"/>
          <w:color w:val="000000"/>
          <w:sz w:val="20"/>
          <w:szCs w:val="20"/>
        </w:rPr>
      </w:pPr>
      <w:r w:rsidRPr="00370BB1">
        <w:rPr>
          <w:rFonts w:ascii="Arial" w:hAnsi="Arial" w:cs="Arial"/>
          <w:color w:val="000000"/>
          <w:sz w:val="20"/>
          <w:szCs w:val="20"/>
        </w:rPr>
        <w:t xml:space="preserve">Des Marais, S. (2024, April 11). </w:t>
      </w:r>
      <w:r w:rsidRPr="00370BB1">
        <w:rPr>
          <w:rFonts w:ascii="Arial" w:hAnsi="Arial" w:cs="Arial"/>
          <w:i/>
          <w:iCs/>
          <w:color w:val="000000"/>
          <w:sz w:val="20"/>
          <w:szCs w:val="20"/>
        </w:rPr>
        <w:t>Technology Addiction Statistics 2024 - The Center for Internet &amp; Technology Addiction</w:t>
      </w:r>
      <w:r w:rsidRPr="00370BB1">
        <w:rPr>
          <w:rFonts w:ascii="Arial" w:hAnsi="Arial" w:cs="Arial"/>
          <w:color w:val="000000"/>
          <w:sz w:val="20"/>
          <w:szCs w:val="20"/>
        </w:rPr>
        <w:t xml:space="preserve">. The Center for Internet &amp; Technology Addiction. </w:t>
      </w:r>
      <w:hyperlink r:id="rId12" w:history="1">
        <w:r w:rsidRPr="00370BB1">
          <w:rPr>
            <w:rStyle w:val="15"/>
            <w:rFonts w:ascii="Arial" w:eastAsia="Times New Roman" w:hAnsi="Arial" w:cs="Arial" w:hint="default"/>
            <w:sz w:val="20"/>
            <w:szCs w:val="20"/>
          </w:rPr>
          <w:t>https://virtual-addiction.com/technology-addiction-statistics-2024/</w:t>
        </w:r>
      </w:hyperlink>
    </w:p>
    <w:p w:rsidR="00C413B5" w:rsidRPr="00370BB1" w:rsidRDefault="00C413B5" w:rsidP="00C413B5">
      <w:pPr>
        <w:ind w:left="720" w:hanging="720"/>
        <w:jc w:val="both"/>
        <w:rPr>
          <w:rFonts w:eastAsia="Calibri"/>
          <w:color w:val="000000"/>
          <w:sz w:val="20"/>
          <w:szCs w:val="20"/>
        </w:rPr>
      </w:pPr>
      <w:r w:rsidRPr="00370BB1">
        <w:rPr>
          <w:rFonts w:eastAsia="Calibri"/>
          <w:color w:val="000000"/>
          <w:sz w:val="20"/>
          <w:szCs w:val="20"/>
        </w:rPr>
        <w:t xml:space="preserve"> </w:t>
      </w:r>
    </w:p>
    <w:p w:rsidR="00C413B5" w:rsidRPr="00370BB1" w:rsidRDefault="00C413B5" w:rsidP="00C413B5">
      <w:pPr>
        <w:jc w:val="both"/>
        <w:rPr>
          <w:color w:val="000000"/>
          <w:sz w:val="20"/>
          <w:szCs w:val="20"/>
        </w:rPr>
      </w:pPr>
      <w:proofErr w:type="spellStart"/>
      <w:r w:rsidRPr="00370BB1">
        <w:rPr>
          <w:rFonts w:eastAsia="Calibri"/>
          <w:color w:val="000000"/>
          <w:sz w:val="20"/>
          <w:szCs w:val="20"/>
        </w:rPr>
        <w:t>Elhai</w:t>
      </w:r>
      <w:proofErr w:type="spellEnd"/>
      <w:r w:rsidRPr="00370BB1">
        <w:rPr>
          <w:rFonts w:eastAsia="Calibri"/>
          <w:color w:val="000000"/>
          <w:sz w:val="20"/>
          <w:szCs w:val="20"/>
        </w:rPr>
        <w:t xml:space="preserve">, J.D., Dvorak, R.D., Levine, J.C., &amp; Hall, B.J. (2016). Problematic smartphone use: A conceptual overview and systematic review of relations with anxiety and depression psychopathology. </w:t>
      </w:r>
      <w:r w:rsidRPr="00370BB1">
        <w:rPr>
          <w:rFonts w:eastAsia="Calibri"/>
          <w:i/>
          <w:color w:val="000000"/>
          <w:sz w:val="20"/>
          <w:szCs w:val="20"/>
        </w:rPr>
        <w:t>J Affect Disorder</w:t>
      </w:r>
      <w:r w:rsidRPr="00370BB1">
        <w:rPr>
          <w:rFonts w:eastAsia="Calibri"/>
          <w:color w:val="000000"/>
          <w:sz w:val="20"/>
          <w:szCs w:val="20"/>
        </w:rPr>
        <w:t xml:space="preserve">, 207,251-259. DOI:10.1016/j.jad.2016.08.030. </w:t>
      </w:r>
      <w:proofErr w:type="spellStart"/>
      <w:r w:rsidRPr="00370BB1">
        <w:rPr>
          <w:rFonts w:eastAsia="Calibri"/>
          <w:color w:val="000000"/>
          <w:sz w:val="20"/>
          <w:szCs w:val="20"/>
        </w:rPr>
        <w:t>Epub</w:t>
      </w:r>
      <w:proofErr w:type="spellEnd"/>
      <w:r w:rsidRPr="00370BB1">
        <w:rPr>
          <w:rFonts w:eastAsia="Calibri"/>
          <w:color w:val="000000"/>
          <w:sz w:val="20"/>
          <w:szCs w:val="20"/>
        </w:rPr>
        <w:t>.</w:t>
      </w:r>
    </w:p>
    <w:p w:rsidR="00C413B5" w:rsidRPr="00370BB1" w:rsidRDefault="00C413B5" w:rsidP="00C413B5">
      <w:pPr>
        <w:jc w:val="both"/>
        <w:rPr>
          <w:sz w:val="20"/>
          <w:szCs w:val="20"/>
          <w:shd w:val="clear" w:color="auto" w:fill="FFFFFF"/>
        </w:rPr>
      </w:pPr>
      <w:r w:rsidRPr="00370BB1">
        <w:rPr>
          <w:sz w:val="20"/>
          <w:szCs w:val="20"/>
          <w:shd w:val="clear" w:color="auto" w:fill="FFFFFF"/>
        </w:rPr>
        <w:t xml:space="preserve"> </w:t>
      </w:r>
    </w:p>
    <w:p w:rsidR="00C413B5" w:rsidRPr="00370BB1" w:rsidRDefault="00C413B5" w:rsidP="00C413B5">
      <w:pPr>
        <w:jc w:val="both"/>
        <w:rPr>
          <w:sz w:val="20"/>
          <w:szCs w:val="20"/>
          <w:shd w:val="clear" w:color="auto" w:fill="FFFFFF"/>
        </w:rPr>
      </w:pPr>
      <w:r w:rsidRPr="00370BB1">
        <w:rPr>
          <w:sz w:val="20"/>
          <w:szCs w:val="20"/>
          <w:shd w:val="clear" w:color="auto" w:fill="FFFFFF"/>
        </w:rPr>
        <w:t xml:space="preserve">Esteban-Gonzalo S, Esteban-Gonzalo L, Cabanas-Sánchez V, </w:t>
      </w:r>
      <w:proofErr w:type="spellStart"/>
      <w:r w:rsidRPr="00370BB1">
        <w:rPr>
          <w:sz w:val="20"/>
          <w:szCs w:val="20"/>
          <w:shd w:val="clear" w:color="auto" w:fill="FFFFFF"/>
        </w:rPr>
        <w:t>Miret</w:t>
      </w:r>
      <w:proofErr w:type="spellEnd"/>
      <w:r w:rsidRPr="00370BB1">
        <w:rPr>
          <w:sz w:val="20"/>
          <w:szCs w:val="20"/>
          <w:shd w:val="clear" w:color="auto" w:fill="FFFFFF"/>
        </w:rPr>
        <w:t xml:space="preserve"> M, </w:t>
      </w:r>
      <w:proofErr w:type="spellStart"/>
      <w:r w:rsidRPr="00370BB1">
        <w:rPr>
          <w:sz w:val="20"/>
          <w:szCs w:val="20"/>
          <w:shd w:val="clear" w:color="auto" w:fill="FFFFFF"/>
        </w:rPr>
        <w:t>Veiga</w:t>
      </w:r>
      <w:proofErr w:type="spellEnd"/>
      <w:r w:rsidRPr="00370BB1">
        <w:rPr>
          <w:sz w:val="20"/>
          <w:szCs w:val="20"/>
          <w:shd w:val="clear" w:color="auto" w:fill="FFFFFF"/>
        </w:rPr>
        <w:t xml:space="preserve"> OL. The investigation of gender differences in subjective wellbeing in children and adolescents: the UP&amp;DOWN study. </w:t>
      </w:r>
      <w:r w:rsidRPr="00370BB1">
        <w:rPr>
          <w:rStyle w:val="20"/>
          <w:rFonts w:ascii="Arial" w:hAnsi="Arial" w:hint="default"/>
          <w:i/>
          <w:iCs/>
          <w:sz w:val="20"/>
          <w:szCs w:val="20"/>
          <w:shd w:val="clear" w:color="auto" w:fill="FFFFFF"/>
        </w:rPr>
        <w:t xml:space="preserve">Int J Environ Res Public Health. </w:t>
      </w:r>
      <w:proofErr w:type="gramStart"/>
      <w:r w:rsidRPr="00370BB1">
        <w:rPr>
          <w:sz w:val="20"/>
          <w:szCs w:val="20"/>
          <w:shd w:val="clear" w:color="auto" w:fill="FFFFFF"/>
        </w:rPr>
        <w:t>2020;</w:t>
      </w:r>
      <w:r w:rsidRPr="00370BB1">
        <w:rPr>
          <w:rStyle w:val="21"/>
          <w:rFonts w:ascii="Arial" w:hAnsi="Arial" w:hint="default"/>
          <w:sz w:val="20"/>
          <w:szCs w:val="20"/>
          <w:shd w:val="clear" w:color="auto" w:fill="FFFFFF"/>
        </w:rPr>
        <w:t>17</w:t>
      </w:r>
      <w:r w:rsidRPr="00370BB1">
        <w:rPr>
          <w:sz w:val="20"/>
          <w:szCs w:val="20"/>
          <w:shd w:val="clear" w:color="auto" w:fill="FFFFFF"/>
        </w:rPr>
        <w:t>:2732</w:t>
      </w:r>
      <w:proofErr w:type="gramEnd"/>
      <w:r w:rsidRPr="00370BB1">
        <w:rPr>
          <w:sz w:val="20"/>
          <w:szCs w:val="20"/>
          <w:shd w:val="clear" w:color="auto" w:fill="FFFFFF"/>
        </w:rPr>
        <w:t xml:space="preserve">. </w:t>
      </w:r>
      <w:proofErr w:type="spellStart"/>
      <w:r w:rsidRPr="00370BB1">
        <w:rPr>
          <w:sz w:val="20"/>
          <w:szCs w:val="20"/>
          <w:shd w:val="clear" w:color="auto" w:fill="FFFFFF"/>
        </w:rPr>
        <w:t>doi</w:t>
      </w:r>
      <w:proofErr w:type="spellEnd"/>
      <w:r w:rsidRPr="00370BB1">
        <w:rPr>
          <w:sz w:val="20"/>
          <w:szCs w:val="20"/>
          <w:shd w:val="clear" w:color="auto" w:fill="FFFFFF"/>
        </w:rPr>
        <w:t>: 10.3390/ijerph17082732.</w:t>
      </w:r>
    </w:p>
    <w:p w:rsidR="00C413B5" w:rsidRPr="00370BB1" w:rsidRDefault="00C413B5" w:rsidP="00C413B5">
      <w:pPr>
        <w:jc w:val="both"/>
        <w:rPr>
          <w:sz w:val="20"/>
          <w:szCs w:val="20"/>
        </w:rPr>
      </w:pPr>
      <w:r w:rsidRPr="00370BB1">
        <w:rPr>
          <w:sz w:val="20"/>
          <w:szCs w:val="20"/>
        </w:rPr>
        <w:t xml:space="preserve"> </w:t>
      </w:r>
    </w:p>
    <w:p w:rsidR="00C413B5" w:rsidRPr="00370BB1" w:rsidRDefault="00C413B5" w:rsidP="00C413B5">
      <w:pPr>
        <w:jc w:val="both"/>
        <w:rPr>
          <w:sz w:val="20"/>
          <w:szCs w:val="20"/>
        </w:rPr>
      </w:pPr>
      <w:r w:rsidRPr="00370BB1">
        <w:rPr>
          <w:sz w:val="20"/>
          <w:szCs w:val="20"/>
        </w:rPr>
        <w:t xml:space="preserve">Ferguson CJ, Coulson M, Barnett J. A meta-analysis of pathological gaming prevalence and comorbidity with mental health, academic and social problems. J </w:t>
      </w:r>
      <w:proofErr w:type="spellStart"/>
      <w:r w:rsidRPr="00370BB1">
        <w:rPr>
          <w:sz w:val="20"/>
          <w:szCs w:val="20"/>
        </w:rPr>
        <w:t>Psychiatr</w:t>
      </w:r>
      <w:proofErr w:type="spellEnd"/>
      <w:r w:rsidRPr="00370BB1">
        <w:rPr>
          <w:sz w:val="20"/>
          <w:szCs w:val="20"/>
        </w:rPr>
        <w:t xml:space="preserve"> Res. 2011; 45: 1573-1578. Available from: </w:t>
      </w:r>
      <w:proofErr w:type="spellStart"/>
      <w:r w:rsidRPr="00370BB1">
        <w:rPr>
          <w:sz w:val="20"/>
          <w:szCs w:val="20"/>
        </w:rPr>
        <w:t>doi</w:t>
      </w:r>
      <w:proofErr w:type="spellEnd"/>
      <w:r w:rsidRPr="00370BB1">
        <w:rPr>
          <w:sz w:val="20"/>
          <w:szCs w:val="20"/>
        </w:rPr>
        <w:t xml:space="preserve">: 10.1016/j.jpsychires.2011.09.005. </w:t>
      </w:r>
    </w:p>
    <w:p w:rsidR="00C413B5" w:rsidRPr="00370BB1" w:rsidRDefault="00C413B5" w:rsidP="00C413B5">
      <w:pPr>
        <w:jc w:val="both"/>
        <w:rPr>
          <w:sz w:val="20"/>
          <w:szCs w:val="20"/>
        </w:rPr>
      </w:pPr>
      <w:r w:rsidRPr="00370BB1">
        <w:rPr>
          <w:sz w:val="20"/>
          <w:szCs w:val="20"/>
        </w:rPr>
        <w:t xml:space="preserve"> </w:t>
      </w:r>
    </w:p>
    <w:p w:rsidR="00C413B5" w:rsidRPr="00370BB1" w:rsidRDefault="00C413B5" w:rsidP="00C413B5">
      <w:pPr>
        <w:jc w:val="both"/>
        <w:rPr>
          <w:sz w:val="20"/>
          <w:szCs w:val="20"/>
        </w:rPr>
      </w:pPr>
      <w:r w:rsidRPr="00370BB1">
        <w:rPr>
          <w:sz w:val="20"/>
          <w:szCs w:val="20"/>
        </w:rPr>
        <w:t xml:space="preserve">Gillespie R.M. (2002). The physical impact of computers and electronic game use on children and adolescents. A review of current literature. Work.; 18: 249-259. Available f r o </w:t>
      </w:r>
      <w:proofErr w:type="gramStart"/>
      <w:r w:rsidRPr="00370BB1">
        <w:rPr>
          <w:sz w:val="20"/>
          <w:szCs w:val="20"/>
        </w:rPr>
        <w:t>m :</w:t>
      </w:r>
      <w:proofErr w:type="gramEnd"/>
      <w:r w:rsidRPr="00370BB1">
        <w:rPr>
          <w:sz w:val="20"/>
          <w:szCs w:val="20"/>
        </w:rPr>
        <w:t xml:space="preserve"> https://www.academia.edu/1261813/The_physical_impact_of_computers_and_electro </w:t>
      </w:r>
      <w:proofErr w:type="spellStart"/>
      <w:r w:rsidRPr="00370BB1">
        <w:rPr>
          <w:sz w:val="20"/>
          <w:szCs w:val="20"/>
        </w:rPr>
        <w:t>nic_game_use_on_children_and_adolescent</w:t>
      </w:r>
      <w:proofErr w:type="spellEnd"/>
      <w:r w:rsidRPr="00370BB1">
        <w:rPr>
          <w:sz w:val="20"/>
          <w:szCs w:val="20"/>
        </w:rPr>
        <w:t xml:space="preserve"> </w:t>
      </w:r>
      <w:proofErr w:type="spellStart"/>
      <w:r w:rsidRPr="00370BB1">
        <w:rPr>
          <w:sz w:val="20"/>
          <w:szCs w:val="20"/>
        </w:rPr>
        <w:t>s_a_review_of_current_literature</w:t>
      </w:r>
      <w:proofErr w:type="spellEnd"/>
      <w:r w:rsidRPr="00370BB1">
        <w:rPr>
          <w:sz w:val="20"/>
          <w:szCs w:val="20"/>
        </w:rPr>
        <w:t xml:space="preserve">  </w:t>
      </w:r>
    </w:p>
    <w:p w:rsidR="00C413B5" w:rsidRPr="00370BB1" w:rsidRDefault="00C413B5" w:rsidP="00C413B5">
      <w:pPr>
        <w:jc w:val="both"/>
        <w:rPr>
          <w:color w:val="000000"/>
          <w:sz w:val="20"/>
          <w:szCs w:val="20"/>
        </w:rPr>
      </w:pPr>
      <w:r w:rsidRPr="00370BB1">
        <w:rPr>
          <w:color w:val="000000"/>
          <w:sz w:val="20"/>
          <w:szCs w:val="20"/>
        </w:rPr>
        <w:t xml:space="preserve"> </w:t>
      </w:r>
    </w:p>
    <w:p w:rsidR="00C413B5" w:rsidRPr="00370BB1" w:rsidRDefault="00C413B5" w:rsidP="00C413B5">
      <w:pPr>
        <w:jc w:val="both"/>
        <w:rPr>
          <w:color w:val="000000"/>
          <w:sz w:val="20"/>
          <w:szCs w:val="20"/>
        </w:rPr>
      </w:pPr>
      <w:r w:rsidRPr="00370BB1">
        <w:rPr>
          <w:color w:val="000000"/>
          <w:sz w:val="20"/>
          <w:szCs w:val="20"/>
        </w:rPr>
        <w:t xml:space="preserve">Gordon, S. (2011). Video game 'addiction' tied to depression, anxiety in kids. Retrieved from </w:t>
      </w:r>
      <w:hyperlink r:id="rId13" w:history="1">
        <w:r w:rsidRPr="00370BB1">
          <w:rPr>
            <w:rStyle w:val="15"/>
            <w:rFonts w:ascii="Arial" w:hAnsi="Arial" w:hint="default"/>
            <w:color w:val="000000"/>
            <w:sz w:val="20"/>
            <w:szCs w:val="20"/>
          </w:rPr>
          <w:t>http://health.usnews.com/health-news/family-health/brain-and-behavior/articles/2011/01/17/video-game-addiction-tied-to-depression-anxiety-in-kids</w:t>
        </w:r>
      </w:hyperlink>
      <w:r w:rsidRPr="00370BB1">
        <w:rPr>
          <w:color w:val="000000"/>
          <w:sz w:val="20"/>
          <w:szCs w:val="20"/>
        </w:rPr>
        <w:t>.</w:t>
      </w:r>
    </w:p>
    <w:p w:rsidR="00C413B5" w:rsidRPr="00370BB1" w:rsidRDefault="00C413B5" w:rsidP="00C413B5">
      <w:pPr>
        <w:jc w:val="both"/>
        <w:rPr>
          <w:color w:val="000000"/>
          <w:sz w:val="20"/>
          <w:szCs w:val="20"/>
        </w:rPr>
      </w:pPr>
      <w:r w:rsidRPr="00370BB1">
        <w:rPr>
          <w:color w:val="000000"/>
          <w:sz w:val="20"/>
          <w:szCs w:val="20"/>
        </w:rPr>
        <w:t xml:space="preserve"> </w:t>
      </w:r>
    </w:p>
    <w:p w:rsidR="00C413B5" w:rsidRPr="00370BB1" w:rsidRDefault="00C413B5" w:rsidP="00C413B5">
      <w:pPr>
        <w:jc w:val="both"/>
        <w:rPr>
          <w:color w:val="000000"/>
          <w:sz w:val="20"/>
          <w:szCs w:val="20"/>
        </w:rPr>
      </w:pPr>
      <w:proofErr w:type="spellStart"/>
      <w:r w:rsidRPr="00370BB1">
        <w:rPr>
          <w:color w:val="000000"/>
          <w:sz w:val="20"/>
          <w:szCs w:val="20"/>
        </w:rPr>
        <w:t>Grüsser</w:t>
      </w:r>
      <w:proofErr w:type="spellEnd"/>
      <w:r w:rsidRPr="00370BB1">
        <w:rPr>
          <w:color w:val="000000"/>
          <w:sz w:val="20"/>
          <w:szCs w:val="20"/>
        </w:rPr>
        <w:t xml:space="preserve">, S. M., </w:t>
      </w:r>
      <w:proofErr w:type="spellStart"/>
      <w:r w:rsidRPr="00370BB1">
        <w:rPr>
          <w:color w:val="000000"/>
          <w:sz w:val="20"/>
          <w:szCs w:val="20"/>
        </w:rPr>
        <w:t>Thalemann</w:t>
      </w:r>
      <w:proofErr w:type="spellEnd"/>
      <w:r w:rsidRPr="00370BB1">
        <w:rPr>
          <w:color w:val="000000"/>
          <w:sz w:val="20"/>
          <w:szCs w:val="20"/>
        </w:rPr>
        <w:t xml:space="preserve">, R., &amp; Griffiths, M. D. (2007). Excessive computer game playing: Evidence for addiction and aggression? </w:t>
      </w:r>
      <w:r w:rsidRPr="00370BB1">
        <w:rPr>
          <w:i/>
          <w:color w:val="000000"/>
          <w:sz w:val="20"/>
          <w:szCs w:val="20"/>
        </w:rPr>
        <w:t>Cyber Psychology &amp; Behavior</w:t>
      </w:r>
      <w:r w:rsidRPr="00370BB1">
        <w:rPr>
          <w:color w:val="000000"/>
          <w:sz w:val="20"/>
          <w:szCs w:val="20"/>
        </w:rPr>
        <w:t>,10(2), 290–292.</w:t>
      </w:r>
    </w:p>
    <w:p w:rsidR="00C413B5" w:rsidRPr="00370BB1" w:rsidRDefault="00C413B5" w:rsidP="00C413B5">
      <w:pPr>
        <w:jc w:val="both"/>
        <w:rPr>
          <w:color w:val="000000"/>
          <w:sz w:val="20"/>
          <w:szCs w:val="20"/>
        </w:rPr>
      </w:pPr>
      <w:r w:rsidRPr="00370BB1">
        <w:rPr>
          <w:color w:val="000000"/>
          <w:sz w:val="20"/>
          <w:szCs w:val="20"/>
        </w:rPr>
        <w:t xml:space="preserve"> </w:t>
      </w:r>
    </w:p>
    <w:p w:rsidR="00C413B5" w:rsidRPr="00370BB1" w:rsidRDefault="00C413B5" w:rsidP="00C413B5">
      <w:pPr>
        <w:jc w:val="both"/>
        <w:rPr>
          <w:color w:val="000000"/>
          <w:sz w:val="20"/>
          <w:szCs w:val="20"/>
        </w:rPr>
      </w:pPr>
      <w:proofErr w:type="spellStart"/>
      <w:r w:rsidRPr="00370BB1">
        <w:rPr>
          <w:color w:val="000000"/>
          <w:sz w:val="20"/>
          <w:szCs w:val="20"/>
        </w:rPr>
        <w:t>Gundogar</w:t>
      </w:r>
      <w:proofErr w:type="spellEnd"/>
      <w:r w:rsidRPr="00370BB1">
        <w:rPr>
          <w:color w:val="000000"/>
          <w:sz w:val="20"/>
          <w:szCs w:val="20"/>
        </w:rPr>
        <w:t xml:space="preserve">, A., </w:t>
      </w:r>
      <w:proofErr w:type="spellStart"/>
      <w:r w:rsidRPr="00370BB1">
        <w:rPr>
          <w:color w:val="000000"/>
          <w:sz w:val="20"/>
          <w:szCs w:val="20"/>
        </w:rPr>
        <w:t>Bakim</w:t>
      </w:r>
      <w:proofErr w:type="spellEnd"/>
      <w:r w:rsidRPr="00370BB1">
        <w:rPr>
          <w:color w:val="000000"/>
          <w:sz w:val="20"/>
          <w:szCs w:val="20"/>
        </w:rPr>
        <w:t xml:space="preserve">, B., Ozer, O., &amp; </w:t>
      </w:r>
      <w:proofErr w:type="spellStart"/>
      <w:r w:rsidRPr="00370BB1">
        <w:rPr>
          <w:color w:val="000000"/>
          <w:sz w:val="20"/>
          <w:szCs w:val="20"/>
        </w:rPr>
        <w:t>Karamustafalioglu</w:t>
      </w:r>
      <w:proofErr w:type="spellEnd"/>
      <w:r w:rsidRPr="00370BB1">
        <w:rPr>
          <w:color w:val="000000"/>
          <w:sz w:val="20"/>
          <w:szCs w:val="20"/>
        </w:rPr>
        <w:t xml:space="preserve">, O. (2012). The association between internet addiction, depression and ADHD among high school students. </w:t>
      </w:r>
      <w:r w:rsidRPr="00370BB1">
        <w:rPr>
          <w:i/>
          <w:color w:val="000000"/>
          <w:sz w:val="20"/>
          <w:szCs w:val="20"/>
        </w:rPr>
        <w:t xml:space="preserve">European Psychiatry </w:t>
      </w:r>
      <w:r w:rsidRPr="00370BB1">
        <w:rPr>
          <w:color w:val="000000"/>
          <w:sz w:val="20"/>
          <w:szCs w:val="20"/>
        </w:rPr>
        <w:t>2; 271.</w:t>
      </w:r>
    </w:p>
    <w:p w:rsidR="00C413B5" w:rsidRPr="00370BB1" w:rsidRDefault="00C413B5" w:rsidP="00C413B5">
      <w:pPr>
        <w:jc w:val="both"/>
        <w:rPr>
          <w:color w:val="000000"/>
          <w:sz w:val="20"/>
          <w:szCs w:val="20"/>
        </w:rPr>
      </w:pPr>
      <w:r w:rsidRPr="00370BB1">
        <w:rPr>
          <w:color w:val="000000"/>
          <w:sz w:val="20"/>
          <w:szCs w:val="20"/>
        </w:rPr>
        <w:t xml:space="preserve"> </w:t>
      </w:r>
    </w:p>
    <w:p w:rsidR="00C413B5" w:rsidRPr="00370BB1" w:rsidRDefault="00C413B5" w:rsidP="00C413B5">
      <w:pPr>
        <w:jc w:val="both"/>
        <w:rPr>
          <w:color w:val="000000"/>
          <w:sz w:val="20"/>
          <w:szCs w:val="20"/>
        </w:rPr>
      </w:pPr>
      <w:proofErr w:type="spellStart"/>
      <w:r w:rsidRPr="00370BB1">
        <w:rPr>
          <w:sz w:val="20"/>
          <w:szCs w:val="20"/>
          <w:shd w:val="clear" w:color="auto" w:fill="FFFFFF"/>
        </w:rPr>
        <w:t>Hamlat</w:t>
      </w:r>
      <w:proofErr w:type="spellEnd"/>
      <w:r w:rsidRPr="00370BB1">
        <w:rPr>
          <w:sz w:val="20"/>
          <w:szCs w:val="20"/>
          <w:shd w:val="clear" w:color="auto" w:fill="FFFFFF"/>
        </w:rPr>
        <w:t xml:space="preserve"> E.J, Snyder H.R, Young J.F, </w:t>
      </w:r>
      <w:r w:rsidR="00C33775" w:rsidRPr="00370BB1">
        <w:rPr>
          <w:sz w:val="20"/>
          <w:szCs w:val="20"/>
          <w:shd w:val="clear" w:color="auto" w:fill="FFFFFF"/>
        </w:rPr>
        <w:t xml:space="preserve">&amp; </w:t>
      </w:r>
      <w:proofErr w:type="spellStart"/>
      <w:r w:rsidRPr="00370BB1">
        <w:rPr>
          <w:sz w:val="20"/>
          <w:szCs w:val="20"/>
          <w:shd w:val="clear" w:color="auto" w:fill="FFFFFF"/>
        </w:rPr>
        <w:t>Hankin</w:t>
      </w:r>
      <w:proofErr w:type="spellEnd"/>
      <w:r w:rsidRPr="00370BB1">
        <w:rPr>
          <w:sz w:val="20"/>
          <w:szCs w:val="20"/>
          <w:shd w:val="clear" w:color="auto" w:fill="FFFFFF"/>
        </w:rPr>
        <w:t xml:space="preserve"> B.L. (2019). Pubertal timing as a transdiagnostic risk for psychopathology in youth. </w:t>
      </w:r>
      <w:r w:rsidRPr="00370BB1">
        <w:rPr>
          <w:rStyle w:val="20"/>
          <w:rFonts w:ascii="Arial" w:hAnsi="Arial" w:hint="default"/>
          <w:i/>
          <w:iCs/>
          <w:sz w:val="20"/>
          <w:szCs w:val="20"/>
          <w:shd w:val="clear" w:color="auto" w:fill="FFFFFF"/>
        </w:rPr>
        <w:t xml:space="preserve">Clin Psychol Sci. </w:t>
      </w:r>
      <w:r w:rsidRPr="00370BB1">
        <w:rPr>
          <w:rStyle w:val="21"/>
          <w:rFonts w:ascii="Arial" w:hAnsi="Arial" w:hint="default"/>
          <w:sz w:val="20"/>
          <w:szCs w:val="20"/>
          <w:shd w:val="clear" w:color="auto" w:fill="FFFFFF"/>
        </w:rPr>
        <w:t>7</w:t>
      </w:r>
      <w:r w:rsidRPr="00370BB1">
        <w:rPr>
          <w:sz w:val="20"/>
          <w:szCs w:val="20"/>
          <w:shd w:val="clear" w:color="auto" w:fill="FFFFFF"/>
        </w:rPr>
        <w:t xml:space="preserve">:411–429. </w:t>
      </w:r>
      <w:proofErr w:type="spellStart"/>
      <w:r w:rsidRPr="00370BB1">
        <w:rPr>
          <w:sz w:val="20"/>
          <w:szCs w:val="20"/>
          <w:shd w:val="clear" w:color="auto" w:fill="FFFFFF"/>
        </w:rPr>
        <w:t>doi</w:t>
      </w:r>
      <w:proofErr w:type="spellEnd"/>
      <w:r w:rsidRPr="00370BB1">
        <w:rPr>
          <w:sz w:val="20"/>
          <w:szCs w:val="20"/>
          <w:shd w:val="clear" w:color="auto" w:fill="FFFFFF"/>
        </w:rPr>
        <w:t>: 10.1177/2167702618810518.</w:t>
      </w:r>
    </w:p>
    <w:p w:rsidR="00C413B5" w:rsidRPr="00370BB1" w:rsidRDefault="00C413B5" w:rsidP="00C413B5">
      <w:pPr>
        <w:autoSpaceDE w:val="0"/>
        <w:rPr>
          <w:rStyle w:val="19"/>
          <w:rFonts w:ascii="Arial" w:eastAsia="Cambria" w:hAnsi="Arial" w:hint="default"/>
          <w:i w:val="0"/>
          <w:iCs w:val="0"/>
          <w:color w:val="1B1B1B"/>
          <w:shd w:val="clear" w:color="auto" w:fill="FFFFFF"/>
        </w:rPr>
      </w:pPr>
      <w:r w:rsidRPr="00370BB1">
        <w:rPr>
          <w:rStyle w:val="19"/>
          <w:rFonts w:ascii="Arial" w:eastAsia="Cambria" w:hAnsi="Arial" w:hint="default"/>
          <w:i w:val="0"/>
          <w:iCs w:val="0"/>
          <w:color w:val="1B1B1B"/>
          <w:sz w:val="20"/>
          <w:szCs w:val="20"/>
          <w:shd w:val="clear" w:color="auto" w:fill="FFFFFF"/>
        </w:rPr>
        <w:t xml:space="preserve"> </w:t>
      </w:r>
    </w:p>
    <w:p w:rsidR="00C413B5" w:rsidRPr="00370BB1" w:rsidRDefault="00C413B5" w:rsidP="00C413B5">
      <w:pPr>
        <w:autoSpaceDE w:val="0"/>
      </w:pPr>
      <w:r w:rsidRPr="00370BB1">
        <w:rPr>
          <w:rStyle w:val="19"/>
          <w:rFonts w:ascii="Arial" w:eastAsia="Cambria" w:hAnsi="Arial" w:hint="default"/>
          <w:i w:val="0"/>
          <w:iCs w:val="0"/>
          <w:color w:val="1B1B1B"/>
          <w:sz w:val="20"/>
          <w:szCs w:val="20"/>
          <w:shd w:val="clear" w:color="auto" w:fill="FFFFFF"/>
        </w:rPr>
        <w:t xml:space="preserve">Hull M., &amp; Proulx D. A. (2022). Internet addiction facts and </w:t>
      </w:r>
      <w:proofErr w:type="gramStart"/>
      <w:r w:rsidRPr="00370BB1">
        <w:rPr>
          <w:rStyle w:val="19"/>
          <w:rFonts w:ascii="Arial" w:eastAsia="Cambria" w:hAnsi="Arial" w:hint="default"/>
          <w:i w:val="0"/>
          <w:iCs w:val="0"/>
          <w:color w:val="1B1B1B"/>
          <w:sz w:val="20"/>
          <w:szCs w:val="20"/>
          <w:shd w:val="clear" w:color="auto" w:fill="FFFFFF"/>
        </w:rPr>
        <w:t>statistics .</w:t>
      </w:r>
      <w:proofErr w:type="gramEnd"/>
      <w:r w:rsidRPr="00370BB1">
        <w:rPr>
          <w:rStyle w:val="19"/>
          <w:rFonts w:ascii="Arial" w:eastAsia="Cambria" w:hAnsi="Arial" w:hint="default"/>
          <w:i w:val="0"/>
          <w:iCs w:val="0"/>
          <w:color w:val="1B1B1B"/>
          <w:sz w:val="20"/>
          <w:szCs w:val="20"/>
          <w:shd w:val="clear" w:color="auto" w:fill="FFFFFF"/>
        </w:rPr>
        <w:t xml:space="preserve"> Umatilla, FL, USA: The Recovery Village.</w:t>
      </w:r>
    </w:p>
    <w:p w:rsidR="00C413B5" w:rsidRPr="00370BB1" w:rsidRDefault="00C413B5" w:rsidP="00C413B5">
      <w:pPr>
        <w:ind w:left="720" w:hanging="720"/>
        <w:jc w:val="both"/>
        <w:rPr>
          <w:color w:val="000000"/>
          <w:sz w:val="20"/>
          <w:szCs w:val="20"/>
        </w:rPr>
      </w:pPr>
      <w:r w:rsidRPr="00370BB1">
        <w:rPr>
          <w:color w:val="000000"/>
          <w:sz w:val="20"/>
          <w:szCs w:val="20"/>
        </w:rPr>
        <w:t xml:space="preserve"> </w:t>
      </w:r>
    </w:p>
    <w:p w:rsidR="00C413B5" w:rsidRPr="00370BB1" w:rsidRDefault="00C413B5" w:rsidP="00C413B5">
      <w:pPr>
        <w:jc w:val="both"/>
        <w:rPr>
          <w:color w:val="000000"/>
          <w:sz w:val="20"/>
          <w:szCs w:val="20"/>
        </w:rPr>
      </w:pPr>
      <w:r w:rsidRPr="00370BB1">
        <w:rPr>
          <w:color w:val="000000"/>
          <w:sz w:val="20"/>
          <w:szCs w:val="20"/>
        </w:rPr>
        <w:t xml:space="preserve">Illinois Institute for Addiction Recovery. (2012). What is video-game addiction? Retrieved from </w:t>
      </w:r>
      <w:hyperlink r:id="rId14" w:history="1">
        <w:r w:rsidRPr="00370BB1">
          <w:rPr>
            <w:rStyle w:val="15"/>
            <w:rFonts w:ascii="Arial" w:hAnsi="Arial" w:hint="default"/>
            <w:color w:val="000000"/>
            <w:sz w:val="20"/>
            <w:szCs w:val="20"/>
          </w:rPr>
          <w:t>http://www.addictionrecov.org/addictions/?AID=45</w:t>
        </w:r>
      </w:hyperlink>
      <w:r w:rsidRPr="00370BB1">
        <w:rPr>
          <w:color w:val="000000"/>
          <w:sz w:val="20"/>
          <w:szCs w:val="20"/>
        </w:rPr>
        <w:t>.</w:t>
      </w:r>
    </w:p>
    <w:p w:rsidR="00C413B5" w:rsidRPr="00370BB1" w:rsidRDefault="00C413B5" w:rsidP="00C413B5">
      <w:pPr>
        <w:jc w:val="both"/>
        <w:rPr>
          <w:color w:val="000000"/>
          <w:sz w:val="20"/>
          <w:szCs w:val="20"/>
        </w:rPr>
      </w:pPr>
      <w:r w:rsidRPr="00370BB1">
        <w:rPr>
          <w:color w:val="000000"/>
          <w:sz w:val="20"/>
          <w:szCs w:val="20"/>
        </w:rPr>
        <w:t xml:space="preserve"> </w:t>
      </w:r>
    </w:p>
    <w:p w:rsidR="00C413B5" w:rsidRPr="00370BB1" w:rsidRDefault="00C413B5" w:rsidP="00C413B5">
      <w:pPr>
        <w:jc w:val="both"/>
        <w:rPr>
          <w:color w:val="000000"/>
          <w:sz w:val="20"/>
          <w:szCs w:val="20"/>
        </w:rPr>
      </w:pPr>
      <w:r w:rsidRPr="00370BB1">
        <w:rPr>
          <w:color w:val="000000"/>
          <w:sz w:val="20"/>
          <w:szCs w:val="20"/>
        </w:rPr>
        <w:t xml:space="preserve">International Telecommunication Union (ITU) (2013). ICT facts and figures - the world in 2013[Internet].2013.8p. </w:t>
      </w:r>
      <w:hyperlink r:id="rId15" w:history="1">
        <w:r w:rsidRPr="00370BB1">
          <w:rPr>
            <w:rStyle w:val="15"/>
            <w:rFonts w:ascii="Arial" w:eastAsia="Times New Roman" w:hAnsi="Arial" w:hint="default"/>
            <w:color w:val="000000"/>
            <w:sz w:val="20"/>
            <w:szCs w:val="20"/>
          </w:rPr>
          <w:t>http://www.itu.int/en/ITUD/Statistics/Documents/facts/ICTFactsFigures2013.pdf</w:t>
        </w:r>
      </w:hyperlink>
      <w:r w:rsidRPr="00370BB1">
        <w:rPr>
          <w:rStyle w:val="15"/>
          <w:rFonts w:ascii="Arial" w:eastAsia="Times New Roman" w:hAnsi="Arial" w:hint="default"/>
          <w:color w:val="000000"/>
          <w:sz w:val="20"/>
          <w:szCs w:val="20"/>
        </w:rPr>
        <w:t xml:space="preserve"> </w:t>
      </w:r>
    </w:p>
    <w:p w:rsidR="00C413B5" w:rsidRPr="00370BB1" w:rsidRDefault="00C413B5" w:rsidP="00C413B5">
      <w:pPr>
        <w:jc w:val="both"/>
        <w:rPr>
          <w:color w:val="000000"/>
          <w:sz w:val="20"/>
          <w:szCs w:val="20"/>
        </w:rPr>
      </w:pPr>
      <w:r w:rsidRPr="00370BB1">
        <w:rPr>
          <w:color w:val="000000"/>
          <w:sz w:val="20"/>
          <w:szCs w:val="20"/>
        </w:rPr>
        <w:t xml:space="preserve"> </w:t>
      </w:r>
    </w:p>
    <w:p w:rsidR="00C413B5" w:rsidRPr="00370BB1" w:rsidRDefault="00C413B5" w:rsidP="00C413B5">
      <w:pPr>
        <w:jc w:val="both"/>
        <w:rPr>
          <w:color w:val="000000"/>
          <w:sz w:val="20"/>
          <w:szCs w:val="20"/>
        </w:rPr>
      </w:pPr>
      <w:r w:rsidRPr="00370BB1">
        <w:rPr>
          <w:color w:val="000000"/>
          <w:sz w:val="20"/>
          <w:szCs w:val="20"/>
        </w:rPr>
        <w:t xml:space="preserve">Ji-Young, K. (2006). The impact of Internet use patterns on political engagement: A focus on online deliberation and virtual social capital. </w:t>
      </w:r>
      <w:r w:rsidRPr="00370BB1">
        <w:rPr>
          <w:i/>
          <w:color w:val="000000"/>
          <w:sz w:val="20"/>
          <w:szCs w:val="20"/>
        </w:rPr>
        <w:t>Information Polity: The International Journal of Government &amp; Democracy in the Information Age</w:t>
      </w:r>
      <w:r w:rsidRPr="00370BB1">
        <w:rPr>
          <w:color w:val="000000"/>
          <w:sz w:val="20"/>
          <w:szCs w:val="20"/>
        </w:rPr>
        <w:t>, 11(1), 35–49.</w:t>
      </w:r>
    </w:p>
    <w:p w:rsidR="00C33775" w:rsidRPr="00370BB1" w:rsidRDefault="00C33775" w:rsidP="00C33775">
      <w:pPr>
        <w:jc w:val="both"/>
        <w:rPr>
          <w:rFonts w:eastAsia="Cambria"/>
          <w:color w:val="1B1B1B"/>
          <w:sz w:val="20"/>
          <w:szCs w:val="20"/>
          <w:shd w:val="clear" w:color="auto" w:fill="FFFFFF"/>
        </w:rPr>
      </w:pPr>
    </w:p>
    <w:p w:rsidR="00C33775" w:rsidRPr="00370BB1" w:rsidRDefault="00C33775" w:rsidP="00C33775">
      <w:pPr>
        <w:spacing w:line="240" w:lineRule="auto"/>
        <w:jc w:val="both"/>
        <w:rPr>
          <w:color w:val="1B1B1B"/>
          <w:sz w:val="20"/>
          <w:szCs w:val="20"/>
          <w:shd w:val="clear" w:color="auto" w:fill="FFFFFF"/>
        </w:rPr>
      </w:pPr>
      <w:r w:rsidRPr="00370BB1">
        <w:rPr>
          <w:color w:val="1B1B1B"/>
          <w:sz w:val="20"/>
          <w:szCs w:val="20"/>
          <w:shd w:val="clear" w:color="auto" w:fill="FFFFFF"/>
        </w:rPr>
        <w:t xml:space="preserve">Kaya, A., </w:t>
      </w:r>
      <w:proofErr w:type="spellStart"/>
      <w:r w:rsidRPr="00370BB1">
        <w:rPr>
          <w:color w:val="1B1B1B"/>
          <w:sz w:val="20"/>
          <w:szCs w:val="20"/>
          <w:shd w:val="clear" w:color="auto" w:fill="FFFFFF"/>
        </w:rPr>
        <w:t>Türk</w:t>
      </w:r>
      <w:proofErr w:type="spellEnd"/>
      <w:r w:rsidRPr="00370BB1">
        <w:rPr>
          <w:color w:val="1B1B1B"/>
          <w:sz w:val="20"/>
          <w:szCs w:val="20"/>
          <w:shd w:val="clear" w:color="auto" w:fill="FFFFFF"/>
        </w:rPr>
        <w:t xml:space="preserve">, N., </w:t>
      </w:r>
      <w:proofErr w:type="spellStart"/>
      <w:r w:rsidRPr="00370BB1">
        <w:rPr>
          <w:color w:val="1B1B1B"/>
          <w:sz w:val="20"/>
          <w:szCs w:val="20"/>
          <w:shd w:val="clear" w:color="auto" w:fill="FFFFFF"/>
        </w:rPr>
        <w:t>Batmaz</w:t>
      </w:r>
      <w:proofErr w:type="spellEnd"/>
      <w:r w:rsidRPr="00370BB1">
        <w:rPr>
          <w:color w:val="1B1B1B"/>
          <w:sz w:val="20"/>
          <w:szCs w:val="20"/>
          <w:shd w:val="clear" w:color="auto" w:fill="FFFFFF"/>
        </w:rPr>
        <w:t>, H., &amp; Griffiths, M. D. (2023). Online Gaming Addiction and Basic Psychological Needs Among Adolescents: The Mediating Roles of Meaning in Life and Responsibility. </w:t>
      </w:r>
      <w:r w:rsidRPr="00370BB1">
        <w:rPr>
          <w:i/>
          <w:iCs/>
          <w:color w:val="1B1B1B"/>
          <w:sz w:val="20"/>
          <w:szCs w:val="20"/>
          <w:shd w:val="clear" w:color="auto" w:fill="FFFFFF"/>
        </w:rPr>
        <w:t>International journal of mental health and addiction</w:t>
      </w:r>
      <w:r w:rsidRPr="00370BB1">
        <w:rPr>
          <w:color w:val="1B1B1B"/>
          <w:sz w:val="20"/>
          <w:szCs w:val="20"/>
          <w:shd w:val="clear" w:color="auto" w:fill="FFFFFF"/>
        </w:rPr>
        <w:t xml:space="preserve">, 1–25. Advance online publication. </w:t>
      </w:r>
      <w:hyperlink r:id="rId16" w:history="1">
        <w:r w:rsidRPr="00370BB1">
          <w:rPr>
            <w:rStyle w:val="Hyperlink"/>
            <w:sz w:val="20"/>
            <w:szCs w:val="20"/>
            <w:shd w:val="clear" w:color="auto" w:fill="FFFFFF"/>
          </w:rPr>
          <w:t>https://doi.org/10.1007/s11469-022-00994-9</w:t>
        </w:r>
      </w:hyperlink>
    </w:p>
    <w:p w:rsidR="00C413B5" w:rsidRPr="00370BB1" w:rsidRDefault="00C413B5" w:rsidP="00C413B5">
      <w:pPr>
        <w:pStyle w:val="NormalWeb"/>
        <w:shd w:val="clear" w:color="auto" w:fill="FFFFFF"/>
        <w:autoSpaceDE w:val="0"/>
        <w:spacing w:before="0" w:beforeAutospacing="0" w:after="0" w:afterAutospacing="0"/>
        <w:textAlignment w:val="baseline"/>
        <w:rPr>
          <w:rFonts w:ascii="Arial" w:eastAsia="Cambria" w:hAnsi="Arial" w:cs="Arial"/>
          <w:color w:val="1B1B1B"/>
          <w:sz w:val="20"/>
          <w:szCs w:val="20"/>
          <w:shd w:val="clear" w:color="auto" w:fill="FFFFFF"/>
        </w:rPr>
      </w:pPr>
    </w:p>
    <w:p w:rsidR="00C413B5" w:rsidRPr="00370BB1" w:rsidRDefault="00C413B5" w:rsidP="00C413B5">
      <w:pPr>
        <w:pStyle w:val="NormalWeb"/>
        <w:shd w:val="clear" w:color="auto" w:fill="FFFFFF"/>
        <w:autoSpaceDE w:val="0"/>
        <w:spacing w:before="0" w:beforeAutospacing="0" w:after="0" w:afterAutospacing="0"/>
        <w:textAlignment w:val="baseline"/>
        <w:rPr>
          <w:rFonts w:ascii="Arial" w:eastAsia="Cambria" w:hAnsi="Arial" w:cs="Arial"/>
          <w:color w:val="1B1B1B"/>
          <w:sz w:val="20"/>
          <w:szCs w:val="20"/>
          <w:shd w:val="clear" w:color="auto" w:fill="FFFFFF"/>
        </w:rPr>
      </w:pPr>
      <w:r w:rsidRPr="00370BB1">
        <w:rPr>
          <w:rFonts w:ascii="Arial" w:eastAsia="Cambria" w:hAnsi="Arial" w:cs="Arial"/>
          <w:color w:val="1B1B1B"/>
          <w:sz w:val="20"/>
          <w:szCs w:val="20"/>
          <w:shd w:val="clear" w:color="auto" w:fill="FFFFFF"/>
        </w:rPr>
        <w:t xml:space="preserve">Kemp S. (2022). Global </w:t>
      </w:r>
      <w:proofErr w:type="spellStart"/>
      <w:r w:rsidRPr="00370BB1">
        <w:rPr>
          <w:rFonts w:ascii="Arial" w:eastAsia="Cambria" w:hAnsi="Arial" w:cs="Arial"/>
          <w:color w:val="1B1B1B"/>
          <w:sz w:val="20"/>
          <w:szCs w:val="20"/>
          <w:shd w:val="clear" w:color="auto" w:fill="FFFFFF"/>
        </w:rPr>
        <w:t>Statshot</w:t>
      </w:r>
      <w:proofErr w:type="spellEnd"/>
      <w:r w:rsidRPr="00370BB1">
        <w:rPr>
          <w:rFonts w:ascii="Arial" w:eastAsia="Cambria" w:hAnsi="Arial" w:cs="Arial"/>
          <w:color w:val="1B1B1B"/>
          <w:sz w:val="20"/>
          <w:szCs w:val="20"/>
          <w:shd w:val="clear" w:color="auto" w:fill="FFFFFF"/>
        </w:rPr>
        <w:t xml:space="preserve"> </w:t>
      </w:r>
      <w:proofErr w:type="gramStart"/>
      <w:r w:rsidRPr="00370BB1">
        <w:rPr>
          <w:rFonts w:ascii="Arial" w:eastAsia="Cambria" w:hAnsi="Arial" w:cs="Arial"/>
          <w:color w:val="1B1B1B"/>
          <w:sz w:val="20"/>
          <w:szCs w:val="20"/>
          <w:shd w:val="clear" w:color="auto" w:fill="FFFFFF"/>
        </w:rPr>
        <w:t>Report .</w:t>
      </w:r>
      <w:proofErr w:type="gramEnd"/>
      <w:r w:rsidRPr="00370BB1">
        <w:rPr>
          <w:rFonts w:ascii="Arial" w:eastAsia="Cambria" w:hAnsi="Arial" w:cs="Arial"/>
          <w:color w:val="1B1B1B"/>
          <w:sz w:val="20"/>
          <w:szCs w:val="20"/>
          <w:shd w:val="clear" w:color="auto" w:fill="FFFFFF"/>
        </w:rPr>
        <w:t xml:space="preserve"> Vancouver, Canada: </w:t>
      </w:r>
      <w:proofErr w:type="spellStart"/>
      <w:r w:rsidRPr="00370BB1">
        <w:rPr>
          <w:rFonts w:ascii="Arial" w:eastAsia="Cambria" w:hAnsi="Arial" w:cs="Arial"/>
          <w:color w:val="1B1B1B"/>
          <w:sz w:val="20"/>
          <w:szCs w:val="20"/>
          <w:shd w:val="clear" w:color="auto" w:fill="FFFFFF"/>
        </w:rPr>
        <w:t>Datareportal</w:t>
      </w:r>
      <w:proofErr w:type="spellEnd"/>
      <w:r w:rsidRPr="00370BB1">
        <w:rPr>
          <w:rFonts w:ascii="Arial" w:eastAsia="Cambria" w:hAnsi="Arial" w:cs="Arial"/>
          <w:color w:val="1B1B1B"/>
          <w:sz w:val="20"/>
          <w:szCs w:val="20"/>
          <w:shd w:val="clear" w:color="auto" w:fill="FFFFFF"/>
        </w:rPr>
        <w:t>.</w:t>
      </w:r>
    </w:p>
    <w:p w:rsidR="00C413B5" w:rsidRPr="00370BB1" w:rsidRDefault="00C413B5" w:rsidP="00C413B5">
      <w:pPr>
        <w:jc w:val="both"/>
        <w:rPr>
          <w:color w:val="000000"/>
          <w:sz w:val="20"/>
          <w:szCs w:val="20"/>
        </w:rPr>
      </w:pPr>
      <w:r w:rsidRPr="00370BB1">
        <w:rPr>
          <w:color w:val="000000"/>
          <w:sz w:val="20"/>
          <w:szCs w:val="20"/>
        </w:rPr>
        <w:t xml:space="preserve"> </w:t>
      </w:r>
    </w:p>
    <w:p w:rsidR="00C413B5" w:rsidRPr="00370BB1" w:rsidRDefault="00C413B5" w:rsidP="00C413B5">
      <w:pPr>
        <w:jc w:val="both"/>
        <w:rPr>
          <w:color w:val="000000"/>
          <w:sz w:val="20"/>
          <w:szCs w:val="20"/>
        </w:rPr>
      </w:pPr>
      <w:r w:rsidRPr="00370BB1">
        <w:rPr>
          <w:color w:val="000000"/>
          <w:sz w:val="20"/>
          <w:szCs w:val="20"/>
        </w:rPr>
        <w:t xml:space="preserve">Kim, J., &amp; </w:t>
      </w:r>
      <w:proofErr w:type="spellStart"/>
      <w:r w:rsidRPr="00370BB1">
        <w:rPr>
          <w:color w:val="000000"/>
          <w:sz w:val="20"/>
          <w:szCs w:val="20"/>
        </w:rPr>
        <w:t>Haridakis</w:t>
      </w:r>
      <w:proofErr w:type="spellEnd"/>
      <w:r w:rsidRPr="00370BB1">
        <w:rPr>
          <w:color w:val="000000"/>
          <w:sz w:val="20"/>
          <w:szCs w:val="20"/>
        </w:rPr>
        <w:t xml:space="preserve"> P.M. (2009</w:t>
      </w:r>
      <w:proofErr w:type="gramStart"/>
      <w:r w:rsidRPr="00370BB1">
        <w:rPr>
          <w:color w:val="000000"/>
          <w:sz w:val="20"/>
          <w:szCs w:val="20"/>
        </w:rPr>
        <w:t>).The</w:t>
      </w:r>
      <w:proofErr w:type="gramEnd"/>
      <w:r w:rsidRPr="00370BB1">
        <w:rPr>
          <w:color w:val="000000"/>
          <w:sz w:val="20"/>
          <w:szCs w:val="20"/>
        </w:rPr>
        <w:t xml:space="preserve"> role of internet user characteristics and motives in explaining three dimensions of internet addiction.</w:t>
      </w:r>
      <w:r w:rsidRPr="00370BB1">
        <w:rPr>
          <w:i/>
          <w:color w:val="000000"/>
          <w:sz w:val="20"/>
          <w:szCs w:val="20"/>
        </w:rPr>
        <w:t xml:space="preserve"> Journal of Computer-Mediated Communication,</w:t>
      </w:r>
      <w:r w:rsidRPr="00370BB1">
        <w:rPr>
          <w:color w:val="000000"/>
          <w:sz w:val="20"/>
          <w:szCs w:val="20"/>
        </w:rPr>
        <w:t>14: 988–1015</w:t>
      </w:r>
    </w:p>
    <w:p w:rsidR="00C413B5" w:rsidRPr="00370BB1" w:rsidRDefault="00C413B5" w:rsidP="00C413B5">
      <w:pPr>
        <w:jc w:val="both"/>
        <w:rPr>
          <w:color w:val="000000"/>
          <w:sz w:val="20"/>
          <w:szCs w:val="20"/>
        </w:rPr>
      </w:pPr>
      <w:r w:rsidRPr="00370BB1">
        <w:rPr>
          <w:color w:val="000000"/>
          <w:sz w:val="20"/>
          <w:szCs w:val="20"/>
        </w:rPr>
        <w:t xml:space="preserve"> </w:t>
      </w:r>
    </w:p>
    <w:p w:rsidR="00C413B5" w:rsidRPr="00370BB1" w:rsidRDefault="00C413B5" w:rsidP="00C413B5">
      <w:pPr>
        <w:jc w:val="both"/>
        <w:rPr>
          <w:color w:val="000000"/>
          <w:sz w:val="20"/>
          <w:szCs w:val="20"/>
        </w:rPr>
      </w:pPr>
      <w:r w:rsidRPr="00370BB1">
        <w:rPr>
          <w:color w:val="000000"/>
          <w:sz w:val="20"/>
          <w:szCs w:val="20"/>
        </w:rPr>
        <w:t xml:space="preserve">King, D. L., </w:t>
      </w:r>
      <w:proofErr w:type="spellStart"/>
      <w:r w:rsidRPr="00370BB1">
        <w:rPr>
          <w:color w:val="000000"/>
          <w:sz w:val="20"/>
          <w:szCs w:val="20"/>
        </w:rPr>
        <w:t>Delfabbro</w:t>
      </w:r>
      <w:proofErr w:type="spellEnd"/>
      <w:r w:rsidRPr="00370BB1">
        <w:rPr>
          <w:color w:val="000000"/>
          <w:sz w:val="20"/>
          <w:szCs w:val="20"/>
        </w:rPr>
        <w:t xml:space="preserve">, P. H., Griffiths, M. D., &amp; </w:t>
      </w:r>
      <w:proofErr w:type="spellStart"/>
      <w:r w:rsidRPr="00370BB1">
        <w:rPr>
          <w:color w:val="000000"/>
          <w:sz w:val="20"/>
          <w:szCs w:val="20"/>
        </w:rPr>
        <w:t>Gradisar</w:t>
      </w:r>
      <w:proofErr w:type="spellEnd"/>
      <w:r w:rsidRPr="00370BB1">
        <w:rPr>
          <w:color w:val="000000"/>
          <w:sz w:val="20"/>
          <w:szCs w:val="20"/>
        </w:rPr>
        <w:t xml:space="preserve">, M. (2011). Assessing clinical trials of Internet addiction treatment: a systematic review and CONSORT evaluation. </w:t>
      </w:r>
      <w:r w:rsidRPr="00370BB1">
        <w:rPr>
          <w:i/>
          <w:iCs/>
          <w:color w:val="000000"/>
          <w:sz w:val="20"/>
          <w:szCs w:val="20"/>
        </w:rPr>
        <w:t>Clinical psychology review</w:t>
      </w:r>
      <w:r w:rsidRPr="00370BB1">
        <w:rPr>
          <w:color w:val="000000"/>
          <w:sz w:val="20"/>
          <w:szCs w:val="20"/>
        </w:rPr>
        <w:t xml:space="preserve">, </w:t>
      </w:r>
      <w:r w:rsidRPr="00370BB1">
        <w:rPr>
          <w:i/>
          <w:iCs/>
          <w:color w:val="000000"/>
          <w:sz w:val="20"/>
          <w:szCs w:val="20"/>
        </w:rPr>
        <w:t>31</w:t>
      </w:r>
      <w:r w:rsidRPr="00370BB1">
        <w:rPr>
          <w:color w:val="000000"/>
          <w:sz w:val="20"/>
          <w:szCs w:val="20"/>
        </w:rPr>
        <w:t>(7), 1110–1116. https://doi.org/10.1016/j.cpr.2011.06.009</w:t>
      </w:r>
    </w:p>
    <w:p w:rsidR="00C413B5" w:rsidRPr="00370BB1" w:rsidRDefault="00C413B5" w:rsidP="00C413B5">
      <w:pPr>
        <w:jc w:val="both"/>
        <w:rPr>
          <w:color w:val="000000"/>
          <w:sz w:val="20"/>
          <w:szCs w:val="20"/>
        </w:rPr>
      </w:pPr>
      <w:r w:rsidRPr="00370BB1">
        <w:rPr>
          <w:color w:val="000000"/>
          <w:sz w:val="20"/>
          <w:szCs w:val="20"/>
        </w:rPr>
        <w:t xml:space="preserve"> </w:t>
      </w:r>
    </w:p>
    <w:p w:rsidR="00C413B5" w:rsidRPr="00370BB1" w:rsidRDefault="00C413B5" w:rsidP="00C413B5">
      <w:pPr>
        <w:jc w:val="both"/>
        <w:rPr>
          <w:color w:val="000000"/>
          <w:sz w:val="20"/>
          <w:szCs w:val="20"/>
        </w:rPr>
      </w:pPr>
      <w:proofErr w:type="spellStart"/>
      <w:r w:rsidRPr="00370BB1">
        <w:rPr>
          <w:color w:val="000000"/>
          <w:sz w:val="20"/>
          <w:szCs w:val="20"/>
        </w:rPr>
        <w:t>Kuss</w:t>
      </w:r>
      <w:proofErr w:type="spellEnd"/>
      <w:r w:rsidRPr="00370BB1">
        <w:rPr>
          <w:color w:val="000000"/>
          <w:sz w:val="20"/>
          <w:szCs w:val="20"/>
        </w:rPr>
        <w:t xml:space="preserve">, D. J., &amp; Griffiths, M. D. (2011). Online social networking and addiction: A literature review of empirical research. </w:t>
      </w:r>
      <w:r w:rsidRPr="00370BB1">
        <w:rPr>
          <w:i/>
          <w:color w:val="000000"/>
          <w:sz w:val="20"/>
          <w:szCs w:val="20"/>
        </w:rPr>
        <w:t>International Journal of Environmental and Public Health,</w:t>
      </w:r>
      <w:r w:rsidRPr="00370BB1">
        <w:rPr>
          <w:color w:val="000000"/>
          <w:sz w:val="20"/>
          <w:szCs w:val="20"/>
        </w:rPr>
        <w:t xml:space="preserve"> 8, 3528–3552.</w:t>
      </w:r>
    </w:p>
    <w:p w:rsidR="00C413B5" w:rsidRPr="00370BB1" w:rsidRDefault="00C413B5" w:rsidP="00C413B5">
      <w:pPr>
        <w:jc w:val="both"/>
        <w:rPr>
          <w:color w:val="000000"/>
          <w:sz w:val="20"/>
          <w:szCs w:val="20"/>
        </w:rPr>
      </w:pPr>
      <w:r w:rsidRPr="00370BB1">
        <w:rPr>
          <w:color w:val="000000"/>
          <w:sz w:val="20"/>
          <w:szCs w:val="20"/>
        </w:rPr>
        <w:t xml:space="preserve"> </w:t>
      </w:r>
    </w:p>
    <w:p w:rsidR="00C413B5" w:rsidRPr="00370BB1" w:rsidRDefault="00C413B5" w:rsidP="00C413B5">
      <w:pPr>
        <w:jc w:val="both"/>
        <w:rPr>
          <w:color w:val="000000"/>
          <w:sz w:val="20"/>
          <w:szCs w:val="20"/>
        </w:rPr>
      </w:pPr>
      <w:proofErr w:type="spellStart"/>
      <w:r w:rsidRPr="00370BB1">
        <w:rPr>
          <w:color w:val="000000"/>
          <w:sz w:val="20"/>
          <w:szCs w:val="20"/>
        </w:rPr>
        <w:t>Lemmens</w:t>
      </w:r>
      <w:proofErr w:type="spellEnd"/>
      <w:r w:rsidRPr="00370BB1">
        <w:rPr>
          <w:color w:val="000000"/>
          <w:sz w:val="20"/>
          <w:szCs w:val="20"/>
        </w:rPr>
        <w:t xml:space="preserve">, J. S., Valkenburg, P. M., &amp; Peter, J. (2009). Development and validation of a game addiction scale for adolescents. </w:t>
      </w:r>
      <w:r w:rsidRPr="00370BB1">
        <w:rPr>
          <w:i/>
          <w:color w:val="000000"/>
          <w:sz w:val="20"/>
          <w:szCs w:val="20"/>
        </w:rPr>
        <w:t>Media Psychology</w:t>
      </w:r>
      <w:r w:rsidRPr="00370BB1">
        <w:rPr>
          <w:color w:val="000000"/>
          <w:sz w:val="20"/>
          <w:szCs w:val="20"/>
        </w:rPr>
        <w:t xml:space="preserve">, 12(1), 77–95. </w:t>
      </w:r>
    </w:p>
    <w:p w:rsidR="00C413B5" w:rsidRPr="00370BB1" w:rsidRDefault="00C413B5" w:rsidP="00C413B5">
      <w:pPr>
        <w:jc w:val="both"/>
        <w:rPr>
          <w:color w:val="000000"/>
          <w:sz w:val="20"/>
          <w:szCs w:val="20"/>
        </w:rPr>
      </w:pPr>
      <w:r w:rsidRPr="00370BB1">
        <w:rPr>
          <w:color w:val="000000"/>
          <w:sz w:val="20"/>
          <w:szCs w:val="20"/>
        </w:rPr>
        <w:t xml:space="preserve"> </w:t>
      </w:r>
    </w:p>
    <w:p w:rsidR="00C413B5" w:rsidRPr="00370BB1" w:rsidRDefault="00C413B5" w:rsidP="00C413B5">
      <w:pPr>
        <w:jc w:val="both"/>
        <w:rPr>
          <w:color w:val="000000"/>
          <w:sz w:val="20"/>
          <w:szCs w:val="20"/>
        </w:rPr>
      </w:pPr>
      <w:r w:rsidRPr="00370BB1">
        <w:rPr>
          <w:color w:val="000000"/>
          <w:sz w:val="20"/>
          <w:szCs w:val="20"/>
        </w:rPr>
        <w:t>Leung, L., &amp; Lee, P. (2012). Impact of internet literacy, internet addiction symptoms, and internet activities on academic performance.</w:t>
      </w:r>
      <w:r w:rsidRPr="00370BB1">
        <w:rPr>
          <w:i/>
          <w:color w:val="000000"/>
          <w:sz w:val="20"/>
          <w:szCs w:val="20"/>
        </w:rPr>
        <w:t xml:space="preserve"> Social Science Computer Review,</w:t>
      </w:r>
      <w:r w:rsidRPr="00370BB1">
        <w:rPr>
          <w:color w:val="000000"/>
          <w:sz w:val="20"/>
          <w:szCs w:val="20"/>
        </w:rPr>
        <w:t xml:space="preserve"> 30: 403–418</w:t>
      </w:r>
    </w:p>
    <w:p w:rsidR="00C413B5" w:rsidRPr="00370BB1" w:rsidRDefault="00C413B5" w:rsidP="00C413B5">
      <w:pPr>
        <w:jc w:val="both"/>
        <w:rPr>
          <w:color w:val="000000"/>
          <w:sz w:val="20"/>
          <w:szCs w:val="20"/>
        </w:rPr>
      </w:pPr>
      <w:r w:rsidRPr="00370BB1">
        <w:rPr>
          <w:color w:val="000000"/>
          <w:sz w:val="20"/>
          <w:szCs w:val="20"/>
        </w:rPr>
        <w:t xml:space="preserve"> </w:t>
      </w:r>
    </w:p>
    <w:p w:rsidR="00C413B5" w:rsidRPr="00370BB1" w:rsidRDefault="00C413B5" w:rsidP="00C413B5">
      <w:pPr>
        <w:jc w:val="both"/>
        <w:rPr>
          <w:color w:val="000000"/>
          <w:sz w:val="20"/>
          <w:szCs w:val="20"/>
        </w:rPr>
      </w:pPr>
      <w:r w:rsidRPr="00370BB1">
        <w:rPr>
          <w:sz w:val="20"/>
          <w:szCs w:val="20"/>
          <w:shd w:val="clear" w:color="auto" w:fill="FFFFFF"/>
        </w:rPr>
        <w:t xml:space="preserve">Lewis G, Ioannidis K, van </w:t>
      </w:r>
      <w:proofErr w:type="spellStart"/>
      <w:r w:rsidRPr="00370BB1">
        <w:rPr>
          <w:sz w:val="20"/>
          <w:szCs w:val="20"/>
          <w:shd w:val="clear" w:color="auto" w:fill="FFFFFF"/>
        </w:rPr>
        <w:t>Harmelen</w:t>
      </w:r>
      <w:proofErr w:type="spellEnd"/>
      <w:r w:rsidRPr="00370BB1">
        <w:rPr>
          <w:sz w:val="20"/>
          <w:szCs w:val="20"/>
          <w:shd w:val="clear" w:color="auto" w:fill="FFFFFF"/>
        </w:rPr>
        <w:t xml:space="preserve"> A-L, Neufeld S, </w:t>
      </w:r>
      <w:proofErr w:type="spellStart"/>
      <w:r w:rsidRPr="00370BB1">
        <w:rPr>
          <w:sz w:val="20"/>
          <w:szCs w:val="20"/>
          <w:shd w:val="clear" w:color="auto" w:fill="FFFFFF"/>
        </w:rPr>
        <w:t>Stochl</w:t>
      </w:r>
      <w:proofErr w:type="spellEnd"/>
      <w:r w:rsidRPr="00370BB1">
        <w:rPr>
          <w:sz w:val="20"/>
          <w:szCs w:val="20"/>
          <w:shd w:val="clear" w:color="auto" w:fill="FFFFFF"/>
        </w:rPr>
        <w:t xml:space="preserve"> J, Lewis G, Jones P.B, Goodyer I (2018) The association between pubertal status and depressive symptoms and diagnoses in adolescent females: a population-based cohort study. </w:t>
      </w:r>
      <w:proofErr w:type="spellStart"/>
      <w:r w:rsidRPr="00370BB1">
        <w:rPr>
          <w:sz w:val="20"/>
          <w:szCs w:val="20"/>
          <w:shd w:val="clear" w:color="auto" w:fill="FFFFFF"/>
        </w:rPr>
        <w:t>PLoS</w:t>
      </w:r>
      <w:proofErr w:type="spellEnd"/>
      <w:r w:rsidRPr="00370BB1">
        <w:rPr>
          <w:sz w:val="20"/>
          <w:szCs w:val="20"/>
          <w:shd w:val="clear" w:color="auto" w:fill="FFFFFF"/>
        </w:rPr>
        <w:t xml:space="preserve"> One 13:e0198804</w:t>
      </w:r>
    </w:p>
    <w:p w:rsidR="00C413B5" w:rsidRPr="00370BB1" w:rsidRDefault="00C413B5" w:rsidP="00C413B5">
      <w:pPr>
        <w:autoSpaceDE w:val="0"/>
        <w:jc w:val="both"/>
        <w:rPr>
          <w:rFonts w:eastAsia="Consolas"/>
          <w:color w:val="1B1B1B"/>
          <w:sz w:val="20"/>
          <w:szCs w:val="20"/>
          <w:shd w:val="clear" w:color="auto" w:fill="FFFFFF"/>
        </w:rPr>
      </w:pPr>
      <w:r w:rsidRPr="00370BB1">
        <w:rPr>
          <w:rFonts w:eastAsia="Consolas"/>
          <w:color w:val="1B1B1B"/>
          <w:sz w:val="20"/>
          <w:szCs w:val="20"/>
          <w:shd w:val="clear" w:color="auto" w:fill="FFFFFF"/>
        </w:rPr>
        <w:t xml:space="preserve"> </w:t>
      </w:r>
    </w:p>
    <w:p w:rsidR="00C413B5" w:rsidRPr="00370BB1" w:rsidRDefault="00C413B5" w:rsidP="00D0192E">
      <w:pPr>
        <w:autoSpaceDE w:val="0"/>
        <w:spacing w:line="240" w:lineRule="auto"/>
        <w:jc w:val="both"/>
        <w:rPr>
          <w:rFonts w:eastAsia="Consolas"/>
          <w:color w:val="1B1B1B"/>
          <w:sz w:val="20"/>
          <w:szCs w:val="20"/>
          <w:shd w:val="clear" w:color="auto" w:fill="FFFFFF"/>
        </w:rPr>
      </w:pPr>
      <w:r w:rsidRPr="00370BB1">
        <w:rPr>
          <w:rFonts w:eastAsia="Consolas"/>
          <w:color w:val="1B1B1B"/>
          <w:sz w:val="20"/>
          <w:szCs w:val="20"/>
          <w:shd w:val="clear" w:color="auto" w:fill="FFFFFF"/>
        </w:rPr>
        <w:t xml:space="preserve">Li, Y. Y., Sun, Y., Meng, S. Q., Bao, Y. P., Cheng, J. L., Chang, X. W., Ran, M. S., Sun, Y. K., </w:t>
      </w:r>
      <w:proofErr w:type="spellStart"/>
      <w:r w:rsidRPr="00370BB1">
        <w:rPr>
          <w:rFonts w:eastAsia="Consolas"/>
          <w:color w:val="1B1B1B"/>
          <w:sz w:val="20"/>
          <w:szCs w:val="20"/>
          <w:shd w:val="clear" w:color="auto" w:fill="FFFFFF"/>
        </w:rPr>
        <w:t>Kosten</w:t>
      </w:r>
      <w:proofErr w:type="spellEnd"/>
      <w:r w:rsidRPr="00370BB1">
        <w:rPr>
          <w:rFonts w:eastAsia="Consolas"/>
          <w:color w:val="1B1B1B"/>
          <w:sz w:val="20"/>
          <w:szCs w:val="20"/>
          <w:shd w:val="clear" w:color="auto" w:fill="FFFFFF"/>
        </w:rPr>
        <w:t xml:space="preserve">, T., Strang, J., Lu, L., &amp; Shi, J. (2021). Internet Addiction Increases in the General Population During COVID-19: Evidence From China. </w:t>
      </w:r>
      <w:r w:rsidRPr="00370BB1">
        <w:rPr>
          <w:rFonts w:eastAsia="Consolas"/>
          <w:i/>
          <w:iCs/>
          <w:color w:val="1B1B1B"/>
          <w:sz w:val="20"/>
          <w:szCs w:val="20"/>
          <w:shd w:val="clear" w:color="auto" w:fill="FFFFFF"/>
        </w:rPr>
        <w:t>The American journal on addictions</w:t>
      </w:r>
      <w:r w:rsidRPr="00370BB1">
        <w:rPr>
          <w:rFonts w:eastAsia="Consolas"/>
          <w:color w:val="1B1B1B"/>
          <w:sz w:val="20"/>
          <w:szCs w:val="20"/>
          <w:shd w:val="clear" w:color="auto" w:fill="FFFFFF"/>
        </w:rPr>
        <w:t xml:space="preserve">, </w:t>
      </w:r>
      <w:r w:rsidRPr="00370BB1">
        <w:rPr>
          <w:rFonts w:eastAsia="Consolas"/>
          <w:i/>
          <w:iCs/>
          <w:color w:val="1B1B1B"/>
          <w:sz w:val="20"/>
          <w:szCs w:val="20"/>
          <w:shd w:val="clear" w:color="auto" w:fill="FFFFFF"/>
        </w:rPr>
        <w:t>30</w:t>
      </w:r>
      <w:r w:rsidRPr="00370BB1">
        <w:rPr>
          <w:rFonts w:eastAsia="Consolas"/>
          <w:color w:val="1B1B1B"/>
          <w:sz w:val="20"/>
          <w:szCs w:val="20"/>
          <w:shd w:val="clear" w:color="auto" w:fill="FFFFFF"/>
        </w:rPr>
        <w:t xml:space="preserve">(4), 389–397. </w:t>
      </w:r>
      <w:hyperlink r:id="rId17" w:history="1">
        <w:r w:rsidRPr="00370BB1">
          <w:rPr>
            <w:rStyle w:val="15"/>
            <w:rFonts w:ascii="Arial" w:eastAsia="Consolas" w:hAnsi="Arial" w:hint="default"/>
            <w:sz w:val="20"/>
            <w:szCs w:val="20"/>
            <w:shd w:val="clear" w:color="auto" w:fill="FFFFFF"/>
          </w:rPr>
          <w:t>https://doi.org/10.1111/ajad.13156</w:t>
        </w:r>
      </w:hyperlink>
    </w:p>
    <w:p w:rsidR="00C413B5" w:rsidRPr="00370BB1" w:rsidRDefault="00C413B5" w:rsidP="00C413B5">
      <w:pPr>
        <w:pStyle w:val="NormalWeb"/>
        <w:spacing w:before="0" w:beforeAutospacing="0" w:after="0" w:afterAutospacing="0"/>
        <w:ind w:left="720" w:hanging="720"/>
        <w:jc w:val="both"/>
        <w:rPr>
          <w:rFonts w:ascii="Arial" w:hAnsi="Arial" w:cs="Arial"/>
          <w:sz w:val="20"/>
          <w:szCs w:val="20"/>
          <w:shd w:val="clear" w:color="auto" w:fill="FFFFFF"/>
        </w:rPr>
      </w:pPr>
      <w:r w:rsidRPr="00370BB1">
        <w:rPr>
          <w:rFonts w:ascii="Arial" w:hAnsi="Arial" w:cs="Arial"/>
          <w:sz w:val="20"/>
          <w:szCs w:val="20"/>
          <w:shd w:val="clear" w:color="auto" w:fill="FFFFFF"/>
        </w:rPr>
        <w:t xml:space="preserve"> </w:t>
      </w:r>
    </w:p>
    <w:p w:rsidR="00C413B5" w:rsidRPr="00370BB1" w:rsidRDefault="00C413B5" w:rsidP="00C413B5">
      <w:pPr>
        <w:pStyle w:val="NormalWeb"/>
        <w:spacing w:before="0" w:beforeAutospacing="0" w:after="0" w:afterAutospacing="0"/>
        <w:jc w:val="both"/>
        <w:rPr>
          <w:rFonts w:ascii="Arial" w:hAnsi="Arial" w:cs="Arial"/>
          <w:color w:val="000000"/>
          <w:sz w:val="20"/>
          <w:szCs w:val="20"/>
        </w:rPr>
      </w:pPr>
      <w:proofErr w:type="spellStart"/>
      <w:r w:rsidRPr="00370BB1">
        <w:rPr>
          <w:rFonts w:ascii="Arial" w:hAnsi="Arial" w:cs="Arial"/>
          <w:sz w:val="20"/>
          <w:szCs w:val="20"/>
          <w:shd w:val="clear" w:color="auto" w:fill="FFFFFF"/>
        </w:rPr>
        <w:t>Mendle</w:t>
      </w:r>
      <w:proofErr w:type="spellEnd"/>
      <w:r w:rsidRPr="00370BB1">
        <w:rPr>
          <w:rFonts w:ascii="Arial" w:hAnsi="Arial" w:cs="Arial"/>
          <w:sz w:val="20"/>
          <w:szCs w:val="20"/>
          <w:shd w:val="clear" w:color="auto" w:fill="FFFFFF"/>
        </w:rPr>
        <w:t xml:space="preserve"> J, Ryan R.M, </w:t>
      </w:r>
      <w:proofErr w:type="spellStart"/>
      <w:r w:rsidRPr="00370BB1">
        <w:rPr>
          <w:rFonts w:ascii="Arial" w:hAnsi="Arial" w:cs="Arial"/>
          <w:sz w:val="20"/>
          <w:szCs w:val="20"/>
          <w:shd w:val="clear" w:color="auto" w:fill="FFFFFF"/>
        </w:rPr>
        <w:t>McKone</w:t>
      </w:r>
      <w:proofErr w:type="spellEnd"/>
      <w:r w:rsidRPr="00370BB1">
        <w:rPr>
          <w:rFonts w:ascii="Arial" w:hAnsi="Arial" w:cs="Arial"/>
          <w:sz w:val="20"/>
          <w:szCs w:val="20"/>
          <w:shd w:val="clear" w:color="auto" w:fill="FFFFFF"/>
        </w:rPr>
        <w:t xml:space="preserve"> K.M (2018) Age at menarche, depression, and antisocial behavior in adulthood. </w:t>
      </w:r>
      <w:r w:rsidRPr="00370BB1">
        <w:rPr>
          <w:rFonts w:ascii="Arial" w:hAnsi="Arial" w:cs="Arial"/>
          <w:i/>
          <w:sz w:val="20"/>
          <w:szCs w:val="20"/>
          <w:shd w:val="clear" w:color="auto" w:fill="FFFFFF"/>
        </w:rPr>
        <w:t>Pediatrics</w:t>
      </w:r>
      <w:r w:rsidRPr="00370BB1">
        <w:rPr>
          <w:rFonts w:ascii="Arial" w:hAnsi="Arial" w:cs="Arial"/>
          <w:sz w:val="20"/>
          <w:szCs w:val="20"/>
          <w:shd w:val="clear" w:color="auto" w:fill="FFFFFF"/>
        </w:rPr>
        <w:t xml:space="preserve"> 141</w:t>
      </w:r>
      <w:r w:rsidRPr="00370BB1">
        <w:rPr>
          <w:rFonts w:ascii="Arial" w:hAnsi="Arial" w:cs="Arial"/>
          <w:color w:val="000000"/>
          <w:sz w:val="20"/>
          <w:szCs w:val="20"/>
        </w:rPr>
        <w:t xml:space="preserve"> </w:t>
      </w:r>
    </w:p>
    <w:p w:rsidR="00C413B5" w:rsidRPr="00370BB1" w:rsidRDefault="00C413B5" w:rsidP="00C413B5">
      <w:pPr>
        <w:pStyle w:val="NormalWeb"/>
        <w:spacing w:before="0" w:beforeAutospacing="0" w:after="0" w:afterAutospacing="0"/>
        <w:ind w:left="720" w:hanging="720"/>
        <w:jc w:val="both"/>
        <w:rPr>
          <w:rFonts w:ascii="Arial" w:hAnsi="Arial" w:cs="Arial"/>
          <w:color w:val="000000"/>
          <w:sz w:val="20"/>
          <w:szCs w:val="20"/>
        </w:rPr>
      </w:pPr>
      <w:r w:rsidRPr="00370BB1">
        <w:rPr>
          <w:rFonts w:ascii="Arial" w:hAnsi="Arial" w:cs="Arial"/>
          <w:color w:val="000000"/>
          <w:sz w:val="20"/>
          <w:szCs w:val="20"/>
        </w:rPr>
        <w:t xml:space="preserve"> </w:t>
      </w:r>
    </w:p>
    <w:p w:rsidR="00C413B5" w:rsidRPr="00370BB1" w:rsidRDefault="00C413B5" w:rsidP="00C413B5">
      <w:pPr>
        <w:pStyle w:val="NormalWeb"/>
        <w:spacing w:before="0" w:beforeAutospacing="0" w:after="0" w:afterAutospacing="0"/>
        <w:jc w:val="both"/>
        <w:rPr>
          <w:rFonts w:ascii="Arial" w:hAnsi="Arial" w:cs="Arial"/>
          <w:color w:val="000000"/>
          <w:sz w:val="20"/>
          <w:szCs w:val="20"/>
        </w:rPr>
      </w:pPr>
      <w:r w:rsidRPr="00370BB1">
        <w:rPr>
          <w:rFonts w:ascii="Arial" w:hAnsi="Arial" w:cs="Arial"/>
          <w:color w:val="000000"/>
          <w:sz w:val="20"/>
          <w:szCs w:val="20"/>
        </w:rPr>
        <w:t xml:space="preserve">Meng, S.-Q., Cheng, J.-L., Li, Y.-Y., Yang, X.-Q., Zheng, J.-W., Chang, X.-W., Shi, Y., Chen, Y., Lu, L., Sun, Y., Bao, Y.-P., &amp; Shi, J. (2022). Global prevalence of digital addiction in general population: A systematic review and meta-analysis. </w:t>
      </w:r>
      <w:r w:rsidRPr="00370BB1">
        <w:rPr>
          <w:rFonts w:ascii="Arial" w:hAnsi="Arial" w:cs="Arial"/>
          <w:i/>
          <w:iCs/>
          <w:color w:val="000000"/>
          <w:sz w:val="20"/>
          <w:szCs w:val="20"/>
        </w:rPr>
        <w:t>Clinical Psychology Review</w:t>
      </w:r>
      <w:r w:rsidRPr="00370BB1">
        <w:rPr>
          <w:rFonts w:ascii="Arial" w:hAnsi="Arial" w:cs="Arial"/>
          <w:color w:val="000000"/>
          <w:sz w:val="20"/>
          <w:szCs w:val="20"/>
        </w:rPr>
        <w:t xml:space="preserve">, </w:t>
      </w:r>
      <w:r w:rsidRPr="00370BB1">
        <w:rPr>
          <w:rFonts w:ascii="Arial" w:hAnsi="Arial" w:cs="Arial"/>
          <w:i/>
          <w:iCs/>
          <w:color w:val="000000"/>
          <w:sz w:val="20"/>
          <w:szCs w:val="20"/>
        </w:rPr>
        <w:t>92</w:t>
      </w:r>
      <w:r w:rsidRPr="00370BB1">
        <w:rPr>
          <w:rFonts w:ascii="Arial" w:hAnsi="Arial" w:cs="Arial"/>
          <w:color w:val="000000"/>
          <w:sz w:val="20"/>
          <w:szCs w:val="20"/>
        </w:rPr>
        <w:t>(92), 102128. https://doi.org/10.1016/j.cpr.2022.102128</w:t>
      </w:r>
    </w:p>
    <w:p w:rsidR="00C413B5" w:rsidRPr="00370BB1" w:rsidRDefault="00C413B5" w:rsidP="00C413B5">
      <w:pPr>
        <w:ind w:left="720" w:hanging="720"/>
        <w:jc w:val="both"/>
        <w:rPr>
          <w:color w:val="000000"/>
          <w:sz w:val="20"/>
          <w:szCs w:val="20"/>
        </w:rPr>
      </w:pPr>
      <w:r w:rsidRPr="00370BB1">
        <w:rPr>
          <w:color w:val="000000"/>
          <w:sz w:val="20"/>
          <w:szCs w:val="20"/>
        </w:rPr>
        <w:t xml:space="preserve"> </w:t>
      </w:r>
    </w:p>
    <w:p w:rsidR="00C413B5" w:rsidRPr="00370BB1" w:rsidRDefault="00C413B5" w:rsidP="00C413B5">
      <w:pPr>
        <w:jc w:val="both"/>
        <w:rPr>
          <w:color w:val="000000"/>
          <w:sz w:val="20"/>
          <w:szCs w:val="20"/>
        </w:rPr>
      </w:pPr>
      <w:r w:rsidRPr="00370BB1">
        <w:rPr>
          <w:color w:val="000000"/>
          <w:sz w:val="20"/>
          <w:szCs w:val="20"/>
        </w:rPr>
        <w:t>Neeta S., &amp; Km. A., (2015</w:t>
      </w:r>
      <w:proofErr w:type="gramStart"/>
      <w:r w:rsidRPr="00370BB1">
        <w:rPr>
          <w:color w:val="000000"/>
          <w:sz w:val="20"/>
          <w:szCs w:val="20"/>
        </w:rPr>
        <w:t>).Influence</w:t>
      </w:r>
      <w:proofErr w:type="gramEnd"/>
      <w:r w:rsidRPr="00370BB1">
        <w:rPr>
          <w:color w:val="000000"/>
          <w:sz w:val="20"/>
          <w:szCs w:val="20"/>
        </w:rPr>
        <w:t xml:space="preserve"> of Internet Addiction on Mental Health and Adjustment of College Students. </w:t>
      </w:r>
      <w:r w:rsidRPr="00370BB1">
        <w:rPr>
          <w:i/>
          <w:color w:val="000000"/>
          <w:sz w:val="20"/>
          <w:szCs w:val="20"/>
        </w:rPr>
        <w:t xml:space="preserve">International Journal of Scientific Engineering and Research (IJSER), </w:t>
      </w:r>
      <w:r w:rsidRPr="00370BB1">
        <w:rPr>
          <w:color w:val="000000"/>
          <w:sz w:val="20"/>
          <w:szCs w:val="20"/>
        </w:rPr>
        <w:t>3(5), 147-149.</w:t>
      </w:r>
    </w:p>
    <w:p w:rsidR="00D0192E" w:rsidRPr="00370BB1" w:rsidRDefault="00D0192E" w:rsidP="00D0192E">
      <w:pPr>
        <w:spacing w:line="240" w:lineRule="auto"/>
        <w:jc w:val="both"/>
        <w:rPr>
          <w:color w:val="000000"/>
          <w:sz w:val="20"/>
          <w:szCs w:val="20"/>
        </w:rPr>
      </w:pPr>
    </w:p>
    <w:p w:rsidR="00D0192E" w:rsidRPr="00370BB1" w:rsidRDefault="00D0192E" w:rsidP="00D0192E">
      <w:pPr>
        <w:spacing w:line="240" w:lineRule="auto"/>
        <w:jc w:val="both"/>
        <w:rPr>
          <w:color w:val="000000"/>
          <w:sz w:val="20"/>
          <w:szCs w:val="20"/>
        </w:rPr>
      </w:pPr>
      <w:r w:rsidRPr="00370BB1">
        <w:rPr>
          <w:color w:val="212121"/>
          <w:sz w:val="20"/>
          <w:szCs w:val="20"/>
          <w:shd w:val="clear" w:color="auto" w:fill="FFFFFF"/>
        </w:rPr>
        <w:t xml:space="preserve">Otsuka, Y., </w:t>
      </w:r>
      <w:proofErr w:type="spellStart"/>
      <w:r w:rsidRPr="00370BB1">
        <w:rPr>
          <w:color w:val="212121"/>
          <w:sz w:val="20"/>
          <w:szCs w:val="20"/>
          <w:shd w:val="clear" w:color="auto" w:fill="FFFFFF"/>
        </w:rPr>
        <w:t>Kaneita</w:t>
      </w:r>
      <w:proofErr w:type="spellEnd"/>
      <w:r w:rsidRPr="00370BB1">
        <w:rPr>
          <w:color w:val="212121"/>
          <w:sz w:val="20"/>
          <w:szCs w:val="20"/>
          <w:shd w:val="clear" w:color="auto" w:fill="FFFFFF"/>
        </w:rPr>
        <w:t xml:space="preserve">, Y., </w:t>
      </w:r>
      <w:proofErr w:type="spellStart"/>
      <w:r w:rsidRPr="00370BB1">
        <w:rPr>
          <w:color w:val="212121"/>
          <w:sz w:val="20"/>
          <w:szCs w:val="20"/>
          <w:shd w:val="clear" w:color="auto" w:fill="FFFFFF"/>
        </w:rPr>
        <w:t>Itani</w:t>
      </w:r>
      <w:proofErr w:type="spellEnd"/>
      <w:r w:rsidRPr="00370BB1">
        <w:rPr>
          <w:color w:val="212121"/>
          <w:sz w:val="20"/>
          <w:szCs w:val="20"/>
          <w:shd w:val="clear" w:color="auto" w:fill="FFFFFF"/>
        </w:rPr>
        <w:t xml:space="preserve">, O., &amp; </w:t>
      </w:r>
      <w:proofErr w:type="spellStart"/>
      <w:r w:rsidRPr="00370BB1">
        <w:rPr>
          <w:color w:val="212121"/>
          <w:sz w:val="20"/>
          <w:szCs w:val="20"/>
          <w:shd w:val="clear" w:color="auto" w:fill="FFFFFF"/>
        </w:rPr>
        <w:t>Tokiya</w:t>
      </w:r>
      <w:proofErr w:type="spellEnd"/>
      <w:r w:rsidRPr="00370BB1">
        <w:rPr>
          <w:color w:val="212121"/>
          <w:sz w:val="20"/>
          <w:szCs w:val="20"/>
          <w:shd w:val="clear" w:color="auto" w:fill="FFFFFF"/>
        </w:rPr>
        <w:t>, M. (2020). Relationship between Internet Addiction and Poor Mental Health among Japanese Adolescents. </w:t>
      </w:r>
      <w:r w:rsidRPr="00370BB1">
        <w:rPr>
          <w:i/>
          <w:iCs/>
          <w:color w:val="212121"/>
          <w:sz w:val="20"/>
          <w:szCs w:val="20"/>
          <w:shd w:val="clear" w:color="auto" w:fill="FFFFFF"/>
        </w:rPr>
        <w:t>Iranian journal of public health</w:t>
      </w:r>
      <w:r w:rsidRPr="00370BB1">
        <w:rPr>
          <w:color w:val="212121"/>
          <w:sz w:val="20"/>
          <w:szCs w:val="20"/>
          <w:shd w:val="clear" w:color="auto" w:fill="FFFFFF"/>
        </w:rPr>
        <w:t>, </w:t>
      </w:r>
      <w:r w:rsidRPr="00370BB1">
        <w:rPr>
          <w:i/>
          <w:iCs/>
          <w:color w:val="212121"/>
          <w:sz w:val="20"/>
          <w:szCs w:val="20"/>
          <w:shd w:val="clear" w:color="auto" w:fill="FFFFFF"/>
        </w:rPr>
        <w:t>49</w:t>
      </w:r>
      <w:r w:rsidRPr="00370BB1">
        <w:rPr>
          <w:color w:val="212121"/>
          <w:sz w:val="20"/>
          <w:szCs w:val="20"/>
          <w:shd w:val="clear" w:color="auto" w:fill="FFFFFF"/>
        </w:rPr>
        <w:t>(11), 2069–2077. https://doi.org/10.18502/ijph.v49i11.4722</w:t>
      </w:r>
    </w:p>
    <w:p w:rsidR="00C413B5" w:rsidRPr="00370BB1" w:rsidRDefault="00C413B5" w:rsidP="00C413B5">
      <w:pPr>
        <w:jc w:val="both"/>
        <w:rPr>
          <w:color w:val="000000"/>
          <w:sz w:val="20"/>
          <w:szCs w:val="20"/>
        </w:rPr>
      </w:pPr>
    </w:p>
    <w:p w:rsidR="00C413B5" w:rsidRPr="00370BB1" w:rsidRDefault="00C413B5" w:rsidP="00C413B5">
      <w:pPr>
        <w:jc w:val="both"/>
        <w:rPr>
          <w:color w:val="000000"/>
          <w:sz w:val="20"/>
          <w:szCs w:val="20"/>
        </w:rPr>
      </w:pPr>
      <w:proofErr w:type="spellStart"/>
      <w:r w:rsidRPr="00370BB1">
        <w:rPr>
          <w:color w:val="000000"/>
          <w:sz w:val="20"/>
          <w:szCs w:val="20"/>
        </w:rPr>
        <w:t>Peukert</w:t>
      </w:r>
      <w:proofErr w:type="spellEnd"/>
      <w:r w:rsidRPr="00370BB1">
        <w:rPr>
          <w:color w:val="000000"/>
          <w:sz w:val="20"/>
          <w:szCs w:val="20"/>
        </w:rPr>
        <w:t xml:space="preserve">, P., </w:t>
      </w:r>
      <w:proofErr w:type="spellStart"/>
      <w:r w:rsidRPr="00370BB1">
        <w:rPr>
          <w:color w:val="000000"/>
          <w:sz w:val="20"/>
          <w:szCs w:val="20"/>
        </w:rPr>
        <w:t>Sieslack</w:t>
      </w:r>
      <w:proofErr w:type="spellEnd"/>
      <w:r w:rsidRPr="00370BB1">
        <w:rPr>
          <w:color w:val="000000"/>
          <w:sz w:val="20"/>
          <w:szCs w:val="20"/>
        </w:rPr>
        <w:t xml:space="preserve"> S., Barth, G., &amp; Batra, A. (2010). Internet- and computer game addiction: phenomenology, co morbidity, etiology, diagnostics and therapeutic implications for the </w:t>
      </w:r>
      <w:proofErr w:type="spellStart"/>
      <w:r w:rsidRPr="00370BB1">
        <w:rPr>
          <w:color w:val="000000"/>
          <w:sz w:val="20"/>
          <w:szCs w:val="20"/>
        </w:rPr>
        <w:t>addictives</w:t>
      </w:r>
      <w:proofErr w:type="spellEnd"/>
      <w:r w:rsidRPr="00370BB1">
        <w:rPr>
          <w:color w:val="000000"/>
          <w:sz w:val="20"/>
          <w:szCs w:val="20"/>
        </w:rPr>
        <w:t xml:space="preserve"> and their relatives. </w:t>
      </w:r>
      <w:proofErr w:type="spellStart"/>
      <w:r w:rsidRPr="00370BB1">
        <w:rPr>
          <w:i/>
          <w:color w:val="000000"/>
          <w:sz w:val="20"/>
          <w:szCs w:val="20"/>
        </w:rPr>
        <w:t>Psychiatrische</w:t>
      </w:r>
      <w:proofErr w:type="spellEnd"/>
      <w:r w:rsidRPr="00370BB1">
        <w:rPr>
          <w:i/>
          <w:color w:val="000000"/>
          <w:sz w:val="20"/>
          <w:szCs w:val="20"/>
        </w:rPr>
        <w:t xml:space="preserve"> Praxis,</w:t>
      </w:r>
      <w:r w:rsidRPr="00370BB1">
        <w:rPr>
          <w:color w:val="000000"/>
          <w:sz w:val="20"/>
          <w:szCs w:val="20"/>
        </w:rPr>
        <w:t xml:space="preserve"> 37(5):219-24. </w:t>
      </w:r>
      <w:proofErr w:type="spellStart"/>
      <w:r w:rsidRPr="00370BB1">
        <w:rPr>
          <w:color w:val="000000"/>
          <w:sz w:val="20"/>
          <w:szCs w:val="20"/>
        </w:rPr>
        <w:t>doi</w:t>
      </w:r>
      <w:proofErr w:type="spellEnd"/>
      <w:r w:rsidRPr="00370BB1">
        <w:rPr>
          <w:color w:val="000000"/>
          <w:sz w:val="20"/>
          <w:szCs w:val="20"/>
        </w:rPr>
        <w:t xml:space="preserve">: 10.1055/s-0030-1248442. </w:t>
      </w:r>
      <w:proofErr w:type="spellStart"/>
      <w:r w:rsidRPr="00370BB1">
        <w:rPr>
          <w:color w:val="000000"/>
          <w:sz w:val="20"/>
          <w:szCs w:val="20"/>
        </w:rPr>
        <w:t>Epub</w:t>
      </w:r>
      <w:proofErr w:type="spellEnd"/>
      <w:r w:rsidRPr="00370BB1">
        <w:rPr>
          <w:color w:val="000000"/>
          <w:sz w:val="20"/>
          <w:szCs w:val="20"/>
        </w:rPr>
        <w:t xml:space="preserve"> 2010 Jul 1.</w:t>
      </w:r>
    </w:p>
    <w:p w:rsidR="00C413B5" w:rsidRPr="00370BB1" w:rsidRDefault="00C413B5" w:rsidP="00C413B5">
      <w:pPr>
        <w:jc w:val="both"/>
        <w:rPr>
          <w:color w:val="000000"/>
          <w:sz w:val="20"/>
          <w:szCs w:val="20"/>
        </w:rPr>
      </w:pPr>
      <w:r w:rsidRPr="00370BB1">
        <w:rPr>
          <w:color w:val="000000"/>
          <w:sz w:val="20"/>
          <w:szCs w:val="20"/>
        </w:rPr>
        <w:t xml:space="preserve"> </w:t>
      </w:r>
    </w:p>
    <w:p w:rsidR="00C413B5" w:rsidRPr="00370BB1" w:rsidRDefault="00C413B5" w:rsidP="00C413B5">
      <w:pPr>
        <w:jc w:val="both"/>
        <w:rPr>
          <w:color w:val="000000"/>
          <w:sz w:val="20"/>
          <w:szCs w:val="20"/>
        </w:rPr>
      </w:pPr>
      <w:proofErr w:type="spellStart"/>
      <w:r w:rsidRPr="00370BB1">
        <w:rPr>
          <w:color w:val="000000"/>
          <w:sz w:val="20"/>
          <w:szCs w:val="20"/>
        </w:rPr>
        <w:lastRenderedPageBreak/>
        <w:t>Phuphaibul</w:t>
      </w:r>
      <w:proofErr w:type="spellEnd"/>
      <w:r w:rsidRPr="00370BB1">
        <w:rPr>
          <w:color w:val="000000"/>
          <w:sz w:val="20"/>
          <w:szCs w:val="20"/>
        </w:rPr>
        <w:t xml:space="preserve">, R., </w:t>
      </w:r>
      <w:proofErr w:type="spellStart"/>
      <w:r w:rsidRPr="00370BB1">
        <w:rPr>
          <w:color w:val="000000"/>
          <w:sz w:val="20"/>
          <w:szCs w:val="20"/>
        </w:rPr>
        <w:t>Luecha</w:t>
      </w:r>
      <w:proofErr w:type="spellEnd"/>
      <w:r w:rsidRPr="00370BB1">
        <w:rPr>
          <w:color w:val="000000"/>
          <w:sz w:val="20"/>
          <w:szCs w:val="20"/>
        </w:rPr>
        <w:t xml:space="preserve">, Y., </w:t>
      </w:r>
      <w:proofErr w:type="spellStart"/>
      <w:r w:rsidRPr="00370BB1">
        <w:rPr>
          <w:color w:val="000000"/>
          <w:sz w:val="20"/>
          <w:szCs w:val="20"/>
        </w:rPr>
        <w:t>Puttawattana</w:t>
      </w:r>
      <w:proofErr w:type="spellEnd"/>
      <w:r w:rsidRPr="00370BB1">
        <w:rPr>
          <w:color w:val="000000"/>
          <w:sz w:val="20"/>
          <w:szCs w:val="20"/>
        </w:rPr>
        <w:t xml:space="preserve">, P., </w:t>
      </w:r>
      <w:proofErr w:type="spellStart"/>
      <w:r w:rsidRPr="00370BB1">
        <w:rPr>
          <w:color w:val="000000"/>
          <w:sz w:val="20"/>
          <w:szCs w:val="20"/>
        </w:rPr>
        <w:t>Tachudhong</w:t>
      </w:r>
      <w:proofErr w:type="spellEnd"/>
      <w:r w:rsidRPr="00370BB1">
        <w:rPr>
          <w:color w:val="000000"/>
          <w:sz w:val="20"/>
          <w:szCs w:val="20"/>
        </w:rPr>
        <w:t xml:space="preserve">, A., </w:t>
      </w:r>
      <w:proofErr w:type="spellStart"/>
      <w:r w:rsidRPr="00370BB1">
        <w:rPr>
          <w:color w:val="000000"/>
          <w:sz w:val="20"/>
          <w:szCs w:val="20"/>
        </w:rPr>
        <w:t>Tubsart</w:t>
      </w:r>
      <w:proofErr w:type="spellEnd"/>
      <w:r w:rsidRPr="00370BB1">
        <w:rPr>
          <w:color w:val="000000"/>
          <w:sz w:val="20"/>
          <w:szCs w:val="20"/>
        </w:rPr>
        <w:t xml:space="preserve">, C., </w:t>
      </w:r>
      <w:proofErr w:type="spellStart"/>
      <w:r w:rsidRPr="00370BB1">
        <w:rPr>
          <w:color w:val="000000"/>
          <w:sz w:val="20"/>
          <w:szCs w:val="20"/>
        </w:rPr>
        <w:t>Nuntawan</w:t>
      </w:r>
      <w:proofErr w:type="spellEnd"/>
      <w:r w:rsidRPr="00370BB1">
        <w:rPr>
          <w:color w:val="000000"/>
          <w:sz w:val="20"/>
          <w:szCs w:val="20"/>
        </w:rPr>
        <w:t>, C., &amp;</w:t>
      </w:r>
      <w:proofErr w:type="spellStart"/>
      <w:r w:rsidRPr="00370BB1">
        <w:rPr>
          <w:color w:val="000000"/>
          <w:sz w:val="20"/>
          <w:szCs w:val="20"/>
        </w:rPr>
        <w:t>Thanooruk</w:t>
      </w:r>
      <w:proofErr w:type="spellEnd"/>
      <w:r w:rsidRPr="00370BB1">
        <w:rPr>
          <w:color w:val="000000"/>
          <w:sz w:val="20"/>
          <w:szCs w:val="20"/>
        </w:rPr>
        <w:t xml:space="preserve">, R. (2005).Video/computer game playing in Thai adolescents. </w:t>
      </w:r>
      <w:proofErr w:type="spellStart"/>
      <w:r w:rsidRPr="00370BB1">
        <w:rPr>
          <w:i/>
          <w:color w:val="000000"/>
          <w:sz w:val="20"/>
          <w:szCs w:val="20"/>
        </w:rPr>
        <w:t>Ramathibodi</w:t>
      </w:r>
      <w:proofErr w:type="spellEnd"/>
      <w:r w:rsidRPr="00370BB1">
        <w:rPr>
          <w:i/>
          <w:color w:val="000000"/>
          <w:sz w:val="20"/>
          <w:szCs w:val="20"/>
        </w:rPr>
        <w:t xml:space="preserve"> Medical Journal</w:t>
      </w:r>
      <w:r w:rsidRPr="00370BB1">
        <w:rPr>
          <w:color w:val="000000"/>
          <w:sz w:val="20"/>
          <w:szCs w:val="20"/>
        </w:rPr>
        <w:t>, 28(2), 74-82.</w:t>
      </w:r>
    </w:p>
    <w:p w:rsidR="00C413B5" w:rsidRPr="00370BB1" w:rsidRDefault="00C413B5" w:rsidP="00C413B5">
      <w:pPr>
        <w:jc w:val="both"/>
        <w:rPr>
          <w:color w:val="000000"/>
          <w:sz w:val="20"/>
          <w:szCs w:val="20"/>
        </w:rPr>
      </w:pPr>
      <w:r w:rsidRPr="00370BB1">
        <w:rPr>
          <w:color w:val="000000"/>
          <w:sz w:val="20"/>
          <w:szCs w:val="20"/>
        </w:rPr>
        <w:t xml:space="preserve"> </w:t>
      </w:r>
    </w:p>
    <w:p w:rsidR="00C413B5" w:rsidRPr="00370BB1" w:rsidRDefault="00C413B5" w:rsidP="00C413B5">
      <w:pPr>
        <w:jc w:val="both"/>
        <w:rPr>
          <w:color w:val="000000"/>
          <w:sz w:val="20"/>
          <w:szCs w:val="20"/>
        </w:rPr>
      </w:pPr>
      <w:proofErr w:type="spellStart"/>
      <w:r w:rsidRPr="00370BB1">
        <w:rPr>
          <w:color w:val="000000"/>
          <w:sz w:val="20"/>
          <w:szCs w:val="20"/>
        </w:rPr>
        <w:t>Polanczyk</w:t>
      </w:r>
      <w:proofErr w:type="spellEnd"/>
      <w:r w:rsidRPr="00370BB1">
        <w:rPr>
          <w:color w:val="000000"/>
          <w:sz w:val="20"/>
          <w:szCs w:val="20"/>
        </w:rPr>
        <w:t xml:space="preserve">, G.V., </w:t>
      </w:r>
      <w:proofErr w:type="spellStart"/>
      <w:r w:rsidRPr="00370BB1">
        <w:rPr>
          <w:color w:val="000000"/>
          <w:sz w:val="20"/>
          <w:szCs w:val="20"/>
        </w:rPr>
        <w:t>Salum</w:t>
      </w:r>
      <w:proofErr w:type="spellEnd"/>
      <w:r w:rsidRPr="00370BB1">
        <w:rPr>
          <w:color w:val="000000"/>
          <w:sz w:val="20"/>
          <w:szCs w:val="20"/>
        </w:rPr>
        <w:t xml:space="preserve">, G.A., </w:t>
      </w:r>
      <w:proofErr w:type="spellStart"/>
      <w:r w:rsidRPr="00370BB1">
        <w:rPr>
          <w:color w:val="000000"/>
          <w:sz w:val="20"/>
          <w:szCs w:val="20"/>
        </w:rPr>
        <w:t>Sugaya</w:t>
      </w:r>
      <w:proofErr w:type="spellEnd"/>
      <w:r w:rsidRPr="00370BB1">
        <w:rPr>
          <w:color w:val="000000"/>
          <w:sz w:val="20"/>
          <w:szCs w:val="20"/>
        </w:rPr>
        <w:t xml:space="preserve">, L.S., </w:t>
      </w:r>
      <w:proofErr w:type="gramStart"/>
      <w:r w:rsidRPr="00370BB1">
        <w:rPr>
          <w:color w:val="000000"/>
          <w:sz w:val="20"/>
          <w:szCs w:val="20"/>
        </w:rPr>
        <w:t>et al. .</w:t>
      </w:r>
      <w:proofErr w:type="gramEnd"/>
      <w:r w:rsidRPr="00370BB1">
        <w:rPr>
          <w:color w:val="000000"/>
          <w:sz w:val="20"/>
          <w:szCs w:val="20"/>
        </w:rPr>
        <w:t xml:space="preserve"> (2015). Annual research review: a meta-analysis of the worldwide prevalence of mental disorders in children and adolescents. </w:t>
      </w:r>
      <w:r w:rsidRPr="00370BB1">
        <w:rPr>
          <w:i/>
          <w:color w:val="000000"/>
          <w:sz w:val="20"/>
          <w:szCs w:val="20"/>
        </w:rPr>
        <w:t xml:space="preserve">J Child Psychol </w:t>
      </w:r>
      <w:proofErr w:type="spellStart"/>
      <w:r w:rsidRPr="00370BB1">
        <w:rPr>
          <w:i/>
          <w:color w:val="000000"/>
          <w:sz w:val="20"/>
          <w:szCs w:val="20"/>
        </w:rPr>
        <w:t>Psychiat</w:t>
      </w:r>
      <w:proofErr w:type="spellEnd"/>
      <w:r w:rsidRPr="00370BB1">
        <w:rPr>
          <w:rStyle w:val="22"/>
          <w:rFonts w:ascii="Arial" w:hAnsi="Arial" w:hint="default"/>
          <w:color w:val="000000"/>
          <w:sz w:val="20"/>
          <w:szCs w:val="20"/>
        </w:rPr>
        <w:t xml:space="preserve">, </w:t>
      </w:r>
      <w:r w:rsidRPr="00370BB1">
        <w:rPr>
          <w:color w:val="000000"/>
          <w:sz w:val="20"/>
          <w:szCs w:val="20"/>
        </w:rPr>
        <w:t>56, 345–365.</w:t>
      </w:r>
    </w:p>
    <w:p w:rsidR="00C413B5" w:rsidRPr="00370BB1" w:rsidRDefault="00C413B5" w:rsidP="00C413B5">
      <w:pPr>
        <w:jc w:val="both"/>
        <w:rPr>
          <w:sz w:val="20"/>
          <w:szCs w:val="20"/>
        </w:rPr>
      </w:pPr>
      <w:r w:rsidRPr="00370BB1">
        <w:rPr>
          <w:sz w:val="20"/>
          <w:szCs w:val="20"/>
        </w:rPr>
        <w:t xml:space="preserve"> </w:t>
      </w:r>
    </w:p>
    <w:p w:rsidR="00C413B5" w:rsidRPr="00370BB1" w:rsidRDefault="00C413B5" w:rsidP="00C413B5">
      <w:pPr>
        <w:jc w:val="both"/>
        <w:rPr>
          <w:sz w:val="20"/>
          <w:szCs w:val="20"/>
        </w:rPr>
      </w:pPr>
      <w:r w:rsidRPr="00370BB1">
        <w:rPr>
          <w:sz w:val="20"/>
          <w:szCs w:val="20"/>
        </w:rPr>
        <w:t xml:space="preserve">Sayeed MA, Rasel M., Habibullah AA, Hossain, MM. (2021). Prevalence and underlying factors of mobile game addiction among university students in Bangladesh. GMH (Cambridge, England).; 8: e35. Available from: </w:t>
      </w:r>
      <w:hyperlink r:id="rId18" w:history="1">
        <w:r w:rsidRPr="00370BB1">
          <w:rPr>
            <w:rStyle w:val="15"/>
            <w:rFonts w:ascii="Arial" w:hAnsi="Arial" w:hint="default"/>
            <w:sz w:val="20"/>
            <w:szCs w:val="20"/>
          </w:rPr>
          <w:t>https://doi.org/10.1017/gmh.2021.34</w:t>
        </w:r>
      </w:hyperlink>
      <w:r w:rsidRPr="00370BB1">
        <w:rPr>
          <w:sz w:val="20"/>
          <w:szCs w:val="20"/>
        </w:rPr>
        <w:t xml:space="preserve"> </w:t>
      </w:r>
    </w:p>
    <w:p w:rsidR="00C413B5" w:rsidRPr="00370BB1" w:rsidRDefault="00C413B5" w:rsidP="00C413B5">
      <w:pPr>
        <w:ind w:left="720" w:hanging="720"/>
        <w:jc w:val="both"/>
        <w:rPr>
          <w:color w:val="000000"/>
          <w:sz w:val="20"/>
          <w:szCs w:val="20"/>
        </w:rPr>
      </w:pPr>
      <w:r w:rsidRPr="00370BB1">
        <w:rPr>
          <w:color w:val="000000"/>
          <w:sz w:val="20"/>
          <w:szCs w:val="20"/>
        </w:rPr>
        <w:t xml:space="preserve"> </w:t>
      </w:r>
    </w:p>
    <w:p w:rsidR="00C413B5" w:rsidRPr="00370BB1" w:rsidRDefault="00C413B5" w:rsidP="00C413B5">
      <w:pPr>
        <w:jc w:val="both"/>
        <w:rPr>
          <w:color w:val="000000"/>
          <w:sz w:val="20"/>
          <w:szCs w:val="20"/>
        </w:rPr>
      </w:pPr>
      <w:r w:rsidRPr="00370BB1">
        <w:rPr>
          <w:color w:val="000000"/>
          <w:sz w:val="20"/>
          <w:szCs w:val="20"/>
        </w:rPr>
        <w:t xml:space="preserve">Shah, D., </w:t>
      </w:r>
      <w:proofErr w:type="spellStart"/>
      <w:r w:rsidRPr="00370BB1">
        <w:rPr>
          <w:color w:val="000000"/>
          <w:sz w:val="20"/>
          <w:szCs w:val="20"/>
        </w:rPr>
        <w:t>Schmierbach</w:t>
      </w:r>
      <w:proofErr w:type="spellEnd"/>
      <w:r w:rsidRPr="00370BB1">
        <w:rPr>
          <w:color w:val="000000"/>
          <w:sz w:val="20"/>
          <w:szCs w:val="20"/>
        </w:rPr>
        <w:t xml:space="preserve">, M., Hawkins, J., Espino, R., &amp; Donavan, J. (2002). </w:t>
      </w:r>
      <w:proofErr w:type="spellStart"/>
      <w:r w:rsidRPr="00370BB1">
        <w:rPr>
          <w:color w:val="000000"/>
          <w:sz w:val="20"/>
          <w:szCs w:val="20"/>
        </w:rPr>
        <w:t>Nonrecursive</w:t>
      </w:r>
      <w:proofErr w:type="spellEnd"/>
      <w:r w:rsidRPr="00370BB1">
        <w:rPr>
          <w:color w:val="000000"/>
          <w:sz w:val="20"/>
          <w:szCs w:val="20"/>
        </w:rPr>
        <w:t xml:space="preserve"> models of Internet use and community engagement: Questioning whether time spent online erodes social capital. </w:t>
      </w:r>
      <w:r w:rsidRPr="00370BB1">
        <w:rPr>
          <w:i/>
          <w:color w:val="000000"/>
          <w:sz w:val="20"/>
          <w:szCs w:val="20"/>
        </w:rPr>
        <w:t>Journalism &amp; Mass Communication Quarterly</w:t>
      </w:r>
      <w:r w:rsidRPr="00370BB1">
        <w:rPr>
          <w:color w:val="000000"/>
          <w:sz w:val="20"/>
          <w:szCs w:val="20"/>
        </w:rPr>
        <w:t>, 79, 964–987.</w:t>
      </w:r>
    </w:p>
    <w:p w:rsidR="00D0192E" w:rsidRPr="00370BB1" w:rsidRDefault="00D0192E" w:rsidP="00D0192E">
      <w:pPr>
        <w:spacing w:line="240" w:lineRule="auto"/>
        <w:rPr>
          <w:color w:val="000000"/>
          <w:sz w:val="20"/>
          <w:szCs w:val="20"/>
        </w:rPr>
      </w:pPr>
    </w:p>
    <w:p w:rsidR="00D0192E" w:rsidRPr="00370BB1" w:rsidRDefault="00D0192E" w:rsidP="00D0192E">
      <w:pPr>
        <w:spacing w:line="240" w:lineRule="auto"/>
        <w:rPr>
          <w:color w:val="000000"/>
          <w:sz w:val="20"/>
          <w:szCs w:val="20"/>
        </w:rPr>
      </w:pPr>
      <w:r w:rsidRPr="00370BB1">
        <w:rPr>
          <w:color w:val="000000"/>
          <w:sz w:val="20"/>
          <w:szCs w:val="20"/>
        </w:rPr>
        <w:t>Shi, Y., Tang, Z., Zhang, G., Hu, M., &amp; Liu, Y. (2023). Association Between Family Atmosphere and Internet Addiction Among Adolescents: The Mediating Role of Self-Esteem and Negative Emotions. </w:t>
      </w:r>
      <w:r w:rsidRPr="00370BB1">
        <w:rPr>
          <w:i/>
          <w:iCs/>
          <w:color w:val="000000"/>
          <w:sz w:val="20"/>
          <w:szCs w:val="20"/>
        </w:rPr>
        <w:t>International Journal of Public Health</w:t>
      </w:r>
      <w:r w:rsidRPr="00370BB1">
        <w:rPr>
          <w:color w:val="000000"/>
          <w:sz w:val="20"/>
          <w:szCs w:val="20"/>
        </w:rPr>
        <w:t>, </w:t>
      </w:r>
      <w:r w:rsidRPr="00370BB1">
        <w:rPr>
          <w:i/>
          <w:iCs/>
          <w:color w:val="000000"/>
          <w:sz w:val="20"/>
          <w:szCs w:val="20"/>
        </w:rPr>
        <w:t>68</w:t>
      </w:r>
      <w:r w:rsidRPr="00370BB1">
        <w:rPr>
          <w:color w:val="000000"/>
          <w:sz w:val="20"/>
          <w:szCs w:val="20"/>
        </w:rPr>
        <w:t xml:space="preserve">. </w:t>
      </w:r>
      <w:hyperlink r:id="rId19" w:history="1">
        <w:r w:rsidRPr="00370BB1">
          <w:rPr>
            <w:rStyle w:val="Hyperlink"/>
            <w:sz w:val="20"/>
            <w:szCs w:val="20"/>
          </w:rPr>
          <w:t>https://doi.org/10.3389/ijph.2023.1605609</w:t>
        </w:r>
      </w:hyperlink>
    </w:p>
    <w:p w:rsidR="00D0192E" w:rsidRPr="00370BB1" w:rsidRDefault="00D0192E" w:rsidP="00D0192E">
      <w:pPr>
        <w:spacing w:line="240" w:lineRule="auto"/>
        <w:ind w:left="720" w:hanging="720"/>
        <w:rPr>
          <w:color w:val="000000"/>
          <w:sz w:val="20"/>
          <w:szCs w:val="20"/>
        </w:rPr>
      </w:pPr>
    </w:p>
    <w:p w:rsidR="00C413B5" w:rsidRPr="00370BB1" w:rsidRDefault="00C413B5" w:rsidP="00C413B5">
      <w:pPr>
        <w:jc w:val="both"/>
        <w:rPr>
          <w:color w:val="000000"/>
          <w:sz w:val="20"/>
          <w:szCs w:val="20"/>
        </w:rPr>
      </w:pPr>
      <w:proofErr w:type="spellStart"/>
      <w:r w:rsidRPr="00370BB1">
        <w:rPr>
          <w:rFonts w:eastAsia="Calibri"/>
          <w:color w:val="000000"/>
          <w:sz w:val="20"/>
          <w:szCs w:val="20"/>
        </w:rPr>
        <w:t>Smetaniuk</w:t>
      </w:r>
      <w:proofErr w:type="spellEnd"/>
      <w:r w:rsidRPr="00370BB1">
        <w:rPr>
          <w:rFonts w:eastAsia="Calibri"/>
          <w:color w:val="000000"/>
          <w:sz w:val="20"/>
          <w:szCs w:val="20"/>
        </w:rPr>
        <w:t xml:space="preserve"> P. (2014). A preliminary investigation into the prevalence and prediction of problematic cell phone use. </w:t>
      </w:r>
      <w:r w:rsidRPr="00370BB1">
        <w:rPr>
          <w:rFonts w:eastAsia="Calibri"/>
          <w:i/>
          <w:color w:val="000000"/>
          <w:sz w:val="20"/>
          <w:szCs w:val="20"/>
        </w:rPr>
        <w:t xml:space="preserve">J </w:t>
      </w:r>
      <w:proofErr w:type="spellStart"/>
      <w:r w:rsidRPr="00370BB1">
        <w:rPr>
          <w:rFonts w:eastAsia="Calibri"/>
          <w:i/>
          <w:color w:val="000000"/>
          <w:sz w:val="20"/>
          <w:szCs w:val="20"/>
        </w:rPr>
        <w:t>Behav</w:t>
      </w:r>
      <w:proofErr w:type="spellEnd"/>
      <w:r w:rsidRPr="00370BB1">
        <w:rPr>
          <w:rFonts w:eastAsia="Calibri"/>
          <w:i/>
          <w:color w:val="000000"/>
          <w:sz w:val="20"/>
          <w:szCs w:val="20"/>
        </w:rPr>
        <w:t xml:space="preserve"> Addict</w:t>
      </w:r>
      <w:r w:rsidRPr="00370BB1">
        <w:rPr>
          <w:rStyle w:val="22"/>
          <w:rFonts w:ascii="Arial" w:hAnsi="Arial" w:hint="default"/>
          <w:color w:val="000000"/>
          <w:sz w:val="20"/>
          <w:szCs w:val="20"/>
        </w:rPr>
        <w:t>,</w:t>
      </w:r>
      <w:r w:rsidRPr="00370BB1">
        <w:rPr>
          <w:rFonts w:eastAsia="Calibri"/>
          <w:color w:val="000000"/>
          <w:sz w:val="20"/>
          <w:szCs w:val="20"/>
        </w:rPr>
        <w:t xml:space="preserve"> 3(1),41–53.</w:t>
      </w:r>
    </w:p>
    <w:p w:rsidR="00C413B5" w:rsidRPr="00370BB1" w:rsidRDefault="00C413B5" w:rsidP="00C413B5">
      <w:pPr>
        <w:jc w:val="both"/>
        <w:rPr>
          <w:color w:val="000000"/>
          <w:sz w:val="20"/>
          <w:szCs w:val="20"/>
        </w:rPr>
      </w:pPr>
      <w:r w:rsidRPr="00370BB1">
        <w:rPr>
          <w:color w:val="000000"/>
          <w:sz w:val="20"/>
          <w:szCs w:val="20"/>
        </w:rPr>
        <w:t xml:space="preserve"> </w:t>
      </w:r>
    </w:p>
    <w:p w:rsidR="00C413B5" w:rsidRPr="00370BB1" w:rsidRDefault="00C413B5" w:rsidP="00C413B5">
      <w:pPr>
        <w:jc w:val="both"/>
        <w:rPr>
          <w:color w:val="000000"/>
          <w:sz w:val="20"/>
          <w:szCs w:val="20"/>
        </w:rPr>
      </w:pPr>
      <w:r w:rsidRPr="00370BB1">
        <w:rPr>
          <w:color w:val="000000"/>
          <w:sz w:val="20"/>
          <w:szCs w:val="20"/>
        </w:rPr>
        <w:t xml:space="preserve">Smith, R., Fagan, C., Wilson, N., Chen, J., Corona, M., Nguyen, H., </w:t>
      </w:r>
      <w:proofErr w:type="spellStart"/>
      <w:r w:rsidRPr="00370BB1">
        <w:rPr>
          <w:color w:val="000000"/>
          <w:sz w:val="20"/>
          <w:szCs w:val="20"/>
        </w:rPr>
        <w:t>Racz</w:t>
      </w:r>
      <w:proofErr w:type="spellEnd"/>
      <w:r w:rsidRPr="00370BB1">
        <w:rPr>
          <w:color w:val="000000"/>
          <w:sz w:val="20"/>
          <w:szCs w:val="20"/>
        </w:rPr>
        <w:t xml:space="preserve">, S., &amp; </w:t>
      </w:r>
      <w:proofErr w:type="spellStart"/>
      <w:r w:rsidRPr="00370BB1">
        <w:rPr>
          <w:color w:val="000000"/>
          <w:sz w:val="20"/>
          <w:szCs w:val="20"/>
        </w:rPr>
        <w:t>Shoda</w:t>
      </w:r>
      <w:proofErr w:type="spellEnd"/>
      <w:r w:rsidRPr="00370BB1">
        <w:rPr>
          <w:color w:val="000000"/>
          <w:sz w:val="20"/>
          <w:szCs w:val="20"/>
        </w:rPr>
        <w:t xml:space="preserve">, Y. (2011). Internet-based approaches to collaborative therapeutic assessment: new opportunities for professional psychologists. </w:t>
      </w:r>
      <w:r w:rsidRPr="00370BB1">
        <w:rPr>
          <w:i/>
          <w:color w:val="000000"/>
          <w:sz w:val="20"/>
          <w:szCs w:val="20"/>
        </w:rPr>
        <w:t>Professional Psychology-Research and Practice</w:t>
      </w:r>
      <w:r w:rsidRPr="00370BB1">
        <w:rPr>
          <w:color w:val="000000"/>
          <w:sz w:val="20"/>
          <w:szCs w:val="20"/>
        </w:rPr>
        <w:t>, 42(6), 494-504</w:t>
      </w:r>
    </w:p>
    <w:p w:rsidR="00C413B5" w:rsidRPr="00370BB1" w:rsidRDefault="00C413B5" w:rsidP="00C413B5">
      <w:pPr>
        <w:jc w:val="both"/>
        <w:rPr>
          <w:color w:val="000000"/>
          <w:sz w:val="20"/>
          <w:szCs w:val="20"/>
        </w:rPr>
      </w:pPr>
      <w:r w:rsidRPr="00370BB1">
        <w:rPr>
          <w:color w:val="000000"/>
          <w:sz w:val="20"/>
          <w:szCs w:val="20"/>
        </w:rPr>
        <w:t xml:space="preserve"> </w:t>
      </w:r>
    </w:p>
    <w:p w:rsidR="00C413B5" w:rsidRPr="00370BB1" w:rsidRDefault="00C413B5" w:rsidP="00C413B5">
      <w:pPr>
        <w:jc w:val="both"/>
        <w:rPr>
          <w:color w:val="000000"/>
          <w:sz w:val="20"/>
          <w:szCs w:val="20"/>
        </w:rPr>
      </w:pPr>
      <w:r w:rsidRPr="00370BB1">
        <w:rPr>
          <w:color w:val="000000"/>
          <w:sz w:val="20"/>
          <w:szCs w:val="20"/>
        </w:rPr>
        <w:t xml:space="preserve">Stevens, M. W., </w:t>
      </w:r>
      <w:proofErr w:type="spellStart"/>
      <w:r w:rsidRPr="00370BB1">
        <w:rPr>
          <w:color w:val="000000"/>
          <w:sz w:val="20"/>
          <w:szCs w:val="20"/>
        </w:rPr>
        <w:t>Dorstyn</w:t>
      </w:r>
      <w:proofErr w:type="spellEnd"/>
      <w:r w:rsidRPr="00370BB1">
        <w:rPr>
          <w:color w:val="000000"/>
          <w:sz w:val="20"/>
          <w:szCs w:val="20"/>
        </w:rPr>
        <w:t xml:space="preserve">, D., </w:t>
      </w:r>
      <w:proofErr w:type="spellStart"/>
      <w:r w:rsidRPr="00370BB1">
        <w:rPr>
          <w:color w:val="000000"/>
          <w:sz w:val="20"/>
          <w:szCs w:val="20"/>
        </w:rPr>
        <w:t>Delfabbro</w:t>
      </w:r>
      <w:proofErr w:type="spellEnd"/>
      <w:r w:rsidRPr="00370BB1">
        <w:rPr>
          <w:color w:val="000000"/>
          <w:sz w:val="20"/>
          <w:szCs w:val="20"/>
        </w:rPr>
        <w:t xml:space="preserve">, P. H., &amp; King, D. L. (2020). </w:t>
      </w:r>
      <w:r w:rsidRPr="00370BB1">
        <w:rPr>
          <w:iCs/>
          <w:color w:val="000000"/>
          <w:sz w:val="20"/>
          <w:szCs w:val="20"/>
        </w:rPr>
        <w:t>Global prevalence of gaming disorder: A systematic review and meta-analysis.</w:t>
      </w:r>
      <w:r w:rsidRPr="00370BB1">
        <w:rPr>
          <w:i/>
          <w:iCs/>
          <w:color w:val="000000"/>
          <w:sz w:val="20"/>
          <w:szCs w:val="20"/>
        </w:rPr>
        <w:t xml:space="preserve"> Australian &amp; New Zealand Journal of Psychiatry, 000486742096285.</w:t>
      </w:r>
      <w:r w:rsidRPr="00370BB1">
        <w:rPr>
          <w:color w:val="000000"/>
          <w:sz w:val="20"/>
          <w:szCs w:val="20"/>
        </w:rPr>
        <w:t xml:space="preserve"> doi:10.1177/0004867420962851.</w:t>
      </w:r>
    </w:p>
    <w:p w:rsidR="00C413B5" w:rsidRPr="00370BB1" w:rsidRDefault="00C413B5" w:rsidP="00C413B5">
      <w:pPr>
        <w:ind w:left="720" w:hanging="720"/>
        <w:jc w:val="both"/>
        <w:rPr>
          <w:color w:val="000000"/>
          <w:sz w:val="20"/>
          <w:szCs w:val="20"/>
        </w:rPr>
      </w:pPr>
      <w:r w:rsidRPr="00370BB1">
        <w:rPr>
          <w:color w:val="000000"/>
          <w:sz w:val="20"/>
          <w:szCs w:val="20"/>
        </w:rPr>
        <w:t xml:space="preserve"> </w:t>
      </w:r>
    </w:p>
    <w:p w:rsidR="00C413B5" w:rsidRPr="00370BB1" w:rsidRDefault="00C413B5" w:rsidP="00C413B5">
      <w:pPr>
        <w:jc w:val="both"/>
        <w:rPr>
          <w:color w:val="000000"/>
          <w:sz w:val="20"/>
          <w:szCs w:val="20"/>
        </w:rPr>
      </w:pPr>
      <w:r w:rsidRPr="00370BB1">
        <w:rPr>
          <w:color w:val="333333"/>
          <w:sz w:val="20"/>
          <w:szCs w:val="20"/>
        </w:rPr>
        <w:t xml:space="preserve">UNICEF (2024). Mental Health. </w:t>
      </w:r>
      <w:r w:rsidRPr="00370BB1">
        <w:rPr>
          <w:bCs/>
          <w:color w:val="333333"/>
          <w:sz w:val="20"/>
          <w:szCs w:val="20"/>
        </w:rPr>
        <w:t xml:space="preserve">Ensuring mental health and well-being in an adolescent’s formative years can foster a better transition from childhood to adulthood. </w:t>
      </w:r>
      <w:hyperlink r:id="rId20" w:anchor="_edn1" w:history="1">
        <w:r w:rsidRPr="00370BB1">
          <w:rPr>
            <w:rStyle w:val="15"/>
            <w:rFonts w:ascii="Arial" w:hAnsi="Arial" w:hint="default"/>
            <w:sz w:val="20"/>
            <w:szCs w:val="20"/>
          </w:rPr>
          <w:t>https://data.unicef.org/topic/child-health/mental-health/#_edn1</w:t>
        </w:r>
      </w:hyperlink>
      <w:r w:rsidRPr="00370BB1">
        <w:rPr>
          <w:color w:val="333333"/>
          <w:sz w:val="20"/>
          <w:szCs w:val="20"/>
        </w:rPr>
        <w:t xml:space="preserve"> </w:t>
      </w:r>
    </w:p>
    <w:p w:rsidR="00C413B5" w:rsidRPr="00370BB1" w:rsidRDefault="00C413B5" w:rsidP="00C413B5">
      <w:pPr>
        <w:ind w:left="720" w:hanging="720"/>
        <w:jc w:val="both"/>
        <w:rPr>
          <w:color w:val="000000"/>
          <w:sz w:val="20"/>
          <w:szCs w:val="20"/>
        </w:rPr>
      </w:pPr>
      <w:r w:rsidRPr="00370BB1">
        <w:rPr>
          <w:color w:val="000000"/>
          <w:sz w:val="20"/>
          <w:szCs w:val="20"/>
        </w:rPr>
        <w:t xml:space="preserve"> </w:t>
      </w:r>
    </w:p>
    <w:p w:rsidR="00C413B5" w:rsidRPr="00370BB1" w:rsidRDefault="00C413B5" w:rsidP="00C413B5">
      <w:pPr>
        <w:jc w:val="both"/>
        <w:rPr>
          <w:color w:val="000000"/>
          <w:sz w:val="20"/>
          <w:szCs w:val="20"/>
        </w:rPr>
      </w:pPr>
      <w:r w:rsidRPr="00370BB1">
        <w:rPr>
          <w:color w:val="000000"/>
          <w:sz w:val="20"/>
          <w:szCs w:val="20"/>
        </w:rPr>
        <w:t xml:space="preserve">Valkenburg, P. M., Peter, J., &amp; Schouten, A. P. (2006). Friend networking sites and their relationship to adolescents' well-being and social self-esteem. </w:t>
      </w:r>
      <w:r w:rsidRPr="00370BB1">
        <w:rPr>
          <w:i/>
          <w:color w:val="000000"/>
          <w:sz w:val="20"/>
          <w:szCs w:val="20"/>
        </w:rPr>
        <w:t>Cyberpsychology &amp; Behavior</w:t>
      </w:r>
      <w:r w:rsidRPr="00370BB1">
        <w:rPr>
          <w:color w:val="000000"/>
          <w:sz w:val="20"/>
          <w:szCs w:val="20"/>
        </w:rPr>
        <w:t>, 9(5), 584e590.</w:t>
      </w:r>
    </w:p>
    <w:p w:rsidR="00C413B5" w:rsidRPr="00370BB1" w:rsidRDefault="00C413B5" w:rsidP="00C413B5">
      <w:pPr>
        <w:jc w:val="both"/>
        <w:rPr>
          <w:sz w:val="20"/>
          <w:szCs w:val="20"/>
          <w:shd w:val="clear" w:color="auto" w:fill="FFFFFF"/>
        </w:rPr>
      </w:pPr>
      <w:r w:rsidRPr="00370BB1">
        <w:rPr>
          <w:sz w:val="20"/>
          <w:szCs w:val="20"/>
          <w:shd w:val="clear" w:color="auto" w:fill="FFFFFF"/>
        </w:rPr>
        <w:t xml:space="preserve"> </w:t>
      </w:r>
    </w:p>
    <w:p w:rsidR="00C413B5" w:rsidRPr="00370BB1" w:rsidRDefault="00C413B5" w:rsidP="00C413B5">
      <w:pPr>
        <w:jc w:val="both"/>
        <w:rPr>
          <w:sz w:val="20"/>
          <w:szCs w:val="20"/>
          <w:shd w:val="clear" w:color="auto" w:fill="FFFFFF"/>
        </w:rPr>
      </w:pPr>
      <w:r w:rsidRPr="00370BB1">
        <w:rPr>
          <w:sz w:val="20"/>
          <w:szCs w:val="20"/>
          <w:shd w:val="clear" w:color="auto" w:fill="FFFFFF"/>
        </w:rPr>
        <w:t xml:space="preserve">Van </w:t>
      </w:r>
      <w:proofErr w:type="spellStart"/>
      <w:r w:rsidRPr="00370BB1">
        <w:rPr>
          <w:sz w:val="20"/>
          <w:szCs w:val="20"/>
          <w:shd w:val="clear" w:color="auto" w:fill="FFFFFF"/>
        </w:rPr>
        <w:t>Droogenbroeck</w:t>
      </w:r>
      <w:proofErr w:type="spellEnd"/>
      <w:r w:rsidRPr="00370BB1">
        <w:rPr>
          <w:sz w:val="20"/>
          <w:szCs w:val="20"/>
          <w:shd w:val="clear" w:color="auto" w:fill="FFFFFF"/>
        </w:rPr>
        <w:t xml:space="preserve"> F, </w:t>
      </w:r>
      <w:proofErr w:type="spellStart"/>
      <w:r w:rsidRPr="00370BB1">
        <w:rPr>
          <w:sz w:val="20"/>
          <w:szCs w:val="20"/>
          <w:shd w:val="clear" w:color="auto" w:fill="FFFFFF"/>
        </w:rPr>
        <w:t>Spruyt</w:t>
      </w:r>
      <w:proofErr w:type="spellEnd"/>
      <w:r w:rsidRPr="00370BB1">
        <w:rPr>
          <w:sz w:val="20"/>
          <w:szCs w:val="20"/>
          <w:shd w:val="clear" w:color="auto" w:fill="FFFFFF"/>
        </w:rPr>
        <w:t xml:space="preserve"> B, </w:t>
      </w:r>
      <w:proofErr w:type="spellStart"/>
      <w:r w:rsidRPr="00370BB1">
        <w:rPr>
          <w:sz w:val="20"/>
          <w:szCs w:val="20"/>
          <w:shd w:val="clear" w:color="auto" w:fill="FFFFFF"/>
        </w:rPr>
        <w:t>Keppens</w:t>
      </w:r>
      <w:proofErr w:type="spellEnd"/>
      <w:r w:rsidRPr="00370BB1">
        <w:rPr>
          <w:sz w:val="20"/>
          <w:szCs w:val="20"/>
          <w:shd w:val="clear" w:color="auto" w:fill="FFFFFF"/>
        </w:rPr>
        <w:t xml:space="preserve"> G. (2018). Gender differences in mental health problems among adolescents and the role of social support: results from the Belgian health interview surveys 2008 and 2013. </w:t>
      </w:r>
      <w:r w:rsidRPr="00370BB1">
        <w:rPr>
          <w:rStyle w:val="20"/>
          <w:rFonts w:ascii="Arial" w:hAnsi="Arial" w:hint="default"/>
          <w:i/>
          <w:iCs/>
          <w:sz w:val="20"/>
          <w:szCs w:val="20"/>
          <w:shd w:val="clear" w:color="auto" w:fill="FFFFFF"/>
        </w:rPr>
        <w:t xml:space="preserve">BMC Psychiatry. </w:t>
      </w:r>
      <w:proofErr w:type="gramStart"/>
      <w:r w:rsidRPr="00370BB1">
        <w:rPr>
          <w:sz w:val="20"/>
          <w:szCs w:val="20"/>
          <w:shd w:val="clear" w:color="auto" w:fill="FFFFFF"/>
        </w:rPr>
        <w:t>2018;</w:t>
      </w:r>
      <w:r w:rsidRPr="00370BB1">
        <w:rPr>
          <w:rStyle w:val="21"/>
          <w:rFonts w:ascii="Arial" w:hAnsi="Arial" w:hint="default"/>
          <w:sz w:val="20"/>
          <w:szCs w:val="20"/>
          <w:shd w:val="clear" w:color="auto" w:fill="FFFFFF"/>
        </w:rPr>
        <w:t>18</w:t>
      </w:r>
      <w:r w:rsidRPr="00370BB1">
        <w:rPr>
          <w:sz w:val="20"/>
          <w:szCs w:val="20"/>
          <w:shd w:val="clear" w:color="auto" w:fill="FFFFFF"/>
        </w:rPr>
        <w:t>:1</w:t>
      </w:r>
      <w:proofErr w:type="gramEnd"/>
      <w:r w:rsidRPr="00370BB1">
        <w:rPr>
          <w:sz w:val="20"/>
          <w:szCs w:val="20"/>
          <w:shd w:val="clear" w:color="auto" w:fill="FFFFFF"/>
        </w:rPr>
        <w:t xml:space="preserve">–9. </w:t>
      </w:r>
      <w:proofErr w:type="spellStart"/>
      <w:r w:rsidRPr="00370BB1">
        <w:rPr>
          <w:sz w:val="20"/>
          <w:szCs w:val="20"/>
          <w:shd w:val="clear" w:color="auto" w:fill="FFFFFF"/>
        </w:rPr>
        <w:t>doi</w:t>
      </w:r>
      <w:proofErr w:type="spellEnd"/>
      <w:r w:rsidRPr="00370BB1">
        <w:rPr>
          <w:sz w:val="20"/>
          <w:szCs w:val="20"/>
          <w:shd w:val="clear" w:color="auto" w:fill="FFFFFF"/>
        </w:rPr>
        <w:t>: 10.1186/s12888-017-1517-6.</w:t>
      </w:r>
    </w:p>
    <w:p w:rsidR="00C413B5" w:rsidRPr="00370BB1" w:rsidRDefault="00C413B5" w:rsidP="00C413B5">
      <w:pPr>
        <w:ind w:left="810" w:hanging="810"/>
        <w:jc w:val="both"/>
        <w:rPr>
          <w:color w:val="000000"/>
          <w:sz w:val="20"/>
          <w:szCs w:val="20"/>
        </w:rPr>
      </w:pPr>
      <w:r w:rsidRPr="00370BB1">
        <w:rPr>
          <w:color w:val="000000"/>
          <w:sz w:val="20"/>
          <w:szCs w:val="20"/>
        </w:rPr>
        <w:t xml:space="preserve"> </w:t>
      </w:r>
    </w:p>
    <w:p w:rsidR="00C413B5" w:rsidRPr="00370BB1" w:rsidRDefault="00C413B5" w:rsidP="00C413B5">
      <w:pPr>
        <w:jc w:val="both"/>
        <w:rPr>
          <w:color w:val="000000"/>
          <w:sz w:val="20"/>
          <w:szCs w:val="20"/>
        </w:rPr>
      </w:pPr>
      <w:r w:rsidRPr="00370BB1">
        <w:rPr>
          <w:color w:val="000000"/>
          <w:sz w:val="20"/>
          <w:szCs w:val="20"/>
        </w:rPr>
        <w:t xml:space="preserve">Van </w:t>
      </w:r>
      <w:proofErr w:type="spellStart"/>
      <w:r w:rsidRPr="00370BB1">
        <w:rPr>
          <w:color w:val="000000"/>
          <w:sz w:val="20"/>
          <w:szCs w:val="20"/>
        </w:rPr>
        <w:t>Rooij</w:t>
      </w:r>
      <w:proofErr w:type="spellEnd"/>
      <w:r w:rsidRPr="00370BB1">
        <w:rPr>
          <w:color w:val="000000"/>
          <w:sz w:val="20"/>
          <w:szCs w:val="20"/>
        </w:rPr>
        <w:t xml:space="preserve">, A. J. (2011). </w:t>
      </w:r>
      <w:r w:rsidRPr="00370BB1">
        <w:rPr>
          <w:i/>
          <w:color w:val="000000"/>
          <w:sz w:val="20"/>
          <w:szCs w:val="20"/>
        </w:rPr>
        <w:t xml:space="preserve">Online video game addiction. Exploring a new phenomenon </w:t>
      </w:r>
      <w:r w:rsidRPr="00370BB1">
        <w:rPr>
          <w:color w:val="000000"/>
          <w:sz w:val="20"/>
          <w:szCs w:val="20"/>
        </w:rPr>
        <w:t>(Unpublished doctoral dissertation). Erasmus University Rotterdam, Rotterdam, Netherlands.</w:t>
      </w:r>
    </w:p>
    <w:p w:rsidR="00C413B5" w:rsidRPr="00370BB1" w:rsidRDefault="00C413B5" w:rsidP="00C413B5">
      <w:pPr>
        <w:jc w:val="both"/>
        <w:rPr>
          <w:color w:val="000000"/>
          <w:sz w:val="20"/>
          <w:szCs w:val="20"/>
        </w:rPr>
      </w:pPr>
      <w:r w:rsidRPr="00370BB1">
        <w:rPr>
          <w:color w:val="000000"/>
          <w:sz w:val="20"/>
          <w:szCs w:val="20"/>
        </w:rPr>
        <w:t xml:space="preserve"> </w:t>
      </w:r>
    </w:p>
    <w:p w:rsidR="00C413B5" w:rsidRPr="00370BB1" w:rsidRDefault="00C413B5" w:rsidP="00C413B5">
      <w:pPr>
        <w:jc w:val="both"/>
        <w:rPr>
          <w:color w:val="000000"/>
          <w:sz w:val="20"/>
          <w:szCs w:val="20"/>
        </w:rPr>
      </w:pPr>
      <w:r w:rsidRPr="00370BB1">
        <w:rPr>
          <w:color w:val="000000"/>
          <w:sz w:val="20"/>
          <w:szCs w:val="20"/>
        </w:rPr>
        <w:t xml:space="preserve">Vigo, D., Thornicroft, G., &amp; </w:t>
      </w:r>
      <w:proofErr w:type="spellStart"/>
      <w:r w:rsidRPr="00370BB1">
        <w:rPr>
          <w:color w:val="000000"/>
          <w:sz w:val="20"/>
          <w:szCs w:val="20"/>
        </w:rPr>
        <w:t>Atun</w:t>
      </w:r>
      <w:proofErr w:type="spellEnd"/>
      <w:r w:rsidRPr="00370BB1">
        <w:rPr>
          <w:color w:val="000000"/>
          <w:sz w:val="20"/>
          <w:szCs w:val="20"/>
        </w:rPr>
        <w:t xml:space="preserve">, R. (2016). Estimating the true global burden of mental illness. Lancet </w:t>
      </w:r>
      <w:proofErr w:type="spellStart"/>
      <w:r w:rsidRPr="00370BB1">
        <w:rPr>
          <w:color w:val="000000"/>
          <w:sz w:val="20"/>
          <w:szCs w:val="20"/>
        </w:rPr>
        <w:t>Psychiat</w:t>
      </w:r>
      <w:proofErr w:type="spellEnd"/>
      <w:r w:rsidRPr="00370BB1">
        <w:rPr>
          <w:color w:val="000000"/>
          <w:sz w:val="20"/>
          <w:szCs w:val="20"/>
        </w:rPr>
        <w:t>, 3,171–178.</w:t>
      </w:r>
    </w:p>
    <w:p w:rsidR="00C413B5" w:rsidRPr="00370BB1" w:rsidRDefault="00C413B5" w:rsidP="00C413B5">
      <w:pPr>
        <w:jc w:val="both"/>
        <w:rPr>
          <w:color w:val="000000"/>
          <w:sz w:val="20"/>
          <w:szCs w:val="20"/>
        </w:rPr>
      </w:pPr>
      <w:r w:rsidRPr="00370BB1">
        <w:rPr>
          <w:color w:val="000000"/>
          <w:sz w:val="20"/>
          <w:szCs w:val="20"/>
        </w:rPr>
        <w:t xml:space="preserve"> </w:t>
      </w:r>
    </w:p>
    <w:p w:rsidR="00C413B5" w:rsidRPr="00370BB1" w:rsidRDefault="00C413B5" w:rsidP="00C413B5">
      <w:pPr>
        <w:jc w:val="both"/>
        <w:rPr>
          <w:color w:val="000000"/>
          <w:sz w:val="20"/>
          <w:szCs w:val="20"/>
        </w:rPr>
      </w:pPr>
      <w:r w:rsidRPr="00370BB1">
        <w:rPr>
          <w:color w:val="000000"/>
          <w:sz w:val="20"/>
          <w:szCs w:val="20"/>
        </w:rPr>
        <w:t xml:space="preserve">Vishal, P., &amp; </w:t>
      </w:r>
      <w:proofErr w:type="spellStart"/>
      <w:r w:rsidRPr="00370BB1">
        <w:rPr>
          <w:color w:val="000000"/>
          <w:sz w:val="20"/>
          <w:szCs w:val="20"/>
        </w:rPr>
        <w:t>Kaji</w:t>
      </w:r>
      <w:proofErr w:type="spellEnd"/>
      <w:r w:rsidRPr="00370BB1">
        <w:rPr>
          <w:color w:val="000000"/>
          <w:sz w:val="20"/>
          <w:szCs w:val="20"/>
        </w:rPr>
        <w:t xml:space="preserve">, S.M. (2014). Adjustment of boys and girls school level students in </w:t>
      </w:r>
      <w:proofErr w:type="spellStart"/>
      <w:r w:rsidRPr="00370BB1">
        <w:rPr>
          <w:color w:val="000000"/>
          <w:sz w:val="20"/>
          <w:szCs w:val="20"/>
        </w:rPr>
        <w:t>ahmedabad</w:t>
      </w:r>
      <w:proofErr w:type="spellEnd"/>
      <w:r w:rsidRPr="00370BB1">
        <w:rPr>
          <w:color w:val="000000"/>
          <w:sz w:val="20"/>
          <w:szCs w:val="20"/>
        </w:rPr>
        <w:t xml:space="preserve">. </w:t>
      </w:r>
      <w:r w:rsidRPr="00370BB1">
        <w:rPr>
          <w:i/>
          <w:color w:val="000000"/>
          <w:sz w:val="20"/>
          <w:szCs w:val="20"/>
        </w:rPr>
        <w:t>The International Journal of Indian Psychology</w:t>
      </w:r>
      <w:r w:rsidRPr="00370BB1">
        <w:rPr>
          <w:color w:val="000000"/>
          <w:sz w:val="20"/>
          <w:szCs w:val="20"/>
        </w:rPr>
        <w:t>, 2(1), 31-37.</w:t>
      </w:r>
    </w:p>
    <w:p w:rsidR="00C413B5" w:rsidRPr="00370BB1" w:rsidRDefault="00C413B5" w:rsidP="00C413B5">
      <w:pPr>
        <w:jc w:val="both"/>
        <w:rPr>
          <w:color w:val="000000"/>
          <w:sz w:val="20"/>
          <w:szCs w:val="20"/>
        </w:rPr>
      </w:pPr>
      <w:r w:rsidRPr="00370BB1">
        <w:rPr>
          <w:color w:val="000000"/>
          <w:sz w:val="20"/>
          <w:szCs w:val="20"/>
        </w:rPr>
        <w:t xml:space="preserve"> </w:t>
      </w:r>
    </w:p>
    <w:p w:rsidR="00C413B5" w:rsidRPr="00370BB1" w:rsidRDefault="00C413B5" w:rsidP="00C413B5">
      <w:pPr>
        <w:jc w:val="both"/>
        <w:rPr>
          <w:rStyle w:val="23"/>
          <w:rFonts w:ascii="Arial" w:hAnsi="Arial" w:hint="default"/>
        </w:rPr>
      </w:pPr>
      <w:r w:rsidRPr="00370BB1">
        <w:rPr>
          <w:rStyle w:val="23"/>
          <w:rFonts w:ascii="Arial" w:hAnsi="Arial" w:hint="default"/>
          <w:color w:val="000000"/>
          <w:sz w:val="20"/>
          <w:szCs w:val="20"/>
        </w:rPr>
        <w:lastRenderedPageBreak/>
        <w:t xml:space="preserve">Walker, M. (2012). Cognitive-behavioral approaches to outpatient treatment of internet addiction in children and adolescents. </w:t>
      </w:r>
      <w:r w:rsidRPr="00370BB1">
        <w:rPr>
          <w:rStyle w:val="23"/>
          <w:rFonts w:ascii="Arial" w:hAnsi="Arial" w:hint="default"/>
          <w:i/>
          <w:color w:val="000000"/>
          <w:sz w:val="20"/>
          <w:szCs w:val="20"/>
        </w:rPr>
        <w:t>J. Clin. Psychol</w:t>
      </w:r>
      <w:r w:rsidRPr="00370BB1">
        <w:rPr>
          <w:rStyle w:val="23"/>
          <w:rFonts w:ascii="Arial" w:hAnsi="Arial" w:hint="default"/>
          <w:color w:val="000000"/>
          <w:sz w:val="20"/>
          <w:szCs w:val="20"/>
        </w:rPr>
        <w:t xml:space="preserve">, 68, 1185–1195. </w:t>
      </w:r>
    </w:p>
    <w:p w:rsidR="00D0192E" w:rsidRPr="00370BB1" w:rsidRDefault="00D0192E" w:rsidP="00D0192E">
      <w:pPr>
        <w:spacing w:line="240" w:lineRule="auto"/>
        <w:ind w:left="720" w:hanging="720"/>
        <w:rPr>
          <w:color w:val="000000"/>
          <w:sz w:val="20"/>
          <w:szCs w:val="20"/>
        </w:rPr>
      </w:pPr>
    </w:p>
    <w:p w:rsidR="00D0192E" w:rsidRPr="00370BB1" w:rsidRDefault="00D0192E" w:rsidP="00D0192E">
      <w:pPr>
        <w:spacing w:line="240" w:lineRule="auto"/>
        <w:rPr>
          <w:color w:val="000000"/>
          <w:sz w:val="20"/>
          <w:szCs w:val="20"/>
        </w:rPr>
      </w:pPr>
      <w:proofErr w:type="spellStart"/>
      <w:r w:rsidRPr="00370BB1">
        <w:rPr>
          <w:color w:val="000000"/>
          <w:sz w:val="20"/>
          <w:szCs w:val="20"/>
        </w:rPr>
        <w:t>Xie</w:t>
      </w:r>
      <w:proofErr w:type="spellEnd"/>
      <w:r w:rsidRPr="00370BB1">
        <w:rPr>
          <w:color w:val="000000"/>
          <w:sz w:val="20"/>
          <w:szCs w:val="20"/>
        </w:rPr>
        <w:t>, X., Cheng, H., &amp; Chen, Z. (2023). Anxiety predicts internet addiction, which predicts depression among male college students: A cross-lagged comparison by sex. </w:t>
      </w:r>
      <w:r w:rsidRPr="00370BB1">
        <w:rPr>
          <w:i/>
          <w:iCs/>
          <w:color w:val="000000"/>
          <w:sz w:val="20"/>
          <w:szCs w:val="20"/>
        </w:rPr>
        <w:t>Frontiers in Psychology</w:t>
      </w:r>
      <w:r w:rsidRPr="00370BB1">
        <w:rPr>
          <w:color w:val="000000"/>
          <w:sz w:val="20"/>
          <w:szCs w:val="20"/>
        </w:rPr>
        <w:t>, </w:t>
      </w:r>
      <w:r w:rsidRPr="00370BB1">
        <w:rPr>
          <w:i/>
          <w:iCs/>
          <w:color w:val="000000"/>
          <w:sz w:val="20"/>
          <w:szCs w:val="20"/>
        </w:rPr>
        <w:t>13</w:t>
      </w:r>
      <w:r w:rsidRPr="00370BB1">
        <w:rPr>
          <w:color w:val="000000"/>
          <w:sz w:val="20"/>
          <w:szCs w:val="20"/>
        </w:rPr>
        <w:t xml:space="preserve">. </w:t>
      </w:r>
      <w:hyperlink r:id="rId21" w:history="1">
        <w:r w:rsidRPr="00370BB1">
          <w:rPr>
            <w:rStyle w:val="Hyperlink"/>
            <w:sz w:val="20"/>
            <w:szCs w:val="20"/>
          </w:rPr>
          <w:t>https://doi.org/10.3389/fpsyg.2022.1102066</w:t>
        </w:r>
      </w:hyperlink>
      <w:r w:rsidRPr="00370BB1">
        <w:rPr>
          <w:color w:val="000000"/>
          <w:sz w:val="20"/>
          <w:szCs w:val="20"/>
        </w:rPr>
        <w:t xml:space="preserve"> </w:t>
      </w:r>
    </w:p>
    <w:p w:rsidR="00C413B5" w:rsidRPr="00370BB1" w:rsidRDefault="00C413B5" w:rsidP="00C413B5">
      <w:pPr>
        <w:jc w:val="both"/>
      </w:pPr>
    </w:p>
    <w:p w:rsidR="00C413B5" w:rsidRPr="00370BB1" w:rsidRDefault="00C413B5" w:rsidP="00C413B5">
      <w:pPr>
        <w:jc w:val="both"/>
        <w:rPr>
          <w:color w:val="000000"/>
          <w:sz w:val="20"/>
          <w:szCs w:val="20"/>
        </w:rPr>
      </w:pPr>
      <w:r w:rsidRPr="00370BB1">
        <w:rPr>
          <w:color w:val="000000"/>
          <w:sz w:val="20"/>
          <w:szCs w:val="20"/>
        </w:rPr>
        <w:t xml:space="preserve">Xin, M., Xing, J., </w:t>
      </w:r>
      <w:proofErr w:type="spellStart"/>
      <w:r w:rsidRPr="00370BB1">
        <w:rPr>
          <w:color w:val="000000"/>
          <w:sz w:val="20"/>
          <w:szCs w:val="20"/>
        </w:rPr>
        <w:t>Pengfei</w:t>
      </w:r>
      <w:proofErr w:type="spellEnd"/>
      <w:r w:rsidRPr="00370BB1">
        <w:rPr>
          <w:color w:val="000000"/>
          <w:sz w:val="20"/>
          <w:szCs w:val="20"/>
        </w:rPr>
        <w:t xml:space="preserve">, W., </w:t>
      </w:r>
      <w:proofErr w:type="spellStart"/>
      <w:r w:rsidRPr="00370BB1">
        <w:rPr>
          <w:color w:val="000000"/>
          <w:sz w:val="20"/>
          <w:szCs w:val="20"/>
        </w:rPr>
        <w:t>Houru</w:t>
      </w:r>
      <w:proofErr w:type="spellEnd"/>
      <w:r w:rsidRPr="00370BB1">
        <w:rPr>
          <w:color w:val="000000"/>
          <w:sz w:val="20"/>
          <w:szCs w:val="20"/>
        </w:rPr>
        <w:t xml:space="preserve">, L., </w:t>
      </w:r>
      <w:proofErr w:type="spellStart"/>
      <w:r w:rsidRPr="00370BB1">
        <w:rPr>
          <w:color w:val="000000"/>
          <w:sz w:val="20"/>
          <w:szCs w:val="20"/>
        </w:rPr>
        <w:t>Mengcheng</w:t>
      </w:r>
      <w:proofErr w:type="spellEnd"/>
      <w:r w:rsidRPr="00370BB1">
        <w:rPr>
          <w:color w:val="000000"/>
          <w:sz w:val="20"/>
          <w:szCs w:val="20"/>
        </w:rPr>
        <w:t xml:space="preserve">, W., &amp; Hong, Z. (2017). Online activities, prevalence of Internet addiction and risk factors related to family and school among adolescents in China. </w:t>
      </w:r>
      <w:r w:rsidRPr="00370BB1">
        <w:rPr>
          <w:i/>
          <w:color w:val="000000"/>
          <w:sz w:val="20"/>
          <w:szCs w:val="20"/>
        </w:rPr>
        <w:t xml:space="preserve">Addict </w:t>
      </w:r>
      <w:proofErr w:type="spellStart"/>
      <w:r w:rsidRPr="00370BB1">
        <w:rPr>
          <w:i/>
          <w:color w:val="000000"/>
          <w:sz w:val="20"/>
          <w:szCs w:val="20"/>
        </w:rPr>
        <w:t>Behav</w:t>
      </w:r>
      <w:proofErr w:type="spellEnd"/>
      <w:r w:rsidRPr="00370BB1">
        <w:rPr>
          <w:i/>
          <w:color w:val="000000"/>
          <w:sz w:val="20"/>
          <w:szCs w:val="20"/>
        </w:rPr>
        <w:t xml:space="preserve"> </w:t>
      </w:r>
      <w:proofErr w:type="gramStart"/>
      <w:r w:rsidRPr="00370BB1">
        <w:rPr>
          <w:i/>
          <w:color w:val="000000"/>
          <w:sz w:val="20"/>
          <w:szCs w:val="20"/>
        </w:rPr>
        <w:t>Rep</w:t>
      </w:r>
      <w:r w:rsidRPr="00370BB1">
        <w:rPr>
          <w:color w:val="000000"/>
          <w:sz w:val="20"/>
          <w:szCs w:val="20"/>
        </w:rPr>
        <w:t>,  7</w:t>
      </w:r>
      <w:proofErr w:type="gramEnd"/>
      <w:r w:rsidRPr="00370BB1">
        <w:rPr>
          <w:color w:val="000000"/>
          <w:sz w:val="20"/>
          <w:szCs w:val="20"/>
        </w:rPr>
        <w:t>,14–8.</w:t>
      </w:r>
    </w:p>
    <w:p w:rsidR="00C413B5" w:rsidRPr="00370BB1" w:rsidRDefault="00C413B5" w:rsidP="00C413B5">
      <w:pPr>
        <w:jc w:val="both"/>
        <w:rPr>
          <w:color w:val="000000"/>
          <w:sz w:val="20"/>
          <w:szCs w:val="20"/>
        </w:rPr>
      </w:pPr>
      <w:r w:rsidRPr="00370BB1">
        <w:rPr>
          <w:color w:val="000000"/>
          <w:sz w:val="20"/>
          <w:szCs w:val="20"/>
        </w:rPr>
        <w:t xml:space="preserve"> </w:t>
      </w:r>
    </w:p>
    <w:p w:rsidR="00C413B5" w:rsidRPr="00370BB1" w:rsidRDefault="00C413B5" w:rsidP="00C413B5">
      <w:pPr>
        <w:jc w:val="both"/>
        <w:rPr>
          <w:color w:val="000000"/>
          <w:sz w:val="20"/>
          <w:szCs w:val="20"/>
        </w:rPr>
      </w:pPr>
      <w:proofErr w:type="spellStart"/>
      <w:r w:rsidRPr="00370BB1">
        <w:rPr>
          <w:color w:val="000000"/>
          <w:sz w:val="20"/>
          <w:szCs w:val="20"/>
        </w:rPr>
        <w:t>Yau</w:t>
      </w:r>
      <w:proofErr w:type="spellEnd"/>
      <w:r w:rsidRPr="00370BB1">
        <w:rPr>
          <w:color w:val="000000"/>
          <w:sz w:val="20"/>
          <w:szCs w:val="20"/>
        </w:rPr>
        <w:t xml:space="preserve">, H. K., &amp; Cheng, A. L. (2012). An empirical study into gender differences in the relationships among academic, social and psychological adjustments of university support. </w:t>
      </w:r>
      <w:r w:rsidRPr="00370BB1">
        <w:rPr>
          <w:i/>
          <w:color w:val="000000"/>
          <w:sz w:val="20"/>
          <w:szCs w:val="20"/>
        </w:rPr>
        <w:t>Journal of Further and Higher Education</w:t>
      </w:r>
      <w:r w:rsidRPr="00370BB1">
        <w:rPr>
          <w:color w:val="000000"/>
          <w:sz w:val="20"/>
          <w:szCs w:val="20"/>
        </w:rPr>
        <w:t>, 38(2), 268-282.</w:t>
      </w:r>
    </w:p>
    <w:p w:rsidR="00C413B5" w:rsidRPr="00370BB1" w:rsidRDefault="00C413B5" w:rsidP="00C413B5">
      <w:pPr>
        <w:jc w:val="both"/>
        <w:rPr>
          <w:color w:val="000000"/>
          <w:sz w:val="20"/>
          <w:szCs w:val="20"/>
        </w:rPr>
      </w:pPr>
      <w:r w:rsidRPr="00370BB1">
        <w:rPr>
          <w:color w:val="000000"/>
          <w:sz w:val="20"/>
          <w:szCs w:val="20"/>
        </w:rPr>
        <w:t xml:space="preserve"> </w:t>
      </w:r>
    </w:p>
    <w:p w:rsidR="00C413B5" w:rsidRPr="00370BB1" w:rsidRDefault="00C413B5" w:rsidP="00C413B5">
      <w:pPr>
        <w:jc w:val="both"/>
        <w:rPr>
          <w:color w:val="000000"/>
          <w:sz w:val="20"/>
          <w:szCs w:val="20"/>
        </w:rPr>
      </w:pPr>
      <w:proofErr w:type="spellStart"/>
      <w:r w:rsidRPr="00370BB1">
        <w:rPr>
          <w:color w:val="000000"/>
          <w:sz w:val="20"/>
          <w:szCs w:val="20"/>
        </w:rPr>
        <w:t>Yau</w:t>
      </w:r>
      <w:proofErr w:type="spellEnd"/>
      <w:r w:rsidRPr="00370BB1">
        <w:rPr>
          <w:color w:val="000000"/>
          <w:sz w:val="20"/>
          <w:szCs w:val="20"/>
        </w:rPr>
        <w:t xml:space="preserve">, H. K., Sun, H., &amp; Cheng, A. L. (2012). Adjusting to university: Hong Kong experience. </w:t>
      </w:r>
      <w:r w:rsidRPr="00370BB1">
        <w:rPr>
          <w:i/>
          <w:color w:val="000000"/>
          <w:sz w:val="20"/>
          <w:szCs w:val="20"/>
        </w:rPr>
        <w:t>Journal of Higher Education Policy and Management</w:t>
      </w:r>
      <w:r w:rsidRPr="00370BB1">
        <w:rPr>
          <w:color w:val="000000"/>
          <w:sz w:val="20"/>
          <w:szCs w:val="20"/>
        </w:rPr>
        <w:t>, 34(1), 15-27.</w:t>
      </w:r>
    </w:p>
    <w:p w:rsidR="00C413B5" w:rsidRPr="00370BB1" w:rsidRDefault="00C413B5" w:rsidP="00C413B5">
      <w:pPr>
        <w:jc w:val="both"/>
        <w:rPr>
          <w:color w:val="000000"/>
          <w:sz w:val="20"/>
          <w:szCs w:val="20"/>
        </w:rPr>
      </w:pPr>
      <w:r w:rsidRPr="00370BB1">
        <w:rPr>
          <w:color w:val="000000"/>
          <w:sz w:val="20"/>
          <w:szCs w:val="20"/>
        </w:rPr>
        <w:t xml:space="preserve"> </w:t>
      </w:r>
    </w:p>
    <w:p w:rsidR="00C413B5" w:rsidRPr="00370BB1" w:rsidRDefault="00C413B5" w:rsidP="00C413B5">
      <w:pPr>
        <w:jc w:val="both"/>
        <w:rPr>
          <w:color w:val="000000"/>
          <w:sz w:val="20"/>
          <w:szCs w:val="20"/>
        </w:rPr>
      </w:pPr>
      <w:proofErr w:type="spellStart"/>
      <w:r w:rsidRPr="00370BB1">
        <w:rPr>
          <w:color w:val="000000"/>
          <w:sz w:val="20"/>
          <w:szCs w:val="20"/>
        </w:rPr>
        <w:t>Yoo</w:t>
      </w:r>
      <w:proofErr w:type="spellEnd"/>
      <w:r w:rsidRPr="00370BB1">
        <w:rPr>
          <w:color w:val="000000"/>
          <w:sz w:val="20"/>
          <w:szCs w:val="20"/>
        </w:rPr>
        <w:t xml:space="preserve">, C., &amp; Miller, L. (2011). Culture and parenting: Psychological adjustment among Chinese Canadian adolescents. </w:t>
      </w:r>
      <w:r w:rsidRPr="00370BB1">
        <w:rPr>
          <w:i/>
          <w:color w:val="000000"/>
          <w:sz w:val="20"/>
          <w:szCs w:val="20"/>
        </w:rPr>
        <w:t>Canadian Journal of Counselling and Psychotherapy</w:t>
      </w:r>
      <w:r w:rsidRPr="00370BB1">
        <w:rPr>
          <w:color w:val="000000"/>
          <w:sz w:val="20"/>
          <w:szCs w:val="20"/>
        </w:rPr>
        <w:t>, 45(1), 34-52.</w:t>
      </w:r>
    </w:p>
    <w:p w:rsidR="00C413B5" w:rsidRPr="00370BB1" w:rsidRDefault="00C413B5" w:rsidP="00C413B5">
      <w:pPr>
        <w:jc w:val="both"/>
        <w:rPr>
          <w:color w:val="000000"/>
          <w:sz w:val="20"/>
          <w:szCs w:val="20"/>
        </w:rPr>
      </w:pPr>
      <w:r w:rsidRPr="00370BB1">
        <w:rPr>
          <w:color w:val="000000"/>
          <w:sz w:val="20"/>
          <w:szCs w:val="20"/>
        </w:rPr>
        <w:t xml:space="preserve"> </w:t>
      </w:r>
    </w:p>
    <w:p w:rsidR="00C413B5" w:rsidRPr="00057280" w:rsidRDefault="00C413B5" w:rsidP="00C413B5">
      <w:pPr>
        <w:jc w:val="both"/>
        <w:rPr>
          <w:color w:val="000000"/>
          <w:sz w:val="20"/>
          <w:szCs w:val="20"/>
        </w:rPr>
      </w:pPr>
      <w:r w:rsidRPr="00370BB1">
        <w:rPr>
          <w:color w:val="000000"/>
          <w:sz w:val="20"/>
          <w:szCs w:val="20"/>
        </w:rPr>
        <w:t xml:space="preserve">Young, K.S., &amp; Abreu, C. (2010). </w:t>
      </w:r>
      <w:r w:rsidRPr="00370BB1">
        <w:rPr>
          <w:i/>
          <w:iCs/>
          <w:color w:val="000000"/>
          <w:sz w:val="20"/>
          <w:szCs w:val="20"/>
        </w:rPr>
        <w:t>Internet addiction: A handbook and guide to evaluation and treatment</w:t>
      </w:r>
      <w:r w:rsidRPr="00370BB1">
        <w:rPr>
          <w:color w:val="000000"/>
          <w:sz w:val="20"/>
          <w:szCs w:val="20"/>
        </w:rPr>
        <w:t>. Wiley.</w:t>
      </w:r>
      <w:bookmarkStart w:id="0" w:name="_GoBack"/>
      <w:bookmarkEnd w:id="0"/>
    </w:p>
    <w:p w:rsidR="00C413B5" w:rsidRPr="00057280" w:rsidRDefault="00C413B5" w:rsidP="00C413B5">
      <w:pPr>
        <w:ind w:left="720" w:hanging="720"/>
        <w:jc w:val="both"/>
        <w:rPr>
          <w:color w:val="000000"/>
          <w:sz w:val="20"/>
          <w:szCs w:val="20"/>
        </w:rPr>
      </w:pPr>
      <w:r w:rsidRPr="00057280">
        <w:rPr>
          <w:color w:val="000000"/>
          <w:sz w:val="20"/>
          <w:szCs w:val="20"/>
        </w:rPr>
        <w:t xml:space="preserve"> </w:t>
      </w:r>
    </w:p>
    <w:p w:rsidR="00A807D8" w:rsidRPr="00057280" w:rsidRDefault="00A807D8"/>
    <w:sectPr w:rsidR="00A807D8" w:rsidRPr="000572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56588E"/>
    <w:multiLevelType w:val="multilevel"/>
    <w:tmpl w:val="1FF42454"/>
    <w:lvl w:ilvl="0">
      <w:start w:val="1"/>
      <w:numFmt w:val="decimal"/>
      <w:lvlText w:val="%1."/>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13B5"/>
    <w:rsid w:val="00057280"/>
    <w:rsid w:val="001225B6"/>
    <w:rsid w:val="001C6E90"/>
    <w:rsid w:val="00370BB1"/>
    <w:rsid w:val="00391325"/>
    <w:rsid w:val="00520116"/>
    <w:rsid w:val="005349B3"/>
    <w:rsid w:val="00830F3E"/>
    <w:rsid w:val="008573F3"/>
    <w:rsid w:val="00867845"/>
    <w:rsid w:val="008C773A"/>
    <w:rsid w:val="009563A7"/>
    <w:rsid w:val="00A63AC2"/>
    <w:rsid w:val="00A807D8"/>
    <w:rsid w:val="00B10E43"/>
    <w:rsid w:val="00B50159"/>
    <w:rsid w:val="00B93633"/>
    <w:rsid w:val="00BD3A6B"/>
    <w:rsid w:val="00C33775"/>
    <w:rsid w:val="00C413B5"/>
    <w:rsid w:val="00C56E75"/>
    <w:rsid w:val="00C620FC"/>
    <w:rsid w:val="00CD0CD0"/>
    <w:rsid w:val="00CE2243"/>
    <w:rsid w:val="00D0192E"/>
    <w:rsid w:val="00D3533F"/>
    <w:rsid w:val="00D95728"/>
    <w:rsid w:val="00EA220C"/>
    <w:rsid w:val="00FD41DF"/>
    <w:rsid w:val="00FE575F"/>
    <w:rsid w:val="00FE7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248A7"/>
  <w15:docId w15:val="{3F212C98-CC34-42BA-B626-F53283D80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13B5"/>
    <w:pPr>
      <w:spacing w:after="0" w:line="273"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13B5"/>
    <w:pPr>
      <w:spacing w:before="100" w:beforeAutospacing="1" w:after="100" w:afterAutospacing="1" w:line="240" w:lineRule="auto"/>
    </w:pPr>
    <w:rPr>
      <w:rFonts w:ascii="Times New Roman" w:hAnsi="Times New Roman" w:cs="Times New Roman"/>
      <w:sz w:val="24"/>
      <w:szCs w:val="24"/>
    </w:rPr>
  </w:style>
  <w:style w:type="paragraph" w:styleId="NoSpacing">
    <w:name w:val="No Spacing"/>
    <w:basedOn w:val="Normal"/>
    <w:uiPriority w:val="99"/>
    <w:qFormat/>
    <w:rsid w:val="00C413B5"/>
    <w:pPr>
      <w:spacing w:line="240" w:lineRule="auto"/>
    </w:pPr>
  </w:style>
  <w:style w:type="paragraph" w:styleId="ListParagraph">
    <w:name w:val="List Paragraph"/>
    <w:basedOn w:val="Normal"/>
    <w:uiPriority w:val="99"/>
    <w:qFormat/>
    <w:rsid w:val="00C413B5"/>
    <w:pPr>
      <w:spacing w:before="100" w:beforeAutospacing="1" w:after="100" w:afterAutospacing="1"/>
      <w:ind w:left="720"/>
      <w:contextualSpacing/>
    </w:pPr>
  </w:style>
  <w:style w:type="paragraph" w:customStyle="1" w:styleId="ReferHead">
    <w:name w:val="Refer Head"/>
    <w:basedOn w:val="Normal"/>
    <w:rsid w:val="00C413B5"/>
    <w:pPr>
      <w:keepNext/>
      <w:spacing w:before="100" w:beforeAutospacing="1" w:after="240" w:line="240" w:lineRule="auto"/>
    </w:pPr>
    <w:rPr>
      <w:rFonts w:ascii="Helvetica" w:hAnsi="Helvetica" w:cs="Times New Roman"/>
      <w:b/>
      <w:caps/>
    </w:rPr>
  </w:style>
  <w:style w:type="character" w:customStyle="1" w:styleId="15">
    <w:name w:val="15"/>
    <w:basedOn w:val="DefaultParagraphFont"/>
    <w:rsid w:val="00C413B5"/>
    <w:rPr>
      <w:rFonts w:ascii="SimSun" w:eastAsia="SimSun" w:hAnsi="SimSun" w:hint="eastAsia"/>
      <w:color w:val="0000FF"/>
      <w:u w:val="single"/>
    </w:rPr>
  </w:style>
  <w:style w:type="character" w:customStyle="1" w:styleId="16">
    <w:name w:val="16"/>
    <w:basedOn w:val="DefaultParagraphFont"/>
    <w:rsid w:val="00C413B5"/>
    <w:rPr>
      <w:rFonts w:ascii="SimSun" w:eastAsia="SimSun" w:hAnsi="SimSun" w:hint="eastAsia"/>
      <w:b/>
      <w:bCs/>
    </w:rPr>
  </w:style>
  <w:style w:type="character" w:customStyle="1" w:styleId="17">
    <w:name w:val="17"/>
    <w:basedOn w:val="DefaultParagraphFont"/>
    <w:rsid w:val="00C413B5"/>
    <w:rPr>
      <w:rFonts w:ascii="SimSun" w:eastAsia="SimSun" w:hAnsi="SimSun" w:hint="eastAsia"/>
    </w:rPr>
  </w:style>
  <w:style w:type="character" w:customStyle="1" w:styleId="18">
    <w:name w:val="18"/>
    <w:basedOn w:val="DefaultParagraphFont"/>
    <w:rsid w:val="00C413B5"/>
    <w:rPr>
      <w:rFonts w:ascii="SimSun" w:eastAsia="SimSun" w:hAnsi="SimSun" w:hint="eastAsia"/>
      <w:i/>
      <w:iCs/>
    </w:rPr>
  </w:style>
  <w:style w:type="character" w:customStyle="1" w:styleId="19">
    <w:name w:val="19"/>
    <w:basedOn w:val="DefaultParagraphFont"/>
    <w:rsid w:val="00C413B5"/>
    <w:rPr>
      <w:rFonts w:ascii="SimSun" w:eastAsia="SimSun" w:hAnsi="SimSun" w:hint="eastAsia"/>
      <w:i/>
      <w:iCs/>
    </w:rPr>
  </w:style>
  <w:style w:type="character" w:customStyle="1" w:styleId="20">
    <w:name w:val="20"/>
    <w:basedOn w:val="DefaultParagraphFont"/>
    <w:rsid w:val="00C413B5"/>
    <w:rPr>
      <w:rFonts w:ascii="SimSun" w:eastAsia="SimSun" w:hAnsi="SimSun" w:hint="eastAsia"/>
    </w:rPr>
  </w:style>
  <w:style w:type="character" w:customStyle="1" w:styleId="21">
    <w:name w:val="21"/>
    <w:basedOn w:val="DefaultParagraphFont"/>
    <w:rsid w:val="00C413B5"/>
    <w:rPr>
      <w:rFonts w:ascii="SimSun" w:eastAsia="SimSun" w:hAnsi="SimSun" w:hint="eastAsia"/>
    </w:rPr>
  </w:style>
  <w:style w:type="character" w:customStyle="1" w:styleId="22">
    <w:name w:val="22"/>
    <w:basedOn w:val="DefaultParagraphFont"/>
    <w:rsid w:val="00C413B5"/>
    <w:rPr>
      <w:rFonts w:ascii="SimSun" w:eastAsia="SimSun" w:hAnsi="SimSun" w:hint="eastAsia"/>
      <w:sz w:val="16"/>
      <w:szCs w:val="16"/>
    </w:rPr>
  </w:style>
  <w:style w:type="character" w:customStyle="1" w:styleId="23">
    <w:name w:val="23"/>
    <w:basedOn w:val="DefaultParagraphFont"/>
    <w:rsid w:val="00C413B5"/>
    <w:rPr>
      <w:rFonts w:ascii="SimSun" w:eastAsia="SimSun" w:hAnsi="SimSun" w:hint="eastAsia"/>
    </w:rPr>
  </w:style>
  <w:style w:type="table" w:styleId="TableGrid">
    <w:name w:val="Table Grid"/>
    <w:basedOn w:val="TableNormal"/>
    <w:uiPriority w:val="99"/>
    <w:unhideWhenUsed/>
    <w:rsid w:val="00C413B5"/>
    <w:pPr>
      <w:spacing w:after="0" w:line="240" w:lineRule="auto"/>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5728"/>
    <w:rPr>
      <w:color w:val="0000FF" w:themeColor="hyperlink"/>
      <w:u w:val="single"/>
    </w:rPr>
  </w:style>
  <w:style w:type="paragraph" w:customStyle="1" w:styleId="referencescopy1">
    <w:name w:val="referencescopy1"/>
    <w:basedOn w:val="Normal"/>
    <w:rsid w:val="00CD0CD0"/>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096080">
      <w:bodyDiv w:val="1"/>
      <w:marLeft w:val="0"/>
      <w:marRight w:val="0"/>
      <w:marTop w:val="0"/>
      <w:marBottom w:val="0"/>
      <w:divBdr>
        <w:top w:val="none" w:sz="0" w:space="0" w:color="auto"/>
        <w:left w:val="none" w:sz="0" w:space="0" w:color="auto"/>
        <w:bottom w:val="none" w:sz="0" w:space="0" w:color="auto"/>
        <w:right w:val="none" w:sz="0" w:space="0" w:color="auto"/>
      </w:divBdr>
    </w:div>
    <w:div w:id="1237083552">
      <w:bodyDiv w:val="1"/>
      <w:marLeft w:val="0"/>
      <w:marRight w:val="0"/>
      <w:marTop w:val="0"/>
      <w:marBottom w:val="0"/>
      <w:divBdr>
        <w:top w:val="none" w:sz="0" w:space="0" w:color="auto"/>
        <w:left w:val="none" w:sz="0" w:space="0" w:color="auto"/>
        <w:bottom w:val="none" w:sz="0" w:space="0" w:color="auto"/>
        <w:right w:val="none" w:sz="0" w:space="0" w:color="auto"/>
      </w:divBdr>
    </w:div>
    <w:div w:id="1566603260">
      <w:bodyDiv w:val="1"/>
      <w:marLeft w:val="0"/>
      <w:marRight w:val="0"/>
      <w:marTop w:val="0"/>
      <w:marBottom w:val="0"/>
      <w:divBdr>
        <w:top w:val="none" w:sz="0" w:space="0" w:color="auto"/>
        <w:left w:val="none" w:sz="0" w:space="0" w:color="auto"/>
        <w:bottom w:val="none" w:sz="0" w:space="0" w:color="auto"/>
        <w:right w:val="none" w:sz="0" w:space="0" w:color="auto"/>
      </w:divBdr>
    </w:div>
    <w:div w:id="1844976418">
      <w:bodyDiv w:val="1"/>
      <w:marLeft w:val="0"/>
      <w:marRight w:val="0"/>
      <w:marTop w:val="0"/>
      <w:marBottom w:val="0"/>
      <w:divBdr>
        <w:top w:val="none" w:sz="0" w:space="0" w:color="auto"/>
        <w:left w:val="none" w:sz="0" w:space="0" w:color="auto"/>
        <w:bottom w:val="none" w:sz="0" w:space="0" w:color="auto"/>
        <w:right w:val="none" w:sz="0" w:space="0" w:color="auto"/>
      </w:divBdr>
    </w:div>
    <w:div w:id="1941062391">
      <w:bodyDiv w:val="1"/>
      <w:marLeft w:val="0"/>
      <w:marRight w:val="0"/>
      <w:marTop w:val="0"/>
      <w:marBottom w:val="0"/>
      <w:divBdr>
        <w:top w:val="none" w:sz="0" w:space="0" w:color="auto"/>
        <w:left w:val="none" w:sz="0" w:space="0" w:color="auto"/>
        <w:bottom w:val="none" w:sz="0" w:space="0" w:color="auto"/>
        <w:right w:val="none" w:sz="0" w:space="0" w:color="auto"/>
      </w:divBdr>
    </w:div>
    <w:div w:id="200848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jess/2019/v3i430102" TargetMode="External"/><Relationship Id="rId13" Type="http://schemas.openxmlformats.org/officeDocument/2006/relationships/hyperlink" Target="http://health.usnews.com/health-news/family-health/brain-and-behavior/articles/2011/01/17/video-game-addiction-tied-to-depression-anxiety-in-kids" TargetMode="External"/><Relationship Id="rId18" Type="http://schemas.openxmlformats.org/officeDocument/2006/relationships/hyperlink" Target="https://doi.org/10.1017/gmh.2021.34" TargetMode="External"/><Relationship Id="rId3" Type="http://schemas.openxmlformats.org/officeDocument/2006/relationships/settings" Target="settings.xml"/><Relationship Id="rId21" Type="http://schemas.openxmlformats.org/officeDocument/2006/relationships/hyperlink" Target="https://doi.org/10.3389/fpsyg.2022.1102066" TargetMode="External"/><Relationship Id="rId7" Type="http://schemas.openxmlformats.org/officeDocument/2006/relationships/hyperlink" Target="https://dx.doi.org/10.5812/ijhrba.91968" TargetMode="External"/><Relationship Id="rId12" Type="http://schemas.openxmlformats.org/officeDocument/2006/relationships/hyperlink" Target="https://virtual-addiction.com/technology-addiction-statistics-2024/" TargetMode="External"/><Relationship Id="rId17" Type="http://schemas.openxmlformats.org/officeDocument/2006/relationships/hyperlink" Target="https://doi.org/10.1111/ajad.13156" TargetMode="External"/><Relationship Id="rId2" Type="http://schemas.openxmlformats.org/officeDocument/2006/relationships/styles" Target="styles.xml"/><Relationship Id="rId16" Type="http://schemas.openxmlformats.org/officeDocument/2006/relationships/hyperlink" Target="https://doi.org/10.1007/s11469-022-00994-9" TargetMode="External"/><Relationship Id="rId20" Type="http://schemas.openxmlformats.org/officeDocument/2006/relationships/hyperlink" Target="file:///C:\Users\User\Desktop\ongoing%20papers%20completed\INTERNET%20AND%20MOBILE%20GAME%20ADDICTION%20%20AS%20PREDICTORS%20OF%20PSYCHOLOGICAL%20ADJUSTMENT.docx" TargetMode="External"/><Relationship Id="rId1" Type="http://schemas.openxmlformats.org/officeDocument/2006/relationships/numbering" Target="numbering.xml"/><Relationship Id="rId6" Type="http://schemas.openxmlformats.org/officeDocument/2006/relationships/hyperlink" Target="http://doi.org/10.9734/INDJ/2018/v12i330093" TargetMode="External"/><Relationship Id="rId11" Type="http://schemas.openxmlformats.org/officeDocument/2006/relationships/hyperlink" Target="https://fenced.ai/blogs/excessivemobile-gaming/" TargetMode="External"/><Relationship Id="rId5" Type="http://schemas.openxmlformats.org/officeDocument/2006/relationships/hyperlink" Target="https://doi.org/10.7759/cureus.22293" TargetMode="External"/><Relationship Id="rId15" Type="http://schemas.openxmlformats.org/officeDocument/2006/relationships/hyperlink" Target="http://www.itu.int/en/ITUD/Statistics/Documents/facts/ICTFactsFigures2013.pdf" TargetMode="External"/><Relationship Id="rId23" Type="http://schemas.openxmlformats.org/officeDocument/2006/relationships/theme" Target="theme/theme1.xml"/><Relationship Id="rId10" Type="http://schemas.openxmlformats.org/officeDocument/2006/relationships/hyperlink" Target="https://doi.org/10.1089/cyber.2014.0317" TargetMode="External"/><Relationship Id="rId19" Type="http://schemas.openxmlformats.org/officeDocument/2006/relationships/hyperlink" Target="https://doi.org/10.3389/ijph.2023.1605609" TargetMode="External"/><Relationship Id="rId4" Type="http://schemas.openxmlformats.org/officeDocument/2006/relationships/webSettings" Target="webSettings.xml"/><Relationship Id="rId9" Type="http://schemas.openxmlformats.org/officeDocument/2006/relationships/hyperlink" Target="https://ijpsat.ijsht-journals.org/index.php/ijpsat" TargetMode="External"/><Relationship Id="rId14" Type="http://schemas.openxmlformats.org/officeDocument/2006/relationships/hyperlink" Target="http://www.addictionrecov.org/addictions/?AID=4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15</Pages>
  <Words>7566</Words>
  <Characters>43129</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1183</cp:lastModifiedBy>
  <cp:revision>18</cp:revision>
  <dcterms:created xsi:type="dcterms:W3CDTF">2025-03-03T14:52:00Z</dcterms:created>
  <dcterms:modified xsi:type="dcterms:W3CDTF">2025-03-10T09:15:00Z</dcterms:modified>
</cp:coreProperties>
</file>