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A7450" w14:textId="77777777" w:rsidR="00F029E5" w:rsidRPr="00E64EF0" w:rsidRDefault="00F029E5" w:rsidP="00F029E5">
      <w:pPr>
        <w:spacing w:after="0" w:line="240" w:lineRule="auto"/>
        <w:rPr>
          <w:rFonts w:ascii="Arial" w:eastAsia="Times New Roman" w:hAnsi="Arial" w:cs="Arial"/>
          <w:b/>
          <w:sz w:val="14"/>
          <w:szCs w:val="20"/>
        </w:rPr>
      </w:pPr>
    </w:p>
    <w:p w14:paraId="4E7D0936" w14:textId="77777777" w:rsidR="005C62DE" w:rsidRPr="00E64EF0" w:rsidRDefault="00913A03" w:rsidP="005C62DE">
      <w:pPr>
        <w:spacing w:after="0" w:line="240" w:lineRule="auto"/>
        <w:jc w:val="right"/>
        <w:rPr>
          <w:rFonts w:ascii="Arial" w:eastAsia="Times New Roman" w:hAnsi="Arial" w:cs="Arial"/>
          <w:b/>
          <w:bCs/>
          <w:kern w:val="28"/>
          <w:sz w:val="12"/>
          <w:szCs w:val="20"/>
        </w:rPr>
      </w:pPr>
      <w:r>
        <w:rPr>
          <w:rFonts w:ascii="Arial" w:eastAsia="Times New Roman" w:hAnsi="Arial" w:cs="Arial"/>
          <w:b/>
          <w:bCs/>
          <w:noProof/>
          <w:kern w:val="28"/>
          <w:sz w:val="12"/>
          <w:szCs w:val="20"/>
        </w:rPr>
      </w:r>
      <w:r>
        <w:rPr>
          <w:rFonts w:ascii="Arial" w:eastAsia="Times New Roman" w:hAnsi="Arial" w:cs="Arial"/>
          <w:b/>
          <w:bCs/>
          <w:noProof/>
          <w:kern w:val="28"/>
          <w:sz w:val="12"/>
          <w:szCs w:val="20"/>
        </w:rPr>
        <w:pict w14:anchorId="4D7DAEA9">
          <v:shapetype id="_x0000_t32" coordsize="21600,21600" o:spt="32" o:oned="t" path="m,l21600,21600e" filled="f">
            <v:path arrowok="t" fillok="f" o:connecttype="none"/>
            <o:lock v:ext="edit" shapetype="t"/>
          </v:shapetype>
          <v:shape id="AutoShape 54" o:spid="_x0000_s1026" type="#_x0000_t32" style="width:450.7pt;height:0;visibility:visible;mso-left-percent:-10001;mso-top-percent:-10001;mso-position-horizontal:absolute;mso-position-horizontal-relative:char;mso-position-vertical:absolute;mso-position-vertical-relative:line;mso-left-percent:-10001;mso-top-percent:-10001" strokeweight="1.5pt">
            <w10:anchorlock/>
          </v:shape>
        </w:pict>
      </w:r>
    </w:p>
    <w:p w14:paraId="2DD748E4" w14:textId="77777777" w:rsidR="00444654" w:rsidRPr="00E64EF0" w:rsidRDefault="00444654" w:rsidP="003570B1">
      <w:pPr>
        <w:tabs>
          <w:tab w:val="left" w:pos="90"/>
        </w:tabs>
        <w:spacing w:after="0" w:line="240" w:lineRule="auto"/>
        <w:jc w:val="right"/>
        <w:rPr>
          <w:rFonts w:ascii="Arial" w:eastAsia="Times New Roman" w:hAnsi="Arial" w:cs="Arial"/>
          <w:b/>
          <w:bCs/>
          <w:color w:val="000000"/>
          <w:sz w:val="20"/>
          <w:szCs w:val="36"/>
        </w:rPr>
      </w:pPr>
    </w:p>
    <w:p w14:paraId="3714185D" w14:textId="7FBFA60E" w:rsidR="0049098D" w:rsidRPr="00E64EF0" w:rsidRDefault="004C7A6E" w:rsidP="0083526E">
      <w:pPr>
        <w:pStyle w:val="Heading1"/>
        <w:rPr>
          <w:rFonts w:eastAsia="Times New Roman"/>
          <w:kern w:val="28"/>
        </w:rPr>
      </w:pPr>
      <w:r w:rsidRPr="00E64EF0">
        <w:rPr>
          <w:rFonts w:eastAsia="Times New Roman"/>
          <w:kern w:val="28"/>
          <w:sz w:val="48"/>
        </w:rPr>
        <w:t>An Empirical Study on the Impact of FII and DII on Volatility, Leverage</w:t>
      </w:r>
      <w:r w:rsidR="00AC2846">
        <w:rPr>
          <w:rFonts w:eastAsia="Times New Roman"/>
          <w:kern w:val="28"/>
          <w:sz w:val="48"/>
        </w:rPr>
        <w:t xml:space="preserve"> </w:t>
      </w:r>
      <w:r w:rsidRPr="00E64EF0">
        <w:rPr>
          <w:rFonts w:eastAsia="Times New Roman"/>
          <w:kern w:val="28"/>
          <w:sz w:val="48"/>
        </w:rPr>
        <w:t>and Long-Term Returns of the Indian Stock Index</w:t>
      </w:r>
    </w:p>
    <w:p w14:paraId="18F770D8" w14:textId="77777777" w:rsidR="0049098D" w:rsidRPr="00E64EF0" w:rsidRDefault="0049098D" w:rsidP="0049098D">
      <w:pPr>
        <w:spacing w:after="0" w:line="240" w:lineRule="auto"/>
        <w:contextualSpacing/>
        <w:jc w:val="right"/>
        <w:rPr>
          <w:rFonts w:ascii="Arial" w:eastAsia="Times New Roman" w:hAnsi="Arial" w:cs="Arial"/>
          <w:b/>
          <w:bCs/>
          <w:sz w:val="36"/>
          <w:szCs w:val="20"/>
        </w:rPr>
      </w:pPr>
    </w:p>
    <w:p w14:paraId="0FD58550" w14:textId="77777777" w:rsidR="00444654" w:rsidRPr="00E64EF0" w:rsidRDefault="00444654" w:rsidP="00444654">
      <w:pPr>
        <w:keepNext/>
        <w:spacing w:after="0" w:line="240" w:lineRule="auto"/>
        <w:rPr>
          <w:rFonts w:ascii="Arial" w:eastAsia="Times New Roman" w:hAnsi="Arial" w:cs="Arial"/>
          <w:b/>
          <w:caps/>
          <w:sz w:val="20"/>
          <w:szCs w:val="20"/>
        </w:rPr>
      </w:pPr>
    </w:p>
    <w:p w14:paraId="0D68146C" w14:textId="77777777" w:rsidR="00444654" w:rsidRPr="00E64EF0" w:rsidRDefault="00444654" w:rsidP="0083526E">
      <w:pPr>
        <w:pStyle w:val="Heading2"/>
        <w:rPr>
          <w:rFonts w:eastAsia="Times New Roman"/>
        </w:rPr>
      </w:pPr>
      <w:r w:rsidRPr="00E64EF0">
        <w:rPr>
          <w:rFonts w:eastAsia="Times New Roman"/>
        </w:rPr>
        <w:t>ABSTRACT</w:t>
      </w:r>
    </w:p>
    <w:p w14:paraId="6CE43C36" w14:textId="77777777" w:rsidR="00444654" w:rsidRPr="00E64EF0" w:rsidRDefault="00444654" w:rsidP="00444654">
      <w:pPr>
        <w:keepNext/>
        <w:spacing w:after="0" w:line="240" w:lineRule="auto"/>
        <w:rPr>
          <w:rFonts w:ascii="Arial" w:eastAsia="Times New Roman" w:hAnsi="Arial" w:cs="Arial"/>
          <w:b/>
          <w:caps/>
          <w:sz w:val="20"/>
          <w:szCs w:val="20"/>
        </w:rPr>
      </w:pPr>
    </w:p>
    <w:tbl>
      <w:tblPr>
        <w:tblStyle w:val="TableGrid"/>
        <w:tblW w:w="4900" w:type="pct"/>
        <w:jc w:val="center"/>
        <w:tblLayout w:type="fixed"/>
        <w:tblLook w:val="04A0" w:firstRow="1" w:lastRow="0" w:firstColumn="1" w:lastColumn="0" w:noHBand="0" w:noVBand="1"/>
      </w:tblPr>
      <w:tblGrid>
        <w:gridCol w:w="9060"/>
      </w:tblGrid>
      <w:tr w:rsidR="00444654" w:rsidRPr="00E64EF0" w14:paraId="7C2C3F34" w14:textId="77777777" w:rsidTr="004C7A6E">
        <w:trPr>
          <w:trHeight w:val="20"/>
          <w:jc w:val="center"/>
        </w:trPr>
        <w:tc>
          <w:tcPr>
            <w:tcW w:w="9108" w:type="dxa"/>
          </w:tcPr>
          <w:p w14:paraId="09F4E480" w14:textId="27FF72A0" w:rsidR="00444654" w:rsidRPr="00E64EF0" w:rsidRDefault="004C7A6E" w:rsidP="004C7A6E">
            <w:pPr>
              <w:jc w:val="both"/>
              <w:rPr>
                <w:rFonts w:ascii="Arial" w:hAnsi="Arial" w:cs="Arial"/>
              </w:rPr>
            </w:pPr>
            <w:r w:rsidRPr="00E64EF0">
              <w:rPr>
                <w:rFonts w:ascii="Arial" w:hAnsi="Arial" w:cs="Arial"/>
              </w:rPr>
              <w:t>Estimating volatility is the key factor to be analyzed in taking the financial decisions. Financial strategies are framed after due investigation of financial market volatility. This study examines the impact of foreign institutional investment (FII) &amp; Domestic Institutional investment (DII) in Indian stock market and analyses the volatility of National Stock Exchange (NSE) categorical indices for the period of 10 years from 20</w:t>
            </w:r>
            <w:r w:rsidRPr="00E64EF0">
              <w:rPr>
                <w:rFonts w:ascii="Arial" w:hAnsi="Arial" w:cs="Arial"/>
                <w:vertAlign w:val="superscript"/>
              </w:rPr>
              <w:t>th</w:t>
            </w:r>
            <w:r w:rsidRPr="00E64EF0">
              <w:rPr>
                <w:rFonts w:ascii="Arial" w:hAnsi="Arial" w:cs="Arial"/>
              </w:rPr>
              <w:t xml:space="preserve"> February 2014 to 20</w:t>
            </w:r>
            <w:r w:rsidRPr="00E64EF0">
              <w:rPr>
                <w:rFonts w:ascii="Arial" w:hAnsi="Arial" w:cs="Arial"/>
                <w:vertAlign w:val="superscript"/>
              </w:rPr>
              <w:t>th</w:t>
            </w:r>
            <w:r w:rsidRPr="00E64EF0">
              <w:rPr>
                <w:rFonts w:ascii="Arial" w:hAnsi="Arial" w:cs="Arial"/>
              </w:rPr>
              <w:t xml:space="preserve"> February 2024. The study is conducted using the logarithmic return of series of Nifty 50, Nifty Midcap 50 &amp; Nifty Small Cap 50. GARCH (1,1) and T-GARCH (1,1) model have been used to check the volatility &amp; leverage effect in the three major indices of Nifty. The study shows Nifty </w:t>
            </w:r>
            <w:proofErr w:type="spellStart"/>
            <w:r w:rsidRPr="00E64EF0">
              <w:rPr>
                <w:rFonts w:ascii="Arial" w:hAnsi="Arial" w:cs="Arial"/>
              </w:rPr>
              <w:t>MidCap</w:t>
            </w:r>
            <w:proofErr w:type="spellEnd"/>
            <w:r w:rsidRPr="00E64EF0">
              <w:rPr>
                <w:rFonts w:ascii="Arial" w:hAnsi="Arial" w:cs="Arial"/>
              </w:rPr>
              <w:t xml:space="preserve"> 50 is highly volatile compared to Nifty50 &amp; Nifty Small Cap 50.</w:t>
            </w:r>
            <w:r w:rsidR="00BC12DD" w:rsidRPr="00E64EF0">
              <w:rPr>
                <w:rFonts w:ascii="Arial" w:hAnsi="Arial" w:cs="Arial"/>
              </w:rPr>
              <w:t xml:space="preserve"> </w:t>
            </w:r>
            <w:r w:rsidRPr="00E64EF0">
              <w:rPr>
                <w:rFonts w:ascii="Arial" w:hAnsi="Arial" w:cs="Arial"/>
              </w:rPr>
              <w:t>By analyzing T-GARCH all the indices have leverage effect. Moreover, foreign institutional investment (FII) &amp; Domestic Institutional Investment (DII) have statistically significant impact on volatility of Nifty 50 &amp; Nifty Midcap 50. The study will be helpful for the retail as well as institutional investors for identifying &amp; comparing the volatility of different indices.</w:t>
            </w:r>
          </w:p>
          <w:p w14:paraId="1140C0AC" w14:textId="01CBFEA6" w:rsidR="004C7A6E" w:rsidRPr="00E64EF0" w:rsidRDefault="004C7A6E" w:rsidP="004C7A6E">
            <w:pPr>
              <w:jc w:val="both"/>
              <w:rPr>
                <w:rFonts w:ascii="Arial" w:eastAsia="Times New Roman" w:hAnsi="Arial" w:cs="Arial"/>
                <w:bCs/>
              </w:rPr>
            </w:pPr>
          </w:p>
        </w:tc>
      </w:tr>
    </w:tbl>
    <w:p w14:paraId="48819AFC" w14:textId="77777777" w:rsidR="00444654" w:rsidRPr="00E64EF0" w:rsidRDefault="00444654" w:rsidP="00444654">
      <w:pPr>
        <w:spacing w:after="0" w:line="240" w:lineRule="auto"/>
        <w:ind w:left="990" w:hanging="990"/>
        <w:jc w:val="both"/>
        <w:textAlignment w:val="top"/>
        <w:rPr>
          <w:rFonts w:ascii="Arial" w:eastAsia="Times New Roman" w:hAnsi="Arial" w:cs="Arial"/>
          <w:i/>
          <w:szCs w:val="20"/>
        </w:rPr>
      </w:pPr>
    </w:p>
    <w:p w14:paraId="45DD0342" w14:textId="25A9385B" w:rsidR="004C7A6E" w:rsidRPr="00E64EF0" w:rsidRDefault="00444654" w:rsidP="0049098D">
      <w:pPr>
        <w:spacing w:after="0" w:line="240" w:lineRule="auto"/>
        <w:ind w:left="1080" w:hanging="1080"/>
        <w:contextualSpacing/>
        <w:jc w:val="both"/>
        <w:rPr>
          <w:rFonts w:ascii="Arial" w:eastAsia="Times New Roman" w:hAnsi="Arial" w:cs="Arial"/>
          <w:bCs/>
          <w:i/>
          <w:iCs/>
          <w:sz w:val="20"/>
          <w:szCs w:val="20"/>
        </w:rPr>
      </w:pPr>
      <w:r w:rsidRPr="00AC2846">
        <w:rPr>
          <w:rFonts w:ascii="Arial" w:eastAsia="Times New Roman" w:hAnsi="Arial" w:cs="Arial"/>
          <w:b/>
          <w:i/>
          <w:sz w:val="20"/>
          <w:szCs w:val="20"/>
        </w:rPr>
        <w:t>Keywords:</w:t>
      </w:r>
      <w:r w:rsidRPr="00E64EF0">
        <w:rPr>
          <w:rFonts w:ascii="Arial" w:eastAsia="Times New Roman" w:hAnsi="Arial" w:cs="Arial"/>
          <w:i/>
          <w:sz w:val="20"/>
          <w:szCs w:val="20"/>
        </w:rPr>
        <w:t xml:space="preserve"> </w:t>
      </w:r>
      <w:r w:rsidR="004C7A6E" w:rsidRPr="00E64EF0">
        <w:rPr>
          <w:rFonts w:ascii="Arial" w:eastAsia="Times New Roman" w:hAnsi="Arial" w:cs="Arial"/>
          <w:bCs/>
          <w:i/>
          <w:iCs/>
          <w:sz w:val="20"/>
          <w:szCs w:val="20"/>
        </w:rPr>
        <w:t xml:space="preserve">ARCH; GARCH; </w:t>
      </w:r>
      <w:r w:rsidR="00AC2846">
        <w:rPr>
          <w:rFonts w:ascii="Arial" w:eastAsia="Times New Roman" w:hAnsi="Arial" w:cs="Arial"/>
          <w:bCs/>
          <w:i/>
          <w:iCs/>
          <w:sz w:val="20"/>
          <w:szCs w:val="20"/>
        </w:rPr>
        <w:t>I</w:t>
      </w:r>
      <w:r w:rsidR="00AC2846" w:rsidRPr="00AC2846">
        <w:rPr>
          <w:rFonts w:ascii="Arial" w:eastAsia="Times New Roman" w:hAnsi="Arial" w:cs="Arial"/>
          <w:bCs/>
          <w:i/>
          <w:iCs/>
          <w:sz w:val="20"/>
          <w:szCs w:val="20"/>
        </w:rPr>
        <w:t>nstitutional investment (FII)</w:t>
      </w:r>
      <w:r w:rsidR="004C7A6E" w:rsidRPr="00E64EF0">
        <w:rPr>
          <w:rFonts w:ascii="Arial" w:eastAsia="Times New Roman" w:hAnsi="Arial" w:cs="Arial"/>
          <w:bCs/>
          <w:i/>
          <w:iCs/>
          <w:sz w:val="20"/>
          <w:szCs w:val="20"/>
        </w:rPr>
        <w:t xml:space="preserve">; volatility; nifty; </w:t>
      </w:r>
      <w:r w:rsidR="00AC2846" w:rsidRPr="00AC2846">
        <w:rPr>
          <w:rFonts w:ascii="Arial" w:eastAsia="Times New Roman" w:hAnsi="Arial" w:cs="Arial"/>
          <w:bCs/>
          <w:i/>
          <w:iCs/>
          <w:sz w:val="20"/>
          <w:szCs w:val="20"/>
        </w:rPr>
        <w:t>Domestic Institutional investment (DII)</w:t>
      </w:r>
      <w:r w:rsidR="00AC2846">
        <w:rPr>
          <w:rFonts w:ascii="Arial" w:eastAsia="Times New Roman" w:hAnsi="Arial" w:cs="Arial"/>
          <w:bCs/>
          <w:i/>
          <w:iCs/>
          <w:sz w:val="20"/>
          <w:szCs w:val="20"/>
        </w:rPr>
        <w:t xml:space="preserve">, </w:t>
      </w:r>
      <w:r w:rsidR="00AC2846" w:rsidRPr="00AC2846">
        <w:rPr>
          <w:rFonts w:ascii="Arial" w:eastAsia="Times New Roman" w:hAnsi="Arial" w:cs="Arial"/>
          <w:bCs/>
          <w:i/>
          <w:iCs/>
          <w:sz w:val="20"/>
          <w:szCs w:val="20"/>
        </w:rPr>
        <w:t>National Stock Exchange (NSE)</w:t>
      </w:r>
    </w:p>
    <w:p w14:paraId="341764F7" w14:textId="77777777" w:rsidR="00506767" w:rsidRPr="00E64EF0" w:rsidRDefault="00506767" w:rsidP="004C7A6E">
      <w:pPr>
        <w:pStyle w:val="Heading2"/>
        <w:rPr>
          <w:rFonts w:eastAsia="Times New Roman"/>
        </w:rPr>
        <w:sectPr w:rsidR="00506767" w:rsidRPr="00E64EF0" w:rsidSect="009304A6">
          <w:headerReference w:type="default" r:id="rId7"/>
          <w:footerReference w:type="default" r:id="rId8"/>
          <w:footerReference w:type="first" r:id="rId9"/>
          <w:type w:val="continuous"/>
          <w:pgSz w:w="11909" w:h="16834" w:code="9"/>
          <w:pgMar w:top="1440" w:right="1440" w:bottom="1440" w:left="1440" w:header="720" w:footer="864" w:gutter="0"/>
          <w:cols w:space="720"/>
          <w:titlePg/>
          <w:docGrid w:linePitch="360"/>
        </w:sectPr>
      </w:pPr>
    </w:p>
    <w:p w14:paraId="54121777" w14:textId="51A14D18" w:rsidR="004C7A6E" w:rsidRPr="00E64EF0" w:rsidRDefault="004C7A6E" w:rsidP="004C7A6E">
      <w:pPr>
        <w:pStyle w:val="Heading2"/>
        <w:rPr>
          <w:rFonts w:eastAsia="Times New Roman"/>
        </w:rPr>
      </w:pPr>
      <w:r w:rsidRPr="00E64EF0">
        <w:rPr>
          <w:rFonts w:eastAsia="Times New Roman"/>
        </w:rPr>
        <w:t>1. INTRODUCTION</w:t>
      </w:r>
    </w:p>
    <w:p w14:paraId="4B30D61C" w14:textId="77777777" w:rsidR="004C7A6E" w:rsidRPr="00E64EF0" w:rsidRDefault="004C7A6E" w:rsidP="004C7A6E">
      <w:pPr>
        <w:spacing w:after="0" w:line="240" w:lineRule="auto"/>
        <w:contextualSpacing/>
        <w:jc w:val="both"/>
        <w:rPr>
          <w:rFonts w:ascii="Arial" w:eastAsia="Times New Roman" w:hAnsi="Arial" w:cs="Arial"/>
          <w:bCs/>
          <w:iCs/>
          <w:sz w:val="20"/>
          <w:szCs w:val="20"/>
        </w:rPr>
      </w:pPr>
    </w:p>
    <w:p w14:paraId="551B20B2" w14:textId="43B91AB3"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 xml:space="preserve">The Indian stock market is been identified by its stochastic nature which involves the vulnerable ups and downs of equities. Unpredictable Capital market is an indispensable gauge of dynamic irrationality of the securities. Volatility is termed as the fluctuations in the returns caused by the changes in price of security. It is measured by the variance or Standard deviation. Increase and decrease in the prices of securities is common in stock market and not easy for investor to analyze and predict. It becomes more complicated when the fluctuations are steep and sharp. Investors face a challenging task to analyze and </w:t>
      </w:r>
      <w:r w:rsidR="00CB6EE2"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formulate strategies when there is an excessive fluctuation. From past many years, rigorous studies and research has been conducted for modelling and forecasting the volatility. It has become the most important factor for investment decision (</w:t>
      </w:r>
      <w:proofErr w:type="spellStart"/>
      <w:r w:rsidRPr="00E64EF0">
        <w:rPr>
          <w:rFonts w:ascii="Arial" w:eastAsia="Times New Roman" w:hAnsi="Arial" w:cs="Arial"/>
          <w:bCs/>
          <w:iCs/>
          <w:sz w:val="20"/>
          <w:szCs w:val="20"/>
        </w:rPr>
        <w:t>Bagchi</w:t>
      </w:r>
      <w:proofErr w:type="spellEnd"/>
      <w:r w:rsidRPr="00E64EF0">
        <w:rPr>
          <w:rFonts w:ascii="Arial" w:eastAsia="Times New Roman" w:hAnsi="Arial" w:cs="Arial"/>
          <w:bCs/>
          <w:iCs/>
          <w:sz w:val="20"/>
          <w:szCs w:val="20"/>
        </w:rPr>
        <w:t xml:space="preserve"> et al., 2022).</w:t>
      </w:r>
      <w:r w:rsidR="00BC12DD"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 xml:space="preserve">Thus, a study on </w:t>
      </w:r>
      <w:r w:rsidRPr="00E64EF0">
        <w:rPr>
          <w:rFonts w:ascii="Arial" w:eastAsia="Times New Roman" w:hAnsi="Arial" w:cs="Arial"/>
          <w:bCs/>
          <w:iCs/>
          <w:sz w:val="20"/>
          <w:szCs w:val="20"/>
        </w:rPr>
        <w:t xml:space="preserve">stock market volatility is very essential in a developing country like India. Several models have been proposed to capture the Volatility of stock market. First model named as Autoregressive conditional heteroskedasticity ARCH was introduced by Robert Engle in 1982. Later by Tim </w:t>
      </w:r>
      <w:proofErr w:type="spellStart"/>
      <w:r w:rsidRPr="00E64EF0">
        <w:rPr>
          <w:rFonts w:ascii="Arial" w:eastAsia="Times New Roman" w:hAnsi="Arial" w:cs="Arial"/>
          <w:bCs/>
          <w:iCs/>
          <w:sz w:val="20"/>
          <w:szCs w:val="20"/>
        </w:rPr>
        <w:t>Bollerslev</w:t>
      </w:r>
      <w:proofErr w:type="spellEnd"/>
      <w:r w:rsidRPr="00E64EF0">
        <w:rPr>
          <w:rFonts w:ascii="Arial" w:eastAsia="Times New Roman" w:hAnsi="Arial" w:cs="Arial"/>
          <w:bCs/>
          <w:iCs/>
          <w:sz w:val="20"/>
          <w:szCs w:val="20"/>
        </w:rPr>
        <w:t xml:space="preserve">, </w:t>
      </w:r>
      <w:proofErr w:type="gramStart"/>
      <w:r w:rsidRPr="00E64EF0">
        <w:rPr>
          <w:rFonts w:ascii="Arial" w:eastAsia="Times New Roman" w:hAnsi="Arial" w:cs="Arial"/>
          <w:bCs/>
          <w:iCs/>
          <w:sz w:val="20"/>
          <w:szCs w:val="20"/>
        </w:rPr>
        <w:t>Generalized</w:t>
      </w:r>
      <w:proofErr w:type="gramEnd"/>
      <w:r w:rsidRPr="00E64EF0">
        <w:rPr>
          <w:rFonts w:ascii="Arial" w:eastAsia="Times New Roman" w:hAnsi="Arial" w:cs="Arial"/>
          <w:bCs/>
          <w:iCs/>
          <w:sz w:val="20"/>
          <w:szCs w:val="20"/>
        </w:rPr>
        <w:t xml:space="preserve"> model of it with incubating the lags of conditional variance was developed naming as GARCH (Generalized ARCH). These models have been frequently used by researchers to study the volatility of stock market.</w:t>
      </w:r>
    </w:p>
    <w:p w14:paraId="0FB9485A" w14:textId="77777777" w:rsidR="004C7A6E" w:rsidRPr="00E64EF0" w:rsidRDefault="004C7A6E" w:rsidP="004C7A6E">
      <w:pPr>
        <w:spacing w:after="0" w:line="240" w:lineRule="auto"/>
        <w:contextualSpacing/>
        <w:jc w:val="both"/>
        <w:rPr>
          <w:rFonts w:ascii="Arial" w:eastAsia="Times New Roman" w:hAnsi="Arial" w:cs="Arial"/>
          <w:bCs/>
          <w:iCs/>
          <w:sz w:val="20"/>
          <w:szCs w:val="20"/>
        </w:rPr>
      </w:pPr>
    </w:p>
    <w:p w14:paraId="0CC23F28" w14:textId="6DE1A05B"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 xml:space="preserve">There are two broad sources of investment in Indian stock market: Foreign Institutional Investors &amp; Domestic Institutional Investors </w:t>
      </w:r>
      <w:r w:rsidR="00CB6EE2"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 xml:space="preserve">other than the retail investors (Mohapatra et al., 2024) Domestic Institutional Investors refers to those investors who invest as an institution like, Mutual Funds, Insurance companies Development Financial institutions etc. </w:t>
      </w:r>
      <w:r w:rsidR="00CB6EE2"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lastRenderedPageBreak/>
        <w:t xml:space="preserve">Whereas, Foreign institutional Investors refers to those institution investors who invest in </w:t>
      </w:r>
      <w:r w:rsidR="00CB6EE2"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 xml:space="preserve">country outside which they reside. The study is aimed to determining the volatility of varied </w:t>
      </w:r>
      <w:r w:rsidR="00CB6EE2"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 xml:space="preserve">broad market indices of Nifty and to find </w:t>
      </w:r>
      <w:r w:rsidR="00CB6EE2"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out the impact of FII &amp; DII in volatility of Nifty indices.</w:t>
      </w:r>
    </w:p>
    <w:p w14:paraId="286F1B30" w14:textId="5A696B43" w:rsidR="004C7A6E" w:rsidRPr="00E64EF0" w:rsidRDefault="004C7A6E" w:rsidP="004C7A6E">
      <w:pPr>
        <w:pStyle w:val="Heading2"/>
        <w:rPr>
          <w:rFonts w:eastAsia="Times New Roman"/>
        </w:rPr>
      </w:pPr>
      <w:r w:rsidRPr="00E64EF0">
        <w:rPr>
          <w:rFonts w:eastAsia="Times New Roman"/>
        </w:rPr>
        <w:t xml:space="preserve">2. REVIEW OF LITERATURE </w:t>
      </w:r>
    </w:p>
    <w:p w14:paraId="48B522C1" w14:textId="77777777" w:rsidR="004C7A6E" w:rsidRPr="00E64EF0" w:rsidRDefault="004C7A6E" w:rsidP="004C7A6E">
      <w:pPr>
        <w:spacing w:after="0" w:line="240" w:lineRule="auto"/>
        <w:contextualSpacing/>
        <w:jc w:val="both"/>
        <w:rPr>
          <w:rFonts w:ascii="Arial" w:eastAsia="Times New Roman" w:hAnsi="Arial" w:cs="Arial"/>
          <w:bCs/>
          <w:iCs/>
          <w:sz w:val="20"/>
          <w:szCs w:val="20"/>
        </w:rPr>
      </w:pPr>
    </w:p>
    <w:p w14:paraId="4972D6D4" w14:textId="6F2D0B54"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Indian stock market started its growth journey from the period of economic reform. The foreign funds start appreciating from this period. But at the same time, these capital flows have also given a significant threat like economic and financial threats to the system of the economy. The threats being very prominent</w:t>
      </w:r>
      <w:r w:rsidR="00BC12DD"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in terms of inflationary, overheating of the system and unmanageable volatility in the Indian capital market due to the uncertain nature of these FII/DII flows</w:t>
      </w:r>
      <w:r w:rsidR="00CD358A"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(Kashyap et al., 2017; Mohanty et al., 2023). As per the report over US$ 64 billion investment have been made by FII’s in 2020, considering to be the 5</w:t>
      </w:r>
      <w:r w:rsidRPr="00E64EF0">
        <w:rPr>
          <w:rFonts w:ascii="Arial" w:eastAsia="Times New Roman" w:hAnsi="Arial" w:cs="Arial"/>
          <w:bCs/>
          <w:iCs/>
          <w:sz w:val="20"/>
          <w:szCs w:val="20"/>
          <w:vertAlign w:val="superscript"/>
        </w:rPr>
        <w:t>th</w:t>
      </w:r>
      <w:r w:rsidRPr="00E64EF0">
        <w:rPr>
          <w:rFonts w:ascii="Arial" w:eastAsia="Times New Roman" w:hAnsi="Arial" w:cs="Arial"/>
          <w:bCs/>
          <w:iCs/>
          <w:sz w:val="20"/>
          <w:szCs w:val="20"/>
        </w:rPr>
        <w:t xml:space="preserve"> largest recipient in the world. Attractive opportunities</w:t>
      </w:r>
      <w:r w:rsidR="00BC12DD"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 xml:space="preserve">to investors </w:t>
      </w:r>
      <w:proofErr w:type="gramStart"/>
      <w:r w:rsidRPr="00E64EF0">
        <w:rPr>
          <w:rFonts w:ascii="Arial" w:eastAsia="Times New Roman" w:hAnsi="Arial" w:cs="Arial"/>
          <w:bCs/>
          <w:iCs/>
          <w:sz w:val="20"/>
          <w:szCs w:val="20"/>
        </w:rPr>
        <w:t>is</w:t>
      </w:r>
      <w:proofErr w:type="gramEnd"/>
      <w:r w:rsidRPr="00E64EF0">
        <w:rPr>
          <w:rFonts w:ascii="Arial" w:eastAsia="Times New Roman" w:hAnsi="Arial" w:cs="Arial"/>
          <w:bCs/>
          <w:iCs/>
          <w:sz w:val="20"/>
          <w:szCs w:val="20"/>
        </w:rPr>
        <w:t xml:space="preserve"> being provided by Mid cap &amp; Small Cap companies (IBEG).</w:t>
      </w:r>
      <w:r w:rsidR="00677E8D"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 xml:space="preserve">The Foreign Institutional Investors (FIIs) have arisen as imperative players in the Indian stock market and their developing commitment adds as a significant element of the improvement of stock market in India (Kannan </w:t>
      </w:r>
      <w:r w:rsidR="00CD358A" w:rsidRPr="00E64EF0">
        <w:rPr>
          <w:rFonts w:ascii="Arial" w:eastAsia="Times New Roman" w:hAnsi="Arial" w:cs="Arial"/>
          <w:bCs/>
          <w:iCs/>
          <w:sz w:val="20"/>
          <w:szCs w:val="20"/>
        </w:rPr>
        <w:t>&amp;</w:t>
      </w:r>
      <w:r w:rsidRPr="00E64EF0">
        <w:rPr>
          <w:rFonts w:ascii="Arial" w:eastAsia="Times New Roman" w:hAnsi="Arial" w:cs="Arial"/>
          <w:bCs/>
          <w:iCs/>
          <w:sz w:val="20"/>
          <w:szCs w:val="20"/>
        </w:rPr>
        <w:t xml:space="preserve"> </w:t>
      </w:r>
      <w:proofErr w:type="spellStart"/>
      <w:r w:rsidRPr="00E64EF0">
        <w:rPr>
          <w:rFonts w:ascii="Arial" w:eastAsia="Times New Roman" w:hAnsi="Arial" w:cs="Arial"/>
          <w:bCs/>
          <w:iCs/>
          <w:sz w:val="20"/>
          <w:szCs w:val="20"/>
        </w:rPr>
        <w:t>Arockiam</w:t>
      </w:r>
      <w:proofErr w:type="spellEnd"/>
      <w:r w:rsidRPr="00E64EF0">
        <w:rPr>
          <w:rFonts w:ascii="Arial" w:eastAsia="Times New Roman" w:hAnsi="Arial" w:cs="Arial"/>
          <w:bCs/>
          <w:iCs/>
          <w:sz w:val="20"/>
          <w:szCs w:val="20"/>
        </w:rPr>
        <w:t>, 2016; Mohanty et al., 2021</w:t>
      </w:r>
      <w:r w:rsidR="00CD358A" w:rsidRPr="00E64EF0">
        <w:rPr>
          <w:rFonts w:ascii="Arial" w:eastAsia="Times New Roman" w:hAnsi="Arial" w:cs="Arial"/>
          <w:bCs/>
          <w:iCs/>
          <w:sz w:val="20"/>
          <w:szCs w:val="20"/>
        </w:rPr>
        <w:t>a</w:t>
      </w:r>
      <w:r w:rsidRPr="00E64EF0">
        <w:rPr>
          <w:rFonts w:ascii="Arial" w:eastAsia="Times New Roman" w:hAnsi="Arial" w:cs="Arial"/>
          <w:bCs/>
          <w:iCs/>
          <w:sz w:val="20"/>
          <w:szCs w:val="20"/>
        </w:rPr>
        <w:t>).</w:t>
      </w:r>
      <w:r w:rsidR="00677E8D"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 xml:space="preserve">Subsequently, the Indian stock markets have arrived at new statures and turned out to be more unstable making the research work in this element of building up the connection among FIIs and stock market volatility. The Domestic Institutional Investors are additionally the significant financial backers in corresponding to Foreign Institutional Investors and comprehend the general methodologies of Domestic </w:t>
      </w:r>
      <w:r w:rsidR="00677E8D"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players accessible in the market. Hence, it's an intriguing space of research to analyze the influence of FIIs and DII in Stock Market Volatility (</w:t>
      </w:r>
      <w:proofErr w:type="spellStart"/>
      <w:r w:rsidRPr="00E64EF0">
        <w:rPr>
          <w:rFonts w:ascii="Arial" w:eastAsia="Times New Roman" w:hAnsi="Arial" w:cs="Arial"/>
          <w:bCs/>
          <w:iCs/>
          <w:sz w:val="20"/>
          <w:szCs w:val="20"/>
        </w:rPr>
        <w:t>Dhananjaya</w:t>
      </w:r>
      <w:proofErr w:type="spellEnd"/>
      <w:r w:rsidRPr="00E64EF0">
        <w:rPr>
          <w:rFonts w:ascii="Arial" w:eastAsia="Times New Roman" w:hAnsi="Arial" w:cs="Arial"/>
          <w:bCs/>
          <w:iCs/>
          <w:sz w:val="20"/>
          <w:szCs w:val="20"/>
        </w:rPr>
        <w:t>, 2020).</w:t>
      </w:r>
    </w:p>
    <w:p w14:paraId="1D2FB447" w14:textId="77777777" w:rsidR="004C7A6E" w:rsidRPr="00E64EF0" w:rsidRDefault="004C7A6E" w:rsidP="004C7A6E">
      <w:pPr>
        <w:spacing w:after="0" w:line="240" w:lineRule="auto"/>
        <w:contextualSpacing/>
        <w:jc w:val="both"/>
        <w:rPr>
          <w:rFonts w:ascii="Arial" w:eastAsia="Times New Roman" w:hAnsi="Arial" w:cs="Arial"/>
          <w:bCs/>
          <w:iCs/>
          <w:sz w:val="20"/>
          <w:szCs w:val="20"/>
        </w:rPr>
      </w:pPr>
    </w:p>
    <w:p w14:paraId="55A86D6A" w14:textId="3EB2DA55"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 xml:space="preserve">India is one among the fastest growing economy. The whole world keeps an eye on India for the purpose of investment. The stock exchanges of India like BSE and NSE are getting more attractiveness. The exchanges are becoming pretty volatile. This volatility is a result of FIIs flow to the country. The measures of volatility are so many but GARCH is one among the most trusted techniques (Garg &amp; </w:t>
      </w:r>
      <w:proofErr w:type="spellStart"/>
      <w:r w:rsidRPr="00E64EF0">
        <w:rPr>
          <w:rFonts w:ascii="Arial" w:eastAsia="Times New Roman" w:hAnsi="Arial" w:cs="Arial"/>
          <w:bCs/>
          <w:iCs/>
          <w:sz w:val="20"/>
          <w:szCs w:val="20"/>
        </w:rPr>
        <w:t>Bodla</w:t>
      </w:r>
      <w:proofErr w:type="spellEnd"/>
      <w:r w:rsidRPr="00E64EF0">
        <w:rPr>
          <w:rFonts w:ascii="Arial" w:eastAsia="Times New Roman" w:hAnsi="Arial" w:cs="Arial"/>
          <w:bCs/>
          <w:iCs/>
          <w:sz w:val="20"/>
          <w:szCs w:val="20"/>
        </w:rPr>
        <w:t>, 2011; Mohanty et al., 2021</w:t>
      </w:r>
      <w:r w:rsidR="00CD358A" w:rsidRPr="00E64EF0">
        <w:rPr>
          <w:rFonts w:ascii="Arial" w:eastAsia="Times New Roman" w:hAnsi="Arial" w:cs="Arial"/>
          <w:bCs/>
          <w:iCs/>
          <w:sz w:val="20"/>
          <w:szCs w:val="20"/>
        </w:rPr>
        <w:t>b</w:t>
      </w:r>
      <w:r w:rsidRPr="00E64EF0">
        <w:rPr>
          <w:rFonts w:ascii="Arial" w:eastAsia="Times New Roman" w:hAnsi="Arial" w:cs="Arial"/>
          <w:bCs/>
          <w:iCs/>
          <w:sz w:val="20"/>
          <w:szCs w:val="20"/>
        </w:rPr>
        <w:t xml:space="preserve">). BSE being the oldest stock exchange of Asia, is one of the most attractive stock exchanges of the continent. The volatility of Sensex makes people more reluctant to invest in </w:t>
      </w:r>
      <w:r w:rsidRPr="00E64EF0">
        <w:rPr>
          <w:rFonts w:ascii="Arial" w:eastAsia="Times New Roman" w:hAnsi="Arial" w:cs="Arial"/>
          <w:bCs/>
          <w:iCs/>
          <w:sz w:val="20"/>
          <w:szCs w:val="20"/>
        </w:rPr>
        <w:t>this. The volatility is contributed by so many factors including FII flow. There has been a good long run association between FII and stock return as well as volatility of stocks (</w:t>
      </w:r>
      <w:proofErr w:type="spellStart"/>
      <w:r w:rsidRPr="00E64EF0">
        <w:rPr>
          <w:rFonts w:ascii="Arial" w:eastAsia="Times New Roman" w:hAnsi="Arial" w:cs="Arial"/>
          <w:bCs/>
          <w:iCs/>
          <w:sz w:val="20"/>
          <w:szCs w:val="20"/>
        </w:rPr>
        <w:t>Kedia</w:t>
      </w:r>
      <w:proofErr w:type="spellEnd"/>
      <w:r w:rsidRPr="00E64EF0">
        <w:rPr>
          <w:rFonts w:ascii="Arial" w:eastAsia="Times New Roman" w:hAnsi="Arial" w:cs="Arial"/>
          <w:bCs/>
          <w:iCs/>
          <w:sz w:val="20"/>
          <w:szCs w:val="20"/>
        </w:rPr>
        <w:t>, 2017).</w:t>
      </w:r>
    </w:p>
    <w:p w14:paraId="58864FB8" w14:textId="77777777" w:rsidR="004C7A6E" w:rsidRPr="00E64EF0" w:rsidRDefault="004C7A6E" w:rsidP="004C7A6E">
      <w:pPr>
        <w:spacing w:after="0" w:line="240" w:lineRule="auto"/>
        <w:contextualSpacing/>
        <w:jc w:val="both"/>
        <w:rPr>
          <w:rFonts w:ascii="Arial" w:eastAsia="Times New Roman" w:hAnsi="Arial" w:cs="Arial"/>
          <w:bCs/>
          <w:iCs/>
          <w:sz w:val="20"/>
          <w:szCs w:val="20"/>
        </w:rPr>
      </w:pPr>
    </w:p>
    <w:p w14:paraId="397A52A6" w14:textId="396F7493"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Foreign Institutional Investors are one among the biggest players in the stock market. Investors tend be a very deciding factor for the growth of a stock market.</w:t>
      </w:r>
      <w:r w:rsidR="00CD358A"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It is important to know the correlation between the funds flow and volatility of the stock market</w:t>
      </w:r>
      <w:r w:rsidR="00CD358A"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(Loomba, 2012; Vikram et al</w:t>
      </w:r>
      <w:r w:rsidR="00CD358A" w:rsidRPr="00E64EF0">
        <w:rPr>
          <w:rFonts w:ascii="Arial" w:eastAsia="Times New Roman" w:hAnsi="Arial" w:cs="Arial"/>
          <w:bCs/>
          <w:iCs/>
          <w:sz w:val="20"/>
          <w:szCs w:val="20"/>
        </w:rPr>
        <w:t>.</w:t>
      </w:r>
      <w:r w:rsidRPr="00E64EF0">
        <w:rPr>
          <w:rFonts w:ascii="Arial" w:eastAsia="Times New Roman" w:hAnsi="Arial" w:cs="Arial"/>
          <w:bCs/>
          <w:iCs/>
          <w:sz w:val="20"/>
          <w:szCs w:val="20"/>
        </w:rPr>
        <w:t>, 2022</w:t>
      </w:r>
      <w:r w:rsidR="00CD358A" w:rsidRPr="00E64EF0">
        <w:rPr>
          <w:rFonts w:ascii="Arial" w:eastAsia="Times New Roman" w:hAnsi="Arial" w:cs="Arial"/>
          <w:bCs/>
          <w:iCs/>
          <w:sz w:val="20"/>
          <w:szCs w:val="20"/>
        </w:rPr>
        <w:t>a</w:t>
      </w:r>
      <w:r w:rsidRPr="00E64EF0">
        <w:rPr>
          <w:rFonts w:ascii="Arial" w:eastAsia="Times New Roman" w:hAnsi="Arial" w:cs="Arial"/>
          <w:bCs/>
          <w:iCs/>
          <w:sz w:val="20"/>
          <w:szCs w:val="20"/>
        </w:rPr>
        <w:t>). Not only domestic investors but also foreign investors keep investing in Indian markets. The prominent market indices are Nifty 50, Sensex, BSE 100 etc. Volatility of the stocks are very closely associated with the flow of funds from both domestic and foreign sources (</w:t>
      </w:r>
      <w:proofErr w:type="spellStart"/>
      <w:r w:rsidRPr="00E64EF0">
        <w:rPr>
          <w:rFonts w:ascii="Arial" w:eastAsia="Times New Roman" w:hAnsi="Arial" w:cs="Arial"/>
          <w:bCs/>
          <w:iCs/>
          <w:sz w:val="20"/>
          <w:szCs w:val="20"/>
        </w:rPr>
        <w:t>Gahlot</w:t>
      </w:r>
      <w:proofErr w:type="spellEnd"/>
      <w:r w:rsidRPr="00E64EF0">
        <w:rPr>
          <w:rFonts w:ascii="Arial" w:eastAsia="Times New Roman" w:hAnsi="Arial" w:cs="Arial"/>
          <w:bCs/>
          <w:iCs/>
          <w:sz w:val="20"/>
          <w:szCs w:val="20"/>
        </w:rPr>
        <w:t>, 2019).</w:t>
      </w:r>
    </w:p>
    <w:p w14:paraId="15883886" w14:textId="77777777" w:rsidR="004C7A6E" w:rsidRPr="00E64EF0" w:rsidRDefault="004C7A6E" w:rsidP="004C7A6E">
      <w:pPr>
        <w:spacing w:after="0" w:line="240" w:lineRule="auto"/>
        <w:contextualSpacing/>
        <w:jc w:val="both"/>
        <w:rPr>
          <w:rFonts w:ascii="Arial" w:eastAsia="Times New Roman" w:hAnsi="Arial" w:cs="Arial"/>
          <w:bCs/>
          <w:iCs/>
          <w:sz w:val="20"/>
          <w:szCs w:val="20"/>
        </w:rPr>
      </w:pPr>
    </w:p>
    <w:p w14:paraId="24C18DA9" w14:textId="7F6057D8"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The relationship can be analyzed by using so many different tools. When the data are stationary in different levels ARDL model can be a best model (Srivastava &amp; Varshney, 2020; Khandelwal &amp; Mohanty, 2021). However ARCH and GARCH models can be used to check the volatility too</w:t>
      </w:r>
      <w:r w:rsidR="00CD358A"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w:t>
      </w:r>
      <w:proofErr w:type="spellStart"/>
      <w:r w:rsidRPr="00E64EF0">
        <w:rPr>
          <w:rFonts w:ascii="Arial" w:eastAsia="Times New Roman" w:hAnsi="Arial" w:cs="Arial"/>
          <w:bCs/>
          <w:iCs/>
          <w:sz w:val="20"/>
          <w:szCs w:val="20"/>
        </w:rPr>
        <w:t>Joo</w:t>
      </w:r>
      <w:proofErr w:type="spellEnd"/>
      <w:r w:rsidRPr="00E64EF0">
        <w:rPr>
          <w:rFonts w:ascii="Arial" w:eastAsia="Times New Roman" w:hAnsi="Arial" w:cs="Arial"/>
          <w:bCs/>
          <w:iCs/>
          <w:sz w:val="20"/>
          <w:szCs w:val="20"/>
        </w:rPr>
        <w:t>, 2014).</w:t>
      </w:r>
      <w:r w:rsidR="00CD358A"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The tools like VAR, VECM and Johansen co-integration can be used to check the log-run relationship among the variables</w:t>
      </w:r>
      <w:r w:rsidR="00BC12DD"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w:t>
      </w:r>
      <w:proofErr w:type="spellStart"/>
      <w:r w:rsidR="00CD358A" w:rsidRPr="00E64EF0">
        <w:rPr>
          <w:rFonts w:ascii="Arial" w:eastAsia="Times New Roman" w:hAnsi="Arial" w:cs="Arial"/>
          <w:bCs/>
          <w:iCs/>
          <w:sz w:val="20"/>
          <w:szCs w:val="20"/>
          <w:lang w:val="en-IN"/>
        </w:rPr>
        <w:t>Ikizlerli</w:t>
      </w:r>
      <w:proofErr w:type="spellEnd"/>
      <w:r w:rsidRPr="00E64EF0">
        <w:rPr>
          <w:rFonts w:ascii="Arial" w:eastAsia="Times New Roman" w:hAnsi="Arial" w:cs="Arial"/>
          <w:bCs/>
          <w:iCs/>
          <w:sz w:val="20"/>
          <w:szCs w:val="20"/>
        </w:rPr>
        <w:t>, 2020).</w:t>
      </w:r>
    </w:p>
    <w:p w14:paraId="0757EB90" w14:textId="77777777" w:rsidR="004C7A6E" w:rsidRPr="00E64EF0" w:rsidRDefault="004C7A6E" w:rsidP="004C7A6E">
      <w:pPr>
        <w:spacing w:after="0" w:line="240" w:lineRule="auto"/>
        <w:contextualSpacing/>
        <w:jc w:val="both"/>
        <w:rPr>
          <w:rFonts w:ascii="Arial" w:eastAsia="Times New Roman" w:hAnsi="Arial" w:cs="Arial"/>
          <w:bCs/>
          <w:iCs/>
          <w:sz w:val="20"/>
          <w:szCs w:val="20"/>
        </w:rPr>
      </w:pPr>
    </w:p>
    <w:p w14:paraId="306460B1" w14:textId="1F02255E" w:rsidR="004C7A6E" w:rsidRPr="00E64EF0" w:rsidRDefault="004C7A6E" w:rsidP="004C7A6E">
      <w:pPr>
        <w:pStyle w:val="Heading2"/>
        <w:rPr>
          <w:rFonts w:eastAsia="Times New Roman"/>
        </w:rPr>
      </w:pPr>
      <w:r w:rsidRPr="00E64EF0">
        <w:rPr>
          <w:rFonts w:eastAsia="Times New Roman"/>
        </w:rPr>
        <w:t>3. RESEARCH METHODOLOGY</w:t>
      </w:r>
    </w:p>
    <w:p w14:paraId="78DAE518" w14:textId="77777777" w:rsidR="004C7A6E" w:rsidRPr="00E64EF0" w:rsidRDefault="004C7A6E" w:rsidP="004C7A6E">
      <w:pPr>
        <w:spacing w:after="0" w:line="240" w:lineRule="auto"/>
        <w:contextualSpacing/>
        <w:jc w:val="both"/>
        <w:rPr>
          <w:rFonts w:ascii="Arial" w:eastAsia="Times New Roman" w:hAnsi="Arial" w:cs="Arial"/>
          <w:b/>
          <w:bCs/>
          <w:iCs/>
          <w:sz w:val="20"/>
          <w:szCs w:val="20"/>
        </w:rPr>
      </w:pPr>
    </w:p>
    <w:p w14:paraId="15DE270B" w14:textId="0093B59F" w:rsidR="004C7A6E" w:rsidRPr="00E64EF0" w:rsidRDefault="004C7A6E" w:rsidP="004C7A6E">
      <w:pPr>
        <w:spacing w:after="0" w:line="240" w:lineRule="auto"/>
        <w:contextualSpacing/>
        <w:jc w:val="both"/>
        <w:rPr>
          <w:rFonts w:ascii="Arial" w:eastAsia="Times New Roman" w:hAnsi="Arial" w:cs="Arial"/>
          <w:b/>
          <w:bCs/>
          <w:iCs/>
          <w:szCs w:val="20"/>
        </w:rPr>
      </w:pPr>
      <w:r w:rsidRPr="00E64EF0">
        <w:rPr>
          <w:rFonts w:ascii="Arial" w:eastAsia="Times New Roman" w:hAnsi="Arial" w:cs="Arial"/>
          <w:b/>
          <w:bCs/>
          <w:iCs/>
          <w:szCs w:val="20"/>
        </w:rPr>
        <w:t>3.1 Data Collection</w:t>
      </w:r>
    </w:p>
    <w:p w14:paraId="3DAB3774" w14:textId="77777777" w:rsidR="004C7A6E" w:rsidRPr="00E64EF0" w:rsidRDefault="004C7A6E" w:rsidP="004C7A6E">
      <w:pPr>
        <w:spacing w:after="0" w:line="240" w:lineRule="auto"/>
        <w:contextualSpacing/>
        <w:jc w:val="both"/>
        <w:rPr>
          <w:rFonts w:ascii="Arial" w:eastAsia="Times New Roman" w:hAnsi="Arial" w:cs="Arial"/>
          <w:b/>
          <w:bCs/>
          <w:iCs/>
          <w:sz w:val="20"/>
          <w:szCs w:val="20"/>
        </w:rPr>
      </w:pPr>
    </w:p>
    <w:p w14:paraId="068C8214" w14:textId="6C7B3ACD"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 xml:space="preserve">The current study is focused on return series of indices whose values are obtained from National Stock Exchange website. Nifty50, Nifty Mid Cap 50 &amp; Nifty Small Cap 50 indices are considered to be the representative samples of share value in India as it is believed to reflect the performance of the entire stock market. Data span a </w:t>
      </w:r>
      <w:proofErr w:type="gramStart"/>
      <w:r w:rsidRPr="00E64EF0">
        <w:rPr>
          <w:rFonts w:ascii="Arial" w:eastAsia="Times New Roman" w:hAnsi="Arial" w:cs="Arial"/>
          <w:bCs/>
          <w:iCs/>
          <w:sz w:val="20"/>
          <w:szCs w:val="20"/>
        </w:rPr>
        <w:t>10 year</w:t>
      </w:r>
      <w:proofErr w:type="gramEnd"/>
      <w:r w:rsidRPr="00E64EF0">
        <w:rPr>
          <w:rFonts w:ascii="Arial" w:eastAsia="Times New Roman" w:hAnsi="Arial" w:cs="Arial"/>
          <w:bCs/>
          <w:iCs/>
          <w:sz w:val="20"/>
          <w:szCs w:val="20"/>
        </w:rPr>
        <w:t xml:space="preserve"> period 20</w:t>
      </w:r>
      <w:r w:rsidRPr="00E64EF0">
        <w:rPr>
          <w:rFonts w:ascii="Arial" w:eastAsia="Times New Roman" w:hAnsi="Arial" w:cs="Arial"/>
          <w:bCs/>
          <w:iCs/>
          <w:sz w:val="20"/>
          <w:szCs w:val="20"/>
          <w:vertAlign w:val="superscript"/>
        </w:rPr>
        <w:t>th</w:t>
      </w:r>
      <w:r w:rsidRPr="00E64EF0">
        <w:rPr>
          <w:rFonts w:ascii="Arial" w:eastAsia="Times New Roman" w:hAnsi="Arial" w:cs="Arial"/>
          <w:bCs/>
          <w:iCs/>
          <w:sz w:val="20"/>
          <w:szCs w:val="20"/>
        </w:rPr>
        <w:t xml:space="preserve"> February 2014 to 20</w:t>
      </w:r>
      <w:r w:rsidRPr="00E64EF0">
        <w:rPr>
          <w:rFonts w:ascii="Arial" w:eastAsia="Times New Roman" w:hAnsi="Arial" w:cs="Arial"/>
          <w:bCs/>
          <w:iCs/>
          <w:sz w:val="20"/>
          <w:szCs w:val="20"/>
          <w:vertAlign w:val="superscript"/>
        </w:rPr>
        <w:t>th</w:t>
      </w:r>
      <w:r w:rsidRPr="00E64EF0">
        <w:rPr>
          <w:rFonts w:ascii="Arial" w:eastAsia="Times New Roman" w:hAnsi="Arial" w:cs="Arial"/>
          <w:bCs/>
          <w:iCs/>
          <w:sz w:val="20"/>
          <w:szCs w:val="20"/>
        </w:rPr>
        <w:t xml:space="preserve"> February 2024.</w:t>
      </w:r>
    </w:p>
    <w:p w14:paraId="4E8BB1B9" w14:textId="77777777" w:rsidR="004C7A6E" w:rsidRPr="00E64EF0" w:rsidRDefault="004C7A6E" w:rsidP="004C7A6E">
      <w:pPr>
        <w:spacing w:after="0" w:line="240" w:lineRule="auto"/>
        <w:contextualSpacing/>
        <w:jc w:val="both"/>
        <w:rPr>
          <w:rFonts w:ascii="Arial" w:eastAsia="Times New Roman" w:hAnsi="Arial" w:cs="Arial"/>
          <w:bCs/>
          <w:iCs/>
          <w:sz w:val="20"/>
          <w:szCs w:val="20"/>
        </w:rPr>
      </w:pPr>
    </w:p>
    <w:p w14:paraId="5766EBC4" w14:textId="602DEBBC" w:rsidR="004C7A6E" w:rsidRPr="00E64EF0" w:rsidRDefault="004C7A6E" w:rsidP="004C7A6E">
      <w:pPr>
        <w:spacing w:after="0" w:line="240" w:lineRule="auto"/>
        <w:contextualSpacing/>
        <w:jc w:val="both"/>
        <w:rPr>
          <w:rFonts w:ascii="Arial" w:eastAsia="Times New Roman" w:hAnsi="Arial" w:cs="Arial"/>
          <w:b/>
          <w:bCs/>
          <w:iCs/>
          <w:szCs w:val="20"/>
        </w:rPr>
      </w:pPr>
      <w:r w:rsidRPr="00E64EF0">
        <w:rPr>
          <w:rFonts w:ascii="Arial" w:eastAsia="Times New Roman" w:hAnsi="Arial" w:cs="Arial"/>
          <w:b/>
          <w:bCs/>
          <w:iCs/>
          <w:szCs w:val="20"/>
        </w:rPr>
        <w:t>3.2 Methodology</w:t>
      </w:r>
    </w:p>
    <w:p w14:paraId="5CB969DB" w14:textId="77777777" w:rsidR="004C7A6E" w:rsidRPr="00E64EF0" w:rsidRDefault="004C7A6E" w:rsidP="004C7A6E">
      <w:pPr>
        <w:spacing w:after="0" w:line="240" w:lineRule="auto"/>
        <w:contextualSpacing/>
        <w:jc w:val="both"/>
        <w:rPr>
          <w:rFonts w:ascii="Arial" w:eastAsia="Times New Roman" w:hAnsi="Arial" w:cs="Arial"/>
          <w:b/>
          <w:bCs/>
          <w:iCs/>
          <w:szCs w:val="20"/>
        </w:rPr>
      </w:pPr>
    </w:p>
    <w:p w14:paraId="226FA861" w14:textId="4A80DB77"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 xml:space="preserve">Volatility refers back to the unfold of all probable results of </w:t>
      </w:r>
      <w:proofErr w:type="spellStart"/>
      <w:r w:rsidRPr="00E64EF0">
        <w:rPr>
          <w:rFonts w:ascii="Arial" w:eastAsia="Times New Roman" w:hAnsi="Arial" w:cs="Arial"/>
          <w:bCs/>
          <w:iCs/>
          <w:sz w:val="20"/>
          <w:szCs w:val="20"/>
        </w:rPr>
        <w:t>anunsure</w:t>
      </w:r>
      <w:proofErr w:type="spellEnd"/>
      <w:r w:rsidRPr="00E64EF0">
        <w:rPr>
          <w:rFonts w:ascii="Arial" w:eastAsia="Times New Roman" w:hAnsi="Arial" w:cs="Arial"/>
          <w:bCs/>
          <w:iCs/>
          <w:sz w:val="20"/>
          <w:szCs w:val="20"/>
        </w:rPr>
        <w:t xml:space="preserve"> variable. To measure the volatility, GARCH model will be applies in this study. Prior to applying the model, there are certain assumptions which must be checked. Stationary of the series, Presence of volatility clustering &amp; heteroscedasticity are those assumptions. The statistical tool used to carry out all the tests and to estimate all the models of this study is </w:t>
      </w:r>
      <w:proofErr w:type="spellStart"/>
      <w:r w:rsidRPr="00E64EF0">
        <w:rPr>
          <w:rFonts w:ascii="Arial" w:eastAsia="Times New Roman" w:hAnsi="Arial" w:cs="Arial"/>
          <w:bCs/>
          <w:iCs/>
          <w:sz w:val="20"/>
          <w:szCs w:val="20"/>
        </w:rPr>
        <w:t>Eviews</w:t>
      </w:r>
      <w:proofErr w:type="spellEnd"/>
      <w:r w:rsidRPr="00E64EF0">
        <w:rPr>
          <w:rFonts w:ascii="Arial" w:eastAsia="Times New Roman" w:hAnsi="Arial" w:cs="Arial"/>
          <w:bCs/>
          <w:iCs/>
          <w:sz w:val="20"/>
          <w:szCs w:val="20"/>
        </w:rPr>
        <w:t xml:space="preserve"> 11.</w:t>
      </w:r>
    </w:p>
    <w:p w14:paraId="4C704A0F" w14:textId="77777777" w:rsidR="004C7A6E" w:rsidRPr="00E64EF0" w:rsidRDefault="004C7A6E" w:rsidP="004C7A6E">
      <w:pPr>
        <w:spacing w:after="0" w:line="240" w:lineRule="auto"/>
        <w:contextualSpacing/>
        <w:jc w:val="both"/>
        <w:rPr>
          <w:rFonts w:ascii="Arial" w:eastAsia="Times New Roman" w:hAnsi="Arial" w:cs="Arial"/>
          <w:bCs/>
          <w:iCs/>
          <w:sz w:val="20"/>
          <w:szCs w:val="20"/>
        </w:rPr>
      </w:pPr>
    </w:p>
    <w:p w14:paraId="309B537A" w14:textId="0AD5F586" w:rsidR="004C7A6E" w:rsidRPr="00E64EF0" w:rsidRDefault="004C7A6E" w:rsidP="004C7A6E">
      <w:pPr>
        <w:spacing w:after="0" w:line="240" w:lineRule="auto"/>
        <w:contextualSpacing/>
        <w:jc w:val="both"/>
        <w:rPr>
          <w:rFonts w:ascii="Arial" w:eastAsia="Times New Roman" w:hAnsi="Arial" w:cs="Arial"/>
          <w:b/>
          <w:bCs/>
          <w:iCs/>
          <w:szCs w:val="20"/>
        </w:rPr>
      </w:pPr>
      <w:r w:rsidRPr="00E64EF0">
        <w:rPr>
          <w:rFonts w:ascii="Arial" w:eastAsia="Times New Roman" w:hAnsi="Arial" w:cs="Arial"/>
          <w:b/>
          <w:bCs/>
          <w:iCs/>
          <w:szCs w:val="20"/>
        </w:rPr>
        <w:lastRenderedPageBreak/>
        <w:t xml:space="preserve">3.3 Stationarity Test </w:t>
      </w:r>
    </w:p>
    <w:p w14:paraId="4D38C183" w14:textId="77777777" w:rsidR="004C7A6E" w:rsidRPr="00E64EF0" w:rsidRDefault="004C7A6E" w:rsidP="004C7A6E">
      <w:pPr>
        <w:spacing w:after="0" w:line="240" w:lineRule="auto"/>
        <w:contextualSpacing/>
        <w:jc w:val="both"/>
        <w:rPr>
          <w:rFonts w:ascii="Arial" w:eastAsia="Times New Roman" w:hAnsi="Arial" w:cs="Arial"/>
          <w:b/>
          <w:bCs/>
          <w:iCs/>
          <w:sz w:val="20"/>
          <w:szCs w:val="20"/>
        </w:rPr>
      </w:pPr>
    </w:p>
    <w:p w14:paraId="51DE38AD" w14:textId="1564A266"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 xml:space="preserve">Stationary time series refers to those series whose properties does not depend on the time when observed and are constant. Statistical forecasting </w:t>
      </w:r>
      <w:proofErr w:type="gramStart"/>
      <w:r w:rsidRPr="00E64EF0">
        <w:rPr>
          <w:rFonts w:ascii="Arial" w:eastAsia="Times New Roman" w:hAnsi="Arial" w:cs="Arial"/>
          <w:bCs/>
          <w:iCs/>
          <w:sz w:val="20"/>
          <w:szCs w:val="20"/>
        </w:rPr>
        <w:t>are</w:t>
      </w:r>
      <w:proofErr w:type="gramEnd"/>
      <w:r w:rsidRPr="00E64EF0">
        <w:rPr>
          <w:rFonts w:ascii="Arial" w:eastAsia="Times New Roman" w:hAnsi="Arial" w:cs="Arial"/>
          <w:bCs/>
          <w:iCs/>
          <w:sz w:val="20"/>
          <w:szCs w:val="20"/>
        </w:rPr>
        <w:t xml:space="preserve"> generally based on the assumption that </w:t>
      </w:r>
      <w:proofErr w:type="spellStart"/>
      <w:r w:rsidRPr="00E64EF0">
        <w:rPr>
          <w:rFonts w:ascii="Arial" w:eastAsia="Times New Roman" w:hAnsi="Arial" w:cs="Arial"/>
          <w:bCs/>
          <w:iCs/>
          <w:sz w:val="20"/>
          <w:szCs w:val="20"/>
        </w:rPr>
        <w:t>stationarized</w:t>
      </w:r>
      <w:proofErr w:type="spellEnd"/>
      <w:r w:rsidRPr="00E64EF0">
        <w:rPr>
          <w:rFonts w:ascii="Arial" w:eastAsia="Times New Roman" w:hAnsi="Arial" w:cs="Arial"/>
          <w:bCs/>
          <w:iCs/>
          <w:sz w:val="20"/>
          <w:szCs w:val="20"/>
        </w:rPr>
        <w:t xml:space="preserve"> series is relatively easy to predict. In order to test the stationarity, Augmented Dickey Fuller Test (ADF test) has been used. The null hypothesis </w:t>
      </w:r>
      <w:proofErr w:type="gramStart"/>
      <w:r w:rsidRPr="00E64EF0">
        <w:rPr>
          <w:rFonts w:ascii="Arial" w:eastAsia="Times New Roman" w:hAnsi="Arial" w:cs="Arial"/>
          <w:bCs/>
          <w:iCs/>
          <w:sz w:val="20"/>
          <w:szCs w:val="20"/>
        </w:rPr>
        <w:t>is:-</w:t>
      </w:r>
      <w:proofErr w:type="gramEnd"/>
    </w:p>
    <w:p w14:paraId="50B6D46F" w14:textId="77777777" w:rsidR="004C7A6E" w:rsidRPr="00E64EF0" w:rsidRDefault="004C7A6E" w:rsidP="004C7A6E">
      <w:pPr>
        <w:spacing w:after="0" w:line="240" w:lineRule="auto"/>
        <w:contextualSpacing/>
        <w:jc w:val="both"/>
        <w:rPr>
          <w:rFonts w:ascii="Arial" w:eastAsia="Times New Roman" w:hAnsi="Arial" w:cs="Arial"/>
          <w:bCs/>
          <w:iCs/>
          <w:sz w:val="20"/>
          <w:szCs w:val="20"/>
        </w:rPr>
      </w:pPr>
    </w:p>
    <w:p w14:paraId="55311804" w14:textId="03D8041F"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 xml:space="preserve">H0: There is a unit root; the time series is </w:t>
      </w:r>
      <w:proofErr w:type="gramStart"/>
      <w:r w:rsidRPr="00E64EF0">
        <w:rPr>
          <w:rFonts w:ascii="Arial" w:eastAsia="Times New Roman" w:hAnsi="Arial" w:cs="Arial"/>
          <w:bCs/>
          <w:iCs/>
          <w:sz w:val="20"/>
          <w:szCs w:val="20"/>
        </w:rPr>
        <w:t>non stationary</w:t>
      </w:r>
      <w:proofErr w:type="gramEnd"/>
      <w:r w:rsidRPr="00E64EF0">
        <w:rPr>
          <w:rFonts w:ascii="Arial" w:eastAsia="Times New Roman" w:hAnsi="Arial" w:cs="Arial"/>
          <w:bCs/>
          <w:iCs/>
          <w:sz w:val="20"/>
          <w:szCs w:val="20"/>
        </w:rPr>
        <w:t>.</w:t>
      </w:r>
    </w:p>
    <w:p w14:paraId="5989D0B7" w14:textId="77777777" w:rsidR="004C7A6E" w:rsidRPr="00E64EF0" w:rsidRDefault="004C7A6E" w:rsidP="004C7A6E">
      <w:pPr>
        <w:spacing w:after="0" w:line="240" w:lineRule="auto"/>
        <w:contextualSpacing/>
        <w:jc w:val="both"/>
        <w:rPr>
          <w:rFonts w:ascii="Arial" w:eastAsia="Times New Roman" w:hAnsi="Arial" w:cs="Arial"/>
          <w:bCs/>
          <w:iCs/>
          <w:sz w:val="20"/>
          <w:szCs w:val="20"/>
        </w:rPr>
      </w:pPr>
    </w:p>
    <w:p w14:paraId="5773431E" w14:textId="1718E695" w:rsidR="004C7A6E" w:rsidRPr="00E64EF0" w:rsidRDefault="004C7A6E" w:rsidP="004C7A6E">
      <w:pPr>
        <w:spacing w:after="0" w:line="240" w:lineRule="auto"/>
        <w:contextualSpacing/>
        <w:jc w:val="both"/>
        <w:rPr>
          <w:rFonts w:ascii="Arial" w:eastAsia="Times New Roman" w:hAnsi="Arial" w:cs="Arial"/>
          <w:b/>
          <w:bCs/>
          <w:iCs/>
          <w:szCs w:val="20"/>
        </w:rPr>
      </w:pPr>
      <w:r w:rsidRPr="00E64EF0">
        <w:rPr>
          <w:rFonts w:ascii="Arial" w:eastAsia="Times New Roman" w:hAnsi="Arial" w:cs="Arial"/>
          <w:b/>
          <w:bCs/>
          <w:iCs/>
          <w:szCs w:val="20"/>
        </w:rPr>
        <w:t xml:space="preserve">3.4 Heteroscedasticity Test </w:t>
      </w:r>
    </w:p>
    <w:p w14:paraId="31529D66" w14:textId="77777777" w:rsidR="004C7A6E" w:rsidRPr="00E64EF0" w:rsidRDefault="004C7A6E" w:rsidP="004C7A6E">
      <w:pPr>
        <w:spacing w:after="0" w:line="240" w:lineRule="auto"/>
        <w:contextualSpacing/>
        <w:jc w:val="both"/>
        <w:rPr>
          <w:rFonts w:ascii="Arial" w:eastAsia="Times New Roman" w:hAnsi="Arial" w:cs="Arial"/>
          <w:b/>
          <w:bCs/>
          <w:iCs/>
          <w:sz w:val="20"/>
          <w:szCs w:val="20"/>
        </w:rPr>
      </w:pPr>
    </w:p>
    <w:p w14:paraId="7BE2C4CA" w14:textId="3CCB7C64"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One of the most vital aspect before applying GARCH model is to primarily examine the residual of the series for evidence of heteroscedasticity (</w:t>
      </w:r>
      <w:proofErr w:type="spellStart"/>
      <w:r w:rsidRPr="00E64EF0">
        <w:rPr>
          <w:rFonts w:ascii="Arial" w:eastAsia="Times New Roman" w:hAnsi="Arial" w:cs="Arial"/>
          <w:bCs/>
          <w:iCs/>
          <w:sz w:val="20"/>
          <w:szCs w:val="20"/>
        </w:rPr>
        <w:t>Bollerslev</w:t>
      </w:r>
      <w:proofErr w:type="spellEnd"/>
      <w:r w:rsidRPr="00E64EF0">
        <w:rPr>
          <w:rFonts w:ascii="Arial" w:eastAsia="Times New Roman" w:hAnsi="Arial" w:cs="Arial"/>
          <w:bCs/>
          <w:iCs/>
          <w:sz w:val="20"/>
          <w:szCs w:val="20"/>
        </w:rPr>
        <w:t xml:space="preserve"> et al</w:t>
      </w:r>
      <w:r w:rsidR="00CD358A" w:rsidRPr="00E64EF0">
        <w:rPr>
          <w:rFonts w:ascii="Arial" w:eastAsia="Times New Roman" w:hAnsi="Arial" w:cs="Arial"/>
          <w:bCs/>
          <w:iCs/>
          <w:sz w:val="20"/>
          <w:szCs w:val="20"/>
        </w:rPr>
        <w:t>.</w:t>
      </w:r>
      <w:r w:rsidRPr="00E64EF0">
        <w:rPr>
          <w:rFonts w:ascii="Arial" w:eastAsia="Times New Roman" w:hAnsi="Arial" w:cs="Arial"/>
          <w:bCs/>
          <w:iCs/>
          <w:sz w:val="20"/>
          <w:szCs w:val="20"/>
        </w:rPr>
        <w:t>, 1992). To examine the presence of heteroscedasticity, ARCH-LM test proposed by Robert Engle is applied (</w:t>
      </w:r>
      <w:proofErr w:type="spellStart"/>
      <w:r w:rsidRPr="00E64EF0">
        <w:rPr>
          <w:rFonts w:ascii="Arial" w:eastAsia="Times New Roman" w:hAnsi="Arial" w:cs="Arial"/>
          <w:bCs/>
          <w:iCs/>
          <w:sz w:val="20"/>
          <w:szCs w:val="20"/>
        </w:rPr>
        <w:t>engle</w:t>
      </w:r>
      <w:proofErr w:type="spellEnd"/>
      <w:r w:rsidRPr="00E64EF0">
        <w:rPr>
          <w:rFonts w:ascii="Arial" w:eastAsia="Times New Roman" w:hAnsi="Arial" w:cs="Arial"/>
          <w:bCs/>
          <w:iCs/>
          <w:sz w:val="20"/>
          <w:szCs w:val="20"/>
        </w:rPr>
        <w:t>).</w:t>
      </w:r>
      <w:r w:rsidR="00CD358A"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The null hypothesis is that there is no arch effect up to order q.</w:t>
      </w:r>
    </w:p>
    <w:p w14:paraId="7A5F7733" w14:textId="77777777" w:rsidR="004C7A6E" w:rsidRPr="00E64EF0" w:rsidRDefault="004C7A6E" w:rsidP="004C7A6E">
      <w:pPr>
        <w:spacing w:after="0" w:line="240" w:lineRule="auto"/>
        <w:contextualSpacing/>
        <w:jc w:val="both"/>
        <w:rPr>
          <w:rFonts w:ascii="Arial" w:eastAsia="Times New Roman" w:hAnsi="Arial" w:cs="Arial"/>
          <w:bCs/>
          <w:iCs/>
          <w:sz w:val="20"/>
          <w:szCs w:val="20"/>
        </w:rPr>
      </w:pPr>
    </w:p>
    <w:p w14:paraId="45A472FE" w14:textId="425E0077" w:rsidR="004C7A6E" w:rsidRPr="00E64EF0" w:rsidRDefault="004C7A6E" w:rsidP="004C7A6E">
      <w:pPr>
        <w:spacing w:after="0" w:line="240" w:lineRule="auto"/>
        <w:ind w:left="360"/>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w:t>
      </w:r>
      <w:proofErr w:type="spellStart"/>
      <w:r w:rsidRPr="00E64EF0">
        <w:rPr>
          <w:rFonts w:ascii="Arial" w:eastAsia="Times New Roman" w:hAnsi="Arial" w:cs="Arial"/>
          <w:bCs/>
          <w:iCs/>
          <w:sz w:val="20"/>
          <w:szCs w:val="20"/>
        </w:rPr>
        <w:t>y</w:t>
      </w:r>
      <w:r w:rsidRPr="00E64EF0">
        <w:rPr>
          <w:rFonts w:ascii="Arial" w:eastAsia="Times New Roman" w:hAnsi="Arial" w:cs="Arial"/>
          <w:bCs/>
          <w:iCs/>
          <w:sz w:val="20"/>
          <w:szCs w:val="20"/>
          <w:vertAlign w:val="subscript"/>
        </w:rPr>
        <w:t>t</w:t>
      </w:r>
      <w:proofErr w:type="spellEnd"/>
      <w:r w:rsidRPr="00E64EF0">
        <w:rPr>
          <w:rFonts w:ascii="Arial" w:eastAsia="Times New Roman" w:hAnsi="Arial" w:cs="Arial"/>
          <w:bCs/>
          <w:iCs/>
          <w:sz w:val="20"/>
          <w:szCs w:val="20"/>
        </w:rPr>
        <w:t>=</w:t>
      </w:r>
      <w:r w:rsidRPr="00E64EF0">
        <w:rPr>
          <w:rFonts w:ascii="Cambria Math" w:eastAsia="Times New Roman" w:hAnsi="Cambria Math" w:cs="Cambria Math"/>
          <w:bCs/>
          <w:iCs/>
          <w:sz w:val="20"/>
          <w:szCs w:val="20"/>
        </w:rPr>
        <w:t>∝</w:t>
      </w:r>
      <w:r w:rsidRPr="00E64EF0">
        <w:rPr>
          <w:rFonts w:ascii="Arial" w:eastAsia="Times New Roman" w:hAnsi="Arial" w:cs="Arial"/>
          <w:bCs/>
          <w:iCs/>
          <w:sz w:val="20"/>
          <w:szCs w:val="20"/>
          <w:vertAlign w:val="subscript"/>
        </w:rPr>
        <w:t>0</w:t>
      </w:r>
      <w:r w:rsidRPr="00E64EF0">
        <w:rPr>
          <w:rFonts w:ascii="Arial" w:eastAsia="Times New Roman" w:hAnsi="Arial" w:cs="Arial"/>
          <w:bCs/>
          <w:iCs/>
          <w:sz w:val="20"/>
          <w:szCs w:val="20"/>
        </w:rPr>
        <w:t xml:space="preserve"> + θy</w:t>
      </w:r>
      <w:r w:rsidRPr="00E64EF0">
        <w:rPr>
          <w:rFonts w:ascii="Arial" w:eastAsia="Times New Roman" w:hAnsi="Arial" w:cs="Arial"/>
          <w:bCs/>
          <w:iCs/>
          <w:sz w:val="20"/>
          <w:szCs w:val="20"/>
          <w:vertAlign w:val="subscript"/>
        </w:rPr>
        <w:t>t-1</w:t>
      </w:r>
      <w:r w:rsidRPr="00E64EF0">
        <w:rPr>
          <w:rFonts w:ascii="Arial" w:eastAsia="Times New Roman" w:hAnsi="Arial" w:cs="Arial"/>
          <w:bCs/>
          <w:iCs/>
          <w:sz w:val="20"/>
          <w:szCs w:val="20"/>
        </w:rPr>
        <w:t xml:space="preserve"> +</w:t>
      </w:r>
      <w:proofErr w:type="spellStart"/>
      <w:r w:rsidRPr="00E64EF0">
        <w:rPr>
          <w:rFonts w:ascii="Arial" w:eastAsia="Times New Roman" w:hAnsi="Arial" w:cs="Arial"/>
          <w:bCs/>
          <w:iCs/>
          <w:sz w:val="20"/>
          <w:szCs w:val="20"/>
        </w:rPr>
        <w:t>Xni</w:t>
      </w:r>
      <w:proofErr w:type="spellEnd"/>
      <w:r w:rsidRPr="00E64EF0">
        <w:rPr>
          <w:rFonts w:ascii="Arial" w:eastAsia="Times New Roman" w:hAnsi="Arial" w:cs="Arial"/>
          <w:bCs/>
          <w:iCs/>
          <w:sz w:val="20"/>
          <w:szCs w:val="20"/>
        </w:rPr>
        <w:t xml:space="preserve">=1 </w:t>
      </w:r>
      <w:r w:rsidRPr="00E64EF0">
        <w:rPr>
          <w:rFonts w:ascii="Cambria Math" w:eastAsia="Times New Roman" w:hAnsi="Cambria Math" w:cs="Cambria Math"/>
          <w:bCs/>
          <w:iCs/>
          <w:sz w:val="20"/>
          <w:szCs w:val="20"/>
        </w:rPr>
        <w:t>∝</w:t>
      </w:r>
      <w:r w:rsidRPr="00E64EF0">
        <w:rPr>
          <w:rFonts w:ascii="Arial" w:eastAsia="Times New Roman" w:hAnsi="Arial" w:cs="Arial"/>
          <w:bCs/>
          <w:iCs/>
          <w:sz w:val="20"/>
          <w:szCs w:val="20"/>
        </w:rPr>
        <w:t xml:space="preserve"> ∆</w:t>
      </w:r>
      <w:proofErr w:type="spellStart"/>
      <w:r w:rsidRPr="00E64EF0">
        <w:rPr>
          <w:rFonts w:ascii="Arial" w:eastAsia="Times New Roman" w:hAnsi="Arial" w:cs="Arial"/>
          <w:bCs/>
          <w:iCs/>
          <w:sz w:val="20"/>
          <w:szCs w:val="20"/>
        </w:rPr>
        <w:t>yt</w:t>
      </w:r>
      <w:proofErr w:type="spellEnd"/>
      <w:r w:rsidRPr="00E64EF0">
        <w:rPr>
          <w:rFonts w:ascii="Arial" w:eastAsia="Times New Roman" w:hAnsi="Arial" w:cs="Arial"/>
          <w:bCs/>
          <w:iCs/>
          <w:sz w:val="20"/>
          <w:szCs w:val="20"/>
        </w:rPr>
        <w:t xml:space="preserve"> + et</w:t>
      </w:r>
      <w:r w:rsidR="00BC12DD" w:rsidRPr="00E64EF0">
        <w:rPr>
          <w:rFonts w:ascii="Arial" w:eastAsia="Times New Roman" w:hAnsi="Arial" w:cs="Arial"/>
          <w:bCs/>
          <w:iCs/>
          <w:sz w:val="20"/>
          <w:szCs w:val="20"/>
        </w:rPr>
        <w:t xml:space="preserve">   </w:t>
      </w:r>
      <w:r w:rsidR="00CB6EE2" w:rsidRPr="00E64EF0">
        <w:rPr>
          <w:rFonts w:ascii="Arial" w:eastAsia="Times New Roman" w:hAnsi="Arial" w:cs="Arial"/>
          <w:bCs/>
          <w:iCs/>
          <w:sz w:val="20"/>
          <w:szCs w:val="20"/>
        </w:rPr>
        <w:t xml:space="preserve">           </w:t>
      </w:r>
      <w:proofErr w:type="gramStart"/>
      <w:r w:rsidR="00CB6EE2"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w:t>
      </w:r>
      <w:proofErr w:type="gramEnd"/>
      <w:r w:rsidRPr="00E64EF0">
        <w:rPr>
          <w:rFonts w:ascii="Arial" w:eastAsia="Times New Roman" w:hAnsi="Arial" w:cs="Arial"/>
          <w:bCs/>
          <w:iCs/>
          <w:sz w:val="20"/>
          <w:szCs w:val="20"/>
        </w:rPr>
        <w:t>1)</w:t>
      </w:r>
    </w:p>
    <w:p w14:paraId="09CC0322" w14:textId="77777777" w:rsidR="004C7A6E" w:rsidRPr="00E64EF0" w:rsidRDefault="004C7A6E" w:rsidP="004C7A6E">
      <w:pPr>
        <w:spacing w:after="0" w:line="240" w:lineRule="auto"/>
        <w:contextualSpacing/>
        <w:jc w:val="both"/>
        <w:rPr>
          <w:rFonts w:ascii="Arial" w:eastAsia="Times New Roman" w:hAnsi="Arial" w:cs="Arial"/>
          <w:bCs/>
          <w:iCs/>
          <w:sz w:val="20"/>
          <w:szCs w:val="20"/>
        </w:rPr>
      </w:pPr>
    </w:p>
    <w:p w14:paraId="50DC4C9E" w14:textId="738C065D"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where ‘y’ explains the differenced time series, ‘t’ is the time, ‘n’ represents number of optimum lags, ‘α</w:t>
      </w:r>
      <w:r w:rsidRPr="00E64EF0">
        <w:rPr>
          <w:rFonts w:ascii="Arial" w:eastAsia="Times New Roman" w:hAnsi="Arial" w:cs="Arial"/>
          <w:bCs/>
          <w:iCs/>
          <w:sz w:val="20"/>
          <w:szCs w:val="20"/>
          <w:vertAlign w:val="subscript"/>
        </w:rPr>
        <w:t>0’</w:t>
      </w:r>
      <w:r w:rsidRPr="00E64EF0">
        <w:rPr>
          <w:rFonts w:ascii="Arial" w:eastAsia="Times New Roman" w:hAnsi="Arial" w:cs="Arial"/>
          <w:bCs/>
          <w:iCs/>
          <w:sz w:val="20"/>
          <w:szCs w:val="20"/>
        </w:rPr>
        <w:t xml:space="preserve"> is the constant and ‘e’ represents the error term.</w:t>
      </w:r>
    </w:p>
    <w:p w14:paraId="23865588" w14:textId="77777777" w:rsidR="004C7A6E" w:rsidRPr="00E64EF0" w:rsidRDefault="004C7A6E" w:rsidP="004C7A6E">
      <w:pPr>
        <w:spacing w:after="0" w:line="240" w:lineRule="auto"/>
        <w:contextualSpacing/>
        <w:jc w:val="both"/>
        <w:rPr>
          <w:rFonts w:ascii="Arial" w:eastAsia="Times New Roman" w:hAnsi="Arial" w:cs="Arial"/>
          <w:bCs/>
          <w:iCs/>
          <w:sz w:val="20"/>
          <w:szCs w:val="20"/>
        </w:rPr>
      </w:pPr>
    </w:p>
    <w:p w14:paraId="2E743B24" w14:textId="5DDD1452" w:rsidR="004C7A6E" w:rsidRPr="00E64EF0" w:rsidRDefault="004C7A6E" w:rsidP="004C7A6E">
      <w:pPr>
        <w:spacing w:after="0" w:line="240" w:lineRule="auto"/>
        <w:contextualSpacing/>
        <w:jc w:val="both"/>
        <w:rPr>
          <w:rFonts w:ascii="Arial" w:eastAsia="Times New Roman" w:hAnsi="Arial" w:cs="Arial"/>
          <w:b/>
          <w:bCs/>
          <w:iCs/>
          <w:szCs w:val="20"/>
        </w:rPr>
      </w:pPr>
      <w:r w:rsidRPr="00E64EF0">
        <w:rPr>
          <w:rFonts w:ascii="Arial" w:eastAsia="Times New Roman" w:hAnsi="Arial" w:cs="Arial"/>
          <w:b/>
          <w:bCs/>
          <w:iCs/>
          <w:szCs w:val="20"/>
        </w:rPr>
        <w:t>3.5 GARCH Model</w:t>
      </w:r>
    </w:p>
    <w:p w14:paraId="0561756B" w14:textId="77777777" w:rsidR="004C7A6E" w:rsidRPr="00E64EF0" w:rsidRDefault="004C7A6E" w:rsidP="004C7A6E">
      <w:pPr>
        <w:spacing w:after="0" w:line="240" w:lineRule="auto"/>
        <w:contextualSpacing/>
        <w:jc w:val="both"/>
        <w:rPr>
          <w:rFonts w:ascii="Arial" w:eastAsia="Times New Roman" w:hAnsi="Arial" w:cs="Arial"/>
          <w:b/>
          <w:bCs/>
          <w:iCs/>
          <w:sz w:val="20"/>
          <w:szCs w:val="20"/>
        </w:rPr>
      </w:pPr>
    </w:p>
    <w:p w14:paraId="3C0DA394" w14:textId="36474600"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To investigate the volatility clustering and persistence level of Nifty 50, Nifty Mid Cap 50 &amp; Nifty small Cap 50, Generalized Autoregressive Conditional Heteroscedasticity model has been employed which is used for modeling volatility (Andersen et al., 2014). It is considered to be the standard model for estimating volatility. The equation is</w:t>
      </w:r>
      <w:r w:rsidR="00B20E5A">
        <w:rPr>
          <w:rFonts w:ascii="Arial" w:eastAsia="Times New Roman" w:hAnsi="Arial" w:cs="Arial"/>
          <w:bCs/>
          <w:iCs/>
          <w:sz w:val="20"/>
          <w:szCs w:val="20"/>
        </w:rPr>
        <w:t>,</w:t>
      </w:r>
    </w:p>
    <w:p w14:paraId="5E96AF0D" w14:textId="77777777" w:rsidR="004C7A6E" w:rsidRPr="00E64EF0" w:rsidRDefault="004C7A6E" w:rsidP="004C7A6E">
      <w:pPr>
        <w:spacing w:after="0" w:line="240" w:lineRule="auto"/>
        <w:contextualSpacing/>
        <w:jc w:val="both"/>
        <w:rPr>
          <w:rFonts w:ascii="Arial" w:eastAsia="Times New Roman" w:hAnsi="Arial" w:cs="Arial"/>
          <w:bCs/>
          <w:iCs/>
          <w:sz w:val="20"/>
          <w:szCs w:val="20"/>
        </w:rPr>
      </w:pPr>
    </w:p>
    <w:p w14:paraId="724933E3" w14:textId="0B2D1336" w:rsidR="004C7A6E" w:rsidRPr="00E64EF0" w:rsidRDefault="004C7A6E" w:rsidP="00CB6EE2">
      <w:pPr>
        <w:spacing w:after="0" w:line="240" w:lineRule="auto"/>
        <w:ind w:left="360"/>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R</w:t>
      </w:r>
      <w:r w:rsidRPr="00E64EF0">
        <w:rPr>
          <w:rFonts w:ascii="Arial" w:eastAsia="Times New Roman" w:hAnsi="Arial" w:cs="Arial"/>
          <w:bCs/>
          <w:iCs/>
          <w:sz w:val="20"/>
          <w:szCs w:val="20"/>
          <w:vertAlign w:val="subscript"/>
        </w:rPr>
        <w:t>t</w:t>
      </w:r>
      <w:r w:rsidRPr="00E64EF0">
        <w:rPr>
          <w:rFonts w:ascii="Arial" w:eastAsia="Times New Roman" w:hAnsi="Arial" w:cs="Arial"/>
          <w:bCs/>
          <w:iCs/>
          <w:sz w:val="20"/>
          <w:szCs w:val="20"/>
        </w:rPr>
        <w:t xml:space="preserve"> = µ+ t</w:t>
      </w:r>
      <w:r w:rsidR="00BC12DD" w:rsidRPr="00E64EF0">
        <w:rPr>
          <w:rFonts w:ascii="Arial" w:eastAsia="Times New Roman" w:hAnsi="Arial" w:cs="Arial"/>
          <w:bCs/>
          <w:iCs/>
          <w:sz w:val="20"/>
          <w:szCs w:val="20"/>
        </w:rPr>
        <w:t xml:space="preserve">    </w:t>
      </w:r>
      <w:r w:rsidR="00CB6EE2" w:rsidRPr="00E64EF0">
        <w:rPr>
          <w:rFonts w:ascii="Arial" w:eastAsia="Times New Roman" w:hAnsi="Arial" w:cs="Arial"/>
          <w:bCs/>
          <w:iCs/>
          <w:sz w:val="20"/>
          <w:szCs w:val="20"/>
        </w:rPr>
        <w:t xml:space="preserve">                                               </w:t>
      </w:r>
      <w:proofErr w:type="gramStart"/>
      <w:r w:rsidR="00CB6EE2"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w:t>
      </w:r>
      <w:proofErr w:type="gramEnd"/>
      <w:r w:rsidRPr="00E64EF0">
        <w:rPr>
          <w:rFonts w:ascii="Arial" w:eastAsia="Times New Roman" w:hAnsi="Arial" w:cs="Arial"/>
          <w:bCs/>
          <w:iCs/>
          <w:sz w:val="20"/>
          <w:szCs w:val="20"/>
        </w:rPr>
        <w:t>2)</w:t>
      </w:r>
    </w:p>
    <w:p w14:paraId="3A9137D7" w14:textId="77777777" w:rsidR="004C7A6E" w:rsidRPr="00E64EF0" w:rsidRDefault="004C7A6E" w:rsidP="004C7A6E">
      <w:pPr>
        <w:spacing w:after="0" w:line="240" w:lineRule="auto"/>
        <w:contextualSpacing/>
        <w:jc w:val="both"/>
        <w:rPr>
          <w:rFonts w:ascii="Arial" w:eastAsia="Times New Roman" w:hAnsi="Arial" w:cs="Arial"/>
          <w:bCs/>
          <w:iCs/>
          <w:sz w:val="18"/>
          <w:szCs w:val="20"/>
        </w:rPr>
      </w:pPr>
    </w:p>
    <w:p w14:paraId="7D588478" w14:textId="7374197A" w:rsidR="004C7A6E" w:rsidRPr="00E64EF0" w:rsidRDefault="00913A03" w:rsidP="00CB6EE2">
      <w:pPr>
        <w:spacing w:after="0" w:line="240" w:lineRule="auto"/>
        <w:ind w:left="360"/>
        <w:contextualSpacing/>
        <w:jc w:val="both"/>
        <w:rPr>
          <w:rFonts w:ascii="Arial" w:eastAsia="Times New Roman" w:hAnsi="Arial" w:cs="Arial"/>
          <w:bCs/>
          <w:iCs/>
          <w:sz w:val="20"/>
          <w:szCs w:val="20"/>
        </w:rPr>
      </w:pPr>
      <m:oMath>
        <m:sSub>
          <m:sSubPr>
            <m:ctrlPr>
              <w:rPr>
                <w:rFonts w:ascii="Cambria Math" w:eastAsia="Times New Roman" w:hAnsi="Cambria Math" w:cs="Arial"/>
                <w:bCs/>
                <w:i/>
                <w:iCs/>
                <w:sz w:val="20"/>
                <w:szCs w:val="20"/>
                <w:vertAlign w:val="subscript"/>
              </w:rPr>
            </m:ctrlPr>
          </m:sSubPr>
          <m:e>
            <m:r>
              <w:rPr>
                <w:rFonts w:ascii="Cambria Math" w:eastAsia="Times New Roman" w:hAnsi="Cambria Math" w:cs="Arial"/>
                <w:sz w:val="20"/>
                <w:szCs w:val="20"/>
                <w:vertAlign w:val="subscript"/>
              </w:rPr>
              <m:t>h</m:t>
            </m:r>
          </m:e>
          <m:sub>
            <m:r>
              <w:rPr>
                <w:rFonts w:ascii="Cambria Math" w:eastAsia="Times New Roman" w:hAnsi="Cambria Math" w:cs="Arial"/>
                <w:sz w:val="20"/>
                <w:szCs w:val="20"/>
                <w:vertAlign w:val="subscript"/>
              </w:rPr>
              <m:t>t</m:t>
            </m:r>
          </m:sub>
        </m:sSub>
        <m:r>
          <w:rPr>
            <w:rFonts w:ascii="Cambria Math" w:eastAsia="Times New Roman" w:hAnsi="Cambria Math" w:cs="Arial"/>
            <w:sz w:val="20"/>
            <w:szCs w:val="20"/>
            <w:vertAlign w:val="subscript"/>
          </w:rPr>
          <m:t>=ω</m:t>
        </m:r>
        <m:nary>
          <m:naryPr>
            <m:chr m:val="∑"/>
            <m:limLoc m:val="undOvr"/>
            <m:ctrlPr>
              <w:rPr>
                <w:rFonts w:ascii="Cambria Math" w:eastAsia="Times New Roman" w:hAnsi="Cambria Math" w:cs="Arial"/>
                <w:bCs/>
                <w:iCs/>
                <w:sz w:val="20"/>
                <w:szCs w:val="20"/>
                <w:vertAlign w:val="subscript"/>
              </w:rPr>
            </m:ctrlPr>
          </m:naryPr>
          <m:sub>
            <m:r>
              <w:rPr>
                <w:rFonts w:ascii="Cambria Math" w:eastAsia="Times New Roman" w:hAnsi="Cambria Math" w:cs="Arial"/>
                <w:sz w:val="20"/>
                <w:szCs w:val="20"/>
                <w:vertAlign w:val="subscript"/>
              </w:rPr>
              <m:t>i=1</m:t>
            </m:r>
          </m:sub>
          <m:sup>
            <m:r>
              <w:rPr>
                <w:rFonts w:ascii="Cambria Math" w:eastAsia="Times New Roman" w:hAnsi="Cambria Math" w:cs="Arial"/>
                <w:sz w:val="20"/>
                <w:szCs w:val="20"/>
                <w:vertAlign w:val="subscript"/>
              </w:rPr>
              <m:t>p</m:t>
            </m:r>
          </m:sup>
          <m:e>
            <m:sSub>
              <m:sSubPr>
                <m:ctrlPr>
                  <w:rPr>
                    <w:rFonts w:ascii="Cambria Math" w:eastAsia="Times New Roman" w:hAnsi="Cambria Math" w:cs="Arial"/>
                    <w:bCs/>
                    <w:iCs/>
                    <w:sz w:val="20"/>
                    <w:szCs w:val="20"/>
                    <w:vertAlign w:val="subscript"/>
                  </w:rPr>
                </m:ctrlPr>
              </m:sSubPr>
              <m:e>
                <m:r>
                  <w:rPr>
                    <w:rFonts w:ascii="Cambria Math" w:eastAsia="Times New Roman" w:hAnsi="Cambria Math" w:cs="Arial"/>
                    <w:sz w:val="20"/>
                    <w:szCs w:val="20"/>
                  </w:rPr>
                  <m:t>∝</m:t>
                </m:r>
              </m:e>
              <m:sub>
                <m:r>
                  <m:rPr>
                    <m:sty m:val="p"/>
                  </m:rPr>
                  <w:rPr>
                    <w:rFonts w:ascii="Cambria Math" w:eastAsia="Times New Roman" w:hAnsi="Cambria Math" w:cs="Arial"/>
                    <w:sz w:val="20"/>
                    <w:szCs w:val="20"/>
                    <w:vertAlign w:val="subscript"/>
                  </w:rPr>
                  <m:t>i</m:t>
                </m:r>
              </m:sub>
            </m:sSub>
          </m:e>
        </m:nary>
        <m:sSub>
          <m:sSubPr>
            <m:ctrlPr>
              <w:rPr>
                <w:rFonts w:ascii="Cambria Math" w:eastAsia="Times New Roman" w:hAnsi="Cambria Math" w:cs="Arial"/>
                <w:bCs/>
                <w:iCs/>
                <w:sz w:val="20"/>
                <w:szCs w:val="20"/>
                <w:vertAlign w:val="subscript"/>
              </w:rPr>
            </m:ctrlPr>
          </m:sSubPr>
          <m:e>
            <m:sSup>
              <m:sSupPr>
                <m:ctrlPr>
                  <w:rPr>
                    <w:rFonts w:ascii="Cambria Math" w:eastAsia="Times New Roman" w:hAnsi="Cambria Math" w:cs="Arial"/>
                    <w:bCs/>
                    <w:iCs/>
                    <w:sz w:val="20"/>
                    <w:szCs w:val="20"/>
                  </w:rPr>
                </m:ctrlPr>
              </m:sSupPr>
              <m:e>
                <m:r>
                  <m:rPr>
                    <m:sty m:val="p"/>
                  </m:rPr>
                  <w:rPr>
                    <w:rFonts w:ascii="Cambria Math" w:eastAsia="Times New Roman" w:hAnsi="Cambria Math" w:cs="Arial"/>
                    <w:sz w:val="20"/>
                    <w:szCs w:val="20"/>
                  </w:rPr>
                  <m:t>ɛ</m:t>
                </m:r>
              </m:e>
              <m:sup>
                <m:r>
                  <w:rPr>
                    <w:rFonts w:ascii="Cambria Math" w:eastAsia="Times New Roman" w:hAnsi="Cambria Math" w:cs="Arial"/>
                    <w:sz w:val="20"/>
                    <w:szCs w:val="20"/>
                  </w:rPr>
                  <m:t>2</m:t>
                </m:r>
              </m:sup>
            </m:sSup>
          </m:e>
          <m:sub>
            <m:r>
              <m:rPr>
                <m:sty m:val="p"/>
              </m:rPr>
              <w:rPr>
                <w:rFonts w:ascii="Cambria Math" w:eastAsia="Times New Roman" w:hAnsi="Cambria Math" w:cs="Arial"/>
                <w:sz w:val="20"/>
                <w:szCs w:val="20"/>
                <w:vertAlign w:val="subscript"/>
              </w:rPr>
              <m:t>t-1</m:t>
            </m:r>
          </m:sub>
        </m:sSub>
        <m:r>
          <m:rPr>
            <m:sty m:val="p"/>
          </m:rPr>
          <w:rPr>
            <w:rFonts w:ascii="Cambria Math" w:eastAsia="Times New Roman" w:hAnsi="Cambria Math" w:cs="Arial"/>
            <w:sz w:val="20"/>
            <w:szCs w:val="20"/>
            <w:vertAlign w:val="subscript"/>
          </w:rPr>
          <m:t>+</m:t>
        </m:r>
        <m:nary>
          <m:naryPr>
            <m:chr m:val="∑"/>
            <m:limLoc m:val="undOvr"/>
            <m:ctrlPr>
              <w:rPr>
                <w:rFonts w:ascii="Cambria Math" w:eastAsia="Times New Roman" w:hAnsi="Cambria Math" w:cs="Arial"/>
                <w:bCs/>
                <w:iCs/>
                <w:sz w:val="20"/>
                <w:szCs w:val="20"/>
                <w:vertAlign w:val="subscript"/>
              </w:rPr>
            </m:ctrlPr>
          </m:naryPr>
          <m:sub>
            <m:r>
              <m:rPr>
                <m:sty m:val="p"/>
              </m:rPr>
              <w:rPr>
                <w:rFonts w:ascii="Cambria Math" w:eastAsia="Times New Roman" w:hAnsi="Cambria Math" w:cs="Arial"/>
                <w:sz w:val="20"/>
                <w:szCs w:val="20"/>
                <w:vertAlign w:val="subscript"/>
              </w:rPr>
              <m:t>j=1</m:t>
            </m:r>
          </m:sub>
          <m:sup>
            <m:r>
              <m:rPr>
                <m:sty m:val="p"/>
              </m:rPr>
              <w:rPr>
                <w:rFonts w:ascii="Cambria Math" w:eastAsia="Times New Roman" w:hAnsi="Cambria Math" w:cs="Arial"/>
                <w:sz w:val="20"/>
                <w:szCs w:val="20"/>
                <w:vertAlign w:val="subscript"/>
              </w:rPr>
              <m:t>q</m:t>
            </m:r>
          </m:sup>
          <m:e>
            <m:sSub>
              <m:sSubPr>
                <m:ctrlPr>
                  <w:rPr>
                    <w:rFonts w:ascii="Cambria Math" w:eastAsia="Times New Roman" w:hAnsi="Cambria Math" w:cs="Arial"/>
                    <w:bCs/>
                    <w:iCs/>
                    <w:sz w:val="20"/>
                    <w:szCs w:val="20"/>
                    <w:vertAlign w:val="subscript"/>
                  </w:rPr>
                </m:ctrlPr>
              </m:sSubPr>
              <m:e>
                <m:r>
                  <m:rPr>
                    <m:sty m:val="p"/>
                  </m:rPr>
                  <w:rPr>
                    <w:rFonts w:ascii="Cambria Math" w:eastAsia="Times New Roman" w:hAnsi="Cambria Math" w:cs="Arial"/>
                    <w:sz w:val="20"/>
                    <w:szCs w:val="20"/>
                    <w:vertAlign w:val="subscript"/>
                  </w:rPr>
                  <m:t>β</m:t>
                </m:r>
              </m:e>
              <m:sub>
                <m:r>
                  <m:rPr>
                    <m:sty m:val="p"/>
                  </m:rPr>
                  <w:rPr>
                    <w:rFonts w:ascii="Cambria Math" w:eastAsia="Times New Roman" w:hAnsi="Cambria Math" w:cs="Arial"/>
                    <w:sz w:val="20"/>
                    <w:szCs w:val="20"/>
                    <w:vertAlign w:val="subscript"/>
                  </w:rPr>
                  <m:t>j</m:t>
                </m:r>
              </m:sub>
            </m:sSub>
          </m:e>
        </m:nary>
        <m:sSub>
          <m:sSubPr>
            <m:ctrlPr>
              <w:rPr>
                <w:rFonts w:ascii="Cambria Math" w:eastAsia="Times New Roman" w:hAnsi="Cambria Math" w:cs="Arial"/>
                <w:bCs/>
                <w:iCs/>
                <w:sz w:val="20"/>
                <w:szCs w:val="20"/>
                <w:vertAlign w:val="subscript"/>
              </w:rPr>
            </m:ctrlPr>
          </m:sSubPr>
          <m:e>
            <m:r>
              <m:rPr>
                <m:sty m:val="p"/>
              </m:rPr>
              <w:rPr>
                <w:rFonts w:ascii="Cambria Math" w:eastAsia="Times New Roman" w:hAnsi="Cambria Math" w:cs="Arial"/>
                <w:sz w:val="20"/>
                <w:szCs w:val="20"/>
                <w:vertAlign w:val="subscript"/>
              </w:rPr>
              <m:t>h</m:t>
            </m:r>
          </m:e>
          <m:sub>
            <m:r>
              <m:rPr>
                <m:sty m:val="p"/>
              </m:rPr>
              <w:rPr>
                <w:rFonts w:ascii="Cambria Math" w:eastAsia="Times New Roman" w:hAnsi="Cambria Math" w:cs="Arial"/>
                <w:sz w:val="20"/>
                <w:szCs w:val="20"/>
                <w:vertAlign w:val="subscript"/>
              </w:rPr>
              <m:t>t-j</m:t>
            </m:r>
          </m:sub>
        </m:sSub>
      </m:oMath>
      <w:r w:rsidR="00BC12DD" w:rsidRPr="00E64EF0">
        <w:rPr>
          <w:rFonts w:ascii="Arial" w:eastAsia="Times New Roman" w:hAnsi="Arial" w:cs="Arial"/>
          <w:bCs/>
          <w:iCs/>
          <w:sz w:val="20"/>
          <w:szCs w:val="20"/>
          <w:vertAlign w:val="subscript"/>
        </w:rPr>
        <w:t xml:space="preserve"> </w:t>
      </w:r>
      <w:r w:rsidR="00BC12DD" w:rsidRPr="00E64EF0">
        <w:rPr>
          <w:rFonts w:ascii="Arial" w:eastAsia="Times New Roman" w:hAnsi="Arial" w:cs="Arial"/>
          <w:bCs/>
          <w:iCs/>
          <w:sz w:val="20"/>
          <w:szCs w:val="20"/>
        </w:rPr>
        <w:t xml:space="preserve"> </w:t>
      </w:r>
      <w:r w:rsidR="00CB6EE2" w:rsidRPr="00E64EF0">
        <w:rPr>
          <w:rFonts w:ascii="Arial" w:eastAsia="Times New Roman" w:hAnsi="Arial" w:cs="Arial"/>
          <w:bCs/>
          <w:iCs/>
          <w:sz w:val="20"/>
          <w:szCs w:val="20"/>
        </w:rPr>
        <w:t xml:space="preserve">             </w:t>
      </w:r>
      <w:r w:rsidR="00BC12DD" w:rsidRPr="00E64EF0">
        <w:rPr>
          <w:rFonts w:ascii="Arial" w:eastAsia="Times New Roman" w:hAnsi="Arial" w:cs="Arial"/>
          <w:bCs/>
          <w:iCs/>
          <w:sz w:val="20"/>
          <w:szCs w:val="20"/>
        </w:rPr>
        <w:t xml:space="preserve"> </w:t>
      </w:r>
      <w:r w:rsidR="004C7A6E" w:rsidRPr="00E64EF0">
        <w:rPr>
          <w:rFonts w:ascii="Arial" w:eastAsia="Times New Roman" w:hAnsi="Arial" w:cs="Arial"/>
          <w:bCs/>
          <w:iCs/>
          <w:sz w:val="20"/>
          <w:szCs w:val="20"/>
        </w:rPr>
        <w:t>(3)</w:t>
      </w:r>
    </w:p>
    <w:p w14:paraId="66ACA676" w14:textId="77777777" w:rsidR="004C7A6E" w:rsidRPr="00E64EF0" w:rsidRDefault="004C7A6E" w:rsidP="004C7A6E">
      <w:pPr>
        <w:spacing w:after="0" w:line="240" w:lineRule="auto"/>
        <w:contextualSpacing/>
        <w:jc w:val="both"/>
        <w:rPr>
          <w:rFonts w:ascii="Arial" w:eastAsia="Times New Roman" w:hAnsi="Arial" w:cs="Arial"/>
          <w:bCs/>
          <w:iCs/>
          <w:sz w:val="18"/>
          <w:szCs w:val="20"/>
        </w:rPr>
      </w:pPr>
    </w:p>
    <w:p w14:paraId="47DEFD48" w14:textId="4391F903"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 xml:space="preserve">Where Rt indicates the conditional mean, </w:t>
      </w:r>
      <m:oMath>
        <m:sSub>
          <m:sSubPr>
            <m:ctrlPr>
              <w:rPr>
                <w:rFonts w:ascii="Cambria Math" w:eastAsia="Times New Roman" w:hAnsi="Cambria Math" w:cs="Arial"/>
                <w:bCs/>
                <w:i/>
                <w:iCs/>
                <w:sz w:val="20"/>
                <w:szCs w:val="20"/>
                <w:vertAlign w:val="subscript"/>
              </w:rPr>
            </m:ctrlPr>
          </m:sSubPr>
          <m:e>
            <m:r>
              <w:rPr>
                <w:rFonts w:ascii="Cambria Math" w:eastAsia="Times New Roman" w:hAnsi="Cambria Math" w:cs="Arial"/>
                <w:sz w:val="20"/>
                <w:szCs w:val="20"/>
                <w:vertAlign w:val="subscript"/>
              </w:rPr>
              <m:t>h</m:t>
            </m:r>
          </m:e>
          <m:sub>
            <m:r>
              <w:rPr>
                <w:rFonts w:ascii="Cambria Math" w:eastAsia="Times New Roman" w:hAnsi="Cambria Math" w:cs="Arial"/>
                <w:sz w:val="20"/>
                <w:szCs w:val="20"/>
                <w:vertAlign w:val="subscript"/>
              </w:rPr>
              <m:t>t</m:t>
            </m:r>
          </m:sub>
        </m:sSub>
      </m:oMath>
      <w:r w:rsidRPr="00E64EF0">
        <w:rPr>
          <w:rFonts w:ascii="Arial" w:eastAsia="Times New Roman" w:hAnsi="Arial" w:cs="Arial"/>
          <w:bCs/>
          <w:iCs/>
          <w:sz w:val="20"/>
          <w:szCs w:val="20"/>
        </w:rPr>
        <w:t xml:space="preserve"> explains conditional variance, t is the error </w:t>
      </w:r>
      <w:r w:rsidR="00CB6EE2"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 xml:space="preserve">term for mean equation, q and p are the </w:t>
      </w:r>
      <w:r w:rsidR="00CB6EE2"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lag of the residual and conditionalvariance terms in the variance equation, ω and µ are the constant.</w:t>
      </w:r>
    </w:p>
    <w:p w14:paraId="50A79F94" w14:textId="680828C9"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α</w:t>
      </w:r>
      <w:proofErr w:type="spellStart"/>
      <w:r w:rsidRPr="00E64EF0">
        <w:rPr>
          <w:rFonts w:ascii="Arial" w:eastAsia="Times New Roman" w:hAnsi="Arial" w:cs="Arial"/>
          <w:bCs/>
          <w:iCs/>
          <w:sz w:val="20"/>
          <w:szCs w:val="20"/>
          <w:vertAlign w:val="subscript"/>
        </w:rPr>
        <w:t>i</w:t>
      </w:r>
      <w:proofErr w:type="spellEnd"/>
      <w:r w:rsidRPr="00E64EF0">
        <w:rPr>
          <w:rFonts w:ascii="Arial" w:eastAsia="Times New Roman" w:hAnsi="Arial" w:cs="Arial"/>
          <w:bCs/>
          <w:iCs/>
          <w:sz w:val="20"/>
          <w:szCs w:val="20"/>
        </w:rPr>
        <w:t xml:space="preserve"> and β</w:t>
      </w:r>
      <w:proofErr w:type="spellStart"/>
      <w:r w:rsidRPr="00E64EF0">
        <w:rPr>
          <w:rFonts w:ascii="Arial" w:eastAsia="Times New Roman" w:hAnsi="Arial" w:cs="Arial"/>
          <w:bCs/>
          <w:iCs/>
          <w:sz w:val="20"/>
          <w:szCs w:val="20"/>
          <w:vertAlign w:val="subscript"/>
        </w:rPr>
        <w:t>i</w:t>
      </w:r>
      <w:r w:rsidRPr="00E64EF0">
        <w:rPr>
          <w:rFonts w:ascii="Arial" w:eastAsia="Times New Roman" w:hAnsi="Arial" w:cs="Arial"/>
          <w:bCs/>
          <w:iCs/>
          <w:sz w:val="20"/>
          <w:szCs w:val="20"/>
        </w:rPr>
        <w:t>areused</w:t>
      </w:r>
      <w:proofErr w:type="spellEnd"/>
      <w:r w:rsidRPr="00E64EF0">
        <w:rPr>
          <w:rFonts w:ascii="Arial" w:eastAsia="Times New Roman" w:hAnsi="Arial" w:cs="Arial"/>
          <w:bCs/>
          <w:iCs/>
          <w:sz w:val="20"/>
          <w:szCs w:val="20"/>
        </w:rPr>
        <w:t xml:space="preserve"> to depict the Arch effect &amp;</w:t>
      </w:r>
      <w:proofErr w:type="spellStart"/>
      <w:r w:rsidRPr="00E64EF0">
        <w:rPr>
          <w:rFonts w:ascii="Arial" w:eastAsia="Times New Roman" w:hAnsi="Arial" w:cs="Arial"/>
          <w:bCs/>
          <w:iCs/>
          <w:sz w:val="20"/>
          <w:szCs w:val="20"/>
        </w:rPr>
        <w:t>Garch</w:t>
      </w:r>
      <w:proofErr w:type="spellEnd"/>
      <w:r w:rsidRPr="00E64EF0">
        <w:rPr>
          <w:rFonts w:ascii="Arial" w:eastAsia="Times New Roman" w:hAnsi="Arial" w:cs="Arial"/>
          <w:bCs/>
          <w:iCs/>
          <w:sz w:val="20"/>
          <w:szCs w:val="20"/>
        </w:rPr>
        <w:t xml:space="preserve"> effect respectively. ‘α’ depicts the recent news </w:t>
      </w:r>
      <w:r w:rsidRPr="00E64EF0">
        <w:rPr>
          <w:rFonts w:ascii="Arial" w:eastAsia="Times New Roman" w:hAnsi="Arial" w:cs="Arial"/>
          <w:bCs/>
          <w:iCs/>
          <w:sz w:val="20"/>
          <w:szCs w:val="20"/>
        </w:rPr>
        <w:t xml:space="preserve">about volatility from previous period, measured as the lag of the squared residuals, whereas ‘β’ explains the long-term volatility from the last period forecast. (α + β) indicates the level of persistence in </w:t>
      </w:r>
      <w:proofErr w:type="spellStart"/>
      <w:proofErr w:type="gramStart"/>
      <w:r w:rsidRPr="00E64EF0">
        <w:rPr>
          <w:rFonts w:ascii="Arial" w:eastAsia="Times New Roman" w:hAnsi="Arial" w:cs="Arial"/>
          <w:bCs/>
          <w:iCs/>
          <w:sz w:val="20"/>
          <w:szCs w:val="20"/>
        </w:rPr>
        <w:t>series,so</w:t>
      </w:r>
      <w:proofErr w:type="spellEnd"/>
      <w:proofErr w:type="gramEnd"/>
      <w:r w:rsidRPr="00E64EF0">
        <w:rPr>
          <w:rFonts w:ascii="Arial" w:eastAsia="Times New Roman" w:hAnsi="Arial" w:cs="Arial"/>
          <w:bCs/>
          <w:iCs/>
          <w:sz w:val="20"/>
          <w:szCs w:val="20"/>
        </w:rPr>
        <w:t xml:space="preserve"> higher values of (α + β) imply higher persistence in volatility (Rastogi, 2014).</w:t>
      </w:r>
    </w:p>
    <w:p w14:paraId="65D2EE2D" w14:textId="77777777" w:rsidR="004C7A6E" w:rsidRPr="00E64EF0" w:rsidRDefault="004C7A6E" w:rsidP="004C7A6E">
      <w:pPr>
        <w:spacing w:after="0" w:line="240" w:lineRule="auto"/>
        <w:contextualSpacing/>
        <w:jc w:val="both"/>
        <w:rPr>
          <w:rFonts w:ascii="Arial" w:eastAsia="Times New Roman" w:hAnsi="Arial" w:cs="Arial"/>
          <w:bCs/>
          <w:iCs/>
          <w:sz w:val="18"/>
          <w:szCs w:val="20"/>
        </w:rPr>
      </w:pPr>
    </w:p>
    <w:p w14:paraId="49A1C43C" w14:textId="6CA62517" w:rsidR="004C7A6E" w:rsidRPr="00E64EF0" w:rsidRDefault="004C7A6E" w:rsidP="00CB6EE2">
      <w:pPr>
        <w:spacing w:after="0" w:line="240" w:lineRule="auto"/>
        <w:ind w:left="360" w:hanging="360"/>
        <w:contextualSpacing/>
        <w:jc w:val="both"/>
        <w:rPr>
          <w:rFonts w:ascii="Arial" w:eastAsia="Times New Roman" w:hAnsi="Arial" w:cs="Arial"/>
          <w:b/>
          <w:bCs/>
          <w:iCs/>
          <w:szCs w:val="20"/>
        </w:rPr>
      </w:pPr>
      <w:r w:rsidRPr="00E64EF0">
        <w:rPr>
          <w:rFonts w:ascii="Arial" w:eastAsia="Times New Roman" w:hAnsi="Arial" w:cs="Arial"/>
          <w:b/>
          <w:bCs/>
          <w:iCs/>
          <w:szCs w:val="20"/>
        </w:rPr>
        <w:t>3.6</w:t>
      </w:r>
      <w:r w:rsidR="00CB6EE2" w:rsidRPr="00E64EF0">
        <w:rPr>
          <w:rFonts w:ascii="Arial" w:eastAsia="Times New Roman" w:hAnsi="Arial" w:cs="Arial"/>
          <w:b/>
          <w:bCs/>
          <w:iCs/>
          <w:szCs w:val="20"/>
        </w:rPr>
        <w:tab/>
      </w:r>
      <w:proofErr w:type="spellStart"/>
      <w:r w:rsidRPr="00E64EF0">
        <w:rPr>
          <w:rFonts w:ascii="Arial" w:eastAsia="Times New Roman" w:hAnsi="Arial" w:cs="Arial"/>
          <w:b/>
          <w:bCs/>
          <w:iCs/>
          <w:szCs w:val="20"/>
        </w:rPr>
        <w:t>Garch</w:t>
      </w:r>
      <w:proofErr w:type="spellEnd"/>
      <w:r w:rsidRPr="00E64EF0">
        <w:rPr>
          <w:rFonts w:ascii="Arial" w:eastAsia="Times New Roman" w:hAnsi="Arial" w:cs="Arial"/>
          <w:b/>
          <w:bCs/>
          <w:iCs/>
          <w:szCs w:val="20"/>
        </w:rPr>
        <w:t xml:space="preserve"> Model with Exogeneous Variable</w:t>
      </w:r>
    </w:p>
    <w:p w14:paraId="2DCE3A85" w14:textId="77777777" w:rsidR="004C7A6E" w:rsidRPr="00E64EF0" w:rsidRDefault="004C7A6E" w:rsidP="004C7A6E">
      <w:pPr>
        <w:spacing w:after="0" w:line="240" w:lineRule="auto"/>
        <w:contextualSpacing/>
        <w:jc w:val="both"/>
        <w:rPr>
          <w:rFonts w:ascii="Arial" w:eastAsia="Times New Roman" w:hAnsi="Arial" w:cs="Arial"/>
          <w:b/>
          <w:bCs/>
          <w:iCs/>
          <w:sz w:val="18"/>
          <w:szCs w:val="20"/>
        </w:rPr>
      </w:pPr>
    </w:p>
    <w:p w14:paraId="5DF218F9" w14:textId="607F571A"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It is evident from the literature review that the upward or downward movement of the stock market is impacted by the net flows of FII &amp; DII. Hence, Net flows of FII &amp; DII</w:t>
      </w:r>
      <w:r w:rsidR="00BC12DD"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for the period 12 years from Feb 2009 to Feb 2021 are used as regressors to from the extended GARCH model. The equation formed is,</w:t>
      </w:r>
    </w:p>
    <w:p w14:paraId="65EC0D1A" w14:textId="77777777" w:rsidR="004C7A6E" w:rsidRPr="00E64EF0" w:rsidRDefault="004C7A6E" w:rsidP="004C7A6E">
      <w:pPr>
        <w:spacing w:after="0" w:line="240" w:lineRule="auto"/>
        <w:contextualSpacing/>
        <w:jc w:val="both"/>
        <w:rPr>
          <w:rFonts w:ascii="Arial" w:eastAsia="Times New Roman" w:hAnsi="Arial" w:cs="Arial"/>
          <w:bCs/>
          <w:iCs/>
          <w:sz w:val="20"/>
          <w:szCs w:val="20"/>
        </w:rPr>
      </w:pPr>
    </w:p>
    <w:p w14:paraId="2BB4E6DE" w14:textId="2185BF5B"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 xml:space="preserve">Conditional </w:t>
      </w:r>
      <w:r w:rsidR="00B20E5A" w:rsidRPr="00E64EF0">
        <w:rPr>
          <w:rFonts w:ascii="Arial" w:eastAsia="Times New Roman" w:hAnsi="Arial" w:cs="Arial"/>
          <w:bCs/>
          <w:iCs/>
          <w:sz w:val="20"/>
          <w:szCs w:val="20"/>
        </w:rPr>
        <w:t>mean equation</w:t>
      </w:r>
      <w:r w:rsidR="00677E8D" w:rsidRPr="00E64EF0">
        <w:rPr>
          <w:rFonts w:ascii="Arial" w:eastAsia="Times New Roman" w:hAnsi="Arial" w:cs="Arial"/>
          <w:bCs/>
          <w:iCs/>
          <w:sz w:val="20"/>
          <w:szCs w:val="20"/>
        </w:rPr>
        <w:t>,</w:t>
      </w:r>
    </w:p>
    <w:p w14:paraId="711C3923" w14:textId="77777777" w:rsidR="004C7A6E" w:rsidRPr="00E64EF0" w:rsidRDefault="004C7A6E" w:rsidP="004C7A6E">
      <w:pPr>
        <w:spacing w:after="0" w:line="240" w:lineRule="auto"/>
        <w:contextualSpacing/>
        <w:jc w:val="both"/>
        <w:rPr>
          <w:rFonts w:ascii="Arial" w:eastAsia="Times New Roman" w:hAnsi="Arial" w:cs="Arial"/>
          <w:bCs/>
          <w:iCs/>
          <w:sz w:val="20"/>
          <w:szCs w:val="20"/>
        </w:rPr>
      </w:pPr>
    </w:p>
    <w:p w14:paraId="5609A764" w14:textId="0D265028" w:rsidR="004C7A6E" w:rsidRPr="00E64EF0" w:rsidRDefault="004C7A6E" w:rsidP="00CB6EE2">
      <w:pPr>
        <w:spacing w:after="0" w:line="240" w:lineRule="auto"/>
        <w:ind w:left="360"/>
        <w:contextualSpacing/>
        <w:jc w:val="both"/>
        <w:rPr>
          <w:rFonts w:ascii="Arial" w:eastAsia="Times New Roman" w:hAnsi="Arial" w:cs="Arial"/>
          <w:bCs/>
          <w:iCs/>
          <w:sz w:val="20"/>
          <w:szCs w:val="20"/>
        </w:rPr>
      </w:pPr>
      <w:proofErr w:type="spellStart"/>
      <w:r w:rsidRPr="00E64EF0">
        <w:rPr>
          <w:rFonts w:ascii="Arial" w:eastAsia="Times New Roman" w:hAnsi="Arial" w:cs="Arial"/>
          <w:bCs/>
          <w:iCs/>
          <w:sz w:val="20"/>
          <w:szCs w:val="20"/>
        </w:rPr>
        <w:t>y</w:t>
      </w:r>
      <w:r w:rsidRPr="00E64EF0">
        <w:rPr>
          <w:rFonts w:ascii="Arial" w:eastAsia="Times New Roman" w:hAnsi="Arial" w:cs="Arial"/>
          <w:bCs/>
          <w:iCs/>
          <w:sz w:val="20"/>
          <w:szCs w:val="20"/>
          <w:vertAlign w:val="subscript"/>
        </w:rPr>
        <w:t>t</w:t>
      </w:r>
      <w:proofErr w:type="spellEnd"/>
      <w:r w:rsidRPr="00E64EF0">
        <w:rPr>
          <w:rFonts w:ascii="Arial" w:eastAsia="Times New Roman" w:hAnsi="Arial" w:cs="Arial"/>
          <w:bCs/>
          <w:iCs/>
          <w:sz w:val="20"/>
          <w:szCs w:val="20"/>
        </w:rPr>
        <w:t xml:space="preserve"> = µ + λ</w:t>
      </w:r>
      <w:r w:rsidRPr="00E64EF0">
        <w:rPr>
          <w:rFonts w:ascii="Arial" w:eastAsia="Times New Roman" w:hAnsi="Arial" w:cs="Arial"/>
          <w:bCs/>
          <w:iCs/>
          <w:sz w:val="20"/>
          <w:szCs w:val="20"/>
          <w:vertAlign w:val="subscript"/>
        </w:rPr>
        <w:t>1</w:t>
      </w:r>
      <w:r w:rsidRPr="00E64EF0">
        <w:rPr>
          <w:rFonts w:ascii="Arial" w:eastAsia="Times New Roman" w:hAnsi="Arial" w:cs="Arial"/>
          <w:bCs/>
          <w:iCs/>
          <w:sz w:val="20"/>
          <w:szCs w:val="20"/>
        </w:rPr>
        <w:t>FII</w:t>
      </w:r>
      <w:r w:rsidRPr="00E64EF0">
        <w:rPr>
          <w:rFonts w:ascii="Arial" w:eastAsia="Times New Roman" w:hAnsi="Arial" w:cs="Arial"/>
          <w:bCs/>
          <w:iCs/>
          <w:sz w:val="20"/>
          <w:szCs w:val="20"/>
          <w:vertAlign w:val="subscript"/>
        </w:rPr>
        <w:t>t</w:t>
      </w:r>
      <w:r w:rsidRPr="00E64EF0">
        <w:rPr>
          <w:rFonts w:ascii="Arial" w:eastAsia="Times New Roman" w:hAnsi="Arial" w:cs="Arial"/>
          <w:bCs/>
          <w:iCs/>
          <w:sz w:val="20"/>
          <w:szCs w:val="20"/>
        </w:rPr>
        <w:t xml:space="preserve"> + t</w:t>
      </w:r>
      <w:r w:rsidR="00BC12DD" w:rsidRPr="00E64EF0">
        <w:rPr>
          <w:rFonts w:ascii="Arial" w:eastAsia="Times New Roman" w:hAnsi="Arial" w:cs="Arial"/>
          <w:bCs/>
          <w:iCs/>
          <w:sz w:val="20"/>
          <w:szCs w:val="20"/>
        </w:rPr>
        <w:t xml:space="preserve">   </w:t>
      </w:r>
      <w:r w:rsidR="00CB6EE2" w:rsidRPr="00E64EF0">
        <w:rPr>
          <w:rFonts w:ascii="Arial" w:eastAsia="Times New Roman" w:hAnsi="Arial" w:cs="Arial"/>
          <w:bCs/>
          <w:iCs/>
          <w:sz w:val="20"/>
          <w:szCs w:val="20"/>
        </w:rPr>
        <w:t xml:space="preserve">                                   </w:t>
      </w:r>
      <w:proofErr w:type="gramStart"/>
      <w:r w:rsidR="00CB6EE2" w:rsidRPr="00E64EF0">
        <w:rPr>
          <w:rFonts w:ascii="Arial" w:eastAsia="Times New Roman" w:hAnsi="Arial" w:cs="Arial"/>
          <w:bCs/>
          <w:iCs/>
          <w:sz w:val="20"/>
          <w:szCs w:val="20"/>
        </w:rPr>
        <w:t xml:space="preserve">  </w:t>
      </w:r>
      <w:r w:rsidR="00BC12DD"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w:t>
      </w:r>
      <w:proofErr w:type="gramEnd"/>
      <w:r w:rsidRPr="00E64EF0">
        <w:rPr>
          <w:rFonts w:ascii="Arial" w:eastAsia="Times New Roman" w:hAnsi="Arial" w:cs="Arial"/>
          <w:bCs/>
          <w:iCs/>
          <w:sz w:val="20"/>
          <w:szCs w:val="20"/>
        </w:rPr>
        <w:t>4)</w:t>
      </w:r>
    </w:p>
    <w:p w14:paraId="52003304" w14:textId="77777777" w:rsidR="004C7A6E" w:rsidRPr="00E64EF0" w:rsidRDefault="004C7A6E" w:rsidP="004C7A6E">
      <w:pPr>
        <w:spacing w:after="0" w:line="240" w:lineRule="auto"/>
        <w:contextualSpacing/>
        <w:jc w:val="both"/>
        <w:rPr>
          <w:rFonts w:ascii="Arial" w:eastAsia="Times New Roman" w:hAnsi="Arial" w:cs="Arial"/>
          <w:bCs/>
          <w:iCs/>
          <w:sz w:val="20"/>
          <w:szCs w:val="20"/>
        </w:rPr>
      </w:pPr>
    </w:p>
    <w:p w14:paraId="4B6791E0" w14:textId="39DC01B6"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 xml:space="preserve">Conditional </w:t>
      </w:r>
      <w:r w:rsidR="00B20E5A" w:rsidRPr="00E64EF0">
        <w:rPr>
          <w:rFonts w:ascii="Arial" w:eastAsia="Times New Roman" w:hAnsi="Arial" w:cs="Arial"/>
          <w:bCs/>
          <w:iCs/>
          <w:sz w:val="20"/>
          <w:szCs w:val="20"/>
        </w:rPr>
        <w:t>variance equation</w:t>
      </w:r>
      <w:r w:rsidR="00677E8D" w:rsidRPr="00E64EF0">
        <w:rPr>
          <w:rFonts w:ascii="Arial" w:eastAsia="Times New Roman" w:hAnsi="Arial" w:cs="Arial"/>
          <w:bCs/>
          <w:iCs/>
          <w:sz w:val="20"/>
          <w:szCs w:val="20"/>
        </w:rPr>
        <w:t>,</w:t>
      </w:r>
    </w:p>
    <w:p w14:paraId="057F6288" w14:textId="77777777" w:rsidR="004C7A6E" w:rsidRPr="00E64EF0" w:rsidRDefault="004C7A6E" w:rsidP="004C7A6E">
      <w:pPr>
        <w:spacing w:after="0" w:line="240" w:lineRule="auto"/>
        <w:contextualSpacing/>
        <w:jc w:val="both"/>
        <w:rPr>
          <w:rFonts w:ascii="Arial" w:eastAsia="Times New Roman" w:hAnsi="Arial" w:cs="Arial"/>
          <w:bCs/>
          <w:iCs/>
          <w:sz w:val="20"/>
          <w:szCs w:val="20"/>
        </w:rPr>
      </w:pPr>
    </w:p>
    <w:p w14:paraId="5F542374" w14:textId="1E5B621E" w:rsidR="004C7A6E" w:rsidRPr="00E64EF0" w:rsidRDefault="004C7A6E" w:rsidP="00CB6EE2">
      <w:pPr>
        <w:spacing w:after="0" w:line="240" w:lineRule="auto"/>
        <w:ind w:left="360"/>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h</w:t>
      </w:r>
      <w:r w:rsidRPr="00E64EF0">
        <w:rPr>
          <w:rFonts w:ascii="Arial" w:eastAsia="Times New Roman" w:hAnsi="Arial" w:cs="Arial"/>
          <w:bCs/>
          <w:iCs/>
          <w:sz w:val="20"/>
          <w:szCs w:val="20"/>
          <w:vertAlign w:val="subscript"/>
        </w:rPr>
        <w:t>t</w:t>
      </w:r>
      <w:r w:rsidRPr="00E64EF0">
        <w:rPr>
          <w:rFonts w:ascii="Arial" w:eastAsia="Times New Roman" w:hAnsi="Arial" w:cs="Arial"/>
          <w:bCs/>
          <w:iCs/>
          <w:sz w:val="20"/>
          <w:szCs w:val="20"/>
          <w:vertAlign w:val="superscript"/>
        </w:rPr>
        <w:t>2</w:t>
      </w:r>
      <w:r w:rsidRPr="00E64EF0">
        <w:rPr>
          <w:rFonts w:ascii="Arial" w:eastAsia="Times New Roman" w:hAnsi="Arial" w:cs="Arial"/>
          <w:bCs/>
          <w:iCs/>
          <w:sz w:val="20"/>
          <w:szCs w:val="20"/>
        </w:rPr>
        <w:t xml:space="preserve"> = ω + α</w:t>
      </w:r>
      <w:r w:rsidRPr="00E64EF0">
        <w:rPr>
          <w:rFonts w:ascii="Arial" w:eastAsia="Times New Roman" w:hAnsi="Arial" w:cs="Arial"/>
          <w:bCs/>
          <w:iCs/>
          <w:sz w:val="20"/>
          <w:szCs w:val="20"/>
          <w:vertAlign w:val="subscript"/>
        </w:rPr>
        <w:t>1</w:t>
      </w:r>
      <w:r w:rsidRPr="00E64EF0">
        <w:rPr>
          <w:rFonts w:ascii="Arial" w:eastAsia="Times New Roman" w:hAnsi="Arial" w:cs="Arial"/>
          <w:bCs/>
          <w:iCs/>
          <w:sz w:val="20"/>
          <w:szCs w:val="20"/>
        </w:rPr>
        <w:t>ε</w:t>
      </w:r>
      <w:r w:rsidRPr="00E64EF0">
        <w:rPr>
          <w:rFonts w:ascii="Arial" w:eastAsia="Times New Roman" w:hAnsi="Arial" w:cs="Arial"/>
          <w:bCs/>
          <w:iCs/>
          <w:sz w:val="20"/>
          <w:szCs w:val="20"/>
          <w:vertAlign w:val="superscript"/>
        </w:rPr>
        <w:t>2</w:t>
      </w:r>
      <w:r w:rsidRPr="00E64EF0">
        <w:rPr>
          <w:rFonts w:ascii="Arial" w:eastAsia="Times New Roman" w:hAnsi="Arial" w:cs="Arial"/>
          <w:bCs/>
          <w:iCs/>
          <w:sz w:val="20"/>
          <w:szCs w:val="20"/>
          <w:vertAlign w:val="subscript"/>
        </w:rPr>
        <w:t>t−1</w:t>
      </w:r>
      <w:r w:rsidRPr="00E64EF0">
        <w:rPr>
          <w:rFonts w:ascii="Arial" w:eastAsia="Times New Roman" w:hAnsi="Arial" w:cs="Arial"/>
          <w:bCs/>
          <w:iCs/>
          <w:sz w:val="20"/>
          <w:szCs w:val="20"/>
        </w:rPr>
        <w:t xml:space="preserve"> + β</w:t>
      </w:r>
      <w:r w:rsidRPr="00E64EF0">
        <w:rPr>
          <w:rFonts w:ascii="Arial" w:eastAsia="Times New Roman" w:hAnsi="Arial" w:cs="Arial"/>
          <w:bCs/>
          <w:iCs/>
          <w:sz w:val="20"/>
          <w:szCs w:val="20"/>
          <w:vertAlign w:val="subscript"/>
        </w:rPr>
        <w:t>1</w:t>
      </w:r>
      <w:r w:rsidRPr="00E64EF0">
        <w:rPr>
          <w:rFonts w:ascii="Arial" w:eastAsia="Times New Roman" w:hAnsi="Arial" w:cs="Arial"/>
          <w:bCs/>
          <w:iCs/>
          <w:sz w:val="20"/>
          <w:szCs w:val="20"/>
        </w:rPr>
        <w:t>h</w:t>
      </w:r>
      <w:r w:rsidRPr="00E64EF0">
        <w:rPr>
          <w:rFonts w:ascii="Arial" w:eastAsia="Times New Roman" w:hAnsi="Arial" w:cs="Arial"/>
          <w:bCs/>
          <w:iCs/>
          <w:sz w:val="20"/>
          <w:szCs w:val="20"/>
          <w:vertAlign w:val="superscript"/>
        </w:rPr>
        <w:t>2</w:t>
      </w:r>
      <w:r w:rsidRPr="00E64EF0">
        <w:rPr>
          <w:rFonts w:ascii="Arial" w:eastAsia="Times New Roman" w:hAnsi="Arial" w:cs="Arial"/>
          <w:bCs/>
          <w:iCs/>
          <w:sz w:val="20"/>
          <w:szCs w:val="20"/>
          <w:vertAlign w:val="subscript"/>
        </w:rPr>
        <w:t>t−1</w:t>
      </w:r>
      <w:r w:rsidRPr="00E64EF0">
        <w:rPr>
          <w:rFonts w:ascii="Arial" w:eastAsia="Times New Roman" w:hAnsi="Arial" w:cs="Arial"/>
          <w:bCs/>
          <w:iCs/>
          <w:sz w:val="20"/>
          <w:szCs w:val="20"/>
        </w:rPr>
        <w:t xml:space="preserve"> + δ</w:t>
      </w:r>
      <w:r w:rsidRPr="00E64EF0">
        <w:rPr>
          <w:rFonts w:ascii="Arial" w:eastAsia="Times New Roman" w:hAnsi="Arial" w:cs="Arial"/>
          <w:bCs/>
          <w:iCs/>
          <w:sz w:val="20"/>
          <w:szCs w:val="20"/>
          <w:vertAlign w:val="subscript"/>
        </w:rPr>
        <w:t>1</w:t>
      </w:r>
      <w:r w:rsidRPr="00E64EF0">
        <w:rPr>
          <w:rFonts w:ascii="Arial" w:eastAsia="Times New Roman" w:hAnsi="Arial" w:cs="Arial"/>
          <w:bCs/>
          <w:iCs/>
          <w:sz w:val="20"/>
          <w:szCs w:val="20"/>
        </w:rPr>
        <w:t>FII</w:t>
      </w:r>
      <w:r w:rsidRPr="00E64EF0">
        <w:rPr>
          <w:rFonts w:ascii="Arial" w:eastAsia="Times New Roman" w:hAnsi="Arial" w:cs="Arial"/>
          <w:bCs/>
          <w:iCs/>
          <w:sz w:val="20"/>
          <w:szCs w:val="20"/>
          <w:vertAlign w:val="subscript"/>
        </w:rPr>
        <w:t>t</w:t>
      </w:r>
      <w:r w:rsidR="00BC12DD" w:rsidRPr="00E64EF0">
        <w:rPr>
          <w:rFonts w:ascii="Arial" w:eastAsia="Times New Roman" w:hAnsi="Arial" w:cs="Arial"/>
          <w:bCs/>
          <w:iCs/>
          <w:sz w:val="20"/>
          <w:szCs w:val="20"/>
        </w:rPr>
        <w:t xml:space="preserve"> </w:t>
      </w:r>
      <w:r w:rsidR="00CB6EE2" w:rsidRPr="00E64EF0">
        <w:rPr>
          <w:rFonts w:ascii="Arial" w:eastAsia="Times New Roman" w:hAnsi="Arial" w:cs="Arial"/>
          <w:bCs/>
          <w:iCs/>
          <w:sz w:val="20"/>
          <w:szCs w:val="20"/>
        </w:rPr>
        <w:t xml:space="preserve">            </w:t>
      </w:r>
      <w:proofErr w:type="gramStart"/>
      <w:r w:rsidR="00CB6EE2"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w:t>
      </w:r>
      <w:proofErr w:type="gramEnd"/>
      <w:r w:rsidRPr="00E64EF0">
        <w:rPr>
          <w:rFonts w:ascii="Arial" w:eastAsia="Times New Roman" w:hAnsi="Arial" w:cs="Arial"/>
          <w:bCs/>
          <w:iCs/>
          <w:sz w:val="20"/>
          <w:szCs w:val="20"/>
        </w:rPr>
        <w:t>5)</w:t>
      </w:r>
    </w:p>
    <w:p w14:paraId="39D26C8C" w14:textId="77777777" w:rsidR="00421E7D" w:rsidRDefault="00421E7D" w:rsidP="004C7A6E">
      <w:pPr>
        <w:pStyle w:val="Heading2"/>
        <w:rPr>
          <w:rFonts w:eastAsia="Times New Roman"/>
        </w:rPr>
      </w:pPr>
    </w:p>
    <w:p w14:paraId="39E0F441" w14:textId="70D8BB86" w:rsidR="004C7A6E" w:rsidRPr="00E64EF0" w:rsidRDefault="004C7A6E" w:rsidP="004C7A6E">
      <w:pPr>
        <w:pStyle w:val="Heading2"/>
        <w:rPr>
          <w:rFonts w:eastAsia="Times New Roman"/>
        </w:rPr>
      </w:pPr>
      <w:r w:rsidRPr="00E64EF0">
        <w:rPr>
          <w:rFonts w:eastAsia="Times New Roman"/>
        </w:rPr>
        <w:t>4.</w:t>
      </w:r>
      <w:r w:rsidR="00421E7D">
        <w:rPr>
          <w:rFonts w:eastAsia="Times New Roman"/>
        </w:rPr>
        <w:t xml:space="preserve">RESULT </w:t>
      </w:r>
      <w:r w:rsidRPr="00E64EF0">
        <w:rPr>
          <w:rFonts w:eastAsia="Times New Roman"/>
        </w:rPr>
        <w:t xml:space="preserve">ANALYSIS AND </w:t>
      </w:r>
      <w:r w:rsidR="00421E7D">
        <w:rPr>
          <w:rFonts w:eastAsia="Times New Roman"/>
        </w:rPr>
        <w:t>DISCUSSION</w:t>
      </w:r>
    </w:p>
    <w:p w14:paraId="505CCBCE" w14:textId="77777777" w:rsidR="004C7A6E" w:rsidRPr="00E64EF0" w:rsidRDefault="004C7A6E" w:rsidP="004C7A6E">
      <w:pPr>
        <w:spacing w:after="0" w:line="240" w:lineRule="auto"/>
        <w:contextualSpacing/>
        <w:jc w:val="both"/>
        <w:rPr>
          <w:rFonts w:ascii="Arial" w:eastAsia="Times New Roman" w:hAnsi="Arial" w:cs="Arial"/>
          <w:b/>
          <w:bCs/>
          <w:iCs/>
          <w:sz w:val="20"/>
          <w:szCs w:val="20"/>
        </w:rPr>
      </w:pPr>
    </w:p>
    <w:p w14:paraId="060736A9" w14:textId="52EC803B" w:rsidR="004C7A6E" w:rsidRPr="00E64EF0" w:rsidRDefault="004C7A6E" w:rsidP="004C7A6E">
      <w:pPr>
        <w:spacing w:after="0" w:line="240" w:lineRule="auto"/>
        <w:contextualSpacing/>
        <w:jc w:val="both"/>
        <w:rPr>
          <w:rFonts w:ascii="Arial" w:eastAsia="Times New Roman" w:hAnsi="Arial" w:cs="Arial"/>
          <w:b/>
          <w:bCs/>
          <w:iCs/>
          <w:szCs w:val="20"/>
        </w:rPr>
      </w:pPr>
      <w:r w:rsidRPr="00E64EF0">
        <w:rPr>
          <w:rFonts w:ascii="Arial" w:eastAsia="Times New Roman" w:hAnsi="Arial" w:cs="Arial"/>
          <w:b/>
          <w:bCs/>
          <w:iCs/>
          <w:szCs w:val="20"/>
        </w:rPr>
        <w:t>4.1 Descriptive Statistics</w:t>
      </w:r>
    </w:p>
    <w:p w14:paraId="56003D2F" w14:textId="68FF64D6" w:rsidR="004C7A6E" w:rsidRPr="00E64EF0" w:rsidRDefault="004C7A6E" w:rsidP="004C7A6E">
      <w:pPr>
        <w:spacing w:after="0" w:line="240" w:lineRule="auto"/>
        <w:contextualSpacing/>
        <w:jc w:val="both"/>
        <w:rPr>
          <w:rFonts w:ascii="Arial" w:eastAsia="Times New Roman" w:hAnsi="Arial" w:cs="Arial"/>
          <w:bCs/>
          <w:iCs/>
          <w:sz w:val="20"/>
          <w:szCs w:val="20"/>
        </w:rPr>
      </w:pPr>
    </w:p>
    <w:p w14:paraId="7584F9C2" w14:textId="64CBCB4C" w:rsidR="00506767" w:rsidRPr="00E64EF0" w:rsidRDefault="00506767" w:rsidP="00506767">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Table 1 reports the descriptive statistics of 10 years of daily return series of Nifty 50, Nifty Mid Cap 50 &amp; Nifty Small Cap 50. The Fig</w:t>
      </w:r>
      <w:r w:rsidR="00677E8D" w:rsidRPr="00E64EF0">
        <w:rPr>
          <w:rFonts w:ascii="Arial" w:eastAsia="Times New Roman" w:hAnsi="Arial" w:cs="Arial"/>
          <w:bCs/>
          <w:iCs/>
          <w:sz w:val="20"/>
          <w:szCs w:val="20"/>
        </w:rPr>
        <w:t>.</w:t>
      </w:r>
      <w:r w:rsidRPr="00E64EF0">
        <w:rPr>
          <w:rFonts w:ascii="Arial" w:eastAsia="Times New Roman" w:hAnsi="Arial" w:cs="Arial"/>
          <w:bCs/>
          <w:iCs/>
          <w:sz w:val="20"/>
          <w:szCs w:val="20"/>
        </w:rPr>
        <w:t xml:space="preserve"> 1 indicate that all the three indices have a positive return in the long run. Nifty Mid Cap 50 (-0.896) &amp; Nifty Small Cap 50 (-0.853) have a negative skewness value which leads to a </w:t>
      </w:r>
      <w:proofErr w:type="gramStart"/>
      <w:r w:rsidRPr="00E64EF0">
        <w:rPr>
          <w:rFonts w:ascii="Arial" w:eastAsia="Times New Roman" w:hAnsi="Arial" w:cs="Arial"/>
          <w:bCs/>
          <w:iCs/>
          <w:sz w:val="20"/>
          <w:szCs w:val="20"/>
        </w:rPr>
        <w:t>long left</w:t>
      </w:r>
      <w:proofErr w:type="gramEnd"/>
      <w:r w:rsidRPr="00E64EF0">
        <w:rPr>
          <w:rFonts w:ascii="Arial" w:eastAsia="Times New Roman" w:hAnsi="Arial" w:cs="Arial"/>
          <w:bCs/>
          <w:iCs/>
          <w:sz w:val="20"/>
          <w:szCs w:val="20"/>
        </w:rPr>
        <w:t xml:space="preserve"> tail. While Nifty 50 (0.130) has a positive skewness value leading to a long right tail. The kurtosis value of the indices is greater than 3 which represents that all the series are leptokurtic. As the figures of </w:t>
      </w:r>
      <w:proofErr w:type="spellStart"/>
      <w:r w:rsidRPr="00E64EF0">
        <w:rPr>
          <w:rFonts w:ascii="Arial" w:eastAsia="Times New Roman" w:hAnsi="Arial" w:cs="Arial"/>
          <w:bCs/>
          <w:iCs/>
          <w:sz w:val="20"/>
          <w:szCs w:val="20"/>
        </w:rPr>
        <w:t>Jarque-Bera</w:t>
      </w:r>
      <w:proofErr w:type="spellEnd"/>
      <w:r w:rsidRPr="00E64EF0">
        <w:rPr>
          <w:rFonts w:ascii="Arial" w:eastAsia="Times New Roman" w:hAnsi="Arial" w:cs="Arial"/>
          <w:bCs/>
          <w:iCs/>
          <w:sz w:val="20"/>
          <w:szCs w:val="20"/>
        </w:rPr>
        <w:t xml:space="preserve"> Statistics are less than 1% significance level, there is an absence of normality in the series (</w:t>
      </w:r>
      <w:r w:rsidRPr="00E64EF0">
        <w:rPr>
          <w:rFonts w:ascii="Arial" w:eastAsia="Times New Roman" w:hAnsi="Arial" w:cs="Arial"/>
          <w:bCs/>
          <w:iCs/>
          <w:sz w:val="20"/>
          <w:szCs w:val="20"/>
          <w:lang w:val="en-IN"/>
        </w:rPr>
        <w:t>Vikram et al., 2022b)</w:t>
      </w:r>
      <w:r w:rsidRPr="00E64EF0">
        <w:rPr>
          <w:rFonts w:ascii="Arial" w:eastAsia="Times New Roman" w:hAnsi="Arial" w:cs="Arial"/>
          <w:bCs/>
          <w:iCs/>
          <w:sz w:val="20"/>
          <w:szCs w:val="20"/>
        </w:rPr>
        <w:t>.</w:t>
      </w:r>
    </w:p>
    <w:p w14:paraId="096E7A0C" w14:textId="77777777" w:rsidR="00506767" w:rsidRPr="00E64EF0" w:rsidRDefault="00506767" w:rsidP="00506767">
      <w:pPr>
        <w:spacing w:after="0" w:line="240" w:lineRule="auto"/>
        <w:contextualSpacing/>
        <w:jc w:val="both"/>
        <w:rPr>
          <w:rFonts w:ascii="Arial" w:eastAsia="Times New Roman" w:hAnsi="Arial" w:cs="Arial"/>
          <w:bCs/>
          <w:iCs/>
          <w:sz w:val="20"/>
          <w:szCs w:val="20"/>
        </w:rPr>
      </w:pPr>
    </w:p>
    <w:p w14:paraId="6E4CC77E" w14:textId="77777777" w:rsidR="00506767" w:rsidRPr="00E64EF0" w:rsidRDefault="00506767" w:rsidP="00506767">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The time series plot of daily returns for Nifty 50, Nifty Mid Cap 50 &amp; Nifty small Cap 50 is present in Fig. 1. From the below-given plot, it is clear that there are periods of high and low volatility for all the indices. The presence of Volatility clustering is identified through figures. There is a continuous variation without a definite pattern in the data. All the series are mean-reverting as they are fluctuating nearby Zero.</w:t>
      </w:r>
    </w:p>
    <w:p w14:paraId="291D2CC6" w14:textId="77777777" w:rsidR="00506767" w:rsidRPr="00E64EF0" w:rsidRDefault="00506767" w:rsidP="004C7A6E">
      <w:pPr>
        <w:spacing w:after="0" w:line="240" w:lineRule="auto"/>
        <w:contextualSpacing/>
        <w:jc w:val="both"/>
        <w:rPr>
          <w:rFonts w:ascii="Arial" w:eastAsia="Times New Roman" w:hAnsi="Arial" w:cs="Arial"/>
          <w:bCs/>
          <w:iCs/>
          <w:sz w:val="20"/>
          <w:szCs w:val="20"/>
        </w:rPr>
        <w:sectPr w:rsidR="00506767" w:rsidRPr="00E64EF0" w:rsidSect="00506767">
          <w:type w:val="continuous"/>
          <w:pgSz w:w="11909" w:h="16834" w:code="9"/>
          <w:pgMar w:top="1440" w:right="1440" w:bottom="1440" w:left="1440" w:header="720" w:footer="864" w:gutter="0"/>
          <w:cols w:num="2" w:space="288"/>
          <w:titlePg/>
          <w:docGrid w:linePitch="360"/>
        </w:sectPr>
      </w:pPr>
    </w:p>
    <w:p w14:paraId="5CFCCADD" w14:textId="77777777" w:rsidR="00506767" w:rsidRPr="00FD6EF3" w:rsidRDefault="00506767" w:rsidP="004C7A6E">
      <w:pPr>
        <w:spacing w:after="0" w:line="240" w:lineRule="auto"/>
        <w:contextualSpacing/>
        <w:jc w:val="both"/>
        <w:rPr>
          <w:rFonts w:ascii="Arial" w:eastAsia="Times New Roman" w:hAnsi="Arial" w:cs="Arial"/>
          <w:b/>
          <w:bCs/>
          <w:iCs/>
          <w:szCs w:val="20"/>
        </w:rPr>
      </w:pPr>
    </w:p>
    <w:tbl>
      <w:tblPr>
        <w:tblStyle w:val="TableGrid"/>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503"/>
      </w:tblGrid>
      <w:tr w:rsidR="004C7A6E" w:rsidRPr="00E64EF0" w14:paraId="4F1B8ECA" w14:textId="77777777" w:rsidTr="00F314DA">
        <w:trPr>
          <w:jc w:val="center"/>
        </w:trPr>
        <w:tc>
          <w:tcPr>
            <w:tcW w:w="4557" w:type="dxa"/>
          </w:tcPr>
          <w:p w14:paraId="3EC1140A" w14:textId="4D16DF65" w:rsidR="004C7A6E" w:rsidRPr="00E64EF0" w:rsidRDefault="004C7A6E" w:rsidP="004C7A6E">
            <w:pPr>
              <w:contextualSpacing/>
              <w:jc w:val="both"/>
              <w:rPr>
                <w:rFonts w:ascii="Arial" w:eastAsia="Times New Roman" w:hAnsi="Arial" w:cs="Arial"/>
                <w:bCs/>
                <w:iCs/>
              </w:rPr>
            </w:pPr>
            <w:r w:rsidRPr="00E64EF0">
              <w:rPr>
                <w:rFonts w:ascii="Arial" w:eastAsia="Times New Roman" w:hAnsi="Arial" w:cs="Arial"/>
                <w:bCs/>
                <w:iCs/>
                <w:noProof/>
              </w:rPr>
              <w:lastRenderedPageBreak/>
              <w:drawing>
                <wp:inline distT="0" distB="0" distL="0" distR="0" wp14:anchorId="296FEEBB" wp14:editId="28A8A549">
                  <wp:extent cx="2735885" cy="1597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9929" cy="1616969"/>
                          </a:xfrm>
                          <a:prstGeom prst="rect">
                            <a:avLst/>
                          </a:prstGeom>
                        </pic:spPr>
                      </pic:pic>
                    </a:graphicData>
                  </a:graphic>
                </wp:inline>
              </w:drawing>
            </w:r>
          </w:p>
        </w:tc>
        <w:tc>
          <w:tcPr>
            <w:tcW w:w="4503" w:type="dxa"/>
          </w:tcPr>
          <w:p w14:paraId="102AA57E" w14:textId="021D636A" w:rsidR="004C7A6E" w:rsidRPr="00E64EF0" w:rsidRDefault="004C7A6E" w:rsidP="004C7A6E">
            <w:pPr>
              <w:contextualSpacing/>
              <w:jc w:val="both"/>
              <w:rPr>
                <w:rFonts w:ascii="Arial" w:eastAsia="Times New Roman" w:hAnsi="Arial" w:cs="Arial"/>
                <w:bCs/>
                <w:iCs/>
              </w:rPr>
            </w:pPr>
            <w:r w:rsidRPr="00E64EF0">
              <w:rPr>
                <w:rFonts w:ascii="Arial" w:eastAsia="Times New Roman" w:hAnsi="Arial" w:cs="Arial"/>
                <w:bCs/>
                <w:iCs/>
                <w:noProof/>
              </w:rPr>
              <w:drawing>
                <wp:inline distT="0" distB="0" distL="0" distR="0" wp14:anchorId="0BDB5A9D" wp14:editId="218BDECD">
                  <wp:extent cx="2684678" cy="16056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0905" cy="1621294"/>
                          </a:xfrm>
                          <a:prstGeom prst="rect">
                            <a:avLst/>
                          </a:prstGeom>
                          <a:noFill/>
                          <a:ln>
                            <a:noFill/>
                          </a:ln>
                        </pic:spPr>
                      </pic:pic>
                    </a:graphicData>
                  </a:graphic>
                </wp:inline>
              </w:drawing>
            </w:r>
          </w:p>
        </w:tc>
      </w:tr>
      <w:tr w:rsidR="004C7A6E" w:rsidRPr="00E64EF0" w14:paraId="0154920B" w14:textId="77777777" w:rsidTr="00F314DA">
        <w:trPr>
          <w:jc w:val="center"/>
        </w:trPr>
        <w:tc>
          <w:tcPr>
            <w:tcW w:w="9060" w:type="dxa"/>
            <w:gridSpan w:val="2"/>
          </w:tcPr>
          <w:p w14:paraId="14831E40" w14:textId="77777777" w:rsidR="004C7A6E" w:rsidRPr="00E64EF0" w:rsidRDefault="004C7A6E" w:rsidP="004C7A6E">
            <w:pPr>
              <w:contextualSpacing/>
              <w:jc w:val="both"/>
              <w:rPr>
                <w:rFonts w:ascii="Arial" w:eastAsia="Times New Roman" w:hAnsi="Arial" w:cs="Arial"/>
                <w:bCs/>
                <w:iCs/>
                <w:noProof/>
              </w:rPr>
            </w:pPr>
          </w:p>
          <w:p w14:paraId="49A95CA9" w14:textId="25DFC486" w:rsidR="004C7A6E" w:rsidRPr="00E64EF0" w:rsidRDefault="004C7A6E" w:rsidP="004C7A6E">
            <w:pPr>
              <w:contextualSpacing/>
              <w:jc w:val="center"/>
              <w:rPr>
                <w:rFonts w:ascii="Arial" w:eastAsia="Times New Roman" w:hAnsi="Arial" w:cs="Arial"/>
                <w:bCs/>
                <w:iCs/>
              </w:rPr>
            </w:pPr>
            <w:r w:rsidRPr="00E64EF0">
              <w:rPr>
                <w:rFonts w:ascii="Arial" w:eastAsia="Times New Roman" w:hAnsi="Arial" w:cs="Arial"/>
                <w:bCs/>
                <w:iCs/>
                <w:noProof/>
              </w:rPr>
              <w:drawing>
                <wp:inline distT="0" distB="0" distL="0" distR="0" wp14:anchorId="03F559E2" wp14:editId="33A4F60A">
                  <wp:extent cx="3051959" cy="1523976"/>
                  <wp:effectExtent l="19050" t="1905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2">
                            <a:extLst>
                              <a:ext uri="{28A0092B-C50C-407E-A947-70E740481C1C}">
                                <a14:useLocalDpi xmlns:a14="http://schemas.microsoft.com/office/drawing/2010/main" val="0"/>
                              </a:ext>
                            </a:extLst>
                          </a:blip>
                          <a:srcRect l="4606"/>
                          <a:stretch/>
                        </pic:blipFill>
                        <pic:spPr bwMode="auto">
                          <a:xfrm>
                            <a:off x="0" y="0"/>
                            <a:ext cx="3066726" cy="1531350"/>
                          </a:xfrm>
                          <a:prstGeom prst="rect">
                            <a:avLst/>
                          </a:prstGeom>
                          <a:noFill/>
                          <a:ln w="6350">
                            <a:solidFill>
                              <a:schemeClr val="tx1"/>
                            </a:solidFill>
                          </a:ln>
                          <a:extLst>
                            <a:ext uri="{53640926-AAD7-44D8-BBD7-CCE9431645EC}">
                              <a14:shadowObscured xmlns:a14="http://schemas.microsoft.com/office/drawing/2010/main"/>
                            </a:ext>
                          </a:extLst>
                        </pic:spPr>
                      </pic:pic>
                    </a:graphicData>
                  </a:graphic>
                </wp:inline>
              </w:drawing>
            </w:r>
          </w:p>
        </w:tc>
      </w:tr>
    </w:tbl>
    <w:p w14:paraId="177D360C" w14:textId="3FB9B732" w:rsidR="004C7A6E" w:rsidRPr="00E64EF0" w:rsidRDefault="004C7A6E" w:rsidP="004C7A6E">
      <w:pPr>
        <w:spacing w:after="0" w:line="240" w:lineRule="auto"/>
        <w:contextualSpacing/>
        <w:jc w:val="center"/>
        <w:rPr>
          <w:rFonts w:ascii="Arial" w:eastAsia="Times New Roman" w:hAnsi="Arial" w:cs="Arial"/>
          <w:b/>
          <w:bCs/>
          <w:iCs/>
          <w:sz w:val="20"/>
          <w:szCs w:val="20"/>
        </w:rPr>
      </w:pPr>
      <w:bookmarkStart w:id="0" w:name="_GoBack"/>
      <w:r w:rsidRPr="00E64EF0">
        <w:rPr>
          <w:rFonts w:ascii="Arial" w:eastAsia="Times New Roman" w:hAnsi="Arial" w:cs="Arial"/>
          <w:b/>
          <w:bCs/>
          <w:iCs/>
          <w:sz w:val="20"/>
          <w:szCs w:val="20"/>
        </w:rPr>
        <w:t>Fig</w:t>
      </w:r>
      <w:bookmarkEnd w:id="0"/>
      <w:r w:rsidRPr="00E64EF0">
        <w:rPr>
          <w:rFonts w:ascii="Arial" w:eastAsia="Times New Roman" w:hAnsi="Arial" w:cs="Arial"/>
          <w:b/>
          <w:bCs/>
          <w:iCs/>
          <w:sz w:val="20"/>
          <w:szCs w:val="20"/>
        </w:rPr>
        <w:t xml:space="preserve">. 1. Graphical representation of the time series plot showing daily returns for </w:t>
      </w:r>
      <w:r w:rsidR="004F2512" w:rsidRPr="00E64EF0">
        <w:rPr>
          <w:rFonts w:ascii="Arial" w:eastAsia="Times New Roman" w:hAnsi="Arial" w:cs="Arial"/>
          <w:b/>
          <w:bCs/>
          <w:iCs/>
          <w:sz w:val="20"/>
          <w:szCs w:val="20"/>
        </w:rPr>
        <w:t xml:space="preserve">nifty </w:t>
      </w:r>
      <w:r w:rsidRPr="00E64EF0">
        <w:rPr>
          <w:rFonts w:ascii="Arial" w:eastAsia="Times New Roman" w:hAnsi="Arial" w:cs="Arial"/>
          <w:b/>
          <w:bCs/>
          <w:iCs/>
          <w:sz w:val="20"/>
          <w:szCs w:val="20"/>
        </w:rPr>
        <w:t xml:space="preserve">50, </w:t>
      </w:r>
      <w:r w:rsidR="004F2512" w:rsidRPr="00E64EF0">
        <w:rPr>
          <w:rFonts w:ascii="Arial" w:eastAsia="Times New Roman" w:hAnsi="Arial" w:cs="Arial"/>
          <w:b/>
          <w:bCs/>
          <w:iCs/>
          <w:sz w:val="20"/>
          <w:szCs w:val="20"/>
        </w:rPr>
        <w:t xml:space="preserve">nifty </w:t>
      </w:r>
      <w:proofErr w:type="spellStart"/>
      <w:r w:rsidR="004F2512" w:rsidRPr="00E64EF0">
        <w:rPr>
          <w:rFonts w:ascii="Arial" w:eastAsia="Times New Roman" w:hAnsi="Arial" w:cs="Arial"/>
          <w:b/>
          <w:bCs/>
          <w:iCs/>
          <w:sz w:val="20"/>
          <w:szCs w:val="20"/>
        </w:rPr>
        <w:t>mid cap</w:t>
      </w:r>
      <w:proofErr w:type="spellEnd"/>
      <w:r w:rsidR="004F2512" w:rsidRPr="00E64EF0">
        <w:rPr>
          <w:rFonts w:ascii="Arial" w:eastAsia="Times New Roman" w:hAnsi="Arial" w:cs="Arial"/>
          <w:b/>
          <w:bCs/>
          <w:iCs/>
          <w:sz w:val="20"/>
          <w:szCs w:val="20"/>
        </w:rPr>
        <w:t xml:space="preserve"> </w:t>
      </w:r>
      <w:r w:rsidRPr="00E64EF0">
        <w:rPr>
          <w:rFonts w:ascii="Arial" w:eastAsia="Times New Roman" w:hAnsi="Arial" w:cs="Arial"/>
          <w:b/>
          <w:bCs/>
          <w:iCs/>
          <w:sz w:val="20"/>
          <w:szCs w:val="20"/>
        </w:rPr>
        <w:t xml:space="preserve">50 &amp; </w:t>
      </w:r>
      <w:r w:rsidR="004F2512" w:rsidRPr="00E64EF0">
        <w:rPr>
          <w:rFonts w:ascii="Arial" w:eastAsia="Times New Roman" w:hAnsi="Arial" w:cs="Arial"/>
          <w:b/>
          <w:bCs/>
          <w:iCs/>
          <w:sz w:val="20"/>
          <w:szCs w:val="20"/>
        </w:rPr>
        <w:t xml:space="preserve">nifty small cap </w:t>
      </w:r>
      <w:r w:rsidRPr="00E64EF0">
        <w:rPr>
          <w:rFonts w:ascii="Arial" w:eastAsia="Times New Roman" w:hAnsi="Arial" w:cs="Arial"/>
          <w:b/>
          <w:bCs/>
          <w:iCs/>
          <w:sz w:val="20"/>
          <w:szCs w:val="20"/>
        </w:rPr>
        <w:t>50</w:t>
      </w:r>
    </w:p>
    <w:p w14:paraId="5B1D355D" w14:textId="77777777" w:rsidR="004C7A6E" w:rsidRPr="00E64EF0" w:rsidRDefault="004C7A6E" w:rsidP="004C7A6E">
      <w:pPr>
        <w:spacing w:after="0" w:line="240" w:lineRule="auto"/>
        <w:contextualSpacing/>
        <w:jc w:val="both"/>
        <w:rPr>
          <w:rFonts w:ascii="Arial" w:eastAsia="Times New Roman" w:hAnsi="Arial" w:cs="Arial"/>
          <w:bCs/>
          <w:iCs/>
          <w:sz w:val="20"/>
          <w:szCs w:val="20"/>
        </w:rPr>
      </w:pPr>
    </w:p>
    <w:p w14:paraId="70583282" w14:textId="77777777" w:rsidR="00CB6EE2" w:rsidRPr="00E64EF0" w:rsidRDefault="00CB6EE2" w:rsidP="004C7A6E">
      <w:pPr>
        <w:spacing w:after="0" w:line="240" w:lineRule="auto"/>
        <w:contextualSpacing/>
        <w:jc w:val="both"/>
        <w:rPr>
          <w:rFonts w:ascii="Arial" w:eastAsia="Times New Roman" w:hAnsi="Arial" w:cs="Arial"/>
          <w:bCs/>
          <w:iCs/>
          <w:sz w:val="20"/>
          <w:szCs w:val="20"/>
        </w:rPr>
      </w:pPr>
    </w:p>
    <w:p w14:paraId="41020315" w14:textId="7E693BC5" w:rsidR="00CB6EE2" w:rsidRPr="00E64EF0" w:rsidRDefault="00CB6EE2" w:rsidP="00CB6EE2">
      <w:pPr>
        <w:spacing w:after="0" w:line="240" w:lineRule="auto"/>
        <w:contextualSpacing/>
        <w:jc w:val="center"/>
        <w:rPr>
          <w:rFonts w:ascii="Arial" w:eastAsia="Times New Roman" w:hAnsi="Arial" w:cs="Arial"/>
          <w:b/>
          <w:bCs/>
          <w:iCs/>
          <w:sz w:val="20"/>
          <w:szCs w:val="20"/>
        </w:rPr>
      </w:pPr>
      <w:r w:rsidRPr="00E64EF0">
        <w:rPr>
          <w:rFonts w:ascii="Arial" w:eastAsia="Times New Roman" w:hAnsi="Arial" w:cs="Arial"/>
          <w:b/>
          <w:bCs/>
          <w:iCs/>
          <w:sz w:val="20"/>
          <w:szCs w:val="20"/>
        </w:rPr>
        <w:t>Table 1. Descriptive statistics</w:t>
      </w:r>
      <w:r w:rsidR="00421E7D">
        <w:rPr>
          <w:rFonts w:ascii="Arial" w:eastAsia="Times New Roman" w:hAnsi="Arial" w:cs="Arial"/>
          <w:b/>
          <w:bCs/>
          <w:iCs/>
          <w:sz w:val="20"/>
          <w:szCs w:val="20"/>
        </w:rPr>
        <w:t xml:space="preserve"> result</w:t>
      </w:r>
    </w:p>
    <w:p w14:paraId="053D0DB5" w14:textId="77777777" w:rsidR="00CB6EE2" w:rsidRPr="00E64EF0" w:rsidRDefault="00CB6EE2" w:rsidP="00CB6EE2">
      <w:pPr>
        <w:spacing w:after="0" w:line="240" w:lineRule="auto"/>
        <w:contextualSpacing/>
        <w:jc w:val="center"/>
        <w:rPr>
          <w:rFonts w:ascii="Arial" w:eastAsia="Times New Roman" w:hAnsi="Arial" w:cs="Arial"/>
          <w:b/>
          <w:bCs/>
          <w:iCs/>
          <w:sz w:val="16"/>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1855"/>
        <w:gridCol w:w="2266"/>
        <w:gridCol w:w="2473"/>
      </w:tblGrid>
      <w:tr w:rsidR="00CB6EE2" w:rsidRPr="00E64EF0" w14:paraId="3A3D4E0C" w14:textId="77777777" w:rsidTr="00CB6EE2">
        <w:trPr>
          <w:trHeight w:val="20"/>
          <w:jc w:val="center"/>
        </w:trPr>
        <w:tc>
          <w:tcPr>
            <w:tcW w:w="2350" w:type="dxa"/>
            <w:tcBorders>
              <w:top w:val="single" w:sz="4" w:space="0" w:color="auto"/>
              <w:bottom w:val="single" w:sz="4" w:space="0" w:color="auto"/>
            </w:tcBorders>
          </w:tcPr>
          <w:p w14:paraId="12437A66" w14:textId="77777777" w:rsidR="00CB6EE2" w:rsidRPr="00E64EF0" w:rsidRDefault="00CB6EE2" w:rsidP="007C3A17">
            <w:pPr>
              <w:contextualSpacing/>
              <w:rPr>
                <w:rFonts w:ascii="Arial" w:eastAsia="Times New Roman" w:hAnsi="Arial" w:cs="Arial"/>
                <w:b/>
                <w:bCs/>
                <w:iCs/>
              </w:rPr>
            </w:pPr>
            <w:r w:rsidRPr="00E64EF0">
              <w:rPr>
                <w:rFonts w:ascii="Arial" w:eastAsia="Times New Roman" w:hAnsi="Arial" w:cs="Arial"/>
                <w:b/>
                <w:bCs/>
                <w:iCs/>
              </w:rPr>
              <w:t>Particulars</w:t>
            </w:r>
          </w:p>
        </w:tc>
        <w:tc>
          <w:tcPr>
            <w:tcW w:w="1767" w:type="dxa"/>
            <w:tcBorders>
              <w:top w:val="single" w:sz="4" w:space="0" w:color="auto"/>
              <w:bottom w:val="single" w:sz="4" w:space="0" w:color="auto"/>
            </w:tcBorders>
          </w:tcPr>
          <w:p w14:paraId="41BB63E3" w14:textId="77777777" w:rsidR="00CB6EE2" w:rsidRPr="00E64EF0" w:rsidRDefault="00CB6EE2" w:rsidP="007C3A17">
            <w:pPr>
              <w:contextualSpacing/>
              <w:rPr>
                <w:rFonts w:ascii="Arial" w:eastAsia="Times New Roman" w:hAnsi="Arial" w:cs="Arial"/>
                <w:b/>
                <w:bCs/>
                <w:iCs/>
              </w:rPr>
            </w:pPr>
            <w:r w:rsidRPr="00E64EF0">
              <w:rPr>
                <w:rFonts w:ascii="Arial" w:eastAsia="Times New Roman" w:hAnsi="Arial" w:cs="Arial"/>
                <w:b/>
                <w:bCs/>
                <w:iCs/>
              </w:rPr>
              <w:t>Nifty 50</w:t>
            </w:r>
          </w:p>
        </w:tc>
        <w:tc>
          <w:tcPr>
            <w:tcW w:w="2159" w:type="dxa"/>
            <w:tcBorders>
              <w:top w:val="single" w:sz="4" w:space="0" w:color="auto"/>
              <w:bottom w:val="single" w:sz="4" w:space="0" w:color="auto"/>
            </w:tcBorders>
          </w:tcPr>
          <w:p w14:paraId="4CF3C438" w14:textId="77777777" w:rsidR="00CB6EE2" w:rsidRPr="00E64EF0" w:rsidRDefault="00CB6EE2" w:rsidP="007C3A17">
            <w:pPr>
              <w:contextualSpacing/>
              <w:rPr>
                <w:rFonts w:ascii="Arial" w:eastAsia="Times New Roman" w:hAnsi="Arial" w:cs="Arial"/>
                <w:b/>
                <w:bCs/>
                <w:iCs/>
              </w:rPr>
            </w:pPr>
            <w:r w:rsidRPr="00E64EF0">
              <w:rPr>
                <w:rFonts w:ascii="Arial" w:eastAsia="Times New Roman" w:hAnsi="Arial" w:cs="Arial"/>
                <w:b/>
                <w:bCs/>
                <w:iCs/>
              </w:rPr>
              <w:t>Nifty Mid Cap 50</w:t>
            </w:r>
          </w:p>
        </w:tc>
        <w:tc>
          <w:tcPr>
            <w:tcW w:w="2356" w:type="dxa"/>
            <w:tcBorders>
              <w:top w:val="single" w:sz="4" w:space="0" w:color="auto"/>
              <w:bottom w:val="single" w:sz="4" w:space="0" w:color="auto"/>
            </w:tcBorders>
          </w:tcPr>
          <w:p w14:paraId="3EBB807F" w14:textId="77777777" w:rsidR="00CB6EE2" w:rsidRPr="00E64EF0" w:rsidRDefault="00CB6EE2" w:rsidP="007C3A17">
            <w:pPr>
              <w:contextualSpacing/>
              <w:rPr>
                <w:rFonts w:ascii="Arial" w:eastAsia="Times New Roman" w:hAnsi="Arial" w:cs="Arial"/>
                <w:b/>
                <w:bCs/>
                <w:iCs/>
              </w:rPr>
            </w:pPr>
            <w:r w:rsidRPr="00E64EF0">
              <w:rPr>
                <w:rFonts w:ascii="Arial" w:eastAsia="Times New Roman" w:hAnsi="Arial" w:cs="Arial"/>
                <w:b/>
                <w:bCs/>
                <w:iCs/>
              </w:rPr>
              <w:t>Nifty Small Cap 50</w:t>
            </w:r>
          </w:p>
        </w:tc>
      </w:tr>
      <w:tr w:rsidR="00CB6EE2" w:rsidRPr="00E64EF0" w14:paraId="33CDBC6A" w14:textId="77777777" w:rsidTr="00CB6EE2">
        <w:trPr>
          <w:trHeight w:val="20"/>
          <w:jc w:val="center"/>
        </w:trPr>
        <w:tc>
          <w:tcPr>
            <w:tcW w:w="2350" w:type="dxa"/>
            <w:tcBorders>
              <w:top w:val="single" w:sz="4" w:space="0" w:color="auto"/>
            </w:tcBorders>
          </w:tcPr>
          <w:p w14:paraId="5CE7E7E4"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Mean</w:t>
            </w:r>
          </w:p>
        </w:tc>
        <w:tc>
          <w:tcPr>
            <w:tcW w:w="1767" w:type="dxa"/>
            <w:tcBorders>
              <w:top w:val="single" w:sz="4" w:space="0" w:color="auto"/>
            </w:tcBorders>
          </w:tcPr>
          <w:p w14:paraId="47B8053F"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0.000540</w:t>
            </w:r>
          </w:p>
        </w:tc>
        <w:tc>
          <w:tcPr>
            <w:tcW w:w="2159" w:type="dxa"/>
            <w:tcBorders>
              <w:top w:val="single" w:sz="4" w:space="0" w:color="auto"/>
            </w:tcBorders>
          </w:tcPr>
          <w:p w14:paraId="79AE1F8B"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0.000565</w:t>
            </w:r>
          </w:p>
        </w:tc>
        <w:tc>
          <w:tcPr>
            <w:tcW w:w="2356" w:type="dxa"/>
            <w:tcBorders>
              <w:top w:val="single" w:sz="4" w:space="0" w:color="auto"/>
            </w:tcBorders>
          </w:tcPr>
          <w:p w14:paraId="27FD19A6"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0.000451</w:t>
            </w:r>
          </w:p>
        </w:tc>
      </w:tr>
      <w:tr w:rsidR="00CB6EE2" w:rsidRPr="00E64EF0" w14:paraId="6192F98A" w14:textId="77777777" w:rsidTr="00CB6EE2">
        <w:trPr>
          <w:trHeight w:val="20"/>
          <w:jc w:val="center"/>
        </w:trPr>
        <w:tc>
          <w:tcPr>
            <w:tcW w:w="2350" w:type="dxa"/>
          </w:tcPr>
          <w:p w14:paraId="76C1F071"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Std. Deviation</w:t>
            </w:r>
          </w:p>
        </w:tc>
        <w:tc>
          <w:tcPr>
            <w:tcW w:w="1767" w:type="dxa"/>
          </w:tcPr>
          <w:p w14:paraId="09321943"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0.012074</w:t>
            </w:r>
          </w:p>
        </w:tc>
        <w:tc>
          <w:tcPr>
            <w:tcW w:w="2159" w:type="dxa"/>
          </w:tcPr>
          <w:p w14:paraId="61FFDCB4"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0.015087</w:t>
            </w:r>
          </w:p>
        </w:tc>
        <w:tc>
          <w:tcPr>
            <w:tcW w:w="2356" w:type="dxa"/>
          </w:tcPr>
          <w:p w14:paraId="2FC2DC87"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0.015162</w:t>
            </w:r>
          </w:p>
        </w:tc>
      </w:tr>
      <w:tr w:rsidR="00CB6EE2" w:rsidRPr="00E64EF0" w14:paraId="6B902166" w14:textId="77777777" w:rsidTr="00CB6EE2">
        <w:trPr>
          <w:trHeight w:val="20"/>
          <w:jc w:val="center"/>
        </w:trPr>
        <w:tc>
          <w:tcPr>
            <w:tcW w:w="2350" w:type="dxa"/>
          </w:tcPr>
          <w:p w14:paraId="5E7BFC72"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Skewness</w:t>
            </w:r>
          </w:p>
        </w:tc>
        <w:tc>
          <w:tcPr>
            <w:tcW w:w="1767" w:type="dxa"/>
          </w:tcPr>
          <w:p w14:paraId="55908F08"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0.131590</w:t>
            </w:r>
          </w:p>
        </w:tc>
        <w:tc>
          <w:tcPr>
            <w:tcW w:w="2159" w:type="dxa"/>
          </w:tcPr>
          <w:p w14:paraId="25CC1C25"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-0.689645</w:t>
            </w:r>
          </w:p>
        </w:tc>
        <w:tc>
          <w:tcPr>
            <w:tcW w:w="2356" w:type="dxa"/>
          </w:tcPr>
          <w:p w14:paraId="2260830C"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-0.853755</w:t>
            </w:r>
          </w:p>
        </w:tc>
      </w:tr>
      <w:tr w:rsidR="00CB6EE2" w:rsidRPr="00E64EF0" w14:paraId="01996B23" w14:textId="77777777" w:rsidTr="00CB6EE2">
        <w:trPr>
          <w:trHeight w:val="20"/>
          <w:jc w:val="center"/>
        </w:trPr>
        <w:tc>
          <w:tcPr>
            <w:tcW w:w="2350" w:type="dxa"/>
          </w:tcPr>
          <w:p w14:paraId="135E2F2F"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Kurtosis</w:t>
            </w:r>
          </w:p>
        </w:tc>
        <w:tc>
          <w:tcPr>
            <w:tcW w:w="1767" w:type="dxa"/>
          </w:tcPr>
          <w:p w14:paraId="1F44CB8F"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24.17717</w:t>
            </w:r>
          </w:p>
        </w:tc>
        <w:tc>
          <w:tcPr>
            <w:tcW w:w="2159" w:type="dxa"/>
          </w:tcPr>
          <w:p w14:paraId="2D41EA3E"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12.15027</w:t>
            </w:r>
          </w:p>
        </w:tc>
        <w:tc>
          <w:tcPr>
            <w:tcW w:w="2356" w:type="dxa"/>
          </w:tcPr>
          <w:p w14:paraId="54C41654"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10.50127</w:t>
            </w:r>
          </w:p>
        </w:tc>
      </w:tr>
      <w:tr w:rsidR="00CB6EE2" w:rsidRPr="00E64EF0" w14:paraId="4F7D494E" w14:textId="77777777" w:rsidTr="00CB6EE2">
        <w:trPr>
          <w:trHeight w:val="20"/>
          <w:jc w:val="center"/>
        </w:trPr>
        <w:tc>
          <w:tcPr>
            <w:tcW w:w="2350" w:type="dxa"/>
          </w:tcPr>
          <w:p w14:paraId="75AFD04A" w14:textId="77777777" w:rsidR="00CB6EE2" w:rsidRPr="00E64EF0" w:rsidRDefault="00CB6EE2" w:rsidP="007C3A17">
            <w:pPr>
              <w:contextualSpacing/>
              <w:rPr>
                <w:rFonts w:ascii="Arial" w:eastAsia="Times New Roman" w:hAnsi="Arial" w:cs="Arial"/>
                <w:bCs/>
                <w:iCs/>
              </w:rPr>
            </w:pPr>
            <w:proofErr w:type="spellStart"/>
            <w:r w:rsidRPr="00E64EF0">
              <w:rPr>
                <w:rFonts w:ascii="Arial" w:eastAsia="Times New Roman" w:hAnsi="Arial" w:cs="Arial"/>
                <w:bCs/>
                <w:iCs/>
              </w:rPr>
              <w:t>Jb</w:t>
            </w:r>
            <w:proofErr w:type="spellEnd"/>
            <w:r w:rsidRPr="00E64EF0">
              <w:rPr>
                <w:rFonts w:ascii="Arial" w:eastAsia="Times New Roman" w:hAnsi="Arial" w:cs="Arial"/>
                <w:bCs/>
                <w:iCs/>
              </w:rPr>
              <w:t xml:space="preserve"> Statistics</w:t>
            </w:r>
          </w:p>
        </w:tc>
        <w:tc>
          <w:tcPr>
            <w:tcW w:w="1767" w:type="dxa"/>
          </w:tcPr>
          <w:p w14:paraId="74D69806"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54666.01*</w:t>
            </w:r>
          </w:p>
        </w:tc>
        <w:tc>
          <w:tcPr>
            <w:tcW w:w="2159" w:type="dxa"/>
          </w:tcPr>
          <w:p w14:paraId="67930E32"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10436.14*</w:t>
            </w:r>
          </w:p>
        </w:tc>
        <w:tc>
          <w:tcPr>
            <w:tcW w:w="2356" w:type="dxa"/>
          </w:tcPr>
          <w:p w14:paraId="0F948349"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7213.1344*</w:t>
            </w:r>
          </w:p>
        </w:tc>
      </w:tr>
    </w:tbl>
    <w:p w14:paraId="1472219C" w14:textId="77777777" w:rsidR="00CB6EE2" w:rsidRPr="00E64EF0" w:rsidRDefault="00CB6EE2" w:rsidP="00CB6EE2">
      <w:pPr>
        <w:spacing w:after="0" w:line="240" w:lineRule="auto"/>
        <w:contextualSpacing/>
        <w:jc w:val="center"/>
        <w:rPr>
          <w:rFonts w:ascii="Arial" w:eastAsia="Times New Roman" w:hAnsi="Arial" w:cs="Arial"/>
          <w:bCs/>
          <w:i/>
          <w:iCs/>
          <w:sz w:val="18"/>
          <w:szCs w:val="20"/>
        </w:rPr>
      </w:pPr>
      <w:r w:rsidRPr="00E64EF0">
        <w:rPr>
          <w:rFonts w:ascii="Arial" w:eastAsia="Times New Roman" w:hAnsi="Arial" w:cs="Arial"/>
          <w:bCs/>
          <w:i/>
          <w:iCs/>
          <w:sz w:val="18"/>
          <w:szCs w:val="20"/>
        </w:rPr>
        <w:t>*Significance at 1% level</w:t>
      </w:r>
    </w:p>
    <w:p w14:paraId="63CBF2F4" w14:textId="79802334" w:rsidR="00CB6EE2" w:rsidRPr="00E64EF0" w:rsidRDefault="00CB6EE2" w:rsidP="004C7A6E">
      <w:pPr>
        <w:spacing w:after="0" w:line="240" w:lineRule="auto"/>
        <w:contextualSpacing/>
        <w:jc w:val="both"/>
        <w:rPr>
          <w:rFonts w:ascii="Arial" w:eastAsia="Times New Roman" w:hAnsi="Arial" w:cs="Arial"/>
          <w:bCs/>
          <w:iCs/>
          <w:sz w:val="16"/>
          <w:szCs w:val="20"/>
        </w:rPr>
      </w:pPr>
    </w:p>
    <w:p w14:paraId="03D808B6" w14:textId="77777777" w:rsidR="00CB6EE2" w:rsidRPr="00E64EF0" w:rsidRDefault="00CB6EE2" w:rsidP="00CB6EE2">
      <w:pPr>
        <w:spacing w:after="0" w:line="240" w:lineRule="auto"/>
        <w:contextualSpacing/>
        <w:jc w:val="center"/>
        <w:rPr>
          <w:rFonts w:ascii="Arial" w:eastAsia="Times New Roman" w:hAnsi="Arial" w:cs="Arial"/>
          <w:b/>
          <w:bCs/>
          <w:iCs/>
          <w:sz w:val="20"/>
          <w:szCs w:val="20"/>
        </w:rPr>
      </w:pPr>
      <w:r w:rsidRPr="00E64EF0">
        <w:rPr>
          <w:rFonts w:ascii="Arial" w:eastAsia="Times New Roman" w:hAnsi="Arial" w:cs="Arial"/>
          <w:b/>
          <w:bCs/>
          <w:iCs/>
          <w:sz w:val="20"/>
          <w:szCs w:val="20"/>
        </w:rPr>
        <w:t>Table 2. ADF test &amp; ARCH-LM test</w:t>
      </w:r>
    </w:p>
    <w:p w14:paraId="11D2E80A" w14:textId="77777777" w:rsidR="00CB6EE2" w:rsidRPr="00E64EF0" w:rsidRDefault="00CB6EE2" w:rsidP="00CB6EE2">
      <w:pPr>
        <w:spacing w:after="0" w:line="240" w:lineRule="auto"/>
        <w:contextualSpacing/>
        <w:jc w:val="both"/>
        <w:rPr>
          <w:rFonts w:ascii="Arial" w:eastAsia="Times New Roman" w:hAnsi="Arial" w:cs="Arial"/>
          <w:b/>
          <w:bCs/>
          <w:iCs/>
          <w:sz w:val="16"/>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16"/>
        <w:gridCol w:w="2970"/>
        <w:gridCol w:w="3374"/>
      </w:tblGrid>
      <w:tr w:rsidR="00CB6EE2" w:rsidRPr="00E64EF0" w14:paraId="7F4AFD86" w14:textId="77777777" w:rsidTr="00CB6EE2">
        <w:trPr>
          <w:trHeight w:val="20"/>
          <w:jc w:val="center"/>
        </w:trPr>
        <w:tc>
          <w:tcPr>
            <w:tcW w:w="2716" w:type="dxa"/>
            <w:tcBorders>
              <w:top w:val="single" w:sz="4" w:space="0" w:color="auto"/>
              <w:bottom w:val="single" w:sz="4" w:space="0" w:color="auto"/>
            </w:tcBorders>
          </w:tcPr>
          <w:p w14:paraId="631C8AC4" w14:textId="77777777" w:rsidR="00CB6EE2" w:rsidRPr="00E64EF0" w:rsidRDefault="00CB6EE2" w:rsidP="007C3A17">
            <w:pPr>
              <w:contextualSpacing/>
              <w:rPr>
                <w:rFonts w:ascii="Arial" w:eastAsia="Times New Roman" w:hAnsi="Arial" w:cs="Arial"/>
                <w:b/>
                <w:bCs/>
                <w:iCs/>
              </w:rPr>
            </w:pPr>
            <w:r w:rsidRPr="00E64EF0">
              <w:rPr>
                <w:rFonts w:ascii="Arial" w:eastAsia="Times New Roman" w:hAnsi="Arial" w:cs="Arial"/>
                <w:b/>
                <w:bCs/>
                <w:iCs/>
              </w:rPr>
              <w:t>Particulars</w:t>
            </w:r>
          </w:p>
        </w:tc>
        <w:tc>
          <w:tcPr>
            <w:tcW w:w="2970" w:type="dxa"/>
            <w:tcBorders>
              <w:top w:val="single" w:sz="4" w:space="0" w:color="auto"/>
              <w:bottom w:val="single" w:sz="4" w:space="0" w:color="auto"/>
            </w:tcBorders>
          </w:tcPr>
          <w:p w14:paraId="590477D0" w14:textId="77777777" w:rsidR="00CB6EE2" w:rsidRPr="00E64EF0" w:rsidRDefault="00CB6EE2" w:rsidP="007C3A17">
            <w:pPr>
              <w:contextualSpacing/>
              <w:rPr>
                <w:rFonts w:ascii="Arial" w:eastAsia="Times New Roman" w:hAnsi="Arial" w:cs="Arial"/>
                <w:b/>
                <w:bCs/>
                <w:iCs/>
              </w:rPr>
            </w:pPr>
            <w:r w:rsidRPr="00E64EF0">
              <w:rPr>
                <w:rFonts w:ascii="Arial" w:eastAsia="Times New Roman" w:hAnsi="Arial" w:cs="Arial"/>
                <w:b/>
                <w:bCs/>
                <w:iCs/>
              </w:rPr>
              <w:t>ADF in Level T-Statistics</w:t>
            </w:r>
          </w:p>
        </w:tc>
        <w:tc>
          <w:tcPr>
            <w:tcW w:w="3374" w:type="dxa"/>
            <w:tcBorders>
              <w:top w:val="single" w:sz="4" w:space="0" w:color="auto"/>
              <w:bottom w:val="single" w:sz="4" w:space="0" w:color="auto"/>
            </w:tcBorders>
          </w:tcPr>
          <w:p w14:paraId="1B755502" w14:textId="77777777" w:rsidR="00CB6EE2" w:rsidRPr="00E64EF0" w:rsidRDefault="00CB6EE2" w:rsidP="007C3A17">
            <w:pPr>
              <w:contextualSpacing/>
              <w:rPr>
                <w:rFonts w:ascii="Arial" w:eastAsia="Times New Roman" w:hAnsi="Arial" w:cs="Arial"/>
                <w:b/>
                <w:bCs/>
                <w:iCs/>
              </w:rPr>
            </w:pPr>
            <w:r w:rsidRPr="00E64EF0">
              <w:rPr>
                <w:rFonts w:ascii="Arial" w:eastAsia="Times New Roman" w:hAnsi="Arial" w:cs="Arial"/>
                <w:b/>
                <w:bCs/>
                <w:iCs/>
              </w:rPr>
              <w:t xml:space="preserve">ARCH Effects </w:t>
            </w:r>
            <w:proofErr w:type="spellStart"/>
            <w:r w:rsidRPr="00E64EF0">
              <w:rPr>
                <w:rFonts w:ascii="Arial" w:eastAsia="Times New Roman" w:hAnsi="Arial" w:cs="Arial"/>
                <w:b/>
                <w:bCs/>
                <w:iCs/>
              </w:rPr>
              <w:t>Obs</w:t>
            </w:r>
            <w:proofErr w:type="spellEnd"/>
            <w:r w:rsidRPr="00E64EF0">
              <w:rPr>
                <w:rFonts w:ascii="Arial" w:eastAsia="Times New Roman" w:hAnsi="Arial" w:cs="Arial"/>
                <w:b/>
                <w:bCs/>
                <w:iCs/>
              </w:rPr>
              <w:t xml:space="preserve"> *R-squared</w:t>
            </w:r>
          </w:p>
        </w:tc>
      </w:tr>
      <w:tr w:rsidR="00CB6EE2" w:rsidRPr="00E64EF0" w14:paraId="1712F794" w14:textId="77777777" w:rsidTr="00CB6EE2">
        <w:trPr>
          <w:trHeight w:val="20"/>
          <w:jc w:val="center"/>
        </w:trPr>
        <w:tc>
          <w:tcPr>
            <w:tcW w:w="2716" w:type="dxa"/>
            <w:tcBorders>
              <w:top w:val="single" w:sz="4" w:space="0" w:color="auto"/>
            </w:tcBorders>
          </w:tcPr>
          <w:p w14:paraId="7AECE8AD"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Nifty 50</w:t>
            </w:r>
          </w:p>
        </w:tc>
        <w:tc>
          <w:tcPr>
            <w:tcW w:w="2970" w:type="dxa"/>
            <w:tcBorders>
              <w:top w:val="single" w:sz="4" w:space="0" w:color="auto"/>
            </w:tcBorders>
          </w:tcPr>
          <w:p w14:paraId="6DA71D5F"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-19.53473*</w:t>
            </w:r>
          </w:p>
        </w:tc>
        <w:tc>
          <w:tcPr>
            <w:tcW w:w="3374" w:type="dxa"/>
            <w:tcBorders>
              <w:top w:val="single" w:sz="4" w:space="0" w:color="auto"/>
            </w:tcBorders>
          </w:tcPr>
          <w:p w14:paraId="3F1EAE56"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26.02815*</w:t>
            </w:r>
          </w:p>
        </w:tc>
      </w:tr>
      <w:tr w:rsidR="00CB6EE2" w:rsidRPr="00E64EF0" w14:paraId="096CAFFC" w14:textId="77777777" w:rsidTr="00CB6EE2">
        <w:trPr>
          <w:trHeight w:val="20"/>
          <w:jc w:val="center"/>
        </w:trPr>
        <w:tc>
          <w:tcPr>
            <w:tcW w:w="2716" w:type="dxa"/>
          </w:tcPr>
          <w:p w14:paraId="4DB0B68A"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Nifty Mid Cap 50</w:t>
            </w:r>
          </w:p>
        </w:tc>
        <w:tc>
          <w:tcPr>
            <w:tcW w:w="2970" w:type="dxa"/>
          </w:tcPr>
          <w:p w14:paraId="0F57BACE"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-50.60728*</w:t>
            </w:r>
          </w:p>
        </w:tc>
        <w:tc>
          <w:tcPr>
            <w:tcW w:w="3374" w:type="dxa"/>
          </w:tcPr>
          <w:p w14:paraId="33A62F2D"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42.64378*</w:t>
            </w:r>
          </w:p>
        </w:tc>
      </w:tr>
      <w:tr w:rsidR="00CB6EE2" w:rsidRPr="00E64EF0" w14:paraId="31223881" w14:textId="77777777" w:rsidTr="00CB6EE2">
        <w:trPr>
          <w:trHeight w:val="20"/>
          <w:jc w:val="center"/>
        </w:trPr>
        <w:tc>
          <w:tcPr>
            <w:tcW w:w="2716" w:type="dxa"/>
          </w:tcPr>
          <w:p w14:paraId="29A819D6"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Nifty Small Cap 50</w:t>
            </w:r>
          </w:p>
        </w:tc>
        <w:tc>
          <w:tcPr>
            <w:tcW w:w="2970" w:type="dxa"/>
          </w:tcPr>
          <w:p w14:paraId="30F3DE91"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-45.94607*</w:t>
            </w:r>
          </w:p>
        </w:tc>
        <w:tc>
          <w:tcPr>
            <w:tcW w:w="3374" w:type="dxa"/>
          </w:tcPr>
          <w:p w14:paraId="16AE2084"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29.22677*</w:t>
            </w:r>
          </w:p>
        </w:tc>
      </w:tr>
    </w:tbl>
    <w:p w14:paraId="08DE6A75" w14:textId="77777777" w:rsidR="00CB6EE2" w:rsidRPr="00E64EF0" w:rsidRDefault="00CB6EE2" w:rsidP="00CB6EE2">
      <w:pPr>
        <w:spacing w:after="0" w:line="240" w:lineRule="auto"/>
        <w:contextualSpacing/>
        <w:jc w:val="both"/>
        <w:rPr>
          <w:rFonts w:ascii="Arial" w:eastAsia="Times New Roman" w:hAnsi="Arial" w:cs="Arial"/>
          <w:bCs/>
          <w:iCs/>
          <w:sz w:val="16"/>
          <w:szCs w:val="20"/>
        </w:rPr>
      </w:pPr>
    </w:p>
    <w:p w14:paraId="0036C7D2" w14:textId="77777777" w:rsidR="00CB6EE2" w:rsidRPr="00E64EF0" w:rsidRDefault="00CB6EE2" w:rsidP="00CB6EE2">
      <w:pPr>
        <w:spacing w:after="0" w:line="240" w:lineRule="auto"/>
        <w:contextualSpacing/>
        <w:jc w:val="center"/>
        <w:rPr>
          <w:rFonts w:ascii="Arial" w:eastAsia="Times New Roman" w:hAnsi="Arial" w:cs="Arial"/>
          <w:b/>
          <w:bCs/>
          <w:iCs/>
          <w:sz w:val="20"/>
          <w:szCs w:val="20"/>
        </w:rPr>
      </w:pPr>
      <w:r w:rsidRPr="00E64EF0">
        <w:rPr>
          <w:rFonts w:ascii="Arial" w:eastAsia="Times New Roman" w:hAnsi="Arial" w:cs="Arial"/>
          <w:b/>
          <w:bCs/>
          <w:iCs/>
          <w:sz w:val="20"/>
          <w:szCs w:val="20"/>
        </w:rPr>
        <w:t>Table 3. GARCH (1, 1) model estimation</w:t>
      </w:r>
    </w:p>
    <w:p w14:paraId="509C6E86" w14:textId="77777777" w:rsidR="00CB6EE2" w:rsidRPr="00E64EF0" w:rsidRDefault="00CB6EE2" w:rsidP="00CB6EE2">
      <w:pPr>
        <w:spacing w:after="0" w:line="240" w:lineRule="auto"/>
        <w:contextualSpacing/>
        <w:jc w:val="both"/>
        <w:rPr>
          <w:rFonts w:ascii="Arial" w:eastAsia="Times New Roman" w:hAnsi="Arial" w:cs="Arial"/>
          <w:b/>
          <w:bCs/>
          <w:iCs/>
          <w:sz w:val="16"/>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2160"/>
        <w:gridCol w:w="1261"/>
        <w:gridCol w:w="1890"/>
        <w:gridCol w:w="2203"/>
      </w:tblGrid>
      <w:tr w:rsidR="00CB6EE2" w:rsidRPr="00E64EF0" w14:paraId="2524D73F" w14:textId="77777777" w:rsidTr="00CB6EE2">
        <w:trPr>
          <w:trHeight w:val="20"/>
          <w:jc w:val="center"/>
        </w:trPr>
        <w:tc>
          <w:tcPr>
            <w:tcW w:w="853" w:type="pct"/>
            <w:tcBorders>
              <w:top w:val="single" w:sz="4" w:space="0" w:color="auto"/>
              <w:bottom w:val="single" w:sz="4" w:space="0" w:color="auto"/>
            </w:tcBorders>
            <w:hideMark/>
          </w:tcPr>
          <w:p w14:paraId="1C48DD1B"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
                <w:bCs/>
                <w:iCs/>
              </w:rPr>
              <w:t> </w:t>
            </w:r>
          </w:p>
        </w:tc>
        <w:tc>
          <w:tcPr>
            <w:tcW w:w="1192" w:type="pct"/>
            <w:tcBorders>
              <w:top w:val="single" w:sz="4" w:space="0" w:color="auto"/>
              <w:bottom w:val="single" w:sz="4" w:space="0" w:color="auto"/>
            </w:tcBorders>
            <w:hideMark/>
          </w:tcPr>
          <w:p w14:paraId="32570F2E" w14:textId="77777777" w:rsidR="00CB6EE2" w:rsidRPr="00E64EF0" w:rsidRDefault="00CB6EE2" w:rsidP="007C3A17">
            <w:pPr>
              <w:contextualSpacing/>
              <w:rPr>
                <w:rFonts w:ascii="Arial" w:eastAsia="Times New Roman" w:hAnsi="Arial" w:cs="Arial"/>
                <w:b/>
                <w:bCs/>
                <w:iCs/>
              </w:rPr>
            </w:pPr>
            <w:r w:rsidRPr="00E64EF0">
              <w:rPr>
                <w:rFonts w:ascii="Arial" w:eastAsia="Times New Roman" w:hAnsi="Arial" w:cs="Arial"/>
                <w:b/>
                <w:bCs/>
                <w:iCs/>
              </w:rPr>
              <w:t>Parameters</w:t>
            </w:r>
          </w:p>
        </w:tc>
        <w:tc>
          <w:tcPr>
            <w:tcW w:w="696" w:type="pct"/>
            <w:tcBorders>
              <w:top w:val="single" w:sz="4" w:space="0" w:color="auto"/>
              <w:bottom w:val="single" w:sz="4" w:space="0" w:color="auto"/>
            </w:tcBorders>
          </w:tcPr>
          <w:p w14:paraId="50EE1E4B" w14:textId="77777777" w:rsidR="00CB6EE2" w:rsidRPr="00E64EF0" w:rsidRDefault="00CB6EE2" w:rsidP="007C3A17">
            <w:pPr>
              <w:contextualSpacing/>
              <w:rPr>
                <w:rFonts w:ascii="Arial" w:eastAsia="Times New Roman" w:hAnsi="Arial" w:cs="Arial"/>
                <w:b/>
                <w:bCs/>
                <w:iCs/>
              </w:rPr>
            </w:pPr>
            <w:r w:rsidRPr="00E64EF0">
              <w:rPr>
                <w:rFonts w:ascii="Arial" w:eastAsia="Times New Roman" w:hAnsi="Arial" w:cs="Arial"/>
                <w:b/>
                <w:bCs/>
                <w:iCs/>
              </w:rPr>
              <w:t>Nifty 50</w:t>
            </w:r>
          </w:p>
        </w:tc>
        <w:tc>
          <w:tcPr>
            <w:tcW w:w="1043" w:type="pct"/>
            <w:tcBorders>
              <w:top w:val="single" w:sz="4" w:space="0" w:color="auto"/>
              <w:bottom w:val="single" w:sz="4" w:space="0" w:color="auto"/>
            </w:tcBorders>
          </w:tcPr>
          <w:p w14:paraId="5A0D0121" w14:textId="77777777" w:rsidR="00CB6EE2" w:rsidRPr="00E64EF0" w:rsidRDefault="00CB6EE2" w:rsidP="007C3A17">
            <w:pPr>
              <w:contextualSpacing/>
              <w:rPr>
                <w:rFonts w:ascii="Arial" w:eastAsia="Times New Roman" w:hAnsi="Arial" w:cs="Arial"/>
                <w:b/>
                <w:bCs/>
                <w:iCs/>
              </w:rPr>
            </w:pPr>
            <w:r w:rsidRPr="00E64EF0">
              <w:rPr>
                <w:rFonts w:ascii="Arial" w:eastAsia="Times New Roman" w:hAnsi="Arial" w:cs="Arial"/>
                <w:b/>
                <w:bCs/>
                <w:iCs/>
              </w:rPr>
              <w:t>Nifty Midcap 50</w:t>
            </w:r>
          </w:p>
        </w:tc>
        <w:tc>
          <w:tcPr>
            <w:tcW w:w="1216" w:type="pct"/>
            <w:tcBorders>
              <w:top w:val="single" w:sz="4" w:space="0" w:color="auto"/>
              <w:bottom w:val="single" w:sz="4" w:space="0" w:color="auto"/>
            </w:tcBorders>
          </w:tcPr>
          <w:p w14:paraId="3FF13FAE" w14:textId="77777777" w:rsidR="00CB6EE2" w:rsidRPr="00E64EF0" w:rsidRDefault="00CB6EE2" w:rsidP="007C3A17">
            <w:pPr>
              <w:contextualSpacing/>
              <w:rPr>
                <w:rFonts w:ascii="Arial" w:eastAsia="Times New Roman" w:hAnsi="Arial" w:cs="Arial"/>
                <w:b/>
                <w:bCs/>
                <w:iCs/>
              </w:rPr>
            </w:pPr>
            <w:r w:rsidRPr="00E64EF0">
              <w:rPr>
                <w:rFonts w:ascii="Arial" w:eastAsia="Times New Roman" w:hAnsi="Arial" w:cs="Arial"/>
                <w:b/>
                <w:bCs/>
                <w:iCs/>
              </w:rPr>
              <w:t>Nifty Small Cap 50</w:t>
            </w:r>
          </w:p>
        </w:tc>
      </w:tr>
      <w:tr w:rsidR="00CB6EE2" w:rsidRPr="00E64EF0" w14:paraId="537170B7" w14:textId="77777777" w:rsidTr="00CB6EE2">
        <w:trPr>
          <w:trHeight w:val="20"/>
          <w:jc w:val="center"/>
        </w:trPr>
        <w:tc>
          <w:tcPr>
            <w:tcW w:w="853" w:type="pct"/>
            <w:vMerge w:val="restart"/>
            <w:tcBorders>
              <w:top w:val="single" w:sz="4" w:space="0" w:color="auto"/>
            </w:tcBorders>
            <w:hideMark/>
          </w:tcPr>
          <w:p w14:paraId="116247FB"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
                <w:bCs/>
                <w:iCs/>
              </w:rPr>
              <w:t>Variance Equation</w:t>
            </w:r>
          </w:p>
        </w:tc>
        <w:tc>
          <w:tcPr>
            <w:tcW w:w="1192" w:type="pct"/>
            <w:tcBorders>
              <w:top w:val="single" w:sz="4" w:space="0" w:color="auto"/>
            </w:tcBorders>
            <w:hideMark/>
          </w:tcPr>
          <w:p w14:paraId="02703597"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C (constant)</w:t>
            </w:r>
          </w:p>
        </w:tc>
        <w:tc>
          <w:tcPr>
            <w:tcW w:w="696" w:type="pct"/>
            <w:tcBorders>
              <w:top w:val="single" w:sz="4" w:space="0" w:color="auto"/>
            </w:tcBorders>
            <w:hideMark/>
          </w:tcPr>
          <w:p w14:paraId="25C48752"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1.90E-06*</w:t>
            </w:r>
          </w:p>
        </w:tc>
        <w:tc>
          <w:tcPr>
            <w:tcW w:w="1043" w:type="pct"/>
            <w:tcBorders>
              <w:top w:val="single" w:sz="4" w:space="0" w:color="auto"/>
            </w:tcBorders>
            <w:hideMark/>
          </w:tcPr>
          <w:p w14:paraId="7F8827BC"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8.45E-06*</w:t>
            </w:r>
          </w:p>
        </w:tc>
        <w:tc>
          <w:tcPr>
            <w:tcW w:w="1216" w:type="pct"/>
            <w:tcBorders>
              <w:top w:val="single" w:sz="4" w:space="0" w:color="auto"/>
            </w:tcBorders>
            <w:hideMark/>
          </w:tcPr>
          <w:p w14:paraId="25694B10"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1.54E-05*</w:t>
            </w:r>
          </w:p>
        </w:tc>
      </w:tr>
      <w:tr w:rsidR="00CB6EE2" w:rsidRPr="00E64EF0" w14:paraId="7C8259B1" w14:textId="77777777" w:rsidTr="00CB6EE2">
        <w:trPr>
          <w:trHeight w:val="20"/>
          <w:jc w:val="center"/>
        </w:trPr>
        <w:tc>
          <w:tcPr>
            <w:tcW w:w="853" w:type="pct"/>
            <w:vMerge/>
            <w:hideMark/>
          </w:tcPr>
          <w:p w14:paraId="41FDF665" w14:textId="77777777" w:rsidR="00CB6EE2" w:rsidRPr="00E64EF0" w:rsidRDefault="00CB6EE2" w:rsidP="007C3A17">
            <w:pPr>
              <w:contextualSpacing/>
              <w:rPr>
                <w:rFonts w:ascii="Arial" w:eastAsia="Times New Roman" w:hAnsi="Arial" w:cs="Arial"/>
                <w:bCs/>
                <w:iCs/>
              </w:rPr>
            </w:pPr>
          </w:p>
        </w:tc>
        <w:tc>
          <w:tcPr>
            <w:tcW w:w="1192" w:type="pct"/>
            <w:hideMark/>
          </w:tcPr>
          <w:p w14:paraId="46E25955"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(ARCH - α)</w:t>
            </w:r>
          </w:p>
        </w:tc>
        <w:tc>
          <w:tcPr>
            <w:tcW w:w="696" w:type="pct"/>
            <w:hideMark/>
          </w:tcPr>
          <w:p w14:paraId="7489E725"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0.021856*</w:t>
            </w:r>
          </w:p>
        </w:tc>
        <w:tc>
          <w:tcPr>
            <w:tcW w:w="1043" w:type="pct"/>
            <w:hideMark/>
          </w:tcPr>
          <w:p w14:paraId="69756B67"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0.053212*</w:t>
            </w:r>
          </w:p>
        </w:tc>
        <w:tc>
          <w:tcPr>
            <w:tcW w:w="1216" w:type="pct"/>
            <w:hideMark/>
          </w:tcPr>
          <w:p w14:paraId="58A63D16"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0.062911*</w:t>
            </w:r>
          </w:p>
        </w:tc>
      </w:tr>
      <w:tr w:rsidR="00CB6EE2" w:rsidRPr="00E64EF0" w14:paraId="22A478D0" w14:textId="77777777" w:rsidTr="00CB6EE2">
        <w:trPr>
          <w:trHeight w:val="20"/>
          <w:jc w:val="center"/>
        </w:trPr>
        <w:tc>
          <w:tcPr>
            <w:tcW w:w="853" w:type="pct"/>
            <w:vMerge/>
            <w:hideMark/>
          </w:tcPr>
          <w:p w14:paraId="2FB7E04D" w14:textId="77777777" w:rsidR="00CB6EE2" w:rsidRPr="00E64EF0" w:rsidRDefault="00CB6EE2" w:rsidP="007C3A17">
            <w:pPr>
              <w:contextualSpacing/>
              <w:rPr>
                <w:rFonts w:ascii="Arial" w:eastAsia="Times New Roman" w:hAnsi="Arial" w:cs="Arial"/>
                <w:bCs/>
                <w:iCs/>
              </w:rPr>
            </w:pPr>
          </w:p>
        </w:tc>
        <w:tc>
          <w:tcPr>
            <w:tcW w:w="1192" w:type="pct"/>
            <w:hideMark/>
          </w:tcPr>
          <w:p w14:paraId="3C24AD55" w14:textId="23558956"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GARCH (-1) (β)</w:t>
            </w:r>
          </w:p>
        </w:tc>
        <w:tc>
          <w:tcPr>
            <w:tcW w:w="696" w:type="pct"/>
            <w:hideMark/>
          </w:tcPr>
          <w:p w14:paraId="661A7B08"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0.900989*</w:t>
            </w:r>
          </w:p>
        </w:tc>
        <w:tc>
          <w:tcPr>
            <w:tcW w:w="1043" w:type="pct"/>
            <w:hideMark/>
          </w:tcPr>
          <w:p w14:paraId="20EEC3FD"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0.865514*</w:t>
            </w:r>
          </w:p>
        </w:tc>
        <w:tc>
          <w:tcPr>
            <w:tcW w:w="1216" w:type="pct"/>
            <w:hideMark/>
          </w:tcPr>
          <w:p w14:paraId="02E191D6"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0.802045*</w:t>
            </w:r>
          </w:p>
        </w:tc>
      </w:tr>
      <w:tr w:rsidR="00CB6EE2" w:rsidRPr="00E64EF0" w14:paraId="63CC0396" w14:textId="77777777" w:rsidTr="00CB6EE2">
        <w:trPr>
          <w:trHeight w:val="20"/>
          <w:jc w:val="center"/>
        </w:trPr>
        <w:tc>
          <w:tcPr>
            <w:tcW w:w="853" w:type="pct"/>
            <w:vMerge/>
            <w:hideMark/>
          </w:tcPr>
          <w:p w14:paraId="1ABB94A4" w14:textId="77777777" w:rsidR="00CB6EE2" w:rsidRPr="00E64EF0" w:rsidRDefault="00CB6EE2" w:rsidP="007C3A17">
            <w:pPr>
              <w:contextualSpacing/>
              <w:rPr>
                <w:rFonts w:ascii="Arial" w:eastAsia="Times New Roman" w:hAnsi="Arial" w:cs="Arial"/>
                <w:bCs/>
                <w:iCs/>
              </w:rPr>
            </w:pPr>
          </w:p>
        </w:tc>
        <w:tc>
          <w:tcPr>
            <w:tcW w:w="1192" w:type="pct"/>
            <w:hideMark/>
          </w:tcPr>
          <w:p w14:paraId="2942103A"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α + β</w:t>
            </w:r>
          </w:p>
        </w:tc>
        <w:tc>
          <w:tcPr>
            <w:tcW w:w="696" w:type="pct"/>
            <w:hideMark/>
          </w:tcPr>
          <w:p w14:paraId="667540D5"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0.922845</w:t>
            </w:r>
          </w:p>
        </w:tc>
        <w:tc>
          <w:tcPr>
            <w:tcW w:w="1043" w:type="pct"/>
            <w:hideMark/>
          </w:tcPr>
          <w:p w14:paraId="3B451B53"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0.918726</w:t>
            </w:r>
          </w:p>
        </w:tc>
        <w:tc>
          <w:tcPr>
            <w:tcW w:w="1216" w:type="pct"/>
            <w:hideMark/>
          </w:tcPr>
          <w:p w14:paraId="653600DD"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0.864956</w:t>
            </w:r>
          </w:p>
        </w:tc>
      </w:tr>
      <w:tr w:rsidR="00CB6EE2" w:rsidRPr="00E64EF0" w14:paraId="0AA584E6" w14:textId="77777777" w:rsidTr="00CB6EE2">
        <w:trPr>
          <w:trHeight w:val="20"/>
          <w:jc w:val="center"/>
        </w:trPr>
        <w:tc>
          <w:tcPr>
            <w:tcW w:w="853" w:type="pct"/>
            <w:vMerge/>
            <w:tcBorders>
              <w:bottom w:val="single" w:sz="4" w:space="0" w:color="auto"/>
            </w:tcBorders>
            <w:hideMark/>
          </w:tcPr>
          <w:p w14:paraId="24B28183" w14:textId="77777777" w:rsidR="00CB6EE2" w:rsidRPr="00E64EF0" w:rsidRDefault="00CB6EE2" w:rsidP="007C3A17">
            <w:pPr>
              <w:contextualSpacing/>
              <w:rPr>
                <w:rFonts w:ascii="Arial" w:eastAsia="Times New Roman" w:hAnsi="Arial" w:cs="Arial"/>
                <w:bCs/>
                <w:iCs/>
              </w:rPr>
            </w:pPr>
          </w:p>
        </w:tc>
        <w:tc>
          <w:tcPr>
            <w:tcW w:w="1192" w:type="pct"/>
            <w:tcBorders>
              <w:bottom w:val="single" w:sz="4" w:space="0" w:color="auto"/>
            </w:tcBorders>
            <w:hideMark/>
          </w:tcPr>
          <w:p w14:paraId="6F1F4745"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Log likelihood</w:t>
            </w:r>
          </w:p>
        </w:tc>
        <w:tc>
          <w:tcPr>
            <w:tcW w:w="696" w:type="pct"/>
            <w:tcBorders>
              <w:bottom w:val="single" w:sz="4" w:space="0" w:color="auto"/>
            </w:tcBorders>
            <w:hideMark/>
          </w:tcPr>
          <w:p w14:paraId="1DFE0340"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9303.512</w:t>
            </w:r>
          </w:p>
        </w:tc>
        <w:tc>
          <w:tcPr>
            <w:tcW w:w="1043" w:type="pct"/>
            <w:tcBorders>
              <w:bottom w:val="single" w:sz="4" w:space="0" w:color="auto"/>
            </w:tcBorders>
            <w:hideMark/>
          </w:tcPr>
          <w:p w14:paraId="34CF785B"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8394.821</w:t>
            </w:r>
          </w:p>
        </w:tc>
        <w:tc>
          <w:tcPr>
            <w:tcW w:w="1216" w:type="pct"/>
            <w:tcBorders>
              <w:bottom w:val="single" w:sz="4" w:space="0" w:color="auto"/>
            </w:tcBorders>
            <w:hideMark/>
          </w:tcPr>
          <w:p w14:paraId="16490730"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8412.560</w:t>
            </w:r>
          </w:p>
        </w:tc>
      </w:tr>
      <w:tr w:rsidR="00CB6EE2" w:rsidRPr="00E64EF0" w14:paraId="5C2D4158" w14:textId="77777777" w:rsidTr="00CB6EE2">
        <w:trPr>
          <w:trHeight w:val="20"/>
          <w:jc w:val="center"/>
        </w:trPr>
        <w:tc>
          <w:tcPr>
            <w:tcW w:w="853" w:type="pct"/>
            <w:vMerge w:val="restart"/>
            <w:tcBorders>
              <w:top w:val="single" w:sz="4" w:space="0" w:color="auto"/>
              <w:bottom w:val="nil"/>
            </w:tcBorders>
            <w:hideMark/>
          </w:tcPr>
          <w:p w14:paraId="0AE81179"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
                <w:bCs/>
                <w:iCs/>
              </w:rPr>
              <w:t>Residual Diagnostics</w:t>
            </w:r>
          </w:p>
        </w:tc>
        <w:tc>
          <w:tcPr>
            <w:tcW w:w="1192" w:type="pct"/>
            <w:tcBorders>
              <w:top w:val="single" w:sz="4" w:space="0" w:color="auto"/>
              <w:bottom w:val="nil"/>
            </w:tcBorders>
            <w:hideMark/>
          </w:tcPr>
          <w:p w14:paraId="03F2FEFD"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Arch LM Test statistic</w:t>
            </w:r>
          </w:p>
        </w:tc>
        <w:tc>
          <w:tcPr>
            <w:tcW w:w="696" w:type="pct"/>
            <w:tcBorders>
              <w:top w:val="single" w:sz="4" w:space="0" w:color="auto"/>
              <w:bottom w:val="nil"/>
            </w:tcBorders>
            <w:hideMark/>
          </w:tcPr>
          <w:p w14:paraId="1C2CF3F3"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1.906326</w:t>
            </w:r>
          </w:p>
        </w:tc>
        <w:tc>
          <w:tcPr>
            <w:tcW w:w="1043" w:type="pct"/>
            <w:tcBorders>
              <w:top w:val="single" w:sz="4" w:space="0" w:color="auto"/>
              <w:bottom w:val="nil"/>
            </w:tcBorders>
            <w:hideMark/>
          </w:tcPr>
          <w:p w14:paraId="0397620F"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0.464604</w:t>
            </w:r>
          </w:p>
        </w:tc>
        <w:tc>
          <w:tcPr>
            <w:tcW w:w="1216" w:type="pct"/>
            <w:tcBorders>
              <w:top w:val="single" w:sz="4" w:space="0" w:color="auto"/>
              <w:bottom w:val="nil"/>
            </w:tcBorders>
            <w:hideMark/>
          </w:tcPr>
          <w:p w14:paraId="61999670"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1.717679</w:t>
            </w:r>
          </w:p>
        </w:tc>
      </w:tr>
      <w:tr w:rsidR="00CB6EE2" w:rsidRPr="00E64EF0" w14:paraId="664CA914" w14:textId="77777777" w:rsidTr="00CB6EE2">
        <w:trPr>
          <w:trHeight w:val="20"/>
          <w:jc w:val="center"/>
        </w:trPr>
        <w:tc>
          <w:tcPr>
            <w:tcW w:w="853" w:type="pct"/>
            <w:vMerge/>
            <w:tcBorders>
              <w:top w:val="nil"/>
            </w:tcBorders>
            <w:hideMark/>
          </w:tcPr>
          <w:p w14:paraId="4F30B412" w14:textId="77777777" w:rsidR="00CB6EE2" w:rsidRPr="00E64EF0" w:rsidRDefault="00CB6EE2" w:rsidP="007C3A17">
            <w:pPr>
              <w:contextualSpacing/>
              <w:rPr>
                <w:rFonts w:ascii="Arial" w:eastAsia="Times New Roman" w:hAnsi="Arial" w:cs="Arial"/>
                <w:bCs/>
                <w:iCs/>
              </w:rPr>
            </w:pPr>
          </w:p>
        </w:tc>
        <w:tc>
          <w:tcPr>
            <w:tcW w:w="1192" w:type="pct"/>
            <w:tcBorders>
              <w:top w:val="nil"/>
            </w:tcBorders>
            <w:hideMark/>
          </w:tcPr>
          <w:p w14:paraId="1A78EDFC"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P-Value</w:t>
            </w:r>
          </w:p>
        </w:tc>
        <w:tc>
          <w:tcPr>
            <w:tcW w:w="696" w:type="pct"/>
            <w:tcBorders>
              <w:top w:val="nil"/>
            </w:tcBorders>
            <w:hideMark/>
          </w:tcPr>
          <w:p w14:paraId="2C4E8F0D"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0.1675</w:t>
            </w:r>
          </w:p>
        </w:tc>
        <w:tc>
          <w:tcPr>
            <w:tcW w:w="1043" w:type="pct"/>
            <w:tcBorders>
              <w:top w:val="nil"/>
            </w:tcBorders>
            <w:hideMark/>
          </w:tcPr>
          <w:p w14:paraId="5CD2A988"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0.4955</w:t>
            </w:r>
          </w:p>
        </w:tc>
        <w:tc>
          <w:tcPr>
            <w:tcW w:w="1216" w:type="pct"/>
            <w:tcBorders>
              <w:top w:val="nil"/>
            </w:tcBorders>
            <w:hideMark/>
          </w:tcPr>
          <w:p w14:paraId="18BEAF02"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0.1901</w:t>
            </w:r>
          </w:p>
        </w:tc>
      </w:tr>
    </w:tbl>
    <w:p w14:paraId="25FF5DCD" w14:textId="77777777" w:rsidR="00CB6EE2" w:rsidRPr="00E64EF0" w:rsidRDefault="00CB6EE2" w:rsidP="00CB6EE2">
      <w:pPr>
        <w:spacing w:after="0" w:line="240" w:lineRule="auto"/>
        <w:contextualSpacing/>
        <w:jc w:val="both"/>
        <w:rPr>
          <w:rFonts w:ascii="Arial" w:eastAsia="Times New Roman" w:hAnsi="Arial" w:cs="Arial"/>
          <w:bCs/>
          <w:iCs/>
          <w:sz w:val="16"/>
          <w:szCs w:val="20"/>
        </w:rPr>
      </w:pPr>
    </w:p>
    <w:p w14:paraId="70E368C7" w14:textId="77777777" w:rsidR="00CB6EE2" w:rsidRPr="00E64EF0" w:rsidRDefault="00CB6EE2" w:rsidP="00CB6EE2">
      <w:pPr>
        <w:spacing w:after="0" w:line="240" w:lineRule="auto"/>
        <w:contextualSpacing/>
        <w:jc w:val="center"/>
        <w:rPr>
          <w:rFonts w:ascii="Arial" w:eastAsia="Times New Roman" w:hAnsi="Arial" w:cs="Arial"/>
          <w:b/>
          <w:bCs/>
          <w:iCs/>
          <w:sz w:val="20"/>
          <w:szCs w:val="20"/>
        </w:rPr>
      </w:pPr>
      <w:r w:rsidRPr="00E64EF0">
        <w:rPr>
          <w:rFonts w:ascii="Arial" w:eastAsia="Times New Roman" w:hAnsi="Arial" w:cs="Arial"/>
          <w:b/>
          <w:bCs/>
          <w:iCs/>
          <w:sz w:val="20"/>
          <w:szCs w:val="20"/>
        </w:rPr>
        <w:t xml:space="preserve">Table 4. </w:t>
      </w:r>
      <w:proofErr w:type="spellStart"/>
      <w:r w:rsidRPr="00E64EF0">
        <w:rPr>
          <w:rFonts w:ascii="Arial" w:eastAsia="Times New Roman" w:hAnsi="Arial" w:cs="Arial"/>
          <w:b/>
          <w:bCs/>
          <w:iCs/>
          <w:sz w:val="20"/>
          <w:szCs w:val="20"/>
        </w:rPr>
        <w:t>Garch</w:t>
      </w:r>
      <w:proofErr w:type="spellEnd"/>
      <w:r w:rsidRPr="00E64EF0">
        <w:rPr>
          <w:rFonts w:ascii="Arial" w:eastAsia="Times New Roman" w:hAnsi="Arial" w:cs="Arial"/>
          <w:b/>
          <w:bCs/>
          <w:iCs/>
          <w:sz w:val="20"/>
          <w:szCs w:val="20"/>
        </w:rPr>
        <w:t xml:space="preserve"> (1, 1) model estimation with exogeneous regressor</w:t>
      </w:r>
    </w:p>
    <w:p w14:paraId="5F378391" w14:textId="77777777" w:rsidR="00CB6EE2" w:rsidRPr="00E64EF0" w:rsidRDefault="00CB6EE2" w:rsidP="00CB6EE2">
      <w:pPr>
        <w:spacing w:after="0" w:line="240" w:lineRule="auto"/>
        <w:contextualSpacing/>
        <w:jc w:val="both"/>
        <w:rPr>
          <w:rFonts w:ascii="Arial" w:eastAsia="Times New Roman" w:hAnsi="Arial" w:cs="Arial"/>
          <w:b/>
          <w:bCs/>
          <w:iCs/>
          <w:sz w:val="16"/>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2340"/>
        <w:gridCol w:w="1440"/>
        <w:gridCol w:w="1800"/>
        <w:gridCol w:w="2114"/>
      </w:tblGrid>
      <w:tr w:rsidR="00CB6EE2" w:rsidRPr="00E64EF0" w14:paraId="475BE24A" w14:textId="77777777" w:rsidTr="00CB6EE2">
        <w:trPr>
          <w:trHeight w:val="20"/>
          <w:jc w:val="center"/>
        </w:trPr>
        <w:tc>
          <w:tcPr>
            <w:tcW w:w="1366" w:type="dxa"/>
            <w:tcBorders>
              <w:top w:val="single" w:sz="4" w:space="0" w:color="auto"/>
              <w:bottom w:val="single" w:sz="4" w:space="0" w:color="auto"/>
            </w:tcBorders>
            <w:hideMark/>
          </w:tcPr>
          <w:p w14:paraId="6FBF3374" w14:textId="77777777" w:rsidR="00CB6EE2" w:rsidRPr="00E64EF0" w:rsidRDefault="00CB6EE2" w:rsidP="007C3A17">
            <w:pPr>
              <w:contextualSpacing/>
              <w:rPr>
                <w:rFonts w:ascii="Arial" w:eastAsia="Times New Roman" w:hAnsi="Arial" w:cs="Arial"/>
                <w:b/>
                <w:bCs/>
                <w:iCs/>
              </w:rPr>
            </w:pPr>
            <w:r w:rsidRPr="00E64EF0">
              <w:rPr>
                <w:rFonts w:ascii="Arial" w:eastAsia="Times New Roman" w:hAnsi="Arial" w:cs="Arial"/>
                <w:b/>
                <w:bCs/>
                <w:iCs/>
              </w:rPr>
              <w:t> </w:t>
            </w:r>
          </w:p>
        </w:tc>
        <w:tc>
          <w:tcPr>
            <w:tcW w:w="2340" w:type="dxa"/>
            <w:tcBorders>
              <w:top w:val="single" w:sz="4" w:space="0" w:color="auto"/>
              <w:bottom w:val="single" w:sz="4" w:space="0" w:color="auto"/>
            </w:tcBorders>
            <w:hideMark/>
          </w:tcPr>
          <w:p w14:paraId="1525EAEB" w14:textId="77777777" w:rsidR="00CB6EE2" w:rsidRPr="00E64EF0" w:rsidRDefault="00CB6EE2" w:rsidP="007C3A17">
            <w:pPr>
              <w:contextualSpacing/>
              <w:rPr>
                <w:rFonts w:ascii="Arial" w:eastAsia="Times New Roman" w:hAnsi="Arial" w:cs="Arial"/>
                <w:b/>
                <w:bCs/>
                <w:iCs/>
              </w:rPr>
            </w:pPr>
            <w:r w:rsidRPr="00E64EF0">
              <w:rPr>
                <w:rFonts w:ascii="Arial" w:eastAsia="Times New Roman" w:hAnsi="Arial" w:cs="Arial"/>
                <w:b/>
                <w:bCs/>
                <w:iCs/>
              </w:rPr>
              <w:t>Parameters</w:t>
            </w:r>
          </w:p>
        </w:tc>
        <w:tc>
          <w:tcPr>
            <w:tcW w:w="1440" w:type="dxa"/>
            <w:tcBorders>
              <w:top w:val="single" w:sz="4" w:space="0" w:color="auto"/>
              <w:bottom w:val="single" w:sz="4" w:space="0" w:color="auto"/>
            </w:tcBorders>
            <w:hideMark/>
          </w:tcPr>
          <w:p w14:paraId="6AB203EC" w14:textId="77777777" w:rsidR="00CB6EE2" w:rsidRPr="00E64EF0" w:rsidRDefault="00CB6EE2" w:rsidP="007C3A17">
            <w:pPr>
              <w:contextualSpacing/>
              <w:rPr>
                <w:rFonts w:ascii="Arial" w:eastAsia="Times New Roman" w:hAnsi="Arial" w:cs="Arial"/>
                <w:b/>
                <w:bCs/>
                <w:iCs/>
              </w:rPr>
            </w:pPr>
            <w:r w:rsidRPr="00E64EF0">
              <w:rPr>
                <w:rFonts w:ascii="Arial" w:eastAsia="Times New Roman" w:hAnsi="Arial" w:cs="Arial"/>
                <w:b/>
                <w:bCs/>
                <w:iCs/>
              </w:rPr>
              <w:t>Nifty 50</w:t>
            </w:r>
          </w:p>
        </w:tc>
        <w:tc>
          <w:tcPr>
            <w:tcW w:w="1800" w:type="dxa"/>
            <w:tcBorders>
              <w:top w:val="single" w:sz="4" w:space="0" w:color="auto"/>
              <w:bottom w:val="single" w:sz="4" w:space="0" w:color="auto"/>
            </w:tcBorders>
          </w:tcPr>
          <w:p w14:paraId="4A4D6AAC" w14:textId="77777777" w:rsidR="00CB6EE2" w:rsidRPr="00E64EF0" w:rsidRDefault="00CB6EE2" w:rsidP="007C3A17">
            <w:pPr>
              <w:contextualSpacing/>
              <w:rPr>
                <w:rFonts w:ascii="Arial" w:eastAsia="Times New Roman" w:hAnsi="Arial" w:cs="Arial"/>
                <w:b/>
                <w:bCs/>
                <w:iCs/>
              </w:rPr>
            </w:pPr>
            <w:r w:rsidRPr="00E64EF0">
              <w:rPr>
                <w:rFonts w:ascii="Arial" w:eastAsia="Times New Roman" w:hAnsi="Arial" w:cs="Arial"/>
                <w:b/>
                <w:bCs/>
                <w:iCs/>
              </w:rPr>
              <w:t>Nifty Mid Cap 50</w:t>
            </w:r>
          </w:p>
        </w:tc>
        <w:tc>
          <w:tcPr>
            <w:tcW w:w="2114" w:type="dxa"/>
            <w:tcBorders>
              <w:top w:val="single" w:sz="4" w:space="0" w:color="auto"/>
              <w:bottom w:val="single" w:sz="4" w:space="0" w:color="auto"/>
            </w:tcBorders>
          </w:tcPr>
          <w:p w14:paraId="17021E94" w14:textId="77777777" w:rsidR="00CB6EE2" w:rsidRPr="00E64EF0" w:rsidRDefault="00CB6EE2" w:rsidP="007C3A17">
            <w:pPr>
              <w:contextualSpacing/>
              <w:rPr>
                <w:rFonts w:ascii="Arial" w:eastAsia="Times New Roman" w:hAnsi="Arial" w:cs="Arial"/>
                <w:b/>
                <w:bCs/>
                <w:iCs/>
              </w:rPr>
            </w:pPr>
            <w:r w:rsidRPr="00E64EF0">
              <w:rPr>
                <w:rFonts w:ascii="Arial" w:eastAsia="Times New Roman" w:hAnsi="Arial" w:cs="Arial"/>
                <w:b/>
                <w:bCs/>
                <w:iCs/>
              </w:rPr>
              <w:t>Nifty Small Cap 50</w:t>
            </w:r>
          </w:p>
        </w:tc>
      </w:tr>
      <w:tr w:rsidR="00CB6EE2" w:rsidRPr="00E64EF0" w14:paraId="1F6B3EF4" w14:textId="77777777" w:rsidTr="00CB6EE2">
        <w:trPr>
          <w:trHeight w:val="20"/>
          <w:jc w:val="center"/>
        </w:trPr>
        <w:tc>
          <w:tcPr>
            <w:tcW w:w="1366" w:type="dxa"/>
            <w:vMerge w:val="restart"/>
            <w:tcBorders>
              <w:top w:val="single" w:sz="4" w:space="0" w:color="auto"/>
            </w:tcBorders>
            <w:hideMark/>
          </w:tcPr>
          <w:p w14:paraId="2B051883" w14:textId="77777777" w:rsidR="00CB6EE2" w:rsidRPr="00E64EF0" w:rsidRDefault="00CB6EE2" w:rsidP="007C3A17">
            <w:pPr>
              <w:contextualSpacing/>
              <w:rPr>
                <w:rFonts w:ascii="Arial" w:eastAsia="Times New Roman" w:hAnsi="Arial" w:cs="Arial"/>
                <w:b/>
                <w:bCs/>
                <w:iCs/>
              </w:rPr>
            </w:pPr>
            <w:r w:rsidRPr="00E64EF0">
              <w:rPr>
                <w:rFonts w:ascii="Arial" w:eastAsia="Times New Roman" w:hAnsi="Arial" w:cs="Arial"/>
                <w:b/>
                <w:bCs/>
                <w:iCs/>
              </w:rPr>
              <w:t xml:space="preserve">Variance </w:t>
            </w:r>
            <w:r w:rsidRPr="00E64EF0">
              <w:rPr>
                <w:rFonts w:ascii="Arial" w:eastAsia="Times New Roman" w:hAnsi="Arial" w:cs="Arial"/>
                <w:b/>
                <w:bCs/>
                <w:iCs/>
              </w:rPr>
              <w:lastRenderedPageBreak/>
              <w:t>Equation</w:t>
            </w:r>
          </w:p>
        </w:tc>
        <w:tc>
          <w:tcPr>
            <w:tcW w:w="2340" w:type="dxa"/>
            <w:tcBorders>
              <w:top w:val="single" w:sz="4" w:space="0" w:color="auto"/>
            </w:tcBorders>
            <w:hideMark/>
          </w:tcPr>
          <w:p w14:paraId="7D8A1514"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lastRenderedPageBreak/>
              <w:t>C (constant)</w:t>
            </w:r>
          </w:p>
        </w:tc>
        <w:tc>
          <w:tcPr>
            <w:tcW w:w="1440" w:type="dxa"/>
            <w:tcBorders>
              <w:top w:val="single" w:sz="4" w:space="0" w:color="auto"/>
            </w:tcBorders>
            <w:hideMark/>
          </w:tcPr>
          <w:p w14:paraId="3557A903"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1.90E-06*</w:t>
            </w:r>
          </w:p>
        </w:tc>
        <w:tc>
          <w:tcPr>
            <w:tcW w:w="1800" w:type="dxa"/>
            <w:tcBorders>
              <w:top w:val="single" w:sz="4" w:space="0" w:color="auto"/>
            </w:tcBorders>
            <w:hideMark/>
          </w:tcPr>
          <w:p w14:paraId="7EFB9E98"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8.82E-06*</w:t>
            </w:r>
          </w:p>
        </w:tc>
        <w:tc>
          <w:tcPr>
            <w:tcW w:w="2114" w:type="dxa"/>
            <w:tcBorders>
              <w:top w:val="single" w:sz="4" w:space="0" w:color="auto"/>
            </w:tcBorders>
            <w:hideMark/>
          </w:tcPr>
          <w:p w14:paraId="16002A80"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1.60E-05*</w:t>
            </w:r>
          </w:p>
        </w:tc>
      </w:tr>
      <w:tr w:rsidR="00CB6EE2" w:rsidRPr="00E64EF0" w14:paraId="4BE13377" w14:textId="77777777" w:rsidTr="00CB6EE2">
        <w:trPr>
          <w:trHeight w:val="20"/>
          <w:jc w:val="center"/>
        </w:trPr>
        <w:tc>
          <w:tcPr>
            <w:tcW w:w="1366" w:type="dxa"/>
            <w:vMerge/>
            <w:hideMark/>
          </w:tcPr>
          <w:p w14:paraId="705AD0EF" w14:textId="77777777" w:rsidR="00CB6EE2" w:rsidRPr="00E64EF0" w:rsidRDefault="00CB6EE2" w:rsidP="007C3A17">
            <w:pPr>
              <w:contextualSpacing/>
              <w:rPr>
                <w:rFonts w:ascii="Arial" w:eastAsia="Times New Roman" w:hAnsi="Arial" w:cs="Arial"/>
                <w:b/>
                <w:bCs/>
                <w:iCs/>
              </w:rPr>
            </w:pPr>
          </w:p>
        </w:tc>
        <w:tc>
          <w:tcPr>
            <w:tcW w:w="2340" w:type="dxa"/>
            <w:hideMark/>
          </w:tcPr>
          <w:p w14:paraId="670E46CD"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(ARCH - α)</w:t>
            </w:r>
          </w:p>
        </w:tc>
        <w:tc>
          <w:tcPr>
            <w:tcW w:w="1440" w:type="dxa"/>
            <w:hideMark/>
          </w:tcPr>
          <w:p w14:paraId="29BF088E"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0.15000*</w:t>
            </w:r>
          </w:p>
        </w:tc>
        <w:tc>
          <w:tcPr>
            <w:tcW w:w="1800" w:type="dxa"/>
            <w:hideMark/>
          </w:tcPr>
          <w:p w14:paraId="20B80083"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0.099597*</w:t>
            </w:r>
          </w:p>
        </w:tc>
        <w:tc>
          <w:tcPr>
            <w:tcW w:w="2114" w:type="dxa"/>
            <w:hideMark/>
          </w:tcPr>
          <w:p w14:paraId="4DF85BA9"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0.127997*</w:t>
            </w:r>
          </w:p>
        </w:tc>
      </w:tr>
      <w:tr w:rsidR="00CB6EE2" w:rsidRPr="00E64EF0" w14:paraId="7072D81B" w14:textId="77777777" w:rsidTr="00CB6EE2">
        <w:trPr>
          <w:trHeight w:val="20"/>
          <w:jc w:val="center"/>
        </w:trPr>
        <w:tc>
          <w:tcPr>
            <w:tcW w:w="1366" w:type="dxa"/>
            <w:vMerge/>
            <w:hideMark/>
          </w:tcPr>
          <w:p w14:paraId="19804A9A" w14:textId="77777777" w:rsidR="00CB6EE2" w:rsidRPr="00E64EF0" w:rsidRDefault="00CB6EE2" w:rsidP="007C3A17">
            <w:pPr>
              <w:contextualSpacing/>
              <w:rPr>
                <w:rFonts w:ascii="Arial" w:eastAsia="Times New Roman" w:hAnsi="Arial" w:cs="Arial"/>
                <w:b/>
                <w:bCs/>
                <w:iCs/>
              </w:rPr>
            </w:pPr>
          </w:p>
        </w:tc>
        <w:tc>
          <w:tcPr>
            <w:tcW w:w="2340" w:type="dxa"/>
            <w:hideMark/>
          </w:tcPr>
          <w:p w14:paraId="69BABEC6"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GARCH (-1) (β)</w:t>
            </w:r>
          </w:p>
        </w:tc>
        <w:tc>
          <w:tcPr>
            <w:tcW w:w="1440" w:type="dxa"/>
            <w:hideMark/>
          </w:tcPr>
          <w:p w14:paraId="3C35A10D"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0.60000*</w:t>
            </w:r>
          </w:p>
        </w:tc>
        <w:tc>
          <w:tcPr>
            <w:tcW w:w="1800" w:type="dxa"/>
            <w:hideMark/>
          </w:tcPr>
          <w:p w14:paraId="70703182"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0.865810*</w:t>
            </w:r>
          </w:p>
        </w:tc>
        <w:tc>
          <w:tcPr>
            <w:tcW w:w="2114" w:type="dxa"/>
            <w:hideMark/>
          </w:tcPr>
          <w:p w14:paraId="1B283480"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0.803005*</w:t>
            </w:r>
          </w:p>
        </w:tc>
      </w:tr>
      <w:tr w:rsidR="00CB6EE2" w:rsidRPr="00E64EF0" w14:paraId="739D1130" w14:textId="77777777" w:rsidTr="00CB6EE2">
        <w:trPr>
          <w:trHeight w:val="20"/>
          <w:jc w:val="center"/>
        </w:trPr>
        <w:tc>
          <w:tcPr>
            <w:tcW w:w="1366" w:type="dxa"/>
            <w:vMerge/>
            <w:hideMark/>
          </w:tcPr>
          <w:p w14:paraId="00D97A33" w14:textId="77777777" w:rsidR="00CB6EE2" w:rsidRPr="00E64EF0" w:rsidRDefault="00CB6EE2" w:rsidP="007C3A17">
            <w:pPr>
              <w:contextualSpacing/>
              <w:rPr>
                <w:rFonts w:ascii="Arial" w:eastAsia="Times New Roman" w:hAnsi="Arial" w:cs="Arial"/>
                <w:b/>
                <w:bCs/>
                <w:iCs/>
              </w:rPr>
            </w:pPr>
          </w:p>
        </w:tc>
        <w:tc>
          <w:tcPr>
            <w:tcW w:w="2340" w:type="dxa"/>
            <w:hideMark/>
          </w:tcPr>
          <w:p w14:paraId="3231A9B4"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FII (-1)</w:t>
            </w:r>
          </w:p>
        </w:tc>
        <w:tc>
          <w:tcPr>
            <w:tcW w:w="1440" w:type="dxa"/>
            <w:hideMark/>
          </w:tcPr>
          <w:p w14:paraId="36483A8E"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-7.51E-09*</w:t>
            </w:r>
          </w:p>
        </w:tc>
        <w:tc>
          <w:tcPr>
            <w:tcW w:w="1800" w:type="dxa"/>
            <w:hideMark/>
          </w:tcPr>
          <w:p w14:paraId="0BFB289A"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-3.77E-09*</w:t>
            </w:r>
          </w:p>
        </w:tc>
        <w:tc>
          <w:tcPr>
            <w:tcW w:w="2114" w:type="dxa"/>
            <w:hideMark/>
          </w:tcPr>
          <w:p w14:paraId="3D5150FF"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-3.15E-09**</w:t>
            </w:r>
          </w:p>
        </w:tc>
      </w:tr>
      <w:tr w:rsidR="00CB6EE2" w:rsidRPr="00E64EF0" w14:paraId="33F53398" w14:textId="77777777" w:rsidTr="00CB6EE2">
        <w:trPr>
          <w:trHeight w:val="20"/>
          <w:jc w:val="center"/>
        </w:trPr>
        <w:tc>
          <w:tcPr>
            <w:tcW w:w="1366" w:type="dxa"/>
            <w:vMerge/>
            <w:hideMark/>
          </w:tcPr>
          <w:p w14:paraId="6BA9545F" w14:textId="77777777" w:rsidR="00CB6EE2" w:rsidRPr="00E64EF0" w:rsidRDefault="00CB6EE2" w:rsidP="007C3A17">
            <w:pPr>
              <w:contextualSpacing/>
              <w:rPr>
                <w:rFonts w:ascii="Arial" w:eastAsia="Times New Roman" w:hAnsi="Arial" w:cs="Arial"/>
                <w:b/>
                <w:bCs/>
                <w:iCs/>
              </w:rPr>
            </w:pPr>
          </w:p>
        </w:tc>
        <w:tc>
          <w:tcPr>
            <w:tcW w:w="2340" w:type="dxa"/>
            <w:hideMark/>
          </w:tcPr>
          <w:p w14:paraId="5A16BD1E"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DII (-1)</w:t>
            </w:r>
          </w:p>
        </w:tc>
        <w:tc>
          <w:tcPr>
            <w:tcW w:w="1440" w:type="dxa"/>
            <w:hideMark/>
          </w:tcPr>
          <w:p w14:paraId="35620470"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-9014E-09*</w:t>
            </w:r>
          </w:p>
        </w:tc>
        <w:tc>
          <w:tcPr>
            <w:tcW w:w="1800" w:type="dxa"/>
            <w:hideMark/>
          </w:tcPr>
          <w:p w14:paraId="0C50FCAE"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-4.53E-09*</w:t>
            </w:r>
          </w:p>
        </w:tc>
        <w:tc>
          <w:tcPr>
            <w:tcW w:w="2114" w:type="dxa"/>
            <w:hideMark/>
          </w:tcPr>
          <w:p w14:paraId="19FA5756"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-1.85E-09</w:t>
            </w:r>
          </w:p>
        </w:tc>
      </w:tr>
      <w:tr w:rsidR="00CB6EE2" w:rsidRPr="00E64EF0" w14:paraId="70C92713" w14:textId="77777777" w:rsidTr="00CB6EE2">
        <w:trPr>
          <w:trHeight w:val="20"/>
          <w:jc w:val="center"/>
        </w:trPr>
        <w:tc>
          <w:tcPr>
            <w:tcW w:w="1366" w:type="dxa"/>
            <w:vMerge/>
            <w:tcBorders>
              <w:bottom w:val="single" w:sz="4" w:space="0" w:color="auto"/>
            </w:tcBorders>
            <w:hideMark/>
          </w:tcPr>
          <w:p w14:paraId="60C90E48" w14:textId="77777777" w:rsidR="00CB6EE2" w:rsidRPr="00E64EF0" w:rsidRDefault="00CB6EE2" w:rsidP="007C3A17">
            <w:pPr>
              <w:contextualSpacing/>
              <w:rPr>
                <w:rFonts w:ascii="Arial" w:eastAsia="Times New Roman" w:hAnsi="Arial" w:cs="Arial"/>
                <w:b/>
                <w:bCs/>
                <w:iCs/>
              </w:rPr>
            </w:pPr>
          </w:p>
        </w:tc>
        <w:tc>
          <w:tcPr>
            <w:tcW w:w="2340" w:type="dxa"/>
            <w:tcBorders>
              <w:bottom w:val="single" w:sz="4" w:space="0" w:color="auto"/>
            </w:tcBorders>
            <w:hideMark/>
          </w:tcPr>
          <w:p w14:paraId="1C35C59D"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Log likelihood</w:t>
            </w:r>
          </w:p>
        </w:tc>
        <w:tc>
          <w:tcPr>
            <w:tcW w:w="1440" w:type="dxa"/>
            <w:tcBorders>
              <w:bottom w:val="single" w:sz="4" w:space="0" w:color="auto"/>
            </w:tcBorders>
            <w:hideMark/>
          </w:tcPr>
          <w:p w14:paraId="55EAC943"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8953.299</w:t>
            </w:r>
          </w:p>
        </w:tc>
        <w:tc>
          <w:tcPr>
            <w:tcW w:w="1800" w:type="dxa"/>
            <w:tcBorders>
              <w:bottom w:val="single" w:sz="4" w:space="0" w:color="auto"/>
            </w:tcBorders>
            <w:hideMark/>
          </w:tcPr>
          <w:p w14:paraId="2B37F625"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8383.909</w:t>
            </w:r>
          </w:p>
        </w:tc>
        <w:tc>
          <w:tcPr>
            <w:tcW w:w="2114" w:type="dxa"/>
            <w:tcBorders>
              <w:bottom w:val="single" w:sz="4" w:space="0" w:color="auto"/>
            </w:tcBorders>
            <w:hideMark/>
          </w:tcPr>
          <w:p w14:paraId="1CEAA503"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8394.854</w:t>
            </w:r>
          </w:p>
        </w:tc>
      </w:tr>
      <w:tr w:rsidR="00CB6EE2" w:rsidRPr="00E64EF0" w14:paraId="5AEC16D7" w14:textId="77777777" w:rsidTr="00CB6EE2">
        <w:trPr>
          <w:trHeight w:val="20"/>
          <w:jc w:val="center"/>
        </w:trPr>
        <w:tc>
          <w:tcPr>
            <w:tcW w:w="1366" w:type="dxa"/>
            <w:vMerge w:val="restart"/>
            <w:tcBorders>
              <w:top w:val="single" w:sz="4" w:space="0" w:color="auto"/>
              <w:bottom w:val="nil"/>
            </w:tcBorders>
            <w:hideMark/>
          </w:tcPr>
          <w:p w14:paraId="6FECEC93" w14:textId="77777777" w:rsidR="00CB6EE2" w:rsidRPr="00E64EF0" w:rsidRDefault="00CB6EE2" w:rsidP="007C3A17">
            <w:pPr>
              <w:contextualSpacing/>
              <w:rPr>
                <w:rFonts w:ascii="Arial" w:eastAsia="Times New Roman" w:hAnsi="Arial" w:cs="Arial"/>
                <w:b/>
                <w:bCs/>
                <w:iCs/>
              </w:rPr>
            </w:pPr>
            <w:r w:rsidRPr="00E64EF0">
              <w:rPr>
                <w:rFonts w:ascii="Arial" w:eastAsia="Times New Roman" w:hAnsi="Arial" w:cs="Arial"/>
                <w:b/>
                <w:bCs/>
                <w:iCs/>
              </w:rPr>
              <w:t>Residual Diagnostics</w:t>
            </w:r>
          </w:p>
        </w:tc>
        <w:tc>
          <w:tcPr>
            <w:tcW w:w="2340" w:type="dxa"/>
            <w:tcBorders>
              <w:top w:val="single" w:sz="4" w:space="0" w:color="auto"/>
              <w:bottom w:val="nil"/>
            </w:tcBorders>
            <w:hideMark/>
          </w:tcPr>
          <w:p w14:paraId="6F3CBA29"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Arch LM Test statistic</w:t>
            </w:r>
          </w:p>
        </w:tc>
        <w:tc>
          <w:tcPr>
            <w:tcW w:w="1440" w:type="dxa"/>
            <w:tcBorders>
              <w:top w:val="single" w:sz="4" w:space="0" w:color="auto"/>
              <w:bottom w:val="nil"/>
            </w:tcBorders>
            <w:hideMark/>
          </w:tcPr>
          <w:p w14:paraId="07BEB35B"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1.906326</w:t>
            </w:r>
          </w:p>
        </w:tc>
        <w:tc>
          <w:tcPr>
            <w:tcW w:w="1800" w:type="dxa"/>
            <w:tcBorders>
              <w:top w:val="single" w:sz="4" w:space="0" w:color="auto"/>
              <w:bottom w:val="nil"/>
            </w:tcBorders>
            <w:hideMark/>
          </w:tcPr>
          <w:p w14:paraId="39F3524C"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0.464604</w:t>
            </w:r>
          </w:p>
        </w:tc>
        <w:tc>
          <w:tcPr>
            <w:tcW w:w="2114" w:type="dxa"/>
            <w:tcBorders>
              <w:top w:val="single" w:sz="4" w:space="0" w:color="auto"/>
              <w:bottom w:val="nil"/>
            </w:tcBorders>
            <w:hideMark/>
          </w:tcPr>
          <w:p w14:paraId="46A8F5D7"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1.717679</w:t>
            </w:r>
          </w:p>
        </w:tc>
      </w:tr>
      <w:tr w:rsidR="00CB6EE2" w:rsidRPr="00E64EF0" w14:paraId="0C3689EA" w14:textId="77777777" w:rsidTr="00CB6EE2">
        <w:trPr>
          <w:trHeight w:val="20"/>
          <w:jc w:val="center"/>
        </w:trPr>
        <w:tc>
          <w:tcPr>
            <w:tcW w:w="1366" w:type="dxa"/>
            <w:vMerge/>
            <w:tcBorders>
              <w:top w:val="nil"/>
            </w:tcBorders>
            <w:hideMark/>
          </w:tcPr>
          <w:p w14:paraId="2E3518DD" w14:textId="77777777" w:rsidR="00CB6EE2" w:rsidRPr="00E64EF0" w:rsidRDefault="00CB6EE2" w:rsidP="007C3A17">
            <w:pPr>
              <w:contextualSpacing/>
              <w:rPr>
                <w:rFonts w:ascii="Arial" w:eastAsia="Times New Roman" w:hAnsi="Arial" w:cs="Arial"/>
                <w:b/>
                <w:bCs/>
                <w:iCs/>
              </w:rPr>
            </w:pPr>
          </w:p>
        </w:tc>
        <w:tc>
          <w:tcPr>
            <w:tcW w:w="2340" w:type="dxa"/>
            <w:tcBorders>
              <w:top w:val="nil"/>
            </w:tcBorders>
            <w:hideMark/>
          </w:tcPr>
          <w:p w14:paraId="46079932"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P-Value</w:t>
            </w:r>
          </w:p>
        </w:tc>
        <w:tc>
          <w:tcPr>
            <w:tcW w:w="1440" w:type="dxa"/>
            <w:tcBorders>
              <w:top w:val="nil"/>
            </w:tcBorders>
            <w:hideMark/>
          </w:tcPr>
          <w:p w14:paraId="2C8CF4DF"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0.1675</w:t>
            </w:r>
          </w:p>
        </w:tc>
        <w:tc>
          <w:tcPr>
            <w:tcW w:w="1800" w:type="dxa"/>
            <w:tcBorders>
              <w:top w:val="nil"/>
            </w:tcBorders>
            <w:hideMark/>
          </w:tcPr>
          <w:p w14:paraId="369AE375"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0.4955</w:t>
            </w:r>
          </w:p>
        </w:tc>
        <w:tc>
          <w:tcPr>
            <w:tcW w:w="2114" w:type="dxa"/>
            <w:tcBorders>
              <w:top w:val="nil"/>
            </w:tcBorders>
            <w:hideMark/>
          </w:tcPr>
          <w:p w14:paraId="6F14CE2D" w14:textId="77777777" w:rsidR="00CB6EE2" w:rsidRPr="00E64EF0" w:rsidRDefault="00CB6EE2" w:rsidP="007C3A17">
            <w:pPr>
              <w:contextualSpacing/>
              <w:rPr>
                <w:rFonts w:ascii="Arial" w:eastAsia="Times New Roman" w:hAnsi="Arial" w:cs="Arial"/>
                <w:bCs/>
                <w:iCs/>
              </w:rPr>
            </w:pPr>
            <w:r w:rsidRPr="00E64EF0">
              <w:rPr>
                <w:rFonts w:ascii="Arial" w:eastAsia="Times New Roman" w:hAnsi="Arial" w:cs="Arial"/>
                <w:bCs/>
                <w:iCs/>
              </w:rPr>
              <w:t>0.1901</w:t>
            </w:r>
          </w:p>
        </w:tc>
      </w:tr>
    </w:tbl>
    <w:p w14:paraId="43D3714F" w14:textId="21AEC170" w:rsidR="00CB6EE2" w:rsidRPr="00E64EF0" w:rsidRDefault="00CB6EE2" w:rsidP="004C7A6E">
      <w:pPr>
        <w:spacing w:after="0" w:line="240" w:lineRule="auto"/>
        <w:contextualSpacing/>
        <w:jc w:val="both"/>
        <w:rPr>
          <w:rFonts w:ascii="Arial" w:eastAsia="Times New Roman" w:hAnsi="Arial" w:cs="Arial"/>
          <w:bCs/>
          <w:iCs/>
          <w:sz w:val="20"/>
          <w:szCs w:val="20"/>
        </w:rPr>
      </w:pPr>
    </w:p>
    <w:p w14:paraId="61622DE9" w14:textId="77777777" w:rsidR="00CB6EE2" w:rsidRPr="00E64EF0" w:rsidRDefault="00CB6EE2" w:rsidP="004C7A6E">
      <w:pPr>
        <w:spacing w:after="0" w:line="240" w:lineRule="auto"/>
        <w:contextualSpacing/>
        <w:jc w:val="both"/>
        <w:rPr>
          <w:rFonts w:ascii="Arial" w:eastAsia="Times New Roman" w:hAnsi="Arial" w:cs="Arial"/>
          <w:bCs/>
          <w:iCs/>
          <w:sz w:val="20"/>
          <w:szCs w:val="20"/>
        </w:rPr>
        <w:sectPr w:rsidR="00CB6EE2" w:rsidRPr="00E64EF0" w:rsidSect="009304A6">
          <w:type w:val="continuous"/>
          <w:pgSz w:w="11909" w:h="16834" w:code="9"/>
          <w:pgMar w:top="1440" w:right="1440" w:bottom="1440" w:left="1440" w:header="720" w:footer="864" w:gutter="0"/>
          <w:cols w:space="720"/>
          <w:titlePg/>
          <w:docGrid w:linePitch="360"/>
        </w:sectPr>
      </w:pPr>
    </w:p>
    <w:p w14:paraId="0A951E09" w14:textId="4A7764C8"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 xml:space="preserve">To predict the volatility of Nifty 50, Nifty Mid Cap 50 &amp; Nifty Small Cap 50, GARCH family models are employed. Stationarity of series and presence of heteroscedasticity are the </w:t>
      </w:r>
      <w:proofErr w:type="gramStart"/>
      <w:r w:rsidRPr="00E64EF0">
        <w:rPr>
          <w:rFonts w:ascii="Arial" w:eastAsia="Times New Roman" w:hAnsi="Arial" w:cs="Arial"/>
          <w:bCs/>
          <w:iCs/>
          <w:sz w:val="20"/>
          <w:szCs w:val="20"/>
        </w:rPr>
        <w:t>pre conditions</w:t>
      </w:r>
      <w:proofErr w:type="gramEnd"/>
      <w:r w:rsidRPr="00E64EF0">
        <w:rPr>
          <w:rFonts w:ascii="Arial" w:eastAsia="Times New Roman" w:hAnsi="Arial" w:cs="Arial"/>
          <w:bCs/>
          <w:iCs/>
          <w:sz w:val="20"/>
          <w:szCs w:val="20"/>
        </w:rPr>
        <w:t xml:space="preserve"> to be met before applying GARCH models.</w:t>
      </w:r>
      <w:r w:rsidR="00BC12DD"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To examine the above-mentioned conditions, the ADF test &amp; ARCH-LM test were applied respectively.</w:t>
      </w:r>
    </w:p>
    <w:p w14:paraId="5396AC0C" w14:textId="77777777" w:rsidR="004C7A6E" w:rsidRPr="00E64EF0" w:rsidRDefault="004C7A6E" w:rsidP="004C7A6E">
      <w:pPr>
        <w:spacing w:after="0" w:line="240" w:lineRule="auto"/>
        <w:contextualSpacing/>
        <w:jc w:val="both"/>
        <w:rPr>
          <w:rFonts w:ascii="Arial" w:eastAsia="Times New Roman" w:hAnsi="Arial" w:cs="Arial"/>
          <w:bCs/>
          <w:iCs/>
          <w:sz w:val="20"/>
          <w:szCs w:val="20"/>
        </w:rPr>
      </w:pPr>
    </w:p>
    <w:p w14:paraId="15ADEC4E" w14:textId="40A9E1A7" w:rsidR="004C7A6E" w:rsidRPr="00E64EF0" w:rsidRDefault="000721BC" w:rsidP="000721BC">
      <w:pPr>
        <w:spacing w:after="0" w:line="240" w:lineRule="auto"/>
        <w:contextualSpacing/>
        <w:jc w:val="both"/>
        <w:rPr>
          <w:rFonts w:ascii="Arial" w:eastAsia="Times New Roman" w:hAnsi="Arial" w:cs="Arial"/>
          <w:b/>
          <w:bCs/>
          <w:iCs/>
          <w:szCs w:val="20"/>
        </w:rPr>
      </w:pPr>
      <w:r w:rsidRPr="00E64EF0">
        <w:rPr>
          <w:rFonts w:ascii="Arial" w:eastAsia="Times New Roman" w:hAnsi="Arial" w:cs="Arial"/>
          <w:b/>
          <w:bCs/>
          <w:iCs/>
          <w:szCs w:val="20"/>
        </w:rPr>
        <w:t xml:space="preserve">4.2 </w:t>
      </w:r>
      <w:r w:rsidR="004C7A6E" w:rsidRPr="00E64EF0">
        <w:rPr>
          <w:rFonts w:ascii="Arial" w:eastAsia="Times New Roman" w:hAnsi="Arial" w:cs="Arial"/>
          <w:b/>
          <w:bCs/>
          <w:iCs/>
          <w:szCs w:val="20"/>
        </w:rPr>
        <w:t xml:space="preserve">ARCH and GARCH </w:t>
      </w:r>
      <w:r w:rsidRPr="00E64EF0">
        <w:rPr>
          <w:rFonts w:ascii="Arial" w:eastAsia="Times New Roman" w:hAnsi="Arial" w:cs="Arial"/>
          <w:b/>
          <w:bCs/>
          <w:iCs/>
          <w:szCs w:val="20"/>
        </w:rPr>
        <w:t>Result</w:t>
      </w:r>
    </w:p>
    <w:p w14:paraId="5108146B" w14:textId="77777777" w:rsidR="000721BC" w:rsidRPr="00E64EF0" w:rsidRDefault="000721BC" w:rsidP="000721BC">
      <w:pPr>
        <w:spacing w:after="0" w:line="240" w:lineRule="auto"/>
        <w:contextualSpacing/>
        <w:jc w:val="both"/>
        <w:rPr>
          <w:rFonts w:ascii="Arial" w:eastAsia="Times New Roman" w:hAnsi="Arial" w:cs="Arial"/>
          <w:b/>
          <w:bCs/>
          <w:iCs/>
          <w:sz w:val="20"/>
          <w:szCs w:val="20"/>
        </w:rPr>
      </w:pPr>
    </w:p>
    <w:p w14:paraId="1A889542" w14:textId="6B5CA49C"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 xml:space="preserve">Table 2 here projects the results of Unit root test &amp; presence of heteroscedasticity of the dataset. The null hypothesis of ADF test is that there is presence of unit root among series. It is evident from the column 1 of the </w:t>
      </w:r>
      <w:r w:rsidR="00506767" w:rsidRPr="00E64EF0">
        <w:rPr>
          <w:rFonts w:ascii="Arial" w:eastAsia="Times New Roman" w:hAnsi="Arial" w:cs="Arial"/>
          <w:bCs/>
          <w:iCs/>
          <w:sz w:val="20"/>
          <w:szCs w:val="20"/>
        </w:rPr>
        <w:t xml:space="preserve">Table 2 </w:t>
      </w:r>
      <w:r w:rsidRPr="00E64EF0">
        <w:rPr>
          <w:rFonts w:ascii="Arial" w:eastAsia="Times New Roman" w:hAnsi="Arial" w:cs="Arial"/>
          <w:bCs/>
          <w:iCs/>
          <w:sz w:val="20"/>
          <w:szCs w:val="20"/>
        </w:rPr>
        <w:t>that the null hypothesis has been not supported, resulting that there is stationarity among the series. The null hypothesis of Arch-LM test is that there is no existing ARCH up to order q in the residuals. Since the p-value of Arch-LM test was less than 0.05, it is concluded that there is autoregressive conditional heteroscedasticity in the dataset. As the required conditions to apply GARCH has been fulfilled, GARCH (1,1) model can be applied to the return series.</w:t>
      </w:r>
    </w:p>
    <w:p w14:paraId="04D2CE43" w14:textId="77777777" w:rsidR="004C7A6E" w:rsidRPr="00E64EF0" w:rsidRDefault="004C7A6E" w:rsidP="004C7A6E">
      <w:pPr>
        <w:spacing w:after="0" w:line="240" w:lineRule="auto"/>
        <w:contextualSpacing/>
        <w:jc w:val="both"/>
        <w:rPr>
          <w:rFonts w:ascii="Arial" w:eastAsia="Times New Roman" w:hAnsi="Arial" w:cs="Arial"/>
          <w:bCs/>
          <w:iCs/>
          <w:sz w:val="20"/>
          <w:szCs w:val="20"/>
        </w:rPr>
      </w:pPr>
    </w:p>
    <w:p w14:paraId="5D7F30D4" w14:textId="3739E25E"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To estimate the volatility of Nifty Indices, GARCH (1,1) model has been used. Table 3 here depicts the estimation of GARCH model applied on Nifty 50, Nifty Mid Cap 50 &amp; Nifty Small Cap 50.</w:t>
      </w:r>
      <w:r w:rsidR="00CD358A"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 xml:space="preserve">The Arch term tells that the current data is influenced by the past squared residual term </w:t>
      </w:r>
      <w:proofErr w:type="gramStart"/>
      <w:r w:rsidRPr="00E64EF0">
        <w:rPr>
          <w:rFonts w:ascii="Arial" w:eastAsia="Times New Roman" w:hAnsi="Arial" w:cs="Arial"/>
          <w:bCs/>
          <w:iCs/>
          <w:sz w:val="20"/>
          <w:szCs w:val="20"/>
        </w:rPr>
        <w:t>( news</w:t>
      </w:r>
      <w:proofErr w:type="gramEnd"/>
      <w:r w:rsidRPr="00E64EF0">
        <w:rPr>
          <w:rFonts w:ascii="Arial" w:eastAsia="Times New Roman" w:hAnsi="Arial" w:cs="Arial"/>
          <w:bCs/>
          <w:iCs/>
          <w:sz w:val="20"/>
          <w:szCs w:val="20"/>
        </w:rPr>
        <w:t xml:space="preserve"> about previous volatility). Whereas, The GARCH term here says that previous volatility has a significant influence in current volatility.</w:t>
      </w:r>
      <w:r w:rsidR="00BC12DD"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 xml:space="preserve">The arch coefficient of Nifty 50 (0.021856), Nifty Mid Cap 50 (0.053212) &amp; Nifty Small Cap 50 (0.062911) are positively significant at 1% level. The </w:t>
      </w:r>
      <w:proofErr w:type="spellStart"/>
      <w:r w:rsidRPr="00E64EF0">
        <w:rPr>
          <w:rFonts w:ascii="Arial" w:eastAsia="Times New Roman" w:hAnsi="Arial" w:cs="Arial"/>
          <w:bCs/>
          <w:iCs/>
          <w:sz w:val="20"/>
          <w:szCs w:val="20"/>
        </w:rPr>
        <w:t>Garch</w:t>
      </w:r>
      <w:proofErr w:type="spellEnd"/>
      <w:r w:rsidRPr="00E64EF0">
        <w:rPr>
          <w:rFonts w:ascii="Arial" w:eastAsia="Times New Roman" w:hAnsi="Arial" w:cs="Arial"/>
          <w:bCs/>
          <w:iCs/>
          <w:sz w:val="20"/>
          <w:szCs w:val="20"/>
        </w:rPr>
        <w:t xml:space="preserve"> coefficient of Nifty 50 (0.900989), Nifty Mid Cap 50 (0.865514) &amp; Nifty Small Cap 50 (0.802045) are also positively significant at 1% level.</w:t>
      </w:r>
      <w:r w:rsidR="00BC12DD"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This leads to interpretation that the previous news</w:t>
      </w:r>
      <w:r w:rsidR="00BC12DD"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&amp;</w:t>
      </w:r>
      <w:r w:rsidR="00BC12DD"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 xml:space="preserve">previous volatility has </w:t>
      </w:r>
      <w:proofErr w:type="spellStart"/>
      <w:proofErr w:type="gramStart"/>
      <w:r w:rsidRPr="00E64EF0">
        <w:rPr>
          <w:rFonts w:ascii="Arial" w:eastAsia="Times New Roman" w:hAnsi="Arial" w:cs="Arial"/>
          <w:bCs/>
          <w:iCs/>
          <w:sz w:val="20"/>
          <w:szCs w:val="20"/>
        </w:rPr>
        <w:t>a</w:t>
      </w:r>
      <w:proofErr w:type="spellEnd"/>
      <w:proofErr w:type="gramEnd"/>
      <w:r w:rsidRPr="00E64EF0">
        <w:rPr>
          <w:rFonts w:ascii="Arial" w:eastAsia="Times New Roman" w:hAnsi="Arial" w:cs="Arial"/>
          <w:bCs/>
          <w:iCs/>
          <w:sz w:val="20"/>
          <w:szCs w:val="20"/>
        </w:rPr>
        <w:t xml:space="preserve"> influence over current volatility among these indices. Sum of Arch &amp;</w:t>
      </w:r>
      <w:proofErr w:type="spellStart"/>
      <w:r w:rsidRPr="00E64EF0">
        <w:rPr>
          <w:rFonts w:ascii="Arial" w:eastAsia="Times New Roman" w:hAnsi="Arial" w:cs="Arial"/>
          <w:bCs/>
          <w:iCs/>
          <w:sz w:val="20"/>
          <w:szCs w:val="20"/>
        </w:rPr>
        <w:t>Garch</w:t>
      </w:r>
      <w:proofErr w:type="spellEnd"/>
      <w:r w:rsidRPr="00E64EF0">
        <w:rPr>
          <w:rFonts w:ascii="Arial" w:eastAsia="Times New Roman" w:hAnsi="Arial" w:cs="Arial"/>
          <w:bCs/>
          <w:iCs/>
          <w:sz w:val="20"/>
          <w:szCs w:val="20"/>
        </w:rPr>
        <w:t xml:space="preserve"> coefficients depicts the persistence level of Volatility. If sum of these terms is one then they are persistent. In this study, sum of arch and </w:t>
      </w:r>
      <w:proofErr w:type="spellStart"/>
      <w:r w:rsidRPr="00E64EF0">
        <w:rPr>
          <w:rFonts w:ascii="Arial" w:eastAsia="Times New Roman" w:hAnsi="Arial" w:cs="Arial"/>
          <w:bCs/>
          <w:iCs/>
          <w:sz w:val="20"/>
          <w:szCs w:val="20"/>
        </w:rPr>
        <w:t>garch</w:t>
      </w:r>
      <w:proofErr w:type="spellEnd"/>
      <w:r w:rsidRPr="00E64EF0">
        <w:rPr>
          <w:rFonts w:ascii="Arial" w:eastAsia="Times New Roman" w:hAnsi="Arial" w:cs="Arial"/>
          <w:bCs/>
          <w:iCs/>
          <w:sz w:val="20"/>
          <w:szCs w:val="20"/>
        </w:rPr>
        <w:t xml:space="preserve"> term for Nifty 50, Nifty Mid Cap 50 is &amp; Nifty Small Cap 50 is closer to unity we can </w:t>
      </w:r>
      <w:r w:rsidRPr="00E64EF0">
        <w:rPr>
          <w:rFonts w:ascii="Arial" w:eastAsia="Times New Roman" w:hAnsi="Arial" w:cs="Arial"/>
          <w:bCs/>
          <w:iCs/>
          <w:sz w:val="20"/>
          <w:szCs w:val="20"/>
        </w:rPr>
        <w:t>conclude that the volatility of Nifty 50, Nifty Mid Cap 50 &amp; Nifty Small Cap 50 can be mean reverting and time decaying.</w:t>
      </w:r>
    </w:p>
    <w:p w14:paraId="13E5B83B" w14:textId="77777777" w:rsidR="004C7A6E" w:rsidRPr="00E64EF0" w:rsidRDefault="004C7A6E" w:rsidP="004C7A6E">
      <w:pPr>
        <w:spacing w:after="0" w:line="240" w:lineRule="auto"/>
        <w:contextualSpacing/>
        <w:jc w:val="both"/>
        <w:rPr>
          <w:rFonts w:ascii="Arial" w:eastAsia="Times New Roman" w:hAnsi="Arial" w:cs="Arial"/>
          <w:bCs/>
          <w:iCs/>
          <w:sz w:val="20"/>
          <w:szCs w:val="20"/>
        </w:rPr>
      </w:pPr>
    </w:p>
    <w:p w14:paraId="6ED97C02" w14:textId="34B8806A"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Foreign Institutional Investors &amp; Domestic Institutional Investors have a great influence on the volatility on Indian stock market.</w:t>
      </w:r>
      <w:r w:rsidR="00506767" w:rsidRPr="00E64EF0">
        <w:rPr>
          <w:rFonts w:ascii="Arial" w:eastAsia="Times New Roman" w:hAnsi="Arial" w:cs="Arial"/>
          <w:bCs/>
          <w:iCs/>
          <w:sz w:val="20"/>
          <w:szCs w:val="20"/>
        </w:rPr>
        <w:t xml:space="preserve"> Table 4 </w:t>
      </w:r>
      <w:r w:rsidRPr="00E64EF0">
        <w:rPr>
          <w:rFonts w:ascii="Arial" w:eastAsia="Times New Roman" w:hAnsi="Arial" w:cs="Arial"/>
          <w:bCs/>
          <w:iCs/>
          <w:sz w:val="20"/>
          <w:szCs w:val="20"/>
        </w:rPr>
        <w:t xml:space="preserve">shows the impact of previous days Net flows of FII &amp; DII on the volatility of Nifty 50, Nifty Midcap 50 &amp; Nifty </w:t>
      </w:r>
      <w:proofErr w:type="spellStart"/>
      <w:r w:rsidRPr="00E64EF0">
        <w:rPr>
          <w:rFonts w:ascii="Arial" w:eastAsia="Times New Roman" w:hAnsi="Arial" w:cs="Arial"/>
          <w:bCs/>
          <w:iCs/>
          <w:sz w:val="20"/>
          <w:szCs w:val="20"/>
        </w:rPr>
        <w:t>Smallcap</w:t>
      </w:r>
      <w:proofErr w:type="spellEnd"/>
      <w:r w:rsidRPr="00E64EF0">
        <w:rPr>
          <w:rFonts w:ascii="Arial" w:eastAsia="Times New Roman" w:hAnsi="Arial" w:cs="Arial"/>
          <w:bCs/>
          <w:iCs/>
          <w:sz w:val="20"/>
          <w:szCs w:val="20"/>
        </w:rPr>
        <w:t xml:space="preserve"> 50. It is evident from 1% significant level that both the FII &amp; DII impact the volatility of all the three indices. The negative coefficients indicate a correlation between previous day net flows of FII &amp; DII and reduction in the volatility of Nifty 50, Nifty MidCap50 &amp; Nifty Smallcap50.</w:t>
      </w:r>
    </w:p>
    <w:p w14:paraId="28774AFE" w14:textId="77777777" w:rsidR="004C7A6E" w:rsidRPr="00E64EF0" w:rsidRDefault="004C7A6E" w:rsidP="004C7A6E">
      <w:pPr>
        <w:spacing w:after="0" w:line="240" w:lineRule="auto"/>
        <w:contextualSpacing/>
        <w:jc w:val="both"/>
        <w:rPr>
          <w:rFonts w:ascii="Arial" w:eastAsia="Times New Roman" w:hAnsi="Arial" w:cs="Arial"/>
          <w:b/>
          <w:bCs/>
          <w:iCs/>
          <w:sz w:val="20"/>
          <w:szCs w:val="20"/>
        </w:rPr>
      </w:pPr>
    </w:p>
    <w:p w14:paraId="0384CC44" w14:textId="0B895524" w:rsidR="004C7A6E" w:rsidRPr="00E64EF0" w:rsidRDefault="000721BC" w:rsidP="000721BC">
      <w:pPr>
        <w:pStyle w:val="Heading2"/>
        <w:rPr>
          <w:rFonts w:eastAsia="Times New Roman"/>
        </w:rPr>
      </w:pPr>
      <w:r w:rsidRPr="00E64EF0">
        <w:rPr>
          <w:rFonts w:eastAsia="Times New Roman"/>
        </w:rPr>
        <w:t>5. CONCLUSION</w:t>
      </w:r>
    </w:p>
    <w:p w14:paraId="33503327" w14:textId="77777777" w:rsidR="000721BC" w:rsidRPr="00E64EF0" w:rsidRDefault="000721BC" w:rsidP="004C7A6E">
      <w:pPr>
        <w:spacing w:after="0" w:line="240" w:lineRule="auto"/>
        <w:contextualSpacing/>
        <w:jc w:val="both"/>
        <w:rPr>
          <w:rFonts w:ascii="Arial" w:eastAsia="Times New Roman" w:hAnsi="Arial" w:cs="Arial"/>
          <w:bCs/>
          <w:iCs/>
          <w:sz w:val="20"/>
          <w:szCs w:val="20"/>
        </w:rPr>
      </w:pPr>
    </w:p>
    <w:p w14:paraId="189D05F3" w14:textId="6CB3F3A4"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 xml:space="preserve">The paper examined the impact of Net flows of FIIs &amp; DIIs on the Nifty Broader Indices by </w:t>
      </w:r>
      <w:r w:rsidR="00CB6EE2"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using GARCH (1, 1) model and exogenous regressor. 10 years return series from 20</w:t>
      </w:r>
      <w:r w:rsidRPr="00E64EF0">
        <w:rPr>
          <w:rFonts w:ascii="Arial" w:eastAsia="Times New Roman" w:hAnsi="Arial" w:cs="Arial"/>
          <w:bCs/>
          <w:iCs/>
          <w:sz w:val="20"/>
          <w:szCs w:val="20"/>
          <w:vertAlign w:val="superscript"/>
        </w:rPr>
        <w:t>th</w:t>
      </w:r>
      <w:r w:rsidRPr="00E64EF0">
        <w:rPr>
          <w:rFonts w:ascii="Arial" w:eastAsia="Times New Roman" w:hAnsi="Arial" w:cs="Arial"/>
          <w:bCs/>
          <w:iCs/>
          <w:sz w:val="20"/>
          <w:szCs w:val="20"/>
        </w:rPr>
        <w:t xml:space="preserve"> February 2014 to 20</w:t>
      </w:r>
      <w:r w:rsidRPr="00E64EF0">
        <w:rPr>
          <w:rFonts w:ascii="Arial" w:eastAsia="Times New Roman" w:hAnsi="Arial" w:cs="Arial"/>
          <w:bCs/>
          <w:iCs/>
          <w:sz w:val="20"/>
          <w:szCs w:val="20"/>
          <w:vertAlign w:val="superscript"/>
        </w:rPr>
        <w:t>th</w:t>
      </w:r>
      <w:r w:rsidRPr="00E64EF0">
        <w:rPr>
          <w:rFonts w:ascii="Arial" w:eastAsia="Times New Roman" w:hAnsi="Arial" w:cs="Arial"/>
          <w:bCs/>
          <w:iCs/>
          <w:sz w:val="20"/>
          <w:szCs w:val="20"/>
        </w:rPr>
        <w:t xml:space="preserve"> February 2024 of Nifty 50, Nifty Mid Cap 50 &amp; Nifty Small Cap 50 was </w:t>
      </w:r>
      <w:r w:rsidR="00CB6EE2"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 xml:space="preserve">used to carry out the study. The volatility of the indices </w:t>
      </w:r>
      <w:proofErr w:type="gramStart"/>
      <w:r w:rsidRPr="00E64EF0">
        <w:rPr>
          <w:rFonts w:ascii="Arial" w:eastAsia="Times New Roman" w:hAnsi="Arial" w:cs="Arial"/>
          <w:bCs/>
          <w:iCs/>
          <w:sz w:val="20"/>
          <w:szCs w:val="20"/>
        </w:rPr>
        <w:t>are</w:t>
      </w:r>
      <w:proofErr w:type="gramEnd"/>
      <w:r w:rsidRPr="00E64EF0">
        <w:rPr>
          <w:rFonts w:ascii="Arial" w:eastAsia="Times New Roman" w:hAnsi="Arial" w:cs="Arial"/>
          <w:bCs/>
          <w:iCs/>
          <w:sz w:val="20"/>
          <w:szCs w:val="20"/>
        </w:rPr>
        <w:t xml:space="preserve"> highly influenced by the flow from FII as well as DII at the same time the current </w:t>
      </w:r>
      <w:r w:rsidR="00CB6EE2"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 xml:space="preserve">data is influenced by the past squared </w:t>
      </w:r>
      <w:r w:rsidR="00CB6EE2"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residual term.</w:t>
      </w:r>
      <w:r w:rsidR="00F314DA"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 xml:space="preserve">Nifty 50, Nifty Mid Cap 50 &amp; Nifty Small Cap 50 can be mean reverting and </w:t>
      </w:r>
      <w:r w:rsidR="00CB6EE2" w:rsidRPr="00E64EF0">
        <w:rPr>
          <w:rFonts w:ascii="Arial" w:eastAsia="Times New Roman" w:hAnsi="Arial" w:cs="Arial"/>
          <w:bCs/>
          <w:iCs/>
          <w:sz w:val="20"/>
          <w:szCs w:val="20"/>
        </w:rPr>
        <w:t xml:space="preserve">                </w:t>
      </w:r>
      <w:r w:rsidRPr="00E64EF0">
        <w:rPr>
          <w:rFonts w:ascii="Arial" w:eastAsia="Times New Roman" w:hAnsi="Arial" w:cs="Arial"/>
          <w:bCs/>
          <w:iCs/>
          <w:sz w:val="20"/>
          <w:szCs w:val="20"/>
        </w:rPr>
        <w:t xml:space="preserve">time decaying. While considering the stock market as a whole it can also be observed that there is a strong impact of FII as well as DII on Indian capital market (Kannan &amp; </w:t>
      </w:r>
      <w:proofErr w:type="spellStart"/>
      <w:r w:rsidRPr="00E64EF0">
        <w:rPr>
          <w:rFonts w:ascii="Arial" w:eastAsia="Times New Roman" w:hAnsi="Arial" w:cs="Arial"/>
          <w:bCs/>
          <w:iCs/>
          <w:sz w:val="20"/>
          <w:szCs w:val="20"/>
        </w:rPr>
        <w:t>Arockiam</w:t>
      </w:r>
      <w:proofErr w:type="spellEnd"/>
      <w:r w:rsidRPr="00E64EF0">
        <w:rPr>
          <w:rFonts w:ascii="Arial" w:eastAsia="Times New Roman" w:hAnsi="Arial" w:cs="Arial"/>
          <w:bCs/>
          <w:iCs/>
          <w:sz w:val="20"/>
          <w:szCs w:val="20"/>
        </w:rPr>
        <w:t xml:space="preserve">, 2016). </w:t>
      </w:r>
      <w:proofErr w:type="gramStart"/>
      <w:r w:rsidRPr="00E64EF0">
        <w:rPr>
          <w:rFonts w:ascii="Arial" w:eastAsia="Times New Roman" w:hAnsi="Arial" w:cs="Arial"/>
          <w:bCs/>
          <w:iCs/>
          <w:sz w:val="20"/>
          <w:szCs w:val="20"/>
        </w:rPr>
        <w:t>So</w:t>
      </w:r>
      <w:proofErr w:type="gramEnd"/>
      <w:r w:rsidRPr="00E64EF0">
        <w:rPr>
          <w:rFonts w:ascii="Arial" w:eastAsia="Times New Roman" w:hAnsi="Arial" w:cs="Arial"/>
          <w:bCs/>
          <w:iCs/>
          <w:sz w:val="20"/>
          <w:szCs w:val="20"/>
        </w:rPr>
        <w:t xml:space="preserve"> increase in capital flow whether FII or DII or retail funds influences the stock market grow and vice-versa and these flows appreciates the volatility of all the indices. While making an investment decision it is necessary not understand the impact of all the factors contributing to volatility of the market and the stocks as well.</w:t>
      </w:r>
    </w:p>
    <w:p w14:paraId="5AFA0C6C" w14:textId="6B0C9235"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The study provides a useful insight to the policy makers, Government and regulatory bodies to have proper steps to strengthen the flow of funds. This study will be helpful to the portfolio managers and retail investors to understand the volatility and its linkage to FII and DII.</w:t>
      </w:r>
    </w:p>
    <w:p w14:paraId="6808C3A8" w14:textId="77777777" w:rsidR="000721BC" w:rsidRPr="00E64EF0" w:rsidRDefault="000721BC" w:rsidP="004C7A6E">
      <w:pPr>
        <w:spacing w:after="0" w:line="240" w:lineRule="auto"/>
        <w:contextualSpacing/>
        <w:jc w:val="both"/>
        <w:rPr>
          <w:rFonts w:ascii="Arial" w:eastAsia="Times New Roman" w:hAnsi="Arial" w:cs="Arial"/>
          <w:bCs/>
          <w:iCs/>
          <w:sz w:val="20"/>
          <w:szCs w:val="20"/>
        </w:rPr>
      </w:pPr>
    </w:p>
    <w:p w14:paraId="45BB8092" w14:textId="204D52C9" w:rsidR="004C7A6E" w:rsidRPr="00E64EF0" w:rsidRDefault="000721BC" w:rsidP="000721BC">
      <w:pPr>
        <w:pStyle w:val="Heading2"/>
        <w:rPr>
          <w:rFonts w:eastAsia="Times New Roman"/>
          <w:sz w:val="21"/>
          <w:szCs w:val="21"/>
        </w:rPr>
      </w:pPr>
      <w:bookmarkStart w:id="1" w:name="_Hlk180402183"/>
      <w:bookmarkStart w:id="2" w:name="_Hlk183680988"/>
      <w:r w:rsidRPr="00E64EF0">
        <w:rPr>
          <w:rFonts w:eastAsia="Times New Roman"/>
          <w:sz w:val="21"/>
          <w:szCs w:val="21"/>
        </w:rPr>
        <w:lastRenderedPageBreak/>
        <w:t>DISCLAIMER (ARTIFICIAL INTELLIGENCE)</w:t>
      </w:r>
    </w:p>
    <w:p w14:paraId="1CB2B018" w14:textId="77777777" w:rsidR="000721BC" w:rsidRPr="00E64EF0" w:rsidRDefault="000721BC" w:rsidP="004C7A6E">
      <w:pPr>
        <w:spacing w:after="0" w:line="240" w:lineRule="auto"/>
        <w:contextualSpacing/>
        <w:jc w:val="both"/>
        <w:rPr>
          <w:rFonts w:ascii="Arial" w:eastAsia="Times New Roman" w:hAnsi="Arial" w:cs="Arial"/>
          <w:bCs/>
          <w:iCs/>
          <w:sz w:val="20"/>
          <w:szCs w:val="20"/>
        </w:rPr>
      </w:pPr>
    </w:p>
    <w:p w14:paraId="4EB4BDAA" w14:textId="623EC259" w:rsidR="004C7A6E" w:rsidRPr="00E64EF0" w:rsidRDefault="004C7A6E" w:rsidP="004C7A6E">
      <w:pPr>
        <w:spacing w:after="0" w:line="240" w:lineRule="auto"/>
        <w:contextualSpacing/>
        <w:jc w:val="both"/>
        <w:rPr>
          <w:rFonts w:ascii="Arial" w:eastAsia="Times New Roman" w:hAnsi="Arial" w:cs="Arial"/>
          <w:bCs/>
          <w:iCs/>
          <w:sz w:val="20"/>
          <w:szCs w:val="20"/>
        </w:rPr>
      </w:pPr>
      <w:r w:rsidRPr="00E64EF0">
        <w:rPr>
          <w:rFonts w:ascii="Arial" w:eastAsia="Times New Roman" w:hAnsi="Arial" w:cs="Arial"/>
          <w:bCs/>
          <w:iCs/>
          <w:sz w:val="20"/>
          <w:szCs w:val="20"/>
        </w:rPr>
        <w:t>Author(s) hereby declare that NO generative AI technologies such as Large Language Models (ChatGPT, COPILOT, etc.) and text-to-image generators have been used during the writing or editing of this manuscript.</w:t>
      </w:r>
    </w:p>
    <w:p w14:paraId="4E6ABB4A" w14:textId="1769F5EC" w:rsidR="000721BC" w:rsidRPr="00E64EF0" w:rsidRDefault="000721BC" w:rsidP="004C7A6E">
      <w:pPr>
        <w:spacing w:after="0" w:line="240" w:lineRule="auto"/>
        <w:contextualSpacing/>
        <w:jc w:val="both"/>
        <w:rPr>
          <w:rFonts w:ascii="Arial" w:eastAsia="Times New Roman" w:hAnsi="Arial" w:cs="Arial"/>
          <w:bCs/>
          <w:iCs/>
          <w:sz w:val="20"/>
          <w:szCs w:val="20"/>
        </w:rPr>
      </w:pPr>
    </w:p>
    <w:p w14:paraId="2EAAE19E" w14:textId="77777777" w:rsidR="000721BC" w:rsidRPr="00E64EF0" w:rsidRDefault="000721BC" w:rsidP="004C7A6E">
      <w:pPr>
        <w:spacing w:after="0" w:line="240" w:lineRule="auto"/>
        <w:contextualSpacing/>
        <w:jc w:val="both"/>
        <w:rPr>
          <w:rFonts w:ascii="Arial" w:eastAsia="Times New Roman" w:hAnsi="Arial" w:cs="Arial"/>
          <w:bCs/>
          <w:iCs/>
          <w:sz w:val="18"/>
          <w:szCs w:val="20"/>
        </w:rPr>
      </w:pPr>
    </w:p>
    <w:bookmarkEnd w:id="1"/>
    <w:bookmarkEnd w:id="2"/>
    <w:p w14:paraId="16793BBF" w14:textId="17CCB2D2" w:rsidR="004C7A6E" w:rsidRPr="00E64EF0" w:rsidRDefault="000721BC" w:rsidP="000721BC">
      <w:pPr>
        <w:pStyle w:val="Heading2"/>
        <w:rPr>
          <w:rFonts w:eastAsia="Times New Roman"/>
        </w:rPr>
      </w:pPr>
      <w:r w:rsidRPr="00E64EF0">
        <w:rPr>
          <w:rFonts w:eastAsia="Times New Roman"/>
        </w:rPr>
        <w:t>REFERENCES</w:t>
      </w:r>
    </w:p>
    <w:p w14:paraId="77CB66C4" w14:textId="77777777" w:rsidR="000721BC" w:rsidRPr="00E64EF0" w:rsidRDefault="000721BC" w:rsidP="004C7A6E">
      <w:pPr>
        <w:spacing w:after="0" w:line="240" w:lineRule="auto"/>
        <w:contextualSpacing/>
        <w:jc w:val="both"/>
        <w:rPr>
          <w:rFonts w:ascii="Arial" w:eastAsia="Times New Roman" w:hAnsi="Arial" w:cs="Arial"/>
          <w:b/>
          <w:bCs/>
          <w:iCs/>
          <w:sz w:val="18"/>
          <w:szCs w:val="20"/>
        </w:rPr>
      </w:pPr>
    </w:p>
    <w:p w14:paraId="51D48CD8" w14:textId="77777777" w:rsidR="005A3C15" w:rsidRPr="00E64EF0" w:rsidRDefault="005A3C15" w:rsidP="005A3C15">
      <w:pPr>
        <w:spacing w:after="0" w:line="240" w:lineRule="auto"/>
        <w:ind w:left="540" w:hanging="540"/>
        <w:contextualSpacing/>
        <w:jc w:val="both"/>
        <w:rPr>
          <w:rFonts w:ascii="Arial" w:eastAsia="Times New Roman" w:hAnsi="Arial" w:cs="Arial"/>
          <w:bCs/>
          <w:iCs/>
          <w:sz w:val="20"/>
          <w:szCs w:val="20"/>
          <w:lang w:val="en-IN"/>
        </w:rPr>
      </w:pPr>
      <w:r w:rsidRPr="00E64EF0">
        <w:rPr>
          <w:rFonts w:ascii="Arial" w:eastAsia="Times New Roman" w:hAnsi="Arial" w:cs="Arial"/>
          <w:bCs/>
          <w:iCs/>
          <w:sz w:val="20"/>
          <w:szCs w:val="20"/>
          <w:lang w:val="en-IN"/>
        </w:rPr>
        <w:t xml:space="preserve">Andersen, T., </w:t>
      </w:r>
      <w:proofErr w:type="spellStart"/>
      <w:r w:rsidRPr="00E64EF0">
        <w:rPr>
          <w:rFonts w:ascii="Arial" w:eastAsia="Times New Roman" w:hAnsi="Arial" w:cs="Arial"/>
          <w:bCs/>
          <w:iCs/>
          <w:sz w:val="20"/>
          <w:szCs w:val="20"/>
          <w:lang w:val="en-IN"/>
        </w:rPr>
        <w:t>Bollerslev</w:t>
      </w:r>
      <w:proofErr w:type="spellEnd"/>
      <w:r w:rsidRPr="00E64EF0">
        <w:rPr>
          <w:rFonts w:ascii="Arial" w:eastAsia="Times New Roman" w:hAnsi="Arial" w:cs="Arial"/>
          <w:bCs/>
          <w:iCs/>
          <w:sz w:val="20"/>
          <w:szCs w:val="20"/>
          <w:lang w:val="en-IN"/>
        </w:rPr>
        <w:t xml:space="preserve">, T., &amp; </w:t>
      </w:r>
      <w:proofErr w:type="spellStart"/>
      <w:r w:rsidRPr="00E64EF0">
        <w:rPr>
          <w:rFonts w:ascii="Arial" w:eastAsia="Times New Roman" w:hAnsi="Arial" w:cs="Arial"/>
          <w:bCs/>
          <w:iCs/>
          <w:sz w:val="20"/>
          <w:szCs w:val="20"/>
          <w:lang w:val="en-IN"/>
        </w:rPr>
        <w:t>Hadi</w:t>
      </w:r>
      <w:proofErr w:type="spellEnd"/>
      <w:r w:rsidRPr="00E64EF0">
        <w:rPr>
          <w:rFonts w:ascii="Arial" w:eastAsia="Times New Roman" w:hAnsi="Arial" w:cs="Arial"/>
          <w:bCs/>
          <w:iCs/>
          <w:sz w:val="20"/>
          <w:szCs w:val="20"/>
          <w:lang w:val="en-IN"/>
        </w:rPr>
        <w:t xml:space="preserve">, A. (2014). </w:t>
      </w:r>
      <w:r w:rsidRPr="00E64EF0">
        <w:rPr>
          <w:rFonts w:ascii="Arial" w:eastAsia="Times New Roman" w:hAnsi="Arial" w:cs="Arial"/>
          <w:bCs/>
          <w:i/>
          <w:iCs/>
          <w:sz w:val="20"/>
          <w:szCs w:val="20"/>
          <w:lang w:val="en-IN"/>
        </w:rPr>
        <w:t>ARCH and GARCH models</w:t>
      </w:r>
      <w:r w:rsidRPr="00E64EF0">
        <w:rPr>
          <w:rFonts w:ascii="Arial" w:eastAsia="Times New Roman" w:hAnsi="Arial" w:cs="Arial"/>
          <w:bCs/>
          <w:iCs/>
          <w:sz w:val="20"/>
          <w:szCs w:val="20"/>
          <w:lang w:val="en-IN"/>
        </w:rPr>
        <w:t>. John Wiley &amp; Sons.</w:t>
      </w:r>
    </w:p>
    <w:p w14:paraId="622C0DDD" w14:textId="77777777" w:rsidR="005A3C15" w:rsidRPr="00E64EF0" w:rsidRDefault="005A3C15" w:rsidP="005A3C15">
      <w:pPr>
        <w:spacing w:after="0" w:line="240" w:lineRule="auto"/>
        <w:ind w:left="540" w:hanging="540"/>
        <w:contextualSpacing/>
        <w:jc w:val="both"/>
        <w:rPr>
          <w:rFonts w:ascii="Arial" w:eastAsia="Times New Roman" w:hAnsi="Arial" w:cs="Arial"/>
          <w:bCs/>
          <w:iCs/>
          <w:sz w:val="20"/>
          <w:szCs w:val="20"/>
          <w:lang w:val="en-IN"/>
        </w:rPr>
      </w:pPr>
      <w:proofErr w:type="spellStart"/>
      <w:r w:rsidRPr="00E64EF0">
        <w:rPr>
          <w:rFonts w:ascii="Arial" w:eastAsia="Times New Roman" w:hAnsi="Arial" w:cs="Arial"/>
          <w:bCs/>
          <w:iCs/>
          <w:sz w:val="20"/>
          <w:szCs w:val="20"/>
          <w:lang w:val="en-IN"/>
        </w:rPr>
        <w:t>Bagchi</w:t>
      </w:r>
      <w:proofErr w:type="spellEnd"/>
      <w:r w:rsidRPr="00E64EF0">
        <w:rPr>
          <w:rFonts w:ascii="Arial" w:eastAsia="Times New Roman" w:hAnsi="Arial" w:cs="Arial"/>
          <w:bCs/>
          <w:iCs/>
          <w:sz w:val="20"/>
          <w:szCs w:val="20"/>
          <w:lang w:val="en-IN"/>
        </w:rPr>
        <w:t xml:space="preserve">, S., Mukherjee, D., Mohanty, D., &amp; Verma, A. (2022). Influence of </w:t>
      </w:r>
      <w:proofErr w:type="spellStart"/>
      <w:r w:rsidRPr="00E64EF0">
        <w:rPr>
          <w:rFonts w:ascii="Arial" w:eastAsia="Times New Roman" w:hAnsi="Arial" w:cs="Arial"/>
          <w:bCs/>
          <w:iCs/>
          <w:sz w:val="20"/>
          <w:szCs w:val="20"/>
          <w:lang w:val="en-IN"/>
        </w:rPr>
        <w:t>behavioral</w:t>
      </w:r>
      <w:proofErr w:type="spellEnd"/>
      <w:r w:rsidRPr="00E64EF0">
        <w:rPr>
          <w:rFonts w:ascii="Arial" w:eastAsia="Times New Roman" w:hAnsi="Arial" w:cs="Arial"/>
          <w:bCs/>
          <w:iCs/>
          <w:sz w:val="20"/>
          <w:szCs w:val="20"/>
          <w:lang w:val="en-IN"/>
        </w:rPr>
        <w:t xml:space="preserve"> biases while making decision on mutual fund investment. </w:t>
      </w:r>
      <w:r w:rsidRPr="00E64EF0">
        <w:rPr>
          <w:rFonts w:ascii="Arial" w:eastAsia="Times New Roman" w:hAnsi="Arial" w:cs="Arial"/>
          <w:bCs/>
          <w:i/>
          <w:iCs/>
          <w:sz w:val="20"/>
          <w:szCs w:val="20"/>
          <w:lang w:val="en-IN"/>
        </w:rPr>
        <w:t>Journal of Information and Optimization Sciences, 43</w:t>
      </w:r>
      <w:r w:rsidRPr="00E64EF0">
        <w:rPr>
          <w:rFonts w:ascii="Arial" w:eastAsia="Times New Roman" w:hAnsi="Arial" w:cs="Arial"/>
          <w:bCs/>
          <w:iCs/>
          <w:sz w:val="20"/>
          <w:szCs w:val="20"/>
          <w:lang w:val="en-IN"/>
        </w:rPr>
        <w:t>(7), 1733–1747. https://doi.org/10.1080/02522667.2022.2128529</w:t>
      </w:r>
    </w:p>
    <w:p w14:paraId="4F1CB77E" w14:textId="77777777" w:rsidR="005A3C15" w:rsidRPr="00E64EF0" w:rsidRDefault="005A3C15" w:rsidP="005A3C15">
      <w:pPr>
        <w:spacing w:after="0" w:line="240" w:lineRule="auto"/>
        <w:ind w:left="540" w:hanging="540"/>
        <w:contextualSpacing/>
        <w:jc w:val="both"/>
        <w:rPr>
          <w:rFonts w:ascii="Arial" w:eastAsia="Times New Roman" w:hAnsi="Arial" w:cs="Arial"/>
          <w:bCs/>
          <w:iCs/>
          <w:sz w:val="20"/>
          <w:szCs w:val="20"/>
          <w:lang w:val="en-IN"/>
        </w:rPr>
      </w:pPr>
      <w:proofErr w:type="spellStart"/>
      <w:r w:rsidRPr="00E64EF0">
        <w:rPr>
          <w:rFonts w:ascii="Arial" w:eastAsia="Times New Roman" w:hAnsi="Arial" w:cs="Arial"/>
          <w:bCs/>
          <w:iCs/>
          <w:sz w:val="20"/>
          <w:szCs w:val="20"/>
          <w:lang w:val="en-IN"/>
        </w:rPr>
        <w:t>Bollerslev</w:t>
      </w:r>
      <w:proofErr w:type="spellEnd"/>
      <w:r w:rsidRPr="00E64EF0">
        <w:rPr>
          <w:rFonts w:ascii="Arial" w:eastAsia="Times New Roman" w:hAnsi="Arial" w:cs="Arial"/>
          <w:bCs/>
          <w:iCs/>
          <w:sz w:val="20"/>
          <w:szCs w:val="20"/>
          <w:lang w:val="en-IN"/>
        </w:rPr>
        <w:t xml:space="preserve">, T., Chou, R. Y., &amp; Kroner, K. F. (1992). ARCH </w:t>
      </w:r>
      <w:proofErr w:type="spellStart"/>
      <w:r w:rsidRPr="00E64EF0">
        <w:rPr>
          <w:rFonts w:ascii="Arial" w:eastAsia="Times New Roman" w:hAnsi="Arial" w:cs="Arial"/>
          <w:bCs/>
          <w:iCs/>
          <w:sz w:val="20"/>
          <w:szCs w:val="20"/>
          <w:lang w:val="en-IN"/>
        </w:rPr>
        <w:t>modeling</w:t>
      </w:r>
      <w:proofErr w:type="spellEnd"/>
      <w:r w:rsidRPr="00E64EF0">
        <w:rPr>
          <w:rFonts w:ascii="Arial" w:eastAsia="Times New Roman" w:hAnsi="Arial" w:cs="Arial"/>
          <w:bCs/>
          <w:iCs/>
          <w:sz w:val="20"/>
          <w:szCs w:val="20"/>
          <w:lang w:val="en-IN"/>
        </w:rPr>
        <w:t xml:space="preserve"> in finance: A review of the theory and empirical evidence. </w:t>
      </w:r>
      <w:r w:rsidRPr="00E64EF0">
        <w:rPr>
          <w:rFonts w:ascii="Arial" w:eastAsia="Times New Roman" w:hAnsi="Arial" w:cs="Arial"/>
          <w:bCs/>
          <w:i/>
          <w:iCs/>
          <w:sz w:val="20"/>
          <w:szCs w:val="20"/>
          <w:lang w:val="en-IN"/>
        </w:rPr>
        <w:t>Journal of Econometrics, 52</w:t>
      </w:r>
      <w:r w:rsidRPr="00E64EF0">
        <w:rPr>
          <w:rFonts w:ascii="Arial" w:eastAsia="Times New Roman" w:hAnsi="Arial" w:cs="Arial"/>
          <w:bCs/>
          <w:iCs/>
          <w:sz w:val="20"/>
          <w:szCs w:val="20"/>
          <w:lang w:val="en-IN"/>
        </w:rPr>
        <w:t>(1–2), 5–59.</w:t>
      </w:r>
    </w:p>
    <w:p w14:paraId="1BB83F4F" w14:textId="77777777" w:rsidR="005A3C15" w:rsidRPr="00E64EF0" w:rsidRDefault="005A3C15" w:rsidP="005A3C15">
      <w:pPr>
        <w:spacing w:after="0" w:line="240" w:lineRule="auto"/>
        <w:ind w:left="540" w:hanging="540"/>
        <w:contextualSpacing/>
        <w:jc w:val="both"/>
        <w:rPr>
          <w:rFonts w:ascii="Arial" w:eastAsia="Times New Roman" w:hAnsi="Arial" w:cs="Arial"/>
          <w:bCs/>
          <w:iCs/>
          <w:sz w:val="20"/>
          <w:szCs w:val="20"/>
          <w:lang w:val="en-IN"/>
        </w:rPr>
      </w:pPr>
      <w:proofErr w:type="spellStart"/>
      <w:r w:rsidRPr="00E64EF0">
        <w:rPr>
          <w:rFonts w:ascii="Arial" w:eastAsia="Times New Roman" w:hAnsi="Arial" w:cs="Arial"/>
          <w:bCs/>
          <w:iCs/>
          <w:sz w:val="20"/>
          <w:szCs w:val="20"/>
          <w:lang w:val="en-IN"/>
        </w:rPr>
        <w:t>Dhananjaya</w:t>
      </w:r>
      <w:proofErr w:type="spellEnd"/>
      <w:r w:rsidRPr="00E64EF0">
        <w:rPr>
          <w:rFonts w:ascii="Arial" w:eastAsia="Times New Roman" w:hAnsi="Arial" w:cs="Arial"/>
          <w:bCs/>
          <w:iCs/>
          <w:sz w:val="20"/>
          <w:szCs w:val="20"/>
          <w:lang w:val="en-IN"/>
        </w:rPr>
        <w:t xml:space="preserve">, K. (2020). Do Domestic Institutional Investors (DIIs) neutralize the impact of large reversal by Foreign Institutional Investors (FIIs)? Recent evidence from the Indian stock market. </w:t>
      </w:r>
      <w:r w:rsidRPr="00E64EF0">
        <w:rPr>
          <w:rFonts w:ascii="Arial" w:eastAsia="Times New Roman" w:hAnsi="Arial" w:cs="Arial"/>
          <w:bCs/>
          <w:i/>
          <w:iCs/>
          <w:sz w:val="20"/>
          <w:szCs w:val="20"/>
          <w:lang w:val="en-IN"/>
        </w:rPr>
        <w:t>Recent Evidence from Indian Stock Market</w:t>
      </w:r>
      <w:r w:rsidRPr="00E64EF0">
        <w:rPr>
          <w:rFonts w:ascii="Arial" w:eastAsia="Times New Roman" w:hAnsi="Arial" w:cs="Arial"/>
          <w:bCs/>
          <w:iCs/>
          <w:sz w:val="20"/>
          <w:szCs w:val="20"/>
          <w:lang w:val="en-IN"/>
        </w:rPr>
        <w:t xml:space="preserve"> (July 17, 2020), 65–72.</w:t>
      </w:r>
    </w:p>
    <w:p w14:paraId="066167B6" w14:textId="77777777" w:rsidR="005A3C15" w:rsidRPr="00E64EF0" w:rsidRDefault="005A3C15" w:rsidP="005A3C15">
      <w:pPr>
        <w:spacing w:after="0" w:line="240" w:lineRule="auto"/>
        <w:ind w:left="540" w:hanging="540"/>
        <w:contextualSpacing/>
        <w:jc w:val="both"/>
        <w:rPr>
          <w:rFonts w:ascii="Arial" w:eastAsia="Times New Roman" w:hAnsi="Arial" w:cs="Arial"/>
          <w:bCs/>
          <w:iCs/>
          <w:sz w:val="20"/>
          <w:szCs w:val="20"/>
          <w:lang w:val="en-IN"/>
        </w:rPr>
      </w:pPr>
      <w:proofErr w:type="spellStart"/>
      <w:r w:rsidRPr="00E64EF0">
        <w:rPr>
          <w:rFonts w:ascii="Arial" w:eastAsia="Times New Roman" w:hAnsi="Arial" w:cs="Arial"/>
          <w:bCs/>
          <w:iCs/>
          <w:sz w:val="20"/>
          <w:szCs w:val="20"/>
          <w:lang w:val="en-IN"/>
        </w:rPr>
        <w:t>Gahlot</w:t>
      </w:r>
      <w:proofErr w:type="spellEnd"/>
      <w:r w:rsidRPr="00E64EF0">
        <w:rPr>
          <w:rFonts w:ascii="Arial" w:eastAsia="Times New Roman" w:hAnsi="Arial" w:cs="Arial"/>
          <w:bCs/>
          <w:iCs/>
          <w:sz w:val="20"/>
          <w:szCs w:val="20"/>
          <w:lang w:val="en-IN"/>
        </w:rPr>
        <w:t xml:space="preserve">, R. (2019). An analytical study on effect of FIIs &amp; DIIs on Indian stock market. </w:t>
      </w:r>
      <w:r w:rsidRPr="00E64EF0">
        <w:rPr>
          <w:rFonts w:ascii="Arial" w:eastAsia="Times New Roman" w:hAnsi="Arial" w:cs="Arial"/>
          <w:bCs/>
          <w:i/>
          <w:iCs/>
          <w:sz w:val="20"/>
          <w:szCs w:val="20"/>
          <w:lang w:val="en-IN"/>
        </w:rPr>
        <w:t>Journal of Transnational Management, 24</w:t>
      </w:r>
      <w:r w:rsidRPr="00E64EF0">
        <w:rPr>
          <w:rFonts w:ascii="Arial" w:eastAsia="Times New Roman" w:hAnsi="Arial" w:cs="Arial"/>
          <w:bCs/>
          <w:iCs/>
          <w:sz w:val="20"/>
          <w:szCs w:val="20"/>
          <w:lang w:val="en-IN"/>
        </w:rPr>
        <w:t>(2), 67–82. https://doi.org/10.1080/15475778.2019.1601485</w:t>
      </w:r>
    </w:p>
    <w:p w14:paraId="61D45275" w14:textId="77777777" w:rsidR="005A3C15" w:rsidRPr="00E64EF0" w:rsidRDefault="005A3C15" w:rsidP="005A3C15">
      <w:pPr>
        <w:spacing w:after="0" w:line="240" w:lineRule="auto"/>
        <w:ind w:left="540" w:hanging="540"/>
        <w:contextualSpacing/>
        <w:jc w:val="both"/>
        <w:rPr>
          <w:rFonts w:ascii="Arial" w:eastAsia="Times New Roman" w:hAnsi="Arial" w:cs="Arial"/>
          <w:bCs/>
          <w:iCs/>
          <w:sz w:val="20"/>
          <w:szCs w:val="20"/>
          <w:lang w:val="en-IN"/>
        </w:rPr>
      </w:pPr>
      <w:r w:rsidRPr="00E64EF0">
        <w:rPr>
          <w:rFonts w:ascii="Arial" w:eastAsia="Times New Roman" w:hAnsi="Arial" w:cs="Arial"/>
          <w:bCs/>
          <w:iCs/>
          <w:sz w:val="20"/>
          <w:szCs w:val="20"/>
          <w:lang w:val="en-IN"/>
        </w:rPr>
        <w:t xml:space="preserve">Garg, A., &amp; </w:t>
      </w:r>
      <w:proofErr w:type="spellStart"/>
      <w:r w:rsidRPr="00E64EF0">
        <w:rPr>
          <w:rFonts w:ascii="Arial" w:eastAsia="Times New Roman" w:hAnsi="Arial" w:cs="Arial"/>
          <w:bCs/>
          <w:iCs/>
          <w:sz w:val="20"/>
          <w:szCs w:val="20"/>
          <w:lang w:val="en-IN"/>
        </w:rPr>
        <w:t>Bodla</w:t>
      </w:r>
      <w:proofErr w:type="spellEnd"/>
      <w:r w:rsidRPr="00E64EF0">
        <w:rPr>
          <w:rFonts w:ascii="Arial" w:eastAsia="Times New Roman" w:hAnsi="Arial" w:cs="Arial"/>
          <w:bCs/>
          <w:iCs/>
          <w:sz w:val="20"/>
          <w:szCs w:val="20"/>
          <w:lang w:val="en-IN"/>
        </w:rPr>
        <w:t xml:space="preserve">, B. (2011). Impact of the Foreign Institutional Investments on Stock Market: Evidence from India. </w:t>
      </w:r>
      <w:r w:rsidRPr="00E64EF0">
        <w:rPr>
          <w:rFonts w:ascii="Arial" w:eastAsia="Times New Roman" w:hAnsi="Arial" w:cs="Arial"/>
          <w:bCs/>
          <w:i/>
          <w:iCs/>
          <w:sz w:val="20"/>
          <w:szCs w:val="20"/>
          <w:lang w:val="en-IN"/>
        </w:rPr>
        <w:t>Indian Economic Review, 46</w:t>
      </w:r>
      <w:r w:rsidRPr="00E64EF0">
        <w:rPr>
          <w:rFonts w:ascii="Arial" w:eastAsia="Times New Roman" w:hAnsi="Arial" w:cs="Arial"/>
          <w:bCs/>
          <w:iCs/>
          <w:sz w:val="20"/>
          <w:szCs w:val="20"/>
          <w:lang w:val="en-IN"/>
        </w:rPr>
        <w:t>(2), 303–322.</w:t>
      </w:r>
    </w:p>
    <w:p w14:paraId="296C4C30" w14:textId="77777777" w:rsidR="005A3C15" w:rsidRPr="00E64EF0" w:rsidRDefault="005A3C15" w:rsidP="005A3C15">
      <w:pPr>
        <w:spacing w:after="0" w:line="240" w:lineRule="auto"/>
        <w:ind w:left="540" w:hanging="540"/>
        <w:contextualSpacing/>
        <w:jc w:val="both"/>
        <w:rPr>
          <w:rFonts w:ascii="Arial" w:eastAsia="Times New Roman" w:hAnsi="Arial" w:cs="Arial"/>
          <w:bCs/>
          <w:iCs/>
          <w:sz w:val="20"/>
          <w:szCs w:val="20"/>
          <w:lang w:val="en-IN"/>
        </w:rPr>
      </w:pPr>
      <w:bookmarkStart w:id="3" w:name="_Hlk193560006"/>
      <w:proofErr w:type="spellStart"/>
      <w:r w:rsidRPr="00E64EF0">
        <w:rPr>
          <w:rFonts w:ascii="Arial" w:eastAsia="Times New Roman" w:hAnsi="Arial" w:cs="Arial"/>
          <w:bCs/>
          <w:iCs/>
          <w:sz w:val="20"/>
          <w:szCs w:val="20"/>
          <w:lang w:val="en-IN"/>
        </w:rPr>
        <w:t>Ikizlerli</w:t>
      </w:r>
      <w:bookmarkEnd w:id="3"/>
      <w:proofErr w:type="spellEnd"/>
      <w:r w:rsidRPr="00E64EF0">
        <w:rPr>
          <w:rFonts w:ascii="Arial" w:eastAsia="Times New Roman" w:hAnsi="Arial" w:cs="Arial"/>
          <w:bCs/>
          <w:iCs/>
          <w:sz w:val="20"/>
          <w:szCs w:val="20"/>
          <w:lang w:val="en-IN"/>
        </w:rPr>
        <w:t xml:space="preserve">, D. (2020). Institutional investors and stock market volatility. Evidence from Korea. </w:t>
      </w:r>
      <w:r w:rsidRPr="00E64EF0">
        <w:rPr>
          <w:rFonts w:ascii="Arial" w:eastAsia="Times New Roman" w:hAnsi="Arial" w:cs="Arial"/>
          <w:bCs/>
          <w:i/>
          <w:iCs/>
          <w:sz w:val="20"/>
          <w:szCs w:val="20"/>
          <w:lang w:val="en-IN"/>
        </w:rPr>
        <w:t>Applied Economics Letters, 27</w:t>
      </w:r>
      <w:r w:rsidRPr="00E64EF0">
        <w:rPr>
          <w:rFonts w:ascii="Arial" w:eastAsia="Times New Roman" w:hAnsi="Arial" w:cs="Arial"/>
          <w:bCs/>
          <w:iCs/>
          <w:sz w:val="20"/>
          <w:szCs w:val="20"/>
          <w:lang w:val="en-IN"/>
        </w:rPr>
        <w:t>(6), 473–476. https://doi.org/10.1080/13504851.2019.1632413</w:t>
      </w:r>
    </w:p>
    <w:p w14:paraId="3AB3A6AE" w14:textId="77777777" w:rsidR="005A3C15" w:rsidRPr="00E64EF0" w:rsidRDefault="005A3C15" w:rsidP="005A3C15">
      <w:pPr>
        <w:spacing w:after="0" w:line="240" w:lineRule="auto"/>
        <w:ind w:left="540" w:hanging="540"/>
        <w:contextualSpacing/>
        <w:jc w:val="both"/>
        <w:rPr>
          <w:rFonts w:ascii="Arial" w:eastAsia="Times New Roman" w:hAnsi="Arial" w:cs="Arial"/>
          <w:bCs/>
          <w:iCs/>
          <w:sz w:val="20"/>
          <w:szCs w:val="20"/>
          <w:lang w:val="en-IN"/>
        </w:rPr>
      </w:pPr>
      <w:proofErr w:type="spellStart"/>
      <w:r w:rsidRPr="00E64EF0">
        <w:rPr>
          <w:rFonts w:ascii="Arial" w:eastAsia="Times New Roman" w:hAnsi="Arial" w:cs="Arial"/>
          <w:bCs/>
          <w:iCs/>
          <w:sz w:val="20"/>
          <w:szCs w:val="20"/>
          <w:lang w:val="en-IN"/>
        </w:rPr>
        <w:t>Joo</w:t>
      </w:r>
      <w:proofErr w:type="spellEnd"/>
      <w:r w:rsidRPr="00E64EF0">
        <w:rPr>
          <w:rFonts w:ascii="Arial" w:eastAsia="Times New Roman" w:hAnsi="Arial" w:cs="Arial"/>
          <w:bCs/>
          <w:iCs/>
          <w:sz w:val="20"/>
          <w:szCs w:val="20"/>
          <w:lang w:val="en-IN"/>
        </w:rPr>
        <w:t xml:space="preserve">, B. A. (2014). Impact of Foreign Institutional Investment on the Volatility of Indian Stock Market. </w:t>
      </w:r>
      <w:r w:rsidRPr="00E64EF0">
        <w:rPr>
          <w:rFonts w:ascii="Arial" w:eastAsia="Times New Roman" w:hAnsi="Arial" w:cs="Arial"/>
          <w:bCs/>
          <w:i/>
          <w:iCs/>
          <w:sz w:val="20"/>
          <w:szCs w:val="20"/>
          <w:lang w:val="en-IN"/>
        </w:rPr>
        <w:t>Journal of Academic Research in Economics (JARE), 6</w:t>
      </w:r>
      <w:r w:rsidRPr="00E64EF0">
        <w:rPr>
          <w:rFonts w:ascii="Arial" w:eastAsia="Times New Roman" w:hAnsi="Arial" w:cs="Arial"/>
          <w:bCs/>
          <w:iCs/>
          <w:sz w:val="20"/>
          <w:szCs w:val="20"/>
          <w:lang w:val="en-IN"/>
        </w:rPr>
        <w:t>(1), 32–44.</w:t>
      </w:r>
    </w:p>
    <w:p w14:paraId="190E2181" w14:textId="77777777" w:rsidR="005A3C15" w:rsidRPr="00E64EF0" w:rsidRDefault="005A3C15" w:rsidP="005A3C15">
      <w:pPr>
        <w:spacing w:after="0" w:line="240" w:lineRule="auto"/>
        <w:ind w:left="540" w:hanging="540"/>
        <w:contextualSpacing/>
        <w:jc w:val="both"/>
        <w:rPr>
          <w:rFonts w:ascii="Arial" w:eastAsia="Times New Roman" w:hAnsi="Arial" w:cs="Arial"/>
          <w:bCs/>
          <w:iCs/>
          <w:sz w:val="20"/>
          <w:szCs w:val="20"/>
          <w:lang w:val="en-IN"/>
        </w:rPr>
      </w:pPr>
      <w:r w:rsidRPr="00E64EF0">
        <w:rPr>
          <w:rFonts w:ascii="Arial" w:eastAsia="Times New Roman" w:hAnsi="Arial" w:cs="Arial"/>
          <w:bCs/>
          <w:iCs/>
          <w:sz w:val="20"/>
          <w:szCs w:val="20"/>
          <w:lang w:val="en-IN"/>
        </w:rPr>
        <w:t xml:space="preserve">Kannan, V., &amp; </w:t>
      </w:r>
      <w:proofErr w:type="spellStart"/>
      <w:r w:rsidRPr="00E64EF0">
        <w:rPr>
          <w:rFonts w:ascii="Arial" w:eastAsia="Times New Roman" w:hAnsi="Arial" w:cs="Arial"/>
          <w:bCs/>
          <w:iCs/>
          <w:sz w:val="20"/>
          <w:szCs w:val="20"/>
          <w:lang w:val="en-IN"/>
        </w:rPr>
        <w:t>Arockiam</w:t>
      </w:r>
      <w:proofErr w:type="spellEnd"/>
      <w:r w:rsidRPr="00E64EF0">
        <w:rPr>
          <w:rFonts w:ascii="Arial" w:eastAsia="Times New Roman" w:hAnsi="Arial" w:cs="Arial"/>
          <w:bCs/>
          <w:iCs/>
          <w:sz w:val="20"/>
          <w:szCs w:val="20"/>
          <w:lang w:val="en-IN"/>
        </w:rPr>
        <w:t xml:space="preserve">, J. J. (2016). Impact created by Foreign Institutional Investors and Domestic Institutional Investors on Indian Capital Market. </w:t>
      </w:r>
      <w:r w:rsidRPr="00E64EF0">
        <w:rPr>
          <w:rFonts w:ascii="Arial" w:eastAsia="Times New Roman" w:hAnsi="Arial" w:cs="Arial"/>
          <w:bCs/>
          <w:i/>
          <w:iCs/>
          <w:sz w:val="20"/>
          <w:szCs w:val="20"/>
          <w:lang w:val="en-IN"/>
        </w:rPr>
        <w:t xml:space="preserve">International Journal </w:t>
      </w:r>
      <w:r w:rsidRPr="00E64EF0">
        <w:rPr>
          <w:rFonts w:ascii="Arial" w:eastAsia="Times New Roman" w:hAnsi="Arial" w:cs="Arial"/>
          <w:bCs/>
          <w:i/>
          <w:iCs/>
          <w:sz w:val="20"/>
          <w:szCs w:val="20"/>
          <w:lang w:val="en-IN"/>
        </w:rPr>
        <w:t>of Engineering and Management Research, 3</w:t>
      </w:r>
      <w:r w:rsidRPr="00E64EF0">
        <w:rPr>
          <w:rFonts w:ascii="Arial" w:eastAsia="Times New Roman" w:hAnsi="Arial" w:cs="Arial"/>
          <w:bCs/>
          <w:iCs/>
          <w:sz w:val="20"/>
          <w:szCs w:val="20"/>
          <w:lang w:val="en-IN"/>
        </w:rPr>
        <w:t>, 435–438. www.IndianJournals.com</w:t>
      </w:r>
    </w:p>
    <w:p w14:paraId="4E27FF7E" w14:textId="77777777" w:rsidR="005A3C15" w:rsidRPr="00E64EF0" w:rsidRDefault="005A3C15" w:rsidP="005A3C15">
      <w:pPr>
        <w:spacing w:after="0" w:line="240" w:lineRule="auto"/>
        <w:ind w:left="540" w:hanging="540"/>
        <w:contextualSpacing/>
        <w:jc w:val="both"/>
        <w:rPr>
          <w:rFonts w:ascii="Arial" w:eastAsia="Times New Roman" w:hAnsi="Arial" w:cs="Arial"/>
          <w:bCs/>
          <w:iCs/>
          <w:sz w:val="20"/>
          <w:szCs w:val="20"/>
          <w:lang w:val="en-IN"/>
        </w:rPr>
      </w:pPr>
      <w:r w:rsidRPr="00E64EF0">
        <w:rPr>
          <w:rFonts w:ascii="Arial" w:eastAsia="Times New Roman" w:hAnsi="Arial" w:cs="Arial"/>
          <w:bCs/>
          <w:iCs/>
          <w:sz w:val="20"/>
          <w:szCs w:val="20"/>
          <w:lang w:val="en-IN"/>
        </w:rPr>
        <w:t xml:space="preserve">Kashyap, S. K., Srivastava, A. K., &amp; </w:t>
      </w:r>
      <w:proofErr w:type="spellStart"/>
      <w:r w:rsidRPr="00E64EF0">
        <w:rPr>
          <w:rFonts w:ascii="Arial" w:eastAsia="Times New Roman" w:hAnsi="Arial" w:cs="Arial"/>
          <w:bCs/>
          <w:iCs/>
          <w:sz w:val="20"/>
          <w:szCs w:val="20"/>
          <w:lang w:val="en-IN"/>
        </w:rPr>
        <w:t>Sarva</w:t>
      </w:r>
      <w:proofErr w:type="spellEnd"/>
      <w:r w:rsidRPr="00E64EF0">
        <w:rPr>
          <w:rFonts w:ascii="Arial" w:eastAsia="Times New Roman" w:hAnsi="Arial" w:cs="Arial"/>
          <w:bCs/>
          <w:iCs/>
          <w:sz w:val="20"/>
          <w:szCs w:val="20"/>
          <w:lang w:val="en-IN"/>
        </w:rPr>
        <w:t>, M. K. (2017). Study of stochastic causality between FII flows, DII flows, and Indian stock market, 527–536.</w:t>
      </w:r>
    </w:p>
    <w:p w14:paraId="6F81765D" w14:textId="77777777" w:rsidR="005A3C15" w:rsidRPr="00E64EF0" w:rsidRDefault="005A3C15" w:rsidP="005A3C15">
      <w:pPr>
        <w:spacing w:after="0" w:line="240" w:lineRule="auto"/>
        <w:ind w:left="540" w:hanging="540"/>
        <w:contextualSpacing/>
        <w:jc w:val="both"/>
        <w:rPr>
          <w:rFonts w:ascii="Arial" w:eastAsia="Times New Roman" w:hAnsi="Arial" w:cs="Arial"/>
          <w:bCs/>
          <w:iCs/>
          <w:sz w:val="20"/>
          <w:szCs w:val="20"/>
          <w:lang w:val="en-IN"/>
        </w:rPr>
      </w:pPr>
      <w:proofErr w:type="spellStart"/>
      <w:r w:rsidRPr="00E64EF0">
        <w:rPr>
          <w:rFonts w:ascii="Arial" w:eastAsia="Times New Roman" w:hAnsi="Arial" w:cs="Arial"/>
          <w:bCs/>
          <w:iCs/>
          <w:sz w:val="20"/>
          <w:szCs w:val="20"/>
          <w:lang w:val="en-IN"/>
        </w:rPr>
        <w:t>Kedia</w:t>
      </w:r>
      <w:proofErr w:type="spellEnd"/>
      <w:r w:rsidRPr="00E64EF0">
        <w:rPr>
          <w:rFonts w:ascii="Arial" w:eastAsia="Times New Roman" w:hAnsi="Arial" w:cs="Arial"/>
          <w:bCs/>
          <w:iCs/>
          <w:sz w:val="20"/>
          <w:szCs w:val="20"/>
          <w:lang w:val="en-IN"/>
        </w:rPr>
        <w:t xml:space="preserve">, N. (2017). Impact of FIIs on Indian stock market (specific to SENSEX). </w:t>
      </w:r>
      <w:r w:rsidRPr="00E64EF0">
        <w:rPr>
          <w:rFonts w:ascii="Arial" w:eastAsia="Times New Roman" w:hAnsi="Arial" w:cs="Arial"/>
          <w:bCs/>
          <w:i/>
          <w:iCs/>
          <w:sz w:val="20"/>
          <w:szCs w:val="20"/>
          <w:lang w:val="en-IN"/>
        </w:rPr>
        <w:t>7</w:t>
      </w:r>
      <w:r w:rsidRPr="00E64EF0">
        <w:rPr>
          <w:rFonts w:ascii="Arial" w:eastAsia="Times New Roman" w:hAnsi="Arial" w:cs="Arial"/>
          <w:bCs/>
          <w:iCs/>
          <w:sz w:val="20"/>
          <w:szCs w:val="20"/>
          <w:lang w:val="en-IN"/>
        </w:rPr>
        <w:t>(5), 255–268.</w:t>
      </w:r>
    </w:p>
    <w:p w14:paraId="54A6B5B6" w14:textId="77777777" w:rsidR="005A3C15" w:rsidRPr="00E64EF0" w:rsidRDefault="005A3C15" w:rsidP="005A3C15">
      <w:pPr>
        <w:spacing w:after="0" w:line="240" w:lineRule="auto"/>
        <w:ind w:left="540" w:hanging="540"/>
        <w:contextualSpacing/>
        <w:jc w:val="both"/>
        <w:rPr>
          <w:rFonts w:ascii="Arial" w:eastAsia="Times New Roman" w:hAnsi="Arial" w:cs="Arial"/>
          <w:bCs/>
          <w:iCs/>
          <w:sz w:val="20"/>
          <w:szCs w:val="20"/>
          <w:lang w:val="en-IN"/>
        </w:rPr>
      </w:pPr>
      <w:r w:rsidRPr="00E64EF0">
        <w:rPr>
          <w:rFonts w:ascii="Arial" w:eastAsia="Times New Roman" w:hAnsi="Arial" w:cs="Arial"/>
          <w:bCs/>
          <w:iCs/>
          <w:sz w:val="20"/>
          <w:szCs w:val="20"/>
          <w:lang w:val="en-IN"/>
        </w:rPr>
        <w:t xml:space="preserve">Khandelwal, S., &amp; Mohanty, D. (2021). Stock price prediction using ARIMA model. </w:t>
      </w:r>
      <w:r w:rsidRPr="00E64EF0">
        <w:rPr>
          <w:rFonts w:ascii="Arial" w:eastAsia="Times New Roman" w:hAnsi="Arial" w:cs="Arial"/>
          <w:bCs/>
          <w:i/>
          <w:iCs/>
          <w:sz w:val="20"/>
          <w:szCs w:val="20"/>
          <w:lang w:val="en-IN"/>
        </w:rPr>
        <w:t>International Journal of Marketing &amp; Human Resource Research, 2</w:t>
      </w:r>
      <w:r w:rsidRPr="00E64EF0">
        <w:rPr>
          <w:rFonts w:ascii="Arial" w:eastAsia="Times New Roman" w:hAnsi="Arial" w:cs="Arial"/>
          <w:bCs/>
          <w:iCs/>
          <w:sz w:val="20"/>
          <w:szCs w:val="20"/>
          <w:lang w:val="en-IN"/>
        </w:rPr>
        <w:t>(2), 98–10. https://doi.org/10.47747/ijmhrr.v2i2.235</w:t>
      </w:r>
    </w:p>
    <w:p w14:paraId="1A95DE90" w14:textId="77777777" w:rsidR="005A3C15" w:rsidRPr="00E64EF0" w:rsidRDefault="005A3C15" w:rsidP="005A3C15">
      <w:pPr>
        <w:spacing w:after="0" w:line="240" w:lineRule="auto"/>
        <w:ind w:left="540" w:hanging="540"/>
        <w:contextualSpacing/>
        <w:jc w:val="both"/>
        <w:rPr>
          <w:rFonts w:ascii="Arial" w:eastAsia="Times New Roman" w:hAnsi="Arial" w:cs="Arial"/>
          <w:bCs/>
          <w:iCs/>
          <w:sz w:val="20"/>
          <w:szCs w:val="20"/>
          <w:lang w:val="en-IN"/>
        </w:rPr>
      </w:pPr>
      <w:r w:rsidRPr="00E64EF0">
        <w:rPr>
          <w:rFonts w:ascii="Arial" w:eastAsia="Times New Roman" w:hAnsi="Arial" w:cs="Arial"/>
          <w:bCs/>
          <w:iCs/>
          <w:sz w:val="20"/>
          <w:szCs w:val="20"/>
          <w:lang w:val="en-IN"/>
        </w:rPr>
        <w:t xml:space="preserve">Loomba, J. (2012). Do FIIs impact volatility of Indian stock market? </w:t>
      </w:r>
      <w:r w:rsidRPr="00E64EF0">
        <w:rPr>
          <w:rFonts w:ascii="Arial" w:eastAsia="Times New Roman" w:hAnsi="Arial" w:cs="Arial"/>
          <w:bCs/>
          <w:i/>
          <w:iCs/>
          <w:sz w:val="20"/>
          <w:szCs w:val="20"/>
          <w:lang w:val="en-IN"/>
        </w:rPr>
        <w:t>International Journal of Marketing, Financial Services &amp; Management Research, 1</w:t>
      </w:r>
      <w:r w:rsidRPr="00E64EF0">
        <w:rPr>
          <w:rFonts w:ascii="Arial" w:eastAsia="Times New Roman" w:hAnsi="Arial" w:cs="Arial"/>
          <w:bCs/>
          <w:iCs/>
          <w:sz w:val="20"/>
          <w:szCs w:val="20"/>
          <w:lang w:val="en-IN"/>
        </w:rPr>
        <w:t>(7), 80–93.</w:t>
      </w:r>
    </w:p>
    <w:p w14:paraId="0287ECD1" w14:textId="77777777" w:rsidR="005A3C15" w:rsidRPr="00E64EF0" w:rsidRDefault="005A3C15" w:rsidP="005A3C15">
      <w:pPr>
        <w:spacing w:after="0" w:line="240" w:lineRule="auto"/>
        <w:ind w:left="540" w:hanging="540"/>
        <w:contextualSpacing/>
        <w:jc w:val="both"/>
        <w:rPr>
          <w:rFonts w:ascii="Arial" w:eastAsia="Times New Roman" w:hAnsi="Arial" w:cs="Arial"/>
          <w:bCs/>
          <w:iCs/>
          <w:sz w:val="20"/>
          <w:szCs w:val="20"/>
          <w:lang w:val="en-IN"/>
        </w:rPr>
      </w:pPr>
      <w:r w:rsidRPr="00E64EF0">
        <w:rPr>
          <w:rFonts w:ascii="Arial" w:eastAsia="Times New Roman" w:hAnsi="Arial" w:cs="Arial"/>
          <w:bCs/>
          <w:iCs/>
          <w:sz w:val="20"/>
          <w:szCs w:val="20"/>
          <w:lang w:val="en-IN"/>
        </w:rPr>
        <w:t xml:space="preserve">Mohanty, D., Khan, J. S., &amp; Mohapatra, S. R. (2021b). Impact of macroeconomic variables on Indian stock market. </w:t>
      </w:r>
      <w:r w:rsidRPr="00E64EF0">
        <w:rPr>
          <w:rFonts w:ascii="Arial" w:eastAsia="Times New Roman" w:hAnsi="Arial" w:cs="Arial"/>
          <w:bCs/>
          <w:i/>
          <w:iCs/>
          <w:sz w:val="20"/>
          <w:szCs w:val="20"/>
          <w:lang w:val="en-IN"/>
        </w:rPr>
        <w:t>Empirical Economics Letters, 20</w:t>
      </w:r>
      <w:r w:rsidRPr="00E64EF0">
        <w:rPr>
          <w:rFonts w:ascii="Arial" w:eastAsia="Times New Roman" w:hAnsi="Arial" w:cs="Arial"/>
          <w:bCs/>
          <w:iCs/>
          <w:sz w:val="20"/>
          <w:szCs w:val="20"/>
          <w:lang w:val="en-IN"/>
        </w:rPr>
        <w:t>, 27–36.</w:t>
      </w:r>
    </w:p>
    <w:p w14:paraId="3394D1BD" w14:textId="77777777" w:rsidR="005A3C15" w:rsidRPr="00E64EF0" w:rsidRDefault="005A3C15" w:rsidP="005A3C15">
      <w:pPr>
        <w:spacing w:after="0" w:line="240" w:lineRule="auto"/>
        <w:ind w:left="540" w:hanging="540"/>
        <w:contextualSpacing/>
        <w:jc w:val="both"/>
        <w:rPr>
          <w:rFonts w:ascii="Arial" w:eastAsia="Times New Roman" w:hAnsi="Arial" w:cs="Arial"/>
          <w:bCs/>
          <w:iCs/>
          <w:sz w:val="20"/>
          <w:szCs w:val="20"/>
          <w:lang w:val="en-IN"/>
        </w:rPr>
      </w:pPr>
      <w:r w:rsidRPr="00E64EF0">
        <w:rPr>
          <w:rFonts w:ascii="Arial" w:eastAsia="Times New Roman" w:hAnsi="Arial" w:cs="Arial"/>
          <w:bCs/>
          <w:iCs/>
          <w:sz w:val="20"/>
          <w:szCs w:val="20"/>
          <w:lang w:val="en-IN"/>
        </w:rPr>
        <w:t xml:space="preserve">Mohanty, D., Khan, J. S., Das, S., &amp; Mohapatra, S. R. (2021a). Dynamic relationship between Indian stock index and commodity derivatives: With special reference to metals. </w:t>
      </w:r>
      <w:r w:rsidRPr="00E64EF0">
        <w:rPr>
          <w:rFonts w:ascii="Arial" w:eastAsia="Times New Roman" w:hAnsi="Arial" w:cs="Arial"/>
          <w:bCs/>
          <w:i/>
          <w:iCs/>
          <w:sz w:val="20"/>
          <w:szCs w:val="20"/>
          <w:lang w:val="en-IN"/>
        </w:rPr>
        <w:t>International Journal of Economics and Accounting, 10</w:t>
      </w:r>
      <w:r w:rsidRPr="00E64EF0">
        <w:rPr>
          <w:rFonts w:ascii="Arial" w:eastAsia="Times New Roman" w:hAnsi="Arial" w:cs="Arial"/>
          <w:bCs/>
          <w:iCs/>
          <w:sz w:val="20"/>
          <w:szCs w:val="20"/>
          <w:lang w:val="en-IN"/>
        </w:rPr>
        <w:t>(4), 394–409. https://doi.org/10.1504/IJEA.2021.118280</w:t>
      </w:r>
    </w:p>
    <w:p w14:paraId="6F3F01E6" w14:textId="77777777" w:rsidR="005A3C15" w:rsidRPr="00E64EF0" w:rsidRDefault="005A3C15" w:rsidP="005A3C15">
      <w:pPr>
        <w:spacing w:after="0" w:line="240" w:lineRule="auto"/>
        <w:ind w:left="540" w:hanging="540"/>
        <w:contextualSpacing/>
        <w:jc w:val="both"/>
        <w:rPr>
          <w:rFonts w:ascii="Arial" w:eastAsia="Times New Roman" w:hAnsi="Arial" w:cs="Arial"/>
          <w:bCs/>
          <w:iCs/>
          <w:sz w:val="20"/>
          <w:szCs w:val="20"/>
          <w:lang w:val="en-IN"/>
        </w:rPr>
      </w:pPr>
      <w:r w:rsidRPr="00E64EF0">
        <w:rPr>
          <w:rFonts w:ascii="Arial" w:eastAsia="Times New Roman" w:hAnsi="Arial" w:cs="Arial"/>
          <w:bCs/>
          <w:iCs/>
          <w:sz w:val="20"/>
          <w:szCs w:val="20"/>
          <w:lang w:val="en-IN"/>
        </w:rPr>
        <w:t xml:space="preserve">Mohanty, D., Mohapatra, A. K., </w:t>
      </w:r>
      <w:proofErr w:type="spellStart"/>
      <w:r w:rsidRPr="00E64EF0">
        <w:rPr>
          <w:rFonts w:ascii="Arial" w:eastAsia="Times New Roman" w:hAnsi="Arial" w:cs="Arial"/>
          <w:bCs/>
          <w:iCs/>
          <w:sz w:val="20"/>
          <w:szCs w:val="20"/>
          <w:lang w:val="en-IN"/>
        </w:rPr>
        <w:t>Tripathy</w:t>
      </w:r>
      <w:proofErr w:type="spellEnd"/>
      <w:r w:rsidRPr="00E64EF0">
        <w:rPr>
          <w:rFonts w:ascii="Arial" w:eastAsia="Times New Roman" w:hAnsi="Arial" w:cs="Arial"/>
          <w:bCs/>
          <w:iCs/>
          <w:sz w:val="20"/>
          <w:szCs w:val="20"/>
          <w:lang w:val="en-IN"/>
        </w:rPr>
        <w:t xml:space="preserve">, S., &amp; Matta, R. (2023). Nexus between foreign exchange rate and stock market: Evidence from India. </w:t>
      </w:r>
      <w:r w:rsidRPr="00E64EF0">
        <w:rPr>
          <w:rFonts w:ascii="Arial" w:eastAsia="Times New Roman" w:hAnsi="Arial" w:cs="Arial"/>
          <w:bCs/>
          <w:i/>
          <w:iCs/>
          <w:sz w:val="20"/>
          <w:szCs w:val="20"/>
          <w:lang w:val="en-IN"/>
        </w:rPr>
        <w:t>Investment Management &amp; Financial Innovations, 20</w:t>
      </w:r>
      <w:r w:rsidRPr="00E64EF0">
        <w:rPr>
          <w:rFonts w:ascii="Arial" w:eastAsia="Times New Roman" w:hAnsi="Arial" w:cs="Arial"/>
          <w:bCs/>
          <w:iCs/>
          <w:sz w:val="20"/>
          <w:szCs w:val="20"/>
          <w:lang w:val="en-IN"/>
        </w:rPr>
        <w:t>(3), 79–90. https://doi.org/10.21511/imfi.20(3).2023.07</w:t>
      </w:r>
    </w:p>
    <w:p w14:paraId="5F38B4E9" w14:textId="77777777" w:rsidR="005A3C15" w:rsidRPr="00E64EF0" w:rsidRDefault="005A3C15" w:rsidP="005A3C15">
      <w:pPr>
        <w:spacing w:after="0" w:line="240" w:lineRule="auto"/>
        <w:ind w:left="540" w:hanging="540"/>
        <w:contextualSpacing/>
        <w:jc w:val="both"/>
        <w:rPr>
          <w:rFonts w:ascii="Arial" w:eastAsia="Times New Roman" w:hAnsi="Arial" w:cs="Arial"/>
          <w:bCs/>
          <w:iCs/>
          <w:sz w:val="20"/>
          <w:szCs w:val="20"/>
          <w:lang w:val="en-IN"/>
        </w:rPr>
      </w:pPr>
      <w:r w:rsidRPr="00E64EF0">
        <w:rPr>
          <w:rFonts w:ascii="Arial" w:eastAsia="Times New Roman" w:hAnsi="Arial" w:cs="Arial"/>
          <w:bCs/>
          <w:iCs/>
          <w:sz w:val="20"/>
          <w:szCs w:val="20"/>
          <w:lang w:val="en-IN"/>
        </w:rPr>
        <w:t xml:space="preserve">Mohapatra, A. K., Mohanty, D., Sardana, V., &amp; Shrivastava, A. (2024). The ripple effect: Influence of exchange rate volatility on Indian sectoral indices. </w:t>
      </w:r>
      <w:r w:rsidRPr="00E64EF0">
        <w:rPr>
          <w:rFonts w:ascii="Arial" w:eastAsia="Times New Roman" w:hAnsi="Arial" w:cs="Arial"/>
          <w:bCs/>
          <w:i/>
          <w:iCs/>
          <w:sz w:val="20"/>
          <w:szCs w:val="20"/>
          <w:lang w:val="en-IN"/>
        </w:rPr>
        <w:t>Indian Journal of Finance, 18</w:t>
      </w:r>
      <w:r w:rsidRPr="00E64EF0">
        <w:rPr>
          <w:rFonts w:ascii="Arial" w:eastAsia="Times New Roman" w:hAnsi="Arial" w:cs="Arial"/>
          <w:bCs/>
          <w:iCs/>
          <w:sz w:val="20"/>
          <w:szCs w:val="20"/>
          <w:lang w:val="en-IN"/>
        </w:rPr>
        <w:t>(2), 8–24. https://doi.org/10.17010/ijf/2024/v18i2/173519</w:t>
      </w:r>
    </w:p>
    <w:p w14:paraId="1D813F44" w14:textId="77777777" w:rsidR="005A3C15" w:rsidRPr="00E64EF0" w:rsidRDefault="005A3C15" w:rsidP="005A3C15">
      <w:pPr>
        <w:spacing w:after="0" w:line="240" w:lineRule="auto"/>
        <w:ind w:left="540" w:hanging="540"/>
        <w:contextualSpacing/>
        <w:jc w:val="both"/>
        <w:rPr>
          <w:rFonts w:ascii="Arial" w:eastAsia="Times New Roman" w:hAnsi="Arial" w:cs="Arial"/>
          <w:bCs/>
          <w:iCs/>
          <w:sz w:val="20"/>
          <w:szCs w:val="20"/>
          <w:lang w:val="en-IN"/>
        </w:rPr>
      </w:pPr>
      <w:r w:rsidRPr="00E64EF0">
        <w:rPr>
          <w:rFonts w:ascii="Arial" w:eastAsia="Times New Roman" w:hAnsi="Arial" w:cs="Arial"/>
          <w:bCs/>
          <w:iCs/>
          <w:sz w:val="20"/>
          <w:szCs w:val="20"/>
          <w:lang w:val="en-IN"/>
        </w:rPr>
        <w:t xml:space="preserve">Rastogi, S. (2014). The financial crisis of 2008 and stock market volatility—Analysis and impact on emerging economies pre and post crisis. </w:t>
      </w:r>
      <w:r w:rsidRPr="00E64EF0">
        <w:rPr>
          <w:rFonts w:ascii="Arial" w:eastAsia="Times New Roman" w:hAnsi="Arial" w:cs="Arial"/>
          <w:bCs/>
          <w:i/>
          <w:iCs/>
          <w:sz w:val="20"/>
          <w:szCs w:val="20"/>
          <w:lang w:val="en-IN"/>
        </w:rPr>
        <w:t>Afro-Asian Journal of Finance and Accounting, 4</w:t>
      </w:r>
      <w:r w:rsidRPr="00E64EF0">
        <w:rPr>
          <w:rFonts w:ascii="Arial" w:eastAsia="Times New Roman" w:hAnsi="Arial" w:cs="Arial"/>
          <w:bCs/>
          <w:iCs/>
          <w:sz w:val="20"/>
          <w:szCs w:val="20"/>
          <w:lang w:val="en-IN"/>
        </w:rPr>
        <w:t>(4), 443–459. https://doi.org/10.1504/AAJFA.2014.067017</w:t>
      </w:r>
    </w:p>
    <w:p w14:paraId="0264C768" w14:textId="77777777" w:rsidR="005A3C15" w:rsidRPr="00E64EF0" w:rsidRDefault="005A3C15" w:rsidP="005A3C15">
      <w:pPr>
        <w:spacing w:after="0" w:line="240" w:lineRule="auto"/>
        <w:ind w:left="540" w:hanging="540"/>
        <w:contextualSpacing/>
        <w:jc w:val="both"/>
        <w:rPr>
          <w:rFonts w:ascii="Arial" w:eastAsia="Times New Roman" w:hAnsi="Arial" w:cs="Arial"/>
          <w:bCs/>
          <w:iCs/>
          <w:sz w:val="20"/>
          <w:szCs w:val="20"/>
          <w:lang w:val="en-IN"/>
        </w:rPr>
      </w:pPr>
      <w:r w:rsidRPr="00E64EF0">
        <w:rPr>
          <w:rFonts w:ascii="Arial" w:eastAsia="Times New Roman" w:hAnsi="Arial" w:cs="Arial"/>
          <w:bCs/>
          <w:iCs/>
          <w:sz w:val="20"/>
          <w:szCs w:val="20"/>
          <w:lang w:val="en-IN"/>
        </w:rPr>
        <w:t xml:space="preserve">Srivastava, P., &amp; Varshney, S. (2020). The relationship of domestic institutional investors and Indian stock market returns: An ARDL bound testing approach. </w:t>
      </w:r>
      <w:r w:rsidRPr="00E64EF0">
        <w:rPr>
          <w:rFonts w:ascii="Arial" w:eastAsia="Times New Roman" w:hAnsi="Arial" w:cs="Arial"/>
          <w:bCs/>
          <w:i/>
          <w:iCs/>
          <w:sz w:val="20"/>
          <w:szCs w:val="20"/>
          <w:lang w:val="en-IN"/>
        </w:rPr>
        <w:t>Journal of Transnational Management, 0</w:t>
      </w:r>
      <w:r w:rsidRPr="00E64EF0">
        <w:rPr>
          <w:rFonts w:ascii="Arial" w:eastAsia="Times New Roman" w:hAnsi="Arial" w:cs="Arial"/>
          <w:bCs/>
          <w:iCs/>
          <w:sz w:val="20"/>
          <w:szCs w:val="20"/>
          <w:lang w:val="en-IN"/>
        </w:rPr>
        <w:t>(0), 1–20. https://doi.org/10.1080/15475778.2020.1789412</w:t>
      </w:r>
    </w:p>
    <w:p w14:paraId="6F42A0FE" w14:textId="77777777" w:rsidR="005A3C15" w:rsidRPr="00E64EF0" w:rsidRDefault="005A3C15" w:rsidP="005A3C15">
      <w:pPr>
        <w:spacing w:after="0" w:line="240" w:lineRule="auto"/>
        <w:ind w:left="540" w:hanging="540"/>
        <w:contextualSpacing/>
        <w:jc w:val="both"/>
        <w:rPr>
          <w:rFonts w:ascii="Arial" w:eastAsia="Times New Roman" w:hAnsi="Arial" w:cs="Arial"/>
          <w:bCs/>
          <w:iCs/>
          <w:sz w:val="20"/>
          <w:szCs w:val="20"/>
          <w:lang w:val="en-IN"/>
        </w:rPr>
      </w:pPr>
      <w:r w:rsidRPr="00E64EF0">
        <w:rPr>
          <w:rFonts w:ascii="Arial" w:eastAsia="Times New Roman" w:hAnsi="Arial" w:cs="Arial"/>
          <w:bCs/>
          <w:iCs/>
          <w:sz w:val="20"/>
          <w:szCs w:val="20"/>
          <w:lang w:val="en-IN"/>
        </w:rPr>
        <w:lastRenderedPageBreak/>
        <w:t xml:space="preserve">Vikram, I., </w:t>
      </w:r>
      <w:proofErr w:type="spellStart"/>
      <w:r w:rsidRPr="00E64EF0">
        <w:rPr>
          <w:rFonts w:ascii="Arial" w:eastAsia="Times New Roman" w:hAnsi="Arial" w:cs="Arial"/>
          <w:bCs/>
          <w:iCs/>
          <w:sz w:val="20"/>
          <w:szCs w:val="20"/>
          <w:lang w:val="en-IN"/>
        </w:rPr>
        <w:t>Hotwan</w:t>
      </w:r>
      <w:proofErr w:type="spellEnd"/>
      <w:r w:rsidRPr="00E64EF0">
        <w:rPr>
          <w:rFonts w:ascii="Arial" w:eastAsia="Times New Roman" w:hAnsi="Arial" w:cs="Arial"/>
          <w:bCs/>
          <w:iCs/>
          <w:sz w:val="20"/>
          <w:szCs w:val="20"/>
          <w:lang w:val="en-IN"/>
        </w:rPr>
        <w:t xml:space="preserve">, A., &amp; Mohanty, D. (2022a). Comparison of international stock market volatility: An empirical analysis during economic crisis 2008 and COVID-19. </w:t>
      </w:r>
      <w:r w:rsidRPr="00E64EF0">
        <w:rPr>
          <w:rFonts w:ascii="Arial" w:eastAsia="Times New Roman" w:hAnsi="Arial" w:cs="Arial"/>
          <w:bCs/>
          <w:i/>
          <w:iCs/>
          <w:sz w:val="20"/>
          <w:szCs w:val="20"/>
          <w:lang w:val="en-IN"/>
        </w:rPr>
        <w:t>ECS Transactions, 107</w:t>
      </w:r>
      <w:r w:rsidRPr="00E64EF0">
        <w:rPr>
          <w:rFonts w:ascii="Arial" w:eastAsia="Times New Roman" w:hAnsi="Arial" w:cs="Arial"/>
          <w:bCs/>
          <w:iCs/>
          <w:sz w:val="20"/>
          <w:szCs w:val="20"/>
          <w:lang w:val="en-IN"/>
        </w:rPr>
        <w:t>(1), 18593. https://doi.org/10.1149/10701.18593ecst</w:t>
      </w:r>
    </w:p>
    <w:p w14:paraId="237DDD16" w14:textId="6A2723AA" w:rsidR="000721BC" w:rsidRPr="00E64EF0" w:rsidRDefault="005A3C15" w:rsidP="005A3C15">
      <w:pPr>
        <w:spacing w:after="0" w:line="240" w:lineRule="auto"/>
        <w:ind w:left="540" w:hanging="540"/>
        <w:contextualSpacing/>
        <w:jc w:val="both"/>
        <w:rPr>
          <w:rFonts w:ascii="Arial" w:eastAsia="Times New Roman" w:hAnsi="Arial" w:cs="Arial"/>
          <w:bCs/>
          <w:iCs/>
          <w:sz w:val="20"/>
          <w:szCs w:val="20"/>
        </w:rPr>
      </w:pPr>
      <w:bookmarkStart w:id="4" w:name="_Hlk193560129"/>
      <w:r w:rsidRPr="00E64EF0">
        <w:rPr>
          <w:rFonts w:ascii="Arial" w:eastAsia="Times New Roman" w:hAnsi="Arial" w:cs="Arial"/>
          <w:bCs/>
          <w:iCs/>
          <w:sz w:val="20"/>
          <w:szCs w:val="20"/>
          <w:lang w:val="en-IN"/>
        </w:rPr>
        <w:t>Vikram</w:t>
      </w:r>
      <w:bookmarkEnd w:id="4"/>
      <w:r w:rsidRPr="00E64EF0">
        <w:rPr>
          <w:rFonts w:ascii="Arial" w:eastAsia="Times New Roman" w:hAnsi="Arial" w:cs="Arial"/>
          <w:bCs/>
          <w:iCs/>
          <w:sz w:val="20"/>
          <w:szCs w:val="20"/>
          <w:lang w:val="en-IN"/>
        </w:rPr>
        <w:t>, I., Mohanty, D., &amp; Agrawal, A. (</w:t>
      </w:r>
      <w:bookmarkStart w:id="5" w:name="_Hlk193560138"/>
      <w:r w:rsidRPr="00E64EF0">
        <w:rPr>
          <w:rFonts w:ascii="Arial" w:eastAsia="Times New Roman" w:hAnsi="Arial" w:cs="Arial"/>
          <w:bCs/>
          <w:iCs/>
          <w:sz w:val="20"/>
          <w:szCs w:val="20"/>
          <w:lang w:val="en-IN"/>
        </w:rPr>
        <w:t>2022b</w:t>
      </w:r>
      <w:bookmarkEnd w:id="5"/>
      <w:r w:rsidRPr="00E64EF0">
        <w:rPr>
          <w:rFonts w:ascii="Arial" w:eastAsia="Times New Roman" w:hAnsi="Arial" w:cs="Arial"/>
          <w:bCs/>
          <w:iCs/>
          <w:sz w:val="20"/>
          <w:szCs w:val="20"/>
          <w:lang w:val="en-IN"/>
        </w:rPr>
        <w:t xml:space="preserve">). The outbreak of COVID-19 pandemic and </w:t>
      </w:r>
      <w:r w:rsidRPr="00E64EF0">
        <w:rPr>
          <w:rFonts w:ascii="Arial" w:eastAsia="Times New Roman" w:hAnsi="Arial" w:cs="Arial"/>
          <w:bCs/>
          <w:iCs/>
          <w:sz w:val="20"/>
          <w:szCs w:val="20"/>
          <w:lang w:val="en-IN"/>
        </w:rPr>
        <w:t xml:space="preserve">its impact on volatility of Indian stock market: Evidence from top ten stocks of Bombay Stock Exchange. </w:t>
      </w:r>
      <w:r w:rsidRPr="00E64EF0">
        <w:rPr>
          <w:rFonts w:ascii="Arial" w:eastAsia="Times New Roman" w:hAnsi="Arial" w:cs="Arial"/>
          <w:bCs/>
          <w:i/>
          <w:iCs/>
          <w:sz w:val="20"/>
          <w:szCs w:val="20"/>
          <w:lang w:val="en-IN"/>
        </w:rPr>
        <w:t>African Journal of Accounting, Auditing and Finance, 8</w:t>
      </w:r>
      <w:r w:rsidRPr="00E64EF0">
        <w:rPr>
          <w:rFonts w:ascii="Arial" w:eastAsia="Times New Roman" w:hAnsi="Arial" w:cs="Arial"/>
          <w:bCs/>
          <w:iCs/>
          <w:sz w:val="20"/>
          <w:szCs w:val="20"/>
          <w:lang w:val="en-IN"/>
        </w:rPr>
        <w:t>(1), 91–105. https://doi.org/10.1504/AJAAF.2022.123971</w:t>
      </w:r>
    </w:p>
    <w:p w14:paraId="1B4C7CC4" w14:textId="77777777" w:rsidR="00CB6EE2" w:rsidRPr="00E64EF0" w:rsidRDefault="00CB6EE2" w:rsidP="000721BC">
      <w:pPr>
        <w:spacing w:after="0" w:line="240" w:lineRule="auto"/>
        <w:jc w:val="both"/>
        <w:rPr>
          <w:rFonts w:ascii="Arial" w:eastAsia="Times New Roman" w:hAnsi="Arial" w:cs="Arial"/>
          <w:sz w:val="20"/>
          <w:szCs w:val="20"/>
        </w:rPr>
        <w:sectPr w:rsidR="00CB6EE2" w:rsidRPr="00E64EF0" w:rsidSect="00CB6EE2">
          <w:type w:val="continuous"/>
          <w:pgSz w:w="11909" w:h="16834" w:code="9"/>
          <w:pgMar w:top="1440" w:right="1440" w:bottom="1440" w:left="1440" w:header="720" w:footer="864" w:gutter="0"/>
          <w:cols w:num="2" w:space="288"/>
          <w:titlePg/>
          <w:docGrid w:linePitch="360"/>
        </w:sectPr>
      </w:pPr>
    </w:p>
    <w:p w14:paraId="7A42101C" w14:textId="0E883B02" w:rsidR="007E1ABC" w:rsidRPr="00E64EF0" w:rsidRDefault="007E1ABC" w:rsidP="000721BC">
      <w:pPr>
        <w:spacing w:after="0" w:line="240" w:lineRule="auto"/>
        <w:jc w:val="both"/>
        <w:rPr>
          <w:rFonts w:ascii="Arial" w:eastAsia="Times New Roman" w:hAnsi="Arial" w:cs="Arial"/>
          <w:sz w:val="20"/>
          <w:szCs w:val="20"/>
        </w:rPr>
      </w:pPr>
    </w:p>
    <w:p w14:paraId="4D9EB18F" w14:textId="2AC32702" w:rsidR="0085334C" w:rsidRPr="006E1FAF" w:rsidRDefault="0085334C" w:rsidP="000721BC">
      <w:pPr>
        <w:spacing w:after="0" w:line="240" w:lineRule="auto"/>
        <w:jc w:val="both"/>
        <w:rPr>
          <w:rFonts w:ascii="Arial" w:hAnsi="Arial" w:cs="Arial"/>
        </w:rPr>
      </w:pPr>
    </w:p>
    <w:sectPr w:rsidR="0085334C" w:rsidRPr="006E1FAF" w:rsidSect="009304A6">
      <w:type w:val="continuous"/>
      <w:pgSz w:w="11909" w:h="16834" w:code="9"/>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501BB" w14:textId="77777777" w:rsidR="00913A03" w:rsidRDefault="00913A03" w:rsidP="004336DD">
      <w:pPr>
        <w:spacing w:after="0" w:line="240" w:lineRule="auto"/>
      </w:pPr>
      <w:r>
        <w:separator/>
      </w:r>
    </w:p>
  </w:endnote>
  <w:endnote w:type="continuationSeparator" w:id="0">
    <w:p w14:paraId="7577A7DC" w14:textId="77777777" w:rsidR="00913A03" w:rsidRDefault="00913A03"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84350" w14:textId="77777777" w:rsidR="00506767" w:rsidRPr="007D1D8E" w:rsidRDefault="00506767">
    <w:pPr>
      <w:pStyle w:val="Footer"/>
      <w:jc w:val="center"/>
      <w:rPr>
        <w:rFonts w:ascii="Arial" w:hAnsi="Arial" w:cs="Arial"/>
        <w:sz w:val="28"/>
      </w:rPr>
    </w:pPr>
  </w:p>
  <w:p w14:paraId="2DAB0FA2" w14:textId="77777777" w:rsidR="00506767" w:rsidRDefault="00913A03">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EndPr/>
      <w:sdtContent>
        <w:r w:rsidR="00506767" w:rsidRPr="00817E1D">
          <w:rPr>
            <w:rFonts w:ascii="Arial" w:hAnsi="Arial" w:cs="Arial"/>
            <w:sz w:val="20"/>
          </w:rPr>
          <w:fldChar w:fldCharType="begin"/>
        </w:r>
        <w:r w:rsidR="00506767" w:rsidRPr="00817E1D">
          <w:rPr>
            <w:rFonts w:ascii="Arial" w:hAnsi="Arial" w:cs="Arial"/>
            <w:sz w:val="20"/>
          </w:rPr>
          <w:instrText xml:space="preserve"> PAGE   \* MERGEFORMAT </w:instrText>
        </w:r>
        <w:r w:rsidR="00506767" w:rsidRPr="00817E1D">
          <w:rPr>
            <w:rFonts w:ascii="Arial" w:hAnsi="Arial" w:cs="Arial"/>
            <w:sz w:val="20"/>
          </w:rPr>
          <w:fldChar w:fldCharType="separate"/>
        </w:r>
        <w:r w:rsidR="00506767">
          <w:rPr>
            <w:rFonts w:ascii="Arial" w:hAnsi="Arial" w:cs="Arial"/>
            <w:noProof/>
            <w:sz w:val="20"/>
          </w:rPr>
          <w:t>10</w:t>
        </w:r>
        <w:r w:rsidR="00506767" w:rsidRPr="00817E1D">
          <w:rPr>
            <w:rFonts w:ascii="Arial" w:hAnsi="Arial" w:cs="Arial"/>
            <w:sz w:val="20"/>
          </w:rPr>
          <w:fldChar w:fldCharType="end"/>
        </w:r>
      </w:sdtContent>
    </w:sdt>
  </w:p>
  <w:p w14:paraId="16837CD7" w14:textId="77777777" w:rsidR="00506767" w:rsidRPr="007D1D8E" w:rsidRDefault="00506767">
    <w:pPr>
      <w:pStyle w:val="Footer"/>
      <w:jc w:val="cen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0731" w14:textId="77777777" w:rsidR="00506767" w:rsidRPr="00B552F7" w:rsidRDefault="00506767" w:rsidP="00B552F7">
    <w:pPr>
      <w:tabs>
        <w:tab w:val="center" w:pos="4320"/>
        <w:tab w:val="right" w:pos="8640"/>
      </w:tabs>
      <w:spacing w:after="0" w:line="240" w:lineRule="auto"/>
      <w:rPr>
        <w:rFonts w:ascii="Arial" w:eastAsia="Times New Roman" w:hAnsi="Arial" w:cs="Arial"/>
        <w:sz w:val="16"/>
        <w:szCs w:val="20"/>
      </w:rPr>
    </w:pPr>
    <w:r w:rsidRPr="00B552F7">
      <w:rPr>
        <w:rFonts w:ascii="Arial" w:eastAsia="Times New Roman" w:hAnsi="Arial" w:cs="Arial"/>
        <w:sz w:val="16"/>
        <w:szCs w:val="20"/>
      </w:rPr>
      <w:t>_____________________________________________________________________________________________________</w:t>
    </w:r>
  </w:p>
  <w:p w14:paraId="2B18D837" w14:textId="77777777" w:rsidR="00506767" w:rsidRPr="00B552F7" w:rsidRDefault="00506767" w:rsidP="00B552F7">
    <w:pPr>
      <w:tabs>
        <w:tab w:val="center" w:pos="4320"/>
        <w:tab w:val="right" w:pos="8640"/>
      </w:tabs>
      <w:spacing w:after="0" w:line="240" w:lineRule="auto"/>
      <w:rPr>
        <w:rFonts w:ascii="Arial" w:eastAsia="Times New Roman" w:hAnsi="Arial" w:cs="Arial"/>
        <w:i/>
        <w:sz w:val="16"/>
        <w:szCs w:val="20"/>
      </w:rPr>
    </w:pPr>
  </w:p>
  <w:p w14:paraId="732B81BB" w14:textId="77777777" w:rsidR="00506767" w:rsidRDefault="00506767" w:rsidP="00B552F7">
    <w:pPr>
      <w:tabs>
        <w:tab w:val="center" w:pos="4320"/>
        <w:tab w:val="right" w:pos="8640"/>
      </w:tabs>
      <w:spacing w:after="0" w:line="240" w:lineRule="auto"/>
      <w:jc w:val="both"/>
      <w:rPr>
        <w:rFonts w:ascii="Arial" w:eastAsia="Times New Roman" w:hAnsi="Arial" w:cs="Arial"/>
        <w:i/>
        <w:sz w:val="16"/>
        <w:szCs w:val="16"/>
      </w:rPr>
    </w:pPr>
    <w:r w:rsidRPr="00B552F7">
      <w:rPr>
        <w:rFonts w:ascii="Arial" w:eastAsia="Times New Roman" w:hAnsi="Arial" w:cs="Arial"/>
        <w:i/>
        <w:sz w:val="16"/>
        <w:szCs w:val="16"/>
      </w:rPr>
      <w:t>*Corresponding author: E-mail: ……………………………</w:t>
    </w:r>
    <w:proofErr w:type="gramStart"/>
    <w:r w:rsidRPr="00B552F7">
      <w:rPr>
        <w:rFonts w:ascii="Arial" w:eastAsia="Times New Roman" w:hAnsi="Arial" w:cs="Arial"/>
        <w:i/>
        <w:sz w:val="16"/>
        <w:szCs w:val="16"/>
      </w:rPr>
      <w:t>…..</w:t>
    </w:r>
    <w:proofErr w:type="gramEnd"/>
    <w:r w:rsidRPr="00B552F7">
      <w:rPr>
        <w:rFonts w:ascii="Arial" w:eastAsia="Times New Roman" w:hAnsi="Arial" w:cs="Arial"/>
        <w:i/>
        <w:sz w:val="16"/>
        <w:szCs w:val="16"/>
      </w:rPr>
      <w:t>;</w:t>
    </w:r>
  </w:p>
  <w:p w14:paraId="671CD546" w14:textId="77777777" w:rsidR="00506767" w:rsidRDefault="00506767" w:rsidP="00B552F7">
    <w:pPr>
      <w:tabs>
        <w:tab w:val="center" w:pos="4320"/>
        <w:tab w:val="right" w:pos="8640"/>
      </w:tabs>
      <w:spacing w:after="0" w:line="240" w:lineRule="auto"/>
      <w:jc w:val="both"/>
      <w:rPr>
        <w:rFonts w:ascii="Arial" w:eastAsia="Times New Roman" w:hAnsi="Arial" w:cs="Arial"/>
        <w:i/>
        <w:sz w:val="16"/>
        <w:szCs w:val="16"/>
      </w:rPr>
    </w:pPr>
  </w:p>
  <w:p w14:paraId="6AE2C11D" w14:textId="77777777" w:rsidR="00506767" w:rsidRDefault="00506767" w:rsidP="00252907">
    <w:pPr>
      <w:pStyle w:val="Footer"/>
      <w:jc w:val="both"/>
      <w:rPr>
        <w:rFonts w:ascii="Arial" w:hAnsi="Arial" w:cs="Arial"/>
        <w:b/>
        <w:bCs/>
        <w:i/>
        <w:sz w:val="16"/>
      </w:rPr>
    </w:pPr>
    <w:r w:rsidRPr="00932C11">
      <w:rPr>
        <w:rFonts w:ascii="Arial" w:hAnsi="Arial" w:cs="Arial"/>
        <w:b/>
        <w:bCs/>
        <w:i/>
        <w:sz w:val="16"/>
      </w:rPr>
      <w:t>Cite as:</w:t>
    </w:r>
  </w:p>
  <w:p w14:paraId="561B3045" w14:textId="77777777" w:rsidR="00506767" w:rsidRDefault="00506767" w:rsidP="00252907">
    <w:pPr>
      <w:pStyle w:val="Footer"/>
      <w:jc w:val="both"/>
      <w:rPr>
        <w:rFonts w:ascii="Arial" w:hAnsi="Arial" w:cs="Arial"/>
        <w:i/>
        <w:sz w:val="16"/>
      </w:rPr>
    </w:pPr>
  </w:p>
  <w:p w14:paraId="048FEB03" w14:textId="77777777" w:rsidR="00506767" w:rsidRPr="00932C11" w:rsidRDefault="00506767" w:rsidP="00252907">
    <w:pPr>
      <w:pStyle w:val="Footer"/>
      <w:jc w:val="both"/>
      <w:rPr>
        <w:rFonts w:ascii="Arial" w:hAnsi="Arial" w:cs="Arial"/>
        <w:i/>
        <w:sz w:val="16"/>
      </w:rPr>
    </w:pPr>
  </w:p>
  <w:p w14:paraId="582EBF76" w14:textId="49DE2949" w:rsidR="00506767" w:rsidRDefault="00506767" w:rsidP="00B552F7">
    <w:pPr>
      <w:tabs>
        <w:tab w:val="center" w:pos="4320"/>
        <w:tab w:val="right" w:pos="8640"/>
      </w:tabs>
      <w:spacing w:after="0" w:line="240" w:lineRule="auto"/>
      <w:jc w:val="both"/>
      <w:rPr>
        <w:rFonts w:ascii="Arial" w:eastAsia="Times New Roman" w:hAnsi="Arial" w:cs="Arial"/>
        <w:i/>
        <w:sz w:val="16"/>
        <w:szCs w:val="16"/>
      </w:rPr>
    </w:pPr>
  </w:p>
  <w:p w14:paraId="1473F453" w14:textId="77777777" w:rsidR="00506767" w:rsidRPr="00896B6A" w:rsidRDefault="00506767" w:rsidP="00B552F7">
    <w:pPr>
      <w:tabs>
        <w:tab w:val="center" w:pos="4320"/>
        <w:tab w:val="right" w:pos="8640"/>
      </w:tabs>
      <w:spacing w:after="0" w:line="240" w:lineRule="auto"/>
      <w:jc w:val="both"/>
      <w:rPr>
        <w:rFonts w:ascii="Arial" w:eastAsia="Times New Roman" w:hAnsi="Arial" w:cs="Arial"/>
        <w:i/>
        <w:sz w:val="20"/>
        <w:szCs w:val="16"/>
      </w:rPr>
    </w:pPr>
  </w:p>
  <w:p w14:paraId="3F70E18E" w14:textId="77777777" w:rsidR="00506767" w:rsidRPr="00896B6A" w:rsidRDefault="00506767" w:rsidP="00B552F7">
    <w:pPr>
      <w:tabs>
        <w:tab w:val="center" w:pos="4320"/>
        <w:tab w:val="right" w:pos="8640"/>
      </w:tabs>
      <w:spacing w:after="0" w:line="240" w:lineRule="auto"/>
      <w:jc w:val="both"/>
      <w:rPr>
        <w:rFonts w:ascii="Arial" w:eastAsia="Times New Roman" w:hAnsi="Arial" w:cs="Arial"/>
        <w: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6FB43" w14:textId="77777777" w:rsidR="00913A03" w:rsidRDefault="00913A03" w:rsidP="004336DD">
      <w:pPr>
        <w:spacing w:after="0" w:line="240" w:lineRule="auto"/>
      </w:pPr>
      <w:r>
        <w:separator/>
      </w:r>
    </w:p>
  </w:footnote>
  <w:footnote w:type="continuationSeparator" w:id="0">
    <w:p w14:paraId="39767806" w14:textId="77777777" w:rsidR="00913A03" w:rsidRDefault="00913A03" w:rsidP="0043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6064" w14:textId="77777777" w:rsidR="00506767" w:rsidRDefault="00506767"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612F9E6A" w14:textId="77777777" w:rsidR="00506767" w:rsidRDefault="00506767"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7ADD2A49" w14:textId="77777777" w:rsidR="00506767" w:rsidRDefault="00506767"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11AC344C" w14:textId="77777777" w:rsidR="00506767" w:rsidRDefault="00506767"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5848A4D5" w14:textId="77777777" w:rsidR="00506767" w:rsidRDefault="00506767" w:rsidP="006C56FD">
    <w:pPr>
      <w:tabs>
        <w:tab w:val="center" w:pos="4320"/>
        <w:tab w:val="right" w:pos="8640"/>
      </w:tabs>
      <w:spacing w:after="0" w:line="240" w:lineRule="auto"/>
      <w:jc w:val="right"/>
      <w:rPr>
        <w:rFonts w:ascii="Arial" w:eastAsia="Times New Roman" w:hAnsi="Arial" w:cs="Arial"/>
        <w:i/>
        <w:sz w:val="16"/>
        <w:szCs w:val="20"/>
      </w:rPr>
    </w:pPr>
  </w:p>
  <w:p w14:paraId="75E85578" w14:textId="77777777" w:rsidR="00506767" w:rsidRPr="006C56FD" w:rsidRDefault="00506767" w:rsidP="006C56FD">
    <w:pPr>
      <w:tabs>
        <w:tab w:val="center" w:pos="4320"/>
        <w:tab w:val="right" w:pos="8640"/>
      </w:tabs>
      <w:spacing w:after="0" w:line="240" w:lineRule="auto"/>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91B40D7"/>
    <w:multiLevelType w:val="multilevel"/>
    <w:tmpl w:val="560C6F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1FAF"/>
    <w:rsid w:val="00017E73"/>
    <w:rsid w:val="000210E7"/>
    <w:rsid w:val="00021DF1"/>
    <w:rsid w:val="00023F27"/>
    <w:rsid w:val="00037C27"/>
    <w:rsid w:val="00060E59"/>
    <w:rsid w:val="000623F4"/>
    <w:rsid w:val="000721BC"/>
    <w:rsid w:val="00075658"/>
    <w:rsid w:val="00086D48"/>
    <w:rsid w:val="00090C30"/>
    <w:rsid w:val="000A688F"/>
    <w:rsid w:val="000E1E5C"/>
    <w:rsid w:val="000F30A5"/>
    <w:rsid w:val="000F51D2"/>
    <w:rsid w:val="0012039D"/>
    <w:rsid w:val="00122265"/>
    <w:rsid w:val="001332A4"/>
    <w:rsid w:val="001360D5"/>
    <w:rsid w:val="00140319"/>
    <w:rsid w:val="001424F2"/>
    <w:rsid w:val="00143DFE"/>
    <w:rsid w:val="00145FA3"/>
    <w:rsid w:val="00146BD7"/>
    <w:rsid w:val="001528EF"/>
    <w:rsid w:val="0017090B"/>
    <w:rsid w:val="001814B4"/>
    <w:rsid w:val="00182FAB"/>
    <w:rsid w:val="00186E86"/>
    <w:rsid w:val="001A0C23"/>
    <w:rsid w:val="001C3908"/>
    <w:rsid w:val="001C7E8D"/>
    <w:rsid w:val="001F49B1"/>
    <w:rsid w:val="0020723B"/>
    <w:rsid w:val="00213C02"/>
    <w:rsid w:val="00215F8D"/>
    <w:rsid w:val="00233BBB"/>
    <w:rsid w:val="00237014"/>
    <w:rsid w:val="00246B1B"/>
    <w:rsid w:val="00252907"/>
    <w:rsid w:val="00255CEC"/>
    <w:rsid w:val="00257FF1"/>
    <w:rsid w:val="00260707"/>
    <w:rsid w:val="00281B78"/>
    <w:rsid w:val="002C3F2C"/>
    <w:rsid w:val="002E21E3"/>
    <w:rsid w:val="002F6FD7"/>
    <w:rsid w:val="00300F23"/>
    <w:rsid w:val="00304E89"/>
    <w:rsid w:val="003055EA"/>
    <w:rsid w:val="00307680"/>
    <w:rsid w:val="0031165B"/>
    <w:rsid w:val="00331E84"/>
    <w:rsid w:val="00336719"/>
    <w:rsid w:val="003467C7"/>
    <w:rsid w:val="00351266"/>
    <w:rsid w:val="003570B1"/>
    <w:rsid w:val="00392C95"/>
    <w:rsid w:val="003B52E2"/>
    <w:rsid w:val="003C137C"/>
    <w:rsid w:val="003C5AA4"/>
    <w:rsid w:val="003D1644"/>
    <w:rsid w:val="003D43F4"/>
    <w:rsid w:val="003F3F89"/>
    <w:rsid w:val="003F57A0"/>
    <w:rsid w:val="004018D1"/>
    <w:rsid w:val="00421E7D"/>
    <w:rsid w:val="0042538D"/>
    <w:rsid w:val="004277E4"/>
    <w:rsid w:val="004336DD"/>
    <w:rsid w:val="00444654"/>
    <w:rsid w:val="00451BC8"/>
    <w:rsid w:val="004641C7"/>
    <w:rsid w:val="00465DF2"/>
    <w:rsid w:val="00467F51"/>
    <w:rsid w:val="00472793"/>
    <w:rsid w:val="0049098D"/>
    <w:rsid w:val="00495BBE"/>
    <w:rsid w:val="004A3919"/>
    <w:rsid w:val="004A3E6C"/>
    <w:rsid w:val="004A4822"/>
    <w:rsid w:val="004C7A6E"/>
    <w:rsid w:val="004F2512"/>
    <w:rsid w:val="004F407B"/>
    <w:rsid w:val="00506767"/>
    <w:rsid w:val="00512021"/>
    <w:rsid w:val="00532B18"/>
    <w:rsid w:val="0054433A"/>
    <w:rsid w:val="0055073F"/>
    <w:rsid w:val="00556F8C"/>
    <w:rsid w:val="00573D61"/>
    <w:rsid w:val="00590E20"/>
    <w:rsid w:val="00593283"/>
    <w:rsid w:val="005A3C15"/>
    <w:rsid w:val="005B517E"/>
    <w:rsid w:val="005C62DE"/>
    <w:rsid w:val="005D4772"/>
    <w:rsid w:val="005E353E"/>
    <w:rsid w:val="00602332"/>
    <w:rsid w:val="006305C6"/>
    <w:rsid w:val="00636153"/>
    <w:rsid w:val="00676ADB"/>
    <w:rsid w:val="00677E8D"/>
    <w:rsid w:val="006A7B36"/>
    <w:rsid w:val="006B4AF8"/>
    <w:rsid w:val="006B62F9"/>
    <w:rsid w:val="006C56FD"/>
    <w:rsid w:val="006C6586"/>
    <w:rsid w:val="006E1FAF"/>
    <w:rsid w:val="006F6677"/>
    <w:rsid w:val="006F7309"/>
    <w:rsid w:val="00701980"/>
    <w:rsid w:val="00740951"/>
    <w:rsid w:val="00760230"/>
    <w:rsid w:val="007667F4"/>
    <w:rsid w:val="00776946"/>
    <w:rsid w:val="00783657"/>
    <w:rsid w:val="00787391"/>
    <w:rsid w:val="007B2B4D"/>
    <w:rsid w:val="007C4AD1"/>
    <w:rsid w:val="007D1D8E"/>
    <w:rsid w:val="007D22B3"/>
    <w:rsid w:val="007E1ABC"/>
    <w:rsid w:val="008062EB"/>
    <w:rsid w:val="00806B2A"/>
    <w:rsid w:val="00817E1D"/>
    <w:rsid w:val="0082547A"/>
    <w:rsid w:val="00825F35"/>
    <w:rsid w:val="0083526E"/>
    <w:rsid w:val="0085334C"/>
    <w:rsid w:val="00871561"/>
    <w:rsid w:val="00886D02"/>
    <w:rsid w:val="00896B6A"/>
    <w:rsid w:val="008A1CF8"/>
    <w:rsid w:val="008A7734"/>
    <w:rsid w:val="008C1E01"/>
    <w:rsid w:val="00903A89"/>
    <w:rsid w:val="00913A03"/>
    <w:rsid w:val="009164FE"/>
    <w:rsid w:val="00927E25"/>
    <w:rsid w:val="009304A6"/>
    <w:rsid w:val="00940019"/>
    <w:rsid w:val="009439D9"/>
    <w:rsid w:val="009458C4"/>
    <w:rsid w:val="009874A2"/>
    <w:rsid w:val="00987EC7"/>
    <w:rsid w:val="00992D52"/>
    <w:rsid w:val="009B19D3"/>
    <w:rsid w:val="009C6035"/>
    <w:rsid w:val="009D6E5A"/>
    <w:rsid w:val="009F49F8"/>
    <w:rsid w:val="00A170EC"/>
    <w:rsid w:val="00A31A78"/>
    <w:rsid w:val="00A35C63"/>
    <w:rsid w:val="00A40016"/>
    <w:rsid w:val="00A406E4"/>
    <w:rsid w:val="00A47064"/>
    <w:rsid w:val="00A47725"/>
    <w:rsid w:val="00A60CB6"/>
    <w:rsid w:val="00A65F76"/>
    <w:rsid w:val="00A66C32"/>
    <w:rsid w:val="00A67566"/>
    <w:rsid w:val="00A7141C"/>
    <w:rsid w:val="00A72E99"/>
    <w:rsid w:val="00A92735"/>
    <w:rsid w:val="00AA3D5F"/>
    <w:rsid w:val="00AA5970"/>
    <w:rsid w:val="00AB376C"/>
    <w:rsid w:val="00AC2846"/>
    <w:rsid w:val="00AC501A"/>
    <w:rsid w:val="00AF6CC6"/>
    <w:rsid w:val="00B03434"/>
    <w:rsid w:val="00B20E5A"/>
    <w:rsid w:val="00B41438"/>
    <w:rsid w:val="00B552F7"/>
    <w:rsid w:val="00B600F8"/>
    <w:rsid w:val="00B62FBA"/>
    <w:rsid w:val="00B74DE3"/>
    <w:rsid w:val="00B85236"/>
    <w:rsid w:val="00B86BB6"/>
    <w:rsid w:val="00B900B1"/>
    <w:rsid w:val="00B93EE3"/>
    <w:rsid w:val="00B96A73"/>
    <w:rsid w:val="00BA711E"/>
    <w:rsid w:val="00BC12DD"/>
    <w:rsid w:val="00BE03CF"/>
    <w:rsid w:val="00BE129D"/>
    <w:rsid w:val="00BE5265"/>
    <w:rsid w:val="00BF088B"/>
    <w:rsid w:val="00BF50DF"/>
    <w:rsid w:val="00C04EBD"/>
    <w:rsid w:val="00C114B2"/>
    <w:rsid w:val="00C14BB1"/>
    <w:rsid w:val="00C24C8D"/>
    <w:rsid w:val="00C44A8E"/>
    <w:rsid w:val="00C45EAC"/>
    <w:rsid w:val="00C51527"/>
    <w:rsid w:val="00C64490"/>
    <w:rsid w:val="00C701F2"/>
    <w:rsid w:val="00C861FD"/>
    <w:rsid w:val="00C910C9"/>
    <w:rsid w:val="00C9653A"/>
    <w:rsid w:val="00CB6EE2"/>
    <w:rsid w:val="00CC3113"/>
    <w:rsid w:val="00CC667C"/>
    <w:rsid w:val="00CD358A"/>
    <w:rsid w:val="00CD3884"/>
    <w:rsid w:val="00CE74E9"/>
    <w:rsid w:val="00D16B6A"/>
    <w:rsid w:val="00D40E6D"/>
    <w:rsid w:val="00D45296"/>
    <w:rsid w:val="00D459C0"/>
    <w:rsid w:val="00D7379A"/>
    <w:rsid w:val="00D953A9"/>
    <w:rsid w:val="00DA183C"/>
    <w:rsid w:val="00DB4514"/>
    <w:rsid w:val="00DC09A7"/>
    <w:rsid w:val="00E01313"/>
    <w:rsid w:val="00E22C1E"/>
    <w:rsid w:val="00E258B4"/>
    <w:rsid w:val="00E33355"/>
    <w:rsid w:val="00E62617"/>
    <w:rsid w:val="00E64EF0"/>
    <w:rsid w:val="00E90C92"/>
    <w:rsid w:val="00E9318A"/>
    <w:rsid w:val="00EA4C34"/>
    <w:rsid w:val="00EB2290"/>
    <w:rsid w:val="00EC686F"/>
    <w:rsid w:val="00ED3628"/>
    <w:rsid w:val="00EE2357"/>
    <w:rsid w:val="00EE67FE"/>
    <w:rsid w:val="00F029E5"/>
    <w:rsid w:val="00F314DA"/>
    <w:rsid w:val="00F3460B"/>
    <w:rsid w:val="00F71E15"/>
    <w:rsid w:val="00F826D8"/>
    <w:rsid w:val="00FB09DC"/>
    <w:rsid w:val="00FB0DE0"/>
    <w:rsid w:val="00FB6A1E"/>
    <w:rsid w:val="00FC739B"/>
    <w:rsid w:val="00FD6EF3"/>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54"/>
      </o:rules>
    </o:shapelayout>
  </w:shapeDefaults>
  <w:decimalSymbol w:val="."/>
  <w:listSeparator w:val=","/>
  <w14:docId w14:val="687AF401"/>
  <w15:docId w15:val="{507CFCC3-003D-4E0B-9E41-609CC0A4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016"/>
  </w:style>
  <w:style w:type="paragraph" w:styleId="Heading1">
    <w:name w:val="heading 1"/>
    <w:basedOn w:val="Normal"/>
    <w:next w:val="Normal"/>
    <w:link w:val="Heading1Char"/>
    <w:uiPriority w:val="9"/>
    <w:qFormat/>
    <w:rsid w:val="0083526E"/>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83526E"/>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3526E"/>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83526E"/>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5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rsid w:val="004F407B"/>
    <w:rPr>
      <w:color w:val="0000FF" w:themeColor="hyperlink"/>
      <w:u w:val="single"/>
    </w:rPr>
  </w:style>
  <w:style w:type="paragraph" w:customStyle="1" w:styleId="ReferHead">
    <w:name w:val="Refer Head"/>
    <w:basedOn w:val="Normal"/>
    <w:rsid w:val="003055EA"/>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83526E"/>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83526E"/>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3526E"/>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83526E"/>
    <w:rPr>
      <w:rFonts w:ascii="Arial" w:eastAsiaTheme="majorEastAsia" w:hAnsi="Arial" w:cstheme="majorBidi"/>
      <w:b/>
      <w:bCs/>
      <w:i/>
      <w:iCs/>
      <w:sz w:val="20"/>
    </w:rPr>
  </w:style>
  <w:style w:type="character" w:styleId="UnresolvedMention">
    <w:name w:val="Unresolved Mention"/>
    <w:basedOn w:val="DefaultParagraphFont"/>
    <w:uiPriority w:val="99"/>
    <w:semiHidden/>
    <w:unhideWhenUsed/>
    <w:rsid w:val="0007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64646">
      <w:bodyDiv w:val="1"/>
      <w:marLeft w:val="0"/>
      <w:marRight w:val="0"/>
      <w:marTop w:val="0"/>
      <w:marBottom w:val="0"/>
      <w:divBdr>
        <w:top w:val="none" w:sz="0" w:space="0" w:color="auto"/>
        <w:left w:val="none" w:sz="0" w:space="0" w:color="auto"/>
        <w:bottom w:val="none" w:sz="0" w:space="0" w:color="auto"/>
        <w:right w:val="none" w:sz="0" w:space="0" w:color="auto"/>
      </w:divBdr>
    </w:div>
    <w:div w:id="342978824">
      <w:bodyDiv w:val="1"/>
      <w:marLeft w:val="0"/>
      <w:marRight w:val="0"/>
      <w:marTop w:val="0"/>
      <w:marBottom w:val="0"/>
      <w:divBdr>
        <w:top w:val="none" w:sz="0" w:space="0" w:color="auto"/>
        <w:left w:val="none" w:sz="0" w:space="0" w:color="auto"/>
        <w:bottom w:val="none" w:sz="0" w:space="0" w:color="auto"/>
        <w:right w:val="none" w:sz="0" w:space="0" w:color="auto"/>
      </w:divBdr>
    </w:div>
    <w:div w:id="586688956">
      <w:bodyDiv w:val="1"/>
      <w:marLeft w:val="0"/>
      <w:marRight w:val="0"/>
      <w:marTop w:val="0"/>
      <w:marBottom w:val="0"/>
      <w:divBdr>
        <w:top w:val="none" w:sz="0" w:space="0" w:color="auto"/>
        <w:left w:val="none" w:sz="0" w:space="0" w:color="auto"/>
        <w:bottom w:val="none" w:sz="0" w:space="0" w:color="auto"/>
        <w:right w:val="none" w:sz="0" w:space="0" w:color="auto"/>
      </w:divBdr>
    </w:div>
    <w:div w:id="1244416464">
      <w:bodyDiv w:val="1"/>
      <w:marLeft w:val="0"/>
      <w:marRight w:val="0"/>
      <w:marTop w:val="0"/>
      <w:marBottom w:val="0"/>
      <w:divBdr>
        <w:top w:val="none" w:sz="0" w:space="0" w:color="auto"/>
        <w:left w:val="none" w:sz="0" w:space="0" w:color="auto"/>
        <w:bottom w:val="none" w:sz="0" w:space="0" w:color="auto"/>
        <w:right w:val="none" w:sz="0" w:space="0" w:color="auto"/>
      </w:divBdr>
    </w:div>
    <w:div w:id="1451775782">
      <w:bodyDiv w:val="1"/>
      <w:marLeft w:val="0"/>
      <w:marRight w:val="0"/>
      <w:marTop w:val="0"/>
      <w:marBottom w:val="0"/>
      <w:divBdr>
        <w:top w:val="none" w:sz="0" w:space="0" w:color="auto"/>
        <w:left w:val="none" w:sz="0" w:space="0" w:color="auto"/>
        <w:bottom w:val="none" w:sz="0" w:space="0" w:color="auto"/>
        <w:right w:val="none" w:sz="0" w:space="0" w:color="auto"/>
      </w:divBdr>
    </w:div>
    <w:div w:id="1766000716">
      <w:bodyDiv w:val="1"/>
      <w:marLeft w:val="0"/>
      <w:marRight w:val="0"/>
      <w:marTop w:val="0"/>
      <w:marBottom w:val="0"/>
      <w:divBdr>
        <w:top w:val="none" w:sz="0" w:space="0" w:color="auto"/>
        <w:left w:val="none" w:sz="0" w:space="0" w:color="auto"/>
        <w:bottom w:val="none" w:sz="0" w:space="0" w:color="auto"/>
        <w:right w:val="none" w:sz="0" w:space="0" w:color="auto"/>
      </w:divBdr>
    </w:div>
    <w:div w:id="1821848313">
      <w:bodyDiv w:val="1"/>
      <w:marLeft w:val="0"/>
      <w:marRight w:val="0"/>
      <w:marTop w:val="0"/>
      <w:marBottom w:val="0"/>
      <w:divBdr>
        <w:top w:val="none" w:sz="0" w:space="0" w:color="auto"/>
        <w:left w:val="none" w:sz="0" w:space="0" w:color="auto"/>
        <w:bottom w:val="none" w:sz="0" w:space="0" w:color="auto"/>
        <w:right w:val="none" w:sz="0" w:space="0" w:color="auto"/>
      </w:divBdr>
    </w:div>
    <w:div w:id="20050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7</Pages>
  <Words>3330</Words>
  <Characters>18983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SDI 1183</cp:lastModifiedBy>
  <cp:revision>136</cp:revision>
  <dcterms:created xsi:type="dcterms:W3CDTF">2014-09-22T13:32:00Z</dcterms:created>
  <dcterms:modified xsi:type="dcterms:W3CDTF">2025-03-24T10:25:00Z</dcterms:modified>
</cp:coreProperties>
</file>