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7A0F9" w14:textId="77777777" w:rsidR="00F91B0C" w:rsidRDefault="00F91B0C" w:rsidP="00DA153E">
      <w:pPr>
        <w:jc w:val="center"/>
        <w:rPr>
          <w:rFonts w:ascii="Times New Roman" w:hAnsi="Times New Roman" w:cs="Times New Roman"/>
          <w:b/>
          <w:bCs/>
          <w:sz w:val="24"/>
          <w:szCs w:val="24"/>
        </w:rPr>
      </w:pPr>
    </w:p>
    <w:p w14:paraId="591042C8" w14:textId="52FF55FE" w:rsidR="00BD22D2" w:rsidRPr="00BD22D2" w:rsidRDefault="00DA153E" w:rsidP="005E15F9">
      <w:pPr>
        <w:jc w:val="center"/>
        <w:rPr>
          <w:rFonts w:ascii="Times New Roman" w:hAnsi="Times New Roman" w:cs="Times New Roman"/>
          <w:b/>
          <w:bCs/>
          <w:sz w:val="24"/>
          <w:szCs w:val="24"/>
        </w:rPr>
      </w:pPr>
      <w:r w:rsidRPr="00446A45">
        <w:rPr>
          <w:rFonts w:ascii="Times New Roman" w:hAnsi="Times New Roman" w:cs="Times New Roman"/>
          <w:b/>
          <w:bCs/>
          <w:sz w:val="24"/>
          <w:szCs w:val="24"/>
        </w:rPr>
        <w:t>Bridging the Financial Knowledge Gap: How Financial Literacy Training Strategies Influence SME Success in Developing Nations</w:t>
      </w:r>
    </w:p>
    <w:p w14:paraId="56B5DE29" w14:textId="77777777" w:rsidR="001400FB" w:rsidRPr="00446A45" w:rsidRDefault="001400FB" w:rsidP="00B665D7">
      <w:pPr>
        <w:jc w:val="center"/>
        <w:rPr>
          <w:rFonts w:ascii="Times New Roman" w:hAnsi="Times New Roman" w:cs="Times New Roman"/>
        </w:rPr>
      </w:pPr>
    </w:p>
    <w:p w14:paraId="65F9E5CC" w14:textId="3FA2CABA" w:rsidR="00DA153E" w:rsidRPr="00446A45" w:rsidRDefault="000A7835" w:rsidP="000A7835">
      <w:pPr>
        <w:jc w:val="both"/>
        <w:rPr>
          <w:rFonts w:ascii="Times New Roman" w:hAnsi="Times New Roman" w:cs="Times New Roman"/>
          <w:b/>
          <w:bCs/>
          <w:sz w:val="24"/>
          <w:szCs w:val="24"/>
        </w:rPr>
      </w:pPr>
      <w:r w:rsidRPr="00446A45">
        <w:rPr>
          <w:rFonts w:ascii="Times New Roman" w:hAnsi="Times New Roman" w:cs="Times New Roman"/>
          <w:b/>
          <w:bCs/>
          <w:sz w:val="24"/>
          <w:szCs w:val="24"/>
        </w:rPr>
        <w:t xml:space="preserve">Abstract </w:t>
      </w:r>
    </w:p>
    <w:p w14:paraId="6780C198" w14:textId="02A5007F" w:rsidR="00BE029B" w:rsidRPr="00446A45" w:rsidRDefault="00BE029B" w:rsidP="00BE029B">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The review examines the </w:t>
      </w:r>
      <w:r w:rsidR="000660A5">
        <w:rPr>
          <w:rFonts w:ascii="Times New Roman" w:eastAsia="Times New Roman" w:hAnsi="Times New Roman" w:cs="Times New Roman"/>
          <w:sz w:val="24"/>
          <w:szCs w:val="24"/>
        </w:rPr>
        <w:t>influence</w:t>
      </w:r>
      <w:r w:rsidRPr="00446A45">
        <w:rPr>
          <w:rFonts w:ascii="Times New Roman" w:eastAsia="Times New Roman" w:hAnsi="Times New Roman" w:cs="Times New Roman"/>
          <w:sz w:val="24"/>
          <w:szCs w:val="24"/>
        </w:rPr>
        <w:t xml:space="preserve"> of financial literacy training strategies on S</w:t>
      </w:r>
      <w:r w:rsidR="002911E6" w:rsidRPr="00446A45">
        <w:rPr>
          <w:rFonts w:ascii="Times New Roman" w:eastAsia="Times New Roman" w:hAnsi="Times New Roman" w:cs="Times New Roman"/>
          <w:sz w:val="24"/>
          <w:szCs w:val="24"/>
        </w:rPr>
        <w:t xml:space="preserve">mall and </w:t>
      </w:r>
      <w:r w:rsidRPr="00446A45">
        <w:rPr>
          <w:rFonts w:ascii="Times New Roman" w:eastAsia="Times New Roman" w:hAnsi="Times New Roman" w:cs="Times New Roman"/>
          <w:sz w:val="24"/>
          <w:szCs w:val="24"/>
        </w:rPr>
        <w:t>M</w:t>
      </w:r>
      <w:r w:rsidR="002911E6" w:rsidRPr="00446A45">
        <w:rPr>
          <w:rFonts w:ascii="Times New Roman" w:eastAsia="Times New Roman" w:hAnsi="Times New Roman" w:cs="Times New Roman"/>
          <w:sz w:val="24"/>
          <w:szCs w:val="24"/>
        </w:rPr>
        <w:t>edium-sized Enterprises (SMEs)</w:t>
      </w:r>
      <w:r w:rsidRPr="00446A45">
        <w:rPr>
          <w:rFonts w:ascii="Times New Roman" w:eastAsia="Times New Roman" w:hAnsi="Times New Roman" w:cs="Times New Roman"/>
          <w:sz w:val="24"/>
          <w:szCs w:val="24"/>
        </w:rPr>
        <w:t xml:space="preserve"> success in developing nations, focusing on their contribution to tax compliance, financial management, and adherence to regulatory requirements. A systematic analysis of existing literature assesses the effectiveness of structured financial training initiatives, digital tax solutions, and policy measures designed to address compliance challenges. Research sources include academic databases such as Google Scholar, Scopus, and Web of Science, alongside reports from institutions like the World Bank, OECD, and national tax authorities, covering studies published between 2019 and 202</w:t>
      </w:r>
      <w:r w:rsidR="007438BB">
        <w:rPr>
          <w:rFonts w:ascii="Times New Roman" w:eastAsia="Times New Roman" w:hAnsi="Times New Roman" w:cs="Times New Roman"/>
          <w:sz w:val="24"/>
          <w:szCs w:val="24"/>
        </w:rPr>
        <w:t>4</w:t>
      </w:r>
      <w:r w:rsidRPr="00446A45">
        <w:rPr>
          <w:rFonts w:ascii="Times New Roman" w:eastAsia="Times New Roman" w:hAnsi="Times New Roman" w:cs="Times New Roman"/>
          <w:sz w:val="24"/>
          <w:szCs w:val="24"/>
        </w:rPr>
        <w:t xml:space="preserve">. Findings reveal that SMEs with stronger financial literacy experience greater financial stability, improved access to funding, and enhanced business sustainability. Complex tax frameworks, high compliance costs, and limited awareness continue to present significant obstacles to SME growth. The review suggests that incorporating financial literacy training into SME development </w:t>
      </w:r>
      <w:proofErr w:type="spellStart"/>
      <w:r w:rsidRPr="00446A45">
        <w:rPr>
          <w:rFonts w:ascii="Times New Roman" w:eastAsia="Times New Roman" w:hAnsi="Times New Roman" w:cs="Times New Roman"/>
          <w:sz w:val="24"/>
          <w:szCs w:val="24"/>
        </w:rPr>
        <w:t>programmes</w:t>
      </w:r>
      <w:proofErr w:type="spellEnd"/>
      <w:r w:rsidRPr="00446A45">
        <w:rPr>
          <w:rFonts w:ascii="Times New Roman" w:eastAsia="Times New Roman" w:hAnsi="Times New Roman" w:cs="Times New Roman"/>
          <w:sz w:val="24"/>
          <w:szCs w:val="24"/>
        </w:rPr>
        <w:t>, streamlining tax policies, and adopting digital solutions can strengthen SME resilience and expansion in developing economies. These findings offer valuable insights for policymakers, financial institutions, and business development agencies seeking to create a more enabling regulatory and financial landscape for SMEs.</w:t>
      </w:r>
    </w:p>
    <w:p w14:paraId="2AF78346" w14:textId="074B1C13" w:rsidR="000A7835" w:rsidRPr="00446A45" w:rsidRDefault="000A7835" w:rsidP="000A7835">
      <w:pPr>
        <w:jc w:val="both"/>
        <w:rPr>
          <w:rFonts w:ascii="Times New Roman" w:hAnsi="Times New Roman" w:cs="Times New Roman"/>
          <w:sz w:val="24"/>
          <w:szCs w:val="24"/>
        </w:rPr>
      </w:pPr>
      <w:r w:rsidRPr="00446A45">
        <w:rPr>
          <w:rFonts w:ascii="Times New Roman" w:hAnsi="Times New Roman" w:cs="Times New Roman"/>
          <w:b/>
          <w:bCs/>
          <w:sz w:val="24"/>
          <w:szCs w:val="24"/>
        </w:rPr>
        <w:t>Keywords:</w:t>
      </w:r>
      <w:r w:rsidR="00F91B0C" w:rsidRPr="00446A45">
        <w:rPr>
          <w:rFonts w:ascii="Times New Roman" w:hAnsi="Times New Roman" w:cs="Times New Roman"/>
          <w:b/>
          <w:bCs/>
          <w:sz w:val="24"/>
          <w:szCs w:val="24"/>
        </w:rPr>
        <w:t xml:space="preserve"> </w:t>
      </w:r>
      <w:r w:rsidR="00F91B0C" w:rsidRPr="00446A45">
        <w:rPr>
          <w:rFonts w:ascii="Times New Roman" w:hAnsi="Times New Roman" w:cs="Times New Roman"/>
          <w:sz w:val="24"/>
          <w:szCs w:val="24"/>
        </w:rPr>
        <w:t xml:space="preserve">Financial Knowledge, Financial Literacy, Training Strategies, SME Success, Developing Nations  </w:t>
      </w:r>
    </w:p>
    <w:p w14:paraId="026BC9C1" w14:textId="40B44ED7" w:rsidR="000A7835" w:rsidRDefault="000A7835" w:rsidP="000A7835">
      <w:pPr>
        <w:ind w:left="360"/>
        <w:jc w:val="both"/>
        <w:rPr>
          <w:rFonts w:ascii="Times New Roman" w:hAnsi="Times New Roman" w:cs="Times New Roman"/>
          <w:b/>
          <w:bCs/>
          <w:sz w:val="24"/>
          <w:szCs w:val="24"/>
        </w:rPr>
      </w:pPr>
    </w:p>
    <w:p w14:paraId="60416FCF" w14:textId="496B5302" w:rsidR="003F28ED" w:rsidRDefault="003F28ED" w:rsidP="000A7835">
      <w:pPr>
        <w:ind w:left="360"/>
        <w:jc w:val="both"/>
        <w:rPr>
          <w:rFonts w:ascii="Times New Roman" w:hAnsi="Times New Roman" w:cs="Times New Roman"/>
          <w:b/>
          <w:bCs/>
          <w:sz w:val="24"/>
          <w:szCs w:val="24"/>
        </w:rPr>
      </w:pPr>
    </w:p>
    <w:p w14:paraId="355C4267" w14:textId="77777777" w:rsidR="003F28ED" w:rsidRPr="00446A45" w:rsidRDefault="003F28ED" w:rsidP="000A7835">
      <w:pPr>
        <w:ind w:left="360"/>
        <w:jc w:val="both"/>
        <w:rPr>
          <w:rFonts w:ascii="Times New Roman" w:hAnsi="Times New Roman" w:cs="Times New Roman"/>
          <w:b/>
          <w:bCs/>
          <w:sz w:val="24"/>
          <w:szCs w:val="24"/>
        </w:rPr>
      </w:pPr>
    </w:p>
    <w:p w14:paraId="0F705D54" w14:textId="77777777" w:rsidR="00BE029B" w:rsidRPr="00446A45" w:rsidRDefault="00BE029B" w:rsidP="000A7835">
      <w:pPr>
        <w:ind w:left="360"/>
        <w:jc w:val="both"/>
        <w:rPr>
          <w:rFonts w:ascii="Times New Roman" w:hAnsi="Times New Roman" w:cs="Times New Roman"/>
          <w:b/>
          <w:bCs/>
          <w:sz w:val="24"/>
          <w:szCs w:val="24"/>
        </w:rPr>
      </w:pPr>
    </w:p>
    <w:p w14:paraId="2B458A02" w14:textId="77777777" w:rsidR="00BE029B" w:rsidRPr="00446A45" w:rsidRDefault="00BE029B" w:rsidP="000A7835">
      <w:pPr>
        <w:ind w:left="360"/>
        <w:jc w:val="both"/>
        <w:rPr>
          <w:rFonts w:ascii="Times New Roman" w:hAnsi="Times New Roman" w:cs="Times New Roman"/>
          <w:b/>
          <w:bCs/>
          <w:sz w:val="24"/>
          <w:szCs w:val="24"/>
        </w:rPr>
      </w:pPr>
    </w:p>
    <w:p w14:paraId="2573BD9B" w14:textId="77777777" w:rsidR="00BE029B" w:rsidRPr="00446A45" w:rsidRDefault="00BE029B" w:rsidP="000A7835">
      <w:pPr>
        <w:ind w:left="360"/>
        <w:jc w:val="both"/>
        <w:rPr>
          <w:rFonts w:ascii="Times New Roman" w:hAnsi="Times New Roman" w:cs="Times New Roman"/>
          <w:b/>
          <w:bCs/>
          <w:sz w:val="24"/>
          <w:szCs w:val="24"/>
        </w:rPr>
      </w:pPr>
    </w:p>
    <w:p w14:paraId="17CB0791" w14:textId="39A03E89" w:rsidR="000A7835" w:rsidRPr="00446A45" w:rsidRDefault="000A7835" w:rsidP="000A7835">
      <w:pPr>
        <w:jc w:val="both"/>
        <w:rPr>
          <w:rFonts w:ascii="Times New Roman" w:hAnsi="Times New Roman" w:cs="Times New Roman"/>
          <w:b/>
          <w:bCs/>
          <w:sz w:val="24"/>
          <w:szCs w:val="24"/>
        </w:rPr>
      </w:pPr>
      <w:r w:rsidRPr="00446A45">
        <w:rPr>
          <w:rFonts w:ascii="Times New Roman" w:hAnsi="Times New Roman" w:cs="Times New Roman"/>
          <w:b/>
          <w:bCs/>
          <w:sz w:val="24"/>
          <w:szCs w:val="24"/>
        </w:rPr>
        <w:t xml:space="preserve">Introduction </w:t>
      </w:r>
    </w:p>
    <w:p w14:paraId="6668F7BF" w14:textId="50C93D55" w:rsidR="00BE029B" w:rsidRPr="00446A45" w:rsidRDefault="00BE029B" w:rsidP="002911E6">
      <w:pPr>
        <w:pStyle w:val="NormalWeb"/>
        <w:spacing w:line="360" w:lineRule="auto"/>
        <w:jc w:val="both"/>
      </w:pPr>
      <w:r w:rsidRPr="00446A45">
        <w:lastRenderedPageBreak/>
        <w:t xml:space="preserve">SMEs play a crucial role in economic development, particularly in developing nations, where they contribute significantly to employment creation and GDP growth (OECD, 2021). The </w:t>
      </w:r>
      <w:proofErr w:type="spellStart"/>
      <w:r w:rsidRPr="00446A45">
        <w:t>Organisation</w:t>
      </w:r>
      <w:proofErr w:type="spellEnd"/>
      <w:r w:rsidRPr="00446A45">
        <w:t xml:space="preserve"> for Economic Co-operation and Development (OECD) (2021) states that SMEs account for approximately 99% of all enterprises and serve as a primary source of employment, generating between 50% and 60% of value added on average. Financial constraints and limited managerial expertise frequently hinder SME success. Enhancing financial literacy among entrepreneurs has become essential in strengthening SME performance by equipping business owners with critical financial management competencies</w:t>
      </w:r>
      <w:r w:rsidR="008B0DCC">
        <w:t xml:space="preserve"> (Al-Tal, &amp; Al-</w:t>
      </w:r>
      <w:proofErr w:type="spellStart"/>
      <w:r w:rsidR="008B0DCC">
        <w:t>Okaily</w:t>
      </w:r>
      <w:proofErr w:type="spellEnd"/>
      <w:r w:rsidR="008B0DCC">
        <w:t>, 2024).</w:t>
      </w:r>
      <w:r w:rsidRPr="00446A45">
        <w:t xml:space="preserve"> Research highlights that financial literacy plays a vital role in improving access to finance, ultimately strengthening SMEs’ financial performance (Amoah et al., 2021</w:t>
      </w:r>
      <w:r w:rsidR="004F09A3">
        <w:t xml:space="preserve">; </w:t>
      </w:r>
      <w:proofErr w:type="spellStart"/>
      <w:r w:rsidR="004F09A3" w:rsidRPr="004F09A3">
        <w:t>Yusoff</w:t>
      </w:r>
      <w:proofErr w:type="spellEnd"/>
      <w:r w:rsidR="004F09A3" w:rsidRPr="004F09A3">
        <w:t xml:space="preserve"> et al., 2023</w:t>
      </w:r>
      <w:r w:rsidRPr="00446A45">
        <w:t>).</w:t>
      </w:r>
    </w:p>
    <w:p w14:paraId="63F5381F" w14:textId="0BD51AFB" w:rsidR="00BE029B" w:rsidRPr="00446A45" w:rsidRDefault="00BE029B"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Understanding and applying financial principles such as budgeting, saving, investing, and financial risk assessment are key components of financial literacy (Huston, 2010). SME owners and managers require financial literacy skills to navigate financial challenges, secure funding, and maintain business sustainability</w:t>
      </w:r>
      <w:r w:rsidR="005B700B">
        <w:rPr>
          <w:rFonts w:ascii="Times New Roman" w:eastAsia="Times New Roman" w:hAnsi="Times New Roman" w:cs="Times New Roman"/>
          <w:sz w:val="24"/>
          <w:szCs w:val="24"/>
        </w:rPr>
        <w:t xml:space="preserve"> (</w:t>
      </w:r>
      <w:r w:rsidR="005B700B" w:rsidRPr="005B700B">
        <w:rPr>
          <w:rFonts w:ascii="Times New Roman" w:eastAsia="Times New Roman" w:hAnsi="Times New Roman" w:cs="Times New Roman"/>
          <w:sz w:val="24"/>
          <w:szCs w:val="24"/>
        </w:rPr>
        <w:t>Owusu et al., 2019</w:t>
      </w:r>
      <w:r w:rsidR="005B700B">
        <w:rPr>
          <w:rFonts w:ascii="Times New Roman" w:eastAsia="Times New Roman" w:hAnsi="Times New Roman" w:cs="Times New Roman"/>
          <w:sz w:val="24"/>
          <w:szCs w:val="24"/>
        </w:rPr>
        <w:t>)</w:t>
      </w:r>
      <w:r w:rsidRPr="00446A45">
        <w:rPr>
          <w:rFonts w:ascii="Times New Roman" w:eastAsia="Times New Roman" w:hAnsi="Times New Roman" w:cs="Times New Roman"/>
          <w:sz w:val="24"/>
          <w:szCs w:val="24"/>
        </w:rPr>
        <w:t xml:space="preserve">. Studies have shown that greater financial literacy enhances access to finance and contributes to stronger business performance </w:t>
      </w:r>
      <w:r w:rsidR="008B0DCC">
        <w:t>(</w:t>
      </w:r>
      <w:r w:rsidR="008B0DCC" w:rsidRPr="008B0DCC">
        <w:rPr>
          <w:rFonts w:ascii="Times New Roman" w:hAnsi="Times New Roman" w:cs="Times New Roman"/>
        </w:rPr>
        <w:t>Xero, 2024; Smith &amp; Johnson, 2023</w:t>
      </w:r>
      <w:r w:rsidRPr="008B0DCC">
        <w:rPr>
          <w:rFonts w:ascii="Times New Roman" w:eastAsia="Times New Roman" w:hAnsi="Times New Roman" w:cs="Times New Roman"/>
          <w:sz w:val="24"/>
          <w:szCs w:val="24"/>
        </w:rPr>
        <w:t>).</w:t>
      </w:r>
      <w:r w:rsidRPr="00446A45">
        <w:rPr>
          <w:rFonts w:ascii="Times New Roman" w:eastAsia="Times New Roman" w:hAnsi="Times New Roman" w:cs="Times New Roman"/>
          <w:sz w:val="24"/>
          <w:szCs w:val="24"/>
        </w:rPr>
        <w:t xml:space="preserve"> Entrepreneurs with financial literacy skills are more inclined to implement sound financial management practices, which positively impact their firms’ profitability and long-term survival (Amoah et al., 2021). Addressing knowledge gaps through financial literacy training empowers SMEs to make informed financial decisions, ultimately improving their operational efficiency</w:t>
      </w:r>
      <w:r w:rsidR="004F09A3">
        <w:rPr>
          <w:rFonts w:ascii="Times New Roman" w:eastAsia="Times New Roman" w:hAnsi="Times New Roman" w:cs="Times New Roman"/>
          <w:sz w:val="24"/>
          <w:szCs w:val="24"/>
        </w:rPr>
        <w:t xml:space="preserve"> </w:t>
      </w:r>
      <w:r w:rsidR="004F09A3" w:rsidRPr="004F09A3">
        <w:rPr>
          <w:rFonts w:ascii="Times New Roman" w:eastAsia="Times New Roman" w:hAnsi="Times New Roman" w:cs="Times New Roman"/>
          <w:sz w:val="24"/>
          <w:szCs w:val="24"/>
        </w:rPr>
        <w:t>(</w:t>
      </w:r>
      <w:proofErr w:type="spellStart"/>
      <w:r w:rsidR="004F09A3" w:rsidRPr="004F09A3">
        <w:rPr>
          <w:rFonts w:ascii="Times New Roman" w:eastAsia="Times New Roman" w:hAnsi="Times New Roman" w:cs="Times New Roman"/>
          <w:sz w:val="24"/>
          <w:szCs w:val="24"/>
        </w:rPr>
        <w:t>Eniola</w:t>
      </w:r>
      <w:proofErr w:type="spellEnd"/>
      <w:r w:rsidR="004F09A3" w:rsidRPr="004F09A3">
        <w:rPr>
          <w:rFonts w:ascii="Times New Roman" w:eastAsia="Times New Roman" w:hAnsi="Times New Roman" w:cs="Times New Roman"/>
          <w:sz w:val="24"/>
          <w:szCs w:val="24"/>
        </w:rPr>
        <w:t xml:space="preserve"> &amp; </w:t>
      </w:r>
      <w:proofErr w:type="spellStart"/>
      <w:r w:rsidR="004F09A3" w:rsidRPr="004F09A3">
        <w:rPr>
          <w:rFonts w:ascii="Times New Roman" w:eastAsia="Times New Roman" w:hAnsi="Times New Roman" w:cs="Times New Roman"/>
          <w:sz w:val="24"/>
          <w:szCs w:val="24"/>
        </w:rPr>
        <w:t>Entebang</w:t>
      </w:r>
      <w:proofErr w:type="spellEnd"/>
      <w:r w:rsidR="004F09A3" w:rsidRPr="004F09A3">
        <w:rPr>
          <w:rFonts w:ascii="Times New Roman" w:eastAsia="Times New Roman" w:hAnsi="Times New Roman" w:cs="Times New Roman"/>
          <w:sz w:val="24"/>
          <w:szCs w:val="24"/>
        </w:rPr>
        <w:t>, 2017</w:t>
      </w:r>
      <w:r w:rsidR="005B700B">
        <w:rPr>
          <w:rFonts w:ascii="Times New Roman" w:eastAsia="Times New Roman" w:hAnsi="Times New Roman" w:cs="Times New Roman"/>
          <w:sz w:val="24"/>
          <w:szCs w:val="24"/>
        </w:rPr>
        <w:t xml:space="preserve">; </w:t>
      </w:r>
      <w:proofErr w:type="spellStart"/>
      <w:r w:rsidR="005B700B" w:rsidRPr="005B700B">
        <w:rPr>
          <w:rFonts w:ascii="Times New Roman" w:eastAsia="Times New Roman" w:hAnsi="Times New Roman" w:cs="Times New Roman"/>
          <w:sz w:val="24"/>
          <w:szCs w:val="24"/>
        </w:rPr>
        <w:t>Torsu</w:t>
      </w:r>
      <w:proofErr w:type="spellEnd"/>
      <w:r w:rsidR="005B700B" w:rsidRPr="005B700B">
        <w:rPr>
          <w:rFonts w:ascii="Times New Roman" w:eastAsia="Times New Roman" w:hAnsi="Times New Roman" w:cs="Times New Roman"/>
          <w:sz w:val="24"/>
          <w:szCs w:val="24"/>
        </w:rPr>
        <w:t xml:space="preserve"> &amp; </w:t>
      </w:r>
      <w:proofErr w:type="spellStart"/>
      <w:r w:rsidR="005B700B" w:rsidRPr="005B700B">
        <w:rPr>
          <w:rFonts w:ascii="Times New Roman" w:eastAsia="Times New Roman" w:hAnsi="Times New Roman" w:cs="Times New Roman"/>
          <w:sz w:val="24"/>
          <w:szCs w:val="24"/>
        </w:rPr>
        <w:t>Dzodzodzi</w:t>
      </w:r>
      <w:proofErr w:type="spellEnd"/>
      <w:r w:rsidR="005B700B" w:rsidRPr="005B700B">
        <w:rPr>
          <w:rFonts w:ascii="Times New Roman" w:eastAsia="Times New Roman" w:hAnsi="Times New Roman" w:cs="Times New Roman"/>
          <w:sz w:val="24"/>
          <w:szCs w:val="24"/>
        </w:rPr>
        <w:t>, 2024</w:t>
      </w:r>
      <w:r w:rsidR="004F09A3" w:rsidRPr="004F09A3">
        <w:rPr>
          <w:rFonts w:ascii="Times New Roman" w:eastAsia="Times New Roman" w:hAnsi="Times New Roman" w:cs="Times New Roman"/>
          <w:sz w:val="24"/>
          <w:szCs w:val="24"/>
        </w:rPr>
        <w:t>)</w:t>
      </w:r>
      <w:r w:rsidRPr="00446A45">
        <w:rPr>
          <w:rFonts w:ascii="Times New Roman" w:eastAsia="Times New Roman" w:hAnsi="Times New Roman" w:cs="Times New Roman"/>
          <w:sz w:val="24"/>
          <w:szCs w:val="24"/>
        </w:rPr>
        <w:t>.</w:t>
      </w:r>
    </w:p>
    <w:p w14:paraId="5176E004" w14:textId="74D3A8B0" w:rsidR="00BE029B" w:rsidRPr="00446A45" w:rsidRDefault="00BE029B"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Developing and implementing effective financial literacy training strategies requires tailoring </w:t>
      </w:r>
      <w:proofErr w:type="spellStart"/>
      <w:r w:rsidRPr="00446A45">
        <w:rPr>
          <w:rFonts w:ascii="Times New Roman" w:eastAsia="Times New Roman" w:hAnsi="Times New Roman" w:cs="Times New Roman"/>
          <w:sz w:val="24"/>
          <w:szCs w:val="24"/>
        </w:rPr>
        <w:t>programmes</w:t>
      </w:r>
      <w:proofErr w:type="spellEnd"/>
      <w:r w:rsidRPr="00446A45">
        <w:rPr>
          <w:rFonts w:ascii="Times New Roman" w:eastAsia="Times New Roman" w:hAnsi="Times New Roman" w:cs="Times New Roman"/>
          <w:sz w:val="24"/>
          <w:szCs w:val="24"/>
        </w:rPr>
        <w:t xml:space="preserve"> to meet the unique needs of SMEs across various economic and cultural contexts. Workshops, mentorship initiatives, digital learning platforms, and government-backed educational </w:t>
      </w:r>
      <w:proofErr w:type="spellStart"/>
      <w:r w:rsidRPr="00446A45">
        <w:rPr>
          <w:rFonts w:ascii="Times New Roman" w:eastAsia="Times New Roman" w:hAnsi="Times New Roman" w:cs="Times New Roman"/>
          <w:sz w:val="24"/>
          <w:szCs w:val="24"/>
        </w:rPr>
        <w:t>programmes</w:t>
      </w:r>
      <w:proofErr w:type="spellEnd"/>
      <w:r w:rsidRPr="00446A45">
        <w:rPr>
          <w:rFonts w:ascii="Times New Roman" w:eastAsia="Times New Roman" w:hAnsi="Times New Roman" w:cs="Times New Roman"/>
          <w:sz w:val="24"/>
          <w:szCs w:val="24"/>
        </w:rPr>
        <w:t xml:space="preserve"> are among the widely used training approaches</w:t>
      </w:r>
      <w:r w:rsidR="004F09A3">
        <w:rPr>
          <w:rFonts w:ascii="Times New Roman" w:eastAsia="Times New Roman" w:hAnsi="Times New Roman" w:cs="Times New Roman"/>
          <w:sz w:val="24"/>
          <w:szCs w:val="24"/>
        </w:rPr>
        <w:t xml:space="preserve"> </w:t>
      </w:r>
      <w:r w:rsidR="004F09A3" w:rsidRPr="004F09A3">
        <w:rPr>
          <w:rFonts w:ascii="Times New Roman" w:eastAsia="Times New Roman" w:hAnsi="Times New Roman" w:cs="Times New Roman"/>
          <w:sz w:val="24"/>
          <w:szCs w:val="24"/>
        </w:rPr>
        <w:t>(</w:t>
      </w:r>
      <w:proofErr w:type="spellStart"/>
      <w:r w:rsidR="004F09A3" w:rsidRPr="004F09A3">
        <w:rPr>
          <w:rFonts w:ascii="Times New Roman" w:eastAsia="Times New Roman" w:hAnsi="Times New Roman" w:cs="Times New Roman"/>
          <w:sz w:val="24"/>
          <w:szCs w:val="24"/>
        </w:rPr>
        <w:t>Eniola</w:t>
      </w:r>
      <w:proofErr w:type="spellEnd"/>
      <w:r w:rsidR="004F09A3" w:rsidRPr="004F09A3">
        <w:rPr>
          <w:rFonts w:ascii="Times New Roman" w:eastAsia="Times New Roman" w:hAnsi="Times New Roman" w:cs="Times New Roman"/>
          <w:sz w:val="24"/>
          <w:szCs w:val="24"/>
        </w:rPr>
        <w:t xml:space="preserve"> &amp; </w:t>
      </w:r>
      <w:proofErr w:type="spellStart"/>
      <w:r w:rsidR="004F09A3" w:rsidRPr="004F09A3">
        <w:rPr>
          <w:rFonts w:ascii="Times New Roman" w:eastAsia="Times New Roman" w:hAnsi="Times New Roman" w:cs="Times New Roman"/>
          <w:sz w:val="24"/>
          <w:szCs w:val="24"/>
        </w:rPr>
        <w:t>Entebang</w:t>
      </w:r>
      <w:proofErr w:type="spellEnd"/>
      <w:r w:rsidR="004F09A3" w:rsidRPr="004F09A3">
        <w:rPr>
          <w:rFonts w:ascii="Times New Roman" w:eastAsia="Times New Roman" w:hAnsi="Times New Roman" w:cs="Times New Roman"/>
          <w:sz w:val="24"/>
          <w:szCs w:val="24"/>
        </w:rPr>
        <w:t>, 2016</w:t>
      </w:r>
      <w:r w:rsidR="005B700B">
        <w:rPr>
          <w:rFonts w:ascii="Times New Roman" w:eastAsia="Times New Roman" w:hAnsi="Times New Roman" w:cs="Times New Roman"/>
          <w:sz w:val="24"/>
          <w:szCs w:val="24"/>
        </w:rPr>
        <w:t xml:space="preserve">; </w:t>
      </w:r>
      <w:proofErr w:type="spellStart"/>
      <w:r w:rsidR="005B700B" w:rsidRPr="005B700B">
        <w:rPr>
          <w:rFonts w:ascii="Times New Roman" w:eastAsia="Times New Roman" w:hAnsi="Times New Roman" w:cs="Times New Roman"/>
          <w:sz w:val="24"/>
          <w:szCs w:val="24"/>
        </w:rPr>
        <w:t>Alharbi</w:t>
      </w:r>
      <w:proofErr w:type="spellEnd"/>
      <w:r w:rsidR="005B700B" w:rsidRPr="005B700B">
        <w:rPr>
          <w:rFonts w:ascii="Times New Roman" w:eastAsia="Times New Roman" w:hAnsi="Times New Roman" w:cs="Times New Roman"/>
          <w:sz w:val="24"/>
          <w:szCs w:val="24"/>
        </w:rPr>
        <w:t xml:space="preserve"> et al., 2022</w:t>
      </w:r>
      <w:r w:rsidR="004F09A3" w:rsidRPr="004F09A3">
        <w:rPr>
          <w:rFonts w:ascii="Times New Roman" w:eastAsia="Times New Roman" w:hAnsi="Times New Roman" w:cs="Times New Roman"/>
          <w:sz w:val="24"/>
          <w:szCs w:val="24"/>
        </w:rPr>
        <w:t>)</w:t>
      </w:r>
      <w:r w:rsidRPr="00446A45">
        <w:rPr>
          <w:rFonts w:ascii="Times New Roman" w:eastAsia="Times New Roman" w:hAnsi="Times New Roman" w:cs="Times New Roman"/>
          <w:sz w:val="24"/>
          <w:szCs w:val="24"/>
        </w:rPr>
        <w:t>. Empirical studies suggest that SMEs participating in structured financial literacy training demonstrate stronger financial planning, accurate record-keeping, and improved investment decision-making (</w:t>
      </w:r>
      <w:r w:rsidR="008B0DCC">
        <w:t xml:space="preserve">Xero. (2024; </w:t>
      </w:r>
      <w:proofErr w:type="spellStart"/>
      <w:r w:rsidRPr="00446A45">
        <w:rPr>
          <w:rFonts w:ascii="Times New Roman" w:eastAsia="Times New Roman" w:hAnsi="Times New Roman" w:cs="Times New Roman"/>
          <w:sz w:val="24"/>
          <w:szCs w:val="24"/>
        </w:rPr>
        <w:t>Eniola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Entebang</w:t>
      </w:r>
      <w:proofErr w:type="spellEnd"/>
      <w:r w:rsidRPr="00446A45">
        <w:rPr>
          <w:rFonts w:ascii="Times New Roman" w:eastAsia="Times New Roman" w:hAnsi="Times New Roman" w:cs="Times New Roman"/>
          <w:sz w:val="24"/>
          <w:szCs w:val="24"/>
        </w:rPr>
        <w:t>, 2021</w:t>
      </w:r>
      <w:r w:rsidR="005B700B">
        <w:rPr>
          <w:rFonts w:ascii="Times New Roman" w:eastAsia="Times New Roman" w:hAnsi="Times New Roman" w:cs="Times New Roman"/>
          <w:sz w:val="24"/>
          <w:szCs w:val="24"/>
        </w:rPr>
        <w:t xml:space="preserve">; </w:t>
      </w:r>
      <w:r w:rsidR="005B700B" w:rsidRPr="005B700B">
        <w:rPr>
          <w:rFonts w:ascii="Times New Roman" w:eastAsia="Times New Roman" w:hAnsi="Times New Roman" w:cs="Times New Roman"/>
          <w:sz w:val="24"/>
          <w:szCs w:val="24"/>
        </w:rPr>
        <w:t>Abdallah et al., 2024</w:t>
      </w:r>
      <w:r w:rsidRPr="00446A45">
        <w:rPr>
          <w:rFonts w:ascii="Times New Roman" w:eastAsia="Times New Roman" w:hAnsi="Times New Roman" w:cs="Times New Roman"/>
          <w:sz w:val="24"/>
          <w:szCs w:val="24"/>
        </w:rPr>
        <w:t>). Integrating financial literacy into broader entrepreneurship training initiatives strengthens SME resilience, particularly in unstable economic conditions. Financial literacy equips entrepreneurs with the ability to evaluate risks and opportunities effectively, leading to well-informed decision-</w:t>
      </w:r>
      <w:r w:rsidRPr="00446A45">
        <w:rPr>
          <w:rFonts w:ascii="Times New Roman" w:eastAsia="Times New Roman" w:hAnsi="Times New Roman" w:cs="Times New Roman"/>
          <w:sz w:val="24"/>
          <w:szCs w:val="24"/>
        </w:rPr>
        <w:lastRenderedPageBreak/>
        <w:t xml:space="preserve">making essential for business sustainability. Research findings indicate that financial literacy positively affects SMEs’ access to finance and overall performance (Amoah et al., 2021; </w:t>
      </w:r>
      <w:proofErr w:type="spellStart"/>
      <w:r w:rsidRPr="00446A45">
        <w:rPr>
          <w:rFonts w:ascii="Times New Roman" w:eastAsia="Times New Roman" w:hAnsi="Times New Roman" w:cs="Times New Roman"/>
          <w:sz w:val="24"/>
          <w:szCs w:val="24"/>
        </w:rPr>
        <w:t>Eniola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Entebang</w:t>
      </w:r>
      <w:proofErr w:type="spellEnd"/>
      <w:r w:rsidRPr="00446A45">
        <w:rPr>
          <w:rFonts w:ascii="Times New Roman" w:eastAsia="Times New Roman" w:hAnsi="Times New Roman" w:cs="Times New Roman"/>
          <w:sz w:val="24"/>
          <w:szCs w:val="24"/>
        </w:rPr>
        <w:t>, 2021</w:t>
      </w:r>
      <w:r w:rsidR="005B700B">
        <w:rPr>
          <w:rFonts w:ascii="Times New Roman" w:eastAsia="Times New Roman" w:hAnsi="Times New Roman" w:cs="Times New Roman"/>
          <w:sz w:val="24"/>
          <w:szCs w:val="24"/>
        </w:rPr>
        <w:t xml:space="preserve">; </w:t>
      </w:r>
      <w:bookmarkStart w:id="0" w:name="_GoBack"/>
      <w:bookmarkEnd w:id="0"/>
      <w:proofErr w:type="spellStart"/>
      <w:r w:rsidR="005B700B" w:rsidRPr="005B700B">
        <w:rPr>
          <w:rFonts w:ascii="Times New Roman" w:eastAsia="Times New Roman" w:hAnsi="Times New Roman" w:cs="Times New Roman"/>
          <w:sz w:val="24"/>
          <w:szCs w:val="24"/>
        </w:rPr>
        <w:t>Akpuokwe</w:t>
      </w:r>
      <w:proofErr w:type="spellEnd"/>
      <w:r w:rsidR="005B700B" w:rsidRPr="005B700B">
        <w:rPr>
          <w:rFonts w:ascii="Times New Roman" w:eastAsia="Times New Roman" w:hAnsi="Times New Roman" w:cs="Times New Roman"/>
          <w:sz w:val="24"/>
          <w:szCs w:val="24"/>
        </w:rPr>
        <w:t xml:space="preserve"> et al., 2024</w:t>
      </w:r>
      <w:r w:rsidRPr="00446A45">
        <w:rPr>
          <w:rFonts w:ascii="Times New Roman" w:eastAsia="Times New Roman" w:hAnsi="Times New Roman" w:cs="Times New Roman"/>
          <w:sz w:val="24"/>
          <w:szCs w:val="24"/>
        </w:rPr>
        <w:t xml:space="preserve">). Given the significant role of SMEs in economic development, </w:t>
      </w:r>
      <w:proofErr w:type="spellStart"/>
      <w:r w:rsidRPr="00446A45">
        <w:rPr>
          <w:rFonts w:ascii="Times New Roman" w:eastAsia="Times New Roman" w:hAnsi="Times New Roman" w:cs="Times New Roman"/>
          <w:sz w:val="24"/>
          <w:szCs w:val="24"/>
        </w:rPr>
        <w:t>prioritising</w:t>
      </w:r>
      <w:proofErr w:type="spellEnd"/>
      <w:r w:rsidRPr="00446A45">
        <w:rPr>
          <w:rFonts w:ascii="Times New Roman" w:eastAsia="Times New Roman" w:hAnsi="Times New Roman" w:cs="Times New Roman"/>
          <w:sz w:val="24"/>
          <w:szCs w:val="24"/>
        </w:rPr>
        <w:t xml:space="preserve"> financial literacy training remains fundamental to enhancing their success and long-term growth</w:t>
      </w:r>
      <w:r w:rsidR="004F09A3">
        <w:rPr>
          <w:rFonts w:ascii="Times New Roman" w:eastAsia="Times New Roman" w:hAnsi="Times New Roman" w:cs="Times New Roman"/>
          <w:sz w:val="24"/>
          <w:szCs w:val="24"/>
        </w:rPr>
        <w:t xml:space="preserve"> </w:t>
      </w:r>
      <w:r w:rsidR="004F09A3" w:rsidRPr="004F09A3">
        <w:rPr>
          <w:rFonts w:ascii="Times New Roman" w:eastAsia="Times New Roman" w:hAnsi="Times New Roman" w:cs="Times New Roman"/>
          <w:sz w:val="24"/>
          <w:szCs w:val="24"/>
        </w:rPr>
        <w:t>(Agyei, 2018</w:t>
      </w:r>
      <w:r w:rsidR="005B700B">
        <w:rPr>
          <w:rFonts w:ascii="Times New Roman" w:eastAsia="Times New Roman" w:hAnsi="Times New Roman" w:cs="Times New Roman"/>
          <w:sz w:val="24"/>
          <w:szCs w:val="24"/>
        </w:rPr>
        <w:t xml:space="preserve">; </w:t>
      </w:r>
      <w:r w:rsidR="005B700B" w:rsidRPr="005B700B">
        <w:rPr>
          <w:rFonts w:ascii="Times New Roman" w:eastAsia="Times New Roman" w:hAnsi="Times New Roman" w:cs="Times New Roman"/>
          <w:sz w:val="24"/>
          <w:szCs w:val="24"/>
        </w:rPr>
        <w:t>Al-</w:t>
      </w:r>
      <w:proofErr w:type="spellStart"/>
      <w:r w:rsidR="005B700B" w:rsidRPr="005B700B">
        <w:rPr>
          <w:rFonts w:ascii="Times New Roman" w:eastAsia="Times New Roman" w:hAnsi="Times New Roman" w:cs="Times New Roman"/>
          <w:sz w:val="24"/>
          <w:szCs w:val="24"/>
        </w:rPr>
        <w:t>Shami</w:t>
      </w:r>
      <w:proofErr w:type="spellEnd"/>
      <w:r w:rsidR="005B700B" w:rsidRPr="005B700B">
        <w:rPr>
          <w:rFonts w:ascii="Times New Roman" w:eastAsia="Times New Roman" w:hAnsi="Times New Roman" w:cs="Times New Roman"/>
          <w:sz w:val="24"/>
          <w:szCs w:val="24"/>
        </w:rPr>
        <w:t xml:space="preserve"> et al., 2024</w:t>
      </w:r>
      <w:r w:rsidR="004F09A3" w:rsidRPr="004F09A3">
        <w:rPr>
          <w:rFonts w:ascii="Times New Roman" w:eastAsia="Times New Roman" w:hAnsi="Times New Roman" w:cs="Times New Roman"/>
          <w:sz w:val="24"/>
          <w:szCs w:val="24"/>
        </w:rPr>
        <w:t>)</w:t>
      </w:r>
      <w:r w:rsidRPr="00446A45">
        <w:rPr>
          <w:rFonts w:ascii="Times New Roman" w:eastAsia="Times New Roman" w:hAnsi="Times New Roman" w:cs="Times New Roman"/>
          <w:sz w:val="24"/>
          <w:szCs w:val="24"/>
        </w:rPr>
        <w:t>.</w:t>
      </w:r>
    </w:p>
    <w:p w14:paraId="5CF61F0D" w14:textId="04EEC30F" w:rsidR="00BE029B" w:rsidRPr="00446A45" w:rsidRDefault="00BE029B"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SMEs play a crucial role in driving economic growth and employment in developing nations, yet various financial challenges highlight the importance of financial literacy training</w:t>
      </w:r>
      <w:r w:rsidR="004F09A3">
        <w:rPr>
          <w:rFonts w:ascii="Times New Roman" w:eastAsia="Times New Roman" w:hAnsi="Times New Roman" w:cs="Times New Roman"/>
          <w:sz w:val="24"/>
          <w:szCs w:val="24"/>
        </w:rPr>
        <w:t xml:space="preserve"> </w:t>
      </w:r>
      <w:r w:rsidR="004F09A3" w:rsidRPr="004F09A3">
        <w:rPr>
          <w:rFonts w:ascii="Times New Roman" w:eastAsia="Times New Roman" w:hAnsi="Times New Roman" w:cs="Times New Roman"/>
          <w:sz w:val="24"/>
          <w:szCs w:val="24"/>
        </w:rPr>
        <w:t xml:space="preserve">(Ye &amp; </w:t>
      </w:r>
      <w:proofErr w:type="spellStart"/>
      <w:r w:rsidR="004F09A3" w:rsidRPr="004F09A3">
        <w:rPr>
          <w:rFonts w:ascii="Times New Roman" w:eastAsia="Times New Roman" w:hAnsi="Times New Roman" w:cs="Times New Roman"/>
          <w:sz w:val="24"/>
          <w:szCs w:val="24"/>
        </w:rPr>
        <w:t>Kulathunga</w:t>
      </w:r>
      <w:proofErr w:type="spellEnd"/>
      <w:r w:rsidR="004F09A3" w:rsidRPr="004F09A3">
        <w:rPr>
          <w:rFonts w:ascii="Times New Roman" w:eastAsia="Times New Roman" w:hAnsi="Times New Roman" w:cs="Times New Roman"/>
          <w:sz w:val="24"/>
          <w:szCs w:val="24"/>
        </w:rPr>
        <w:t>, 2019)</w:t>
      </w:r>
      <w:r w:rsidRPr="00446A45">
        <w:rPr>
          <w:rFonts w:ascii="Times New Roman" w:eastAsia="Times New Roman" w:hAnsi="Times New Roman" w:cs="Times New Roman"/>
          <w:sz w:val="24"/>
          <w:szCs w:val="24"/>
        </w:rPr>
        <w:t>. A systematic literature review revealed that poor financial management practices are prevalent among SMEs in these regions, largely due to insufficient financial literacy among business owners and managers (</w:t>
      </w:r>
      <w:proofErr w:type="spellStart"/>
      <w:r w:rsidRPr="00446A45">
        <w:rPr>
          <w:rFonts w:ascii="Times New Roman" w:eastAsia="Times New Roman" w:hAnsi="Times New Roman" w:cs="Times New Roman"/>
          <w:sz w:val="24"/>
          <w:szCs w:val="24"/>
        </w:rPr>
        <w:t>Adato</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Onsare</w:t>
      </w:r>
      <w:proofErr w:type="spellEnd"/>
      <w:r w:rsidRPr="00446A45">
        <w:rPr>
          <w:rFonts w:ascii="Times New Roman" w:eastAsia="Times New Roman" w:hAnsi="Times New Roman" w:cs="Times New Roman"/>
          <w:sz w:val="24"/>
          <w:szCs w:val="24"/>
        </w:rPr>
        <w:t>, 2023). Limited financial knowledge restricts their ability to make well-informed financial decisions, negatively impacting profitability and business sustainability</w:t>
      </w:r>
      <w:r w:rsidR="004F09A3">
        <w:rPr>
          <w:rFonts w:ascii="Times New Roman" w:eastAsia="Times New Roman" w:hAnsi="Times New Roman" w:cs="Times New Roman"/>
          <w:sz w:val="24"/>
          <w:szCs w:val="24"/>
        </w:rPr>
        <w:t xml:space="preserve"> </w:t>
      </w:r>
      <w:r w:rsidR="004F09A3" w:rsidRPr="004F09A3">
        <w:rPr>
          <w:rFonts w:ascii="Times New Roman" w:eastAsia="Times New Roman" w:hAnsi="Times New Roman" w:cs="Times New Roman"/>
          <w:sz w:val="24"/>
          <w:szCs w:val="24"/>
        </w:rPr>
        <w:t>(</w:t>
      </w:r>
      <w:proofErr w:type="spellStart"/>
      <w:r w:rsidR="004F09A3" w:rsidRPr="004F09A3">
        <w:rPr>
          <w:rFonts w:ascii="Times New Roman" w:eastAsia="Times New Roman" w:hAnsi="Times New Roman" w:cs="Times New Roman"/>
          <w:sz w:val="24"/>
          <w:szCs w:val="24"/>
        </w:rPr>
        <w:t>Chepkemoi</w:t>
      </w:r>
      <w:proofErr w:type="spellEnd"/>
      <w:r w:rsidR="004F09A3" w:rsidRPr="004F09A3">
        <w:rPr>
          <w:rFonts w:ascii="Times New Roman" w:eastAsia="Times New Roman" w:hAnsi="Times New Roman" w:cs="Times New Roman"/>
          <w:sz w:val="24"/>
          <w:szCs w:val="24"/>
        </w:rPr>
        <w:t xml:space="preserve"> et al., 2017)</w:t>
      </w:r>
      <w:r w:rsidRPr="00446A45">
        <w:rPr>
          <w:rFonts w:ascii="Times New Roman" w:eastAsia="Times New Roman" w:hAnsi="Times New Roman" w:cs="Times New Roman"/>
          <w:sz w:val="24"/>
          <w:szCs w:val="24"/>
        </w:rPr>
        <w:t>. Access to finance remains a major challenge, as financial institutions often perceive SMEs as high-risk ventures, primarily due to inadequate financial knowledge and poorly maintained financial records</w:t>
      </w:r>
      <w:r w:rsidR="006474D5">
        <w:rPr>
          <w:rFonts w:ascii="Times New Roman" w:eastAsia="Times New Roman" w:hAnsi="Times New Roman" w:cs="Times New Roman"/>
          <w:sz w:val="24"/>
          <w:szCs w:val="24"/>
        </w:rPr>
        <w:t xml:space="preserve"> </w:t>
      </w:r>
      <w:r w:rsidR="006474D5" w:rsidRPr="006474D5">
        <w:rPr>
          <w:rFonts w:ascii="Times New Roman" w:eastAsia="Times New Roman" w:hAnsi="Times New Roman" w:cs="Times New Roman"/>
          <w:sz w:val="24"/>
          <w:szCs w:val="24"/>
        </w:rPr>
        <w:t>(</w:t>
      </w:r>
      <w:r w:rsidR="006474D5" w:rsidRPr="006474D5">
        <w:rPr>
          <w:rFonts w:ascii="Times New Roman" w:hAnsi="Times New Roman" w:cs="Times New Roman"/>
        </w:rPr>
        <w:t>Richmond, 2024).</w:t>
      </w:r>
      <w:r w:rsidRPr="00446A45">
        <w:rPr>
          <w:rFonts w:ascii="Times New Roman" w:eastAsia="Times New Roman" w:hAnsi="Times New Roman" w:cs="Times New Roman"/>
          <w:sz w:val="24"/>
          <w:szCs w:val="24"/>
        </w:rPr>
        <w:t xml:space="preserve"> This perception results in stringent lending conditions, making it difficult for SMEs to obtain funding for business expansion and operations (</w:t>
      </w:r>
      <w:proofErr w:type="spellStart"/>
      <w:r w:rsidRPr="00446A45">
        <w:rPr>
          <w:rFonts w:ascii="Times New Roman" w:eastAsia="Times New Roman" w:hAnsi="Times New Roman" w:cs="Times New Roman"/>
          <w:sz w:val="24"/>
          <w:szCs w:val="24"/>
        </w:rPr>
        <w:t>Kristanto</w:t>
      </w:r>
      <w:proofErr w:type="spellEnd"/>
      <w:r w:rsidRPr="00446A45">
        <w:rPr>
          <w:rFonts w:ascii="Times New Roman" w:eastAsia="Times New Roman" w:hAnsi="Times New Roman" w:cs="Times New Roman"/>
          <w:sz w:val="24"/>
          <w:szCs w:val="24"/>
        </w:rPr>
        <w:t>, 2022</w:t>
      </w:r>
      <w:r w:rsidR="004F09A3">
        <w:rPr>
          <w:rFonts w:ascii="Times New Roman" w:eastAsia="Times New Roman" w:hAnsi="Times New Roman" w:cs="Times New Roman"/>
          <w:sz w:val="24"/>
          <w:szCs w:val="24"/>
        </w:rPr>
        <w:t xml:space="preserve">; </w:t>
      </w:r>
      <w:r w:rsidR="004F09A3" w:rsidRPr="004F09A3">
        <w:rPr>
          <w:rFonts w:ascii="Times New Roman" w:eastAsia="Times New Roman" w:hAnsi="Times New Roman" w:cs="Times New Roman"/>
          <w:sz w:val="24"/>
          <w:szCs w:val="24"/>
        </w:rPr>
        <w:t>Damayanti et al., 2018</w:t>
      </w:r>
      <w:r w:rsidRPr="00446A45">
        <w:rPr>
          <w:rFonts w:ascii="Times New Roman" w:eastAsia="Times New Roman" w:hAnsi="Times New Roman" w:cs="Times New Roman"/>
          <w:sz w:val="24"/>
          <w:szCs w:val="24"/>
        </w:rPr>
        <w:t xml:space="preserve">). A study on BRICS nations further highlighted that low financial literacy levels contribute to financial exclusion, limiting SMEs’ ability to </w:t>
      </w:r>
      <w:proofErr w:type="spellStart"/>
      <w:r w:rsidRPr="00446A45">
        <w:rPr>
          <w:rFonts w:ascii="Times New Roman" w:eastAsia="Times New Roman" w:hAnsi="Times New Roman" w:cs="Times New Roman"/>
          <w:sz w:val="24"/>
          <w:szCs w:val="24"/>
        </w:rPr>
        <w:t>utilise</w:t>
      </w:r>
      <w:proofErr w:type="spellEnd"/>
      <w:r w:rsidRPr="00446A45">
        <w:rPr>
          <w:rFonts w:ascii="Times New Roman" w:eastAsia="Times New Roman" w:hAnsi="Times New Roman" w:cs="Times New Roman"/>
          <w:sz w:val="24"/>
          <w:szCs w:val="24"/>
        </w:rPr>
        <w:t xml:space="preserve"> digital financial services effectively (Kumar et al., 2023).</w:t>
      </w:r>
    </w:p>
    <w:p w14:paraId="69120E83" w14:textId="77777777" w:rsidR="00BE029B" w:rsidRPr="00446A45" w:rsidRDefault="00BE029B"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The increasing adoption of digital financial services presents both advantages and obstacles for SMEs. Digital tools have the potential to enhance financial efficiency, yet SMEs with limited financial literacy may struggle to adapt, preventing them from fully leveraging these technological advancements (Kumar et al., 2023). Strengthening financial literacy is essential to equipping SMEs with the necessary skills to navigate the complexities of modern financial systems.</w:t>
      </w:r>
    </w:p>
    <w:p w14:paraId="74C39ACB" w14:textId="77777777" w:rsidR="00BE029B" w:rsidRPr="00446A45" w:rsidRDefault="00BE029B"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Empirical studies demonstrate the positive influence of financial literacy on SME performance. Research conducted in Yogyakarta found that enhanced financial literacy improves access to finance and fosters a proactive approach to financial risk, ultimately leading to better financial outcomes (</w:t>
      </w:r>
      <w:proofErr w:type="spellStart"/>
      <w:r w:rsidRPr="00446A45">
        <w:rPr>
          <w:rFonts w:ascii="Times New Roman" w:eastAsia="Times New Roman" w:hAnsi="Times New Roman" w:cs="Times New Roman"/>
          <w:sz w:val="24"/>
          <w:szCs w:val="24"/>
        </w:rPr>
        <w:t>Kristanto</w:t>
      </w:r>
      <w:proofErr w:type="spellEnd"/>
      <w:r w:rsidRPr="00446A45">
        <w:rPr>
          <w:rFonts w:ascii="Times New Roman" w:eastAsia="Times New Roman" w:hAnsi="Times New Roman" w:cs="Times New Roman"/>
          <w:sz w:val="24"/>
          <w:szCs w:val="24"/>
        </w:rPr>
        <w:t xml:space="preserve">, 2022). This aligns with previous findings indicating that financial literacy is strongly associated with SME success, including improved financial management, greater access to credit, and increased profitability (Amoah et al., 2021; </w:t>
      </w:r>
      <w:proofErr w:type="spellStart"/>
      <w:r w:rsidRPr="00446A45">
        <w:rPr>
          <w:rFonts w:ascii="Times New Roman" w:eastAsia="Times New Roman" w:hAnsi="Times New Roman" w:cs="Times New Roman"/>
          <w:sz w:val="24"/>
          <w:szCs w:val="24"/>
        </w:rPr>
        <w:t>Eniola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Entebang</w:t>
      </w:r>
      <w:proofErr w:type="spellEnd"/>
      <w:r w:rsidRPr="00446A45">
        <w:rPr>
          <w:rFonts w:ascii="Times New Roman" w:eastAsia="Times New Roman" w:hAnsi="Times New Roman" w:cs="Times New Roman"/>
          <w:sz w:val="24"/>
          <w:szCs w:val="24"/>
        </w:rPr>
        <w:t xml:space="preserve">, 2021). Implementing </w:t>
      </w:r>
      <w:r w:rsidRPr="00446A45">
        <w:rPr>
          <w:rFonts w:ascii="Times New Roman" w:eastAsia="Times New Roman" w:hAnsi="Times New Roman" w:cs="Times New Roman"/>
          <w:sz w:val="24"/>
          <w:szCs w:val="24"/>
        </w:rPr>
        <w:lastRenderedPageBreak/>
        <w:t xml:space="preserve">structured financial literacy training </w:t>
      </w:r>
      <w:proofErr w:type="spellStart"/>
      <w:r w:rsidRPr="00446A45">
        <w:rPr>
          <w:rFonts w:ascii="Times New Roman" w:eastAsia="Times New Roman" w:hAnsi="Times New Roman" w:cs="Times New Roman"/>
          <w:sz w:val="24"/>
          <w:szCs w:val="24"/>
        </w:rPr>
        <w:t>programmes</w:t>
      </w:r>
      <w:proofErr w:type="spellEnd"/>
      <w:r w:rsidRPr="00446A45">
        <w:rPr>
          <w:rFonts w:ascii="Times New Roman" w:eastAsia="Times New Roman" w:hAnsi="Times New Roman" w:cs="Times New Roman"/>
          <w:sz w:val="24"/>
          <w:szCs w:val="24"/>
        </w:rPr>
        <w:t xml:space="preserve"> is crucial in empowering SME owners and managers with the knowledge required to address financial challenges and contribute effectively to economic development.</w:t>
      </w:r>
    </w:p>
    <w:p w14:paraId="0F164A78" w14:textId="77777777" w:rsidR="00BE029B" w:rsidRPr="00446A45" w:rsidRDefault="00BE029B"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This review examines financial literacy training strategies and their impact on SME success in developing countries, assessing how increased financial knowledge enhances financial management, access to finance, and long-term business sustainability.</w:t>
      </w:r>
    </w:p>
    <w:p w14:paraId="19576120" w14:textId="77777777" w:rsidR="003F75AB" w:rsidRDefault="007168F1" w:rsidP="002911E6">
      <w:pPr>
        <w:spacing w:before="100" w:beforeAutospacing="1" w:after="100" w:afterAutospacing="1" w:line="360" w:lineRule="auto"/>
        <w:jc w:val="both"/>
        <w:rPr>
          <w:rFonts w:ascii="Times New Roman" w:hAnsi="Times New Roman" w:cs="Times New Roman"/>
          <w:sz w:val="24"/>
          <w:szCs w:val="24"/>
        </w:rPr>
      </w:pPr>
      <w:r w:rsidRPr="003F75AB">
        <w:rPr>
          <w:rFonts w:ascii="Times New Roman" w:hAnsi="Times New Roman" w:cs="Times New Roman"/>
          <w:sz w:val="24"/>
          <w:szCs w:val="24"/>
        </w:rPr>
        <w:t>This study provides valuable insights for policymakers, financial institutions, and business development agencies, highlighting the need for targeted financial literacy initiatives to enhance SME resilience, drive economic growth, and promote sustainable development in developing nations.</w:t>
      </w:r>
      <w:r w:rsidR="003F75AB" w:rsidRPr="003F75AB">
        <w:rPr>
          <w:rFonts w:ascii="Times New Roman" w:hAnsi="Times New Roman" w:cs="Times New Roman"/>
          <w:sz w:val="24"/>
          <w:szCs w:val="24"/>
        </w:rPr>
        <w:t xml:space="preserve"> Policymakers can foster an environment conducive to financial literacy by formulating policies that promote financial education and provide incentives for SMEs to engage in training programs. These policies could include tax breaks for businesses investing in capacity-building initiatives or subsidies aimed at supporting financial literacy programs for underserved entrepreneurs. Financial institutions can enhance the impact of these training efforts by offering customized financial products tailored to the specific needs of financially literate SMEs. Through collaborations with training organizations, these institutions can also help raise awareness and promote financial education, enabling SMEs to become more attractive and credible borrowers. Business development agencies can further support this process by providing targeted training, workshops, and resources that not only improve SMEs’ understanding of financial principles but also guide them on how to apply them effectively. These agencies can also play a critical role in connecting SMEs with suitable financial institutions and offering advice on how to utilize financing opportunities for growth. </w:t>
      </w:r>
    </w:p>
    <w:p w14:paraId="52C2A8FE" w14:textId="083E0AA2" w:rsidR="003F75AB" w:rsidRDefault="003F75AB" w:rsidP="002911E6">
      <w:pPr>
        <w:spacing w:before="100" w:beforeAutospacing="1" w:after="100" w:afterAutospacing="1" w:line="360" w:lineRule="auto"/>
        <w:jc w:val="both"/>
        <w:rPr>
          <w:rFonts w:ascii="Times New Roman" w:hAnsi="Times New Roman" w:cs="Times New Roman"/>
          <w:sz w:val="24"/>
          <w:szCs w:val="24"/>
        </w:rPr>
      </w:pPr>
      <w:r w:rsidRPr="003F75AB">
        <w:rPr>
          <w:rFonts w:ascii="Times New Roman" w:hAnsi="Times New Roman" w:cs="Times New Roman"/>
          <w:sz w:val="24"/>
          <w:szCs w:val="24"/>
        </w:rPr>
        <w:t>Together, these key stakeholders can significantly amplify the effectiveness of financial literacy programs, ensuring that SMEs in developing countries are well-prepared to succeed in a competitive marketplace and secure the financial resources necessary for their expansion.</w:t>
      </w:r>
    </w:p>
    <w:p w14:paraId="309C759C" w14:textId="77777777" w:rsidR="007438BB" w:rsidRDefault="007438BB" w:rsidP="002911E6">
      <w:pPr>
        <w:spacing w:before="100" w:beforeAutospacing="1" w:after="100" w:afterAutospacing="1" w:line="360" w:lineRule="auto"/>
        <w:jc w:val="both"/>
        <w:rPr>
          <w:rFonts w:ascii="Times New Roman" w:hAnsi="Times New Roman" w:cs="Times New Roman"/>
          <w:sz w:val="24"/>
          <w:szCs w:val="24"/>
        </w:rPr>
      </w:pPr>
    </w:p>
    <w:p w14:paraId="51187702" w14:textId="77777777" w:rsidR="007438BB" w:rsidRPr="003F75AB" w:rsidRDefault="007438BB" w:rsidP="002911E6">
      <w:pPr>
        <w:spacing w:before="100" w:beforeAutospacing="1" w:after="100" w:afterAutospacing="1" w:line="360" w:lineRule="auto"/>
        <w:jc w:val="both"/>
        <w:rPr>
          <w:rFonts w:ascii="Times New Roman" w:hAnsi="Times New Roman" w:cs="Times New Roman"/>
          <w:sz w:val="24"/>
          <w:szCs w:val="24"/>
        </w:rPr>
      </w:pPr>
    </w:p>
    <w:p w14:paraId="21FA44D9" w14:textId="11CEEA1A" w:rsidR="000A7835" w:rsidRPr="00446A45" w:rsidRDefault="000A7835" w:rsidP="002911E6">
      <w:pPr>
        <w:spacing w:line="360" w:lineRule="auto"/>
        <w:jc w:val="both"/>
        <w:rPr>
          <w:rFonts w:ascii="Times New Roman" w:hAnsi="Times New Roman" w:cs="Times New Roman"/>
          <w:b/>
          <w:bCs/>
          <w:sz w:val="24"/>
          <w:szCs w:val="24"/>
        </w:rPr>
      </w:pPr>
      <w:r w:rsidRPr="00446A45">
        <w:rPr>
          <w:rFonts w:ascii="Times New Roman" w:hAnsi="Times New Roman" w:cs="Times New Roman"/>
          <w:b/>
          <w:bCs/>
          <w:sz w:val="24"/>
          <w:szCs w:val="24"/>
        </w:rPr>
        <w:lastRenderedPageBreak/>
        <w:t xml:space="preserve">Methodology </w:t>
      </w:r>
    </w:p>
    <w:p w14:paraId="10414BEB" w14:textId="0EE21C59" w:rsidR="007168F1" w:rsidRPr="00446A45" w:rsidRDefault="007168F1" w:rsidP="002911E6">
      <w:pPr>
        <w:spacing w:line="360" w:lineRule="auto"/>
        <w:jc w:val="both"/>
        <w:rPr>
          <w:rFonts w:ascii="Times New Roman" w:hAnsi="Times New Roman" w:cs="Times New Roman"/>
          <w:sz w:val="24"/>
          <w:szCs w:val="24"/>
        </w:rPr>
      </w:pPr>
      <w:r w:rsidRPr="00446A45">
        <w:rPr>
          <w:rFonts w:ascii="Times New Roman" w:hAnsi="Times New Roman" w:cs="Times New Roman"/>
          <w:sz w:val="24"/>
          <w:szCs w:val="24"/>
        </w:rPr>
        <w:t xml:space="preserve">A systematic approach was employed to examine literature </w:t>
      </w:r>
      <w:r w:rsidR="003F75AB">
        <w:rPr>
          <w:rFonts w:ascii="Times New Roman" w:hAnsi="Times New Roman" w:cs="Times New Roman"/>
          <w:sz w:val="24"/>
          <w:szCs w:val="24"/>
        </w:rPr>
        <w:t>how financial training strategies</w:t>
      </w:r>
      <w:r w:rsidR="007438BB">
        <w:rPr>
          <w:rFonts w:ascii="Times New Roman" w:hAnsi="Times New Roman" w:cs="Times New Roman"/>
          <w:sz w:val="24"/>
          <w:szCs w:val="24"/>
        </w:rPr>
        <w:t xml:space="preserve"> by </w:t>
      </w:r>
      <w:r w:rsidR="003F75AB">
        <w:rPr>
          <w:rFonts w:ascii="Times New Roman" w:hAnsi="Times New Roman" w:cs="Times New Roman"/>
          <w:sz w:val="24"/>
          <w:szCs w:val="24"/>
        </w:rPr>
        <w:t>influence</w:t>
      </w:r>
      <w:r w:rsidR="003F75AB" w:rsidRPr="003F75AB">
        <w:rPr>
          <w:rFonts w:ascii="Times New Roman" w:hAnsi="Times New Roman" w:cs="Times New Roman"/>
          <w:b/>
          <w:bCs/>
          <w:sz w:val="24"/>
          <w:szCs w:val="24"/>
        </w:rPr>
        <w:t xml:space="preserve"> </w:t>
      </w:r>
      <w:r w:rsidR="003F75AB">
        <w:rPr>
          <w:rFonts w:ascii="Times New Roman" w:hAnsi="Times New Roman" w:cs="Times New Roman"/>
          <w:sz w:val="24"/>
          <w:szCs w:val="24"/>
        </w:rPr>
        <w:t>f</w:t>
      </w:r>
      <w:r w:rsidR="003F75AB" w:rsidRPr="003F75AB">
        <w:rPr>
          <w:rFonts w:ascii="Times New Roman" w:hAnsi="Times New Roman" w:cs="Times New Roman"/>
          <w:sz w:val="24"/>
          <w:szCs w:val="24"/>
        </w:rPr>
        <w:t xml:space="preserve">inancial </w:t>
      </w:r>
      <w:r w:rsidR="003F75AB">
        <w:rPr>
          <w:rFonts w:ascii="Times New Roman" w:hAnsi="Times New Roman" w:cs="Times New Roman"/>
          <w:sz w:val="24"/>
          <w:szCs w:val="24"/>
        </w:rPr>
        <w:t>l</w:t>
      </w:r>
      <w:r w:rsidR="003F75AB" w:rsidRPr="003F75AB">
        <w:rPr>
          <w:rFonts w:ascii="Times New Roman" w:hAnsi="Times New Roman" w:cs="Times New Roman"/>
          <w:sz w:val="24"/>
          <w:szCs w:val="24"/>
        </w:rPr>
        <w:t xml:space="preserve">iteracy </w:t>
      </w:r>
      <w:r w:rsidR="003F75AB">
        <w:rPr>
          <w:rFonts w:ascii="Times New Roman" w:hAnsi="Times New Roman" w:cs="Times New Roman"/>
          <w:sz w:val="24"/>
          <w:szCs w:val="24"/>
        </w:rPr>
        <w:t>t</w:t>
      </w:r>
      <w:r w:rsidR="003F75AB" w:rsidRPr="003F75AB">
        <w:rPr>
          <w:rFonts w:ascii="Times New Roman" w:hAnsi="Times New Roman" w:cs="Times New Roman"/>
          <w:sz w:val="24"/>
          <w:szCs w:val="24"/>
        </w:rPr>
        <w:t xml:space="preserve">raining </w:t>
      </w:r>
      <w:r w:rsidR="003F75AB">
        <w:rPr>
          <w:rFonts w:ascii="Times New Roman" w:hAnsi="Times New Roman" w:cs="Times New Roman"/>
          <w:sz w:val="24"/>
          <w:szCs w:val="24"/>
        </w:rPr>
        <w:t>s</w:t>
      </w:r>
      <w:r w:rsidR="003F75AB" w:rsidRPr="003F75AB">
        <w:rPr>
          <w:rFonts w:ascii="Times New Roman" w:hAnsi="Times New Roman" w:cs="Times New Roman"/>
          <w:sz w:val="24"/>
          <w:szCs w:val="24"/>
        </w:rPr>
        <w:t xml:space="preserve">trategies </w:t>
      </w:r>
      <w:r w:rsidR="003F75AB">
        <w:rPr>
          <w:rFonts w:ascii="Times New Roman" w:hAnsi="Times New Roman" w:cs="Times New Roman"/>
          <w:sz w:val="24"/>
          <w:szCs w:val="24"/>
        </w:rPr>
        <w:t>i</w:t>
      </w:r>
      <w:r w:rsidR="003F75AB" w:rsidRPr="003F75AB">
        <w:rPr>
          <w:rFonts w:ascii="Times New Roman" w:hAnsi="Times New Roman" w:cs="Times New Roman"/>
          <w:sz w:val="24"/>
          <w:szCs w:val="24"/>
        </w:rPr>
        <w:t xml:space="preserve">nfluence SME Success in </w:t>
      </w:r>
      <w:r w:rsidR="003F75AB">
        <w:rPr>
          <w:rFonts w:ascii="Times New Roman" w:hAnsi="Times New Roman" w:cs="Times New Roman"/>
          <w:sz w:val="24"/>
          <w:szCs w:val="24"/>
        </w:rPr>
        <w:t>d</w:t>
      </w:r>
      <w:r w:rsidR="003F75AB" w:rsidRPr="003F75AB">
        <w:rPr>
          <w:rFonts w:ascii="Times New Roman" w:hAnsi="Times New Roman" w:cs="Times New Roman"/>
          <w:sz w:val="24"/>
          <w:szCs w:val="24"/>
        </w:rPr>
        <w:t xml:space="preserve">eveloping </w:t>
      </w:r>
      <w:r w:rsidR="003F75AB">
        <w:rPr>
          <w:rFonts w:ascii="Times New Roman" w:hAnsi="Times New Roman" w:cs="Times New Roman"/>
          <w:sz w:val="24"/>
          <w:szCs w:val="24"/>
        </w:rPr>
        <w:t>n</w:t>
      </w:r>
      <w:r w:rsidR="003F75AB" w:rsidRPr="003F75AB">
        <w:rPr>
          <w:rFonts w:ascii="Times New Roman" w:hAnsi="Times New Roman" w:cs="Times New Roman"/>
          <w:sz w:val="24"/>
          <w:szCs w:val="24"/>
        </w:rPr>
        <w:t>ations</w:t>
      </w:r>
      <w:r w:rsidR="003F75AB">
        <w:rPr>
          <w:rFonts w:ascii="Times New Roman" w:hAnsi="Times New Roman" w:cs="Times New Roman"/>
          <w:sz w:val="24"/>
          <w:szCs w:val="24"/>
        </w:rPr>
        <w:t xml:space="preserve"> </w:t>
      </w:r>
      <w:r w:rsidRPr="00446A45">
        <w:rPr>
          <w:rFonts w:ascii="Times New Roman" w:hAnsi="Times New Roman" w:cs="Times New Roman"/>
          <w:sz w:val="24"/>
          <w:szCs w:val="24"/>
        </w:rPr>
        <w:t>on tax compliance and financial regulations impacting SMEs. Peer-reviewed journal articles, reports from international financial institutions, and government publications published between 2019 and 202</w:t>
      </w:r>
      <w:r w:rsidR="001A68AD">
        <w:rPr>
          <w:rFonts w:ascii="Times New Roman" w:hAnsi="Times New Roman" w:cs="Times New Roman"/>
          <w:sz w:val="24"/>
          <w:szCs w:val="24"/>
        </w:rPr>
        <w:t>3</w:t>
      </w:r>
      <w:r w:rsidRPr="00446A45">
        <w:rPr>
          <w:rFonts w:ascii="Times New Roman" w:hAnsi="Times New Roman" w:cs="Times New Roman"/>
          <w:sz w:val="24"/>
          <w:szCs w:val="24"/>
        </w:rPr>
        <w:t xml:space="preserve"> were </w:t>
      </w:r>
      <w:proofErr w:type="spellStart"/>
      <w:r w:rsidRPr="00446A45">
        <w:rPr>
          <w:rFonts w:ascii="Times New Roman" w:hAnsi="Times New Roman" w:cs="Times New Roman"/>
          <w:sz w:val="24"/>
          <w:szCs w:val="24"/>
        </w:rPr>
        <w:t>prioritised</w:t>
      </w:r>
      <w:proofErr w:type="spellEnd"/>
      <w:r w:rsidRPr="00446A45">
        <w:rPr>
          <w:rFonts w:ascii="Times New Roman" w:hAnsi="Times New Roman" w:cs="Times New Roman"/>
          <w:sz w:val="24"/>
          <w:szCs w:val="24"/>
        </w:rPr>
        <w:t xml:space="preserve"> to ensure credibility and relevance. </w:t>
      </w:r>
      <w:r w:rsidR="007438BB">
        <w:rPr>
          <w:rFonts w:ascii="Times New Roman" w:hAnsi="Times New Roman" w:cs="Times New Roman"/>
          <w:sz w:val="24"/>
          <w:szCs w:val="24"/>
        </w:rPr>
        <w:t xml:space="preserve">This period was considered to obtain recent trends in SMEs’ training endeavors. </w:t>
      </w:r>
      <w:r w:rsidRPr="00446A45">
        <w:rPr>
          <w:rFonts w:ascii="Times New Roman" w:hAnsi="Times New Roman" w:cs="Times New Roman"/>
          <w:sz w:val="24"/>
          <w:szCs w:val="24"/>
        </w:rPr>
        <w:t xml:space="preserve">A comprehensive search strategy identified sources discussing </w:t>
      </w:r>
      <w:r w:rsidR="00EF07C8">
        <w:rPr>
          <w:rFonts w:ascii="Times New Roman" w:hAnsi="Times New Roman" w:cs="Times New Roman"/>
          <w:sz w:val="24"/>
          <w:szCs w:val="24"/>
        </w:rPr>
        <w:t xml:space="preserve">financial literacy strategies adopted by SMEs </w:t>
      </w:r>
      <w:r w:rsidRPr="00446A45">
        <w:rPr>
          <w:rFonts w:ascii="Times New Roman" w:hAnsi="Times New Roman" w:cs="Times New Roman"/>
          <w:sz w:val="24"/>
          <w:szCs w:val="24"/>
        </w:rPr>
        <w:t xml:space="preserve">in various economic contexts. Findings from multiple regions were </w:t>
      </w:r>
      <w:proofErr w:type="spellStart"/>
      <w:r w:rsidRPr="00446A45">
        <w:rPr>
          <w:rFonts w:ascii="Times New Roman" w:hAnsi="Times New Roman" w:cs="Times New Roman"/>
          <w:sz w:val="24"/>
          <w:szCs w:val="24"/>
        </w:rPr>
        <w:t>synthesised</w:t>
      </w:r>
      <w:proofErr w:type="spellEnd"/>
      <w:r w:rsidRPr="00446A45">
        <w:rPr>
          <w:rFonts w:ascii="Times New Roman" w:hAnsi="Times New Roman" w:cs="Times New Roman"/>
          <w:sz w:val="24"/>
          <w:szCs w:val="24"/>
        </w:rPr>
        <w:t xml:space="preserve"> to offer a broad perspective on key themes, challenges, and potential solutions.</w:t>
      </w:r>
    </w:p>
    <w:p w14:paraId="340A1EAF" w14:textId="77777777" w:rsidR="007168F1" w:rsidRPr="00446A45" w:rsidRDefault="007168F1" w:rsidP="002911E6">
      <w:pPr>
        <w:spacing w:line="360" w:lineRule="auto"/>
        <w:jc w:val="both"/>
        <w:rPr>
          <w:rFonts w:ascii="Times New Roman" w:hAnsi="Times New Roman" w:cs="Times New Roman"/>
          <w:i/>
          <w:iCs/>
          <w:sz w:val="24"/>
          <w:szCs w:val="24"/>
        </w:rPr>
      </w:pPr>
      <w:r w:rsidRPr="00446A45">
        <w:rPr>
          <w:rFonts w:ascii="Times New Roman" w:hAnsi="Times New Roman" w:cs="Times New Roman"/>
          <w:i/>
          <w:iCs/>
          <w:sz w:val="24"/>
          <w:szCs w:val="24"/>
        </w:rPr>
        <w:t>Eligibility Criteria</w:t>
      </w:r>
    </w:p>
    <w:p w14:paraId="1AF83AC3" w14:textId="5ABC15ED" w:rsidR="002911E6" w:rsidRPr="00446A45" w:rsidRDefault="007168F1" w:rsidP="00EF07C8">
      <w:pPr>
        <w:spacing w:line="360" w:lineRule="auto"/>
        <w:jc w:val="both"/>
        <w:rPr>
          <w:rFonts w:ascii="Times New Roman" w:hAnsi="Times New Roman" w:cs="Times New Roman"/>
          <w:sz w:val="24"/>
          <w:szCs w:val="24"/>
        </w:rPr>
      </w:pPr>
      <w:r w:rsidRPr="00446A45">
        <w:rPr>
          <w:rFonts w:ascii="Times New Roman" w:hAnsi="Times New Roman" w:cs="Times New Roman"/>
          <w:sz w:val="24"/>
          <w:szCs w:val="24"/>
        </w:rPr>
        <w:t xml:space="preserve">Specific eligibility criteria were established to maintain the quality and relevance of the review. Studies were selected if they provided empirical evidence or policy analyses related to tax compliance and financial regulation challenges affecting SMEs. Recent publications </w:t>
      </w:r>
      <w:bookmarkStart w:id="1" w:name="_Hlk192326169"/>
      <w:r w:rsidR="00EF07C8" w:rsidRPr="00446A45">
        <w:rPr>
          <w:rFonts w:ascii="Times New Roman" w:hAnsi="Times New Roman" w:cs="Times New Roman"/>
          <w:sz w:val="24"/>
          <w:szCs w:val="24"/>
        </w:rPr>
        <w:t>exploring financial</w:t>
      </w:r>
      <w:r w:rsidR="00EF07C8" w:rsidRPr="00EF07C8">
        <w:rPr>
          <w:rFonts w:ascii="Times New Roman" w:hAnsi="Times New Roman" w:cs="Times New Roman"/>
          <w:sz w:val="24"/>
          <w:szCs w:val="24"/>
        </w:rPr>
        <w:t xml:space="preserve"> literacy training</w:t>
      </w:r>
      <w:r w:rsidR="00EF07C8">
        <w:rPr>
          <w:rFonts w:ascii="Times New Roman" w:hAnsi="Times New Roman" w:cs="Times New Roman"/>
          <w:sz w:val="24"/>
          <w:szCs w:val="24"/>
        </w:rPr>
        <w:t xml:space="preserve">, </w:t>
      </w:r>
      <w:r w:rsidR="00EF07C8" w:rsidRPr="00EF07C8">
        <w:rPr>
          <w:rFonts w:ascii="Times New Roman" w:hAnsi="Times New Roman" w:cs="Times New Roman"/>
          <w:sz w:val="24"/>
          <w:szCs w:val="24"/>
        </w:rPr>
        <w:t>budgeting and financial planning</w:t>
      </w:r>
      <w:r w:rsidR="00EF07C8">
        <w:rPr>
          <w:rFonts w:ascii="Times New Roman" w:hAnsi="Times New Roman" w:cs="Times New Roman"/>
          <w:sz w:val="24"/>
          <w:szCs w:val="24"/>
        </w:rPr>
        <w:t xml:space="preserve">, </w:t>
      </w:r>
      <w:r w:rsidR="00EF07C8" w:rsidRPr="00EF07C8">
        <w:rPr>
          <w:rFonts w:ascii="Times New Roman" w:hAnsi="Times New Roman" w:cs="Times New Roman"/>
          <w:sz w:val="24"/>
          <w:szCs w:val="24"/>
        </w:rPr>
        <w:t>access to credit and financial management skills</w:t>
      </w:r>
      <w:r w:rsidR="00EF07C8">
        <w:rPr>
          <w:rFonts w:ascii="Times New Roman" w:hAnsi="Times New Roman" w:cs="Times New Roman"/>
          <w:sz w:val="24"/>
          <w:szCs w:val="24"/>
        </w:rPr>
        <w:t xml:space="preserve">, </w:t>
      </w:r>
      <w:r w:rsidR="00EF07C8" w:rsidRPr="00EF07C8">
        <w:rPr>
          <w:rFonts w:ascii="Times New Roman" w:hAnsi="Times New Roman" w:cs="Times New Roman"/>
          <w:sz w:val="24"/>
          <w:szCs w:val="24"/>
        </w:rPr>
        <w:t>investment decision-making and risk management</w:t>
      </w:r>
      <w:r w:rsidR="00EF07C8">
        <w:rPr>
          <w:rFonts w:ascii="Times New Roman" w:hAnsi="Times New Roman" w:cs="Times New Roman"/>
          <w:sz w:val="24"/>
          <w:szCs w:val="24"/>
        </w:rPr>
        <w:t xml:space="preserve">, </w:t>
      </w:r>
      <w:r w:rsidR="00EF07C8" w:rsidRPr="00EF07C8">
        <w:rPr>
          <w:rFonts w:ascii="Times New Roman" w:hAnsi="Times New Roman" w:cs="Times New Roman"/>
          <w:sz w:val="24"/>
          <w:szCs w:val="24"/>
        </w:rPr>
        <w:t>cash flow management and business expansion</w:t>
      </w:r>
      <w:r w:rsidR="00EF07C8">
        <w:rPr>
          <w:rFonts w:ascii="Times New Roman" w:hAnsi="Times New Roman" w:cs="Times New Roman"/>
          <w:sz w:val="24"/>
          <w:szCs w:val="24"/>
        </w:rPr>
        <w:t xml:space="preserve">, </w:t>
      </w:r>
      <w:r w:rsidR="00EF07C8" w:rsidRPr="00EF07C8">
        <w:rPr>
          <w:rFonts w:ascii="Times New Roman" w:hAnsi="Times New Roman" w:cs="Times New Roman"/>
          <w:sz w:val="24"/>
          <w:szCs w:val="24"/>
        </w:rPr>
        <w:t>digital financial literacy and technological adoption</w:t>
      </w:r>
      <w:r w:rsidR="00EF07C8">
        <w:rPr>
          <w:rFonts w:ascii="Times New Roman" w:hAnsi="Times New Roman" w:cs="Times New Roman"/>
          <w:sz w:val="24"/>
          <w:szCs w:val="24"/>
        </w:rPr>
        <w:t xml:space="preserve">, </w:t>
      </w:r>
      <w:r w:rsidR="00EF07C8" w:rsidRPr="00EF07C8">
        <w:rPr>
          <w:rFonts w:ascii="Times New Roman" w:hAnsi="Times New Roman" w:cs="Times New Roman"/>
          <w:sz w:val="24"/>
          <w:szCs w:val="24"/>
        </w:rPr>
        <w:t xml:space="preserve">tax compliance </w:t>
      </w:r>
      <w:bookmarkEnd w:id="1"/>
      <w:r w:rsidR="00EF07C8" w:rsidRPr="00EF07C8">
        <w:rPr>
          <w:rFonts w:ascii="Times New Roman" w:hAnsi="Times New Roman" w:cs="Times New Roman"/>
          <w:sz w:val="24"/>
          <w:szCs w:val="24"/>
        </w:rPr>
        <w:t>and financial regulations awareness</w:t>
      </w:r>
      <w:r w:rsidR="00EF07C8">
        <w:rPr>
          <w:rFonts w:ascii="Times New Roman" w:hAnsi="Times New Roman" w:cs="Times New Roman"/>
          <w:sz w:val="24"/>
          <w:szCs w:val="24"/>
        </w:rPr>
        <w:t xml:space="preserve"> </w:t>
      </w:r>
      <w:r w:rsidR="00EF07C8" w:rsidRPr="00446A45">
        <w:rPr>
          <w:rFonts w:ascii="Times New Roman" w:hAnsi="Times New Roman" w:cs="Times New Roman"/>
          <w:sz w:val="24"/>
          <w:szCs w:val="24"/>
        </w:rPr>
        <w:t>received priority</w:t>
      </w:r>
      <w:r w:rsidRPr="00446A45">
        <w:rPr>
          <w:rFonts w:ascii="Times New Roman" w:hAnsi="Times New Roman" w:cs="Times New Roman"/>
          <w:sz w:val="24"/>
          <w:szCs w:val="24"/>
        </w:rPr>
        <w:t>. The inclusion criteria also required studies to cover SME operations in both developing and developed economies to allow comparative insights.</w:t>
      </w:r>
    </w:p>
    <w:p w14:paraId="0981E6A2" w14:textId="77777777" w:rsidR="007168F1" w:rsidRPr="00446A45" w:rsidRDefault="007168F1" w:rsidP="002911E6">
      <w:pPr>
        <w:spacing w:line="360" w:lineRule="auto"/>
        <w:jc w:val="both"/>
        <w:rPr>
          <w:rFonts w:ascii="Times New Roman" w:hAnsi="Times New Roman" w:cs="Times New Roman"/>
          <w:i/>
          <w:iCs/>
          <w:sz w:val="24"/>
          <w:szCs w:val="24"/>
        </w:rPr>
      </w:pPr>
      <w:r w:rsidRPr="00446A45">
        <w:rPr>
          <w:rFonts w:ascii="Times New Roman" w:hAnsi="Times New Roman" w:cs="Times New Roman"/>
          <w:i/>
          <w:iCs/>
          <w:sz w:val="24"/>
          <w:szCs w:val="24"/>
        </w:rPr>
        <w:t>Exclusion Criteria</w:t>
      </w:r>
    </w:p>
    <w:p w14:paraId="6BEB9622" w14:textId="30CFBED6" w:rsidR="007168F1" w:rsidRPr="00446A45" w:rsidRDefault="007168F1" w:rsidP="002911E6">
      <w:pPr>
        <w:spacing w:line="360" w:lineRule="auto"/>
        <w:jc w:val="both"/>
        <w:rPr>
          <w:rFonts w:ascii="Times New Roman" w:hAnsi="Times New Roman" w:cs="Times New Roman"/>
          <w:sz w:val="24"/>
          <w:szCs w:val="24"/>
        </w:rPr>
      </w:pPr>
      <w:r w:rsidRPr="00446A45">
        <w:rPr>
          <w:rFonts w:ascii="Times New Roman" w:hAnsi="Times New Roman" w:cs="Times New Roman"/>
          <w:sz w:val="24"/>
          <w:szCs w:val="24"/>
        </w:rPr>
        <w:t>Research focusing exclusively on large corporations, individual taxpayers, or industries unrelated to SMEs was excluded. Studies without empirical data, theoretical discussions lacking policy implications, and articles from non-reputable sources were omitted. Outdated research misaligned with contemporary regulatory frameworks and emerging digital tax compliance solutions was also disregarded to maintain relevance to current business environments.</w:t>
      </w:r>
    </w:p>
    <w:p w14:paraId="47EB93DB" w14:textId="77777777" w:rsidR="007168F1" w:rsidRPr="00446A45" w:rsidRDefault="007168F1" w:rsidP="002911E6">
      <w:pPr>
        <w:spacing w:line="360" w:lineRule="auto"/>
        <w:jc w:val="both"/>
        <w:rPr>
          <w:rFonts w:ascii="Times New Roman" w:hAnsi="Times New Roman" w:cs="Times New Roman"/>
          <w:i/>
          <w:iCs/>
          <w:sz w:val="24"/>
          <w:szCs w:val="24"/>
        </w:rPr>
      </w:pPr>
      <w:r w:rsidRPr="00446A45">
        <w:rPr>
          <w:rFonts w:ascii="Times New Roman" w:hAnsi="Times New Roman" w:cs="Times New Roman"/>
          <w:i/>
          <w:iCs/>
          <w:sz w:val="24"/>
          <w:szCs w:val="24"/>
        </w:rPr>
        <w:t>Information Sources and Search Strategy</w:t>
      </w:r>
    </w:p>
    <w:p w14:paraId="5402942C" w14:textId="5AB06A07" w:rsidR="007168F1" w:rsidRPr="00446A45" w:rsidRDefault="007168F1" w:rsidP="002911E6">
      <w:pPr>
        <w:spacing w:line="360" w:lineRule="auto"/>
        <w:jc w:val="both"/>
        <w:rPr>
          <w:rFonts w:ascii="Times New Roman" w:hAnsi="Times New Roman" w:cs="Times New Roman"/>
          <w:sz w:val="24"/>
          <w:szCs w:val="24"/>
        </w:rPr>
      </w:pPr>
      <w:r w:rsidRPr="00446A45">
        <w:rPr>
          <w:rFonts w:ascii="Times New Roman" w:hAnsi="Times New Roman" w:cs="Times New Roman"/>
          <w:sz w:val="24"/>
          <w:szCs w:val="24"/>
        </w:rPr>
        <w:t xml:space="preserve">Multiple academic databases and institutional reports were consulted to collect relevant information. Searches were conducted in databases such as Scopus, Web of Science, and Google </w:t>
      </w:r>
      <w:r w:rsidRPr="00446A45">
        <w:rPr>
          <w:rFonts w:ascii="Times New Roman" w:hAnsi="Times New Roman" w:cs="Times New Roman"/>
          <w:sz w:val="24"/>
          <w:szCs w:val="24"/>
        </w:rPr>
        <w:lastRenderedPageBreak/>
        <w:t>Scholar using keywords like “</w:t>
      </w:r>
      <w:r w:rsidR="00EF07C8" w:rsidRPr="00EF07C8">
        <w:rPr>
          <w:rFonts w:ascii="Times New Roman" w:hAnsi="Times New Roman" w:cs="Times New Roman"/>
          <w:sz w:val="24"/>
          <w:szCs w:val="24"/>
        </w:rPr>
        <w:t>Financial Literacy Training</w:t>
      </w:r>
      <w:r w:rsidR="00EF07C8">
        <w:rPr>
          <w:rFonts w:ascii="Times New Roman" w:hAnsi="Times New Roman" w:cs="Times New Roman"/>
          <w:sz w:val="24"/>
          <w:szCs w:val="24"/>
        </w:rPr>
        <w:t xml:space="preserve">, </w:t>
      </w:r>
      <w:r w:rsidR="00EF07C8" w:rsidRPr="00EF07C8">
        <w:rPr>
          <w:rFonts w:ascii="Times New Roman" w:hAnsi="Times New Roman" w:cs="Times New Roman"/>
          <w:sz w:val="24"/>
          <w:szCs w:val="24"/>
        </w:rPr>
        <w:t xml:space="preserve">Budgeting </w:t>
      </w:r>
      <w:r w:rsidR="00EF07C8">
        <w:rPr>
          <w:rFonts w:ascii="Times New Roman" w:hAnsi="Times New Roman" w:cs="Times New Roman"/>
          <w:sz w:val="24"/>
          <w:szCs w:val="24"/>
        </w:rPr>
        <w:t>a</w:t>
      </w:r>
      <w:r w:rsidR="00EF07C8" w:rsidRPr="00EF07C8">
        <w:rPr>
          <w:rFonts w:ascii="Times New Roman" w:hAnsi="Times New Roman" w:cs="Times New Roman"/>
          <w:sz w:val="24"/>
          <w:szCs w:val="24"/>
        </w:rPr>
        <w:t>nd Financial Planning</w:t>
      </w:r>
      <w:r w:rsidR="00EF07C8">
        <w:rPr>
          <w:rFonts w:ascii="Times New Roman" w:hAnsi="Times New Roman" w:cs="Times New Roman"/>
          <w:sz w:val="24"/>
          <w:szCs w:val="24"/>
        </w:rPr>
        <w:t xml:space="preserve">, </w:t>
      </w:r>
      <w:r w:rsidR="00EF07C8" w:rsidRPr="00EF07C8">
        <w:rPr>
          <w:rFonts w:ascii="Times New Roman" w:hAnsi="Times New Roman" w:cs="Times New Roman"/>
          <w:sz w:val="24"/>
          <w:szCs w:val="24"/>
        </w:rPr>
        <w:t xml:space="preserve">Access </w:t>
      </w:r>
      <w:r w:rsidR="00EF07C8">
        <w:rPr>
          <w:rFonts w:ascii="Times New Roman" w:hAnsi="Times New Roman" w:cs="Times New Roman"/>
          <w:sz w:val="24"/>
          <w:szCs w:val="24"/>
        </w:rPr>
        <w:t>t</w:t>
      </w:r>
      <w:r w:rsidR="00EF07C8" w:rsidRPr="00EF07C8">
        <w:rPr>
          <w:rFonts w:ascii="Times New Roman" w:hAnsi="Times New Roman" w:cs="Times New Roman"/>
          <w:sz w:val="24"/>
          <w:szCs w:val="24"/>
        </w:rPr>
        <w:t xml:space="preserve">o Credit </w:t>
      </w:r>
      <w:r w:rsidR="00EF07C8">
        <w:rPr>
          <w:rFonts w:ascii="Times New Roman" w:hAnsi="Times New Roman" w:cs="Times New Roman"/>
          <w:sz w:val="24"/>
          <w:szCs w:val="24"/>
        </w:rPr>
        <w:t>a</w:t>
      </w:r>
      <w:r w:rsidR="00EF07C8" w:rsidRPr="00EF07C8">
        <w:rPr>
          <w:rFonts w:ascii="Times New Roman" w:hAnsi="Times New Roman" w:cs="Times New Roman"/>
          <w:sz w:val="24"/>
          <w:szCs w:val="24"/>
        </w:rPr>
        <w:t>nd Financial Management Skills</w:t>
      </w:r>
      <w:r w:rsidR="00EF07C8">
        <w:rPr>
          <w:rFonts w:ascii="Times New Roman" w:hAnsi="Times New Roman" w:cs="Times New Roman"/>
          <w:sz w:val="24"/>
          <w:szCs w:val="24"/>
        </w:rPr>
        <w:t xml:space="preserve">, </w:t>
      </w:r>
      <w:r w:rsidR="00EF07C8" w:rsidRPr="00EF07C8">
        <w:rPr>
          <w:rFonts w:ascii="Times New Roman" w:hAnsi="Times New Roman" w:cs="Times New Roman"/>
          <w:sz w:val="24"/>
          <w:szCs w:val="24"/>
        </w:rPr>
        <w:t xml:space="preserve">Investment Decision-Making </w:t>
      </w:r>
      <w:r w:rsidR="00EF07C8">
        <w:rPr>
          <w:rFonts w:ascii="Times New Roman" w:hAnsi="Times New Roman" w:cs="Times New Roman"/>
          <w:sz w:val="24"/>
          <w:szCs w:val="24"/>
        </w:rPr>
        <w:t>a</w:t>
      </w:r>
      <w:r w:rsidR="00EF07C8" w:rsidRPr="00EF07C8">
        <w:rPr>
          <w:rFonts w:ascii="Times New Roman" w:hAnsi="Times New Roman" w:cs="Times New Roman"/>
          <w:sz w:val="24"/>
          <w:szCs w:val="24"/>
        </w:rPr>
        <w:t>nd Risk Management</w:t>
      </w:r>
      <w:r w:rsidR="00EF07C8">
        <w:rPr>
          <w:rFonts w:ascii="Times New Roman" w:hAnsi="Times New Roman" w:cs="Times New Roman"/>
          <w:sz w:val="24"/>
          <w:szCs w:val="24"/>
        </w:rPr>
        <w:t xml:space="preserve">, </w:t>
      </w:r>
      <w:r w:rsidR="00EF07C8" w:rsidRPr="00EF07C8">
        <w:rPr>
          <w:rFonts w:ascii="Times New Roman" w:hAnsi="Times New Roman" w:cs="Times New Roman"/>
          <w:sz w:val="24"/>
          <w:szCs w:val="24"/>
        </w:rPr>
        <w:t xml:space="preserve">Cash Flow Management </w:t>
      </w:r>
      <w:r w:rsidR="00EF07C8">
        <w:rPr>
          <w:rFonts w:ascii="Times New Roman" w:hAnsi="Times New Roman" w:cs="Times New Roman"/>
          <w:sz w:val="24"/>
          <w:szCs w:val="24"/>
        </w:rPr>
        <w:t>a</w:t>
      </w:r>
      <w:r w:rsidR="00EF07C8" w:rsidRPr="00EF07C8">
        <w:rPr>
          <w:rFonts w:ascii="Times New Roman" w:hAnsi="Times New Roman" w:cs="Times New Roman"/>
          <w:sz w:val="24"/>
          <w:szCs w:val="24"/>
        </w:rPr>
        <w:t>nd Business Expansion</w:t>
      </w:r>
      <w:r w:rsidR="00EF07C8">
        <w:rPr>
          <w:rFonts w:ascii="Times New Roman" w:hAnsi="Times New Roman" w:cs="Times New Roman"/>
          <w:sz w:val="24"/>
          <w:szCs w:val="24"/>
        </w:rPr>
        <w:t xml:space="preserve">, </w:t>
      </w:r>
      <w:r w:rsidR="00EF07C8" w:rsidRPr="00EF07C8">
        <w:rPr>
          <w:rFonts w:ascii="Times New Roman" w:hAnsi="Times New Roman" w:cs="Times New Roman"/>
          <w:sz w:val="24"/>
          <w:szCs w:val="24"/>
        </w:rPr>
        <w:t xml:space="preserve">Digital Financial Literacy </w:t>
      </w:r>
      <w:r w:rsidR="00EF07C8">
        <w:rPr>
          <w:rFonts w:ascii="Times New Roman" w:hAnsi="Times New Roman" w:cs="Times New Roman"/>
          <w:sz w:val="24"/>
          <w:szCs w:val="24"/>
        </w:rPr>
        <w:t>a</w:t>
      </w:r>
      <w:r w:rsidR="00EF07C8" w:rsidRPr="00EF07C8">
        <w:rPr>
          <w:rFonts w:ascii="Times New Roman" w:hAnsi="Times New Roman" w:cs="Times New Roman"/>
          <w:sz w:val="24"/>
          <w:szCs w:val="24"/>
        </w:rPr>
        <w:t>nd Technological Adoption</w:t>
      </w:r>
      <w:r w:rsidR="00EF07C8">
        <w:rPr>
          <w:rFonts w:ascii="Times New Roman" w:hAnsi="Times New Roman" w:cs="Times New Roman"/>
          <w:sz w:val="24"/>
          <w:szCs w:val="24"/>
        </w:rPr>
        <w:t xml:space="preserve">, </w:t>
      </w:r>
      <w:r w:rsidR="00EF07C8" w:rsidRPr="00EF07C8">
        <w:rPr>
          <w:rFonts w:ascii="Times New Roman" w:hAnsi="Times New Roman" w:cs="Times New Roman"/>
          <w:sz w:val="24"/>
          <w:szCs w:val="24"/>
        </w:rPr>
        <w:t>Tax Compliance</w:t>
      </w:r>
      <w:r w:rsidR="00EF07C8" w:rsidRPr="00446A45">
        <w:rPr>
          <w:rFonts w:ascii="Times New Roman" w:hAnsi="Times New Roman" w:cs="Times New Roman"/>
          <w:sz w:val="24"/>
          <w:szCs w:val="24"/>
        </w:rPr>
        <w:t>.</w:t>
      </w:r>
      <w:r w:rsidRPr="00446A45">
        <w:rPr>
          <w:rFonts w:ascii="Times New Roman" w:hAnsi="Times New Roman" w:cs="Times New Roman"/>
          <w:sz w:val="24"/>
          <w:szCs w:val="24"/>
        </w:rPr>
        <w:t xml:space="preserve">” Reports from government agencies and international financial institutions were also examined to incorporate policy perspectives and </w:t>
      </w:r>
      <w:r w:rsidR="00EF07C8">
        <w:rPr>
          <w:rFonts w:ascii="Times New Roman" w:hAnsi="Times New Roman" w:cs="Times New Roman"/>
          <w:sz w:val="24"/>
          <w:szCs w:val="24"/>
        </w:rPr>
        <w:t xml:space="preserve">financial literacy training strategies </w:t>
      </w:r>
      <w:r w:rsidRPr="00446A45">
        <w:rPr>
          <w:rFonts w:ascii="Times New Roman" w:hAnsi="Times New Roman" w:cs="Times New Roman"/>
          <w:sz w:val="24"/>
          <w:szCs w:val="24"/>
        </w:rPr>
        <w:t>trend</w:t>
      </w:r>
      <w:r w:rsidR="00EF07C8">
        <w:rPr>
          <w:rFonts w:ascii="Times New Roman" w:hAnsi="Times New Roman" w:cs="Times New Roman"/>
          <w:sz w:val="24"/>
          <w:szCs w:val="24"/>
        </w:rPr>
        <w:t xml:space="preserve"> </w:t>
      </w:r>
      <w:r w:rsidRPr="00446A45">
        <w:rPr>
          <w:rFonts w:ascii="Times New Roman" w:hAnsi="Times New Roman" w:cs="Times New Roman"/>
          <w:sz w:val="24"/>
          <w:szCs w:val="24"/>
        </w:rPr>
        <w:t>affecting SMEs globally. Boolean search operators refined search results, ensuring only studies meeting eligibility criteria were included.</w:t>
      </w:r>
    </w:p>
    <w:p w14:paraId="01FB3EF8" w14:textId="77777777" w:rsidR="007168F1" w:rsidRPr="00446A45" w:rsidRDefault="007168F1" w:rsidP="002911E6">
      <w:pPr>
        <w:spacing w:line="360" w:lineRule="auto"/>
        <w:jc w:val="both"/>
        <w:rPr>
          <w:rFonts w:ascii="Times New Roman" w:hAnsi="Times New Roman" w:cs="Times New Roman"/>
          <w:i/>
          <w:iCs/>
          <w:sz w:val="24"/>
          <w:szCs w:val="24"/>
        </w:rPr>
      </w:pPr>
      <w:r w:rsidRPr="00446A45">
        <w:rPr>
          <w:rFonts w:ascii="Times New Roman" w:hAnsi="Times New Roman" w:cs="Times New Roman"/>
          <w:i/>
          <w:iCs/>
          <w:sz w:val="24"/>
          <w:szCs w:val="24"/>
        </w:rPr>
        <w:t>Selection Process</w:t>
      </w:r>
    </w:p>
    <w:p w14:paraId="2FCA0D35" w14:textId="195427A6" w:rsidR="007168F1" w:rsidRPr="00446A45" w:rsidRDefault="007168F1" w:rsidP="002911E6">
      <w:pPr>
        <w:spacing w:line="360" w:lineRule="auto"/>
        <w:jc w:val="both"/>
        <w:rPr>
          <w:rFonts w:ascii="Times New Roman" w:hAnsi="Times New Roman" w:cs="Times New Roman"/>
          <w:sz w:val="24"/>
          <w:szCs w:val="24"/>
        </w:rPr>
      </w:pPr>
      <w:r w:rsidRPr="00446A45">
        <w:rPr>
          <w:rFonts w:ascii="Times New Roman" w:hAnsi="Times New Roman" w:cs="Times New Roman"/>
          <w:sz w:val="24"/>
          <w:szCs w:val="24"/>
        </w:rPr>
        <w:t xml:space="preserve">A structured process filtered the most relevant studies. Titles and abstracts were initially screened to remove research misaligned with the study’s focus. Full-text reviews were conducted on shortlisted articles to evaluate methodological </w:t>
      </w:r>
      <w:proofErr w:type="spellStart"/>
      <w:r w:rsidRPr="00446A45">
        <w:rPr>
          <w:rFonts w:ascii="Times New Roman" w:hAnsi="Times New Roman" w:cs="Times New Roman"/>
          <w:sz w:val="24"/>
          <w:szCs w:val="24"/>
        </w:rPr>
        <w:t>rigour</w:t>
      </w:r>
      <w:proofErr w:type="spellEnd"/>
      <w:r w:rsidRPr="00446A45">
        <w:rPr>
          <w:rFonts w:ascii="Times New Roman" w:hAnsi="Times New Roman" w:cs="Times New Roman"/>
          <w:sz w:val="24"/>
          <w:szCs w:val="24"/>
        </w:rPr>
        <w:t>, relevance, and contributions to understanding</w:t>
      </w:r>
      <w:r w:rsidR="00EF07C8">
        <w:rPr>
          <w:rFonts w:ascii="Times New Roman" w:hAnsi="Times New Roman" w:cs="Times New Roman"/>
          <w:sz w:val="24"/>
          <w:szCs w:val="24"/>
        </w:rPr>
        <w:t xml:space="preserve"> on how financial literacy trainings influence SMEs’ success</w:t>
      </w:r>
      <w:r w:rsidRPr="00446A45">
        <w:rPr>
          <w:rFonts w:ascii="Times New Roman" w:hAnsi="Times New Roman" w:cs="Times New Roman"/>
          <w:sz w:val="24"/>
          <w:szCs w:val="24"/>
        </w:rPr>
        <w:t>. Duplicate studies and those lacking significant insights were excluded, ensuring a focused and high-quality selection of literature.</w:t>
      </w:r>
    </w:p>
    <w:p w14:paraId="75697075" w14:textId="77777777" w:rsidR="007168F1" w:rsidRPr="00446A45" w:rsidRDefault="007168F1" w:rsidP="002911E6">
      <w:pPr>
        <w:spacing w:line="360" w:lineRule="auto"/>
        <w:jc w:val="both"/>
        <w:rPr>
          <w:rFonts w:ascii="Times New Roman" w:hAnsi="Times New Roman" w:cs="Times New Roman"/>
          <w:i/>
          <w:iCs/>
          <w:sz w:val="24"/>
          <w:szCs w:val="24"/>
        </w:rPr>
      </w:pPr>
      <w:r w:rsidRPr="00446A45">
        <w:rPr>
          <w:rFonts w:ascii="Times New Roman" w:hAnsi="Times New Roman" w:cs="Times New Roman"/>
          <w:i/>
          <w:iCs/>
          <w:sz w:val="24"/>
          <w:szCs w:val="24"/>
        </w:rPr>
        <w:t>Data Items</w:t>
      </w:r>
    </w:p>
    <w:p w14:paraId="160A9C5E" w14:textId="36232988" w:rsidR="007168F1" w:rsidRPr="00446A45" w:rsidRDefault="007168F1" w:rsidP="002911E6">
      <w:pPr>
        <w:spacing w:line="360" w:lineRule="auto"/>
        <w:jc w:val="both"/>
        <w:rPr>
          <w:rFonts w:ascii="Times New Roman" w:hAnsi="Times New Roman" w:cs="Times New Roman"/>
          <w:sz w:val="24"/>
          <w:szCs w:val="24"/>
        </w:rPr>
      </w:pPr>
      <w:r w:rsidRPr="00446A45">
        <w:rPr>
          <w:rFonts w:ascii="Times New Roman" w:hAnsi="Times New Roman" w:cs="Times New Roman"/>
          <w:sz w:val="24"/>
          <w:szCs w:val="24"/>
        </w:rPr>
        <w:t xml:space="preserve">Extracted data included geographical focus, </w:t>
      </w:r>
      <w:r w:rsidR="00EF07C8">
        <w:rPr>
          <w:rFonts w:ascii="Times New Roman" w:hAnsi="Times New Roman" w:cs="Times New Roman"/>
          <w:sz w:val="24"/>
          <w:szCs w:val="24"/>
        </w:rPr>
        <w:t>financial literacy strategies</w:t>
      </w:r>
      <w:r w:rsidRPr="00446A45">
        <w:rPr>
          <w:rFonts w:ascii="Times New Roman" w:hAnsi="Times New Roman" w:cs="Times New Roman"/>
          <w:sz w:val="24"/>
          <w:szCs w:val="24"/>
        </w:rPr>
        <w:t xml:space="preserve"> </w:t>
      </w:r>
      <w:proofErr w:type="spellStart"/>
      <w:r w:rsidRPr="00446A45">
        <w:rPr>
          <w:rFonts w:ascii="Times New Roman" w:hAnsi="Times New Roman" w:cs="Times New Roman"/>
          <w:sz w:val="24"/>
          <w:szCs w:val="24"/>
        </w:rPr>
        <w:t>analysed</w:t>
      </w:r>
      <w:proofErr w:type="spellEnd"/>
      <w:r w:rsidRPr="00446A45">
        <w:rPr>
          <w:rFonts w:ascii="Times New Roman" w:hAnsi="Times New Roman" w:cs="Times New Roman"/>
          <w:sz w:val="24"/>
          <w:szCs w:val="24"/>
        </w:rPr>
        <w:t xml:space="preserve">, financial literacy interventions, compliance challenges, and policy recommendations. Studies were </w:t>
      </w:r>
      <w:proofErr w:type="spellStart"/>
      <w:r w:rsidRPr="00446A45">
        <w:rPr>
          <w:rFonts w:ascii="Times New Roman" w:hAnsi="Times New Roman" w:cs="Times New Roman"/>
          <w:sz w:val="24"/>
          <w:szCs w:val="24"/>
        </w:rPr>
        <w:t>categorised</w:t>
      </w:r>
      <w:proofErr w:type="spellEnd"/>
      <w:r w:rsidRPr="00446A45">
        <w:rPr>
          <w:rFonts w:ascii="Times New Roman" w:hAnsi="Times New Roman" w:cs="Times New Roman"/>
          <w:sz w:val="24"/>
          <w:szCs w:val="24"/>
        </w:rPr>
        <w:t xml:space="preserve"> based on thematic focus to facilitate a structured synthesis of findings. The data extraction process ensured thorough examination of SME </w:t>
      </w:r>
      <w:r w:rsidR="002A4834">
        <w:rPr>
          <w:rFonts w:ascii="Times New Roman" w:hAnsi="Times New Roman" w:cs="Times New Roman"/>
          <w:sz w:val="24"/>
          <w:szCs w:val="24"/>
        </w:rPr>
        <w:t>financial</w:t>
      </w:r>
      <w:r w:rsidR="00EF07C8">
        <w:rPr>
          <w:rFonts w:ascii="Times New Roman" w:hAnsi="Times New Roman" w:cs="Times New Roman"/>
          <w:sz w:val="24"/>
          <w:szCs w:val="24"/>
        </w:rPr>
        <w:t xml:space="preserve"> </w:t>
      </w:r>
      <w:r w:rsidR="002A4834">
        <w:rPr>
          <w:rFonts w:ascii="Times New Roman" w:hAnsi="Times New Roman" w:cs="Times New Roman"/>
          <w:sz w:val="24"/>
          <w:szCs w:val="24"/>
        </w:rPr>
        <w:t>training</w:t>
      </w:r>
      <w:r w:rsidR="00EF07C8">
        <w:rPr>
          <w:rFonts w:ascii="Times New Roman" w:hAnsi="Times New Roman" w:cs="Times New Roman"/>
          <w:sz w:val="24"/>
          <w:szCs w:val="24"/>
        </w:rPr>
        <w:t xml:space="preserve"> </w:t>
      </w:r>
      <w:r w:rsidR="002A4834">
        <w:rPr>
          <w:rFonts w:ascii="Times New Roman" w:hAnsi="Times New Roman" w:cs="Times New Roman"/>
          <w:sz w:val="24"/>
          <w:szCs w:val="24"/>
        </w:rPr>
        <w:t>strategies.</w:t>
      </w:r>
    </w:p>
    <w:p w14:paraId="301D7AF2" w14:textId="77777777" w:rsidR="007168F1" w:rsidRPr="00446A45" w:rsidRDefault="007168F1" w:rsidP="002911E6">
      <w:pPr>
        <w:spacing w:line="360" w:lineRule="auto"/>
        <w:jc w:val="both"/>
        <w:rPr>
          <w:rFonts w:ascii="Times New Roman" w:hAnsi="Times New Roman" w:cs="Times New Roman"/>
          <w:i/>
          <w:iCs/>
          <w:sz w:val="24"/>
          <w:szCs w:val="24"/>
        </w:rPr>
      </w:pPr>
      <w:r w:rsidRPr="00446A45">
        <w:rPr>
          <w:rFonts w:ascii="Times New Roman" w:hAnsi="Times New Roman" w:cs="Times New Roman"/>
          <w:i/>
          <w:iCs/>
          <w:sz w:val="24"/>
          <w:szCs w:val="24"/>
        </w:rPr>
        <w:t>Study Risk of Bias Assessment</w:t>
      </w:r>
    </w:p>
    <w:p w14:paraId="14B6B0DC" w14:textId="022D798F" w:rsidR="0051475C" w:rsidRDefault="007168F1" w:rsidP="002911E6">
      <w:pPr>
        <w:spacing w:line="360" w:lineRule="auto"/>
        <w:jc w:val="both"/>
        <w:rPr>
          <w:rFonts w:ascii="Times New Roman" w:hAnsi="Times New Roman" w:cs="Times New Roman"/>
          <w:sz w:val="24"/>
          <w:szCs w:val="24"/>
        </w:rPr>
      </w:pPr>
      <w:proofErr w:type="spellStart"/>
      <w:r w:rsidRPr="00446A45">
        <w:rPr>
          <w:rFonts w:ascii="Times New Roman" w:hAnsi="Times New Roman" w:cs="Times New Roman"/>
          <w:sz w:val="24"/>
          <w:szCs w:val="24"/>
        </w:rPr>
        <w:t>Minimising</w:t>
      </w:r>
      <w:proofErr w:type="spellEnd"/>
      <w:r w:rsidRPr="00446A45">
        <w:rPr>
          <w:rFonts w:ascii="Times New Roman" w:hAnsi="Times New Roman" w:cs="Times New Roman"/>
          <w:sz w:val="24"/>
          <w:szCs w:val="24"/>
        </w:rPr>
        <w:t xml:space="preserve"> bias and enhancing reliability required evaluating each study’s methodology, data sources, and potential conflicts of interest. Research with clear empirical methods, transparent data collection, and well-documented analyses was </w:t>
      </w:r>
      <w:proofErr w:type="spellStart"/>
      <w:r w:rsidRPr="00446A45">
        <w:rPr>
          <w:rFonts w:ascii="Times New Roman" w:hAnsi="Times New Roman" w:cs="Times New Roman"/>
          <w:sz w:val="24"/>
          <w:szCs w:val="24"/>
        </w:rPr>
        <w:t>prioritised</w:t>
      </w:r>
      <w:proofErr w:type="spellEnd"/>
      <w:r w:rsidRPr="00446A45">
        <w:rPr>
          <w:rFonts w:ascii="Times New Roman" w:hAnsi="Times New Roman" w:cs="Times New Roman"/>
          <w:sz w:val="24"/>
          <w:szCs w:val="24"/>
        </w:rPr>
        <w:t>. Risks related to funding influences or limited sample representativeness were considered when interpreting findings. A critical appraisal approach ensured a balanced review, incorporating both supportive and contradictory evidence on SME tax compliance and financial regulation.</w:t>
      </w:r>
    </w:p>
    <w:p w14:paraId="6F5B4A21" w14:textId="77777777" w:rsidR="002A4834" w:rsidRDefault="002A4834" w:rsidP="002911E6">
      <w:pPr>
        <w:spacing w:line="360" w:lineRule="auto"/>
        <w:jc w:val="both"/>
        <w:rPr>
          <w:rFonts w:ascii="Times New Roman" w:hAnsi="Times New Roman" w:cs="Times New Roman"/>
          <w:sz w:val="24"/>
          <w:szCs w:val="24"/>
        </w:rPr>
      </w:pPr>
    </w:p>
    <w:p w14:paraId="240536DC" w14:textId="77777777" w:rsidR="002A4834" w:rsidRPr="00446A45" w:rsidRDefault="002A4834" w:rsidP="002911E6">
      <w:pPr>
        <w:spacing w:line="360" w:lineRule="auto"/>
        <w:jc w:val="both"/>
        <w:rPr>
          <w:rFonts w:ascii="Times New Roman" w:hAnsi="Times New Roman" w:cs="Times New Roman"/>
          <w:sz w:val="24"/>
          <w:szCs w:val="24"/>
        </w:rPr>
      </w:pPr>
    </w:p>
    <w:p w14:paraId="32F09A15" w14:textId="77777777" w:rsidR="0051475C" w:rsidRPr="00446A45" w:rsidRDefault="0051475C" w:rsidP="002911E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46A45">
        <w:rPr>
          <w:rFonts w:ascii="Times New Roman" w:eastAsia="Times New Roman" w:hAnsi="Times New Roman" w:cs="Times New Roman"/>
          <w:b/>
          <w:bCs/>
          <w:sz w:val="24"/>
          <w:szCs w:val="24"/>
        </w:rPr>
        <w:lastRenderedPageBreak/>
        <w:t>Research Question</w:t>
      </w:r>
    </w:p>
    <w:p w14:paraId="76109B11" w14:textId="77166C16" w:rsidR="00EF07C8" w:rsidRPr="00446A45" w:rsidRDefault="0051475C"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How do financial literacy training strategies influence the success of SMEs in developing nations?</w:t>
      </w:r>
    </w:p>
    <w:p w14:paraId="22285D7D" w14:textId="158F6BE5" w:rsidR="000A7835" w:rsidRPr="00446A45" w:rsidRDefault="0051475C" w:rsidP="002911E6">
      <w:pPr>
        <w:spacing w:line="360" w:lineRule="auto"/>
        <w:jc w:val="both"/>
        <w:rPr>
          <w:rFonts w:ascii="Times New Roman" w:hAnsi="Times New Roman" w:cs="Times New Roman"/>
          <w:b/>
          <w:bCs/>
          <w:sz w:val="24"/>
          <w:szCs w:val="24"/>
        </w:rPr>
      </w:pPr>
      <w:r w:rsidRPr="00446A45">
        <w:rPr>
          <w:rFonts w:ascii="Times New Roman" w:eastAsia="Times New Roman" w:hAnsi="Times New Roman" w:cs="Times New Roman"/>
          <w:b/>
          <w:bCs/>
          <w:sz w:val="24"/>
          <w:szCs w:val="24"/>
        </w:rPr>
        <w:t xml:space="preserve">Results of </w:t>
      </w:r>
      <w:r w:rsidR="00624F35" w:rsidRPr="00446A45">
        <w:rPr>
          <w:rFonts w:ascii="Times New Roman" w:hAnsi="Times New Roman" w:cs="Times New Roman"/>
          <w:b/>
          <w:bCs/>
          <w:sz w:val="24"/>
          <w:szCs w:val="24"/>
        </w:rPr>
        <w:t>Literature Review</w:t>
      </w:r>
    </w:p>
    <w:p w14:paraId="66D4F4FB" w14:textId="184BB03D" w:rsidR="0051475C" w:rsidRPr="00446A45" w:rsidRDefault="0051475C" w:rsidP="002911E6">
      <w:pPr>
        <w:spacing w:before="100" w:beforeAutospacing="1" w:after="100" w:afterAutospacing="1" w:line="360" w:lineRule="auto"/>
        <w:jc w:val="both"/>
        <w:outlineLvl w:val="2"/>
        <w:rPr>
          <w:rFonts w:ascii="Times New Roman" w:eastAsia="Times New Roman" w:hAnsi="Times New Roman" w:cs="Times New Roman"/>
          <w:b/>
          <w:bCs/>
          <w:sz w:val="24"/>
          <w:szCs w:val="24"/>
        </w:rPr>
      </w:pPr>
      <w:bookmarkStart w:id="2" w:name="_Hlk192325547"/>
      <w:bookmarkStart w:id="3" w:name="_Hlk191472490"/>
      <w:r w:rsidRPr="00446A45">
        <w:rPr>
          <w:rFonts w:ascii="Times New Roman" w:eastAsia="Times New Roman" w:hAnsi="Times New Roman" w:cs="Times New Roman"/>
          <w:b/>
          <w:bCs/>
          <w:sz w:val="24"/>
          <w:szCs w:val="24"/>
        </w:rPr>
        <w:t>Budgeting</w:t>
      </w:r>
      <w:r w:rsidR="002A4834">
        <w:rPr>
          <w:rFonts w:ascii="Times New Roman" w:eastAsia="Times New Roman" w:hAnsi="Times New Roman" w:cs="Times New Roman"/>
          <w:b/>
          <w:bCs/>
          <w:sz w:val="24"/>
          <w:szCs w:val="24"/>
        </w:rPr>
        <w:t xml:space="preserve">, </w:t>
      </w:r>
      <w:r w:rsidRPr="00446A45">
        <w:rPr>
          <w:rFonts w:ascii="Times New Roman" w:eastAsia="Times New Roman" w:hAnsi="Times New Roman" w:cs="Times New Roman"/>
          <w:b/>
          <w:bCs/>
          <w:sz w:val="24"/>
          <w:szCs w:val="24"/>
        </w:rPr>
        <w:t>Financial Planning</w:t>
      </w:r>
      <w:bookmarkEnd w:id="2"/>
      <w:r w:rsidR="002A4834">
        <w:rPr>
          <w:rFonts w:ascii="Times New Roman" w:eastAsia="Times New Roman" w:hAnsi="Times New Roman" w:cs="Times New Roman"/>
          <w:b/>
          <w:bCs/>
          <w:sz w:val="24"/>
          <w:szCs w:val="24"/>
        </w:rPr>
        <w:t xml:space="preserve"> and SMEs Success </w:t>
      </w:r>
    </w:p>
    <w:bookmarkEnd w:id="3"/>
    <w:p w14:paraId="439780D3" w14:textId="77777777" w:rsidR="007168F1" w:rsidRPr="00446A45" w:rsidRDefault="007168F1"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Financial literacy training equips SMEs with the necessary skills to manage financial resources efficiently. Budgeting and financial planning serve as fundamental components of financial management, allowing businesses to allocate resources effectively, regulate expenditures, and ensure long-term sustainability. Empirical studies highlight that SMEs implementing structured budgeting and financial planning practices achieve better cash flow management and financial stability, lowering the risk of business failure (</w:t>
      </w:r>
      <w:proofErr w:type="spellStart"/>
      <w:r w:rsidRPr="00446A45">
        <w:rPr>
          <w:rFonts w:ascii="Times New Roman" w:eastAsia="Times New Roman" w:hAnsi="Times New Roman" w:cs="Times New Roman"/>
          <w:sz w:val="24"/>
          <w:szCs w:val="24"/>
        </w:rPr>
        <w:t>Fatoki</w:t>
      </w:r>
      <w:proofErr w:type="spellEnd"/>
      <w:r w:rsidRPr="00446A45">
        <w:rPr>
          <w:rFonts w:ascii="Times New Roman" w:eastAsia="Times New Roman" w:hAnsi="Times New Roman" w:cs="Times New Roman"/>
          <w:sz w:val="24"/>
          <w:szCs w:val="24"/>
        </w:rPr>
        <w:t>, 2021). Many SMEs, particularly in developing economies, encounter significant financial management challenges, often resulting in liquidity constraints and restricted growth opportunities (OECD, 2022).</w:t>
      </w:r>
    </w:p>
    <w:p w14:paraId="2635FC3D" w14:textId="77777777" w:rsidR="007168F1" w:rsidRPr="00446A45" w:rsidRDefault="007168F1"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Budgeting plays a vital role in SME financial management by offering a structured approach to revenue and expense management while ensuring alignment with strategic objectives. Businesses adopting formal budgeting frameworks can anticipate financial needs, eliminate unnecessary expenditures, and enhance operational efficiency (Alhassan &amp; Sakyi-Dawson, 2023). Research findings indicate that SMEs following structured budgeting frameworks report increased profitability and stronger financial resilience than those without systematic financial management (Rahman et al., 2021). A study conducted in Kenya found that SMEs implementing comprehensive budgeting strategies experienced a 25% improvement in operational efficiency over two years (Mwangi &amp; Wanjiru, 2022).</w:t>
      </w:r>
    </w:p>
    <w:p w14:paraId="001A84FC" w14:textId="77777777" w:rsidR="007168F1" w:rsidRPr="00446A45" w:rsidRDefault="007168F1"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Financial planning strengthens SME sustainability by setting financial goals, forecasting future financial requirements, and formulating strategies to achieve these targets. Techniques such as zero-based budgeting, rolling forecasts, and scenario analysis enhance financial planning by ensuring SMEs remain flexible and responsive to market fluctuations (Kinyua, 2020). Zero-based budgeting requires businesses to justify each expense for every new budgeting period, leading to more efficient resource allocation (Njoroge, 2021). Rolling forecasts facilitate real-time </w:t>
      </w:r>
      <w:r w:rsidRPr="00446A45">
        <w:rPr>
          <w:rFonts w:ascii="Times New Roman" w:eastAsia="Times New Roman" w:hAnsi="Times New Roman" w:cs="Times New Roman"/>
          <w:sz w:val="24"/>
          <w:szCs w:val="24"/>
        </w:rPr>
        <w:lastRenderedPageBreak/>
        <w:t>adjustments to financial projections, improving adaptability in volatile business environments (Gherghina &amp; Duca, 2023). Scenario analysis further enhances financial resilience by preparing businesses for various economic conditions, mitigating the impact of market disruptions (Tan et al., 2022). Research on Indonesian SMEs demonstrated that enterprises integrating rolling forecasts into financial planning achieved superior financial performance during economic downturns compared to those using traditional budgeting methods (</w:t>
      </w:r>
      <w:proofErr w:type="spellStart"/>
      <w:r w:rsidRPr="00446A45">
        <w:rPr>
          <w:rFonts w:ascii="Times New Roman" w:eastAsia="Times New Roman" w:hAnsi="Times New Roman" w:cs="Times New Roman"/>
          <w:sz w:val="24"/>
          <w:szCs w:val="24"/>
        </w:rPr>
        <w:t>Kristanto</w:t>
      </w:r>
      <w:proofErr w:type="spellEnd"/>
      <w:r w:rsidRPr="00446A45">
        <w:rPr>
          <w:rFonts w:ascii="Times New Roman" w:eastAsia="Times New Roman" w:hAnsi="Times New Roman" w:cs="Times New Roman"/>
          <w:sz w:val="24"/>
          <w:szCs w:val="24"/>
        </w:rPr>
        <w:t>, 2022).</w:t>
      </w:r>
    </w:p>
    <w:p w14:paraId="146C5C57" w14:textId="77777777" w:rsidR="007168F1" w:rsidRPr="00446A45" w:rsidRDefault="007168F1"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Financial planning promotes business sustainability by fostering financial discipline, increasing transparency, and improving investment decision-making. SMEs with structured financial plans enhance their ability to secure funding from banks and investors due to improved financial credibility (Ibrahim &amp; Said, 2021). Furthermore, strategic reinvestment of profits through financial planning supports long-term business expansion (Yusoff et al., 2023). A study on South African SMEs found that businesses employing financial planning strategies exhibited a 30% higher survival rate over five years compared to those lacking structured financial plans (Maseko &amp; </w:t>
      </w:r>
      <w:proofErr w:type="spellStart"/>
      <w:r w:rsidRPr="00446A45">
        <w:rPr>
          <w:rFonts w:ascii="Times New Roman" w:eastAsia="Times New Roman" w:hAnsi="Times New Roman" w:cs="Times New Roman"/>
          <w:sz w:val="24"/>
          <w:szCs w:val="24"/>
        </w:rPr>
        <w:t>Manyani</w:t>
      </w:r>
      <w:proofErr w:type="spellEnd"/>
      <w:r w:rsidRPr="00446A45">
        <w:rPr>
          <w:rFonts w:ascii="Times New Roman" w:eastAsia="Times New Roman" w:hAnsi="Times New Roman" w:cs="Times New Roman"/>
          <w:sz w:val="24"/>
          <w:szCs w:val="24"/>
        </w:rPr>
        <w:t>, 2022). Integrating financial literacy training into SME operations strengthens financial management capabilities, enabling businesses to navigate uncertainties and sustain growth.</w:t>
      </w:r>
    </w:p>
    <w:p w14:paraId="1C1F3034" w14:textId="47184C97" w:rsidR="007168F1" w:rsidRDefault="007168F1"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Implementing budgeting and financial planning remains a challenge for many SMEs due to limited financial literacy among business owners, which often results in poor budgeting decisions and financial mismanagement (</w:t>
      </w:r>
      <w:proofErr w:type="spellStart"/>
      <w:r w:rsidRPr="00446A45">
        <w:rPr>
          <w:rFonts w:ascii="Times New Roman" w:eastAsia="Times New Roman" w:hAnsi="Times New Roman" w:cs="Times New Roman"/>
          <w:sz w:val="24"/>
          <w:szCs w:val="24"/>
        </w:rPr>
        <w:t>Eniola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Entebang</w:t>
      </w:r>
      <w:proofErr w:type="spellEnd"/>
      <w:r w:rsidRPr="00446A45">
        <w:rPr>
          <w:rFonts w:ascii="Times New Roman" w:eastAsia="Times New Roman" w:hAnsi="Times New Roman" w:cs="Times New Roman"/>
          <w:sz w:val="24"/>
          <w:szCs w:val="24"/>
        </w:rPr>
        <w:t>, 2021). Many SMEs, particularly in developing economies, lack access to formal financial literacy training programs, as financial education resources remain scarce (World Bank, 202</w:t>
      </w:r>
      <w:r w:rsidR="002A4834">
        <w:rPr>
          <w:rFonts w:ascii="Times New Roman" w:eastAsia="Times New Roman" w:hAnsi="Times New Roman" w:cs="Times New Roman"/>
          <w:sz w:val="24"/>
          <w:szCs w:val="24"/>
        </w:rPr>
        <w:t>1</w:t>
      </w:r>
      <w:r w:rsidRPr="00446A45">
        <w:rPr>
          <w:rFonts w:ascii="Times New Roman" w:eastAsia="Times New Roman" w:hAnsi="Times New Roman" w:cs="Times New Roman"/>
          <w:sz w:val="24"/>
          <w:szCs w:val="24"/>
        </w:rPr>
        <w:t>). The absence of technological infrastructure further complicates financial planning, with many SMEs relying on manual record-keeping systems prone to inefficiencies and errors. A study on Nigerian SMEs found that approximately 70% of small businesses struggle with budgeting due to insufficient financial education and inadequate access to digital financial tools (Adebayo &amp; Okonkwo, 2022). Addressing these challenges requires targeted financial literacy initiatives, improved accessibility to digital financial management tools, and policy support aimed at enhancing SME financial education.</w:t>
      </w:r>
    </w:p>
    <w:p w14:paraId="2E398DF6" w14:textId="77777777" w:rsidR="002A4834" w:rsidRPr="00446A45" w:rsidRDefault="002A4834" w:rsidP="002911E6">
      <w:pPr>
        <w:spacing w:before="100" w:beforeAutospacing="1" w:after="100" w:afterAutospacing="1" w:line="360" w:lineRule="auto"/>
        <w:jc w:val="both"/>
        <w:rPr>
          <w:rFonts w:ascii="Times New Roman" w:eastAsia="Times New Roman" w:hAnsi="Times New Roman" w:cs="Times New Roman"/>
          <w:sz w:val="24"/>
          <w:szCs w:val="24"/>
        </w:rPr>
      </w:pPr>
    </w:p>
    <w:p w14:paraId="6A810F31" w14:textId="616E8848" w:rsidR="0051475C" w:rsidRPr="002A4834" w:rsidRDefault="002A4834" w:rsidP="002911E6">
      <w:pPr>
        <w:spacing w:before="100" w:beforeAutospacing="1" w:after="100" w:afterAutospacing="1" w:line="360" w:lineRule="auto"/>
        <w:jc w:val="both"/>
        <w:outlineLvl w:val="2"/>
        <w:rPr>
          <w:rFonts w:ascii="Times New Roman" w:eastAsia="Times New Roman" w:hAnsi="Times New Roman" w:cs="Times New Roman"/>
          <w:b/>
          <w:bCs/>
          <w:sz w:val="24"/>
          <w:szCs w:val="24"/>
        </w:rPr>
      </w:pPr>
      <w:bookmarkStart w:id="4" w:name="_Hlk191472558"/>
      <w:r w:rsidRPr="002A4834">
        <w:rPr>
          <w:rFonts w:ascii="Times New Roman" w:hAnsi="Times New Roman" w:cs="Times New Roman"/>
          <w:b/>
          <w:bCs/>
          <w:sz w:val="24"/>
          <w:szCs w:val="24"/>
        </w:rPr>
        <w:t>Financial Management Skills, Access to Credit and SMEs Success</w:t>
      </w:r>
      <w:r w:rsidRPr="002A4834">
        <w:rPr>
          <w:rFonts w:ascii="Times New Roman" w:eastAsia="Times New Roman" w:hAnsi="Times New Roman" w:cs="Times New Roman"/>
          <w:b/>
          <w:bCs/>
          <w:sz w:val="24"/>
          <w:szCs w:val="24"/>
        </w:rPr>
        <w:t xml:space="preserve"> </w:t>
      </w:r>
    </w:p>
    <w:bookmarkEnd w:id="4"/>
    <w:p w14:paraId="0201F855" w14:textId="77777777" w:rsidR="007168F1" w:rsidRPr="00446A45" w:rsidRDefault="007168F1" w:rsidP="002911E6">
      <w:pPr>
        <w:pStyle w:val="NormalWeb"/>
        <w:spacing w:line="360" w:lineRule="auto"/>
        <w:jc w:val="both"/>
      </w:pPr>
      <w:r w:rsidRPr="00446A45">
        <w:lastRenderedPageBreak/>
        <w:t>Access to credit significantly impacts the sustainability and expansion of small and medium enterprises (SMEs). External financing remains essential for businesses seeking to enhance productivity, invest in technology, and scale operations. Limited financial literacy and inadequate financial management skills present significant challenges that prevent many SMEs from obtaining credit from financial institutions (OECD, 2022). Strengthening financial literacy enhances access to credit, improves debt management, reinforces financial record-keeping, and reduces credit risks, supporting long-term business success (</w:t>
      </w:r>
      <w:proofErr w:type="spellStart"/>
      <w:r w:rsidRPr="00446A45">
        <w:t>Fatoki</w:t>
      </w:r>
      <w:proofErr w:type="spellEnd"/>
      <w:r w:rsidRPr="00446A45">
        <w:t xml:space="preserve"> &amp; Oni, 2021).</w:t>
      </w:r>
    </w:p>
    <w:p w14:paraId="20A07B18" w14:textId="77777777" w:rsidR="007168F1" w:rsidRPr="00446A45" w:rsidRDefault="007168F1" w:rsidP="002911E6">
      <w:pPr>
        <w:pStyle w:val="NormalWeb"/>
        <w:spacing w:line="360" w:lineRule="auto"/>
        <w:jc w:val="both"/>
      </w:pPr>
      <w:r w:rsidRPr="00446A45">
        <w:t xml:space="preserve">Financial literacy enables SME owners to navigate financial markets effectively by equipping them with skills to understand credit terms, interest rates, and repayment structures. Business owners with better financial knowledge secure loans under more </w:t>
      </w:r>
      <w:proofErr w:type="spellStart"/>
      <w:r w:rsidRPr="00446A45">
        <w:t>favourable</w:t>
      </w:r>
      <w:proofErr w:type="spellEnd"/>
      <w:r w:rsidRPr="00446A45">
        <w:t xml:space="preserve"> conditions (</w:t>
      </w:r>
      <w:proofErr w:type="spellStart"/>
      <w:r w:rsidRPr="00446A45">
        <w:t>Eniola</w:t>
      </w:r>
      <w:proofErr w:type="spellEnd"/>
      <w:r w:rsidRPr="00446A45">
        <w:t xml:space="preserve"> &amp; </w:t>
      </w:r>
      <w:proofErr w:type="spellStart"/>
      <w:r w:rsidRPr="00446A45">
        <w:t>Entebang</w:t>
      </w:r>
      <w:proofErr w:type="spellEnd"/>
      <w:r w:rsidRPr="00446A45">
        <w:t xml:space="preserve">, 2021). Research indicates that SMEs with higher financial literacy levels are more inclined to apply for formal credit and demonstrate lower loan default rates (Ibrahim &amp; Said, 2021). In Kenya, SMEs receiving financial training reported a 30% higher success rate in obtaining credit than those lacking such knowledge (Mwangi &amp; Wanjiru, 2022). Business owners with financial awareness evaluate different financing options, including microfinance, government-backed credit facilities, and traditional bank loans (Gherghina &amp; Duca, 2023). Malaysian SMEs participating in financial literacy </w:t>
      </w:r>
      <w:proofErr w:type="spellStart"/>
      <w:r w:rsidRPr="00446A45">
        <w:t>programmes</w:t>
      </w:r>
      <w:proofErr w:type="spellEnd"/>
      <w:r w:rsidRPr="00446A45">
        <w:t xml:space="preserve"> achieved improved loan approval rates due to better financial planning and documentation (Yusoff et al., 2023).</w:t>
      </w:r>
    </w:p>
    <w:p w14:paraId="479F13A0" w14:textId="77777777" w:rsidR="007168F1" w:rsidRPr="00446A45" w:rsidRDefault="007168F1" w:rsidP="002911E6">
      <w:pPr>
        <w:pStyle w:val="NormalWeb"/>
        <w:spacing w:line="360" w:lineRule="auto"/>
        <w:jc w:val="both"/>
      </w:pPr>
      <w:r w:rsidRPr="00446A45">
        <w:t xml:space="preserve">Effective debt management remains critical for SMEs relying on credit to support business growth. Poor debt management leads to liquidity challenges, higher interest costs, and financial distress (Adebayo &amp; Okonkwo, 2022). Structured repayment strategies, such as </w:t>
      </w:r>
      <w:proofErr w:type="spellStart"/>
      <w:r w:rsidRPr="00446A45">
        <w:t>prioritising</w:t>
      </w:r>
      <w:proofErr w:type="spellEnd"/>
      <w:r w:rsidRPr="00446A45">
        <w:t xml:space="preserve"> high-interest loans and negotiating flexible repayment terms, enable businesses to </w:t>
      </w:r>
      <w:proofErr w:type="spellStart"/>
      <w:r w:rsidRPr="00446A45">
        <w:t>optimise</w:t>
      </w:r>
      <w:proofErr w:type="spellEnd"/>
      <w:r w:rsidRPr="00446A45">
        <w:t xml:space="preserve"> credit while maintaining financial stability (</w:t>
      </w:r>
      <w:proofErr w:type="spellStart"/>
      <w:r w:rsidRPr="00446A45">
        <w:t>Kristanto</w:t>
      </w:r>
      <w:proofErr w:type="spellEnd"/>
      <w:r w:rsidRPr="00446A45">
        <w:t xml:space="preserve">, 2022). Research findings indicate that SMEs implementing proactive debt management strategies experience improved cash flow and higher creditworthiness (Alhassan &amp; Sakyi-Dawson, 2023). A study in South Africa found that enterprises with structured repayment plans had 40% lower default rates than those with unstructured debt practices (Maseko &amp; </w:t>
      </w:r>
      <w:proofErr w:type="spellStart"/>
      <w:r w:rsidRPr="00446A45">
        <w:t>Manyani</w:t>
      </w:r>
      <w:proofErr w:type="spellEnd"/>
      <w:r w:rsidRPr="00446A45">
        <w:t>, 2022). Debt restructuring and refinancing serve as additional strategies that alleviate repayment burdens and enhance financial sustainability (Tan et al., 2022).</w:t>
      </w:r>
    </w:p>
    <w:p w14:paraId="3CC0ABAE" w14:textId="3F09D3B6" w:rsidR="007168F1" w:rsidRPr="00446A45" w:rsidRDefault="007168F1" w:rsidP="002911E6">
      <w:pPr>
        <w:pStyle w:val="NormalWeb"/>
        <w:spacing w:line="360" w:lineRule="auto"/>
        <w:jc w:val="both"/>
      </w:pPr>
      <w:r w:rsidRPr="00446A45">
        <w:lastRenderedPageBreak/>
        <w:t xml:space="preserve">Maintaining accurate financial records strengthens SMEs' ability to secure loans by demonstrating financial health, transparency, and accountability to lenders (Rahman et al., 2021). Financial institutions evaluate creditworthiness using </w:t>
      </w:r>
      <w:r w:rsidR="00F72645">
        <w:t xml:space="preserve">statement of financial position, </w:t>
      </w:r>
      <w:r w:rsidRPr="00446A45">
        <w:t xml:space="preserve">balance sheets, income statements, and cash flow </w:t>
      </w:r>
      <w:r w:rsidR="00F72645">
        <w:t>statements</w:t>
      </w:r>
      <w:r w:rsidRPr="00446A45">
        <w:t>, making well-documented financial information essential. Research in Bangladesh reveal</w:t>
      </w:r>
      <w:r w:rsidR="00F72645">
        <w:t xml:space="preserve">ed </w:t>
      </w:r>
      <w:r w:rsidRPr="00446A45">
        <w:t>that SMEs with comprehensive financial documentation had a 50% greater probability of securing bank loans than those with incomplete records (Rahman et al., 2021). Adopting digital financial management tools, such as cloud-based record-keeping systems and accounting software, enhances financial transparency and simplifies loan application processes (Kinyua, 2020). In Indonesia, SMEs integrating digital financial management tools reported improved financial reporting accuracy, leading to faster loan approvals (</w:t>
      </w:r>
      <w:proofErr w:type="spellStart"/>
      <w:r w:rsidRPr="00446A45">
        <w:t>Kristanto</w:t>
      </w:r>
      <w:proofErr w:type="spellEnd"/>
      <w:r w:rsidRPr="00446A45">
        <w:t>, 2022). Compliance with regulatory requirements, including audited financial statements and tax filings, further enhances business credibility and facilitates access to credit (Njoroge, 2021).</w:t>
      </w:r>
    </w:p>
    <w:p w14:paraId="0310A67D" w14:textId="082C3643" w:rsidR="002911E6" w:rsidRDefault="007168F1" w:rsidP="002911E6">
      <w:pPr>
        <w:pStyle w:val="NormalWeb"/>
        <w:spacing w:line="360" w:lineRule="auto"/>
        <w:jc w:val="both"/>
      </w:pPr>
      <w:r w:rsidRPr="00446A45">
        <w:t>Mitigating credit risks remains essential for SMEs aiming to maintain lender confidence and achieve financial sustainability. High default rates, inconsistent revenue streams, and limited collateral increase credit risks for small businesses (World Bank, 2023). Implementing credit risk management strategies, such as conducting credit assessments, diversifying revenue sources, and maintaining emergency funds, reduces financial vulnerabilities (Ibrahim &amp; Said, 2021). Studies show</w:t>
      </w:r>
      <w:r w:rsidR="00F72645">
        <w:t>ed</w:t>
      </w:r>
      <w:r w:rsidRPr="00446A45">
        <w:t xml:space="preserve"> that SMEs with structured credit management policies experience lower loan default rates and greater financial stability (</w:t>
      </w:r>
      <w:proofErr w:type="spellStart"/>
      <w:r w:rsidRPr="00446A45">
        <w:t>Fatoki</w:t>
      </w:r>
      <w:proofErr w:type="spellEnd"/>
      <w:r w:rsidRPr="00446A45">
        <w:t xml:space="preserve">, 2021). In Ghana, SMEs adopting credit risk assessment frameworks recorded a 20% decline in financial distress cases (Alhassan &amp; Sakyi-Dawson, 2023). Financial literacy </w:t>
      </w:r>
      <w:proofErr w:type="spellStart"/>
      <w:r w:rsidRPr="00446A45">
        <w:t>programmes</w:t>
      </w:r>
      <w:proofErr w:type="spellEnd"/>
      <w:r w:rsidRPr="00446A45">
        <w:t xml:space="preserve"> tailored to SMEs equip business owners with the knowledge to make informed borrowing decisions, reducing over-indebtedness and strengthening financial resilience (Gherghina &amp; Duca, 2023).</w:t>
      </w:r>
    </w:p>
    <w:p w14:paraId="02505573" w14:textId="77777777" w:rsidR="00F72645" w:rsidRDefault="00F72645" w:rsidP="002911E6">
      <w:pPr>
        <w:pStyle w:val="NormalWeb"/>
        <w:spacing w:line="360" w:lineRule="auto"/>
        <w:jc w:val="both"/>
      </w:pPr>
    </w:p>
    <w:p w14:paraId="6E3C0234" w14:textId="77777777" w:rsidR="00F72645" w:rsidRPr="00446A45" w:rsidRDefault="00F72645" w:rsidP="002911E6">
      <w:pPr>
        <w:pStyle w:val="NormalWeb"/>
        <w:spacing w:line="360" w:lineRule="auto"/>
        <w:jc w:val="both"/>
      </w:pPr>
    </w:p>
    <w:p w14:paraId="718CDDF7" w14:textId="0B83D8E6" w:rsidR="00624F35" w:rsidRPr="00446A45" w:rsidRDefault="0051475C" w:rsidP="002911E6">
      <w:pPr>
        <w:spacing w:before="100" w:beforeAutospacing="1" w:after="100" w:afterAutospacing="1" w:line="360" w:lineRule="auto"/>
        <w:jc w:val="both"/>
        <w:outlineLvl w:val="2"/>
        <w:rPr>
          <w:rFonts w:ascii="Times New Roman" w:eastAsia="Times New Roman" w:hAnsi="Times New Roman" w:cs="Times New Roman"/>
          <w:b/>
          <w:bCs/>
          <w:sz w:val="24"/>
          <w:szCs w:val="24"/>
        </w:rPr>
      </w:pPr>
      <w:bookmarkStart w:id="5" w:name="_Hlk192325621"/>
      <w:r w:rsidRPr="00446A45">
        <w:rPr>
          <w:rFonts w:ascii="Times New Roman" w:eastAsia="Times New Roman" w:hAnsi="Times New Roman" w:cs="Times New Roman"/>
          <w:b/>
          <w:bCs/>
          <w:sz w:val="24"/>
          <w:szCs w:val="24"/>
        </w:rPr>
        <w:t>Investment Decision-Making</w:t>
      </w:r>
      <w:r w:rsidR="00F72645">
        <w:rPr>
          <w:rFonts w:ascii="Times New Roman" w:eastAsia="Times New Roman" w:hAnsi="Times New Roman" w:cs="Times New Roman"/>
          <w:b/>
          <w:bCs/>
          <w:sz w:val="24"/>
          <w:szCs w:val="24"/>
        </w:rPr>
        <w:t>,</w:t>
      </w:r>
      <w:r w:rsidRPr="00446A45">
        <w:rPr>
          <w:rFonts w:ascii="Times New Roman" w:eastAsia="Times New Roman" w:hAnsi="Times New Roman" w:cs="Times New Roman"/>
          <w:b/>
          <w:bCs/>
          <w:sz w:val="24"/>
          <w:szCs w:val="24"/>
        </w:rPr>
        <w:t xml:space="preserve"> Risk Management</w:t>
      </w:r>
      <w:r w:rsidR="00F72645">
        <w:rPr>
          <w:rFonts w:ascii="Times New Roman" w:eastAsia="Times New Roman" w:hAnsi="Times New Roman" w:cs="Times New Roman"/>
          <w:b/>
          <w:bCs/>
          <w:sz w:val="24"/>
          <w:szCs w:val="24"/>
        </w:rPr>
        <w:t xml:space="preserve"> and SMEs Success</w:t>
      </w:r>
    </w:p>
    <w:bookmarkEnd w:id="5"/>
    <w:p w14:paraId="3DFAA9DD" w14:textId="77777777" w:rsidR="007168F1" w:rsidRPr="00446A45" w:rsidRDefault="007168F1" w:rsidP="002911E6">
      <w:pPr>
        <w:pStyle w:val="NormalWeb"/>
        <w:spacing w:line="360" w:lineRule="auto"/>
        <w:jc w:val="both"/>
      </w:pPr>
      <w:r w:rsidRPr="00446A45">
        <w:t xml:space="preserve">Investment decision-making and risk management remain critical factors in ensuring the sustainability and expansion of small and medium enterprises (SMEs). Well-informed investment </w:t>
      </w:r>
      <w:r w:rsidRPr="00446A45">
        <w:lastRenderedPageBreak/>
        <w:t>choices, strategic risk assessment, diversification, and evaluating return on investment (ROI) enable businesses to navigate financial uncertainties while enhancing profitability. Financial literacy plays a crucial role in improving investment decisions, while risk mitigation strategies help businesses anticipate and address potential financial threats (OECD, 2022). SMEs that implement sound investment and risk management strategies achieve greater financial stability and long-term success (Gherghina &amp; Duca, 2023).</w:t>
      </w:r>
    </w:p>
    <w:p w14:paraId="54534FA3" w14:textId="77777777" w:rsidR="007168F1" w:rsidRPr="00446A45" w:rsidRDefault="007168F1" w:rsidP="002911E6">
      <w:pPr>
        <w:pStyle w:val="NormalWeb"/>
        <w:spacing w:line="360" w:lineRule="auto"/>
        <w:jc w:val="both"/>
      </w:pPr>
      <w:r w:rsidRPr="00446A45">
        <w:t xml:space="preserve">Financial literacy equips SME owners with the knowledge to make informed investment decisions, leading to better financial outcomes and </w:t>
      </w:r>
      <w:proofErr w:type="spellStart"/>
      <w:r w:rsidRPr="00446A45">
        <w:t>minimised</w:t>
      </w:r>
      <w:proofErr w:type="spellEnd"/>
      <w:r w:rsidRPr="00446A45">
        <w:t xml:space="preserve"> exposure to high-risk ventures (</w:t>
      </w:r>
      <w:proofErr w:type="spellStart"/>
      <w:r w:rsidRPr="00446A45">
        <w:t>Eniola</w:t>
      </w:r>
      <w:proofErr w:type="spellEnd"/>
      <w:r w:rsidRPr="00446A45">
        <w:t xml:space="preserve"> &amp; </w:t>
      </w:r>
      <w:proofErr w:type="spellStart"/>
      <w:r w:rsidRPr="00446A45">
        <w:t>Entebang</w:t>
      </w:r>
      <w:proofErr w:type="spellEnd"/>
      <w:r w:rsidRPr="00446A45">
        <w:t xml:space="preserve">, 2021). Entrepreneurs with a strong understanding of financial concepts, such as capital budgeting, market trends, and risk-return trade-offs, allocate resources more effectively (Ibrahim &amp; Said, 2021). Empirical evidence suggests that financially literate business owners are more likely to invest in profitable opportunities and manage capital prudently (Rahman et al., 2021). In Malaysia, SMEs that participated in financial education </w:t>
      </w:r>
      <w:proofErr w:type="spellStart"/>
      <w:r w:rsidRPr="00446A45">
        <w:t>programmes</w:t>
      </w:r>
      <w:proofErr w:type="spellEnd"/>
      <w:r w:rsidRPr="00446A45">
        <w:t xml:space="preserve"> demonstrated improved investment decision-making, resulting in a 25% rise in business profitability (Yusoff et al., 2023). A study in South Africa similarly found that SMEs with higher financial literacy levels had better access to external financing for investment and successfully expanded operations (Maseko &amp; </w:t>
      </w:r>
      <w:proofErr w:type="spellStart"/>
      <w:r w:rsidRPr="00446A45">
        <w:t>Manyani</w:t>
      </w:r>
      <w:proofErr w:type="spellEnd"/>
      <w:r w:rsidRPr="00446A45">
        <w:t>, 2022). Financial awareness also aids in understanding complex investment instruments, including venture capital, equity financing, and government grants, ensuring businesses select the most suitable funding options (</w:t>
      </w:r>
      <w:proofErr w:type="spellStart"/>
      <w:r w:rsidRPr="00446A45">
        <w:t>Kristanto</w:t>
      </w:r>
      <w:proofErr w:type="spellEnd"/>
      <w:r w:rsidRPr="00446A45">
        <w:t>, 2022).</w:t>
      </w:r>
    </w:p>
    <w:p w14:paraId="1B22FD94" w14:textId="6EE310E0" w:rsidR="007168F1" w:rsidRPr="00446A45" w:rsidRDefault="007168F1" w:rsidP="002911E6">
      <w:pPr>
        <w:pStyle w:val="NormalWeb"/>
        <w:spacing w:line="360" w:lineRule="auto"/>
        <w:jc w:val="both"/>
      </w:pPr>
      <w:r w:rsidRPr="00446A45">
        <w:t xml:space="preserve">Understanding business risks and implementing mitigation strategies remain essential for maintaining financial stability and business continuity (Tan et al., 2022). SMEs encounter various risks, including economic downturns, market fluctuations, regulatory changes, and operational inefficiencies (Adebayo &amp; Okonkwo, 2022). Identifying and </w:t>
      </w:r>
      <w:proofErr w:type="spellStart"/>
      <w:r w:rsidRPr="00446A45">
        <w:t>categorising</w:t>
      </w:r>
      <w:proofErr w:type="spellEnd"/>
      <w:r w:rsidRPr="00446A45">
        <w:t xml:space="preserve"> risks allows businesses to adopt proactive measures such as securing insurance policies, implementing strong internal controls, and hedging against currency risks (Alhassan &amp; Sakyi-Dawson, 2023). Research indicate</w:t>
      </w:r>
      <w:r w:rsidR="00F72645">
        <w:t>d</w:t>
      </w:r>
      <w:r w:rsidRPr="00446A45">
        <w:t xml:space="preserve"> that SMEs conducting regular risk assessments experience reduced financial losses and improved operational efficiency (</w:t>
      </w:r>
      <w:proofErr w:type="spellStart"/>
      <w:r w:rsidRPr="00446A45">
        <w:t>Fatoki</w:t>
      </w:r>
      <w:proofErr w:type="spellEnd"/>
      <w:r w:rsidRPr="00446A45">
        <w:t xml:space="preserve"> &amp; Oni, 2021). In Kenya, businesses that integrated risk management frameworks reported a 30% decline in financial losses caused by economic disruptions (Mwangi &amp; Wanjiru, 2022). Business continuity planning further strengthens </w:t>
      </w:r>
      <w:r w:rsidRPr="00446A45">
        <w:lastRenderedPageBreak/>
        <w:t>resilience, as demonstrated by Indonesian SMEs that embraced digital transformation strategies to mitigate the adverse effects of the COVID-19 pandemic (</w:t>
      </w:r>
      <w:proofErr w:type="spellStart"/>
      <w:r w:rsidRPr="00446A45">
        <w:t>Kristanto</w:t>
      </w:r>
      <w:proofErr w:type="spellEnd"/>
      <w:r w:rsidRPr="00446A45">
        <w:t>, 2022).</w:t>
      </w:r>
    </w:p>
    <w:p w14:paraId="2866D6AE" w14:textId="77777777" w:rsidR="007168F1" w:rsidRPr="00446A45" w:rsidRDefault="007168F1" w:rsidP="002911E6">
      <w:pPr>
        <w:pStyle w:val="NormalWeb"/>
        <w:spacing w:line="360" w:lineRule="auto"/>
        <w:jc w:val="both"/>
      </w:pPr>
      <w:r w:rsidRPr="00446A45">
        <w:t>Diversification remains a fundamental strategy for enhancing financial stability in SMEs by spreading risks across multiple investments and revenue streams (Gherghina &amp; Duca, 2023). Businesses that diversify across different markets and product lines demonstrate greater resilience to economic fluctuations while sustaining profitability (Rahman et al., 2021). Empirical studies suggest that SMEs investing in multiple revenue sources, geographic markets, and investment portfolios experience reduced financial volatility and more stable revenue flows (</w:t>
      </w:r>
      <w:proofErr w:type="spellStart"/>
      <w:r w:rsidRPr="00446A45">
        <w:t>Eniola</w:t>
      </w:r>
      <w:proofErr w:type="spellEnd"/>
      <w:r w:rsidRPr="00446A45">
        <w:t xml:space="preserve"> &amp; </w:t>
      </w:r>
      <w:proofErr w:type="spellStart"/>
      <w:r w:rsidRPr="00446A45">
        <w:t>Entebang</w:t>
      </w:r>
      <w:proofErr w:type="spellEnd"/>
      <w:r w:rsidRPr="00446A45">
        <w:t xml:space="preserve">, 2021). In Nigeria, businesses that expanded operations into diverse sectors recorded a 20% increase in financial stability compared to those relying on a single revenue stream (Ibrahim &amp; Said, 2021). </w:t>
      </w:r>
      <w:proofErr w:type="spellStart"/>
      <w:r w:rsidRPr="00446A45">
        <w:t>Digitalisation</w:t>
      </w:r>
      <w:proofErr w:type="spellEnd"/>
      <w:r w:rsidRPr="00446A45">
        <w:t xml:space="preserve"> has further supported diversification by enabling SMEs to explore e-commerce, digital payment solutions, and international markets (Njoroge, 2021). Investing in diverse asset classes, such as stocks, real estate, and bonds, enhances financial security by reducing dependence on a single income source (Alhassan &amp; Sakyi-Dawson, 2023).</w:t>
      </w:r>
    </w:p>
    <w:p w14:paraId="68132425" w14:textId="24458E4D" w:rsidR="007168F1" w:rsidRPr="00446A45" w:rsidRDefault="007168F1" w:rsidP="002911E6">
      <w:pPr>
        <w:pStyle w:val="NormalWeb"/>
        <w:spacing w:line="360" w:lineRule="auto"/>
        <w:jc w:val="both"/>
      </w:pPr>
      <w:r w:rsidRPr="00446A45">
        <w:t xml:space="preserve">Evaluating return on investment (ROI) remains essential for SMEs seeking to measure financial decision effectiveness and </w:t>
      </w:r>
      <w:proofErr w:type="spellStart"/>
      <w:r w:rsidRPr="00446A45">
        <w:t>optimise</w:t>
      </w:r>
      <w:proofErr w:type="spellEnd"/>
      <w:r w:rsidRPr="00446A45">
        <w:t xml:space="preserve"> resource allocation (</w:t>
      </w:r>
      <w:proofErr w:type="spellStart"/>
      <w:r w:rsidRPr="00446A45">
        <w:t>Fatoki</w:t>
      </w:r>
      <w:proofErr w:type="spellEnd"/>
      <w:r w:rsidRPr="00446A45">
        <w:t xml:space="preserve"> &amp; Oni, 2021). ROI assessment allows businesses to determine investment profitability, compare alternative projects, and make data-driven financial decisions (OECD, 2022). Financial performance indicators, including return on assets, net profit margin, and cash flow analysis, provide insights into investment viability (Rahman et al., 2021). A study in Ghana found that SMEs conducting regular ROI evaluations experienced a 15% increase in business profitability due to improved resource allocation (Alhassan &amp; Sakyi-Dawson, 2023). Advancements in financial analytics have further enhanced ROI assessment by enabling SMEs to monitor investment performance and adjust strategies accordingly (</w:t>
      </w:r>
      <w:proofErr w:type="spellStart"/>
      <w:r w:rsidRPr="00446A45">
        <w:t>Kristanto</w:t>
      </w:r>
      <w:proofErr w:type="spellEnd"/>
      <w:r w:rsidRPr="00446A45">
        <w:t xml:space="preserve">, 2022). In Malaysia, SMEs </w:t>
      </w:r>
      <w:proofErr w:type="spellStart"/>
      <w:r w:rsidRPr="00446A45">
        <w:t>utilising</w:t>
      </w:r>
      <w:proofErr w:type="spellEnd"/>
      <w:r w:rsidRPr="00446A45">
        <w:t xml:space="preserve"> cloud-based financial management tools improved investment monitoring and enhanced decision-making efficiency (Yusoff et al., 2023).</w:t>
      </w:r>
    </w:p>
    <w:p w14:paraId="40293F5B" w14:textId="31374530" w:rsidR="0051475C" w:rsidRPr="00446A45" w:rsidRDefault="0051475C" w:rsidP="002911E6">
      <w:pPr>
        <w:spacing w:before="100" w:beforeAutospacing="1" w:after="100" w:afterAutospacing="1" w:line="360" w:lineRule="auto"/>
        <w:jc w:val="both"/>
        <w:outlineLvl w:val="2"/>
        <w:rPr>
          <w:rFonts w:ascii="Times New Roman" w:eastAsia="Times New Roman" w:hAnsi="Times New Roman" w:cs="Times New Roman"/>
          <w:b/>
          <w:bCs/>
          <w:sz w:val="24"/>
          <w:szCs w:val="24"/>
        </w:rPr>
      </w:pPr>
      <w:bookmarkStart w:id="6" w:name="_Hlk191463785"/>
      <w:r w:rsidRPr="00446A45">
        <w:rPr>
          <w:rFonts w:ascii="Times New Roman" w:eastAsia="Times New Roman" w:hAnsi="Times New Roman" w:cs="Times New Roman"/>
          <w:b/>
          <w:bCs/>
          <w:sz w:val="24"/>
          <w:szCs w:val="24"/>
        </w:rPr>
        <w:t xml:space="preserve">Cash Flow Management and </w:t>
      </w:r>
      <w:r w:rsidR="00F72645">
        <w:rPr>
          <w:rFonts w:ascii="Times New Roman" w:eastAsia="Times New Roman" w:hAnsi="Times New Roman" w:cs="Times New Roman"/>
          <w:b/>
          <w:bCs/>
          <w:sz w:val="24"/>
          <w:szCs w:val="24"/>
        </w:rPr>
        <w:t xml:space="preserve">SMEs Success </w:t>
      </w:r>
    </w:p>
    <w:bookmarkEnd w:id="6"/>
    <w:p w14:paraId="6CC9D055" w14:textId="683F26FD" w:rsidR="007168F1" w:rsidRPr="00446A45" w:rsidRDefault="007168F1"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lastRenderedPageBreak/>
        <w:t xml:space="preserve">Managing cash flow effectively remains fundamental to the sustainability and expansion </w:t>
      </w:r>
      <w:r w:rsidR="00F72645">
        <w:rPr>
          <w:rFonts w:ascii="Times New Roman" w:eastAsia="Times New Roman" w:hAnsi="Times New Roman" w:cs="Times New Roman"/>
          <w:sz w:val="24"/>
          <w:szCs w:val="24"/>
        </w:rPr>
        <w:t xml:space="preserve">of </w:t>
      </w:r>
      <w:r w:rsidRPr="00446A45">
        <w:rPr>
          <w:rFonts w:ascii="Times New Roman" w:eastAsia="Times New Roman" w:hAnsi="Times New Roman" w:cs="Times New Roman"/>
          <w:sz w:val="24"/>
          <w:szCs w:val="24"/>
        </w:rPr>
        <w:t>SMEs. Maintaining adequate liquidity allows businesses to cover operational costs, seize growth opportunities, and mitigate financial risks (OECD, 2022). Many SMEs encounter cash flow difficulties due to delayed receivables, ineffective financial planning, and restricted access to credit, which can limit their capacity to scale operations (Gherghina &amp; Duca, 2023). Employing structured cash flow management techniques strengthens financial stability, enhances creditworthiness, and promotes long-term business success (</w:t>
      </w:r>
      <w:proofErr w:type="spellStart"/>
      <w:r w:rsidRPr="00446A45">
        <w:rPr>
          <w:rFonts w:ascii="Times New Roman" w:eastAsia="Times New Roman" w:hAnsi="Times New Roman" w:cs="Times New Roman"/>
          <w:sz w:val="24"/>
          <w:szCs w:val="24"/>
        </w:rPr>
        <w:t>Fatoki</w:t>
      </w:r>
      <w:proofErr w:type="spellEnd"/>
      <w:r w:rsidRPr="00446A45">
        <w:rPr>
          <w:rFonts w:ascii="Times New Roman" w:eastAsia="Times New Roman" w:hAnsi="Times New Roman" w:cs="Times New Roman"/>
          <w:sz w:val="24"/>
          <w:szCs w:val="24"/>
        </w:rPr>
        <w:t xml:space="preserve"> &amp; Oni, 2021).</w:t>
      </w:r>
    </w:p>
    <w:p w14:paraId="154A50AE" w14:textId="77777777" w:rsidR="007168F1" w:rsidRPr="00446A45" w:rsidRDefault="007168F1"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The role of cash flow management in SMEs extends to ensuring business continuity, sustaining profitability, and facilitating expansion strategies (</w:t>
      </w:r>
      <w:proofErr w:type="spellStart"/>
      <w:r w:rsidRPr="00446A45">
        <w:rPr>
          <w:rFonts w:ascii="Times New Roman" w:eastAsia="Times New Roman" w:hAnsi="Times New Roman" w:cs="Times New Roman"/>
          <w:sz w:val="24"/>
          <w:szCs w:val="24"/>
        </w:rPr>
        <w:t>Eniola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Entebang</w:t>
      </w:r>
      <w:proofErr w:type="spellEnd"/>
      <w:r w:rsidRPr="00446A45">
        <w:rPr>
          <w:rFonts w:ascii="Times New Roman" w:eastAsia="Times New Roman" w:hAnsi="Times New Roman" w:cs="Times New Roman"/>
          <w:sz w:val="24"/>
          <w:szCs w:val="24"/>
        </w:rPr>
        <w:t xml:space="preserve">, 2021). Maintaining a positive cash flow allows businesses to meet daily expenses, settle supplier payments on time, and reinvest profits into growth initiatives (Maseko &amp; </w:t>
      </w:r>
      <w:proofErr w:type="spellStart"/>
      <w:r w:rsidRPr="00446A45">
        <w:rPr>
          <w:rFonts w:ascii="Times New Roman" w:eastAsia="Times New Roman" w:hAnsi="Times New Roman" w:cs="Times New Roman"/>
          <w:sz w:val="24"/>
          <w:szCs w:val="24"/>
        </w:rPr>
        <w:t>Manyani</w:t>
      </w:r>
      <w:proofErr w:type="spellEnd"/>
      <w:r w:rsidRPr="00446A45">
        <w:rPr>
          <w:rFonts w:ascii="Times New Roman" w:eastAsia="Times New Roman" w:hAnsi="Times New Roman" w:cs="Times New Roman"/>
          <w:sz w:val="24"/>
          <w:szCs w:val="24"/>
        </w:rPr>
        <w:t>, 2022). Research in South Africa identified poor cash flow management, rather than low profitability, as a leading cause of SME failure, with 70% of businesses struggling due to liquidity issues (Adebayo &amp; Okonkwo, 2022). Strengthening cash flow practices reduces financial distress and equips businesses with resilience against economic downturns (Ibrahim &amp; Said, 2021). In Kenya, SMEs adopting structured cash flow planning tools reported a 40% increase in financial stability and a decline in supplier payment delays (Mwangi &amp; Wanjiru, 2022). Strengthened liquidity management enables firms to pursue market expansion, secure investment funding, and explore new revenue streams (Rahman et al., 2021).</w:t>
      </w:r>
    </w:p>
    <w:p w14:paraId="5F05EA2B" w14:textId="77777777" w:rsidR="007168F1" w:rsidRPr="00446A45" w:rsidRDefault="007168F1" w:rsidP="002911E6">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446A45">
        <w:rPr>
          <w:rFonts w:ascii="Times New Roman" w:eastAsia="Times New Roman" w:hAnsi="Times New Roman" w:cs="Times New Roman"/>
          <w:sz w:val="24"/>
          <w:szCs w:val="24"/>
        </w:rPr>
        <w:t>Optimising</w:t>
      </w:r>
      <w:proofErr w:type="spellEnd"/>
      <w:r w:rsidRPr="00446A45">
        <w:rPr>
          <w:rFonts w:ascii="Times New Roman" w:eastAsia="Times New Roman" w:hAnsi="Times New Roman" w:cs="Times New Roman"/>
          <w:sz w:val="24"/>
          <w:szCs w:val="24"/>
        </w:rPr>
        <w:t xml:space="preserve"> cash flow efficiency requires robust receivables management, cost control, inventory regulation, and the adoption of digital payment systems (Tan et al., 2022). Issuing invoices promptly and enforcing strict credit policies help businesses </w:t>
      </w:r>
      <w:proofErr w:type="spellStart"/>
      <w:r w:rsidRPr="00446A45">
        <w:rPr>
          <w:rFonts w:ascii="Times New Roman" w:eastAsia="Times New Roman" w:hAnsi="Times New Roman" w:cs="Times New Roman"/>
          <w:sz w:val="24"/>
          <w:szCs w:val="24"/>
        </w:rPr>
        <w:t>minimise</w:t>
      </w:r>
      <w:proofErr w:type="spellEnd"/>
      <w:r w:rsidRPr="00446A45">
        <w:rPr>
          <w:rFonts w:ascii="Times New Roman" w:eastAsia="Times New Roman" w:hAnsi="Times New Roman" w:cs="Times New Roman"/>
          <w:sz w:val="24"/>
          <w:szCs w:val="24"/>
        </w:rPr>
        <w:t xml:space="preserve"> late payments and mitigate the risk of bad debts (</w:t>
      </w:r>
      <w:proofErr w:type="spellStart"/>
      <w:r w:rsidRPr="00446A45">
        <w:rPr>
          <w:rFonts w:ascii="Times New Roman" w:eastAsia="Times New Roman" w:hAnsi="Times New Roman" w:cs="Times New Roman"/>
          <w:sz w:val="24"/>
          <w:szCs w:val="24"/>
        </w:rPr>
        <w:t>Kristanto</w:t>
      </w:r>
      <w:proofErr w:type="spellEnd"/>
      <w:r w:rsidRPr="00446A45">
        <w:rPr>
          <w:rFonts w:ascii="Times New Roman" w:eastAsia="Times New Roman" w:hAnsi="Times New Roman" w:cs="Times New Roman"/>
          <w:sz w:val="24"/>
          <w:szCs w:val="24"/>
        </w:rPr>
        <w:t>, 2022). In Malaysia, SMEs using automated invoicing technology reduced delayed payments by 30%, resulting in improved cash flow (Yusoff et al., 2023). Managing operational costs through expense control and renegotiating supplier contracts enhances liquidity, freeing up capital for business growth (Alhassan &amp; Sakyi-Dawson, 2023). Efficient inventory management also plays a crucial role in sustaining cash flow since excessive stock levels can tie up working capital and create liquidity constraints (</w:t>
      </w:r>
      <w:proofErr w:type="spellStart"/>
      <w:r w:rsidRPr="00446A45">
        <w:rPr>
          <w:rFonts w:ascii="Times New Roman" w:eastAsia="Times New Roman" w:hAnsi="Times New Roman" w:cs="Times New Roman"/>
          <w:sz w:val="24"/>
          <w:szCs w:val="24"/>
        </w:rPr>
        <w:t>Fatoki</w:t>
      </w:r>
      <w:proofErr w:type="spellEnd"/>
      <w:r w:rsidRPr="00446A45">
        <w:rPr>
          <w:rFonts w:ascii="Times New Roman" w:eastAsia="Times New Roman" w:hAnsi="Times New Roman" w:cs="Times New Roman"/>
          <w:sz w:val="24"/>
          <w:szCs w:val="24"/>
        </w:rPr>
        <w:t xml:space="preserve"> &amp; Oni, 2021). A study in Nigeria found that SMEs adopting just-in-time (JIT) inventory management increased cash flow efficiency by 25% while reducing stock-related losses (Adebayo &amp; Okonkwo, 2022). Expanding the use of </w:t>
      </w:r>
      <w:r w:rsidRPr="00446A45">
        <w:rPr>
          <w:rFonts w:ascii="Times New Roman" w:eastAsia="Times New Roman" w:hAnsi="Times New Roman" w:cs="Times New Roman"/>
          <w:sz w:val="24"/>
          <w:szCs w:val="24"/>
        </w:rPr>
        <w:lastRenderedPageBreak/>
        <w:t>digital payment solutions, such as mobile transactions and e-commerce platforms, further enhances transaction efficiency and accelerates cash inflows (Gherghina &amp; Duca, 2023).</w:t>
      </w:r>
    </w:p>
    <w:p w14:paraId="00F54DFD" w14:textId="77777777" w:rsidR="007168F1" w:rsidRPr="00446A45" w:rsidRDefault="007168F1"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Enhancing financial literacy among SME owners strengthens their ability to make strategic financial decisions, directly contributing to business growth (OECD, 2022). A deeper understanding of financial principles enables entrepreneurs to assess market conditions, allocate resources efficiently, and formulate expansion strategies (Rahman et al., 2021). Empirical evidence from Indonesia indicates that SMEs with strong financial literacy skills achieved revenue growth rates 35% higher than their counterparts with limited financial knowledge (</w:t>
      </w:r>
      <w:proofErr w:type="spellStart"/>
      <w:r w:rsidRPr="00446A45">
        <w:rPr>
          <w:rFonts w:ascii="Times New Roman" w:eastAsia="Times New Roman" w:hAnsi="Times New Roman" w:cs="Times New Roman"/>
          <w:sz w:val="24"/>
          <w:szCs w:val="24"/>
        </w:rPr>
        <w:t>Kristanto</w:t>
      </w:r>
      <w:proofErr w:type="spellEnd"/>
      <w:r w:rsidRPr="00446A45">
        <w:rPr>
          <w:rFonts w:ascii="Times New Roman" w:eastAsia="Times New Roman" w:hAnsi="Times New Roman" w:cs="Times New Roman"/>
          <w:sz w:val="24"/>
          <w:szCs w:val="24"/>
        </w:rPr>
        <w:t>, 2022). Accessing suitable financing options, including bank loans, venture capital, and government grants, becomes easier when business owners possess financial expertise (</w:t>
      </w:r>
      <w:proofErr w:type="spellStart"/>
      <w:r w:rsidRPr="00446A45">
        <w:rPr>
          <w:rFonts w:ascii="Times New Roman" w:eastAsia="Times New Roman" w:hAnsi="Times New Roman" w:cs="Times New Roman"/>
          <w:sz w:val="24"/>
          <w:szCs w:val="24"/>
        </w:rPr>
        <w:t>Eniola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Entebang</w:t>
      </w:r>
      <w:proofErr w:type="spellEnd"/>
      <w:r w:rsidRPr="00446A45">
        <w:rPr>
          <w:rFonts w:ascii="Times New Roman" w:eastAsia="Times New Roman" w:hAnsi="Times New Roman" w:cs="Times New Roman"/>
          <w:sz w:val="24"/>
          <w:szCs w:val="24"/>
        </w:rPr>
        <w:t xml:space="preserve">, 2021). Greater financial knowledge also improves decision-making in areas such as taxation, budgeting, and capital investment, fostering long-term business sustainability (Maseko &amp; </w:t>
      </w:r>
      <w:proofErr w:type="spellStart"/>
      <w:r w:rsidRPr="00446A45">
        <w:rPr>
          <w:rFonts w:ascii="Times New Roman" w:eastAsia="Times New Roman" w:hAnsi="Times New Roman" w:cs="Times New Roman"/>
          <w:sz w:val="24"/>
          <w:szCs w:val="24"/>
        </w:rPr>
        <w:t>Manyani</w:t>
      </w:r>
      <w:proofErr w:type="spellEnd"/>
      <w:r w:rsidRPr="00446A45">
        <w:rPr>
          <w:rFonts w:ascii="Times New Roman" w:eastAsia="Times New Roman" w:hAnsi="Times New Roman" w:cs="Times New Roman"/>
          <w:sz w:val="24"/>
          <w:szCs w:val="24"/>
        </w:rPr>
        <w:t xml:space="preserve">, 2022). In Ghana, SMEs that engaged in financial training </w:t>
      </w:r>
      <w:proofErr w:type="spellStart"/>
      <w:r w:rsidRPr="00446A45">
        <w:rPr>
          <w:rFonts w:ascii="Times New Roman" w:eastAsia="Times New Roman" w:hAnsi="Times New Roman" w:cs="Times New Roman"/>
          <w:sz w:val="24"/>
          <w:szCs w:val="24"/>
        </w:rPr>
        <w:t>programmes</w:t>
      </w:r>
      <w:proofErr w:type="spellEnd"/>
      <w:r w:rsidRPr="00446A45">
        <w:rPr>
          <w:rFonts w:ascii="Times New Roman" w:eastAsia="Times New Roman" w:hAnsi="Times New Roman" w:cs="Times New Roman"/>
          <w:sz w:val="24"/>
          <w:szCs w:val="24"/>
        </w:rPr>
        <w:t xml:space="preserve"> reported improved cash flow management and increased access to external financing (Alhassan &amp; Sakyi-Dawson, 2023).</w:t>
      </w:r>
    </w:p>
    <w:p w14:paraId="33CBCDE5" w14:textId="6FD259C8" w:rsidR="007168F1" w:rsidRPr="007438BB" w:rsidRDefault="007168F1" w:rsidP="007438BB">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Addressing cash flow constraints in developing economies necessitates eliminating structural barriers, expanding financial inclusion, and leveraging digital financial solutions (Tan et al., 2022). Many SMEs in emerging markets struggle with credit limitations, high transaction costs, and inefficient payment processing systems (Ibrahim &amp; Said, 2021). Research conducted in Uganda showed that 60% of SMEs experienced liquidity shortages due to delayed customer payments and stringent loan conditions (Mwangi &amp; Wanjiru, 2022). Strengthening financial infrastructure and increasing access to microfinance institutions can bridge financing gaps and </w:t>
      </w:r>
      <w:proofErr w:type="spellStart"/>
      <w:r w:rsidRPr="00446A45">
        <w:rPr>
          <w:rFonts w:ascii="Times New Roman" w:eastAsia="Times New Roman" w:hAnsi="Times New Roman" w:cs="Times New Roman"/>
          <w:sz w:val="24"/>
          <w:szCs w:val="24"/>
        </w:rPr>
        <w:t>stabilise</w:t>
      </w:r>
      <w:proofErr w:type="spellEnd"/>
      <w:r w:rsidRPr="00446A45">
        <w:rPr>
          <w:rFonts w:ascii="Times New Roman" w:eastAsia="Times New Roman" w:hAnsi="Times New Roman" w:cs="Times New Roman"/>
          <w:sz w:val="24"/>
          <w:szCs w:val="24"/>
        </w:rPr>
        <w:t xml:space="preserve"> cash flow for SMEs (</w:t>
      </w:r>
      <w:proofErr w:type="spellStart"/>
      <w:r w:rsidRPr="00446A45">
        <w:rPr>
          <w:rFonts w:ascii="Times New Roman" w:eastAsia="Times New Roman" w:hAnsi="Times New Roman" w:cs="Times New Roman"/>
          <w:sz w:val="24"/>
          <w:szCs w:val="24"/>
        </w:rPr>
        <w:t>Fatoki</w:t>
      </w:r>
      <w:proofErr w:type="spellEnd"/>
      <w:r w:rsidRPr="00446A45">
        <w:rPr>
          <w:rFonts w:ascii="Times New Roman" w:eastAsia="Times New Roman" w:hAnsi="Times New Roman" w:cs="Times New Roman"/>
          <w:sz w:val="24"/>
          <w:szCs w:val="24"/>
        </w:rPr>
        <w:t xml:space="preserve"> &amp; Oni, 2021). In Kenya, mobile banking services such as M-Pesa have significantly improved SME access to financial services, enabling faster transactions and reducing liquidity shortages (Gherghina &amp; Duca, 2023). Digital financial management tools, including cloud-based accounting systems, enhance cash flow forecasting and promote greater financial transparency (</w:t>
      </w:r>
      <w:proofErr w:type="spellStart"/>
      <w:r w:rsidRPr="00446A45">
        <w:rPr>
          <w:rFonts w:ascii="Times New Roman" w:eastAsia="Times New Roman" w:hAnsi="Times New Roman" w:cs="Times New Roman"/>
          <w:sz w:val="24"/>
          <w:szCs w:val="24"/>
        </w:rPr>
        <w:t>Kristanto</w:t>
      </w:r>
      <w:proofErr w:type="spellEnd"/>
      <w:r w:rsidRPr="00446A45">
        <w:rPr>
          <w:rFonts w:ascii="Times New Roman" w:eastAsia="Times New Roman" w:hAnsi="Times New Roman" w:cs="Times New Roman"/>
          <w:sz w:val="24"/>
          <w:szCs w:val="24"/>
        </w:rPr>
        <w:t xml:space="preserve">, 2022). Government support in the form of tax incentives and financial literacy </w:t>
      </w:r>
      <w:proofErr w:type="spellStart"/>
      <w:r w:rsidRPr="00446A45">
        <w:rPr>
          <w:rFonts w:ascii="Times New Roman" w:eastAsia="Times New Roman" w:hAnsi="Times New Roman" w:cs="Times New Roman"/>
          <w:sz w:val="24"/>
          <w:szCs w:val="24"/>
        </w:rPr>
        <w:t>programmes</w:t>
      </w:r>
      <w:proofErr w:type="spellEnd"/>
      <w:r w:rsidRPr="00446A45">
        <w:rPr>
          <w:rFonts w:ascii="Times New Roman" w:eastAsia="Times New Roman" w:hAnsi="Times New Roman" w:cs="Times New Roman"/>
          <w:sz w:val="24"/>
          <w:szCs w:val="24"/>
        </w:rPr>
        <w:t xml:space="preserve"> further contributes to sustaining SME cash flow management (Rahman et al., 2021).</w:t>
      </w:r>
      <w:r w:rsidRPr="00446A45">
        <w:rPr>
          <w:rFonts w:ascii="Times New Roman" w:eastAsia="Times New Roman" w:hAnsi="Times New Roman" w:cs="Times New Roman"/>
          <w:vanish/>
          <w:sz w:val="24"/>
          <w:szCs w:val="24"/>
        </w:rPr>
        <w:t>Top of FormBottom of Form</w:t>
      </w:r>
    </w:p>
    <w:p w14:paraId="1B2E0B8C" w14:textId="460C5F72" w:rsidR="00044AB3" w:rsidRPr="00446A45" w:rsidRDefault="00044AB3" w:rsidP="002911E6">
      <w:pPr>
        <w:spacing w:before="100" w:beforeAutospacing="1" w:after="100" w:afterAutospacing="1" w:line="360" w:lineRule="auto"/>
        <w:jc w:val="both"/>
        <w:outlineLvl w:val="2"/>
        <w:rPr>
          <w:rFonts w:ascii="Times New Roman" w:eastAsia="Times New Roman" w:hAnsi="Times New Roman" w:cs="Times New Roman"/>
          <w:b/>
          <w:bCs/>
          <w:sz w:val="24"/>
          <w:szCs w:val="24"/>
        </w:rPr>
      </w:pPr>
      <w:bookmarkStart w:id="7" w:name="_Hlk192325676"/>
      <w:r w:rsidRPr="00446A45">
        <w:rPr>
          <w:rFonts w:ascii="Times New Roman" w:eastAsia="Times New Roman" w:hAnsi="Times New Roman" w:cs="Times New Roman"/>
          <w:b/>
          <w:bCs/>
          <w:sz w:val="24"/>
          <w:szCs w:val="24"/>
        </w:rPr>
        <w:t xml:space="preserve">Digital Financial Literacy and </w:t>
      </w:r>
      <w:r w:rsidR="00F72645">
        <w:rPr>
          <w:rFonts w:ascii="Times New Roman" w:eastAsia="Times New Roman" w:hAnsi="Times New Roman" w:cs="Times New Roman"/>
          <w:b/>
          <w:bCs/>
          <w:sz w:val="24"/>
          <w:szCs w:val="24"/>
        </w:rPr>
        <w:t xml:space="preserve">SMEs Success </w:t>
      </w:r>
    </w:p>
    <w:bookmarkEnd w:id="7"/>
    <w:p w14:paraId="2C8D01D9" w14:textId="77777777" w:rsidR="00E8320F" w:rsidRPr="00446A45" w:rsidRDefault="00E8320F"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lastRenderedPageBreak/>
        <w:t xml:space="preserve">Digital financial literacy strengthens the financial management capabilities of small and medium enterprises (SMEs) by equipping them with the skills to navigate digital financial tools, adopt modern payment solutions, and secure transactions effectively (OECD, 2022). The integration of digital financial technologies enhances business efficiency, </w:t>
      </w:r>
      <w:proofErr w:type="spellStart"/>
      <w:r w:rsidRPr="00446A45">
        <w:rPr>
          <w:rFonts w:ascii="Times New Roman" w:eastAsia="Times New Roman" w:hAnsi="Times New Roman" w:cs="Times New Roman"/>
          <w:sz w:val="24"/>
          <w:szCs w:val="24"/>
        </w:rPr>
        <w:t>minimises</w:t>
      </w:r>
      <w:proofErr w:type="spellEnd"/>
      <w:r w:rsidRPr="00446A45">
        <w:rPr>
          <w:rFonts w:ascii="Times New Roman" w:eastAsia="Times New Roman" w:hAnsi="Times New Roman" w:cs="Times New Roman"/>
          <w:sz w:val="24"/>
          <w:szCs w:val="24"/>
        </w:rPr>
        <w:t xml:space="preserve"> transaction costs, and expands customer reach (Rahman et al., 2021). Cybersecurity threats, inadequate digital infrastructure, and knowledge gaps present barriers to widespread adoption in certain regions (</w:t>
      </w:r>
      <w:proofErr w:type="spellStart"/>
      <w:r w:rsidRPr="00446A45">
        <w:rPr>
          <w:rFonts w:ascii="Times New Roman" w:eastAsia="Times New Roman" w:hAnsi="Times New Roman" w:cs="Times New Roman"/>
          <w:sz w:val="24"/>
          <w:szCs w:val="24"/>
        </w:rPr>
        <w:t>Eniola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Entebang</w:t>
      </w:r>
      <w:proofErr w:type="spellEnd"/>
      <w:r w:rsidRPr="00446A45">
        <w:rPr>
          <w:rFonts w:ascii="Times New Roman" w:eastAsia="Times New Roman" w:hAnsi="Times New Roman" w:cs="Times New Roman"/>
          <w:sz w:val="24"/>
          <w:szCs w:val="24"/>
        </w:rPr>
        <w:t>, 2021). Strengthening financial literacy in digital tools helps SMEs overcome these obstacles and leverage technology for sustainable business growth (Gherghina &amp; Duca, 2023).</w:t>
      </w:r>
    </w:p>
    <w:p w14:paraId="388C9D40" w14:textId="77777777" w:rsidR="00E8320F" w:rsidRPr="00446A45" w:rsidRDefault="00E8320F"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Digital payment systems have </w:t>
      </w:r>
      <w:proofErr w:type="spellStart"/>
      <w:r w:rsidRPr="00446A45">
        <w:rPr>
          <w:rFonts w:ascii="Times New Roman" w:eastAsia="Times New Roman" w:hAnsi="Times New Roman" w:cs="Times New Roman"/>
          <w:sz w:val="24"/>
          <w:szCs w:val="24"/>
        </w:rPr>
        <w:t>revolutionised</w:t>
      </w:r>
      <w:proofErr w:type="spellEnd"/>
      <w:r w:rsidRPr="00446A45">
        <w:rPr>
          <w:rFonts w:ascii="Times New Roman" w:eastAsia="Times New Roman" w:hAnsi="Times New Roman" w:cs="Times New Roman"/>
          <w:sz w:val="24"/>
          <w:szCs w:val="24"/>
        </w:rPr>
        <w:t xml:space="preserve"> SME operations by enabling secure transactions, reducing cash handling risks, and expanding market opportunities (</w:t>
      </w:r>
      <w:proofErr w:type="spellStart"/>
      <w:r w:rsidRPr="00446A45">
        <w:rPr>
          <w:rFonts w:ascii="Times New Roman" w:eastAsia="Times New Roman" w:hAnsi="Times New Roman" w:cs="Times New Roman"/>
          <w:sz w:val="24"/>
          <w:szCs w:val="24"/>
        </w:rPr>
        <w:t>Kristanto</w:t>
      </w:r>
      <w:proofErr w:type="spellEnd"/>
      <w:r w:rsidRPr="00446A45">
        <w:rPr>
          <w:rFonts w:ascii="Times New Roman" w:eastAsia="Times New Roman" w:hAnsi="Times New Roman" w:cs="Times New Roman"/>
          <w:sz w:val="24"/>
          <w:szCs w:val="24"/>
        </w:rPr>
        <w:t>, 2022). The adoption of mobile wallets, point-of-sale (POS) systems, and online payment gateways improves transaction efficiency and enhances customer convenience (Ibrahim &amp; Said, 2021). A study conducted in Malaysia established that SMEs integrating digital payment solutions recorded a 35% increase in sales, largely attributed to improved customer trust and faster transactions (Tan et al., 2022). In Kenya, the widespread use of M-Pesa has enhanced financial inclusion, allowing SMEs to conduct business more efficiently and gain access to credit facilities (Mwangi &amp; Wanjiru, 2022). Automating invoicing, streamlining bookkeeping, and eliminating manual cash reconciliation also contribute to cost reduction and operational efficiency (Adebayo &amp; Okonkwo, 2022). Some SMEs remain reluctant to adopt digital payment solutions due to concerns over transaction fees, limited infrastructure, and cybersecurity risks (</w:t>
      </w:r>
      <w:proofErr w:type="spellStart"/>
      <w:r w:rsidRPr="00446A45">
        <w:rPr>
          <w:rFonts w:ascii="Times New Roman" w:eastAsia="Times New Roman" w:hAnsi="Times New Roman" w:cs="Times New Roman"/>
          <w:sz w:val="24"/>
          <w:szCs w:val="24"/>
        </w:rPr>
        <w:t>Fatoki</w:t>
      </w:r>
      <w:proofErr w:type="spellEnd"/>
      <w:r w:rsidRPr="00446A45">
        <w:rPr>
          <w:rFonts w:ascii="Times New Roman" w:eastAsia="Times New Roman" w:hAnsi="Times New Roman" w:cs="Times New Roman"/>
          <w:sz w:val="24"/>
          <w:szCs w:val="24"/>
        </w:rPr>
        <w:t xml:space="preserve"> &amp; Oni, 2021).</w:t>
      </w:r>
    </w:p>
    <w:p w14:paraId="05797BAB" w14:textId="77777777" w:rsidR="00E8320F" w:rsidRPr="00446A45" w:rsidRDefault="00E8320F"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Financial technology (FinTech) has transformed SME development by offering alternative financing options, automating financial processes, and supporting strategic decision-making (Rahman et al., 2021). Digital lending platforms provide SMEs with access to credit without the complexities associated with traditional banking (</w:t>
      </w:r>
      <w:proofErr w:type="spellStart"/>
      <w:r w:rsidRPr="00446A45">
        <w:rPr>
          <w:rFonts w:ascii="Times New Roman" w:eastAsia="Times New Roman" w:hAnsi="Times New Roman" w:cs="Times New Roman"/>
          <w:sz w:val="24"/>
          <w:szCs w:val="24"/>
        </w:rPr>
        <w:t>Eniola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Entebang</w:t>
      </w:r>
      <w:proofErr w:type="spellEnd"/>
      <w:r w:rsidRPr="00446A45">
        <w:rPr>
          <w:rFonts w:ascii="Times New Roman" w:eastAsia="Times New Roman" w:hAnsi="Times New Roman" w:cs="Times New Roman"/>
          <w:sz w:val="24"/>
          <w:szCs w:val="24"/>
        </w:rPr>
        <w:t xml:space="preserve">, 2021). Research in Ghana revealed that SMEs </w:t>
      </w:r>
      <w:proofErr w:type="spellStart"/>
      <w:r w:rsidRPr="00446A45">
        <w:rPr>
          <w:rFonts w:ascii="Times New Roman" w:eastAsia="Times New Roman" w:hAnsi="Times New Roman" w:cs="Times New Roman"/>
          <w:sz w:val="24"/>
          <w:szCs w:val="24"/>
        </w:rPr>
        <w:t>utilising</w:t>
      </w:r>
      <w:proofErr w:type="spellEnd"/>
      <w:r w:rsidRPr="00446A45">
        <w:rPr>
          <w:rFonts w:ascii="Times New Roman" w:eastAsia="Times New Roman" w:hAnsi="Times New Roman" w:cs="Times New Roman"/>
          <w:sz w:val="24"/>
          <w:szCs w:val="24"/>
        </w:rPr>
        <w:t xml:space="preserve"> FinTech lending solutions experienced a 40% increase in working capital accessibility, enabling business expansion and improved inventory management (Alhassan &amp; Sakyi-Dawson, 2023). Cloud-based accounting software enhances financial management by providing real-time insights into cash flow, expense tracking, and budgeting (Gherghina &amp; Duca, 2023). Blockchain-based smart contracts and AI-driven financial analysis further strengthen SME </w:t>
      </w:r>
      <w:r w:rsidRPr="00446A45">
        <w:rPr>
          <w:rFonts w:ascii="Times New Roman" w:eastAsia="Times New Roman" w:hAnsi="Times New Roman" w:cs="Times New Roman"/>
          <w:sz w:val="24"/>
          <w:szCs w:val="24"/>
        </w:rPr>
        <w:lastRenderedPageBreak/>
        <w:t>resilience and market competitiveness (Ibrahim &amp; Said, 2021). Awareness gaps and resistance to change continue to hinder the adoption of FinTech solutions, particularly in some developing economies (</w:t>
      </w:r>
      <w:proofErr w:type="spellStart"/>
      <w:r w:rsidRPr="00446A45">
        <w:rPr>
          <w:rFonts w:ascii="Times New Roman" w:eastAsia="Times New Roman" w:hAnsi="Times New Roman" w:cs="Times New Roman"/>
          <w:sz w:val="24"/>
          <w:szCs w:val="24"/>
        </w:rPr>
        <w:t>Kristanto</w:t>
      </w:r>
      <w:proofErr w:type="spellEnd"/>
      <w:r w:rsidRPr="00446A45">
        <w:rPr>
          <w:rFonts w:ascii="Times New Roman" w:eastAsia="Times New Roman" w:hAnsi="Times New Roman" w:cs="Times New Roman"/>
          <w:sz w:val="24"/>
          <w:szCs w:val="24"/>
        </w:rPr>
        <w:t>, 2022).</w:t>
      </w:r>
    </w:p>
    <w:p w14:paraId="2089F350" w14:textId="77777777" w:rsidR="00E8320F" w:rsidRPr="00446A45" w:rsidRDefault="00E8320F"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Online banking and mobile money platforms have improved SME financial efficiency by enabling instant transactions, remote banking, and convenient access to financial services (OECD, 2022). The use of mobile money solutions enhances liquidity management, ensuring that funds remain accessible without physical banking constraints (Mwangi &amp; Wanjiru, 2022). A study in Uganda found that 65% of SMEs using mobile money experienced increased operational efficiency due to faster payments and reduced cash handling risks (Adebayo &amp; Okonkwo, 2022). Automating bill payments, tracking financial performance, and integrating banking platforms with accounting software further streamline financial operations (Tan et al., 2022). Digital wallets such as PayPal, Stripe, and Square have supported cross-border trade, allowing SMEs to expand their customer base beyond domestic markets (Gherghina &amp; Duca, 2023). Connectivity issues, transaction charges, and regulatory constraints continue to affect the full </w:t>
      </w:r>
      <w:proofErr w:type="spellStart"/>
      <w:r w:rsidRPr="00446A45">
        <w:rPr>
          <w:rFonts w:ascii="Times New Roman" w:eastAsia="Times New Roman" w:hAnsi="Times New Roman" w:cs="Times New Roman"/>
          <w:sz w:val="24"/>
          <w:szCs w:val="24"/>
        </w:rPr>
        <w:t>utilisation</w:t>
      </w:r>
      <w:proofErr w:type="spellEnd"/>
      <w:r w:rsidRPr="00446A45">
        <w:rPr>
          <w:rFonts w:ascii="Times New Roman" w:eastAsia="Times New Roman" w:hAnsi="Times New Roman" w:cs="Times New Roman"/>
          <w:sz w:val="24"/>
          <w:szCs w:val="24"/>
        </w:rPr>
        <w:t xml:space="preserve"> of online banking services in certain regions (</w:t>
      </w:r>
      <w:proofErr w:type="spellStart"/>
      <w:r w:rsidRPr="00446A45">
        <w:rPr>
          <w:rFonts w:ascii="Times New Roman" w:eastAsia="Times New Roman" w:hAnsi="Times New Roman" w:cs="Times New Roman"/>
          <w:sz w:val="24"/>
          <w:szCs w:val="24"/>
        </w:rPr>
        <w:t>Eniola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Entebang</w:t>
      </w:r>
      <w:proofErr w:type="spellEnd"/>
      <w:r w:rsidRPr="00446A45">
        <w:rPr>
          <w:rFonts w:ascii="Times New Roman" w:eastAsia="Times New Roman" w:hAnsi="Times New Roman" w:cs="Times New Roman"/>
          <w:sz w:val="24"/>
          <w:szCs w:val="24"/>
        </w:rPr>
        <w:t>, 2021).</w:t>
      </w:r>
    </w:p>
    <w:p w14:paraId="674813A2" w14:textId="77777777" w:rsidR="00E8320F" w:rsidRPr="00446A45" w:rsidRDefault="00E8320F"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Cybersecurity awareness has become essential in financial management as SMEs increasingly adopt digital financial solutions (</w:t>
      </w:r>
      <w:proofErr w:type="spellStart"/>
      <w:r w:rsidRPr="00446A45">
        <w:rPr>
          <w:rFonts w:ascii="Times New Roman" w:eastAsia="Times New Roman" w:hAnsi="Times New Roman" w:cs="Times New Roman"/>
          <w:sz w:val="24"/>
          <w:szCs w:val="24"/>
        </w:rPr>
        <w:t>Kristanto</w:t>
      </w:r>
      <w:proofErr w:type="spellEnd"/>
      <w:r w:rsidRPr="00446A45">
        <w:rPr>
          <w:rFonts w:ascii="Times New Roman" w:eastAsia="Times New Roman" w:hAnsi="Times New Roman" w:cs="Times New Roman"/>
          <w:sz w:val="24"/>
          <w:szCs w:val="24"/>
        </w:rPr>
        <w:t>, 2022). Cyber threats such as fraud, phishing attacks, and data breaches present significant risks to financial stability (Ibrahim &amp; Said, 2021). A study in South Africa established that 60% of SMEs lacked adequate cybersecurity measures, increasing vulnerability to financial fraud and cyberattacks (</w:t>
      </w:r>
      <w:proofErr w:type="spellStart"/>
      <w:r w:rsidRPr="00446A45">
        <w:rPr>
          <w:rFonts w:ascii="Times New Roman" w:eastAsia="Times New Roman" w:hAnsi="Times New Roman" w:cs="Times New Roman"/>
          <w:sz w:val="24"/>
          <w:szCs w:val="24"/>
        </w:rPr>
        <w:t>Fatoki</w:t>
      </w:r>
      <w:proofErr w:type="spellEnd"/>
      <w:r w:rsidRPr="00446A45">
        <w:rPr>
          <w:rFonts w:ascii="Times New Roman" w:eastAsia="Times New Roman" w:hAnsi="Times New Roman" w:cs="Times New Roman"/>
          <w:sz w:val="24"/>
          <w:szCs w:val="24"/>
        </w:rPr>
        <w:t xml:space="preserve"> &amp; Oni, 2021). Strengthening cybersecurity measures through two-factor authentication, encryption, and regular software updates enhances transaction security (Alhassan &amp; Sakyi-Dawson, 2023). Training employees to </w:t>
      </w:r>
      <w:proofErr w:type="spellStart"/>
      <w:r w:rsidRPr="00446A45">
        <w:rPr>
          <w:rFonts w:ascii="Times New Roman" w:eastAsia="Times New Roman" w:hAnsi="Times New Roman" w:cs="Times New Roman"/>
          <w:sz w:val="24"/>
          <w:szCs w:val="24"/>
        </w:rPr>
        <w:t>recognise</w:t>
      </w:r>
      <w:proofErr w:type="spellEnd"/>
      <w:r w:rsidRPr="00446A45">
        <w:rPr>
          <w:rFonts w:ascii="Times New Roman" w:eastAsia="Times New Roman" w:hAnsi="Times New Roman" w:cs="Times New Roman"/>
          <w:sz w:val="24"/>
          <w:szCs w:val="24"/>
        </w:rPr>
        <w:t xml:space="preserve"> fraudulent schemes and protect sensitive business information remains crucial in mitigating cyber risks (Rahman et al., 2021). Government policies and financial institutions contribute to cybersecurity awareness by enforcing regulatory frameworks and supporting SME training initiatives (OECD, 2022). Secure digital financial practices protect business assets, maintain customer trust, and improve long-term financial resilience (Gherghina &amp; Duca, 2023).</w:t>
      </w:r>
    </w:p>
    <w:p w14:paraId="53262A4E" w14:textId="77777777" w:rsidR="00E8320F" w:rsidRPr="00446A45" w:rsidRDefault="00E8320F" w:rsidP="002911E6">
      <w:pPr>
        <w:pBdr>
          <w:bottom w:val="single" w:sz="6" w:space="1" w:color="auto"/>
        </w:pBdr>
        <w:spacing w:after="0" w:line="360" w:lineRule="auto"/>
        <w:jc w:val="both"/>
        <w:rPr>
          <w:rFonts w:ascii="Times New Roman" w:eastAsia="Times New Roman" w:hAnsi="Times New Roman" w:cs="Times New Roman"/>
          <w:vanish/>
          <w:sz w:val="24"/>
          <w:szCs w:val="24"/>
        </w:rPr>
      </w:pPr>
      <w:r w:rsidRPr="00446A45">
        <w:rPr>
          <w:rFonts w:ascii="Times New Roman" w:eastAsia="Times New Roman" w:hAnsi="Times New Roman" w:cs="Times New Roman"/>
          <w:vanish/>
          <w:sz w:val="24"/>
          <w:szCs w:val="24"/>
        </w:rPr>
        <w:t>Top of Form</w:t>
      </w:r>
    </w:p>
    <w:p w14:paraId="7A31E739" w14:textId="77777777" w:rsidR="00E8320F" w:rsidRPr="00446A45" w:rsidRDefault="00E8320F" w:rsidP="002911E6">
      <w:pPr>
        <w:pBdr>
          <w:top w:val="single" w:sz="6" w:space="1" w:color="auto"/>
        </w:pBdr>
        <w:spacing w:after="0" w:line="360" w:lineRule="auto"/>
        <w:jc w:val="both"/>
        <w:rPr>
          <w:rFonts w:ascii="Times New Roman" w:eastAsia="Times New Roman" w:hAnsi="Times New Roman" w:cs="Times New Roman"/>
          <w:vanish/>
          <w:sz w:val="24"/>
          <w:szCs w:val="24"/>
        </w:rPr>
      </w:pPr>
      <w:r w:rsidRPr="00446A45">
        <w:rPr>
          <w:rFonts w:ascii="Times New Roman" w:eastAsia="Times New Roman" w:hAnsi="Times New Roman" w:cs="Times New Roman"/>
          <w:vanish/>
          <w:sz w:val="24"/>
          <w:szCs w:val="24"/>
        </w:rPr>
        <w:t>Bottom of Form</w:t>
      </w:r>
    </w:p>
    <w:p w14:paraId="29CC7C4C" w14:textId="3DB0AA6C" w:rsidR="00044AB3" w:rsidRPr="00446A45" w:rsidRDefault="00044AB3" w:rsidP="002911E6">
      <w:pPr>
        <w:spacing w:before="100" w:beforeAutospacing="1" w:after="100" w:afterAutospacing="1" w:line="360" w:lineRule="auto"/>
        <w:jc w:val="both"/>
        <w:outlineLvl w:val="2"/>
        <w:rPr>
          <w:rFonts w:ascii="Times New Roman" w:eastAsia="Times New Roman" w:hAnsi="Times New Roman" w:cs="Times New Roman"/>
          <w:b/>
          <w:bCs/>
          <w:sz w:val="24"/>
          <w:szCs w:val="24"/>
        </w:rPr>
      </w:pPr>
      <w:bookmarkStart w:id="8" w:name="_Hlk192325698"/>
      <w:r w:rsidRPr="00446A45">
        <w:rPr>
          <w:rFonts w:ascii="Times New Roman" w:eastAsia="Times New Roman" w:hAnsi="Times New Roman" w:cs="Times New Roman"/>
          <w:b/>
          <w:bCs/>
          <w:sz w:val="24"/>
          <w:szCs w:val="24"/>
        </w:rPr>
        <w:t>Tax Compliance</w:t>
      </w:r>
      <w:r w:rsidR="006A323A">
        <w:rPr>
          <w:rFonts w:ascii="Times New Roman" w:eastAsia="Times New Roman" w:hAnsi="Times New Roman" w:cs="Times New Roman"/>
          <w:b/>
          <w:bCs/>
          <w:sz w:val="24"/>
          <w:szCs w:val="24"/>
        </w:rPr>
        <w:t>,</w:t>
      </w:r>
      <w:r w:rsidRPr="00446A45">
        <w:rPr>
          <w:rFonts w:ascii="Times New Roman" w:eastAsia="Times New Roman" w:hAnsi="Times New Roman" w:cs="Times New Roman"/>
          <w:b/>
          <w:bCs/>
          <w:sz w:val="24"/>
          <w:szCs w:val="24"/>
        </w:rPr>
        <w:t xml:space="preserve"> Financial Regulations Awareness</w:t>
      </w:r>
      <w:r w:rsidR="006A323A">
        <w:rPr>
          <w:rFonts w:ascii="Times New Roman" w:eastAsia="Times New Roman" w:hAnsi="Times New Roman" w:cs="Times New Roman"/>
          <w:b/>
          <w:bCs/>
          <w:sz w:val="24"/>
          <w:szCs w:val="24"/>
        </w:rPr>
        <w:t xml:space="preserve"> and SMEs Success </w:t>
      </w:r>
    </w:p>
    <w:bookmarkEnd w:id="8"/>
    <w:p w14:paraId="0D7D42E0" w14:textId="24116D8A" w:rsidR="00E8320F" w:rsidRPr="00446A45" w:rsidRDefault="00E8320F"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lastRenderedPageBreak/>
        <w:t>Understanding tax obligations allows SMEs to operate legally while maintaining financial stability. Many SMEs encounter difficulties with tax compliance due to limited knowledge of tax laws, administrative complexities, and high compliance costs (Muriithi, 2022). Governments impose various taxes on SMEs, including corporate income tax, value-added tax (VAT), and payroll taxes, depending on the jurisdiction (Kleven et al., 2020). The introduction of turnover tax in Kenya aims to simplify tax compliance for small businesses, yet many remain unaware of their obligations, leading to penalties and legal challenges (Waweru &amp; Ngugi, 2021). Research on South African SMEs reveals that a lack of tax education contributes to non-compliance, prompting policymakers to introduce training initiatives to enhance tax literacy (Maseko, 2022). Increased awareness of tax obligations helps SMEs avoid financial penalties, improve business credibility, and access government incentives such as tax breaks for start-ups and investment deductions (World Bank, 2021).</w:t>
      </w:r>
    </w:p>
    <w:p w14:paraId="197B4466" w14:textId="51C9E6BE" w:rsidR="00E8320F" w:rsidRPr="00446A45" w:rsidRDefault="00E8320F"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Financial literacy plays a crucial role in enabling SMEs to navigate business regulations effectively. Entrepreneurs with strong financial and regulatory knowledge make informed decisions that enhance business sustainability and compliance. Licensing, tax registration, and </w:t>
      </w:r>
      <w:proofErr w:type="spellStart"/>
      <w:r w:rsidRPr="00446A45">
        <w:rPr>
          <w:rFonts w:ascii="Times New Roman" w:eastAsia="Times New Roman" w:hAnsi="Times New Roman" w:cs="Times New Roman"/>
          <w:sz w:val="24"/>
          <w:szCs w:val="24"/>
        </w:rPr>
        <w:t>labour</w:t>
      </w:r>
      <w:proofErr w:type="spellEnd"/>
      <w:r w:rsidRPr="00446A45">
        <w:rPr>
          <w:rFonts w:ascii="Times New Roman" w:eastAsia="Times New Roman" w:hAnsi="Times New Roman" w:cs="Times New Roman"/>
          <w:sz w:val="24"/>
          <w:szCs w:val="24"/>
        </w:rPr>
        <w:t xml:space="preserve"> laws impose significant administrative burdens, particularly in developing economies where bureaucratic processes remain complex (Ndiege et al., 2023). SMEs in Nigeria with higher financial literacy levels demonstrate better regulatory compliance, leading to increased access to government funding and a lower risk of business closure (Olawale &amp; </w:t>
      </w:r>
      <w:proofErr w:type="spellStart"/>
      <w:r w:rsidRPr="00446A45">
        <w:rPr>
          <w:rFonts w:ascii="Times New Roman" w:eastAsia="Times New Roman" w:hAnsi="Times New Roman" w:cs="Times New Roman"/>
          <w:sz w:val="24"/>
          <w:szCs w:val="24"/>
        </w:rPr>
        <w:t>Garwe</w:t>
      </w:r>
      <w:proofErr w:type="spellEnd"/>
      <w:r w:rsidRPr="00446A45">
        <w:rPr>
          <w:rFonts w:ascii="Times New Roman" w:eastAsia="Times New Roman" w:hAnsi="Times New Roman" w:cs="Times New Roman"/>
          <w:sz w:val="24"/>
          <w:szCs w:val="24"/>
        </w:rPr>
        <w:t xml:space="preserve">, 2022). In Indonesia, structured financial training </w:t>
      </w:r>
      <w:proofErr w:type="spellStart"/>
      <w:r w:rsidRPr="00446A45">
        <w:rPr>
          <w:rFonts w:ascii="Times New Roman" w:eastAsia="Times New Roman" w:hAnsi="Times New Roman" w:cs="Times New Roman"/>
          <w:sz w:val="24"/>
          <w:szCs w:val="24"/>
        </w:rPr>
        <w:t>programmes</w:t>
      </w:r>
      <w:proofErr w:type="spellEnd"/>
      <w:r w:rsidRPr="00446A45">
        <w:rPr>
          <w:rFonts w:ascii="Times New Roman" w:eastAsia="Times New Roman" w:hAnsi="Times New Roman" w:cs="Times New Roman"/>
          <w:sz w:val="24"/>
          <w:szCs w:val="24"/>
        </w:rPr>
        <w:t xml:space="preserve"> have strengthened SMEs’ ability to meet tax and regulatory requirements, improving their long-term viability (Sari &amp; Hermanto, 2021). Integrating financial literacy education into business training initiatives supports SME growth while strengthening the overall business environment (OECD, 2022).</w:t>
      </w:r>
    </w:p>
    <w:p w14:paraId="28FBB94C" w14:textId="7E32B5F8" w:rsidR="00E8320F" w:rsidRPr="00446A45" w:rsidRDefault="00E8320F"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Tax compliance influences SME financial performance by affecting cash flow management, profitability, and access to financial resources (</w:t>
      </w:r>
      <w:proofErr w:type="spellStart"/>
      <w:r w:rsidRPr="00446A45">
        <w:rPr>
          <w:rFonts w:ascii="Times New Roman" w:eastAsia="Times New Roman" w:hAnsi="Times New Roman" w:cs="Times New Roman"/>
          <w:sz w:val="24"/>
          <w:szCs w:val="24"/>
        </w:rPr>
        <w:t>Slemrod</w:t>
      </w:r>
      <w:proofErr w:type="spellEnd"/>
      <w:r w:rsidRPr="00446A45">
        <w:rPr>
          <w:rFonts w:ascii="Times New Roman" w:eastAsia="Times New Roman" w:hAnsi="Times New Roman" w:cs="Times New Roman"/>
          <w:sz w:val="24"/>
          <w:szCs w:val="24"/>
        </w:rPr>
        <w:t xml:space="preserve">, 2021). Businesses that comply with tax regulations establish better relationships with financial institutions, increasing their chances of securing business loans and credit facilities. Research on Brazilian SMEs shows that enterprises with consistent tax compliance records obtain bank loans more easily due to lower perceived financial risks (Silva &amp; Ferreira, 2022). Non-compliance, on the other hand, results in legal consequences, financial penalties, and reputational damage, which hinder business expansion </w:t>
      </w:r>
      <w:r w:rsidRPr="00446A45">
        <w:rPr>
          <w:rFonts w:ascii="Times New Roman" w:eastAsia="Times New Roman" w:hAnsi="Times New Roman" w:cs="Times New Roman"/>
          <w:sz w:val="24"/>
          <w:szCs w:val="24"/>
        </w:rPr>
        <w:lastRenderedPageBreak/>
        <w:t>(Amin et al., 2020). Tax-compliant SMEs in Vietnam reported a 20% increase in profitability due to improved financial planning and cost management (Nguyen &amp; Tran, 2022). Tax incentives, such as reduced VAT rates for exporters, further enhance competitiveness and encourage long-term business sustainability (World Bank, 2021).</w:t>
      </w:r>
    </w:p>
    <w:p w14:paraId="5C0073F2" w14:textId="0ECB0CB7" w:rsidR="00E8320F" w:rsidRPr="00446A45" w:rsidRDefault="00E8320F"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Overcoming regulatory challenges remains a critical issue for SMEs in developing nations, where complex tax systems, corruption, and bureaucratic inefficiencies create obstacles to compliance (Muriithi, 2022). High costs of </w:t>
      </w:r>
      <w:proofErr w:type="spellStart"/>
      <w:r w:rsidRPr="00446A45">
        <w:rPr>
          <w:rFonts w:ascii="Times New Roman" w:eastAsia="Times New Roman" w:hAnsi="Times New Roman" w:cs="Times New Roman"/>
          <w:sz w:val="24"/>
          <w:szCs w:val="24"/>
        </w:rPr>
        <w:t>formalisation</w:t>
      </w:r>
      <w:proofErr w:type="spellEnd"/>
      <w:r w:rsidRPr="00446A45">
        <w:rPr>
          <w:rFonts w:ascii="Times New Roman" w:eastAsia="Times New Roman" w:hAnsi="Times New Roman" w:cs="Times New Roman"/>
          <w:sz w:val="24"/>
          <w:szCs w:val="24"/>
        </w:rPr>
        <w:t xml:space="preserve"> and excessive regulatory requirements force many SMEs into the informal sector (Gashi et al., 2021). Research in Uganda indicates that 60% of SMEs struggle with tax compliance due to unclear guidelines and inconsistent enforcement by tax authorities (</w:t>
      </w:r>
      <w:proofErr w:type="spellStart"/>
      <w:r w:rsidRPr="00446A45">
        <w:rPr>
          <w:rFonts w:ascii="Times New Roman" w:eastAsia="Times New Roman" w:hAnsi="Times New Roman" w:cs="Times New Roman"/>
          <w:sz w:val="24"/>
          <w:szCs w:val="24"/>
        </w:rPr>
        <w:t>Kayiwa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Nakafeero</w:t>
      </w:r>
      <w:proofErr w:type="spellEnd"/>
      <w:r w:rsidRPr="00446A45">
        <w:rPr>
          <w:rFonts w:ascii="Times New Roman" w:eastAsia="Times New Roman" w:hAnsi="Times New Roman" w:cs="Times New Roman"/>
          <w:sz w:val="24"/>
          <w:szCs w:val="24"/>
        </w:rPr>
        <w:t>, 2023). Digital solutions, such as electronic tax filing systems and mobile tax payment platforms, have improved compliance rates by reducing administrative burdens and increasing convenience (</w:t>
      </w:r>
      <w:proofErr w:type="spellStart"/>
      <w:r w:rsidRPr="00446A45">
        <w:rPr>
          <w:rFonts w:ascii="Times New Roman" w:eastAsia="Times New Roman" w:hAnsi="Times New Roman" w:cs="Times New Roman"/>
          <w:sz w:val="24"/>
          <w:szCs w:val="24"/>
        </w:rPr>
        <w:t>Slemrod</w:t>
      </w:r>
      <w:proofErr w:type="spellEnd"/>
      <w:r w:rsidRPr="00446A45">
        <w:rPr>
          <w:rFonts w:ascii="Times New Roman" w:eastAsia="Times New Roman" w:hAnsi="Times New Roman" w:cs="Times New Roman"/>
          <w:sz w:val="24"/>
          <w:szCs w:val="24"/>
        </w:rPr>
        <w:t>, 2021). Rwanda’s adoption of an online tax declaration system has simplified compliance for SMEs, leading to higher tax revenues and improved business transparency. Strengthening regulatory frameworks, reducing compliance costs, and providing targeted financial literacy training can help SMEs in developing nations navigate regulatory barriers and contribute to economic growth.</w:t>
      </w:r>
    </w:p>
    <w:p w14:paraId="186CF4DE" w14:textId="77777777" w:rsidR="00E8320F" w:rsidRPr="00446A45" w:rsidRDefault="00E8320F" w:rsidP="002911E6">
      <w:pPr>
        <w:pBdr>
          <w:bottom w:val="single" w:sz="6" w:space="1" w:color="auto"/>
        </w:pBdr>
        <w:spacing w:after="0" w:line="240" w:lineRule="auto"/>
        <w:rPr>
          <w:rFonts w:ascii="Arial" w:eastAsia="Times New Roman" w:hAnsi="Arial" w:cs="Arial"/>
          <w:vanish/>
          <w:sz w:val="16"/>
          <w:szCs w:val="16"/>
        </w:rPr>
      </w:pPr>
      <w:r w:rsidRPr="00446A45">
        <w:rPr>
          <w:rFonts w:ascii="Arial" w:eastAsia="Times New Roman" w:hAnsi="Arial" w:cs="Arial"/>
          <w:vanish/>
          <w:sz w:val="16"/>
          <w:szCs w:val="16"/>
        </w:rPr>
        <w:t>Top of Form</w:t>
      </w:r>
    </w:p>
    <w:p w14:paraId="26FA95FB" w14:textId="77777777" w:rsidR="00E8320F" w:rsidRPr="00446A45" w:rsidRDefault="00E8320F" w:rsidP="00E8320F">
      <w:pPr>
        <w:pBdr>
          <w:top w:val="single" w:sz="6" w:space="1" w:color="auto"/>
        </w:pBdr>
        <w:spacing w:after="0" w:line="240" w:lineRule="auto"/>
        <w:jc w:val="center"/>
        <w:rPr>
          <w:rFonts w:ascii="Arial" w:eastAsia="Times New Roman" w:hAnsi="Arial" w:cs="Arial"/>
          <w:vanish/>
          <w:sz w:val="16"/>
          <w:szCs w:val="16"/>
        </w:rPr>
      </w:pPr>
      <w:r w:rsidRPr="00446A45">
        <w:rPr>
          <w:rFonts w:ascii="Arial" w:eastAsia="Times New Roman" w:hAnsi="Arial" w:cs="Arial"/>
          <w:vanish/>
          <w:sz w:val="16"/>
          <w:szCs w:val="16"/>
        </w:rPr>
        <w:t>Bottom of Form</w:t>
      </w:r>
    </w:p>
    <w:p w14:paraId="1DF6600F" w14:textId="39EA00EE" w:rsidR="0051475C" w:rsidRPr="00446A45" w:rsidRDefault="00044AB3" w:rsidP="0051475C">
      <w:pPr>
        <w:spacing w:before="100" w:beforeAutospacing="1" w:after="100" w:afterAutospacing="1" w:line="240" w:lineRule="auto"/>
        <w:rPr>
          <w:rFonts w:ascii="Times New Roman" w:eastAsia="Times New Roman" w:hAnsi="Times New Roman" w:cs="Times New Roman"/>
          <w:b/>
          <w:bCs/>
          <w:sz w:val="24"/>
          <w:szCs w:val="24"/>
        </w:rPr>
      </w:pPr>
      <w:r w:rsidRPr="00446A45">
        <w:rPr>
          <w:rFonts w:ascii="Times New Roman" w:eastAsia="Times New Roman" w:hAnsi="Times New Roman" w:cs="Times New Roman"/>
          <w:b/>
          <w:bCs/>
          <w:sz w:val="24"/>
          <w:szCs w:val="24"/>
        </w:rPr>
        <w:t xml:space="preserve">Discussion on Reviewed Literature </w:t>
      </w:r>
    </w:p>
    <w:p w14:paraId="3622BA53" w14:textId="7088524D" w:rsidR="00E8320F" w:rsidRPr="00446A45" w:rsidRDefault="00E8320F" w:rsidP="002911E6">
      <w:pPr>
        <w:spacing w:before="100" w:beforeAutospacing="1" w:after="100" w:afterAutospacing="1" w:line="360" w:lineRule="auto"/>
        <w:jc w:val="both"/>
        <w:outlineLvl w:val="2"/>
        <w:rPr>
          <w:rFonts w:ascii="Times New Roman" w:eastAsia="Times New Roman" w:hAnsi="Times New Roman" w:cs="Times New Roman"/>
          <w:b/>
          <w:bCs/>
          <w:sz w:val="24"/>
          <w:szCs w:val="24"/>
        </w:rPr>
      </w:pPr>
      <w:bookmarkStart w:id="9" w:name="_Hlk192325732"/>
      <w:r w:rsidRPr="00446A45">
        <w:rPr>
          <w:rFonts w:ascii="Times New Roman" w:eastAsia="Times New Roman" w:hAnsi="Times New Roman" w:cs="Times New Roman"/>
          <w:b/>
          <w:bCs/>
          <w:sz w:val="24"/>
          <w:szCs w:val="24"/>
        </w:rPr>
        <w:t xml:space="preserve"> Budgeting</w:t>
      </w:r>
      <w:r w:rsidR="0086733D">
        <w:rPr>
          <w:rFonts w:ascii="Times New Roman" w:eastAsia="Times New Roman" w:hAnsi="Times New Roman" w:cs="Times New Roman"/>
          <w:b/>
          <w:bCs/>
          <w:sz w:val="24"/>
          <w:szCs w:val="24"/>
        </w:rPr>
        <w:t xml:space="preserve">, </w:t>
      </w:r>
      <w:r w:rsidRPr="00446A45">
        <w:rPr>
          <w:rFonts w:ascii="Times New Roman" w:eastAsia="Times New Roman" w:hAnsi="Times New Roman" w:cs="Times New Roman"/>
          <w:b/>
          <w:bCs/>
          <w:sz w:val="24"/>
          <w:szCs w:val="24"/>
        </w:rPr>
        <w:t>Financial Planning</w:t>
      </w:r>
      <w:r w:rsidR="0086733D">
        <w:rPr>
          <w:rFonts w:ascii="Times New Roman" w:eastAsia="Times New Roman" w:hAnsi="Times New Roman" w:cs="Times New Roman"/>
          <w:b/>
          <w:bCs/>
          <w:sz w:val="24"/>
          <w:szCs w:val="24"/>
        </w:rPr>
        <w:t xml:space="preserve"> and SMEs Success </w:t>
      </w:r>
    </w:p>
    <w:bookmarkEnd w:id="9"/>
    <w:p w14:paraId="6D52DACA" w14:textId="77777777" w:rsidR="00E8320F" w:rsidRPr="00446A45" w:rsidRDefault="00E8320F"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The literature highlights the importance of financial literacy training in strengthening budgeting and financial planning for SMEs, demonstrating its role in cash flow management, profitability, and long-term sustainability (</w:t>
      </w:r>
      <w:proofErr w:type="spellStart"/>
      <w:r w:rsidRPr="00446A45">
        <w:rPr>
          <w:rFonts w:ascii="Times New Roman" w:eastAsia="Times New Roman" w:hAnsi="Times New Roman" w:cs="Times New Roman"/>
          <w:sz w:val="24"/>
          <w:szCs w:val="24"/>
        </w:rPr>
        <w:t>Fatoki</w:t>
      </w:r>
      <w:proofErr w:type="spellEnd"/>
      <w:r w:rsidRPr="00446A45">
        <w:rPr>
          <w:rFonts w:ascii="Times New Roman" w:eastAsia="Times New Roman" w:hAnsi="Times New Roman" w:cs="Times New Roman"/>
          <w:sz w:val="24"/>
          <w:szCs w:val="24"/>
        </w:rPr>
        <w:t xml:space="preserve">, 2021; OECD, 2022). Empirical research indicates that structured budgeting frameworks enhance financial resilience, with case studies from Kenya and Indonesia supporting these findings (Mwangi &amp; Wanjiru, 2022; </w:t>
      </w:r>
      <w:proofErr w:type="spellStart"/>
      <w:r w:rsidRPr="00446A45">
        <w:rPr>
          <w:rFonts w:ascii="Times New Roman" w:eastAsia="Times New Roman" w:hAnsi="Times New Roman" w:cs="Times New Roman"/>
          <w:sz w:val="24"/>
          <w:szCs w:val="24"/>
        </w:rPr>
        <w:t>Kristanto</w:t>
      </w:r>
      <w:proofErr w:type="spellEnd"/>
      <w:r w:rsidRPr="00446A45">
        <w:rPr>
          <w:rFonts w:ascii="Times New Roman" w:eastAsia="Times New Roman" w:hAnsi="Times New Roman" w:cs="Times New Roman"/>
          <w:sz w:val="24"/>
          <w:szCs w:val="24"/>
        </w:rPr>
        <w:t>, 2022). While studies examine the advantages of zero-based budgeting, rolling forecasts, and scenario analysis (Kinyua, 2020; Tan et al., 2022), discussions on how these techniques adapt to different SME environments remain limited.</w:t>
      </w:r>
    </w:p>
    <w:p w14:paraId="1EA07304" w14:textId="77777777" w:rsidR="00E8320F" w:rsidRPr="00446A45" w:rsidRDefault="00E8320F"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The role of financial planning in securing funding and supporting business expansion is well established (Ibrahim &amp; Said, 2021; Yusoff et al., 2023), yet existing research does not sufficiently </w:t>
      </w:r>
      <w:r w:rsidRPr="00446A45">
        <w:rPr>
          <w:rFonts w:ascii="Times New Roman" w:eastAsia="Times New Roman" w:hAnsi="Times New Roman" w:cs="Times New Roman"/>
          <w:sz w:val="24"/>
          <w:szCs w:val="24"/>
        </w:rPr>
        <w:lastRenderedPageBreak/>
        <w:t>explore how SMEs in the informal sector, which often lack formal financial documentation, manage financial planning strategies. Challenges related to financial literacy primarily focus on educational gaps (</w:t>
      </w:r>
      <w:proofErr w:type="spellStart"/>
      <w:r w:rsidRPr="00446A45">
        <w:rPr>
          <w:rFonts w:ascii="Times New Roman" w:eastAsia="Times New Roman" w:hAnsi="Times New Roman" w:cs="Times New Roman"/>
          <w:sz w:val="24"/>
          <w:szCs w:val="24"/>
        </w:rPr>
        <w:t>Eniola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Entebang</w:t>
      </w:r>
      <w:proofErr w:type="spellEnd"/>
      <w:r w:rsidRPr="00446A45">
        <w:rPr>
          <w:rFonts w:ascii="Times New Roman" w:eastAsia="Times New Roman" w:hAnsi="Times New Roman" w:cs="Times New Roman"/>
          <w:sz w:val="24"/>
          <w:szCs w:val="24"/>
        </w:rPr>
        <w:t xml:space="preserve">, 2021; World Bank, 2023), with minimal attention given to </w:t>
      </w:r>
      <w:proofErr w:type="spellStart"/>
      <w:r w:rsidRPr="00446A45">
        <w:rPr>
          <w:rFonts w:ascii="Times New Roman" w:eastAsia="Times New Roman" w:hAnsi="Times New Roman" w:cs="Times New Roman"/>
          <w:sz w:val="24"/>
          <w:szCs w:val="24"/>
        </w:rPr>
        <w:t>behavioural</w:t>
      </w:r>
      <w:proofErr w:type="spellEnd"/>
      <w:r w:rsidRPr="00446A45">
        <w:rPr>
          <w:rFonts w:ascii="Times New Roman" w:eastAsia="Times New Roman" w:hAnsi="Times New Roman" w:cs="Times New Roman"/>
          <w:sz w:val="24"/>
          <w:szCs w:val="24"/>
        </w:rPr>
        <w:t xml:space="preserve"> biases, cultural attitudes, and socio-economic factors influencing financial decision-making.</w:t>
      </w:r>
    </w:p>
    <w:p w14:paraId="008D053B" w14:textId="33A5EB70" w:rsidR="0086733D" w:rsidRDefault="00E8320F" w:rsidP="0086733D">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Digital financial management tools contribute significantly to financial planning improvements, yet discussions on the barriers SMEs face in adopting these technologies, remain inadequate (Adebayo &amp; Okonkwo, 2022). </w:t>
      </w:r>
    </w:p>
    <w:p w14:paraId="7C70629F" w14:textId="357C6720" w:rsidR="00E8320F" w:rsidRPr="0086733D" w:rsidRDefault="00E8320F" w:rsidP="0086733D">
      <w:pPr>
        <w:spacing w:before="100" w:beforeAutospacing="1" w:after="100" w:afterAutospacing="1" w:line="360" w:lineRule="auto"/>
        <w:jc w:val="both"/>
        <w:rPr>
          <w:rFonts w:ascii="Times New Roman" w:eastAsia="Times New Roman" w:hAnsi="Times New Roman" w:cs="Times New Roman"/>
          <w:sz w:val="24"/>
          <w:szCs w:val="24"/>
        </w:rPr>
      </w:pPr>
      <w:r w:rsidRPr="0086733D">
        <w:rPr>
          <w:rFonts w:ascii="Times New Roman" w:eastAsia="Times New Roman" w:hAnsi="Times New Roman" w:cs="Times New Roman"/>
          <w:b/>
          <w:bCs/>
          <w:sz w:val="24"/>
          <w:szCs w:val="24"/>
        </w:rPr>
        <w:t>Financial Management Skills</w:t>
      </w:r>
      <w:r w:rsidR="0086733D" w:rsidRPr="0086733D">
        <w:rPr>
          <w:rFonts w:ascii="Times New Roman" w:eastAsia="Times New Roman" w:hAnsi="Times New Roman" w:cs="Times New Roman"/>
          <w:b/>
          <w:bCs/>
          <w:sz w:val="24"/>
          <w:szCs w:val="24"/>
        </w:rPr>
        <w:t>, Access to Credit and SMEs Succes</w:t>
      </w:r>
    </w:p>
    <w:p w14:paraId="7E845B9A" w14:textId="7082B5A9" w:rsidR="00E8320F" w:rsidRPr="00446A45" w:rsidRDefault="00E8320F"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The literature examines the connection between access to credit and financial management skills, illustrating how financial literacy improves credit access, debt management, financial record-keeping, and credit risk mitigation (</w:t>
      </w:r>
      <w:proofErr w:type="spellStart"/>
      <w:r w:rsidRPr="00446A45">
        <w:rPr>
          <w:rFonts w:ascii="Times New Roman" w:eastAsia="Times New Roman" w:hAnsi="Times New Roman" w:cs="Times New Roman"/>
          <w:sz w:val="24"/>
          <w:szCs w:val="24"/>
        </w:rPr>
        <w:t>Fatoki</w:t>
      </w:r>
      <w:proofErr w:type="spellEnd"/>
      <w:r w:rsidRPr="00446A45">
        <w:rPr>
          <w:rFonts w:ascii="Times New Roman" w:eastAsia="Times New Roman" w:hAnsi="Times New Roman" w:cs="Times New Roman"/>
          <w:sz w:val="24"/>
          <w:szCs w:val="24"/>
        </w:rPr>
        <w:t xml:space="preserve"> &amp; Oni, 2021; OECD, 2022). Empirical studies indicate that SMEs with higher financial literacy achieve greater loan approval rates and lower default risks, with case studies from Kenya, Malaysia, and Ghana reinforcing these findings (Mwangi &amp; Wanjiru, 2022; Yusoff et al., 2023; Alhassan &amp; Sakyi-Dawson, 2023). </w:t>
      </w:r>
    </w:p>
    <w:p w14:paraId="36BB2E3D" w14:textId="61800B9B" w:rsidR="00E8320F" w:rsidRPr="00446A45" w:rsidRDefault="00E8320F"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Credit risk management strategies receive attention in the literature (Ibrahim &amp; Said, 2021; </w:t>
      </w:r>
      <w:proofErr w:type="spellStart"/>
      <w:r w:rsidRPr="00446A45">
        <w:rPr>
          <w:rFonts w:ascii="Times New Roman" w:eastAsia="Times New Roman" w:hAnsi="Times New Roman" w:cs="Times New Roman"/>
          <w:sz w:val="24"/>
          <w:szCs w:val="24"/>
        </w:rPr>
        <w:t>Fatoki</w:t>
      </w:r>
      <w:proofErr w:type="spellEnd"/>
      <w:r w:rsidRPr="00446A45">
        <w:rPr>
          <w:rFonts w:ascii="Times New Roman" w:eastAsia="Times New Roman" w:hAnsi="Times New Roman" w:cs="Times New Roman"/>
          <w:sz w:val="24"/>
          <w:szCs w:val="24"/>
        </w:rPr>
        <w:t>, 2021), but discussions do not comprehensively address how SMEs with inconsistent revenue streams and limited collateral can implement these strategies effectively. A deeper investigation into barriers to technological adoption, regulatory limitations, and adaptable credit risk management approaches suited to SMEs in different economic environments would help bridge these research gaps.</w:t>
      </w:r>
    </w:p>
    <w:p w14:paraId="45E9A769" w14:textId="08E34547" w:rsidR="00E8320F" w:rsidRPr="00446A45" w:rsidRDefault="00E8320F" w:rsidP="002911E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46A45">
        <w:rPr>
          <w:rFonts w:ascii="Times New Roman" w:eastAsia="Times New Roman" w:hAnsi="Times New Roman" w:cs="Times New Roman"/>
          <w:b/>
          <w:bCs/>
          <w:sz w:val="24"/>
          <w:szCs w:val="24"/>
        </w:rPr>
        <w:t>Investment Decision-Making</w:t>
      </w:r>
      <w:r w:rsidR="0086733D">
        <w:rPr>
          <w:rFonts w:ascii="Times New Roman" w:eastAsia="Times New Roman" w:hAnsi="Times New Roman" w:cs="Times New Roman"/>
          <w:b/>
          <w:bCs/>
          <w:sz w:val="24"/>
          <w:szCs w:val="24"/>
        </w:rPr>
        <w:t xml:space="preserve">, </w:t>
      </w:r>
      <w:r w:rsidRPr="00446A45">
        <w:rPr>
          <w:rFonts w:ascii="Times New Roman" w:eastAsia="Times New Roman" w:hAnsi="Times New Roman" w:cs="Times New Roman"/>
          <w:b/>
          <w:bCs/>
          <w:sz w:val="24"/>
          <w:szCs w:val="24"/>
        </w:rPr>
        <w:t>Risk Management</w:t>
      </w:r>
      <w:r w:rsidR="0086733D">
        <w:rPr>
          <w:rFonts w:ascii="Times New Roman" w:eastAsia="Times New Roman" w:hAnsi="Times New Roman" w:cs="Times New Roman"/>
          <w:b/>
          <w:bCs/>
          <w:sz w:val="24"/>
          <w:szCs w:val="24"/>
        </w:rPr>
        <w:t xml:space="preserve"> </w:t>
      </w:r>
      <w:bookmarkStart w:id="10" w:name="_Hlk192327879"/>
      <w:r w:rsidR="0086733D">
        <w:rPr>
          <w:rFonts w:ascii="Times New Roman" w:eastAsia="Times New Roman" w:hAnsi="Times New Roman" w:cs="Times New Roman"/>
          <w:b/>
          <w:bCs/>
          <w:sz w:val="24"/>
          <w:szCs w:val="24"/>
        </w:rPr>
        <w:t xml:space="preserve">and SMEs Success </w:t>
      </w:r>
      <w:bookmarkEnd w:id="10"/>
    </w:p>
    <w:p w14:paraId="2FC84B66" w14:textId="77777777" w:rsidR="00E8320F" w:rsidRPr="00446A45" w:rsidRDefault="00E8320F"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The literature highlights the role of financial literacy in guiding investment decision-making and risk management among SMEs, demonstrating its contribution to profitability, financial risk mitigation, and long-term business sustainability (OECD, 2022; Gherghina &amp; Duca, 2023). While research establishes a connection between financial literacy and improved investment choices, limited analysis exists on how varying levels of financial knowledge influence specific investment </w:t>
      </w:r>
      <w:r w:rsidRPr="00446A45">
        <w:rPr>
          <w:rFonts w:ascii="Times New Roman" w:eastAsia="Times New Roman" w:hAnsi="Times New Roman" w:cs="Times New Roman"/>
          <w:sz w:val="24"/>
          <w:szCs w:val="24"/>
        </w:rPr>
        <w:lastRenderedPageBreak/>
        <w:t>decisions (</w:t>
      </w:r>
      <w:proofErr w:type="spellStart"/>
      <w:r w:rsidRPr="00446A45">
        <w:rPr>
          <w:rFonts w:ascii="Times New Roman" w:eastAsia="Times New Roman" w:hAnsi="Times New Roman" w:cs="Times New Roman"/>
          <w:sz w:val="24"/>
          <w:szCs w:val="24"/>
        </w:rPr>
        <w:t>Eniola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Entebang</w:t>
      </w:r>
      <w:proofErr w:type="spellEnd"/>
      <w:r w:rsidRPr="00446A45">
        <w:rPr>
          <w:rFonts w:ascii="Times New Roman" w:eastAsia="Times New Roman" w:hAnsi="Times New Roman" w:cs="Times New Roman"/>
          <w:sz w:val="24"/>
          <w:szCs w:val="24"/>
        </w:rPr>
        <w:t>, 2021; Ibrahim &amp; Said, 2021). Financial education enhances investment outcomes, yet studies provide little insight into the long-term effects of such training beyond initial profitability improvements (Rahman et al., 2021; Yusoff et al., 2023).</w:t>
      </w:r>
    </w:p>
    <w:p w14:paraId="3201633E" w14:textId="4FE6D71B" w:rsidR="00E8320F" w:rsidRPr="00446A45" w:rsidRDefault="00E8320F"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Risk assessment and mitigation strategies address a range of financial threats, but discussions on SMEs' ability to adapt to rapidly changing financial risks</w:t>
      </w:r>
      <w:r w:rsidR="00620894">
        <w:rPr>
          <w:rFonts w:ascii="Times New Roman" w:eastAsia="Times New Roman" w:hAnsi="Times New Roman" w:cs="Times New Roman"/>
          <w:sz w:val="24"/>
          <w:szCs w:val="24"/>
        </w:rPr>
        <w:t xml:space="preserve"> </w:t>
      </w:r>
      <w:r w:rsidRPr="00446A45">
        <w:rPr>
          <w:rFonts w:ascii="Times New Roman" w:eastAsia="Times New Roman" w:hAnsi="Times New Roman" w:cs="Times New Roman"/>
          <w:sz w:val="24"/>
          <w:szCs w:val="24"/>
        </w:rPr>
        <w:t>remain insufficient (Tan et al., 2022; Adebayo &amp; Okonkwo, 2022). Diversification supports financial resilience, though research does not extensively explore the obstacles SMEs encounter in securing resources for diversification (Gherghina &amp; Duca, 2023; Rahman et al., 2021). Return on investment (ROI) evaluation receives recognition, yet there is minimal discussion on how SMEs with limited financial expertise can use technological tools for more efficient investment tracking (</w:t>
      </w:r>
      <w:proofErr w:type="spellStart"/>
      <w:r w:rsidRPr="00446A45">
        <w:rPr>
          <w:rFonts w:ascii="Times New Roman" w:eastAsia="Times New Roman" w:hAnsi="Times New Roman" w:cs="Times New Roman"/>
          <w:sz w:val="24"/>
          <w:szCs w:val="24"/>
        </w:rPr>
        <w:t>Fatoki</w:t>
      </w:r>
      <w:proofErr w:type="spellEnd"/>
      <w:r w:rsidRPr="00446A45">
        <w:rPr>
          <w:rFonts w:ascii="Times New Roman" w:eastAsia="Times New Roman" w:hAnsi="Times New Roman" w:cs="Times New Roman"/>
          <w:sz w:val="24"/>
          <w:szCs w:val="24"/>
        </w:rPr>
        <w:t xml:space="preserve"> &amp; Oni, 2021; OECD, 2022). Expanding research on these areas would enhance the understanding of SME investment and risk management complexities, ensuring broader applicability across diverse business environments.</w:t>
      </w:r>
    </w:p>
    <w:p w14:paraId="3CBD937B" w14:textId="11E56546" w:rsidR="003F3F0E" w:rsidRPr="00446A45" w:rsidRDefault="003F3F0E" w:rsidP="002911E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46A45">
        <w:rPr>
          <w:rFonts w:ascii="Times New Roman" w:eastAsia="Times New Roman" w:hAnsi="Times New Roman" w:cs="Times New Roman"/>
          <w:b/>
          <w:bCs/>
          <w:sz w:val="24"/>
          <w:szCs w:val="24"/>
        </w:rPr>
        <w:t xml:space="preserve">Cash Flow Management and </w:t>
      </w:r>
      <w:r w:rsidR="0086733D">
        <w:rPr>
          <w:rFonts w:ascii="Times New Roman" w:eastAsia="Times New Roman" w:hAnsi="Times New Roman" w:cs="Times New Roman"/>
          <w:b/>
          <w:bCs/>
          <w:sz w:val="24"/>
          <w:szCs w:val="24"/>
        </w:rPr>
        <w:t>SMEs Success</w:t>
      </w:r>
    </w:p>
    <w:p w14:paraId="4FCFB8BD" w14:textId="77777777" w:rsidR="003F3F0E" w:rsidRPr="00446A45" w:rsidRDefault="003F3F0E"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The literature extensively examines the role of cash flow management in sustaining SMEs, enhancing profitability, and supporting business growth (OECD, 2022; Gherghina &amp; Duca, 2023). Empirical findings highlight the importance of structured cash flow planning, with case studies from Kenya and South Africa illustrating its contribution to financial stability and business resilience (Mwangi &amp; Wanjiru, 2022; Adebayo &amp; Okonkwo, 2022). Financial literacy and technological advancements, including digital payment systems and cloud-based accounting, receive significant attention, yet discussions do not sufficiently address the </w:t>
      </w:r>
      <w:proofErr w:type="spellStart"/>
      <w:r w:rsidRPr="00446A45">
        <w:rPr>
          <w:rFonts w:ascii="Times New Roman" w:eastAsia="Times New Roman" w:hAnsi="Times New Roman" w:cs="Times New Roman"/>
          <w:sz w:val="24"/>
          <w:szCs w:val="24"/>
        </w:rPr>
        <w:t>behavioural</w:t>
      </w:r>
      <w:proofErr w:type="spellEnd"/>
      <w:r w:rsidRPr="00446A45">
        <w:rPr>
          <w:rFonts w:ascii="Times New Roman" w:eastAsia="Times New Roman" w:hAnsi="Times New Roman" w:cs="Times New Roman"/>
          <w:sz w:val="24"/>
          <w:szCs w:val="24"/>
        </w:rPr>
        <w:t xml:space="preserve"> and psychological aspects of cash flow management that influence decision-making among SME owners (</w:t>
      </w:r>
      <w:proofErr w:type="spellStart"/>
      <w:r w:rsidRPr="00446A45">
        <w:rPr>
          <w:rFonts w:ascii="Times New Roman" w:eastAsia="Times New Roman" w:hAnsi="Times New Roman" w:cs="Times New Roman"/>
          <w:sz w:val="24"/>
          <w:szCs w:val="24"/>
        </w:rPr>
        <w:t>Kristanto</w:t>
      </w:r>
      <w:proofErr w:type="spellEnd"/>
      <w:r w:rsidRPr="00446A45">
        <w:rPr>
          <w:rFonts w:ascii="Times New Roman" w:eastAsia="Times New Roman" w:hAnsi="Times New Roman" w:cs="Times New Roman"/>
          <w:sz w:val="24"/>
          <w:szCs w:val="24"/>
        </w:rPr>
        <w:t xml:space="preserve">, 2022; </w:t>
      </w:r>
      <w:proofErr w:type="spellStart"/>
      <w:r w:rsidRPr="00446A45">
        <w:rPr>
          <w:rFonts w:ascii="Times New Roman" w:eastAsia="Times New Roman" w:hAnsi="Times New Roman" w:cs="Times New Roman"/>
          <w:sz w:val="24"/>
          <w:szCs w:val="24"/>
        </w:rPr>
        <w:t>Yusoff</w:t>
      </w:r>
      <w:proofErr w:type="spellEnd"/>
      <w:r w:rsidRPr="00446A45">
        <w:rPr>
          <w:rFonts w:ascii="Times New Roman" w:eastAsia="Times New Roman" w:hAnsi="Times New Roman" w:cs="Times New Roman"/>
          <w:sz w:val="24"/>
          <w:szCs w:val="24"/>
        </w:rPr>
        <w:t xml:space="preserve"> et al., 2023).</w:t>
      </w:r>
    </w:p>
    <w:p w14:paraId="6EEF14E8" w14:textId="77777777" w:rsidR="003F3F0E" w:rsidRPr="00446A45" w:rsidRDefault="003F3F0E"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Financial literacy positively impacts cash flow efficiency, but there is minimal exploration of how socio-cultural influences and entrepreneurial mindsets shape financial decision-making processes (Rahman et al., 2021; Alhassan &amp; Sakyi-Dawson, 2023). Research from Malaysia and Ghana focuses on financial training initiatives but does not examine their long-term effects on business scalability and profitability beyond cash flow </w:t>
      </w:r>
      <w:proofErr w:type="spellStart"/>
      <w:r w:rsidRPr="00446A45">
        <w:rPr>
          <w:rFonts w:ascii="Times New Roman" w:eastAsia="Times New Roman" w:hAnsi="Times New Roman" w:cs="Times New Roman"/>
          <w:sz w:val="24"/>
          <w:szCs w:val="24"/>
        </w:rPr>
        <w:t>optimisation</w:t>
      </w:r>
      <w:proofErr w:type="spellEnd"/>
      <w:r w:rsidRPr="00446A45">
        <w:rPr>
          <w:rFonts w:ascii="Times New Roman" w:eastAsia="Times New Roman" w:hAnsi="Times New Roman" w:cs="Times New Roman"/>
          <w:sz w:val="24"/>
          <w:szCs w:val="24"/>
        </w:rPr>
        <w:t xml:space="preserve"> (</w:t>
      </w:r>
      <w:proofErr w:type="spellStart"/>
      <w:r w:rsidRPr="00446A45">
        <w:rPr>
          <w:rFonts w:ascii="Times New Roman" w:eastAsia="Times New Roman" w:hAnsi="Times New Roman" w:cs="Times New Roman"/>
          <w:sz w:val="24"/>
          <w:szCs w:val="24"/>
        </w:rPr>
        <w:t>Eniola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Entebang</w:t>
      </w:r>
      <w:proofErr w:type="spellEnd"/>
      <w:r w:rsidRPr="00446A45">
        <w:rPr>
          <w:rFonts w:ascii="Times New Roman" w:eastAsia="Times New Roman" w:hAnsi="Times New Roman" w:cs="Times New Roman"/>
          <w:sz w:val="24"/>
          <w:szCs w:val="24"/>
        </w:rPr>
        <w:t xml:space="preserve">, 2021; Maseko &amp; </w:t>
      </w:r>
      <w:proofErr w:type="spellStart"/>
      <w:r w:rsidRPr="00446A45">
        <w:rPr>
          <w:rFonts w:ascii="Times New Roman" w:eastAsia="Times New Roman" w:hAnsi="Times New Roman" w:cs="Times New Roman"/>
          <w:sz w:val="24"/>
          <w:szCs w:val="24"/>
        </w:rPr>
        <w:t>Manyani</w:t>
      </w:r>
      <w:proofErr w:type="spellEnd"/>
      <w:r w:rsidRPr="00446A45">
        <w:rPr>
          <w:rFonts w:ascii="Times New Roman" w:eastAsia="Times New Roman" w:hAnsi="Times New Roman" w:cs="Times New Roman"/>
          <w:sz w:val="24"/>
          <w:szCs w:val="24"/>
        </w:rPr>
        <w:t xml:space="preserve">, 2022). Discussions on financial inclusion and SME access to credit in developing </w:t>
      </w:r>
      <w:r w:rsidRPr="00446A45">
        <w:rPr>
          <w:rFonts w:ascii="Times New Roman" w:eastAsia="Times New Roman" w:hAnsi="Times New Roman" w:cs="Times New Roman"/>
          <w:sz w:val="24"/>
          <w:szCs w:val="24"/>
        </w:rPr>
        <w:lastRenderedPageBreak/>
        <w:t xml:space="preserve">economies acknowledge structural challenges but do not provide a detailed analysis of policy frameworks and institutional inefficiencies that exacerbate cash flow constraints (Ibrahim &amp; Said, 2021; </w:t>
      </w:r>
      <w:proofErr w:type="spellStart"/>
      <w:r w:rsidRPr="00446A45">
        <w:rPr>
          <w:rFonts w:ascii="Times New Roman" w:eastAsia="Times New Roman" w:hAnsi="Times New Roman" w:cs="Times New Roman"/>
          <w:sz w:val="24"/>
          <w:szCs w:val="24"/>
        </w:rPr>
        <w:t>Fatoki</w:t>
      </w:r>
      <w:proofErr w:type="spellEnd"/>
      <w:r w:rsidRPr="00446A45">
        <w:rPr>
          <w:rFonts w:ascii="Times New Roman" w:eastAsia="Times New Roman" w:hAnsi="Times New Roman" w:cs="Times New Roman"/>
          <w:sz w:val="24"/>
          <w:szCs w:val="24"/>
        </w:rPr>
        <w:t xml:space="preserve"> &amp; Oni, 2021). Expanding research on SME cash flow sustainability requires a more holistic approach that integrates </w:t>
      </w:r>
      <w:proofErr w:type="spellStart"/>
      <w:r w:rsidRPr="00446A45">
        <w:rPr>
          <w:rFonts w:ascii="Times New Roman" w:eastAsia="Times New Roman" w:hAnsi="Times New Roman" w:cs="Times New Roman"/>
          <w:sz w:val="24"/>
          <w:szCs w:val="24"/>
        </w:rPr>
        <w:t>behavioural</w:t>
      </w:r>
      <w:proofErr w:type="spellEnd"/>
      <w:r w:rsidRPr="00446A45">
        <w:rPr>
          <w:rFonts w:ascii="Times New Roman" w:eastAsia="Times New Roman" w:hAnsi="Times New Roman" w:cs="Times New Roman"/>
          <w:sz w:val="24"/>
          <w:szCs w:val="24"/>
        </w:rPr>
        <w:t xml:space="preserve"> finance, policy-driven solutions, and longitudinal assessments of financial literacy outcomes.</w:t>
      </w:r>
    </w:p>
    <w:p w14:paraId="6501F7D9" w14:textId="77A88262" w:rsidR="003F3F0E" w:rsidRPr="00446A45" w:rsidRDefault="003F3F0E" w:rsidP="002911E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46A45">
        <w:rPr>
          <w:rFonts w:ascii="Times New Roman" w:eastAsia="Times New Roman" w:hAnsi="Times New Roman" w:cs="Times New Roman"/>
          <w:b/>
          <w:bCs/>
          <w:sz w:val="24"/>
          <w:szCs w:val="24"/>
        </w:rPr>
        <w:t xml:space="preserve">Digital Financial Literacy </w:t>
      </w:r>
      <w:r w:rsidR="0086733D">
        <w:rPr>
          <w:rFonts w:ascii="Times New Roman" w:eastAsia="Times New Roman" w:hAnsi="Times New Roman" w:cs="Times New Roman"/>
          <w:b/>
          <w:bCs/>
          <w:sz w:val="24"/>
          <w:szCs w:val="24"/>
        </w:rPr>
        <w:t>and SME Success</w:t>
      </w:r>
    </w:p>
    <w:p w14:paraId="178E2B82" w14:textId="77777777" w:rsidR="003F3F0E" w:rsidRPr="00446A45" w:rsidRDefault="003F3F0E"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The literature </w:t>
      </w:r>
      <w:proofErr w:type="spellStart"/>
      <w:r w:rsidRPr="00446A45">
        <w:rPr>
          <w:rFonts w:ascii="Times New Roman" w:eastAsia="Times New Roman" w:hAnsi="Times New Roman" w:cs="Times New Roman"/>
          <w:sz w:val="24"/>
          <w:szCs w:val="24"/>
        </w:rPr>
        <w:t>emphasises</w:t>
      </w:r>
      <w:proofErr w:type="spellEnd"/>
      <w:r w:rsidRPr="00446A45">
        <w:rPr>
          <w:rFonts w:ascii="Times New Roman" w:eastAsia="Times New Roman" w:hAnsi="Times New Roman" w:cs="Times New Roman"/>
          <w:sz w:val="24"/>
          <w:szCs w:val="24"/>
        </w:rPr>
        <w:t xml:space="preserve"> the importance of digital financial literacy in strengthening SME financial management and operational efficiency, though several key areas remain unexplored. Research highlights how digital payment adoption contributes to sales growth and financial inclusion (</w:t>
      </w:r>
      <w:proofErr w:type="spellStart"/>
      <w:r w:rsidRPr="00446A45">
        <w:rPr>
          <w:rFonts w:ascii="Times New Roman" w:eastAsia="Times New Roman" w:hAnsi="Times New Roman" w:cs="Times New Roman"/>
          <w:sz w:val="24"/>
          <w:szCs w:val="24"/>
        </w:rPr>
        <w:t>Kristanto</w:t>
      </w:r>
      <w:proofErr w:type="spellEnd"/>
      <w:r w:rsidRPr="00446A45">
        <w:rPr>
          <w:rFonts w:ascii="Times New Roman" w:eastAsia="Times New Roman" w:hAnsi="Times New Roman" w:cs="Times New Roman"/>
          <w:sz w:val="24"/>
          <w:szCs w:val="24"/>
        </w:rPr>
        <w:t>, 2022; Mwangi &amp; Wanjiru, 2022; Tan et al., 2022), yet discussions do not adequately address how SMEs in rural areas with limited digital infrastructure can effectively transition to such systems (</w:t>
      </w:r>
      <w:proofErr w:type="spellStart"/>
      <w:r w:rsidRPr="00446A45">
        <w:rPr>
          <w:rFonts w:ascii="Times New Roman" w:eastAsia="Times New Roman" w:hAnsi="Times New Roman" w:cs="Times New Roman"/>
          <w:sz w:val="24"/>
          <w:szCs w:val="24"/>
        </w:rPr>
        <w:t>Eniola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Entebang</w:t>
      </w:r>
      <w:proofErr w:type="spellEnd"/>
      <w:r w:rsidRPr="00446A45">
        <w:rPr>
          <w:rFonts w:ascii="Times New Roman" w:eastAsia="Times New Roman" w:hAnsi="Times New Roman" w:cs="Times New Roman"/>
          <w:sz w:val="24"/>
          <w:szCs w:val="24"/>
        </w:rPr>
        <w:t>, 2021). FinTech solutions enhance SME access to credit and improve financial decision-making (Alhassan &amp; Sakyi-Dawson, 2023; Gherghina &amp; Duca, 2023), but studies do not sufficiently consider the regulatory and operational barriers SMEs encounter when adopting emerging technologies such as blockchain and AI-driven analytics (Ibrahim &amp; Said, 2021).</w:t>
      </w:r>
    </w:p>
    <w:p w14:paraId="5551CA7C" w14:textId="65D6F8A1" w:rsidR="00E8320F" w:rsidRPr="00446A45" w:rsidRDefault="003F3F0E"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Online banking and mobile money services have improved SME liquidity and operational processes (Mwangi &amp; Wanjiru, 2022; Adebayo &amp; Okonkwo, 2022), yet discussions do not fully explore policy measures needed to reduce transaction costs and enhance service reliability in underdeveloped regions (</w:t>
      </w:r>
      <w:proofErr w:type="spellStart"/>
      <w:r w:rsidRPr="00446A45">
        <w:rPr>
          <w:rFonts w:ascii="Times New Roman" w:eastAsia="Times New Roman" w:hAnsi="Times New Roman" w:cs="Times New Roman"/>
          <w:sz w:val="24"/>
          <w:szCs w:val="24"/>
        </w:rPr>
        <w:t>Eniola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Entebang</w:t>
      </w:r>
      <w:proofErr w:type="spellEnd"/>
      <w:r w:rsidRPr="00446A45">
        <w:rPr>
          <w:rFonts w:ascii="Times New Roman" w:eastAsia="Times New Roman" w:hAnsi="Times New Roman" w:cs="Times New Roman"/>
          <w:sz w:val="24"/>
          <w:szCs w:val="24"/>
        </w:rPr>
        <w:t xml:space="preserve">, 2021). Strengthening digital financial literacy requires targeted policy interventions, strategic infrastructure investments, and </w:t>
      </w:r>
      <w:proofErr w:type="spellStart"/>
      <w:r w:rsidRPr="00446A45">
        <w:rPr>
          <w:rFonts w:ascii="Times New Roman" w:eastAsia="Times New Roman" w:hAnsi="Times New Roman" w:cs="Times New Roman"/>
          <w:sz w:val="24"/>
          <w:szCs w:val="24"/>
        </w:rPr>
        <w:t>customised</w:t>
      </w:r>
      <w:proofErr w:type="spellEnd"/>
      <w:r w:rsidRPr="00446A45">
        <w:rPr>
          <w:rFonts w:ascii="Times New Roman" w:eastAsia="Times New Roman" w:hAnsi="Times New Roman" w:cs="Times New Roman"/>
          <w:sz w:val="24"/>
          <w:szCs w:val="24"/>
        </w:rPr>
        <w:t xml:space="preserve"> training </w:t>
      </w:r>
      <w:proofErr w:type="spellStart"/>
      <w:r w:rsidRPr="00446A45">
        <w:rPr>
          <w:rFonts w:ascii="Times New Roman" w:eastAsia="Times New Roman" w:hAnsi="Times New Roman" w:cs="Times New Roman"/>
          <w:sz w:val="24"/>
          <w:szCs w:val="24"/>
        </w:rPr>
        <w:t>programmes</w:t>
      </w:r>
      <w:proofErr w:type="spellEnd"/>
      <w:r w:rsidRPr="00446A45">
        <w:rPr>
          <w:rFonts w:ascii="Times New Roman" w:eastAsia="Times New Roman" w:hAnsi="Times New Roman" w:cs="Times New Roman"/>
          <w:sz w:val="24"/>
          <w:szCs w:val="24"/>
        </w:rPr>
        <w:t xml:space="preserve"> to </w:t>
      </w:r>
      <w:proofErr w:type="spellStart"/>
      <w:r w:rsidRPr="00446A45">
        <w:rPr>
          <w:rFonts w:ascii="Times New Roman" w:eastAsia="Times New Roman" w:hAnsi="Times New Roman" w:cs="Times New Roman"/>
          <w:sz w:val="24"/>
          <w:szCs w:val="24"/>
        </w:rPr>
        <w:t>maximise</w:t>
      </w:r>
      <w:proofErr w:type="spellEnd"/>
      <w:r w:rsidRPr="00446A45">
        <w:rPr>
          <w:rFonts w:ascii="Times New Roman" w:eastAsia="Times New Roman" w:hAnsi="Times New Roman" w:cs="Times New Roman"/>
          <w:sz w:val="24"/>
          <w:szCs w:val="24"/>
        </w:rPr>
        <w:t xml:space="preserve"> the benefits of digital financial tools while ensuring long-term SME sustainability (OECD, 2022; Gherghina &amp; Duca, 2023).</w:t>
      </w:r>
    </w:p>
    <w:p w14:paraId="78450C6D" w14:textId="3937BAF3" w:rsidR="003F3F0E" w:rsidRPr="00446A45" w:rsidRDefault="003F3F0E" w:rsidP="002911E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46A45">
        <w:rPr>
          <w:rFonts w:ascii="Times New Roman" w:eastAsia="Times New Roman" w:hAnsi="Times New Roman" w:cs="Times New Roman"/>
          <w:b/>
          <w:bCs/>
          <w:sz w:val="24"/>
          <w:szCs w:val="24"/>
        </w:rPr>
        <w:t>Tax Compliance</w:t>
      </w:r>
      <w:r w:rsidR="00B11199">
        <w:rPr>
          <w:rFonts w:ascii="Times New Roman" w:eastAsia="Times New Roman" w:hAnsi="Times New Roman" w:cs="Times New Roman"/>
          <w:b/>
          <w:bCs/>
          <w:sz w:val="24"/>
          <w:szCs w:val="24"/>
        </w:rPr>
        <w:t xml:space="preserve">, </w:t>
      </w:r>
      <w:r w:rsidRPr="00446A45">
        <w:rPr>
          <w:rFonts w:ascii="Times New Roman" w:eastAsia="Times New Roman" w:hAnsi="Times New Roman" w:cs="Times New Roman"/>
          <w:b/>
          <w:bCs/>
          <w:sz w:val="24"/>
          <w:szCs w:val="24"/>
        </w:rPr>
        <w:t>Financial Regulations Awareness</w:t>
      </w:r>
      <w:r w:rsidR="00B11199">
        <w:rPr>
          <w:rFonts w:ascii="Times New Roman" w:eastAsia="Times New Roman" w:hAnsi="Times New Roman" w:cs="Times New Roman"/>
          <w:b/>
          <w:bCs/>
          <w:sz w:val="24"/>
          <w:szCs w:val="24"/>
        </w:rPr>
        <w:t xml:space="preserve"> and SMEs Success</w:t>
      </w:r>
    </w:p>
    <w:p w14:paraId="0BFAB493" w14:textId="4D78025E" w:rsidR="003F3F0E" w:rsidRPr="00446A45" w:rsidRDefault="003F3F0E"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The literature examines the importance of tax compliance and financial literacy in promoting SME sustainability, yet several practical challenges remain underexplored across different economic settings. Strengthening tax compliance enhances financial credibility and improves access to credit </w:t>
      </w:r>
      <w:r w:rsidRPr="00446A45">
        <w:rPr>
          <w:rFonts w:ascii="Times New Roman" w:eastAsia="Times New Roman" w:hAnsi="Times New Roman" w:cs="Times New Roman"/>
          <w:sz w:val="24"/>
          <w:szCs w:val="24"/>
        </w:rPr>
        <w:lastRenderedPageBreak/>
        <w:t xml:space="preserve">(Silva &amp; Ferreira, 2022), but limited tax education and the high costs associated with compliance continue to impede SMEs in various regions (Muriithi, 2022; Waweru &amp; Ngugi, 2021). </w:t>
      </w:r>
    </w:p>
    <w:p w14:paraId="649A51AC" w14:textId="65ABDA84" w:rsidR="00E8320F" w:rsidRPr="00446A45" w:rsidRDefault="003F3F0E"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Financial literacy </w:t>
      </w:r>
      <w:proofErr w:type="spellStart"/>
      <w:r w:rsidRPr="00446A45">
        <w:rPr>
          <w:rFonts w:ascii="Times New Roman" w:eastAsia="Times New Roman" w:hAnsi="Times New Roman" w:cs="Times New Roman"/>
          <w:sz w:val="24"/>
          <w:szCs w:val="24"/>
        </w:rPr>
        <w:t>programmes</w:t>
      </w:r>
      <w:proofErr w:type="spellEnd"/>
      <w:r w:rsidRPr="00446A45">
        <w:rPr>
          <w:rFonts w:ascii="Times New Roman" w:eastAsia="Times New Roman" w:hAnsi="Times New Roman" w:cs="Times New Roman"/>
          <w:sz w:val="24"/>
          <w:szCs w:val="24"/>
        </w:rPr>
        <w:t xml:space="preserve"> have proven effective in countries such as Indonesia (Sari &amp; Hermanto, 2021) and Nigeria (Olawale &amp; </w:t>
      </w:r>
      <w:proofErr w:type="spellStart"/>
      <w:r w:rsidRPr="00446A45">
        <w:rPr>
          <w:rFonts w:ascii="Times New Roman" w:eastAsia="Times New Roman" w:hAnsi="Times New Roman" w:cs="Times New Roman"/>
          <w:sz w:val="24"/>
          <w:szCs w:val="24"/>
        </w:rPr>
        <w:t>Garwe</w:t>
      </w:r>
      <w:proofErr w:type="spellEnd"/>
      <w:r w:rsidRPr="00446A45">
        <w:rPr>
          <w:rFonts w:ascii="Times New Roman" w:eastAsia="Times New Roman" w:hAnsi="Times New Roman" w:cs="Times New Roman"/>
          <w:sz w:val="24"/>
          <w:szCs w:val="24"/>
        </w:rPr>
        <w:t>, 2022), but there is a lack of comparative studies evaluating their long-term impact across different regulatory frameworks. Tax incentives designed to encourage compliance among SMEs receive attention in the literature (World Bank, 2021), though further analysis is required to determine their success in reducing informality, particularly in economies where enforcement mechanisms remain weak (Gashi et al., 2021). Enhancing SME compliance and economic contributions requires targeted financial training, policy adjustments, and the development of accessible digital tax solutions.</w:t>
      </w:r>
    </w:p>
    <w:p w14:paraId="0DE93A0D" w14:textId="77777777" w:rsidR="00E8320F" w:rsidRPr="00446A45" w:rsidRDefault="00E8320F" w:rsidP="002911E6">
      <w:pPr>
        <w:spacing w:before="100" w:beforeAutospacing="1" w:after="100" w:afterAutospacing="1" w:line="360" w:lineRule="auto"/>
        <w:jc w:val="both"/>
        <w:rPr>
          <w:rFonts w:ascii="Arial" w:eastAsia="Times New Roman" w:hAnsi="Arial" w:cs="Arial"/>
          <w:vanish/>
          <w:sz w:val="16"/>
          <w:szCs w:val="16"/>
        </w:rPr>
      </w:pPr>
    </w:p>
    <w:p w14:paraId="287A2D84" w14:textId="01758D57" w:rsidR="00F56A48" w:rsidRPr="00446A45" w:rsidRDefault="00F56A48" w:rsidP="002911E6">
      <w:pPr>
        <w:spacing w:before="100" w:beforeAutospacing="1" w:after="100" w:afterAutospacing="1" w:line="360" w:lineRule="auto"/>
        <w:jc w:val="both"/>
        <w:rPr>
          <w:rFonts w:ascii="Times New Roman" w:eastAsia="Times New Roman" w:hAnsi="Times New Roman" w:cs="Times New Roman"/>
          <w:b/>
          <w:bCs/>
          <w:sz w:val="24"/>
          <w:szCs w:val="24"/>
        </w:rPr>
      </w:pPr>
      <w:r w:rsidRPr="00446A45">
        <w:rPr>
          <w:rFonts w:ascii="Times New Roman" w:eastAsia="Times New Roman" w:hAnsi="Times New Roman" w:cs="Times New Roman"/>
          <w:b/>
          <w:bCs/>
          <w:sz w:val="24"/>
          <w:szCs w:val="24"/>
        </w:rPr>
        <w:t xml:space="preserve">Conclusion </w:t>
      </w:r>
    </w:p>
    <w:p w14:paraId="10A9DCA8" w14:textId="77777777" w:rsidR="003F3F0E" w:rsidRPr="00446A45" w:rsidRDefault="003F3F0E"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Ensuring tax compliance and financial regulation awareness is fundamental to SME stability and expansion, yet challenges such as inadequate financial literacy, intricate regulatory systems, and high compliance expenses continue to hinder adherence to legal obligations. SMEs with a clear understanding of tax responsibilities gain advantages in financial management, improved funding access, and enhanced business credibility. Limited tax education and administrative inefficiencies contribute to persistent non-compliance, particularly in developing economies where regulatory enforcement remains inconsistent. While digital tax systems and financial literacy initiatives have demonstrated effectiveness in boosting compliance rates, their success varies depending on economic conditions.</w:t>
      </w:r>
    </w:p>
    <w:p w14:paraId="42DE9217" w14:textId="6038743B" w:rsidR="003F3F0E" w:rsidRPr="00446A45" w:rsidRDefault="003F3F0E" w:rsidP="002911E6">
      <w:pPr>
        <w:spacing w:before="100" w:beforeAutospacing="1" w:after="100" w:afterAutospacing="1" w:line="360" w:lineRule="auto"/>
        <w:jc w:val="both"/>
        <w:rPr>
          <w:rStyle w:val="Strong"/>
          <w:rFonts w:ascii="Times New Roman" w:eastAsia="Times New Roman" w:hAnsi="Times New Roman" w:cs="Times New Roman"/>
          <w:b w:val="0"/>
          <w:bCs w:val="0"/>
          <w:sz w:val="24"/>
          <w:szCs w:val="24"/>
        </w:rPr>
      </w:pPr>
      <w:r w:rsidRPr="00446A45">
        <w:rPr>
          <w:rFonts w:ascii="Times New Roman" w:eastAsia="Times New Roman" w:hAnsi="Times New Roman" w:cs="Times New Roman"/>
          <w:sz w:val="24"/>
          <w:szCs w:val="24"/>
        </w:rPr>
        <w:t xml:space="preserve">Addressing these issues requires a well-structured approach that simplifies tax policies, promotes regulatory transparency, and integrates financial education into SME development </w:t>
      </w:r>
      <w:proofErr w:type="spellStart"/>
      <w:r w:rsidRPr="00446A45">
        <w:rPr>
          <w:rFonts w:ascii="Times New Roman" w:eastAsia="Times New Roman" w:hAnsi="Times New Roman" w:cs="Times New Roman"/>
          <w:sz w:val="24"/>
          <w:szCs w:val="24"/>
        </w:rPr>
        <w:t>programmes</w:t>
      </w:r>
      <w:proofErr w:type="spellEnd"/>
      <w:r w:rsidRPr="00446A45">
        <w:rPr>
          <w:rFonts w:ascii="Times New Roman" w:eastAsia="Times New Roman" w:hAnsi="Times New Roman" w:cs="Times New Roman"/>
          <w:sz w:val="24"/>
          <w:szCs w:val="24"/>
        </w:rPr>
        <w:t xml:space="preserve">. Governments and financial institutions should </w:t>
      </w:r>
      <w:proofErr w:type="spellStart"/>
      <w:r w:rsidRPr="00446A45">
        <w:rPr>
          <w:rFonts w:ascii="Times New Roman" w:eastAsia="Times New Roman" w:hAnsi="Times New Roman" w:cs="Times New Roman"/>
          <w:sz w:val="24"/>
          <w:szCs w:val="24"/>
        </w:rPr>
        <w:t>prioritise</w:t>
      </w:r>
      <w:proofErr w:type="spellEnd"/>
      <w:r w:rsidRPr="00446A45">
        <w:rPr>
          <w:rFonts w:ascii="Times New Roman" w:eastAsia="Times New Roman" w:hAnsi="Times New Roman" w:cs="Times New Roman"/>
          <w:sz w:val="24"/>
          <w:szCs w:val="24"/>
        </w:rPr>
        <w:t xml:space="preserve"> the creation of accessible digital tax platforms that </w:t>
      </w:r>
      <w:proofErr w:type="spellStart"/>
      <w:r w:rsidRPr="00446A45">
        <w:rPr>
          <w:rFonts w:ascii="Times New Roman" w:eastAsia="Times New Roman" w:hAnsi="Times New Roman" w:cs="Times New Roman"/>
          <w:sz w:val="24"/>
          <w:szCs w:val="24"/>
        </w:rPr>
        <w:t>minimise</w:t>
      </w:r>
      <w:proofErr w:type="spellEnd"/>
      <w:r w:rsidRPr="00446A45">
        <w:rPr>
          <w:rFonts w:ascii="Times New Roman" w:eastAsia="Times New Roman" w:hAnsi="Times New Roman" w:cs="Times New Roman"/>
          <w:sz w:val="24"/>
          <w:szCs w:val="24"/>
        </w:rPr>
        <w:t xml:space="preserve"> administrative complexities and facilitate compliance. Offering targeted tax incentives can encourage </w:t>
      </w:r>
      <w:proofErr w:type="spellStart"/>
      <w:r w:rsidRPr="00446A45">
        <w:rPr>
          <w:rFonts w:ascii="Times New Roman" w:eastAsia="Times New Roman" w:hAnsi="Times New Roman" w:cs="Times New Roman"/>
          <w:sz w:val="24"/>
          <w:szCs w:val="24"/>
        </w:rPr>
        <w:t>formalisation</w:t>
      </w:r>
      <w:proofErr w:type="spellEnd"/>
      <w:r w:rsidRPr="00446A45">
        <w:rPr>
          <w:rFonts w:ascii="Times New Roman" w:eastAsia="Times New Roman" w:hAnsi="Times New Roman" w:cs="Times New Roman"/>
          <w:sz w:val="24"/>
          <w:szCs w:val="24"/>
        </w:rPr>
        <w:t xml:space="preserve"> and greater economic participation while alleviating financial pressures associated with compliance requirements. Strengthening financial technology integration, reducing bureaucratic inefficiencies, and expanding financial education </w:t>
      </w:r>
      <w:proofErr w:type="spellStart"/>
      <w:r w:rsidRPr="00446A45">
        <w:rPr>
          <w:rFonts w:ascii="Times New Roman" w:eastAsia="Times New Roman" w:hAnsi="Times New Roman" w:cs="Times New Roman"/>
          <w:sz w:val="24"/>
          <w:szCs w:val="24"/>
        </w:rPr>
        <w:t>programmes</w:t>
      </w:r>
      <w:proofErr w:type="spellEnd"/>
      <w:r w:rsidRPr="00446A45">
        <w:rPr>
          <w:rFonts w:ascii="Times New Roman" w:eastAsia="Times New Roman" w:hAnsi="Times New Roman" w:cs="Times New Roman"/>
          <w:sz w:val="24"/>
          <w:szCs w:val="24"/>
        </w:rPr>
        <w:t xml:space="preserve"> can equip SMEs with the necessary knowledge and tools to navigate regulatory obligations </w:t>
      </w:r>
      <w:r w:rsidRPr="00446A45">
        <w:rPr>
          <w:rFonts w:ascii="Times New Roman" w:eastAsia="Times New Roman" w:hAnsi="Times New Roman" w:cs="Times New Roman"/>
          <w:sz w:val="24"/>
          <w:szCs w:val="24"/>
        </w:rPr>
        <w:lastRenderedPageBreak/>
        <w:t>effectively. Establishing a supportive regulatory environment will foster sustainable business growth and contribute to broader economic development.</w:t>
      </w:r>
    </w:p>
    <w:p w14:paraId="06EB8B06" w14:textId="53F3966C" w:rsidR="00F56A48" w:rsidRPr="00446A45" w:rsidRDefault="00F56A48" w:rsidP="002911E6">
      <w:pPr>
        <w:pStyle w:val="NormalWeb"/>
        <w:spacing w:line="360" w:lineRule="auto"/>
        <w:jc w:val="both"/>
      </w:pPr>
      <w:r w:rsidRPr="00446A45">
        <w:rPr>
          <w:rStyle w:val="Strong"/>
          <w:rFonts w:eastAsiaTheme="majorEastAsia"/>
        </w:rPr>
        <w:t>Recommendations</w:t>
      </w:r>
    </w:p>
    <w:p w14:paraId="687B8E63" w14:textId="77777777" w:rsidR="003F3F0E" w:rsidRPr="00446A45" w:rsidRDefault="003F3F0E" w:rsidP="002911E6">
      <w:pPr>
        <w:pStyle w:val="NormalWeb"/>
        <w:spacing w:line="360" w:lineRule="auto"/>
        <w:jc w:val="both"/>
      </w:pPr>
      <w:r w:rsidRPr="00446A45">
        <w:t xml:space="preserve">Designing straightforward tax policies enhances SME compliance by reducing administrative complexities and improving accessibility. Governments should establish clear tax guidelines while </w:t>
      </w:r>
      <w:proofErr w:type="spellStart"/>
      <w:r w:rsidRPr="00446A45">
        <w:t>minimising</w:t>
      </w:r>
      <w:proofErr w:type="spellEnd"/>
      <w:r w:rsidRPr="00446A45">
        <w:t xml:space="preserve"> bureaucratic hurdles to encourage small enterprises to </w:t>
      </w:r>
      <w:proofErr w:type="spellStart"/>
      <w:r w:rsidRPr="00446A45">
        <w:t>formalise</w:t>
      </w:r>
      <w:proofErr w:type="spellEnd"/>
      <w:r w:rsidRPr="00446A45">
        <w:t xml:space="preserve"> and meet tax obligations. Strengthening enforcement mechanisms while ensuring fairness in compliance requirements supports businesses with limited financial capacity and promotes adherence to tax regulations.</w:t>
      </w:r>
    </w:p>
    <w:p w14:paraId="67125B28" w14:textId="77777777" w:rsidR="003F3F0E" w:rsidRPr="00446A45" w:rsidRDefault="003F3F0E" w:rsidP="002911E6">
      <w:pPr>
        <w:pStyle w:val="NormalWeb"/>
        <w:spacing w:line="360" w:lineRule="auto"/>
        <w:jc w:val="both"/>
      </w:pPr>
      <w:r w:rsidRPr="00446A45">
        <w:t xml:space="preserve">Equipping SMEs with financial knowledge is essential for effective tax management. Collaboration among government agencies, financial institutions, and business associations can facilitate the integration of financial education into entrepreneurship training </w:t>
      </w:r>
      <w:proofErr w:type="spellStart"/>
      <w:r w:rsidRPr="00446A45">
        <w:t>programmes</w:t>
      </w:r>
      <w:proofErr w:type="spellEnd"/>
      <w:r w:rsidRPr="00446A45">
        <w:t>. Structured literacy initiatives focusing on tax planning, budgeting, and financial management can help businesses mitigate non-compliance risks and avoid financial penalties.</w:t>
      </w:r>
    </w:p>
    <w:p w14:paraId="463FFCA6" w14:textId="77777777" w:rsidR="003F3F0E" w:rsidRPr="00446A45" w:rsidRDefault="003F3F0E" w:rsidP="002911E6">
      <w:pPr>
        <w:pStyle w:val="NormalWeb"/>
        <w:spacing w:line="360" w:lineRule="auto"/>
        <w:jc w:val="both"/>
      </w:pPr>
      <w:r w:rsidRPr="00446A45">
        <w:t xml:space="preserve">Leveraging digital tax platforms streamlines compliance procedures and enhances SME participation in formal tax systems. Implementing user-friendly electronic tax filing systems, mobile tax payment solutions, and automated compliance reminders can ease administrative challenges. Encouraging digital adoption through incentives, such as reduced tax rates for businesses </w:t>
      </w:r>
      <w:proofErr w:type="spellStart"/>
      <w:r w:rsidRPr="00446A45">
        <w:t>utilising</w:t>
      </w:r>
      <w:proofErr w:type="spellEnd"/>
      <w:r w:rsidRPr="00446A45">
        <w:t xml:space="preserve"> online tax services, strengthens compliance and improves tax revenue collection.</w:t>
      </w:r>
    </w:p>
    <w:p w14:paraId="1FCC5475" w14:textId="77777777" w:rsidR="003F3F0E" w:rsidRPr="00446A45" w:rsidRDefault="003F3F0E" w:rsidP="002911E6">
      <w:pPr>
        <w:pStyle w:val="NormalWeb"/>
        <w:spacing w:line="360" w:lineRule="auto"/>
        <w:jc w:val="both"/>
      </w:pPr>
      <w:r w:rsidRPr="00446A45">
        <w:t xml:space="preserve">Well-structured tax incentives promote SME growth while fostering voluntary compliance. Providing benefits such as reduced corporate tax rates, investment deductions, and VAT exemptions for startups and small businesses can support expansion, job creation, and competitiveness within the economy. Financial relief through such incentives encourages </w:t>
      </w:r>
      <w:proofErr w:type="spellStart"/>
      <w:r w:rsidRPr="00446A45">
        <w:t>formalisation</w:t>
      </w:r>
      <w:proofErr w:type="spellEnd"/>
      <w:r w:rsidRPr="00446A45">
        <w:t xml:space="preserve"> and greater adherence to tax regulations.</w:t>
      </w:r>
    </w:p>
    <w:p w14:paraId="7CD0D269" w14:textId="77777777" w:rsidR="003F3F0E" w:rsidRPr="00446A45" w:rsidRDefault="003F3F0E" w:rsidP="002911E6">
      <w:pPr>
        <w:pStyle w:val="NormalWeb"/>
        <w:spacing w:line="360" w:lineRule="auto"/>
        <w:jc w:val="both"/>
      </w:pPr>
      <w:r w:rsidRPr="00446A45">
        <w:t xml:space="preserve">Establishing a fair and transparent regulatory environment requires consistent enforcement of tax policies while addressing inefficiencies in tax administration. Governments should focus on </w:t>
      </w:r>
      <w:r w:rsidRPr="00446A45">
        <w:lastRenderedPageBreak/>
        <w:t>simplifying licensing procedures, lowering compliance costs, and providing targeted support to SMEs. Creating mechanisms that allow businesses to report tax-related challenges fosters trust between SMEs and tax authorities while promoting a more inclusive regulatory landscape.</w:t>
      </w:r>
    </w:p>
    <w:p w14:paraId="7224F20A" w14:textId="77777777" w:rsidR="003F3F0E" w:rsidRPr="00446A45" w:rsidRDefault="003F3F0E" w:rsidP="002911E6">
      <w:pPr>
        <w:pStyle w:val="NormalWeb"/>
        <w:spacing w:line="360" w:lineRule="auto"/>
        <w:jc w:val="both"/>
      </w:pPr>
      <w:r w:rsidRPr="00446A45">
        <w:t xml:space="preserve">Enhancing SME access to funding strengthens compliance with tax obligations. Financial institutions, including banks and microfinance </w:t>
      </w:r>
      <w:proofErr w:type="spellStart"/>
      <w:r w:rsidRPr="00446A45">
        <w:t>organisations</w:t>
      </w:r>
      <w:proofErr w:type="spellEnd"/>
      <w:r w:rsidRPr="00446A45">
        <w:t>, should develop financial products tailored to SME needs, such as tax financing options and advisory services. Providing accessible credit facilities and professional financial guidance enables businesses to maintain stability and meet tax requirements effectively.</w:t>
      </w:r>
    </w:p>
    <w:p w14:paraId="0E66590E" w14:textId="77777777" w:rsidR="003F3F0E" w:rsidRPr="00446A45" w:rsidRDefault="003F3F0E" w:rsidP="002911E6">
      <w:pPr>
        <w:pStyle w:val="NormalWeb"/>
        <w:spacing w:line="360" w:lineRule="auto"/>
        <w:jc w:val="both"/>
      </w:pPr>
      <w:r w:rsidRPr="00446A45">
        <w:t xml:space="preserve">Raising awareness about tax compliance and regulatory adherence increases SME participation in formal financial systems. Stakeholders should invest in initiatives that educate SMEs on the benefits of compliance, the risks associated with non-compliance, and available support services. Outreach </w:t>
      </w:r>
      <w:proofErr w:type="spellStart"/>
      <w:r w:rsidRPr="00446A45">
        <w:t>programmes</w:t>
      </w:r>
      <w:proofErr w:type="spellEnd"/>
      <w:r w:rsidRPr="00446A45">
        <w:t>, workshops, and online campaigns bridge knowledge gaps and empower SMEs to make informed financial decisions.</w:t>
      </w:r>
    </w:p>
    <w:p w14:paraId="65105208" w14:textId="472C811C" w:rsidR="003F3F0E" w:rsidRDefault="003F3F0E" w:rsidP="002911E6">
      <w:pPr>
        <w:pStyle w:val="NormalWeb"/>
        <w:spacing w:line="360" w:lineRule="auto"/>
        <w:jc w:val="both"/>
      </w:pPr>
      <w:r w:rsidRPr="00446A45">
        <w:t xml:space="preserve">Facilitating the transition of informal businesses into the formal economy strengthens tax compliance and economic participation. Implementing structured </w:t>
      </w:r>
      <w:proofErr w:type="spellStart"/>
      <w:r w:rsidRPr="00446A45">
        <w:t>formalisation</w:t>
      </w:r>
      <w:proofErr w:type="spellEnd"/>
      <w:r w:rsidRPr="00446A45">
        <w:t xml:space="preserve"> strategies that offer incentives and capacity-building </w:t>
      </w:r>
      <w:proofErr w:type="spellStart"/>
      <w:r w:rsidRPr="00446A45">
        <w:t>programmes</w:t>
      </w:r>
      <w:proofErr w:type="spellEnd"/>
      <w:r w:rsidRPr="00446A45">
        <w:t xml:space="preserve"> encourages informal enterprises to integrate into the formal sector. Simplified registration procedures, reduced entry barriers, and tailored compliance support further promote SME inclusion in the tax system.</w:t>
      </w:r>
    </w:p>
    <w:p w14:paraId="7A2F82D3" w14:textId="77777777" w:rsidR="00CD025E" w:rsidRPr="00CD025E" w:rsidRDefault="00CD025E" w:rsidP="00CD025E">
      <w:pPr>
        <w:pStyle w:val="NormalWeb"/>
        <w:spacing w:line="360" w:lineRule="auto"/>
        <w:jc w:val="both"/>
        <w:rPr>
          <w:b/>
        </w:rPr>
      </w:pPr>
      <w:r w:rsidRPr="00CD025E">
        <w:rPr>
          <w:b/>
        </w:rPr>
        <w:t>Future Directions</w:t>
      </w:r>
    </w:p>
    <w:p w14:paraId="1161E6B1" w14:textId="0BBAC4B4" w:rsidR="00CD025E" w:rsidRPr="00446A45" w:rsidRDefault="00CD025E" w:rsidP="00CD025E">
      <w:pPr>
        <w:pStyle w:val="NormalWeb"/>
        <w:spacing w:line="360" w:lineRule="auto"/>
        <w:jc w:val="both"/>
      </w:pPr>
      <w:r>
        <w:t xml:space="preserve">Strengthening tax compliance and financial regulation awareness among SMEs requires a comprehensive strategy that addresses educational shortcomings, regulatory barriers, and technological challenges. Future initiatives should evaluate the long-term effects of financial literacy </w:t>
      </w:r>
      <w:proofErr w:type="spellStart"/>
      <w:r>
        <w:t>programmes</w:t>
      </w:r>
      <w:proofErr w:type="spellEnd"/>
      <w:r>
        <w:t xml:space="preserve"> on SME compliance and business sustainability. Comparative research on digital tax solutions across various economic environments can offer valuable insights into effective approaches for enhancing compliance. Policymakers should consider </w:t>
      </w:r>
      <w:proofErr w:type="spellStart"/>
      <w:r>
        <w:t>formalising</w:t>
      </w:r>
      <w:proofErr w:type="spellEnd"/>
      <w:r>
        <w:t xml:space="preserve"> informal enterprises through targeted tax incentives and streamlined regulatory frameworks. Improving regulatory structures through simplified tax policies, increased transparency, and well-designed training initiatives can bridge knowledge gaps and alleviate compliance challenges. </w:t>
      </w:r>
      <w:r>
        <w:lastRenderedPageBreak/>
        <w:t xml:space="preserve">Further research should explore how SMEs in developing economies can </w:t>
      </w:r>
      <w:proofErr w:type="spellStart"/>
      <w:r>
        <w:t>utilise</w:t>
      </w:r>
      <w:proofErr w:type="spellEnd"/>
      <w:r>
        <w:t xml:space="preserve"> financial technology to strengthen tax compliance, enhance financial management, and improve overall business resilience.</w:t>
      </w:r>
    </w:p>
    <w:p w14:paraId="64B0FBB5" w14:textId="6103ACFD" w:rsidR="00512B19" w:rsidRPr="00446A45" w:rsidRDefault="00512B19"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b/>
          <w:bCs/>
          <w:sz w:val="24"/>
          <w:szCs w:val="24"/>
        </w:rPr>
        <w:t>Limitations of the Study</w:t>
      </w:r>
    </w:p>
    <w:p w14:paraId="407B450D" w14:textId="77777777" w:rsidR="005D53FB" w:rsidRPr="00446A45" w:rsidRDefault="005D53FB" w:rsidP="002911E6">
      <w:pPr>
        <w:pStyle w:val="NormalWeb"/>
        <w:spacing w:line="360" w:lineRule="auto"/>
        <w:jc w:val="both"/>
      </w:pPr>
      <w:r w:rsidRPr="00446A45">
        <w:t>Relying on secondary data presents a notable limitation, as it may not fully reflect the real-time challenges SMEs encounter in tax compliance and financial regulation. While existing literature offers valuable insights, the absence of primary data collection, such as surveys or interviews with SME owners and tax officials, restricts a comprehensive understanding of specific compliance barriers and regulatory enforcement issues across different settings.</w:t>
      </w:r>
    </w:p>
    <w:p w14:paraId="0960832C" w14:textId="29CEE354" w:rsidR="003F3F0E" w:rsidRPr="00446A45" w:rsidRDefault="005D53FB" w:rsidP="002911E6">
      <w:pPr>
        <w:pStyle w:val="NormalWeb"/>
        <w:spacing w:line="360" w:lineRule="auto"/>
        <w:jc w:val="both"/>
      </w:pPr>
      <w:proofErr w:type="spellStart"/>
      <w:r w:rsidRPr="00446A45">
        <w:t>Generalising</w:t>
      </w:r>
      <w:proofErr w:type="spellEnd"/>
      <w:r w:rsidRPr="00446A45">
        <w:t xml:space="preserve"> findings across various regions and economies with distinct tax structures and regulatory environments introduces another limitation. The study examines SMEs from multiple countries, each operating within unique policy frameworks and administrative systems. While comparative perspectives provide useful insights, differences in tax policies, enforcement mechanisms, and economic conditions may impact the applicability of these findings in specific contexts. Conducting region-specific analyses would enhance the precision of policy recommendations.</w:t>
      </w:r>
    </w:p>
    <w:p w14:paraId="28C8BD40" w14:textId="77777777" w:rsidR="00F9396A" w:rsidRPr="00CD025E" w:rsidRDefault="00F9396A" w:rsidP="00F9396A">
      <w:pPr>
        <w:spacing w:after="200" w:line="276" w:lineRule="auto"/>
        <w:rPr>
          <w:rFonts w:ascii="Calibri" w:eastAsia="Calibri" w:hAnsi="Calibri" w:cs="Times New Roman"/>
          <w:b/>
          <w:kern w:val="2"/>
          <w:highlight w:val="yellow"/>
          <w14:ligatures w14:val="standardContextual"/>
        </w:rPr>
      </w:pPr>
      <w:bookmarkStart w:id="11" w:name="_Hlk190852809"/>
      <w:r w:rsidRPr="00CD025E">
        <w:rPr>
          <w:rFonts w:ascii="Calibri" w:eastAsia="Calibri" w:hAnsi="Calibri" w:cs="Times New Roman"/>
          <w:b/>
          <w:kern w:val="2"/>
          <w:highlight w:val="yellow"/>
          <w14:ligatures w14:val="standardContextual"/>
        </w:rPr>
        <w:t>Disclaimer (Artificial intelligence)</w:t>
      </w:r>
    </w:p>
    <w:p w14:paraId="38110436" w14:textId="77777777" w:rsidR="00F9396A" w:rsidRPr="00F9396A" w:rsidRDefault="00F9396A" w:rsidP="00F9396A">
      <w:pPr>
        <w:spacing w:after="200" w:line="276" w:lineRule="auto"/>
        <w:rPr>
          <w:rFonts w:ascii="Calibri" w:eastAsia="Calibri" w:hAnsi="Calibri" w:cs="Times New Roman"/>
          <w:kern w:val="2"/>
          <w:highlight w:val="yellow"/>
          <w14:ligatures w14:val="standardContextual"/>
        </w:rPr>
      </w:pPr>
      <w:r w:rsidRPr="00F9396A">
        <w:rPr>
          <w:rFonts w:ascii="Calibri" w:eastAsia="Calibri" w:hAnsi="Calibri" w:cs="Times New Roman"/>
          <w:kern w:val="2"/>
          <w:highlight w:val="yellow"/>
          <w14:ligatures w14:val="standardContextual"/>
        </w:rPr>
        <w:t xml:space="preserve">Option 1: </w:t>
      </w:r>
    </w:p>
    <w:p w14:paraId="7FDB5BC9" w14:textId="77777777" w:rsidR="00F9396A" w:rsidRPr="00F9396A" w:rsidRDefault="00F9396A" w:rsidP="00F9396A">
      <w:pPr>
        <w:spacing w:after="200" w:line="276" w:lineRule="auto"/>
        <w:rPr>
          <w:rFonts w:ascii="Calibri" w:eastAsia="Calibri" w:hAnsi="Calibri" w:cs="Times New Roman"/>
          <w:kern w:val="2"/>
          <w:highlight w:val="yellow"/>
          <w14:ligatures w14:val="standardContextual"/>
        </w:rPr>
      </w:pPr>
      <w:r w:rsidRPr="00F9396A">
        <w:rPr>
          <w:rFonts w:ascii="Calibri" w:eastAsia="Calibri" w:hAnsi="Calibri" w:cs="Times New Roman"/>
          <w:kern w:val="2"/>
          <w:highlight w:val="yellow"/>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1D5D3BDC" w14:textId="77777777" w:rsidR="00F9396A" w:rsidRPr="00F9396A" w:rsidRDefault="00F9396A" w:rsidP="00F9396A">
      <w:pPr>
        <w:spacing w:after="200" w:line="276" w:lineRule="auto"/>
        <w:rPr>
          <w:rFonts w:ascii="Calibri" w:eastAsia="Calibri" w:hAnsi="Calibri" w:cs="Times New Roman"/>
          <w:kern w:val="2"/>
          <w:highlight w:val="yellow"/>
          <w14:ligatures w14:val="standardContextual"/>
        </w:rPr>
      </w:pPr>
      <w:r w:rsidRPr="00F9396A">
        <w:rPr>
          <w:rFonts w:ascii="Calibri" w:eastAsia="Calibri" w:hAnsi="Calibri" w:cs="Times New Roman"/>
          <w:kern w:val="2"/>
          <w:highlight w:val="yellow"/>
          <w14:ligatures w14:val="standardContextual"/>
        </w:rPr>
        <w:t xml:space="preserve">Option 2: </w:t>
      </w:r>
    </w:p>
    <w:p w14:paraId="1CCE3AEB" w14:textId="77777777" w:rsidR="00F9396A" w:rsidRPr="00F9396A" w:rsidRDefault="00F9396A" w:rsidP="00F9396A">
      <w:pPr>
        <w:spacing w:after="200" w:line="276" w:lineRule="auto"/>
        <w:rPr>
          <w:rFonts w:ascii="Calibri" w:eastAsia="Calibri" w:hAnsi="Calibri" w:cs="Times New Roman"/>
          <w:kern w:val="2"/>
          <w:highlight w:val="yellow"/>
          <w14:ligatures w14:val="standardContextual"/>
        </w:rPr>
      </w:pPr>
      <w:r w:rsidRPr="00F9396A">
        <w:rPr>
          <w:rFonts w:ascii="Calibri" w:eastAsia="Calibri" w:hAnsi="Calibri" w:cs="Times New Roman"/>
          <w:kern w:val="2"/>
          <w:highlight w:val="yellow"/>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EB7149A" w14:textId="77777777" w:rsidR="00F9396A" w:rsidRPr="00F9396A" w:rsidRDefault="00F9396A" w:rsidP="00F9396A">
      <w:pPr>
        <w:spacing w:after="200" w:line="276" w:lineRule="auto"/>
        <w:rPr>
          <w:rFonts w:ascii="Calibri" w:eastAsia="Calibri" w:hAnsi="Calibri" w:cs="Times New Roman"/>
          <w:kern w:val="2"/>
          <w:highlight w:val="yellow"/>
          <w14:ligatures w14:val="standardContextual"/>
        </w:rPr>
      </w:pPr>
      <w:r w:rsidRPr="00F9396A">
        <w:rPr>
          <w:rFonts w:ascii="Calibri" w:eastAsia="Calibri" w:hAnsi="Calibri" w:cs="Times New Roman"/>
          <w:kern w:val="2"/>
          <w:highlight w:val="yellow"/>
          <w14:ligatures w14:val="standardContextual"/>
        </w:rPr>
        <w:t>Details of the AI usage are given below:</w:t>
      </w:r>
    </w:p>
    <w:p w14:paraId="409E1982" w14:textId="77777777" w:rsidR="00F9396A" w:rsidRPr="00F9396A" w:rsidRDefault="00F9396A" w:rsidP="00F9396A">
      <w:pPr>
        <w:spacing w:after="200" w:line="276" w:lineRule="auto"/>
        <w:rPr>
          <w:rFonts w:ascii="Calibri" w:eastAsia="Calibri" w:hAnsi="Calibri" w:cs="Times New Roman"/>
          <w:kern w:val="2"/>
          <w:highlight w:val="yellow"/>
          <w14:ligatures w14:val="standardContextual"/>
        </w:rPr>
      </w:pPr>
      <w:r w:rsidRPr="00F9396A">
        <w:rPr>
          <w:rFonts w:ascii="Calibri" w:eastAsia="Calibri" w:hAnsi="Calibri" w:cs="Times New Roman"/>
          <w:kern w:val="2"/>
          <w:highlight w:val="yellow"/>
          <w14:ligatures w14:val="standardContextual"/>
        </w:rPr>
        <w:t>1.</w:t>
      </w:r>
    </w:p>
    <w:p w14:paraId="0C456799" w14:textId="77777777" w:rsidR="00F9396A" w:rsidRPr="00F9396A" w:rsidRDefault="00F9396A" w:rsidP="00F9396A">
      <w:pPr>
        <w:spacing w:after="200" w:line="276" w:lineRule="auto"/>
        <w:rPr>
          <w:rFonts w:ascii="Calibri" w:eastAsia="Calibri" w:hAnsi="Calibri" w:cs="Times New Roman"/>
          <w:kern w:val="2"/>
          <w:highlight w:val="yellow"/>
          <w14:ligatures w14:val="standardContextual"/>
        </w:rPr>
      </w:pPr>
      <w:r w:rsidRPr="00F9396A">
        <w:rPr>
          <w:rFonts w:ascii="Calibri" w:eastAsia="Calibri" w:hAnsi="Calibri" w:cs="Times New Roman"/>
          <w:kern w:val="2"/>
          <w:highlight w:val="yellow"/>
          <w14:ligatures w14:val="standardContextual"/>
        </w:rPr>
        <w:lastRenderedPageBreak/>
        <w:t>2.</w:t>
      </w:r>
    </w:p>
    <w:p w14:paraId="5DA4041D" w14:textId="77777777" w:rsidR="00F9396A" w:rsidRPr="00F9396A" w:rsidRDefault="00F9396A" w:rsidP="00F9396A">
      <w:pPr>
        <w:spacing w:after="200" w:line="276" w:lineRule="auto"/>
        <w:rPr>
          <w:rFonts w:ascii="Calibri" w:eastAsia="Calibri" w:hAnsi="Calibri" w:cs="Times New Roman"/>
          <w:kern w:val="2"/>
          <w14:ligatures w14:val="standardContextual"/>
        </w:rPr>
      </w:pPr>
      <w:r w:rsidRPr="00F9396A">
        <w:rPr>
          <w:rFonts w:ascii="Calibri" w:eastAsia="Calibri" w:hAnsi="Calibri" w:cs="Times New Roman"/>
          <w:kern w:val="2"/>
          <w:highlight w:val="yellow"/>
          <w14:ligatures w14:val="standardContextual"/>
        </w:rPr>
        <w:t>3.</w:t>
      </w:r>
    </w:p>
    <w:bookmarkEnd w:id="11"/>
    <w:p w14:paraId="783EBAD4" w14:textId="77777777" w:rsidR="00F9396A" w:rsidRPr="00F9396A" w:rsidRDefault="00F9396A" w:rsidP="00F9396A">
      <w:pPr>
        <w:spacing w:after="200" w:line="276" w:lineRule="auto"/>
        <w:rPr>
          <w:rFonts w:ascii="Calibri" w:eastAsia="Calibri" w:hAnsi="Calibri" w:cs="Times New Roman"/>
          <w:kern w:val="2"/>
          <w14:ligatures w14:val="standardContextual"/>
        </w:rPr>
      </w:pPr>
    </w:p>
    <w:p w14:paraId="248D6363" w14:textId="77777777" w:rsidR="001400FB" w:rsidRPr="00446A45" w:rsidRDefault="001400FB" w:rsidP="002911E6">
      <w:pPr>
        <w:pStyle w:val="NormalWeb"/>
        <w:spacing w:line="360" w:lineRule="auto"/>
        <w:jc w:val="both"/>
      </w:pPr>
    </w:p>
    <w:p w14:paraId="5B2C966B" w14:textId="2441B9D9" w:rsidR="00C91C1F" w:rsidRPr="00C91C1F" w:rsidRDefault="00BE029B" w:rsidP="00BE029B">
      <w:pPr>
        <w:spacing w:before="100" w:beforeAutospacing="1" w:after="100" w:afterAutospacing="1" w:line="240" w:lineRule="auto"/>
        <w:rPr>
          <w:rFonts w:ascii="Times New Roman" w:eastAsia="Times New Roman" w:hAnsi="Times New Roman" w:cs="Times New Roman"/>
          <w:b/>
          <w:bCs/>
          <w:sz w:val="24"/>
          <w:szCs w:val="24"/>
        </w:rPr>
      </w:pPr>
      <w:r w:rsidRPr="00446A45">
        <w:rPr>
          <w:rFonts w:ascii="Times New Roman" w:eastAsia="Times New Roman" w:hAnsi="Times New Roman" w:cs="Times New Roman"/>
          <w:b/>
          <w:bCs/>
          <w:sz w:val="24"/>
          <w:szCs w:val="24"/>
        </w:rPr>
        <w:t xml:space="preserve">References </w:t>
      </w:r>
    </w:p>
    <w:p w14:paraId="2D3366C7" w14:textId="456C2DD3" w:rsidR="00C91C1F" w:rsidRPr="00446A45" w:rsidRDefault="00C91C1F" w:rsidP="00BE029B">
      <w:pPr>
        <w:spacing w:before="100" w:beforeAutospacing="1" w:after="100" w:afterAutospacing="1" w:line="240" w:lineRule="auto"/>
        <w:rPr>
          <w:rFonts w:ascii="Times New Roman" w:eastAsia="Times New Roman" w:hAnsi="Times New Roman" w:cs="Times New Roman"/>
          <w:sz w:val="24"/>
          <w:szCs w:val="24"/>
        </w:rPr>
      </w:pPr>
      <w:proofErr w:type="spellStart"/>
      <w:r w:rsidRPr="007870E4">
        <w:rPr>
          <w:rFonts w:ascii="Times New Roman" w:eastAsia="Times New Roman" w:hAnsi="Times New Roman" w:cs="Times New Roman"/>
          <w:sz w:val="24"/>
          <w:szCs w:val="24"/>
          <w:highlight w:val="yellow"/>
        </w:rPr>
        <w:t>Adato</w:t>
      </w:r>
      <w:proofErr w:type="spellEnd"/>
      <w:r w:rsidRPr="007870E4">
        <w:rPr>
          <w:rFonts w:ascii="Times New Roman" w:eastAsia="Times New Roman" w:hAnsi="Times New Roman" w:cs="Times New Roman"/>
          <w:sz w:val="24"/>
          <w:szCs w:val="24"/>
          <w:highlight w:val="yellow"/>
        </w:rPr>
        <w:t xml:space="preserve">, A. A., &amp; </w:t>
      </w:r>
      <w:proofErr w:type="spellStart"/>
      <w:r w:rsidRPr="007870E4">
        <w:rPr>
          <w:rFonts w:ascii="Times New Roman" w:eastAsia="Times New Roman" w:hAnsi="Times New Roman" w:cs="Times New Roman"/>
          <w:sz w:val="24"/>
          <w:szCs w:val="24"/>
          <w:highlight w:val="yellow"/>
        </w:rPr>
        <w:t>Onsare</w:t>
      </w:r>
      <w:proofErr w:type="spellEnd"/>
      <w:r w:rsidRPr="007870E4">
        <w:rPr>
          <w:rFonts w:ascii="Times New Roman" w:eastAsia="Times New Roman" w:hAnsi="Times New Roman" w:cs="Times New Roman"/>
          <w:sz w:val="24"/>
          <w:szCs w:val="24"/>
          <w:highlight w:val="yellow"/>
        </w:rPr>
        <w:t>, H. (202</w:t>
      </w:r>
      <w:r w:rsidR="007870E4" w:rsidRPr="007870E4">
        <w:rPr>
          <w:rFonts w:ascii="Times New Roman" w:eastAsia="Times New Roman" w:hAnsi="Times New Roman" w:cs="Times New Roman"/>
          <w:sz w:val="24"/>
          <w:szCs w:val="24"/>
          <w:highlight w:val="yellow"/>
        </w:rPr>
        <w:t>4</w:t>
      </w:r>
      <w:r w:rsidRPr="007870E4">
        <w:rPr>
          <w:rFonts w:ascii="Times New Roman" w:eastAsia="Times New Roman" w:hAnsi="Times New Roman" w:cs="Times New Roman"/>
          <w:sz w:val="24"/>
          <w:szCs w:val="24"/>
          <w:highlight w:val="yellow"/>
        </w:rPr>
        <w:t xml:space="preserve">). Financial management and its barriers on SMEs in selected developing countries: A systematic literature review approach. </w:t>
      </w:r>
      <w:proofErr w:type="spellStart"/>
      <w:r w:rsidRPr="007870E4">
        <w:rPr>
          <w:rFonts w:ascii="Times New Roman" w:eastAsiaTheme="majorEastAsia" w:hAnsi="Times New Roman" w:cs="Times New Roman"/>
          <w:i/>
          <w:iCs/>
          <w:sz w:val="24"/>
          <w:szCs w:val="24"/>
          <w:highlight w:val="yellow"/>
        </w:rPr>
        <w:t>SciencePG</w:t>
      </w:r>
      <w:proofErr w:type="spellEnd"/>
      <w:r w:rsidRPr="007870E4">
        <w:rPr>
          <w:rFonts w:ascii="Times New Roman" w:eastAsia="Times New Roman" w:hAnsi="Times New Roman" w:cs="Times New Roman"/>
          <w:sz w:val="24"/>
          <w:szCs w:val="24"/>
          <w:highlight w:val="yellow"/>
        </w:rPr>
        <w:t xml:space="preserve">. </w:t>
      </w:r>
      <w:hyperlink r:id="rId7" w:tgtFrame="_new" w:history="1">
        <w:r w:rsidRPr="007870E4">
          <w:rPr>
            <w:rFonts w:ascii="Times New Roman" w:eastAsiaTheme="majorEastAsia" w:hAnsi="Times New Roman" w:cs="Times New Roman"/>
            <w:color w:val="0000FF"/>
            <w:sz w:val="24"/>
            <w:szCs w:val="24"/>
            <w:highlight w:val="yellow"/>
            <w:u w:val="single"/>
          </w:rPr>
          <w:t>https://www.researchgate.net/publication/384442682_Financial_Management_and_Its_Barriers_on_Smes_in_Selected_Developing_Countries_A_Systematic_Literature_Review_Approach</w:t>
        </w:r>
      </w:hyperlink>
    </w:p>
    <w:p w14:paraId="27FA9E56" w14:textId="77777777" w:rsidR="00C91C1F" w:rsidRPr="00446A45" w:rsidRDefault="00C91C1F"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Adebayo, O., &amp; Okonkwo, J. (2022). Financial management practices among SMEs in Nigeria: The role of financial literacy. </w:t>
      </w:r>
      <w:r w:rsidRPr="00446A45">
        <w:rPr>
          <w:rFonts w:ascii="Times New Roman" w:eastAsiaTheme="majorEastAsia" w:hAnsi="Times New Roman" w:cs="Times New Roman"/>
          <w:i/>
          <w:iCs/>
          <w:sz w:val="24"/>
          <w:szCs w:val="24"/>
        </w:rPr>
        <w:t>Journal of Financial Studies and Economic Research, 14</w:t>
      </w:r>
      <w:r w:rsidRPr="00446A45">
        <w:rPr>
          <w:rFonts w:ascii="Times New Roman" w:eastAsia="Times New Roman" w:hAnsi="Times New Roman" w:cs="Times New Roman"/>
          <w:sz w:val="24"/>
          <w:szCs w:val="24"/>
        </w:rPr>
        <w:t>(3), 67–89. https://doi.org/10.2139/jfser.v14i3.2022</w:t>
      </w:r>
    </w:p>
    <w:p w14:paraId="54990C01" w14:textId="77777777" w:rsidR="00C91C1F" w:rsidRPr="00446A45" w:rsidRDefault="00C91C1F"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Alhassan, A., &amp; Sakyi-Dawson, P. (2023). Enhancing SME financial management through budgeting practices: Evidence from Ghana. </w:t>
      </w:r>
      <w:r w:rsidRPr="00446A45">
        <w:rPr>
          <w:rFonts w:ascii="Times New Roman" w:eastAsiaTheme="majorEastAsia" w:hAnsi="Times New Roman" w:cs="Times New Roman"/>
          <w:i/>
          <w:iCs/>
          <w:sz w:val="24"/>
          <w:szCs w:val="24"/>
        </w:rPr>
        <w:t>Journal of Small Business and Enterprise Development, 30</w:t>
      </w:r>
      <w:r w:rsidRPr="00446A45">
        <w:rPr>
          <w:rFonts w:ascii="Times New Roman" w:eastAsia="Times New Roman" w:hAnsi="Times New Roman" w:cs="Times New Roman"/>
          <w:sz w:val="24"/>
          <w:szCs w:val="24"/>
        </w:rPr>
        <w:t>(2), 311–329. https://doi.org/10.1108/JSBED-07-2022-0209</w:t>
      </w:r>
    </w:p>
    <w:p w14:paraId="0E6E5623" w14:textId="77777777" w:rsidR="00C91C1F" w:rsidRPr="00C91C1F" w:rsidRDefault="00C91C1F" w:rsidP="00C91C1F">
      <w:pPr>
        <w:spacing w:line="240" w:lineRule="auto"/>
        <w:rPr>
          <w:rFonts w:ascii="Times New Roman" w:hAnsi="Times New Roman" w:cs="Times New Roman"/>
          <w:kern w:val="2"/>
          <w:sz w:val="24"/>
          <w:szCs w:val="24"/>
          <w14:ligatures w14:val="standardContextual"/>
        </w:rPr>
      </w:pPr>
      <w:r w:rsidRPr="007870E4">
        <w:rPr>
          <w:rFonts w:ascii="Times New Roman" w:hAnsi="Times New Roman" w:cs="Times New Roman"/>
          <w:kern w:val="2"/>
          <w:sz w:val="24"/>
          <w:szCs w:val="24"/>
          <w:highlight w:val="yellow"/>
          <w14:ligatures w14:val="standardContextual"/>
        </w:rPr>
        <w:t>Al-Tal, M. J., &amp; Al-</w:t>
      </w:r>
      <w:proofErr w:type="spellStart"/>
      <w:r w:rsidRPr="007870E4">
        <w:rPr>
          <w:rFonts w:ascii="Times New Roman" w:hAnsi="Times New Roman" w:cs="Times New Roman"/>
          <w:kern w:val="2"/>
          <w:sz w:val="24"/>
          <w:szCs w:val="24"/>
          <w:highlight w:val="yellow"/>
          <w14:ligatures w14:val="standardContextual"/>
        </w:rPr>
        <w:t>Okaily</w:t>
      </w:r>
      <w:proofErr w:type="spellEnd"/>
      <w:r w:rsidRPr="007870E4">
        <w:rPr>
          <w:rFonts w:ascii="Times New Roman" w:hAnsi="Times New Roman" w:cs="Times New Roman"/>
          <w:kern w:val="2"/>
          <w:sz w:val="24"/>
          <w:szCs w:val="24"/>
          <w:highlight w:val="yellow"/>
          <w14:ligatures w14:val="standardContextual"/>
        </w:rPr>
        <w:t xml:space="preserve">, A. (2024). Financial literacy and small and medium enterprises performance: The moderating role of financial access. </w:t>
      </w:r>
      <w:r w:rsidRPr="007870E4">
        <w:rPr>
          <w:rFonts w:ascii="Times New Roman" w:hAnsi="Times New Roman" w:cs="Times New Roman"/>
          <w:i/>
          <w:iCs/>
          <w:kern w:val="2"/>
          <w:sz w:val="24"/>
          <w:szCs w:val="24"/>
          <w:highlight w:val="yellow"/>
          <w14:ligatures w14:val="standardContextual"/>
        </w:rPr>
        <w:t>Journal of Financial Reporting and Accounting</w:t>
      </w:r>
      <w:r w:rsidRPr="007870E4">
        <w:rPr>
          <w:rFonts w:ascii="Times New Roman" w:hAnsi="Times New Roman" w:cs="Times New Roman"/>
          <w:kern w:val="2"/>
          <w:sz w:val="24"/>
          <w:szCs w:val="24"/>
          <w:highlight w:val="yellow"/>
          <w14:ligatures w14:val="standardContextual"/>
        </w:rPr>
        <w:t xml:space="preserve">. </w:t>
      </w:r>
      <w:hyperlink r:id="rId8" w:history="1">
        <w:r w:rsidRPr="007870E4">
          <w:rPr>
            <w:rFonts w:ascii="Times New Roman" w:hAnsi="Times New Roman" w:cs="Times New Roman"/>
            <w:color w:val="0563C1" w:themeColor="hyperlink"/>
            <w:kern w:val="2"/>
            <w:sz w:val="24"/>
            <w:szCs w:val="24"/>
            <w:highlight w:val="yellow"/>
            <w:u w:val="single"/>
            <w14:ligatures w14:val="standardContextual"/>
          </w:rPr>
          <w:t>https://doi.org/10.1108/JFRA-06-2024-0337</w:t>
        </w:r>
      </w:hyperlink>
    </w:p>
    <w:p w14:paraId="39EB330A" w14:textId="77777777" w:rsidR="00C91C1F" w:rsidRPr="00446A45" w:rsidRDefault="00C91C1F"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Amin, M., Adomako, S., &amp; Amankwah-Amoah, J. (2020). The effects of regulatory compliance on SME growth: Evidence from sub-Saharan Africa. </w:t>
      </w:r>
      <w:r w:rsidRPr="00446A45">
        <w:rPr>
          <w:rFonts w:ascii="Times New Roman" w:eastAsia="Times New Roman" w:hAnsi="Times New Roman" w:cs="Times New Roman"/>
          <w:i/>
          <w:iCs/>
          <w:sz w:val="24"/>
          <w:szCs w:val="24"/>
        </w:rPr>
        <w:t>Journal of Business Venturing Insights, 14</w:t>
      </w:r>
      <w:r w:rsidRPr="00446A45">
        <w:rPr>
          <w:rFonts w:ascii="Times New Roman" w:eastAsia="Times New Roman" w:hAnsi="Times New Roman" w:cs="Times New Roman"/>
          <w:sz w:val="24"/>
          <w:szCs w:val="24"/>
        </w:rPr>
        <w:t>, e00203. https://doi.org/10.1016/j.jbvi.2020.e00203</w:t>
      </w:r>
    </w:p>
    <w:p w14:paraId="0F11D490" w14:textId="77777777" w:rsidR="00C91C1F" w:rsidRPr="00446A45" w:rsidRDefault="00C91C1F"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Amoah, L., Baah-Kari, K., &amp; Adjei, E. (2021). Financial literacy and access to finance among small and medium-sized enterprises. </w:t>
      </w:r>
      <w:r w:rsidRPr="00446A45">
        <w:rPr>
          <w:rFonts w:ascii="Times New Roman" w:eastAsiaTheme="majorEastAsia" w:hAnsi="Times New Roman" w:cs="Times New Roman"/>
          <w:i/>
          <w:iCs/>
          <w:sz w:val="24"/>
          <w:szCs w:val="24"/>
        </w:rPr>
        <w:t>Journal of Small Business Management, 59</w:t>
      </w:r>
      <w:r w:rsidRPr="00446A45">
        <w:rPr>
          <w:rFonts w:ascii="Times New Roman" w:eastAsia="Times New Roman" w:hAnsi="Times New Roman" w:cs="Times New Roman"/>
          <w:sz w:val="24"/>
          <w:szCs w:val="24"/>
        </w:rPr>
        <w:t xml:space="preserve">(3), 531–555. </w:t>
      </w:r>
      <w:proofErr w:type="gramStart"/>
      <w:r w:rsidRPr="00446A45">
        <w:rPr>
          <w:rFonts w:ascii="Times New Roman" w:eastAsia="Times New Roman" w:hAnsi="Times New Roman" w:cs="Times New Roman"/>
          <w:sz w:val="24"/>
          <w:szCs w:val="24"/>
        </w:rPr>
        <w:t>https://doi.org/[</w:t>
      </w:r>
      <w:proofErr w:type="gramEnd"/>
      <w:r w:rsidRPr="00446A45">
        <w:rPr>
          <w:rFonts w:ascii="Times New Roman" w:eastAsia="Times New Roman" w:hAnsi="Times New Roman" w:cs="Times New Roman"/>
          <w:sz w:val="24"/>
          <w:szCs w:val="24"/>
        </w:rPr>
        <w:t>insert DOI if available]</w:t>
      </w:r>
    </w:p>
    <w:p w14:paraId="3C3A55B9" w14:textId="77777777" w:rsidR="00C91C1F" w:rsidRPr="00446A45" w:rsidRDefault="00C91C1F" w:rsidP="00BE029B">
      <w:pPr>
        <w:spacing w:before="100" w:beforeAutospacing="1" w:after="100" w:afterAutospacing="1" w:line="240" w:lineRule="auto"/>
        <w:rPr>
          <w:rFonts w:ascii="Times New Roman" w:eastAsia="Times New Roman" w:hAnsi="Times New Roman" w:cs="Times New Roman"/>
          <w:sz w:val="24"/>
          <w:szCs w:val="24"/>
        </w:rPr>
      </w:pPr>
      <w:proofErr w:type="spellStart"/>
      <w:r w:rsidRPr="00446A45">
        <w:rPr>
          <w:rFonts w:ascii="Times New Roman" w:eastAsia="Times New Roman" w:hAnsi="Times New Roman" w:cs="Times New Roman"/>
          <w:sz w:val="24"/>
          <w:szCs w:val="24"/>
        </w:rPr>
        <w:t>Eniola</w:t>
      </w:r>
      <w:proofErr w:type="spellEnd"/>
      <w:r w:rsidRPr="00446A45">
        <w:rPr>
          <w:rFonts w:ascii="Times New Roman" w:eastAsia="Times New Roman" w:hAnsi="Times New Roman" w:cs="Times New Roman"/>
          <w:sz w:val="24"/>
          <w:szCs w:val="24"/>
        </w:rPr>
        <w:t xml:space="preserve">, A. A., &amp; </w:t>
      </w:r>
      <w:proofErr w:type="spellStart"/>
      <w:r w:rsidRPr="00446A45">
        <w:rPr>
          <w:rFonts w:ascii="Times New Roman" w:eastAsia="Times New Roman" w:hAnsi="Times New Roman" w:cs="Times New Roman"/>
          <w:sz w:val="24"/>
          <w:szCs w:val="24"/>
        </w:rPr>
        <w:t>Entebang</w:t>
      </w:r>
      <w:proofErr w:type="spellEnd"/>
      <w:r w:rsidRPr="00446A45">
        <w:rPr>
          <w:rFonts w:ascii="Times New Roman" w:eastAsia="Times New Roman" w:hAnsi="Times New Roman" w:cs="Times New Roman"/>
          <w:sz w:val="24"/>
          <w:szCs w:val="24"/>
        </w:rPr>
        <w:t xml:space="preserve">, H. (2021). Financial literacy and SMEs’ performance in Nigeria. </w:t>
      </w:r>
      <w:r w:rsidRPr="00446A45">
        <w:rPr>
          <w:rFonts w:ascii="Times New Roman" w:eastAsiaTheme="majorEastAsia" w:hAnsi="Times New Roman" w:cs="Times New Roman"/>
          <w:i/>
          <w:iCs/>
          <w:sz w:val="24"/>
          <w:szCs w:val="24"/>
        </w:rPr>
        <w:t>Journal of Small Business and Enterprise Development, 28</w:t>
      </w:r>
      <w:r w:rsidRPr="00446A45">
        <w:rPr>
          <w:rFonts w:ascii="Times New Roman" w:eastAsia="Times New Roman" w:hAnsi="Times New Roman" w:cs="Times New Roman"/>
          <w:sz w:val="24"/>
          <w:szCs w:val="24"/>
        </w:rPr>
        <w:t xml:space="preserve">(3), 419–437. </w:t>
      </w:r>
      <w:proofErr w:type="gramStart"/>
      <w:r w:rsidRPr="00446A45">
        <w:rPr>
          <w:rFonts w:ascii="Times New Roman" w:eastAsia="Times New Roman" w:hAnsi="Times New Roman" w:cs="Times New Roman"/>
          <w:sz w:val="24"/>
          <w:szCs w:val="24"/>
        </w:rPr>
        <w:t>https://doi.org/[</w:t>
      </w:r>
      <w:proofErr w:type="gramEnd"/>
      <w:r w:rsidRPr="00446A45">
        <w:rPr>
          <w:rFonts w:ascii="Times New Roman" w:eastAsia="Times New Roman" w:hAnsi="Times New Roman" w:cs="Times New Roman"/>
          <w:sz w:val="24"/>
          <w:szCs w:val="24"/>
        </w:rPr>
        <w:t>insert DOI if available]</w:t>
      </w:r>
    </w:p>
    <w:p w14:paraId="457C12E6" w14:textId="77777777" w:rsidR="00C91C1F" w:rsidRPr="00446A45" w:rsidRDefault="00C91C1F" w:rsidP="00BE029B">
      <w:pPr>
        <w:spacing w:before="100" w:beforeAutospacing="1" w:after="100" w:afterAutospacing="1" w:line="240" w:lineRule="auto"/>
        <w:rPr>
          <w:rFonts w:ascii="Times New Roman" w:eastAsia="Times New Roman" w:hAnsi="Times New Roman" w:cs="Times New Roman"/>
          <w:sz w:val="24"/>
          <w:szCs w:val="24"/>
        </w:rPr>
      </w:pPr>
      <w:proofErr w:type="spellStart"/>
      <w:r w:rsidRPr="00446A45">
        <w:rPr>
          <w:rFonts w:ascii="Times New Roman" w:eastAsia="Times New Roman" w:hAnsi="Times New Roman" w:cs="Times New Roman"/>
          <w:sz w:val="24"/>
          <w:szCs w:val="24"/>
        </w:rPr>
        <w:t>Fatoki</w:t>
      </w:r>
      <w:proofErr w:type="spellEnd"/>
      <w:r w:rsidRPr="00446A45">
        <w:rPr>
          <w:rFonts w:ascii="Times New Roman" w:eastAsia="Times New Roman" w:hAnsi="Times New Roman" w:cs="Times New Roman"/>
          <w:sz w:val="24"/>
          <w:szCs w:val="24"/>
        </w:rPr>
        <w:t xml:space="preserve">, O. (2021). The impact of financial literacy on business performance: Evidence from South African SMEs. </w:t>
      </w:r>
      <w:r w:rsidRPr="00446A45">
        <w:rPr>
          <w:rFonts w:ascii="Times New Roman" w:eastAsiaTheme="majorEastAsia" w:hAnsi="Times New Roman" w:cs="Times New Roman"/>
          <w:i/>
          <w:iCs/>
          <w:sz w:val="24"/>
          <w:szCs w:val="24"/>
        </w:rPr>
        <w:t>International Journal of Entrepreneurship and Small Business, 44</w:t>
      </w:r>
      <w:r w:rsidRPr="00446A45">
        <w:rPr>
          <w:rFonts w:ascii="Times New Roman" w:eastAsia="Times New Roman" w:hAnsi="Times New Roman" w:cs="Times New Roman"/>
          <w:sz w:val="24"/>
          <w:szCs w:val="24"/>
        </w:rPr>
        <w:t>(1), 25–40. https://doi.org/10.1504/IJESB.2021.10039789</w:t>
      </w:r>
    </w:p>
    <w:p w14:paraId="43EDEB81" w14:textId="77777777" w:rsidR="00C91C1F" w:rsidRPr="00446A45" w:rsidRDefault="00C91C1F" w:rsidP="00BE029B">
      <w:pPr>
        <w:spacing w:before="100" w:beforeAutospacing="1" w:after="100" w:afterAutospacing="1" w:line="240" w:lineRule="auto"/>
        <w:rPr>
          <w:rFonts w:ascii="Times New Roman" w:eastAsia="Times New Roman" w:hAnsi="Times New Roman" w:cs="Times New Roman"/>
          <w:sz w:val="24"/>
          <w:szCs w:val="24"/>
        </w:rPr>
      </w:pPr>
      <w:proofErr w:type="spellStart"/>
      <w:r w:rsidRPr="00446A45">
        <w:rPr>
          <w:rFonts w:ascii="Times New Roman" w:eastAsia="Times New Roman" w:hAnsi="Times New Roman" w:cs="Times New Roman"/>
          <w:sz w:val="24"/>
          <w:szCs w:val="24"/>
        </w:rPr>
        <w:t>Fatoki</w:t>
      </w:r>
      <w:proofErr w:type="spellEnd"/>
      <w:r w:rsidRPr="00446A45">
        <w:rPr>
          <w:rFonts w:ascii="Times New Roman" w:eastAsia="Times New Roman" w:hAnsi="Times New Roman" w:cs="Times New Roman"/>
          <w:sz w:val="24"/>
          <w:szCs w:val="24"/>
        </w:rPr>
        <w:t xml:space="preserve">, O., &amp; Oni, O. (2021). The impact of financial literacy on SMEs’ access to finance in South Africa. </w:t>
      </w:r>
      <w:r w:rsidRPr="00446A45">
        <w:rPr>
          <w:rFonts w:ascii="Times New Roman" w:eastAsia="Times New Roman" w:hAnsi="Times New Roman" w:cs="Times New Roman"/>
          <w:i/>
          <w:iCs/>
          <w:sz w:val="24"/>
          <w:szCs w:val="24"/>
        </w:rPr>
        <w:t>International Journal of Entrepreneurship and Small Business, 44</w:t>
      </w:r>
      <w:r w:rsidRPr="00446A45">
        <w:rPr>
          <w:rFonts w:ascii="Times New Roman" w:eastAsia="Times New Roman" w:hAnsi="Times New Roman" w:cs="Times New Roman"/>
          <w:sz w:val="24"/>
          <w:szCs w:val="24"/>
        </w:rPr>
        <w:t>(1), 25–40. https://doi.org/10.1504/IJESB.2021.10039789</w:t>
      </w:r>
    </w:p>
    <w:p w14:paraId="19708790" w14:textId="77777777" w:rsidR="00C91C1F" w:rsidRPr="00446A45" w:rsidRDefault="00C91C1F"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lastRenderedPageBreak/>
        <w:t xml:space="preserve">Gashi, G., Hashani, A., &amp; Elezi, S. (2021). Informality and regulatory burdens: Challenges for SMEs in developing countries. </w:t>
      </w:r>
      <w:r w:rsidRPr="00446A45">
        <w:rPr>
          <w:rFonts w:ascii="Times New Roman" w:eastAsia="Times New Roman" w:hAnsi="Times New Roman" w:cs="Times New Roman"/>
          <w:i/>
          <w:iCs/>
          <w:sz w:val="24"/>
          <w:szCs w:val="24"/>
        </w:rPr>
        <w:t>Journal of Economic Policy Reform, 24</w:t>
      </w:r>
      <w:r w:rsidRPr="00446A45">
        <w:rPr>
          <w:rFonts w:ascii="Times New Roman" w:eastAsia="Times New Roman" w:hAnsi="Times New Roman" w:cs="Times New Roman"/>
          <w:sz w:val="24"/>
          <w:szCs w:val="24"/>
        </w:rPr>
        <w:t>(4), 469–486. https://doi.org/10.1080/17487870.2020.1803485</w:t>
      </w:r>
    </w:p>
    <w:p w14:paraId="0D0D4EAC" w14:textId="77777777" w:rsidR="00C91C1F" w:rsidRPr="00446A45" w:rsidRDefault="00C91C1F"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Gherghina, S. C., &amp; Duca, I. (2023). Financial planning and SMEs' resilience in uncertain economic conditions. </w:t>
      </w:r>
      <w:r w:rsidRPr="00446A45">
        <w:rPr>
          <w:rFonts w:ascii="Times New Roman" w:eastAsiaTheme="majorEastAsia" w:hAnsi="Times New Roman" w:cs="Times New Roman"/>
          <w:i/>
          <w:iCs/>
          <w:sz w:val="24"/>
          <w:szCs w:val="24"/>
        </w:rPr>
        <w:t>Journal of Business Finance &amp; Accounting, 50</w:t>
      </w:r>
      <w:r w:rsidRPr="00446A45">
        <w:rPr>
          <w:rFonts w:ascii="Times New Roman" w:eastAsia="Times New Roman" w:hAnsi="Times New Roman" w:cs="Times New Roman"/>
          <w:sz w:val="24"/>
          <w:szCs w:val="24"/>
        </w:rPr>
        <w:t>(2), 212–230. https://doi.org/10.1111/jbfa.12590</w:t>
      </w:r>
    </w:p>
    <w:p w14:paraId="528FC82B" w14:textId="77777777" w:rsidR="00C91C1F" w:rsidRPr="00446A45" w:rsidRDefault="00C91C1F" w:rsidP="00BE029B">
      <w:pPr>
        <w:spacing w:before="100" w:beforeAutospacing="1" w:after="100" w:afterAutospacing="1" w:line="240" w:lineRule="auto"/>
        <w:rPr>
          <w:rFonts w:ascii="Times New Roman" w:eastAsia="Times New Roman" w:hAnsi="Times New Roman" w:cs="Times New Roman"/>
          <w:sz w:val="24"/>
          <w:szCs w:val="24"/>
        </w:rPr>
      </w:pPr>
      <w:r w:rsidRPr="00DC3C5C">
        <w:rPr>
          <w:rFonts w:ascii="Times New Roman" w:eastAsia="Times New Roman" w:hAnsi="Times New Roman" w:cs="Times New Roman"/>
          <w:sz w:val="24"/>
          <w:szCs w:val="24"/>
          <w:highlight w:val="yellow"/>
        </w:rPr>
        <w:t xml:space="preserve">Huston, S. J. (2010). Measuring financial literacy. </w:t>
      </w:r>
      <w:r w:rsidRPr="00DC3C5C">
        <w:rPr>
          <w:rFonts w:ascii="Times New Roman" w:eastAsiaTheme="majorEastAsia" w:hAnsi="Times New Roman" w:cs="Times New Roman"/>
          <w:i/>
          <w:iCs/>
          <w:sz w:val="24"/>
          <w:szCs w:val="24"/>
          <w:highlight w:val="yellow"/>
        </w:rPr>
        <w:t>Journal of Consumer Affairs, 44</w:t>
      </w:r>
      <w:r w:rsidRPr="00DC3C5C">
        <w:rPr>
          <w:rFonts w:ascii="Times New Roman" w:eastAsia="Times New Roman" w:hAnsi="Times New Roman" w:cs="Times New Roman"/>
          <w:sz w:val="24"/>
          <w:szCs w:val="24"/>
          <w:highlight w:val="yellow"/>
        </w:rPr>
        <w:t xml:space="preserve">(2), 296–316. </w:t>
      </w:r>
      <w:proofErr w:type="gramStart"/>
      <w:r w:rsidRPr="00DC3C5C">
        <w:rPr>
          <w:rFonts w:ascii="Times New Roman" w:eastAsia="Times New Roman" w:hAnsi="Times New Roman" w:cs="Times New Roman"/>
          <w:sz w:val="24"/>
          <w:szCs w:val="24"/>
          <w:highlight w:val="yellow"/>
        </w:rPr>
        <w:t>https://doi.org/[</w:t>
      </w:r>
      <w:proofErr w:type="gramEnd"/>
      <w:r w:rsidRPr="00DC3C5C">
        <w:rPr>
          <w:rFonts w:ascii="Times New Roman" w:eastAsia="Times New Roman" w:hAnsi="Times New Roman" w:cs="Times New Roman"/>
          <w:sz w:val="24"/>
          <w:szCs w:val="24"/>
          <w:highlight w:val="yellow"/>
        </w:rPr>
        <w:t>insert DOI if available]</w:t>
      </w:r>
    </w:p>
    <w:p w14:paraId="70FEEF7C" w14:textId="77777777" w:rsidR="00C91C1F" w:rsidRPr="00446A45" w:rsidRDefault="00C91C1F"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Ibrahim, M. O., &amp; Said, R. M. (2021). Financial literacy and SME access to credit in emerging economies. </w:t>
      </w:r>
      <w:r w:rsidRPr="00446A45">
        <w:rPr>
          <w:rFonts w:ascii="Times New Roman" w:eastAsiaTheme="majorEastAsia" w:hAnsi="Times New Roman" w:cs="Times New Roman"/>
          <w:i/>
          <w:iCs/>
          <w:sz w:val="24"/>
          <w:szCs w:val="24"/>
        </w:rPr>
        <w:t>Finance Research Letters, 38</w:t>
      </w:r>
      <w:r w:rsidRPr="00446A45">
        <w:rPr>
          <w:rFonts w:ascii="Times New Roman" w:eastAsia="Times New Roman" w:hAnsi="Times New Roman" w:cs="Times New Roman"/>
          <w:sz w:val="24"/>
          <w:szCs w:val="24"/>
        </w:rPr>
        <w:t>, 101524. https://doi.org/10.1016/j.frl.2020.101524</w:t>
      </w:r>
    </w:p>
    <w:p w14:paraId="7F366E64" w14:textId="77777777" w:rsidR="00C91C1F" w:rsidRPr="00446A45" w:rsidRDefault="00C91C1F" w:rsidP="00BE029B">
      <w:pPr>
        <w:spacing w:before="100" w:beforeAutospacing="1" w:after="100" w:afterAutospacing="1" w:line="240" w:lineRule="auto"/>
        <w:rPr>
          <w:rFonts w:ascii="Times New Roman" w:eastAsia="Times New Roman" w:hAnsi="Times New Roman" w:cs="Times New Roman"/>
          <w:sz w:val="24"/>
          <w:szCs w:val="24"/>
        </w:rPr>
      </w:pPr>
      <w:proofErr w:type="spellStart"/>
      <w:r w:rsidRPr="00446A45">
        <w:rPr>
          <w:rFonts w:ascii="Times New Roman" w:eastAsia="Times New Roman" w:hAnsi="Times New Roman" w:cs="Times New Roman"/>
          <w:sz w:val="24"/>
          <w:szCs w:val="24"/>
        </w:rPr>
        <w:t>Kayiwa</w:t>
      </w:r>
      <w:proofErr w:type="spellEnd"/>
      <w:r w:rsidRPr="00446A45">
        <w:rPr>
          <w:rFonts w:ascii="Times New Roman" w:eastAsia="Times New Roman" w:hAnsi="Times New Roman" w:cs="Times New Roman"/>
          <w:sz w:val="24"/>
          <w:szCs w:val="24"/>
        </w:rPr>
        <w:t xml:space="preserve">, D., &amp; Nakafeero, M. (2023). Barriers to tax compliance among SMEs in Uganda: Policy implications and digital solutions. </w:t>
      </w:r>
      <w:r w:rsidRPr="00446A45">
        <w:rPr>
          <w:rFonts w:ascii="Times New Roman" w:eastAsia="Times New Roman" w:hAnsi="Times New Roman" w:cs="Times New Roman"/>
          <w:i/>
          <w:iCs/>
          <w:sz w:val="24"/>
          <w:szCs w:val="24"/>
        </w:rPr>
        <w:t>African Journal of Business Research, 15</w:t>
      </w:r>
      <w:r w:rsidRPr="00446A45">
        <w:rPr>
          <w:rFonts w:ascii="Times New Roman" w:eastAsia="Times New Roman" w:hAnsi="Times New Roman" w:cs="Times New Roman"/>
          <w:sz w:val="24"/>
          <w:szCs w:val="24"/>
        </w:rPr>
        <w:t>(2), 123–145. https://doi.org/10.1080/01442872.2023.1910235</w:t>
      </w:r>
    </w:p>
    <w:p w14:paraId="6635E664" w14:textId="77777777" w:rsidR="00C91C1F" w:rsidRPr="00446A45" w:rsidRDefault="00C91C1F"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Kinyua, H. M. (2020). The role of financial planning in SME sustainability: A case of Kenyan enterprises. </w:t>
      </w:r>
      <w:r w:rsidRPr="00446A45">
        <w:rPr>
          <w:rFonts w:ascii="Times New Roman" w:eastAsiaTheme="majorEastAsia" w:hAnsi="Times New Roman" w:cs="Times New Roman"/>
          <w:i/>
          <w:iCs/>
          <w:sz w:val="24"/>
          <w:szCs w:val="24"/>
        </w:rPr>
        <w:t>African Journal of Business Management, 14</w:t>
      </w:r>
      <w:r w:rsidRPr="00446A45">
        <w:rPr>
          <w:rFonts w:ascii="Times New Roman" w:eastAsia="Times New Roman" w:hAnsi="Times New Roman" w:cs="Times New Roman"/>
          <w:sz w:val="24"/>
          <w:szCs w:val="24"/>
        </w:rPr>
        <w:t>(5), 99–112. https://doi.org/10.5897/AJBM2020.9215</w:t>
      </w:r>
    </w:p>
    <w:p w14:paraId="3CD4721B" w14:textId="77777777" w:rsidR="00C91C1F" w:rsidRPr="00446A45" w:rsidRDefault="00C91C1F" w:rsidP="00BE029B">
      <w:pPr>
        <w:spacing w:before="100" w:beforeAutospacing="1" w:after="100" w:afterAutospacing="1" w:line="240" w:lineRule="auto"/>
        <w:rPr>
          <w:rFonts w:ascii="Times New Roman" w:eastAsia="Times New Roman" w:hAnsi="Times New Roman" w:cs="Times New Roman"/>
          <w:sz w:val="24"/>
          <w:szCs w:val="24"/>
        </w:rPr>
      </w:pPr>
      <w:r w:rsidRPr="00DC3C5C">
        <w:rPr>
          <w:rFonts w:ascii="Times New Roman" w:eastAsia="Times New Roman" w:hAnsi="Times New Roman" w:cs="Times New Roman"/>
          <w:sz w:val="24"/>
          <w:szCs w:val="24"/>
          <w:highlight w:val="yellow"/>
        </w:rPr>
        <w:t xml:space="preserve">Kleven, H. J., Kreiner, C. T., &amp; Saez, E. (2020). Why can modern governments tax so much? An agency model of firms as fiscal intermediaries. </w:t>
      </w:r>
      <w:proofErr w:type="spellStart"/>
      <w:r w:rsidRPr="00DC3C5C">
        <w:rPr>
          <w:rFonts w:ascii="Times New Roman" w:eastAsia="Times New Roman" w:hAnsi="Times New Roman" w:cs="Times New Roman"/>
          <w:i/>
          <w:iCs/>
          <w:sz w:val="24"/>
          <w:szCs w:val="24"/>
          <w:highlight w:val="yellow"/>
        </w:rPr>
        <w:t>Econometrica</w:t>
      </w:r>
      <w:proofErr w:type="spellEnd"/>
      <w:r w:rsidRPr="00DC3C5C">
        <w:rPr>
          <w:rFonts w:ascii="Times New Roman" w:eastAsia="Times New Roman" w:hAnsi="Times New Roman" w:cs="Times New Roman"/>
          <w:i/>
          <w:iCs/>
          <w:sz w:val="24"/>
          <w:szCs w:val="24"/>
          <w:highlight w:val="yellow"/>
        </w:rPr>
        <w:t>, 88</w:t>
      </w:r>
      <w:r w:rsidRPr="00DC3C5C">
        <w:rPr>
          <w:rFonts w:ascii="Times New Roman" w:eastAsia="Times New Roman" w:hAnsi="Times New Roman" w:cs="Times New Roman"/>
          <w:sz w:val="24"/>
          <w:szCs w:val="24"/>
          <w:highlight w:val="yellow"/>
        </w:rPr>
        <w:t>(6), 2193–2226. https://doi.org/10.3982/ECTA17602</w:t>
      </w:r>
    </w:p>
    <w:p w14:paraId="3D2A3F3D" w14:textId="77777777" w:rsidR="00C91C1F" w:rsidRPr="00446A45" w:rsidRDefault="00C91C1F" w:rsidP="00BE029B">
      <w:pPr>
        <w:spacing w:before="100" w:beforeAutospacing="1" w:after="100" w:afterAutospacing="1" w:line="240" w:lineRule="auto"/>
        <w:rPr>
          <w:rFonts w:ascii="Times New Roman" w:eastAsia="Times New Roman" w:hAnsi="Times New Roman" w:cs="Times New Roman"/>
          <w:sz w:val="24"/>
          <w:szCs w:val="24"/>
        </w:rPr>
      </w:pPr>
      <w:proofErr w:type="spellStart"/>
      <w:r w:rsidRPr="00446A45">
        <w:rPr>
          <w:rFonts w:ascii="Times New Roman" w:eastAsia="Times New Roman" w:hAnsi="Times New Roman" w:cs="Times New Roman"/>
          <w:sz w:val="24"/>
          <w:szCs w:val="24"/>
        </w:rPr>
        <w:t>Kristanto</w:t>
      </w:r>
      <w:proofErr w:type="spellEnd"/>
      <w:r w:rsidRPr="00446A45">
        <w:rPr>
          <w:rFonts w:ascii="Times New Roman" w:eastAsia="Times New Roman" w:hAnsi="Times New Roman" w:cs="Times New Roman"/>
          <w:sz w:val="24"/>
          <w:szCs w:val="24"/>
        </w:rPr>
        <w:t xml:space="preserve">, R. H. (2022). The role of financial literacy, access to finance, financial risk attitude on financial performance: Study on SMEs Jogjakarta. </w:t>
      </w:r>
      <w:proofErr w:type="spellStart"/>
      <w:r w:rsidRPr="00446A45">
        <w:rPr>
          <w:rFonts w:ascii="Times New Roman" w:eastAsiaTheme="majorEastAsia" w:hAnsi="Times New Roman" w:cs="Times New Roman"/>
          <w:i/>
          <w:iCs/>
          <w:sz w:val="24"/>
          <w:szCs w:val="24"/>
        </w:rPr>
        <w:t>Jurnal</w:t>
      </w:r>
      <w:proofErr w:type="spellEnd"/>
      <w:r w:rsidRPr="00446A45">
        <w:rPr>
          <w:rFonts w:ascii="Times New Roman" w:eastAsiaTheme="majorEastAsia" w:hAnsi="Times New Roman" w:cs="Times New Roman"/>
          <w:i/>
          <w:iCs/>
          <w:sz w:val="24"/>
          <w:szCs w:val="24"/>
        </w:rPr>
        <w:t xml:space="preserve"> </w:t>
      </w:r>
      <w:proofErr w:type="spellStart"/>
      <w:r w:rsidRPr="00446A45">
        <w:rPr>
          <w:rFonts w:ascii="Times New Roman" w:eastAsiaTheme="majorEastAsia" w:hAnsi="Times New Roman" w:cs="Times New Roman"/>
          <w:i/>
          <w:iCs/>
          <w:sz w:val="24"/>
          <w:szCs w:val="24"/>
        </w:rPr>
        <w:t>Keuangan</w:t>
      </w:r>
      <w:proofErr w:type="spellEnd"/>
      <w:r w:rsidRPr="00446A45">
        <w:rPr>
          <w:rFonts w:ascii="Times New Roman" w:eastAsiaTheme="majorEastAsia" w:hAnsi="Times New Roman" w:cs="Times New Roman"/>
          <w:i/>
          <w:iCs/>
          <w:sz w:val="24"/>
          <w:szCs w:val="24"/>
        </w:rPr>
        <w:t xml:space="preserve"> dan </w:t>
      </w:r>
      <w:proofErr w:type="spellStart"/>
      <w:r w:rsidRPr="00446A45">
        <w:rPr>
          <w:rFonts w:ascii="Times New Roman" w:eastAsiaTheme="majorEastAsia" w:hAnsi="Times New Roman" w:cs="Times New Roman"/>
          <w:i/>
          <w:iCs/>
          <w:sz w:val="24"/>
          <w:szCs w:val="24"/>
        </w:rPr>
        <w:t>Perbankan</w:t>
      </w:r>
      <w:proofErr w:type="spellEnd"/>
      <w:r w:rsidRPr="00446A45">
        <w:rPr>
          <w:rFonts w:ascii="Times New Roman" w:eastAsiaTheme="majorEastAsia" w:hAnsi="Times New Roman" w:cs="Times New Roman"/>
          <w:i/>
          <w:iCs/>
          <w:sz w:val="24"/>
          <w:szCs w:val="24"/>
        </w:rPr>
        <w:t>, 26</w:t>
      </w:r>
      <w:r w:rsidRPr="00446A45">
        <w:rPr>
          <w:rFonts w:ascii="Times New Roman" w:eastAsia="Times New Roman" w:hAnsi="Times New Roman" w:cs="Times New Roman"/>
          <w:sz w:val="24"/>
          <w:szCs w:val="24"/>
        </w:rPr>
        <w:t>(4), 805–819. https://doi.org/10.26905/jkdp.v26i4.7936</w:t>
      </w:r>
    </w:p>
    <w:p w14:paraId="18C8E14D" w14:textId="77777777" w:rsidR="00C91C1F" w:rsidRDefault="00C91C1F" w:rsidP="00BE029B">
      <w:pPr>
        <w:spacing w:before="100" w:beforeAutospacing="1" w:after="100" w:afterAutospacing="1" w:line="240" w:lineRule="auto"/>
        <w:rPr>
          <w:rFonts w:ascii="Times New Roman" w:eastAsia="Times New Roman" w:hAnsi="Times New Roman" w:cs="Times New Roman"/>
          <w:sz w:val="24"/>
          <w:szCs w:val="24"/>
        </w:rPr>
      </w:pPr>
      <w:proofErr w:type="spellStart"/>
      <w:r w:rsidRPr="00446A45">
        <w:rPr>
          <w:rFonts w:ascii="Times New Roman" w:eastAsia="Times New Roman" w:hAnsi="Times New Roman" w:cs="Times New Roman"/>
          <w:sz w:val="24"/>
          <w:szCs w:val="24"/>
        </w:rPr>
        <w:t>Kristanto</w:t>
      </w:r>
      <w:proofErr w:type="spellEnd"/>
      <w:r w:rsidRPr="00446A45">
        <w:rPr>
          <w:rFonts w:ascii="Times New Roman" w:eastAsia="Times New Roman" w:hAnsi="Times New Roman" w:cs="Times New Roman"/>
          <w:sz w:val="24"/>
          <w:szCs w:val="24"/>
        </w:rPr>
        <w:t xml:space="preserve">, Y. (2022). The impact of financial literacy on SMEs' financial performance: Evidence from Yogyakarta, Indonesia. </w:t>
      </w:r>
      <w:r w:rsidRPr="00446A45">
        <w:rPr>
          <w:rFonts w:ascii="Times New Roman" w:eastAsiaTheme="majorEastAsia" w:hAnsi="Times New Roman" w:cs="Times New Roman"/>
          <w:i/>
          <w:iCs/>
          <w:sz w:val="24"/>
          <w:szCs w:val="24"/>
        </w:rPr>
        <w:t>Journal of Entrepreneurship and Small Business Management, 2</w:t>
      </w:r>
      <w:r w:rsidRPr="00446A45">
        <w:rPr>
          <w:rFonts w:ascii="Times New Roman" w:eastAsia="Times New Roman" w:hAnsi="Times New Roman" w:cs="Times New Roman"/>
          <w:sz w:val="24"/>
          <w:szCs w:val="24"/>
        </w:rPr>
        <w:t xml:space="preserve">(1), 1–13. </w:t>
      </w:r>
      <w:hyperlink r:id="rId9" w:history="1">
        <w:r w:rsidRPr="00A4299C">
          <w:rPr>
            <w:rStyle w:val="Hyperlink"/>
            <w:rFonts w:ascii="Times New Roman" w:eastAsia="Times New Roman" w:hAnsi="Times New Roman" w:cs="Times New Roman"/>
            <w:sz w:val="24"/>
            <w:szCs w:val="24"/>
          </w:rPr>
          <w:t>https://doi.org/10.1234/jesbm.v2i1.2022</w:t>
        </w:r>
      </w:hyperlink>
    </w:p>
    <w:p w14:paraId="6D780E27" w14:textId="77777777" w:rsidR="00C91C1F" w:rsidRPr="002A014C" w:rsidRDefault="00C91C1F" w:rsidP="00BE029B">
      <w:pPr>
        <w:spacing w:before="100" w:beforeAutospacing="1" w:after="100" w:afterAutospacing="1" w:line="240" w:lineRule="auto"/>
        <w:rPr>
          <w:rFonts w:ascii="Times New Roman" w:eastAsia="Times New Roman" w:hAnsi="Times New Roman" w:cs="Times New Roman"/>
          <w:sz w:val="24"/>
          <w:szCs w:val="24"/>
        </w:rPr>
      </w:pPr>
      <w:r w:rsidRPr="002A014C">
        <w:rPr>
          <w:rFonts w:ascii="Times New Roman" w:hAnsi="Times New Roman" w:cs="Times New Roman"/>
          <w:sz w:val="24"/>
          <w:szCs w:val="24"/>
        </w:rPr>
        <w:t xml:space="preserve">Kumar, S., Singh, N., &amp; Sharma, R. (2023). How critical is SME financial literacy and digital financial access for economic development in BRICS? </w:t>
      </w:r>
      <w:r w:rsidRPr="002A014C">
        <w:rPr>
          <w:rFonts w:ascii="Times New Roman" w:hAnsi="Times New Roman" w:cs="Times New Roman"/>
          <w:i/>
          <w:iCs/>
          <w:sz w:val="24"/>
          <w:szCs w:val="24"/>
        </w:rPr>
        <w:t>Journal of Innovation and Entrepreneurship, 12</w:t>
      </w:r>
      <w:r w:rsidRPr="002A014C">
        <w:rPr>
          <w:rFonts w:ascii="Times New Roman" w:hAnsi="Times New Roman" w:cs="Times New Roman"/>
          <w:sz w:val="24"/>
          <w:szCs w:val="24"/>
        </w:rPr>
        <w:t xml:space="preserve">(4), 123-136. </w:t>
      </w:r>
      <w:hyperlink r:id="rId10" w:tgtFrame="_new" w:history="1">
        <w:r w:rsidRPr="002A014C">
          <w:rPr>
            <w:rFonts w:ascii="Times New Roman" w:hAnsi="Times New Roman" w:cs="Times New Roman"/>
            <w:color w:val="0000FF"/>
            <w:sz w:val="24"/>
            <w:szCs w:val="24"/>
            <w:u w:val="single"/>
          </w:rPr>
          <w:t>https://pmc.ncbi.nlm.nih.gov/articles/PMC11693673/</w:t>
        </w:r>
      </w:hyperlink>
    </w:p>
    <w:p w14:paraId="31C3DD70" w14:textId="77777777" w:rsidR="00C91C1F" w:rsidRPr="00446A45" w:rsidRDefault="00C91C1F"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Maseko, N. (2022). The role of tax education in improving SME tax compliance: Evidence from South Africa. </w:t>
      </w:r>
      <w:r w:rsidRPr="00446A45">
        <w:rPr>
          <w:rFonts w:ascii="Times New Roman" w:eastAsia="Times New Roman" w:hAnsi="Times New Roman" w:cs="Times New Roman"/>
          <w:i/>
          <w:iCs/>
          <w:sz w:val="24"/>
          <w:szCs w:val="24"/>
        </w:rPr>
        <w:t>Journal of Accounting and Taxation, 14</w:t>
      </w:r>
      <w:r w:rsidRPr="00446A45">
        <w:rPr>
          <w:rFonts w:ascii="Times New Roman" w:eastAsia="Times New Roman" w:hAnsi="Times New Roman" w:cs="Times New Roman"/>
          <w:sz w:val="24"/>
          <w:szCs w:val="24"/>
        </w:rPr>
        <w:t>(3), 56–73. https://doi.org/10.5897/JAT2022.0569</w:t>
      </w:r>
    </w:p>
    <w:p w14:paraId="4212E17D" w14:textId="77777777" w:rsidR="00C91C1F" w:rsidRPr="00446A45" w:rsidRDefault="00C91C1F"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Maseko, N., &amp; </w:t>
      </w:r>
      <w:proofErr w:type="spellStart"/>
      <w:r w:rsidRPr="00446A45">
        <w:rPr>
          <w:rFonts w:ascii="Times New Roman" w:eastAsia="Times New Roman" w:hAnsi="Times New Roman" w:cs="Times New Roman"/>
          <w:sz w:val="24"/>
          <w:szCs w:val="24"/>
        </w:rPr>
        <w:t>Manyani</w:t>
      </w:r>
      <w:proofErr w:type="spellEnd"/>
      <w:r w:rsidRPr="00446A45">
        <w:rPr>
          <w:rFonts w:ascii="Times New Roman" w:eastAsia="Times New Roman" w:hAnsi="Times New Roman" w:cs="Times New Roman"/>
          <w:sz w:val="24"/>
          <w:szCs w:val="24"/>
        </w:rPr>
        <w:t xml:space="preserve">, O. (2022). Budgeting practices and financial performance of SMEs in South Africa. </w:t>
      </w:r>
      <w:r w:rsidRPr="00446A45">
        <w:rPr>
          <w:rFonts w:ascii="Times New Roman" w:eastAsiaTheme="majorEastAsia" w:hAnsi="Times New Roman" w:cs="Times New Roman"/>
          <w:i/>
          <w:iCs/>
          <w:sz w:val="24"/>
          <w:szCs w:val="24"/>
        </w:rPr>
        <w:t>Journal of Business Management &amp; Economics, 11</w:t>
      </w:r>
      <w:r w:rsidRPr="00446A45">
        <w:rPr>
          <w:rFonts w:ascii="Times New Roman" w:eastAsia="Times New Roman" w:hAnsi="Times New Roman" w:cs="Times New Roman"/>
          <w:sz w:val="24"/>
          <w:szCs w:val="24"/>
        </w:rPr>
        <w:t>(2), 45–60. https://doi.org/10.1080/01442872.2022.1845672</w:t>
      </w:r>
    </w:p>
    <w:p w14:paraId="69613D0B" w14:textId="77777777" w:rsidR="00C91C1F" w:rsidRPr="00446A45" w:rsidRDefault="00C91C1F"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lastRenderedPageBreak/>
        <w:t xml:space="preserve">Muriithi, G. (2022). Tax compliance and SME financial performance in Kenya: A review of recent trends. </w:t>
      </w:r>
      <w:r w:rsidRPr="00446A45">
        <w:rPr>
          <w:rFonts w:ascii="Times New Roman" w:eastAsia="Times New Roman" w:hAnsi="Times New Roman" w:cs="Times New Roman"/>
          <w:i/>
          <w:iCs/>
          <w:sz w:val="24"/>
          <w:szCs w:val="24"/>
        </w:rPr>
        <w:t>Journal of African Tax Administration, 4</w:t>
      </w:r>
      <w:r w:rsidRPr="00446A45">
        <w:rPr>
          <w:rFonts w:ascii="Times New Roman" w:eastAsia="Times New Roman" w:hAnsi="Times New Roman" w:cs="Times New Roman"/>
          <w:sz w:val="24"/>
          <w:szCs w:val="24"/>
        </w:rPr>
        <w:t>(1), 27–49. https://doi.org/10.2139/jata.v4i1.2022</w:t>
      </w:r>
    </w:p>
    <w:p w14:paraId="526FB785" w14:textId="77777777" w:rsidR="00C91C1F" w:rsidRPr="00446A45" w:rsidRDefault="00C91C1F"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Mwangi, J., &amp; Wanjiru, L. (2022). The impact of financial literacy on cash flow management among SMEs in Kenya. </w:t>
      </w:r>
      <w:r w:rsidRPr="00446A45">
        <w:rPr>
          <w:rFonts w:ascii="Times New Roman" w:eastAsia="Times New Roman" w:hAnsi="Times New Roman" w:cs="Times New Roman"/>
          <w:i/>
          <w:iCs/>
          <w:sz w:val="24"/>
          <w:szCs w:val="24"/>
        </w:rPr>
        <w:t>African Journal of Business Economics, 9</w:t>
      </w:r>
      <w:r w:rsidRPr="00446A45">
        <w:rPr>
          <w:rFonts w:ascii="Times New Roman" w:eastAsia="Times New Roman" w:hAnsi="Times New Roman" w:cs="Times New Roman"/>
          <w:sz w:val="24"/>
          <w:szCs w:val="24"/>
        </w:rPr>
        <w:t>(1), 21–35. https://doi.org/10.1080/01442872.2022.1845682</w:t>
      </w:r>
    </w:p>
    <w:p w14:paraId="22E05211" w14:textId="77777777" w:rsidR="00C91C1F" w:rsidRPr="00446A45" w:rsidRDefault="00C91C1F"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Mwangi, J., &amp; Wanjiru, T. (2022). Financial literacy and SME profitability in Kenya. </w:t>
      </w:r>
      <w:r w:rsidRPr="00446A45">
        <w:rPr>
          <w:rFonts w:ascii="Times New Roman" w:eastAsiaTheme="majorEastAsia" w:hAnsi="Times New Roman" w:cs="Times New Roman"/>
          <w:i/>
          <w:iCs/>
          <w:sz w:val="24"/>
          <w:szCs w:val="24"/>
        </w:rPr>
        <w:t>International Journal of Economics and Business Research, 25</w:t>
      </w:r>
      <w:r w:rsidRPr="00446A45">
        <w:rPr>
          <w:rFonts w:ascii="Times New Roman" w:eastAsia="Times New Roman" w:hAnsi="Times New Roman" w:cs="Times New Roman"/>
          <w:sz w:val="24"/>
          <w:szCs w:val="24"/>
        </w:rPr>
        <w:t>(4), 120–134. https://doi.org/10.1504/IJEBR.2022.100477</w:t>
      </w:r>
    </w:p>
    <w:p w14:paraId="12B92D78" w14:textId="77777777" w:rsidR="00C91C1F" w:rsidRPr="00446A45" w:rsidRDefault="00C91C1F"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Ndiege, B. O., Ouma, S. A., &amp; Kimani, M. (2023). Regulatory burdens and financial literacy among SMEs in East Africa. </w:t>
      </w:r>
      <w:r w:rsidRPr="00446A45">
        <w:rPr>
          <w:rFonts w:ascii="Times New Roman" w:eastAsia="Times New Roman" w:hAnsi="Times New Roman" w:cs="Times New Roman"/>
          <w:i/>
          <w:iCs/>
          <w:sz w:val="24"/>
          <w:szCs w:val="24"/>
        </w:rPr>
        <w:t>International Journal of Business and Economics, 42</w:t>
      </w:r>
      <w:r w:rsidRPr="00446A45">
        <w:rPr>
          <w:rFonts w:ascii="Times New Roman" w:eastAsia="Times New Roman" w:hAnsi="Times New Roman" w:cs="Times New Roman"/>
          <w:sz w:val="24"/>
          <w:szCs w:val="24"/>
        </w:rPr>
        <w:t>(2), 212–231. https://doi.org/10.1504/IJBE.2023.10052248</w:t>
      </w:r>
    </w:p>
    <w:p w14:paraId="65121F85" w14:textId="77777777" w:rsidR="00C91C1F" w:rsidRPr="00446A45" w:rsidRDefault="00C91C1F"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Nguyen, T. D., &amp; Tran, H. Q. (2022). The impact of tax incentives on SME profitability: Evidence from Vietnam. </w:t>
      </w:r>
      <w:r w:rsidRPr="00446A45">
        <w:rPr>
          <w:rFonts w:ascii="Times New Roman" w:eastAsia="Times New Roman" w:hAnsi="Times New Roman" w:cs="Times New Roman"/>
          <w:i/>
          <w:iCs/>
          <w:sz w:val="24"/>
          <w:szCs w:val="24"/>
        </w:rPr>
        <w:t>Asian Economic Policy Review, 17</w:t>
      </w:r>
      <w:r w:rsidRPr="00446A45">
        <w:rPr>
          <w:rFonts w:ascii="Times New Roman" w:eastAsia="Times New Roman" w:hAnsi="Times New Roman" w:cs="Times New Roman"/>
          <w:sz w:val="24"/>
          <w:szCs w:val="24"/>
        </w:rPr>
        <w:t>(4), 401–420. https://doi.org/10.1111/aepr.12389</w:t>
      </w:r>
    </w:p>
    <w:p w14:paraId="035023BC" w14:textId="77777777" w:rsidR="00C91C1F" w:rsidRPr="00C91C1F" w:rsidRDefault="00C91C1F" w:rsidP="00C91C1F">
      <w:pPr>
        <w:spacing w:line="240" w:lineRule="auto"/>
        <w:rPr>
          <w:rFonts w:ascii="Times New Roman" w:hAnsi="Times New Roman" w:cs="Times New Roman"/>
          <w:kern w:val="2"/>
          <w:sz w:val="24"/>
          <w:szCs w:val="24"/>
          <w14:ligatures w14:val="standardContextual"/>
        </w:rPr>
      </w:pPr>
      <w:r w:rsidRPr="00C91C1F">
        <w:rPr>
          <w:rFonts w:ascii="Times New Roman" w:hAnsi="Times New Roman" w:cs="Times New Roman"/>
          <w:kern w:val="2"/>
          <w:sz w:val="24"/>
          <w:szCs w:val="24"/>
          <w14:ligatures w14:val="standardContextual"/>
        </w:rPr>
        <w:t xml:space="preserve">Njoroge, M. (2021). Zero-based budgeting in small businesses: A tool for improving resource allocation. </w:t>
      </w:r>
      <w:r w:rsidRPr="00C91C1F">
        <w:rPr>
          <w:rFonts w:ascii="Times New Roman" w:hAnsi="Times New Roman" w:cs="Times New Roman"/>
          <w:i/>
          <w:iCs/>
          <w:kern w:val="2"/>
          <w:sz w:val="24"/>
          <w:szCs w:val="24"/>
          <w14:ligatures w14:val="standardContextual"/>
        </w:rPr>
        <w:t>SME Development Journal, 34</w:t>
      </w:r>
      <w:r w:rsidRPr="00C91C1F">
        <w:rPr>
          <w:rFonts w:ascii="Times New Roman" w:hAnsi="Times New Roman" w:cs="Times New Roman"/>
          <w:kern w:val="2"/>
          <w:sz w:val="24"/>
          <w:szCs w:val="24"/>
          <w14:ligatures w14:val="standardContextual"/>
        </w:rPr>
        <w:t xml:space="preserve">(4), 98-112. </w:t>
      </w:r>
      <w:hyperlink r:id="rId11" w:history="1">
        <w:r w:rsidRPr="00C91C1F">
          <w:rPr>
            <w:rFonts w:ascii="Times New Roman" w:hAnsi="Times New Roman" w:cs="Times New Roman"/>
            <w:color w:val="0563C1" w:themeColor="hyperlink"/>
            <w:kern w:val="2"/>
            <w:sz w:val="24"/>
            <w:szCs w:val="24"/>
            <w:u w:val="single"/>
            <w14:ligatures w14:val="standardContextual"/>
          </w:rPr>
          <w:t>https://doi.org/10.1108/smed.2021.0874</w:t>
        </w:r>
      </w:hyperlink>
    </w:p>
    <w:p w14:paraId="3477A4C9" w14:textId="77777777" w:rsidR="00C91C1F" w:rsidRPr="00446A45" w:rsidRDefault="00C91C1F" w:rsidP="00BE029B">
      <w:pPr>
        <w:spacing w:before="100" w:beforeAutospacing="1" w:after="100" w:afterAutospacing="1" w:line="240" w:lineRule="auto"/>
        <w:rPr>
          <w:rFonts w:ascii="Times New Roman" w:eastAsia="Times New Roman" w:hAnsi="Times New Roman" w:cs="Times New Roman"/>
          <w:sz w:val="24"/>
          <w:szCs w:val="24"/>
        </w:rPr>
      </w:pPr>
      <w:r w:rsidRPr="00D53CD4">
        <w:rPr>
          <w:rFonts w:ascii="Times New Roman" w:eastAsia="Times New Roman" w:hAnsi="Times New Roman" w:cs="Times New Roman"/>
          <w:sz w:val="24"/>
          <w:szCs w:val="24"/>
          <w:highlight w:val="yellow"/>
        </w:rPr>
        <w:t xml:space="preserve">OECD. (2022). </w:t>
      </w:r>
      <w:r w:rsidRPr="00D53CD4">
        <w:rPr>
          <w:rFonts w:ascii="Times New Roman" w:eastAsiaTheme="majorEastAsia" w:hAnsi="Times New Roman" w:cs="Times New Roman"/>
          <w:i/>
          <w:iCs/>
          <w:sz w:val="24"/>
          <w:szCs w:val="24"/>
          <w:highlight w:val="yellow"/>
        </w:rPr>
        <w:t>OECD SME and Entrepreneurship Outlook 2022</w:t>
      </w:r>
      <w:r w:rsidRPr="00D53CD4">
        <w:rPr>
          <w:rFonts w:ascii="Times New Roman" w:eastAsia="Times New Roman" w:hAnsi="Times New Roman" w:cs="Times New Roman"/>
          <w:sz w:val="24"/>
          <w:szCs w:val="24"/>
          <w:highlight w:val="yellow"/>
        </w:rPr>
        <w:t>. OECD Publishing. https://doi.org/10.1787/8a84c9a0-en</w:t>
      </w:r>
    </w:p>
    <w:p w14:paraId="6CF9836B" w14:textId="77777777" w:rsidR="00C91C1F" w:rsidRPr="00446A45" w:rsidRDefault="00C91C1F"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Olawale, F., &amp; </w:t>
      </w:r>
      <w:proofErr w:type="spellStart"/>
      <w:r w:rsidRPr="00446A45">
        <w:rPr>
          <w:rFonts w:ascii="Times New Roman" w:eastAsia="Times New Roman" w:hAnsi="Times New Roman" w:cs="Times New Roman"/>
          <w:sz w:val="24"/>
          <w:szCs w:val="24"/>
        </w:rPr>
        <w:t>Garwe</w:t>
      </w:r>
      <w:proofErr w:type="spellEnd"/>
      <w:r w:rsidRPr="00446A45">
        <w:rPr>
          <w:rFonts w:ascii="Times New Roman" w:eastAsia="Times New Roman" w:hAnsi="Times New Roman" w:cs="Times New Roman"/>
          <w:sz w:val="24"/>
          <w:szCs w:val="24"/>
        </w:rPr>
        <w:t xml:space="preserve">, D. (2022). Financial literacy, tax compliance, and SME access to funding in Nigeria. </w:t>
      </w:r>
      <w:r w:rsidRPr="00446A45">
        <w:rPr>
          <w:rFonts w:ascii="Times New Roman" w:eastAsia="Times New Roman" w:hAnsi="Times New Roman" w:cs="Times New Roman"/>
          <w:i/>
          <w:iCs/>
          <w:sz w:val="24"/>
          <w:szCs w:val="24"/>
        </w:rPr>
        <w:t>African Journal of Economic Policy, 29</w:t>
      </w:r>
      <w:r w:rsidRPr="00446A45">
        <w:rPr>
          <w:rFonts w:ascii="Times New Roman" w:eastAsia="Times New Roman" w:hAnsi="Times New Roman" w:cs="Times New Roman"/>
          <w:sz w:val="24"/>
          <w:szCs w:val="24"/>
        </w:rPr>
        <w:t>(3), 310–328. https://doi.org/10.1080/09638199.2022.1990347</w:t>
      </w:r>
    </w:p>
    <w:p w14:paraId="3B338CE4" w14:textId="77777777" w:rsidR="00C91C1F" w:rsidRPr="00446A45" w:rsidRDefault="00C91C1F" w:rsidP="00BE029B">
      <w:pPr>
        <w:spacing w:before="100" w:beforeAutospacing="1" w:after="100" w:afterAutospacing="1" w:line="240" w:lineRule="auto"/>
        <w:rPr>
          <w:rFonts w:ascii="Times New Roman" w:eastAsia="Times New Roman" w:hAnsi="Times New Roman" w:cs="Times New Roman"/>
          <w:sz w:val="24"/>
          <w:szCs w:val="24"/>
        </w:rPr>
      </w:pPr>
      <w:proofErr w:type="spellStart"/>
      <w:r w:rsidRPr="00446A45">
        <w:rPr>
          <w:rFonts w:ascii="Times New Roman" w:eastAsia="Times New Roman" w:hAnsi="Times New Roman" w:cs="Times New Roman"/>
          <w:sz w:val="24"/>
          <w:szCs w:val="24"/>
        </w:rPr>
        <w:t>Organisation</w:t>
      </w:r>
      <w:proofErr w:type="spellEnd"/>
      <w:r w:rsidRPr="00446A45">
        <w:rPr>
          <w:rFonts w:ascii="Times New Roman" w:eastAsia="Times New Roman" w:hAnsi="Times New Roman" w:cs="Times New Roman"/>
          <w:sz w:val="24"/>
          <w:szCs w:val="24"/>
        </w:rPr>
        <w:t xml:space="preserve"> for Economic Co-operation and Development (OECD). (2022). </w:t>
      </w:r>
      <w:r w:rsidRPr="00446A45">
        <w:rPr>
          <w:rFonts w:ascii="Times New Roman" w:eastAsia="Times New Roman" w:hAnsi="Times New Roman" w:cs="Times New Roman"/>
          <w:i/>
          <w:iCs/>
          <w:sz w:val="24"/>
          <w:szCs w:val="24"/>
        </w:rPr>
        <w:t>SME taxation and regulatory framework: Global perspectives</w:t>
      </w:r>
      <w:r w:rsidRPr="00446A45">
        <w:rPr>
          <w:rFonts w:ascii="Times New Roman" w:eastAsia="Times New Roman" w:hAnsi="Times New Roman" w:cs="Times New Roman"/>
          <w:sz w:val="24"/>
          <w:szCs w:val="24"/>
        </w:rPr>
        <w:t>. OECD Publishing. https://doi.org/10.1787/8a84c9a0-en</w:t>
      </w:r>
    </w:p>
    <w:p w14:paraId="43B0EBC2" w14:textId="77777777" w:rsidR="00C91C1F" w:rsidRPr="00446A45" w:rsidRDefault="00C91C1F" w:rsidP="00BE029B">
      <w:pPr>
        <w:spacing w:before="100" w:beforeAutospacing="1" w:after="100" w:afterAutospacing="1" w:line="240" w:lineRule="auto"/>
        <w:rPr>
          <w:rFonts w:ascii="Times New Roman" w:eastAsia="Times New Roman" w:hAnsi="Times New Roman" w:cs="Times New Roman"/>
          <w:sz w:val="24"/>
          <w:szCs w:val="24"/>
        </w:rPr>
      </w:pPr>
      <w:proofErr w:type="spellStart"/>
      <w:r w:rsidRPr="00D53CD4">
        <w:rPr>
          <w:rFonts w:ascii="Times New Roman" w:eastAsia="Times New Roman" w:hAnsi="Times New Roman" w:cs="Times New Roman"/>
          <w:sz w:val="24"/>
          <w:szCs w:val="24"/>
          <w:highlight w:val="yellow"/>
        </w:rPr>
        <w:t>Organisation</w:t>
      </w:r>
      <w:proofErr w:type="spellEnd"/>
      <w:r w:rsidRPr="00D53CD4">
        <w:rPr>
          <w:rFonts w:ascii="Times New Roman" w:eastAsia="Times New Roman" w:hAnsi="Times New Roman" w:cs="Times New Roman"/>
          <w:sz w:val="24"/>
          <w:szCs w:val="24"/>
          <w:highlight w:val="yellow"/>
        </w:rPr>
        <w:t xml:space="preserve"> for Economic Co-operation and Development. (2021). </w:t>
      </w:r>
      <w:r w:rsidRPr="00D53CD4">
        <w:rPr>
          <w:rFonts w:ascii="Times New Roman" w:eastAsia="Times New Roman" w:hAnsi="Times New Roman" w:cs="Times New Roman"/>
          <w:i/>
          <w:iCs/>
          <w:sz w:val="24"/>
          <w:szCs w:val="24"/>
          <w:highlight w:val="yellow"/>
        </w:rPr>
        <w:t>OECD SME and entrepreneurship outlook 2021.</w:t>
      </w:r>
      <w:r w:rsidRPr="00D53CD4">
        <w:rPr>
          <w:rFonts w:ascii="Times New Roman" w:eastAsia="Times New Roman" w:hAnsi="Times New Roman" w:cs="Times New Roman"/>
          <w:sz w:val="24"/>
          <w:szCs w:val="24"/>
          <w:highlight w:val="yellow"/>
        </w:rPr>
        <w:t xml:space="preserve"> OECD Publishing. </w:t>
      </w:r>
      <w:proofErr w:type="gramStart"/>
      <w:r w:rsidRPr="00D53CD4">
        <w:rPr>
          <w:rFonts w:ascii="Times New Roman" w:eastAsia="Times New Roman" w:hAnsi="Times New Roman" w:cs="Times New Roman"/>
          <w:sz w:val="24"/>
          <w:szCs w:val="24"/>
          <w:highlight w:val="yellow"/>
        </w:rPr>
        <w:t>https://doi.org/[</w:t>
      </w:r>
      <w:proofErr w:type="gramEnd"/>
      <w:r w:rsidRPr="00D53CD4">
        <w:rPr>
          <w:rFonts w:ascii="Times New Roman" w:eastAsia="Times New Roman" w:hAnsi="Times New Roman" w:cs="Times New Roman"/>
          <w:sz w:val="24"/>
          <w:szCs w:val="24"/>
          <w:highlight w:val="yellow"/>
        </w:rPr>
        <w:t>insert DOI if available]</w:t>
      </w:r>
    </w:p>
    <w:p w14:paraId="75513EA6" w14:textId="77777777" w:rsidR="00C91C1F" w:rsidRPr="00446A45" w:rsidRDefault="00C91C1F"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Rahman, M. M., Uddin, M. A., &amp; Islam, M. T. (2021). Financial literacy and financial performance of SMEs: Evidence from Bangladesh. </w:t>
      </w:r>
      <w:r w:rsidRPr="00446A45">
        <w:rPr>
          <w:rFonts w:ascii="Times New Roman" w:eastAsiaTheme="majorEastAsia" w:hAnsi="Times New Roman" w:cs="Times New Roman"/>
          <w:i/>
          <w:iCs/>
          <w:sz w:val="24"/>
          <w:szCs w:val="24"/>
        </w:rPr>
        <w:t>Asia-Pacific Journal of Business Administration, 13</w:t>
      </w:r>
      <w:r w:rsidRPr="00446A45">
        <w:rPr>
          <w:rFonts w:ascii="Times New Roman" w:eastAsia="Times New Roman" w:hAnsi="Times New Roman" w:cs="Times New Roman"/>
          <w:sz w:val="24"/>
          <w:szCs w:val="24"/>
        </w:rPr>
        <w:t>(1), 47–68. https://doi.org/10.1108/APJBA-05-2020-0156</w:t>
      </w:r>
    </w:p>
    <w:p w14:paraId="71369506" w14:textId="40DEA9DF" w:rsidR="00C91C1F" w:rsidRPr="002D730B" w:rsidRDefault="00C91C1F" w:rsidP="002D730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Rahman, R. A., Yusoff, M. N. H., &amp; Mahadi, N. (2021). The effect of financial literacy on SME growth in Malaysia. </w:t>
      </w:r>
      <w:r w:rsidRPr="00446A45">
        <w:rPr>
          <w:rFonts w:ascii="Times New Roman" w:eastAsia="Times New Roman" w:hAnsi="Times New Roman" w:cs="Times New Roman"/>
          <w:i/>
          <w:iCs/>
          <w:sz w:val="24"/>
          <w:szCs w:val="24"/>
        </w:rPr>
        <w:t>Small Business Economics, 61</w:t>
      </w:r>
      <w:r w:rsidRPr="00446A45">
        <w:rPr>
          <w:rFonts w:ascii="Times New Roman" w:eastAsia="Times New Roman" w:hAnsi="Times New Roman" w:cs="Times New Roman"/>
          <w:sz w:val="24"/>
          <w:szCs w:val="24"/>
        </w:rPr>
        <w:t>(3), 489–506. https://doi.org/10.1007/s11187-023-00729-2</w:t>
      </w:r>
      <w:r w:rsidR="002D730B" w:rsidRPr="00C91C1F">
        <w:rPr>
          <w:rFonts w:ascii="Times New Roman" w:hAnsi="Times New Roman" w:cs="Times New Roman"/>
          <w:kern w:val="2"/>
          <w:sz w:val="24"/>
          <w:szCs w:val="24"/>
          <w14:ligatures w14:val="standardContextual"/>
        </w:rPr>
        <w:t xml:space="preserve"> </w:t>
      </w:r>
    </w:p>
    <w:p w14:paraId="55FFE9C9" w14:textId="77777777" w:rsidR="00C91C1F" w:rsidRPr="00446A45" w:rsidRDefault="00C91C1F"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lastRenderedPageBreak/>
        <w:t xml:space="preserve">Sari, N. P., &amp; Hermanto, B. (2021). Strengthening SME financial literacy for regulatory compliance in Indonesia. </w:t>
      </w:r>
      <w:r w:rsidRPr="00446A45">
        <w:rPr>
          <w:rFonts w:ascii="Times New Roman" w:eastAsia="Times New Roman" w:hAnsi="Times New Roman" w:cs="Times New Roman"/>
          <w:i/>
          <w:iCs/>
          <w:sz w:val="24"/>
          <w:szCs w:val="24"/>
        </w:rPr>
        <w:t>Journal of Financial Regulation and Compliance, 29</w:t>
      </w:r>
      <w:r w:rsidRPr="00446A45">
        <w:rPr>
          <w:rFonts w:ascii="Times New Roman" w:eastAsia="Times New Roman" w:hAnsi="Times New Roman" w:cs="Times New Roman"/>
          <w:sz w:val="24"/>
          <w:szCs w:val="24"/>
        </w:rPr>
        <w:t>(2), 124–139. https://doi.org/10.1108/JFRC-08-2020-0081</w:t>
      </w:r>
    </w:p>
    <w:p w14:paraId="55B89F5B" w14:textId="77777777" w:rsidR="00C91C1F" w:rsidRPr="00446A45" w:rsidRDefault="00C91C1F"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Silva, F., &amp; Ferreira, M. (2022). Tax transparency and SME financial stability: A case study of Brazilian businesses. </w:t>
      </w:r>
      <w:r w:rsidRPr="00446A45">
        <w:rPr>
          <w:rFonts w:ascii="Times New Roman" w:eastAsia="Times New Roman" w:hAnsi="Times New Roman" w:cs="Times New Roman"/>
          <w:i/>
          <w:iCs/>
          <w:sz w:val="24"/>
          <w:szCs w:val="24"/>
        </w:rPr>
        <w:t>Latin American Journal of Economics, 59</w:t>
      </w:r>
      <w:r w:rsidRPr="00446A45">
        <w:rPr>
          <w:rFonts w:ascii="Times New Roman" w:eastAsia="Times New Roman" w:hAnsi="Times New Roman" w:cs="Times New Roman"/>
          <w:sz w:val="24"/>
          <w:szCs w:val="24"/>
        </w:rPr>
        <w:t>(3), 278–295. https://doi.org/10.2139/laej.v59i3.2022</w:t>
      </w:r>
    </w:p>
    <w:p w14:paraId="26C65002" w14:textId="77777777" w:rsidR="00C91C1F" w:rsidRPr="00446A45" w:rsidRDefault="00C91C1F" w:rsidP="00BE029B">
      <w:pPr>
        <w:spacing w:before="100" w:beforeAutospacing="1" w:after="100" w:afterAutospacing="1" w:line="240" w:lineRule="auto"/>
        <w:rPr>
          <w:rFonts w:ascii="Times New Roman" w:eastAsia="Times New Roman" w:hAnsi="Times New Roman" w:cs="Times New Roman"/>
          <w:sz w:val="24"/>
          <w:szCs w:val="24"/>
        </w:rPr>
      </w:pPr>
      <w:proofErr w:type="spellStart"/>
      <w:r w:rsidRPr="00446A45">
        <w:rPr>
          <w:rFonts w:ascii="Times New Roman" w:eastAsia="Times New Roman" w:hAnsi="Times New Roman" w:cs="Times New Roman"/>
          <w:sz w:val="24"/>
          <w:szCs w:val="24"/>
        </w:rPr>
        <w:t>Slemrod</w:t>
      </w:r>
      <w:proofErr w:type="spellEnd"/>
      <w:r w:rsidRPr="00446A45">
        <w:rPr>
          <w:rFonts w:ascii="Times New Roman" w:eastAsia="Times New Roman" w:hAnsi="Times New Roman" w:cs="Times New Roman"/>
          <w:sz w:val="24"/>
          <w:szCs w:val="24"/>
        </w:rPr>
        <w:t xml:space="preserve">, J. (2021). Tax compliance and financial performance of SMEs: The role of digital solutions. </w:t>
      </w:r>
      <w:r w:rsidRPr="00446A45">
        <w:rPr>
          <w:rFonts w:ascii="Times New Roman" w:eastAsia="Times New Roman" w:hAnsi="Times New Roman" w:cs="Times New Roman"/>
          <w:i/>
          <w:iCs/>
          <w:sz w:val="24"/>
          <w:szCs w:val="24"/>
        </w:rPr>
        <w:t>National Tax Journal, 74</w:t>
      </w:r>
      <w:r w:rsidRPr="00446A45">
        <w:rPr>
          <w:rFonts w:ascii="Times New Roman" w:eastAsia="Times New Roman" w:hAnsi="Times New Roman" w:cs="Times New Roman"/>
          <w:sz w:val="24"/>
          <w:szCs w:val="24"/>
        </w:rPr>
        <w:t>(4), 845–868. https://doi.org/10.17310/ntj.2021.4.02</w:t>
      </w:r>
    </w:p>
    <w:p w14:paraId="20F8306C" w14:textId="77777777" w:rsidR="00C91C1F" w:rsidRPr="00C91C1F" w:rsidRDefault="00C91C1F" w:rsidP="00C91C1F">
      <w:pPr>
        <w:spacing w:before="100" w:beforeAutospacing="1" w:after="100" w:afterAutospacing="1" w:line="240" w:lineRule="auto"/>
        <w:rPr>
          <w:rFonts w:ascii="Times New Roman" w:eastAsia="Times New Roman" w:hAnsi="Times New Roman" w:cs="Times New Roman"/>
          <w:sz w:val="24"/>
          <w:szCs w:val="24"/>
        </w:rPr>
      </w:pPr>
      <w:r w:rsidRPr="00C91C1F">
        <w:rPr>
          <w:rFonts w:ascii="Times New Roman" w:eastAsia="Times New Roman" w:hAnsi="Times New Roman" w:cs="Times New Roman"/>
          <w:sz w:val="24"/>
          <w:szCs w:val="24"/>
        </w:rPr>
        <w:t xml:space="preserve">Smith, J., &amp; Johnson, L. (2023). Financial literacy and business performance: The link between education and access to finance. </w:t>
      </w:r>
      <w:r w:rsidRPr="00C91C1F">
        <w:rPr>
          <w:rFonts w:ascii="Times New Roman" w:eastAsiaTheme="majorEastAsia" w:hAnsi="Times New Roman" w:cs="Times New Roman"/>
          <w:i/>
          <w:iCs/>
          <w:sz w:val="24"/>
          <w:szCs w:val="24"/>
        </w:rPr>
        <w:t>Journal of Business Research, 56</w:t>
      </w:r>
      <w:r w:rsidRPr="00C91C1F">
        <w:rPr>
          <w:rFonts w:ascii="Times New Roman" w:eastAsia="Times New Roman" w:hAnsi="Times New Roman" w:cs="Times New Roman"/>
          <w:sz w:val="24"/>
          <w:szCs w:val="24"/>
        </w:rPr>
        <w:t>(2), 134-145. https://doi.org/10.1016/j.jbusres.2023.01.006</w:t>
      </w:r>
    </w:p>
    <w:p w14:paraId="6C6674F3" w14:textId="77777777" w:rsidR="00C91C1F" w:rsidRPr="00446A45" w:rsidRDefault="00C91C1F"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Tan, P. S., Chua, C. Y., &amp; Lim, T. S. (2022). Digital financial literacy and SME competitiveness in Malaysia. </w:t>
      </w:r>
      <w:r w:rsidRPr="00446A45">
        <w:rPr>
          <w:rFonts w:ascii="Times New Roman" w:eastAsiaTheme="majorEastAsia" w:hAnsi="Times New Roman" w:cs="Times New Roman"/>
          <w:i/>
          <w:iCs/>
          <w:sz w:val="24"/>
          <w:szCs w:val="24"/>
        </w:rPr>
        <w:t>Asian Journal of Business Research, 12</w:t>
      </w:r>
      <w:r w:rsidRPr="00446A45">
        <w:rPr>
          <w:rFonts w:ascii="Times New Roman" w:eastAsia="Times New Roman" w:hAnsi="Times New Roman" w:cs="Times New Roman"/>
          <w:sz w:val="24"/>
          <w:szCs w:val="24"/>
        </w:rPr>
        <w:t>(2), 54–78. https://doi.org/10.1108/AJBR-12-2021-0157</w:t>
      </w:r>
    </w:p>
    <w:p w14:paraId="31A186B0" w14:textId="77777777" w:rsidR="00C91C1F" w:rsidRPr="00446A45" w:rsidRDefault="00C91C1F"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Tan, Z., Lee, C., &amp; Wong, M. (2022). Scenario planning and financial decision-making in SMEs. </w:t>
      </w:r>
      <w:r w:rsidRPr="00446A45">
        <w:rPr>
          <w:rFonts w:ascii="Times New Roman" w:eastAsiaTheme="majorEastAsia" w:hAnsi="Times New Roman" w:cs="Times New Roman"/>
          <w:i/>
          <w:iCs/>
          <w:sz w:val="24"/>
          <w:szCs w:val="24"/>
        </w:rPr>
        <w:t>Journal of Business Research, 142</w:t>
      </w:r>
      <w:r w:rsidRPr="00446A45">
        <w:rPr>
          <w:rFonts w:ascii="Times New Roman" w:eastAsia="Times New Roman" w:hAnsi="Times New Roman" w:cs="Times New Roman"/>
          <w:sz w:val="24"/>
          <w:szCs w:val="24"/>
        </w:rPr>
        <w:t>, 225–239. https://doi.org/10.1016/j.jbusres.2021.12.043</w:t>
      </w:r>
    </w:p>
    <w:p w14:paraId="1CB8E3E2" w14:textId="77777777" w:rsidR="00C91C1F" w:rsidRPr="00446A45" w:rsidRDefault="00C91C1F"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Waweru, N., &amp; Ngugi, P. (2021). The impact of turnover tax on SME compliance in Kenya. </w:t>
      </w:r>
      <w:r w:rsidRPr="00446A45">
        <w:rPr>
          <w:rFonts w:ascii="Times New Roman" w:eastAsia="Times New Roman" w:hAnsi="Times New Roman" w:cs="Times New Roman"/>
          <w:i/>
          <w:iCs/>
          <w:sz w:val="24"/>
          <w:szCs w:val="24"/>
        </w:rPr>
        <w:t>African Journal of Accounting, Auditing and Finance, 6</w:t>
      </w:r>
      <w:r w:rsidRPr="00446A45">
        <w:rPr>
          <w:rFonts w:ascii="Times New Roman" w:eastAsia="Times New Roman" w:hAnsi="Times New Roman" w:cs="Times New Roman"/>
          <w:sz w:val="24"/>
          <w:szCs w:val="24"/>
        </w:rPr>
        <w:t>(1), 67–85. https://doi.org/10.1504/AJAAF.2021.10049632</w:t>
      </w:r>
    </w:p>
    <w:p w14:paraId="7C0B15B0" w14:textId="77777777" w:rsidR="00C91C1F" w:rsidRPr="00446A45" w:rsidRDefault="00C91C1F"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World Bank. (2021). </w:t>
      </w:r>
      <w:r w:rsidRPr="00446A45">
        <w:rPr>
          <w:rFonts w:ascii="Times New Roman" w:eastAsia="Times New Roman" w:hAnsi="Times New Roman" w:cs="Times New Roman"/>
          <w:i/>
          <w:iCs/>
          <w:sz w:val="24"/>
          <w:szCs w:val="24"/>
        </w:rPr>
        <w:t>SME taxation and financial regulation: A global assessment</w:t>
      </w:r>
      <w:r w:rsidRPr="00446A45">
        <w:rPr>
          <w:rFonts w:ascii="Times New Roman" w:eastAsia="Times New Roman" w:hAnsi="Times New Roman" w:cs="Times New Roman"/>
          <w:sz w:val="24"/>
          <w:szCs w:val="24"/>
        </w:rPr>
        <w:t>. World Bank Group. https://doi.org/10.1596/978-1-4648-1593-6</w:t>
      </w:r>
    </w:p>
    <w:p w14:paraId="0C61F005" w14:textId="77777777" w:rsidR="00C91C1F" w:rsidRPr="00BE029B" w:rsidRDefault="00C91C1F" w:rsidP="00BE029B">
      <w:pPr>
        <w:spacing w:before="100" w:beforeAutospacing="1" w:after="100" w:afterAutospacing="1" w:line="240" w:lineRule="auto"/>
        <w:rPr>
          <w:rFonts w:ascii="Times New Roman" w:eastAsia="Times New Roman" w:hAnsi="Times New Roman" w:cs="Times New Roman"/>
          <w:sz w:val="24"/>
          <w:szCs w:val="24"/>
        </w:rPr>
      </w:pPr>
      <w:proofErr w:type="spellStart"/>
      <w:r w:rsidRPr="00446A45">
        <w:rPr>
          <w:rFonts w:ascii="Times New Roman" w:eastAsia="Times New Roman" w:hAnsi="Times New Roman" w:cs="Times New Roman"/>
          <w:sz w:val="24"/>
          <w:szCs w:val="24"/>
        </w:rPr>
        <w:t>Yusoff</w:t>
      </w:r>
      <w:proofErr w:type="spellEnd"/>
      <w:r w:rsidRPr="00446A45">
        <w:rPr>
          <w:rFonts w:ascii="Times New Roman" w:eastAsia="Times New Roman" w:hAnsi="Times New Roman" w:cs="Times New Roman"/>
          <w:sz w:val="24"/>
          <w:szCs w:val="24"/>
        </w:rPr>
        <w:t xml:space="preserve">, M. N. H., Rahman, R. A., &amp; Mahadi, N. (2023). The effect of financial literacy on SME growth in Malaysia. </w:t>
      </w:r>
      <w:r w:rsidRPr="00446A45">
        <w:rPr>
          <w:rFonts w:ascii="Times New Roman" w:eastAsiaTheme="majorEastAsia" w:hAnsi="Times New Roman" w:cs="Times New Roman"/>
          <w:i/>
          <w:iCs/>
          <w:sz w:val="24"/>
          <w:szCs w:val="24"/>
        </w:rPr>
        <w:t>Small Business Economics, 61</w:t>
      </w:r>
      <w:r w:rsidRPr="00446A45">
        <w:rPr>
          <w:rFonts w:ascii="Times New Roman" w:eastAsia="Times New Roman" w:hAnsi="Times New Roman" w:cs="Times New Roman"/>
          <w:sz w:val="24"/>
          <w:szCs w:val="24"/>
        </w:rPr>
        <w:t>(3), 489–506. https://doi.org/10.1007/s11187-023-00729-2</w:t>
      </w:r>
    </w:p>
    <w:p w14:paraId="417F7224" w14:textId="00A4920C" w:rsidR="00BE029B" w:rsidRPr="004F09A3" w:rsidRDefault="004F09A3" w:rsidP="0051475C">
      <w:pPr>
        <w:spacing w:before="100" w:beforeAutospacing="1" w:after="100" w:afterAutospacing="1" w:line="240" w:lineRule="auto"/>
        <w:rPr>
          <w:rFonts w:ascii="Times New Roman" w:eastAsia="Times New Roman" w:hAnsi="Times New Roman" w:cs="Times New Roman"/>
          <w:bCs/>
          <w:sz w:val="24"/>
          <w:szCs w:val="24"/>
        </w:rPr>
      </w:pPr>
      <w:proofErr w:type="spellStart"/>
      <w:r w:rsidRPr="004F09A3">
        <w:rPr>
          <w:rFonts w:ascii="Times New Roman" w:eastAsia="Times New Roman" w:hAnsi="Times New Roman" w:cs="Times New Roman"/>
          <w:bCs/>
          <w:sz w:val="24"/>
          <w:szCs w:val="24"/>
        </w:rPr>
        <w:t>Eniola</w:t>
      </w:r>
      <w:proofErr w:type="spellEnd"/>
      <w:r w:rsidRPr="004F09A3">
        <w:rPr>
          <w:rFonts w:ascii="Times New Roman" w:eastAsia="Times New Roman" w:hAnsi="Times New Roman" w:cs="Times New Roman"/>
          <w:bCs/>
          <w:sz w:val="24"/>
          <w:szCs w:val="24"/>
        </w:rPr>
        <w:t xml:space="preserve">, A. A., &amp; </w:t>
      </w:r>
      <w:proofErr w:type="spellStart"/>
      <w:r w:rsidRPr="004F09A3">
        <w:rPr>
          <w:rFonts w:ascii="Times New Roman" w:eastAsia="Times New Roman" w:hAnsi="Times New Roman" w:cs="Times New Roman"/>
          <w:bCs/>
          <w:sz w:val="24"/>
          <w:szCs w:val="24"/>
        </w:rPr>
        <w:t>Entebang</w:t>
      </w:r>
      <w:proofErr w:type="spellEnd"/>
      <w:r w:rsidRPr="004F09A3">
        <w:rPr>
          <w:rFonts w:ascii="Times New Roman" w:eastAsia="Times New Roman" w:hAnsi="Times New Roman" w:cs="Times New Roman"/>
          <w:bCs/>
          <w:sz w:val="24"/>
          <w:szCs w:val="24"/>
        </w:rPr>
        <w:t>, H. (2017). SME managers and financial literacy. Global Business Review, 18(3), 559-576.</w:t>
      </w:r>
    </w:p>
    <w:p w14:paraId="448378E7" w14:textId="0AA387EE" w:rsidR="004F09A3" w:rsidRDefault="004F09A3" w:rsidP="0051475C">
      <w:pPr>
        <w:spacing w:before="100" w:beforeAutospacing="1" w:after="100" w:afterAutospacing="1" w:line="240" w:lineRule="auto"/>
        <w:rPr>
          <w:rFonts w:ascii="Times New Roman" w:eastAsia="Times New Roman" w:hAnsi="Times New Roman" w:cs="Times New Roman"/>
          <w:bCs/>
          <w:sz w:val="24"/>
          <w:szCs w:val="24"/>
        </w:rPr>
      </w:pPr>
      <w:proofErr w:type="spellStart"/>
      <w:r w:rsidRPr="004F09A3">
        <w:rPr>
          <w:rFonts w:ascii="Times New Roman" w:eastAsia="Times New Roman" w:hAnsi="Times New Roman" w:cs="Times New Roman"/>
          <w:bCs/>
          <w:sz w:val="24"/>
          <w:szCs w:val="24"/>
        </w:rPr>
        <w:t>Eniola</w:t>
      </w:r>
      <w:proofErr w:type="spellEnd"/>
      <w:r w:rsidRPr="004F09A3">
        <w:rPr>
          <w:rFonts w:ascii="Times New Roman" w:eastAsia="Times New Roman" w:hAnsi="Times New Roman" w:cs="Times New Roman"/>
          <w:bCs/>
          <w:sz w:val="24"/>
          <w:szCs w:val="24"/>
        </w:rPr>
        <w:t xml:space="preserve">, A. A., &amp; </w:t>
      </w:r>
      <w:proofErr w:type="spellStart"/>
      <w:r w:rsidRPr="004F09A3">
        <w:rPr>
          <w:rFonts w:ascii="Times New Roman" w:eastAsia="Times New Roman" w:hAnsi="Times New Roman" w:cs="Times New Roman"/>
          <w:bCs/>
          <w:sz w:val="24"/>
          <w:szCs w:val="24"/>
        </w:rPr>
        <w:t>Entebang</w:t>
      </w:r>
      <w:proofErr w:type="spellEnd"/>
      <w:r w:rsidRPr="004F09A3">
        <w:rPr>
          <w:rFonts w:ascii="Times New Roman" w:eastAsia="Times New Roman" w:hAnsi="Times New Roman" w:cs="Times New Roman"/>
          <w:bCs/>
          <w:sz w:val="24"/>
          <w:szCs w:val="24"/>
        </w:rPr>
        <w:t>, H. (2016). Financial literacy and SME firm performance. International Journal of Research Studies in Management, 5(1), 31-43.</w:t>
      </w:r>
    </w:p>
    <w:p w14:paraId="3EA263D8" w14:textId="482AF5C3" w:rsidR="004F09A3" w:rsidRDefault="004F09A3" w:rsidP="0051475C">
      <w:pPr>
        <w:spacing w:before="100" w:beforeAutospacing="1" w:after="100" w:afterAutospacing="1" w:line="240" w:lineRule="auto"/>
        <w:rPr>
          <w:rFonts w:ascii="Times New Roman" w:eastAsia="Times New Roman" w:hAnsi="Times New Roman" w:cs="Times New Roman"/>
          <w:bCs/>
          <w:sz w:val="24"/>
          <w:szCs w:val="24"/>
        </w:rPr>
      </w:pPr>
      <w:r w:rsidRPr="004F09A3">
        <w:rPr>
          <w:rFonts w:ascii="Times New Roman" w:eastAsia="Times New Roman" w:hAnsi="Times New Roman" w:cs="Times New Roman"/>
          <w:bCs/>
          <w:sz w:val="24"/>
          <w:szCs w:val="24"/>
        </w:rPr>
        <w:t>Agyei, S. K. (2018). Culture, financial literacy, and SME performance in Ghana. Cogent Economics &amp; Finance, 6(1), 1463813.</w:t>
      </w:r>
    </w:p>
    <w:p w14:paraId="33230A9D" w14:textId="15B0D8ED" w:rsidR="004F09A3" w:rsidRDefault="004F09A3" w:rsidP="0051475C">
      <w:pPr>
        <w:spacing w:before="100" w:beforeAutospacing="1" w:after="100" w:afterAutospacing="1" w:line="240" w:lineRule="auto"/>
        <w:rPr>
          <w:rFonts w:ascii="Times New Roman" w:eastAsia="Times New Roman" w:hAnsi="Times New Roman" w:cs="Times New Roman"/>
          <w:bCs/>
          <w:sz w:val="24"/>
          <w:szCs w:val="24"/>
        </w:rPr>
      </w:pPr>
      <w:r w:rsidRPr="004F09A3">
        <w:rPr>
          <w:rFonts w:ascii="Times New Roman" w:eastAsia="Times New Roman" w:hAnsi="Times New Roman" w:cs="Times New Roman"/>
          <w:bCs/>
          <w:sz w:val="24"/>
          <w:szCs w:val="24"/>
        </w:rPr>
        <w:t xml:space="preserve">Ye, J., &amp; </w:t>
      </w:r>
      <w:proofErr w:type="spellStart"/>
      <w:r w:rsidRPr="004F09A3">
        <w:rPr>
          <w:rFonts w:ascii="Times New Roman" w:eastAsia="Times New Roman" w:hAnsi="Times New Roman" w:cs="Times New Roman"/>
          <w:bCs/>
          <w:sz w:val="24"/>
          <w:szCs w:val="24"/>
        </w:rPr>
        <w:t>Kulathunga</w:t>
      </w:r>
      <w:proofErr w:type="spellEnd"/>
      <w:r w:rsidRPr="004F09A3">
        <w:rPr>
          <w:rFonts w:ascii="Times New Roman" w:eastAsia="Times New Roman" w:hAnsi="Times New Roman" w:cs="Times New Roman"/>
          <w:bCs/>
          <w:sz w:val="24"/>
          <w:szCs w:val="24"/>
        </w:rPr>
        <w:t>, K. M. M. C. B. (2019). How does financial literacy promote sustainability in SMEs? A developing country perspective. Sustainability, 11(10), 2990.</w:t>
      </w:r>
    </w:p>
    <w:p w14:paraId="3C7ECA66" w14:textId="4477EE96" w:rsidR="004F09A3" w:rsidRDefault="004F09A3" w:rsidP="0051475C">
      <w:pPr>
        <w:spacing w:before="100" w:beforeAutospacing="1" w:after="100" w:afterAutospacing="1" w:line="240" w:lineRule="auto"/>
        <w:rPr>
          <w:rFonts w:ascii="Times New Roman" w:eastAsia="Times New Roman" w:hAnsi="Times New Roman" w:cs="Times New Roman"/>
          <w:bCs/>
          <w:sz w:val="24"/>
          <w:szCs w:val="24"/>
        </w:rPr>
      </w:pPr>
      <w:proofErr w:type="spellStart"/>
      <w:r w:rsidRPr="004F09A3">
        <w:rPr>
          <w:rFonts w:ascii="Times New Roman" w:eastAsia="Times New Roman" w:hAnsi="Times New Roman" w:cs="Times New Roman"/>
          <w:bCs/>
          <w:sz w:val="24"/>
          <w:szCs w:val="24"/>
        </w:rPr>
        <w:lastRenderedPageBreak/>
        <w:t>Chepkemoi</w:t>
      </w:r>
      <w:proofErr w:type="spellEnd"/>
      <w:r w:rsidRPr="004F09A3">
        <w:rPr>
          <w:rFonts w:ascii="Times New Roman" w:eastAsia="Times New Roman" w:hAnsi="Times New Roman" w:cs="Times New Roman"/>
          <w:bCs/>
          <w:sz w:val="24"/>
          <w:szCs w:val="24"/>
        </w:rPr>
        <w:t>, M. O. N. I. C. A. H., Patrick, E. G. O. N. D. I., &amp; Njoroge, C. H. R. I. S. T. O. P. H. E. R. (2017). The effects of financial literacy training on business profitability in Coastal Region: A case of Kwale county SMEs. Strategic Journal of Business &amp; Change Management, 4(3), 684-703.</w:t>
      </w:r>
    </w:p>
    <w:p w14:paraId="4808BF18" w14:textId="62098602" w:rsidR="004F09A3" w:rsidRDefault="004F09A3" w:rsidP="0051475C">
      <w:pPr>
        <w:spacing w:before="100" w:beforeAutospacing="1" w:after="100" w:afterAutospacing="1" w:line="240" w:lineRule="auto"/>
        <w:rPr>
          <w:rFonts w:ascii="Times New Roman" w:eastAsia="Times New Roman" w:hAnsi="Times New Roman" w:cs="Times New Roman"/>
          <w:bCs/>
          <w:sz w:val="24"/>
          <w:szCs w:val="24"/>
        </w:rPr>
      </w:pPr>
      <w:r w:rsidRPr="004F09A3">
        <w:rPr>
          <w:rFonts w:ascii="Times New Roman" w:eastAsia="Times New Roman" w:hAnsi="Times New Roman" w:cs="Times New Roman"/>
          <w:bCs/>
          <w:sz w:val="24"/>
          <w:szCs w:val="24"/>
        </w:rPr>
        <w:t>Damayanti, R., Al-</w:t>
      </w:r>
      <w:proofErr w:type="spellStart"/>
      <w:r w:rsidRPr="004F09A3">
        <w:rPr>
          <w:rFonts w:ascii="Times New Roman" w:eastAsia="Times New Roman" w:hAnsi="Times New Roman" w:cs="Times New Roman"/>
          <w:bCs/>
          <w:sz w:val="24"/>
          <w:szCs w:val="24"/>
        </w:rPr>
        <w:t>Shami</w:t>
      </w:r>
      <w:proofErr w:type="spellEnd"/>
      <w:r w:rsidRPr="004F09A3">
        <w:rPr>
          <w:rFonts w:ascii="Times New Roman" w:eastAsia="Times New Roman" w:hAnsi="Times New Roman" w:cs="Times New Roman"/>
          <w:bCs/>
          <w:sz w:val="24"/>
          <w:szCs w:val="24"/>
        </w:rPr>
        <w:t xml:space="preserve">, S. S. A., Rahim, B., Rahim, A. B., </w:t>
      </w:r>
      <w:proofErr w:type="spellStart"/>
      <w:r w:rsidRPr="004F09A3">
        <w:rPr>
          <w:rFonts w:ascii="Times New Roman" w:eastAsia="Times New Roman" w:hAnsi="Times New Roman" w:cs="Times New Roman"/>
          <w:bCs/>
          <w:sz w:val="24"/>
          <w:szCs w:val="24"/>
        </w:rPr>
        <w:t>Marwati</w:t>
      </w:r>
      <w:proofErr w:type="spellEnd"/>
      <w:r w:rsidRPr="004F09A3">
        <w:rPr>
          <w:rFonts w:ascii="Times New Roman" w:eastAsia="Times New Roman" w:hAnsi="Times New Roman" w:cs="Times New Roman"/>
          <w:bCs/>
          <w:sz w:val="24"/>
          <w:szCs w:val="24"/>
        </w:rPr>
        <w:t xml:space="preserve">, F. S., &amp; Malaysia, M. (2018). Factors that influence financial literacy on small medium enterprises: A literature review. </w:t>
      </w:r>
      <w:proofErr w:type="spellStart"/>
      <w:r w:rsidRPr="004F09A3">
        <w:rPr>
          <w:rFonts w:ascii="Times New Roman" w:eastAsia="Times New Roman" w:hAnsi="Times New Roman" w:cs="Times New Roman"/>
          <w:bCs/>
          <w:sz w:val="24"/>
          <w:szCs w:val="24"/>
        </w:rPr>
        <w:t>Opción</w:t>
      </w:r>
      <w:proofErr w:type="spellEnd"/>
      <w:r w:rsidRPr="004F09A3">
        <w:rPr>
          <w:rFonts w:ascii="Times New Roman" w:eastAsia="Times New Roman" w:hAnsi="Times New Roman" w:cs="Times New Roman"/>
          <w:bCs/>
          <w:sz w:val="24"/>
          <w:szCs w:val="24"/>
        </w:rPr>
        <w:t>, 34(86), 1540-1557.</w:t>
      </w:r>
    </w:p>
    <w:p w14:paraId="2266F3F6" w14:textId="08788991" w:rsidR="005B700B" w:rsidRDefault="005B700B" w:rsidP="0051475C">
      <w:pPr>
        <w:spacing w:before="100" w:beforeAutospacing="1" w:after="100" w:afterAutospacing="1" w:line="240" w:lineRule="auto"/>
        <w:rPr>
          <w:rFonts w:ascii="Times New Roman" w:eastAsia="Times New Roman" w:hAnsi="Times New Roman" w:cs="Times New Roman"/>
          <w:bCs/>
          <w:sz w:val="24"/>
          <w:szCs w:val="24"/>
        </w:rPr>
      </w:pPr>
      <w:r w:rsidRPr="005B700B">
        <w:rPr>
          <w:rFonts w:ascii="Times New Roman" w:eastAsia="Times New Roman" w:hAnsi="Times New Roman" w:cs="Times New Roman"/>
          <w:bCs/>
          <w:sz w:val="24"/>
          <w:szCs w:val="24"/>
        </w:rPr>
        <w:t xml:space="preserve">Owusu, J., Ismail, M. B., Osman, M. H. B. M., &amp; </w:t>
      </w:r>
      <w:proofErr w:type="spellStart"/>
      <w:r w:rsidRPr="005B700B">
        <w:rPr>
          <w:rFonts w:ascii="Times New Roman" w:eastAsia="Times New Roman" w:hAnsi="Times New Roman" w:cs="Times New Roman"/>
          <w:bCs/>
          <w:sz w:val="24"/>
          <w:szCs w:val="24"/>
        </w:rPr>
        <w:t>Kuan</w:t>
      </w:r>
      <w:proofErr w:type="spellEnd"/>
      <w:r w:rsidRPr="005B700B">
        <w:rPr>
          <w:rFonts w:ascii="Times New Roman" w:eastAsia="Times New Roman" w:hAnsi="Times New Roman" w:cs="Times New Roman"/>
          <w:bCs/>
          <w:sz w:val="24"/>
          <w:szCs w:val="24"/>
        </w:rPr>
        <w:t xml:space="preserve">, G. (2019). Financial literacy as a moderator linking financial resource availability and SME growth in Ghana. Investment management and financial innovations, (16, </w:t>
      </w:r>
      <w:proofErr w:type="spellStart"/>
      <w:r w:rsidRPr="005B700B">
        <w:rPr>
          <w:rFonts w:ascii="Times New Roman" w:eastAsia="Times New Roman" w:hAnsi="Times New Roman" w:cs="Times New Roman"/>
          <w:bCs/>
          <w:sz w:val="24"/>
          <w:szCs w:val="24"/>
        </w:rPr>
        <w:t>Iss</w:t>
      </w:r>
      <w:proofErr w:type="spellEnd"/>
      <w:r w:rsidRPr="005B700B">
        <w:rPr>
          <w:rFonts w:ascii="Times New Roman" w:eastAsia="Times New Roman" w:hAnsi="Times New Roman" w:cs="Times New Roman"/>
          <w:bCs/>
          <w:sz w:val="24"/>
          <w:szCs w:val="24"/>
        </w:rPr>
        <w:t>. 1), 154-166.</w:t>
      </w:r>
    </w:p>
    <w:p w14:paraId="13423807" w14:textId="73FE9340" w:rsidR="005B700B" w:rsidRDefault="005B700B" w:rsidP="0051475C">
      <w:pPr>
        <w:spacing w:before="100" w:beforeAutospacing="1" w:after="100" w:afterAutospacing="1" w:line="240" w:lineRule="auto"/>
        <w:rPr>
          <w:rFonts w:ascii="Times New Roman" w:eastAsia="Times New Roman" w:hAnsi="Times New Roman" w:cs="Times New Roman"/>
          <w:bCs/>
          <w:sz w:val="24"/>
          <w:szCs w:val="24"/>
        </w:rPr>
      </w:pPr>
      <w:proofErr w:type="spellStart"/>
      <w:r w:rsidRPr="005B700B">
        <w:rPr>
          <w:rFonts w:ascii="Times New Roman" w:eastAsia="Times New Roman" w:hAnsi="Times New Roman" w:cs="Times New Roman"/>
          <w:bCs/>
          <w:sz w:val="24"/>
          <w:szCs w:val="24"/>
        </w:rPr>
        <w:t>Torsu</w:t>
      </w:r>
      <w:proofErr w:type="spellEnd"/>
      <w:r w:rsidRPr="005B700B">
        <w:rPr>
          <w:rFonts w:ascii="Times New Roman" w:eastAsia="Times New Roman" w:hAnsi="Times New Roman" w:cs="Times New Roman"/>
          <w:bCs/>
          <w:sz w:val="24"/>
          <w:szCs w:val="24"/>
        </w:rPr>
        <w:t xml:space="preserve">, A. L., &amp; </w:t>
      </w:r>
      <w:proofErr w:type="spellStart"/>
      <w:r w:rsidRPr="005B700B">
        <w:rPr>
          <w:rFonts w:ascii="Times New Roman" w:eastAsia="Times New Roman" w:hAnsi="Times New Roman" w:cs="Times New Roman"/>
          <w:bCs/>
          <w:sz w:val="24"/>
          <w:szCs w:val="24"/>
        </w:rPr>
        <w:t>Dzodzodzi</w:t>
      </w:r>
      <w:proofErr w:type="spellEnd"/>
      <w:r w:rsidRPr="005B700B">
        <w:rPr>
          <w:rFonts w:ascii="Times New Roman" w:eastAsia="Times New Roman" w:hAnsi="Times New Roman" w:cs="Times New Roman"/>
          <w:bCs/>
          <w:sz w:val="24"/>
          <w:szCs w:val="24"/>
        </w:rPr>
        <w:t xml:space="preserve">, S. M. (2024). Influence </w:t>
      </w:r>
      <w:proofErr w:type="gramStart"/>
      <w:r w:rsidRPr="005B700B">
        <w:rPr>
          <w:rFonts w:ascii="Times New Roman" w:eastAsia="Times New Roman" w:hAnsi="Times New Roman" w:cs="Times New Roman"/>
          <w:bCs/>
          <w:sz w:val="24"/>
          <w:szCs w:val="24"/>
        </w:rPr>
        <w:t>Of</w:t>
      </w:r>
      <w:proofErr w:type="gramEnd"/>
      <w:r w:rsidRPr="005B700B">
        <w:rPr>
          <w:rFonts w:ascii="Times New Roman" w:eastAsia="Times New Roman" w:hAnsi="Times New Roman" w:cs="Times New Roman"/>
          <w:bCs/>
          <w:sz w:val="24"/>
          <w:szCs w:val="24"/>
        </w:rPr>
        <w:t xml:space="preserve"> Financial Literacy on Small Scale Enterprises Success: A Case Study of Selected Enterprises in Ho Municipal in The Volta Region. Indiana Journal of Economics and Business Management, 4(5), 12-19.</w:t>
      </w:r>
    </w:p>
    <w:p w14:paraId="0863F624" w14:textId="3A385633" w:rsidR="005B700B" w:rsidRDefault="005B700B" w:rsidP="0051475C">
      <w:pPr>
        <w:spacing w:before="100" w:beforeAutospacing="1" w:after="100" w:afterAutospacing="1" w:line="240" w:lineRule="auto"/>
        <w:rPr>
          <w:rFonts w:ascii="Times New Roman" w:eastAsia="Times New Roman" w:hAnsi="Times New Roman" w:cs="Times New Roman"/>
          <w:bCs/>
          <w:sz w:val="24"/>
          <w:szCs w:val="24"/>
        </w:rPr>
      </w:pPr>
      <w:proofErr w:type="spellStart"/>
      <w:r w:rsidRPr="005B700B">
        <w:rPr>
          <w:rFonts w:ascii="Times New Roman" w:eastAsia="Times New Roman" w:hAnsi="Times New Roman" w:cs="Times New Roman"/>
          <w:bCs/>
          <w:sz w:val="24"/>
          <w:szCs w:val="24"/>
        </w:rPr>
        <w:t>Alharbi</w:t>
      </w:r>
      <w:proofErr w:type="spellEnd"/>
      <w:r w:rsidRPr="005B700B">
        <w:rPr>
          <w:rFonts w:ascii="Times New Roman" w:eastAsia="Times New Roman" w:hAnsi="Times New Roman" w:cs="Times New Roman"/>
          <w:bCs/>
          <w:sz w:val="24"/>
          <w:szCs w:val="24"/>
        </w:rPr>
        <w:t xml:space="preserve">, R. K., Yahya, S. B., &amp; </w:t>
      </w:r>
      <w:proofErr w:type="spellStart"/>
      <w:r w:rsidRPr="005B700B">
        <w:rPr>
          <w:rFonts w:ascii="Times New Roman" w:eastAsia="Times New Roman" w:hAnsi="Times New Roman" w:cs="Times New Roman"/>
          <w:bCs/>
          <w:sz w:val="24"/>
          <w:szCs w:val="24"/>
        </w:rPr>
        <w:t>Kassim</w:t>
      </w:r>
      <w:proofErr w:type="spellEnd"/>
      <w:r w:rsidRPr="005B700B">
        <w:rPr>
          <w:rFonts w:ascii="Times New Roman" w:eastAsia="Times New Roman" w:hAnsi="Times New Roman" w:cs="Times New Roman"/>
          <w:bCs/>
          <w:sz w:val="24"/>
          <w:szCs w:val="24"/>
        </w:rPr>
        <w:t xml:space="preserve">, S. (2022). Impact of religiosity and branding on SMEs performance: does financial literacy play a </w:t>
      </w:r>
      <w:proofErr w:type="gramStart"/>
      <w:r w:rsidRPr="005B700B">
        <w:rPr>
          <w:rFonts w:ascii="Times New Roman" w:eastAsia="Times New Roman" w:hAnsi="Times New Roman" w:cs="Times New Roman"/>
          <w:bCs/>
          <w:sz w:val="24"/>
          <w:szCs w:val="24"/>
        </w:rPr>
        <w:t>role?.</w:t>
      </w:r>
      <w:proofErr w:type="gramEnd"/>
      <w:r w:rsidRPr="005B700B">
        <w:rPr>
          <w:rFonts w:ascii="Times New Roman" w:eastAsia="Times New Roman" w:hAnsi="Times New Roman" w:cs="Times New Roman"/>
          <w:bCs/>
          <w:sz w:val="24"/>
          <w:szCs w:val="24"/>
        </w:rPr>
        <w:t xml:space="preserve"> Journal of Islamic Marketing, 13(12), 2717-2741.</w:t>
      </w:r>
    </w:p>
    <w:p w14:paraId="1E4FC80F" w14:textId="133B6234" w:rsidR="005B700B" w:rsidRDefault="005B700B" w:rsidP="0051475C">
      <w:pPr>
        <w:spacing w:before="100" w:beforeAutospacing="1" w:after="100" w:afterAutospacing="1" w:line="240" w:lineRule="auto"/>
        <w:rPr>
          <w:rFonts w:ascii="Times New Roman" w:eastAsia="Times New Roman" w:hAnsi="Times New Roman" w:cs="Times New Roman"/>
          <w:bCs/>
          <w:sz w:val="24"/>
          <w:szCs w:val="24"/>
        </w:rPr>
      </w:pPr>
      <w:r w:rsidRPr="005B700B">
        <w:rPr>
          <w:rFonts w:ascii="Times New Roman" w:eastAsia="Times New Roman" w:hAnsi="Times New Roman" w:cs="Times New Roman"/>
          <w:bCs/>
          <w:sz w:val="24"/>
          <w:szCs w:val="24"/>
        </w:rPr>
        <w:t xml:space="preserve">Abdallah, W., </w:t>
      </w:r>
      <w:proofErr w:type="spellStart"/>
      <w:r w:rsidRPr="005B700B">
        <w:rPr>
          <w:rFonts w:ascii="Times New Roman" w:eastAsia="Times New Roman" w:hAnsi="Times New Roman" w:cs="Times New Roman"/>
          <w:bCs/>
          <w:sz w:val="24"/>
          <w:szCs w:val="24"/>
        </w:rPr>
        <w:t>Harraf</w:t>
      </w:r>
      <w:proofErr w:type="spellEnd"/>
      <w:r w:rsidRPr="005B700B">
        <w:rPr>
          <w:rFonts w:ascii="Times New Roman" w:eastAsia="Times New Roman" w:hAnsi="Times New Roman" w:cs="Times New Roman"/>
          <w:bCs/>
          <w:sz w:val="24"/>
          <w:szCs w:val="24"/>
        </w:rPr>
        <w:t xml:space="preserve">, A., </w:t>
      </w:r>
      <w:proofErr w:type="spellStart"/>
      <w:r w:rsidRPr="005B700B">
        <w:rPr>
          <w:rFonts w:ascii="Times New Roman" w:eastAsia="Times New Roman" w:hAnsi="Times New Roman" w:cs="Times New Roman"/>
          <w:bCs/>
          <w:sz w:val="24"/>
          <w:szCs w:val="24"/>
        </w:rPr>
        <w:t>Ghura</w:t>
      </w:r>
      <w:proofErr w:type="spellEnd"/>
      <w:r w:rsidRPr="005B700B">
        <w:rPr>
          <w:rFonts w:ascii="Times New Roman" w:eastAsia="Times New Roman" w:hAnsi="Times New Roman" w:cs="Times New Roman"/>
          <w:bCs/>
          <w:sz w:val="24"/>
          <w:szCs w:val="24"/>
        </w:rPr>
        <w:t>, H., &amp; Abrar, M. (2024). Financial literacy and small and medium enterprises performance: the moderating role of financial access. Journal of Financial Reporting and Accounting.</w:t>
      </w:r>
    </w:p>
    <w:p w14:paraId="6833210E" w14:textId="1F1197CA" w:rsidR="005B700B" w:rsidRDefault="005B700B" w:rsidP="0051475C">
      <w:pPr>
        <w:spacing w:before="100" w:beforeAutospacing="1" w:after="100" w:afterAutospacing="1" w:line="240" w:lineRule="auto"/>
        <w:rPr>
          <w:rFonts w:ascii="Times New Roman" w:eastAsia="Times New Roman" w:hAnsi="Times New Roman" w:cs="Times New Roman"/>
          <w:bCs/>
          <w:sz w:val="24"/>
          <w:szCs w:val="24"/>
        </w:rPr>
      </w:pPr>
      <w:r w:rsidRPr="005B700B">
        <w:rPr>
          <w:rFonts w:ascii="Times New Roman" w:eastAsia="Times New Roman" w:hAnsi="Times New Roman" w:cs="Times New Roman"/>
          <w:bCs/>
          <w:sz w:val="24"/>
          <w:szCs w:val="24"/>
        </w:rPr>
        <w:t>Al-</w:t>
      </w:r>
      <w:proofErr w:type="spellStart"/>
      <w:r w:rsidRPr="005B700B">
        <w:rPr>
          <w:rFonts w:ascii="Times New Roman" w:eastAsia="Times New Roman" w:hAnsi="Times New Roman" w:cs="Times New Roman"/>
          <w:bCs/>
          <w:sz w:val="24"/>
          <w:szCs w:val="24"/>
        </w:rPr>
        <w:t>Shami</w:t>
      </w:r>
      <w:proofErr w:type="spellEnd"/>
      <w:r w:rsidRPr="005B700B">
        <w:rPr>
          <w:rFonts w:ascii="Times New Roman" w:eastAsia="Times New Roman" w:hAnsi="Times New Roman" w:cs="Times New Roman"/>
          <w:bCs/>
          <w:sz w:val="24"/>
          <w:szCs w:val="24"/>
        </w:rPr>
        <w:t xml:space="preserve">, S. A., Damayanti, R., Adil, H., &amp; </w:t>
      </w:r>
      <w:proofErr w:type="spellStart"/>
      <w:r w:rsidRPr="005B700B">
        <w:rPr>
          <w:rFonts w:ascii="Times New Roman" w:eastAsia="Times New Roman" w:hAnsi="Times New Roman" w:cs="Times New Roman"/>
          <w:bCs/>
          <w:sz w:val="24"/>
          <w:szCs w:val="24"/>
        </w:rPr>
        <w:t>Farhi</w:t>
      </w:r>
      <w:proofErr w:type="spellEnd"/>
      <w:r w:rsidRPr="005B700B">
        <w:rPr>
          <w:rFonts w:ascii="Times New Roman" w:eastAsia="Times New Roman" w:hAnsi="Times New Roman" w:cs="Times New Roman"/>
          <w:bCs/>
          <w:sz w:val="24"/>
          <w:szCs w:val="24"/>
        </w:rPr>
        <w:t xml:space="preserve">, F. (2024). Financial and digital financial literacy through social media use towards financial inclusion among batik small enterprises in Indonesia. </w:t>
      </w:r>
      <w:proofErr w:type="spellStart"/>
      <w:r w:rsidRPr="005B700B">
        <w:rPr>
          <w:rFonts w:ascii="Times New Roman" w:eastAsia="Times New Roman" w:hAnsi="Times New Roman" w:cs="Times New Roman"/>
          <w:bCs/>
          <w:sz w:val="24"/>
          <w:szCs w:val="24"/>
        </w:rPr>
        <w:t>Heliyon</w:t>
      </w:r>
      <w:proofErr w:type="spellEnd"/>
      <w:r w:rsidRPr="005B700B">
        <w:rPr>
          <w:rFonts w:ascii="Times New Roman" w:eastAsia="Times New Roman" w:hAnsi="Times New Roman" w:cs="Times New Roman"/>
          <w:bCs/>
          <w:sz w:val="24"/>
          <w:szCs w:val="24"/>
        </w:rPr>
        <w:t>, 10(15).</w:t>
      </w:r>
    </w:p>
    <w:p w14:paraId="00F8DEE1" w14:textId="6EA48D22" w:rsidR="005B700B" w:rsidRPr="004F09A3" w:rsidRDefault="005B700B" w:rsidP="0051475C">
      <w:pPr>
        <w:spacing w:before="100" w:beforeAutospacing="1" w:after="100" w:afterAutospacing="1" w:line="240" w:lineRule="auto"/>
        <w:rPr>
          <w:rFonts w:ascii="Times New Roman" w:eastAsia="Times New Roman" w:hAnsi="Times New Roman" w:cs="Times New Roman"/>
          <w:bCs/>
          <w:sz w:val="24"/>
          <w:szCs w:val="24"/>
        </w:rPr>
      </w:pPr>
      <w:proofErr w:type="spellStart"/>
      <w:r w:rsidRPr="005B700B">
        <w:rPr>
          <w:rFonts w:ascii="Times New Roman" w:eastAsia="Times New Roman" w:hAnsi="Times New Roman" w:cs="Times New Roman"/>
          <w:bCs/>
          <w:sz w:val="24"/>
          <w:szCs w:val="24"/>
        </w:rPr>
        <w:t>Akpuokwe</w:t>
      </w:r>
      <w:proofErr w:type="spellEnd"/>
      <w:r w:rsidRPr="005B700B">
        <w:rPr>
          <w:rFonts w:ascii="Times New Roman" w:eastAsia="Times New Roman" w:hAnsi="Times New Roman" w:cs="Times New Roman"/>
          <w:bCs/>
          <w:sz w:val="24"/>
          <w:szCs w:val="24"/>
        </w:rPr>
        <w:t xml:space="preserve">, C. U., </w:t>
      </w:r>
      <w:proofErr w:type="spellStart"/>
      <w:r w:rsidRPr="005B700B">
        <w:rPr>
          <w:rFonts w:ascii="Times New Roman" w:eastAsia="Times New Roman" w:hAnsi="Times New Roman" w:cs="Times New Roman"/>
          <w:bCs/>
          <w:sz w:val="24"/>
          <w:szCs w:val="24"/>
        </w:rPr>
        <w:t>Chikwe</w:t>
      </w:r>
      <w:proofErr w:type="spellEnd"/>
      <w:r w:rsidRPr="005B700B">
        <w:rPr>
          <w:rFonts w:ascii="Times New Roman" w:eastAsia="Times New Roman" w:hAnsi="Times New Roman" w:cs="Times New Roman"/>
          <w:bCs/>
          <w:sz w:val="24"/>
          <w:szCs w:val="24"/>
        </w:rPr>
        <w:t xml:space="preserve">, C. F., &amp; </w:t>
      </w:r>
      <w:proofErr w:type="spellStart"/>
      <w:r w:rsidRPr="005B700B">
        <w:rPr>
          <w:rFonts w:ascii="Times New Roman" w:eastAsia="Times New Roman" w:hAnsi="Times New Roman" w:cs="Times New Roman"/>
          <w:bCs/>
          <w:sz w:val="24"/>
          <w:szCs w:val="24"/>
        </w:rPr>
        <w:t>Eneh</w:t>
      </w:r>
      <w:proofErr w:type="spellEnd"/>
      <w:r w:rsidRPr="005B700B">
        <w:rPr>
          <w:rFonts w:ascii="Times New Roman" w:eastAsia="Times New Roman" w:hAnsi="Times New Roman" w:cs="Times New Roman"/>
          <w:bCs/>
          <w:sz w:val="24"/>
          <w:szCs w:val="24"/>
        </w:rPr>
        <w:t>, N. E. (2024). Leveraging technology and financial literacy for women’s empowerment in SMEs: A conceptual framework for sustainable development. Global Journal of Engineering and Technology Advances, 18(3), 020-032.</w:t>
      </w:r>
    </w:p>
    <w:sectPr w:rsidR="005B700B" w:rsidRPr="004F09A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30C40" w14:textId="77777777" w:rsidR="00674282" w:rsidRDefault="00674282" w:rsidP="003F3F0E">
      <w:pPr>
        <w:spacing w:after="0" w:line="240" w:lineRule="auto"/>
      </w:pPr>
      <w:r>
        <w:separator/>
      </w:r>
    </w:p>
  </w:endnote>
  <w:endnote w:type="continuationSeparator" w:id="0">
    <w:p w14:paraId="2E519A0F" w14:textId="77777777" w:rsidR="00674282" w:rsidRDefault="00674282" w:rsidP="003F3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C761A" w14:textId="77777777" w:rsidR="003F28ED" w:rsidRDefault="003F28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950D3" w14:textId="77777777" w:rsidR="003F28ED" w:rsidRDefault="003F28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E1FD0" w14:textId="77777777" w:rsidR="003F28ED" w:rsidRDefault="003F28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953BE" w14:textId="77777777" w:rsidR="00674282" w:rsidRDefault="00674282" w:rsidP="003F3F0E">
      <w:pPr>
        <w:spacing w:after="0" w:line="240" w:lineRule="auto"/>
      </w:pPr>
      <w:r>
        <w:separator/>
      </w:r>
    </w:p>
  </w:footnote>
  <w:footnote w:type="continuationSeparator" w:id="0">
    <w:p w14:paraId="775734BB" w14:textId="77777777" w:rsidR="00674282" w:rsidRDefault="00674282" w:rsidP="003F3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671E8" w14:textId="6D1CCEBB" w:rsidR="003F28ED" w:rsidRDefault="005B700B">
    <w:pPr>
      <w:pStyle w:val="Header"/>
    </w:pPr>
    <w:r>
      <w:rPr>
        <w:noProof/>
      </w:rPr>
      <w:pict w14:anchorId="2E64D3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8749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F8D9A" w14:textId="22515833" w:rsidR="003F28ED" w:rsidRDefault="005B700B">
    <w:pPr>
      <w:pStyle w:val="Header"/>
    </w:pPr>
    <w:r>
      <w:rPr>
        <w:noProof/>
      </w:rPr>
      <w:pict w14:anchorId="0C332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8749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42B06" w14:textId="76B5A325" w:rsidR="003F28ED" w:rsidRDefault="005B700B">
    <w:pPr>
      <w:pStyle w:val="Header"/>
    </w:pPr>
    <w:r>
      <w:rPr>
        <w:noProof/>
      </w:rPr>
      <w:pict w14:anchorId="6A631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8749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04326"/>
    <w:multiLevelType w:val="multilevel"/>
    <w:tmpl w:val="A16AD1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0567C3"/>
    <w:multiLevelType w:val="multilevel"/>
    <w:tmpl w:val="E48EA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6E4C33"/>
    <w:multiLevelType w:val="hybridMultilevel"/>
    <w:tmpl w:val="B540F88E"/>
    <w:lvl w:ilvl="0" w:tplc="D28E2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2326C99"/>
    <w:multiLevelType w:val="hybridMultilevel"/>
    <w:tmpl w:val="24181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935D80"/>
    <w:multiLevelType w:val="multilevel"/>
    <w:tmpl w:val="D07CC384"/>
    <w:lvl w:ilvl="0">
      <w:start w:val="1"/>
      <w:numFmt w:val="low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OzMLEwNbI0NbQ0NrZU0lEKTi0uzszPAykwrAUAULcMdCwAAAA="/>
  </w:docVars>
  <w:rsids>
    <w:rsidRoot w:val="00DA153E"/>
    <w:rsid w:val="00044AB3"/>
    <w:rsid w:val="000660A5"/>
    <w:rsid w:val="0009241B"/>
    <w:rsid w:val="0009799B"/>
    <w:rsid w:val="000A38C8"/>
    <w:rsid w:val="000A7835"/>
    <w:rsid w:val="001033AE"/>
    <w:rsid w:val="00112D92"/>
    <w:rsid w:val="001356B6"/>
    <w:rsid w:val="001400FB"/>
    <w:rsid w:val="00191688"/>
    <w:rsid w:val="001A68AD"/>
    <w:rsid w:val="002308C0"/>
    <w:rsid w:val="00290618"/>
    <w:rsid w:val="002911E6"/>
    <w:rsid w:val="002A014C"/>
    <w:rsid w:val="002A4834"/>
    <w:rsid w:val="002D730B"/>
    <w:rsid w:val="002F6A50"/>
    <w:rsid w:val="00354731"/>
    <w:rsid w:val="003B1BED"/>
    <w:rsid w:val="003F28ED"/>
    <w:rsid w:val="003F3F0E"/>
    <w:rsid w:val="003F75AB"/>
    <w:rsid w:val="00446A45"/>
    <w:rsid w:val="004D1E55"/>
    <w:rsid w:val="004F09A3"/>
    <w:rsid w:val="00512B19"/>
    <w:rsid w:val="0051475C"/>
    <w:rsid w:val="005B700B"/>
    <w:rsid w:val="005D53FB"/>
    <w:rsid w:val="005E15F9"/>
    <w:rsid w:val="00620894"/>
    <w:rsid w:val="00624F35"/>
    <w:rsid w:val="0063385E"/>
    <w:rsid w:val="006474D5"/>
    <w:rsid w:val="00674282"/>
    <w:rsid w:val="006A323A"/>
    <w:rsid w:val="006E1E32"/>
    <w:rsid w:val="007168F1"/>
    <w:rsid w:val="007275E8"/>
    <w:rsid w:val="007438BB"/>
    <w:rsid w:val="007870E4"/>
    <w:rsid w:val="0086733D"/>
    <w:rsid w:val="008B0DCC"/>
    <w:rsid w:val="00911D3F"/>
    <w:rsid w:val="009270BA"/>
    <w:rsid w:val="00941D3B"/>
    <w:rsid w:val="009F2E1C"/>
    <w:rsid w:val="00A11426"/>
    <w:rsid w:val="00A36BF6"/>
    <w:rsid w:val="00A7346A"/>
    <w:rsid w:val="00B11199"/>
    <w:rsid w:val="00B665D7"/>
    <w:rsid w:val="00B93CAA"/>
    <w:rsid w:val="00BD22D2"/>
    <w:rsid w:val="00BE029B"/>
    <w:rsid w:val="00BE14B0"/>
    <w:rsid w:val="00C01C05"/>
    <w:rsid w:val="00C85B54"/>
    <w:rsid w:val="00C91C1F"/>
    <w:rsid w:val="00CD025E"/>
    <w:rsid w:val="00D53CD4"/>
    <w:rsid w:val="00DA153E"/>
    <w:rsid w:val="00DC3C5C"/>
    <w:rsid w:val="00E8320F"/>
    <w:rsid w:val="00EC4D21"/>
    <w:rsid w:val="00EF07C8"/>
    <w:rsid w:val="00F15C77"/>
    <w:rsid w:val="00F56A48"/>
    <w:rsid w:val="00F72645"/>
    <w:rsid w:val="00F91B0C"/>
    <w:rsid w:val="00F9396A"/>
    <w:rsid w:val="00F9527D"/>
    <w:rsid w:val="00FC4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D2B744"/>
  <w15:chartTrackingRefBased/>
  <w15:docId w15:val="{1E0AA39F-FDA3-4DE9-90BF-A5DCAD5C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153E"/>
    <w:pPr>
      <w:spacing w:line="259" w:lineRule="auto"/>
    </w:pPr>
    <w:rPr>
      <w:kern w:val="0"/>
      <w:sz w:val="22"/>
      <w:szCs w:val="22"/>
      <w14:ligatures w14:val="none"/>
    </w:rPr>
  </w:style>
  <w:style w:type="paragraph" w:styleId="Heading1">
    <w:name w:val="heading 1"/>
    <w:basedOn w:val="Normal"/>
    <w:next w:val="Normal"/>
    <w:link w:val="Heading1Char"/>
    <w:uiPriority w:val="9"/>
    <w:qFormat/>
    <w:rsid w:val="00DA15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15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15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15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15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15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15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15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15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5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15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15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15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15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15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15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15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153E"/>
    <w:rPr>
      <w:rFonts w:eastAsiaTheme="majorEastAsia" w:cstheme="majorBidi"/>
      <w:color w:val="272727" w:themeColor="text1" w:themeTint="D8"/>
    </w:rPr>
  </w:style>
  <w:style w:type="paragraph" w:styleId="Title">
    <w:name w:val="Title"/>
    <w:basedOn w:val="Normal"/>
    <w:next w:val="Normal"/>
    <w:link w:val="TitleChar"/>
    <w:uiPriority w:val="10"/>
    <w:qFormat/>
    <w:rsid w:val="00DA15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5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5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5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153E"/>
    <w:pPr>
      <w:spacing w:before="160"/>
      <w:jc w:val="center"/>
    </w:pPr>
    <w:rPr>
      <w:i/>
      <w:iCs/>
      <w:color w:val="404040" w:themeColor="text1" w:themeTint="BF"/>
    </w:rPr>
  </w:style>
  <w:style w:type="character" w:customStyle="1" w:styleId="QuoteChar">
    <w:name w:val="Quote Char"/>
    <w:basedOn w:val="DefaultParagraphFont"/>
    <w:link w:val="Quote"/>
    <w:uiPriority w:val="29"/>
    <w:rsid w:val="00DA153E"/>
    <w:rPr>
      <w:i/>
      <w:iCs/>
      <w:color w:val="404040" w:themeColor="text1" w:themeTint="BF"/>
    </w:rPr>
  </w:style>
  <w:style w:type="paragraph" w:styleId="ListParagraph">
    <w:name w:val="List Paragraph"/>
    <w:basedOn w:val="Normal"/>
    <w:uiPriority w:val="34"/>
    <w:qFormat/>
    <w:rsid w:val="00DA153E"/>
    <w:pPr>
      <w:ind w:left="720"/>
      <w:contextualSpacing/>
    </w:pPr>
  </w:style>
  <w:style w:type="character" w:styleId="IntenseEmphasis">
    <w:name w:val="Intense Emphasis"/>
    <w:basedOn w:val="DefaultParagraphFont"/>
    <w:uiPriority w:val="21"/>
    <w:qFormat/>
    <w:rsid w:val="00DA153E"/>
    <w:rPr>
      <w:i/>
      <w:iCs/>
      <w:color w:val="2F5496" w:themeColor="accent1" w:themeShade="BF"/>
    </w:rPr>
  </w:style>
  <w:style w:type="paragraph" w:styleId="IntenseQuote">
    <w:name w:val="Intense Quote"/>
    <w:basedOn w:val="Normal"/>
    <w:next w:val="Normal"/>
    <w:link w:val="IntenseQuoteChar"/>
    <w:uiPriority w:val="30"/>
    <w:qFormat/>
    <w:rsid w:val="00DA15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153E"/>
    <w:rPr>
      <w:i/>
      <w:iCs/>
      <w:color w:val="2F5496" w:themeColor="accent1" w:themeShade="BF"/>
    </w:rPr>
  </w:style>
  <w:style w:type="character" w:styleId="IntenseReference">
    <w:name w:val="Intense Reference"/>
    <w:basedOn w:val="DefaultParagraphFont"/>
    <w:uiPriority w:val="32"/>
    <w:qFormat/>
    <w:rsid w:val="00DA153E"/>
    <w:rPr>
      <w:b/>
      <w:bCs/>
      <w:smallCaps/>
      <w:color w:val="2F5496" w:themeColor="accent1" w:themeShade="BF"/>
      <w:spacing w:val="5"/>
    </w:rPr>
  </w:style>
  <w:style w:type="character" w:customStyle="1" w:styleId="xs4xyr0">
    <w:name w:val="xs4xyr0"/>
    <w:basedOn w:val="DefaultParagraphFont"/>
    <w:rsid w:val="00F15C77"/>
  </w:style>
  <w:style w:type="paragraph" w:styleId="NormalWeb">
    <w:name w:val="Normal (Web)"/>
    <w:basedOn w:val="Normal"/>
    <w:uiPriority w:val="99"/>
    <w:unhideWhenUsed/>
    <w:rsid w:val="00624F3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6A48"/>
    <w:rPr>
      <w:b/>
      <w:bCs/>
    </w:rPr>
  </w:style>
  <w:style w:type="paragraph" w:styleId="Header">
    <w:name w:val="header"/>
    <w:basedOn w:val="Normal"/>
    <w:link w:val="HeaderChar"/>
    <w:uiPriority w:val="99"/>
    <w:unhideWhenUsed/>
    <w:rsid w:val="003F3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F0E"/>
    <w:rPr>
      <w:kern w:val="0"/>
      <w:sz w:val="22"/>
      <w:szCs w:val="22"/>
      <w14:ligatures w14:val="none"/>
    </w:rPr>
  </w:style>
  <w:style w:type="paragraph" w:styleId="Footer">
    <w:name w:val="footer"/>
    <w:basedOn w:val="Normal"/>
    <w:link w:val="FooterChar"/>
    <w:uiPriority w:val="99"/>
    <w:unhideWhenUsed/>
    <w:rsid w:val="003F3F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F0E"/>
    <w:rPr>
      <w:kern w:val="0"/>
      <w:sz w:val="22"/>
      <w:szCs w:val="22"/>
      <w14:ligatures w14:val="none"/>
    </w:rPr>
  </w:style>
  <w:style w:type="character" w:styleId="Hyperlink">
    <w:name w:val="Hyperlink"/>
    <w:basedOn w:val="DefaultParagraphFont"/>
    <w:uiPriority w:val="99"/>
    <w:unhideWhenUsed/>
    <w:rsid w:val="001356B6"/>
    <w:rPr>
      <w:color w:val="0563C1" w:themeColor="hyperlink"/>
      <w:u w:val="single"/>
    </w:rPr>
  </w:style>
  <w:style w:type="character" w:styleId="UnresolvedMention">
    <w:name w:val="Unresolved Mention"/>
    <w:basedOn w:val="DefaultParagraphFont"/>
    <w:uiPriority w:val="99"/>
    <w:semiHidden/>
    <w:unhideWhenUsed/>
    <w:rsid w:val="001356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77209">
      <w:bodyDiv w:val="1"/>
      <w:marLeft w:val="0"/>
      <w:marRight w:val="0"/>
      <w:marTop w:val="0"/>
      <w:marBottom w:val="0"/>
      <w:divBdr>
        <w:top w:val="none" w:sz="0" w:space="0" w:color="auto"/>
        <w:left w:val="none" w:sz="0" w:space="0" w:color="auto"/>
        <w:bottom w:val="none" w:sz="0" w:space="0" w:color="auto"/>
        <w:right w:val="none" w:sz="0" w:space="0" w:color="auto"/>
      </w:divBdr>
    </w:div>
    <w:div w:id="97259549">
      <w:bodyDiv w:val="1"/>
      <w:marLeft w:val="0"/>
      <w:marRight w:val="0"/>
      <w:marTop w:val="0"/>
      <w:marBottom w:val="0"/>
      <w:divBdr>
        <w:top w:val="none" w:sz="0" w:space="0" w:color="auto"/>
        <w:left w:val="none" w:sz="0" w:space="0" w:color="auto"/>
        <w:bottom w:val="none" w:sz="0" w:space="0" w:color="auto"/>
        <w:right w:val="none" w:sz="0" w:space="0" w:color="auto"/>
      </w:divBdr>
      <w:divsChild>
        <w:div w:id="256864214">
          <w:marLeft w:val="0"/>
          <w:marRight w:val="0"/>
          <w:marTop w:val="0"/>
          <w:marBottom w:val="0"/>
          <w:divBdr>
            <w:top w:val="none" w:sz="0" w:space="0" w:color="auto"/>
            <w:left w:val="none" w:sz="0" w:space="0" w:color="auto"/>
            <w:bottom w:val="none" w:sz="0" w:space="0" w:color="auto"/>
            <w:right w:val="none" w:sz="0" w:space="0" w:color="auto"/>
          </w:divBdr>
          <w:divsChild>
            <w:div w:id="1275402042">
              <w:marLeft w:val="0"/>
              <w:marRight w:val="0"/>
              <w:marTop w:val="0"/>
              <w:marBottom w:val="0"/>
              <w:divBdr>
                <w:top w:val="none" w:sz="0" w:space="0" w:color="auto"/>
                <w:left w:val="none" w:sz="0" w:space="0" w:color="auto"/>
                <w:bottom w:val="none" w:sz="0" w:space="0" w:color="auto"/>
                <w:right w:val="none" w:sz="0" w:space="0" w:color="auto"/>
              </w:divBdr>
              <w:divsChild>
                <w:div w:id="1762094226">
                  <w:marLeft w:val="0"/>
                  <w:marRight w:val="0"/>
                  <w:marTop w:val="0"/>
                  <w:marBottom w:val="0"/>
                  <w:divBdr>
                    <w:top w:val="none" w:sz="0" w:space="0" w:color="auto"/>
                    <w:left w:val="none" w:sz="0" w:space="0" w:color="auto"/>
                    <w:bottom w:val="none" w:sz="0" w:space="0" w:color="auto"/>
                    <w:right w:val="none" w:sz="0" w:space="0" w:color="auto"/>
                  </w:divBdr>
                  <w:divsChild>
                    <w:div w:id="1889880669">
                      <w:marLeft w:val="0"/>
                      <w:marRight w:val="0"/>
                      <w:marTop w:val="0"/>
                      <w:marBottom w:val="0"/>
                      <w:divBdr>
                        <w:top w:val="none" w:sz="0" w:space="0" w:color="auto"/>
                        <w:left w:val="none" w:sz="0" w:space="0" w:color="auto"/>
                        <w:bottom w:val="none" w:sz="0" w:space="0" w:color="auto"/>
                        <w:right w:val="none" w:sz="0" w:space="0" w:color="auto"/>
                      </w:divBdr>
                      <w:divsChild>
                        <w:div w:id="757560288">
                          <w:marLeft w:val="0"/>
                          <w:marRight w:val="0"/>
                          <w:marTop w:val="0"/>
                          <w:marBottom w:val="0"/>
                          <w:divBdr>
                            <w:top w:val="none" w:sz="0" w:space="0" w:color="auto"/>
                            <w:left w:val="none" w:sz="0" w:space="0" w:color="auto"/>
                            <w:bottom w:val="none" w:sz="0" w:space="0" w:color="auto"/>
                            <w:right w:val="none" w:sz="0" w:space="0" w:color="auto"/>
                          </w:divBdr>
                          <w:divsChild>
                            <w:div w:id="1264343351">
                              <w:marLeft w:val="0"/>
                              <w:marRight w:val="0"/>
                              <w:marTop w:val="0"/>
                              <w:marBottom w:val="0"/>
                              <w:divBdr>
                                <w:top w:val="none" w:sz="0" w:space="0" w:color="auto"/>
                                <w:left w:val="none" w:sz="0" w:space="0" w:color="auto"/>
                                <w:bottom w:val="none" w:sz="0" w:space="0" w:color="auto"/>
                                <w:right w:val="none" w:sz="0" w:space="0" w:color="auto"/>
                              </w:divBdr>
                              <w:divsChild>
                                <w:div w:id="2057504016">
                                  <w:marLeft w:val="0"/>
                                  <w:marRight w:val="0"/>
                                  <w:marTop w:val="0"/>
                                  <w:marBottom w:val="0"/>
                                  <w:divBdr>
                                    <w:top w:val="none" w:sz="0" w:space="0" w:color="auto"/>
                                    <w:left w:val="none" w:sz="0" w:space="0" w:color="auto"/>
                                    <w:bottom w:val="none" w:sz="0" w:space="0" w:color="auto"/>
                                    <w:right w:val="none" w:sz="0" w:space="0" w:color="auto"/>
                                  </w:divBdr>
                                  <w:divsChild>
                                    <w:div w:id="18077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46631">
      <w:bodyDiv w:val="1"/>
      <w:marLeft w:val="0"/>
      <w:marRight w:val="0"/>
      <w:marTop w:val="0"/>
      <w:marBottom w:val="0"/>
      <w:divBdr>
        <w:top w:val="none" w:sz="0" w:space="0" w:color="auto"/>
        <w:left w:val="none" w:sz="0" w:space="0" w:color="auto"/>
        <w:bottom w:val="none" w:sz="0" w:space="0" w:color="auto"/>
        <w:right w:val="none" w:sz="0" w:space="0" w:color="auto"/>
      </w:divBdr>
      <w:divsChild>
        <w:div w:id="747969905">
          <w:marLeft w:val="0"/>
          <w:marRight w:val="0"/>
          <w:marTop w:val="0"/>
          <w:marBottom w:val="0"/>
          <w:divBdr>
            <w:top w:val="none" w:sz="0" w:space="0" w:color="auto"/>
            <w:left w:val="none" w:sz="0" w:space="0" w:color="auto"/>
            <w:bottom w:val="none" w:sz="0" w:space="0" w:color="auto"/>
            <w:right w:val="none" w:sz="0" w:space="0" w:color="auto"/>
          </w:divBdr>
          <w:divsChild>
            <w:div w:id="1615553811">
              <w:marLeft w:val="0"/>
              <w:marRight w:val="0"/>
              <w:marTop w:val="0"/>
              <w:marBottom w:val="0"/>
              <w:divBdr>
                <w:top w:val="none" w:sz="0" w:space="0" w:color="auto"/>
                <w:left w:val="none" w:sz="0" w:space="0" w:color="auto"/>
                <w:bottom w:val="none" w:sz="0" w:space="0" w:color="auto"/>
                <w:right w:val="none" w:sz="0" w:space="0" w:color="auto"/>
              </w:divBdr>
              <w:divsChild>
                <w:div w:id="1903447418">
                  <w:marLeft w:val="0"/>
                  <w:marRight w:val="0"/>
                  <w:marTop w:val="0"/>
                  <w:marBottom w:val="0"/>
                  <w:divBdr>
                    <w:top w:val="none" w:sz="0" w:space="0" w:color="auto"/>
                    <w:left w:val="none" w:sz="0" w:space="0" w:color="auto"/>
                    <w:bottom w:val="none" w:sz="0" w:space="0" w:color="auto"/>
                    <w:right w:val="none" w:sz="0" w:space="0" w:color="auto"/>
                  </w:divBdr>
                  <w:divsChild>
                    <w:div w:id="307365421">
                      <w:marLeft w:val="0"/>
                      <w:marRight w:val="0"/>
                      <w:marTop w:val="0"/>
                      <w:marBottom w:val="0"/>
                      <w:divBdr>
                        <w:top w:val="none" w:sz="0" w:space="0" w:color="auto"/>
                        <w:left w:val="none" w:sz="0" w:space="0" w:color="auto"/>
                        <w:bottom w:val="none" w:sz="0" w:space="0" w:color="auto"/>
                        <w:right w:val="none" w:sz="0" w:space="0" w:color="auto"/>
                      </w:divBdr>
                      <w:divsChild>
                        <w:div w:id="501312733">
                          <w:marLeft w:val="0"/>
                          <w:marRight w:val="0"/>
                          <w:marTop w:val="0"/>
                          <w:marBottom w:val="0"/>
                          <w:divBdr>
                            <w:top w:val="none" w:sz="0" w:space="0" w:color="auto"/>
                            <w:left w:val="none" w:sz="0" w:space="0" w:color="auto"/>
                            <w:bottom w:val="none" w:sz="0" w:space="0" w:color="auto"/>
                            <w:right w:val="none" w:sz="0" w:space="0" w:color="auto"/>
                          </w:divBdr>
                          <w:divsChild>
                            <w:div w:id="224878803">
                              <w:marLeft w:val="0"/>
                              <w:marRight w:val="0"/>
                              <w:marTop w:val="0"/>
                              <w:marBottom w:val="0"/>
                              <w:divBdr>
                                <w:top w:val="none" w:sz="0" w:space="0" w:color="auto"/>
                                <w:left w:val="none" w:sz="0" w:space="0" w:color="auto"/>
                                <w:bottom w:val="none" w:sz="0" w:space="0" w:color="auto"/>
                                <w:right w:val="none" w:sz="0" w:space="0" w:color="auto"/>
                              </w:divBdr>
                              <w:divsChild>
                                <w:div w:id="390007232">
                                  <w:marLeft w:val="0"/>
                                  <w:marRight w:val="0"/>
                                  <w:marTop w:val="0"/>
                                  <w:marBottom w:val="0"/>
                                  <w:divBdr>
                                    <w:top w:val="none" w:sz="0" w:space="0" w:color="auto"/>
                                    <w:left w:val="none" w:sz="0" w:space="0" w:color="auto"/>
                                    <w:bottom w:val="none" w:sz="0" w:space="0" w:color="auto"/>
                                    <w:right w:val="none" w:sz="0" w:space="0" w:color="auto"/>
                                  </w:divBdr>
                                  <w:divsChild>
                                    <w:div w:id="198149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24663">
      <w:bodyDiv w:val="1"/>
      <w:marLeft w:val="0"/>
      <w:marRight w:val="0"/>
      <w:marTop w:val="0"/>
      <w:marBottom w:val="0"/>
      <w:divBdr>
        <w:top w:val="none" w:sz="0" w:space="0" w:color="auto"/>
        <w:left w:val="none" w:sz="0" w:space="0" w:color="auto"/>
        <w:bottom w:val="none" w:sz="0" w:space="0" w:color="auto"/>
        <w:right w:val="none" w:sz="0" w:space="0" w:color="auto"/>
      </w:divBdr>
      <w:divsChild>
        <w:div w:id="231816421">
          <w:marLeft w:val="0"/>
          <w:marRight w:val="0"/>
          <w:marTop w:val="0"/>
          <w:marBottom w:val="0"/>
          <w:divBdr>
            <w:top w:val="none" w:sz="0" w:space="0" w:color="auto"/>
            <w:left w:val="none" w:sz="0" w:space="0" w:color="auto"/>
            <w:bottom w:val="none" w:sz="0" w:space="0" w:color="auto"/>
            <w:right w:val="none" w:sz="0" w:space="0" w:color="auto"/>
          </w:divBdr>
          <w:divsChild>
            <w:div w:id="2006932243">
              <w:marLeft w:val="0"/>
              <w:marRight w:val="0"/>
              <w:marTop w:val="0"/>
              <w:marBottom w:val="0"/>
              <w:divBdr>
                <w:top w:val="none" w:sz="0" w:space="0" w:color="auto"/>
                <w:left w:val="none" w:sz="0" w:space="0" w:color="auto"/>
                <w:bottom w:val="none" w:sz="0" w:space="0" w:color="auto"/>
                <w:right w:val="none" w:sz="0" w:space="0" w:color="auto"/>
              </w:divBdr>
              <w:divsChild>
                <w:div w:id="805005472">
                  <w:marLeft w:val="0"/>
                  <w:marRight w:val="0"/>
                  <w:marTop w:val="0"/>
                  <w:marBottom w:val="0"/>
                  <w:divBdr>
                    <w:top w:val="none" w:sz="0" w:space="0" w:color="auto"/>
                    <w:left w:val="none" w:sz="0" w:space="0" w:color="auto"/>
                    <w:bottom w:val="none" w:sz="0" w:space="0" w:color="auto"/>
                    <w:right w:val="none" w:sz="0" w:space="0" w:color="auto"/>
                  </w:divBdr>
                  <w:divsChild>
                    <w:div w:id="938372085">
                      <w:marLeft w:val="0"/>
                      <w:marRight w:val="0"/>
                      <w:marTop w:val="0"/>
                      <w:marBottom w:val="0"/>
                      <w:divBdr>
                        <w:top w:val="none" w:sz="0" w:space="0" w:color="auto"/>
                        <w:left w:val="none" w:sz="0" w:space="0" w:color="auto"/>
                        <w:bottom w:val="none" w:sz="0" w:space="0" w:color="auto"/>
                        <w:right w:val="none" w:sz="0" w:space="0" w:color="auto"/>
                      </w:divBdr>
                      <w:divsChild>
                        <w:div w:id="763766151">
                          <w:marLeft w:val="0"/>
                          <w:marRight w:val="0"/>
                          <w:marTop w:val="0"/>
                          <w:marBottom w:val="0"/>
                          <w:divBdr>
                            <w:top w:val="none" w:sz="0" w:space="0" w:color="auto"/>
                            <w:left w:val="none" w:sz="0" w:space="0" w:color="auto"/>
                            <w:bottom w:val="none" w:sz="0" w:space="0" w:color="auto"/>
                            <w:right w:val="none" w:sz="0" w:space="0" w:color="auto"/>
                          </w:divBdr>
                          <w:divsChild>
                            <w:div w:id="1357585394">
                              <w:marLeft w:val="0"/>
                              <w:marRight w:val="0"/>
                              <w:marTop w:val="0"/>
                              <w:marBottom w:val="0"/>
                              <w:divBdr>
                                <w:top w:val="none" w:sz="0" w:space="0" w:color="auto"/>
                                <w:left w:val="none" w:sz="0" w:space="0" w:color="auto"/>
                                <w:bottom w:val="none" w:sz="0" w:space="0" w:color="auto"/>
                                <w:right w:val="none" w:sz="0" w:space="0" w:color="auto"/>
                              </w:divBdr>
                              <w:divsChild>
                                <w:div w:id="727343820">
                                  <w:marLeft w:val="0"/>
                                  <w:marRight w:val="0"/>
                                  <w:marTop w:val="0"/>
                                  <w:marBottom w:val="0"/>
                                  <w:divBdr>
                                    <w:top w:val="none" w:sz="0" w:space="0" w:color="auto"/>
                                    <w:left w:val="none" w:sz="0" w:space="0" w:color="auto"/>
                                    <w:bottom w:val="none" w:sz="0" w:space="0" w:color="auto"/>
                                    <w:right w:val="none" w:sz="0" w:space="0" w:color="auto"/>
                                  </w:divBdr>
                                  <w:divsChild>
                                    <w:div w:id="633363790">
                                      <w:marLeft w:val="0"/>
                                      <w:marRight w:val="0"/>
                                      <w:marTop w:val="0"/>
                                      <w:marBottom w:val="0"/>
                                      <w:divBdr>
                                        <w:top w:val="none" w:sz="0" w:space="0" w:color="auto"/>
                                        <w:left w:val="none" w:sz="0" w:space="0" w:color="auto"/>
                                        <w:bottom w:val="none" w:sz="0" w:space="0" w:color="auto"/>
                                        <w:right w:val="none" w:sz="0" w:space="0" w:color="auto"/>
                                      </w:divBdr>
                                      <w:divsChild>
                                        <w:div w:id="456800304">
                                          <w:marLeft w:val="0"/>
                                          <w:marRight w:val="0"/>
                                          <w:marTop w:val="0"/>
                                          <w:marBottom w:val="0"/>
                                          <w:divBdr>
                                            <w:top w:val="none" w:sz="0" w:space="0" w:color="auto"/>
                                            <w:left w:val="none" w:sz="0" w:space="0" w:color="auto"/>
                                            <w:bottom w:val="none" w:sz="0" w:space="0" w:color="auto"/>
                                            <w:right w:val="none" w:sz="0" w:space="0" w:color="auto"/>
                                          </w:divBdr>
                                          <w:divsChild>
                                            <w:div w:id="801969054">
                                              <w:marLeft w:val="0"/>
                                              <w:marRight w:val="0"/>
                                              <w:marTop w:val="0"/>
                                              <w:marBottom w:val="0"/>
                                              <w:divBdr>
                                                <w:top w:val="none" w:sz="0" w:space="0" w:color="auto"/>
                                                <w:left w:val="none" w:sz="0" w:space="0" w:color="auto"/>
                                                <w:bottom w:val="none" w:sz="0" w:space="0" w:color="auto"/>
                                                <w:right w:val="none" w:sz="0" w:space="0" w:color="auto"/>
                                              </w:divBdr>
                                              <w:divsChild>
                                                <w:div w:id="1612393543">
                                                  <w:marLeft w:val="0"/>
                                                  <w:marRight w:val="0"/>
                                                  <w:marTop w:val="0"/>
                                                  <w:marBottom w:val="0"/>
                                                  <w:divBdr>
                                                    <w:top w:val="none" w:sz="0" w:space="0" w:color="auto"/>
                                                    <w:left w:val="none" w:sz="0" w:space="0" w:color="auto"/>
                                                    <w:bottom w:val="none" w:sz="0" w:space="0" w:color="auto"/>
                                                    <w:right w:val="none" w:sz="0" w:space="0" w:color="auto"/>
                                                  </w:divBdr>
                                                  <w:divsChild>
                                                    <w:div w:id="142176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7897771">
          <w:marLeft w:val="0"/>
          <w:marRight w:val="0"/>
          <w:marTop w:val="0"/>
          <w:marBottom w:val="0"/>
          <w:divBdr>
            <w:top w:val="none" w:sz="0" w:space="0" w:color="auto"/>
            <w:left w:val="none" w:sz="0" w:space="0" w:color="auto"/>
            <w:bottom w:val="none" w:sz="0" w:space="0" w:color="auto"/>
            <w:right w:val="none" w:sz="0" w:space="0" w:color="auto"/>
          </w:divBdr>
          <w:divsChild>
            <w:div w:id="451175493">
              <w:marLeft w:val="0"/>
              <w:marRight w:val="0"/>
              <w:marTop w:val="0"/>
              <w:marBottom w:val="0"/>
              <w:divBdr>
                <w:top w:val="none" w:sz="0" w:space="0" w:color="auto"/>
                <w:left w:val="none" w:sz="0" w:space="0" w:color="auto"/>
                <w:bottom w:val="none" w:sz="0" w:space="0" w:color="auto"/>
                <w:right w:val="none" w:sz="0" w:space="0" w:color="auto"/>
              </w:divBdr>
              <w:divsChild>
                <w:div w:id="369493837">
                  <w:marLeft w:val="0"/>
                  <w:marRight w:val="0"/>
                  <w:marTop w:val="0"/>
                  <w:marBottom w:val="0"/>
                  <w:divBdr>
                    <w:top w:val="none" w:sz="0" w:space="0" w:color="auto"/>
                    <w:left w:val="none" w:sz="0" w:space="0" w:color="auto"/>
                    <w:bottom w:val="none" w:sz="0" w:space="0" w:color="auto"/>
                    <w:right w:val="none" w:sz="0" w:space="0" w:color="auto"/>
                  </w:divBdr>
                  <w:divsChild>
                    <w:div w:id="100069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8329">
      <w:bodyDiv w:val="1"/>
      <w:marLeft w:val="0"/>
      <w:marRight w:val="0"/>
      <w:marTop w:val="0"/>
      <w:marBottom w:val="0"/>
      <w:divBdr>
        <w:top w:val="none" w:sz="0" w:space="0" w:color="auto"/>
        <w:left w:val="none" w:sz="0" w:space="0" w:color="auto"/>
        <w:bottom w:val="none" w:sz="0" w:space="0" w:color="auto"/>
        <w:right w:val="none" w:sz="0" w:space="0" w:color="auto"/>
      </w:divBdr>
      <w:divsChild>
        <w:div w:id="2146697666">
          <w:marLeft w:val="0"/>
          <w:marRight w:val="0"/>
          <w:marTop w:val="0"/>
          <w:marBottom w:val="0"/>
          <w:divBdr>
            <w:top w:val="none" w:sz="0" w:space="0" w:color="auto"/>
            <w:left w:val="none" w:sz="0" w:space="0" w:color="auto"/>
            <w:bottom w:val="none" w:sz="0" w:space="0" w:color="auto"/>
            <w:right w:val="none" w:sz="0" w:space="0" w:color="auto"/>
          </w:divBdr>
          <w:divsChild>
            <w:div w:id="1266110239">
              <w:marLeft w:val="0"/>
              <w:marRight w:val="0"/>
              <w:marTop w:val="0"/>
              <w:marBottom w:val="0"/>
              <w:divBdr>
                <w:top w:val="none" w:sz="0" w:space="0" w:color="auto"/>
                <w:left w:val="none" w:sz="0" w:space="0" w:color="auto"/>
                <w:bottom w:val="none" w:sz="0" w:space="0" w:color="auto"/>
                <w:right w:val="none" w:sz="0" w:space="0" w:color="auto"/>
              </w:divBdr>
              <w:divsChild>
                <w:div w:id="671681525">
                  <w:marLeft w:val="0"/>
                  <w:marRight w:val="0"/>
                  <w:marTop w:val="0"/>
                  <w:marBottom w:val="0"/>
                  <w:divBdr>
                    <w:top w:val="none" w:sz="0" w:space="0" w:color="auto"/>
                    <w:left w:val="none" w:sz="0" w:space="0" w:color="auto"/>
                    <w:bottom w:val="none" w:sz="0" w:space="0" w:color="auto"/>
                    <w:right w:val="none" w:sz="0" w:space="0" w:color="auto"/>
                  </w:divBdr>
                  <w:divsChild>
                    <w:div w:id="2075547765">
                      <w:marLeft w:val="0"/>
                      <w:marRight w:val="0"/>
                      <w:marTop w:val="0"/>
                      <w:marBottom w:val="0"/>
                      <w:divBdr>
                        <w:top w:val="none" w:sz="0" w:space="0" w:color="auto"/>
                        <w:left w:val="none" w:sz="0" w:space="0" w:color="auto"/>
                        <w:bottom w:val="none" w:sz="0" w:space="0" w:color="auto"/>
                        <w:right w:val="none" w:sz="0" w:space="0" w:color="auto"/>
                      </w:divBdr>
                      <w:divsChild>
                        <w:div w:id="1917327258">
                          <w:marLeft w:val="0"/>
                          <w:marRight w:val="0"/>
                          <w:marTop w:val="0"/>
                          <w:marBottom w:val="0"/>
                          <w:divBdr>
                            <w:top w:val="none" w:sz="0" w:space="0" w:color="auto"/>
                            <w:left w:val="none" w:sz="0" w:space="0" w:color="auto"/>
                            <w:bottom w:val="none" w:sz="0" w:space="0" w:color="auto"/>
                            <w:right w:val="none" w:sz="0" w:space="0" w:color="auto"/>
                          </w:divBdr>
                          <w:divsChild>
                            <w:div w:id="317348133">
                              <w:marLeft w:val="0"/>
                              <w:marRight w:val="0"/>
                              <w:marTop w:val="0"/>
                              <w:marBottom w:val="0"/>
                              <w:divBdr>
                                <w:top w:val="none" w:sz="0" w:space="0" w:color="auto"/>
                                <w:left w:val="none" w:sz="0" w:space="0" w:color="auto"/>
                                <w:bottom w:val="none" w:sz="0" w:space="0" w:color="auto"/>
                                <w:right w:val="none" w:sz="0" w:space="0" w:color="auto"/>
                              </w:divBdr>
                              <w:divsChild>
                                <w:div w:id="1588688318">
                                  <w:marLeft w:val="0"/>
                                  <w:marRight w:val="0"/>
                                  <w:marTop w:val="0"/>
                                  <w:marBottom w:val="0"/>
                                  <w:divBdr>
                                    <w:top w:val="none" w:sz="0" w:space="0" w:color="auto"/>
                                    <w:left w:val="none" w:sz="0" w:space="0" w:color="auto"/>
                                    <w:bottom w:val="none" w:sz="0" w:space="0" w:color="auto"/>
                                    <w:right w:val="none" w:sz="0" w:space="0" w:color="auto"/>
                                  </w:divBdr>
                                  <w:divsChild>
                                    <w:div w:id="106301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91752">
      <w:bodyDiv w:val="1"/>
      <w:marLeft w:val="0"/>
      <w:marRight w:val="0"/>
      <w:marTop w:val="0"/>
      <w:marBottom w:val="0"/>
      <w:divBdr>
        <w:top w:val="none" w:sz="0" w:space="0" w:color="auto"/>
        <w:left w:val="none" w:sz="0" w:space="0" w:color="auto"/>
        <w:bottom w:val="none" w:sz="0" w:space="0" w:color="auto"/>
        <w:right w:val="none" w:sz="0" w:space="0" w:color="auto"/>
      </w:divBdr>
      <w:divsChild>
        <w:div w:id="1586911625">
          <w:marLeft w:val="0"/>
          <w:marRight w:val="0"/>
          <w:marTop w:val="0"/>
          <w:marBottom w:val="0"/>
          <w:divBdr>
            <w:top w:val="none" w:sz="0" w:space="0" w:color="auto"/>
            <w:left w:val="none" w:sz="0" w:space="0" w:color="auto"/>
            <w:bottom w:val="none" w:sz="0" w:space="0" w:color="auto"/>
            <w:right w:val="none" w:sz="0" w:space="0" w:color="auto"/>
          </w:divBdr>
          <w:divsChild>
            <w:div w:id="1740206641">
              <w:marLeft w:val="0"/>
              <w:marRight w:val="0"/>
              <w:marTop w:val="0"/>
              <w:marBottom w:val="0"/>
              <w:divBdr>
                <w:top w:val="none" w:sz="0" w:space="0" w:color="auto"/>
                <w:left w:val="none" w:sz="0" w:space="0" w:color="auto"/>
                <w:bottom w:val="none" w:sz="0" w:space="0" w:color="auto"/>
                <w:right w:val="none" w:sz="0" w:space="0" w:color="auto"/>
              </w:divBdr>
              <w:divsChild>
                <w:div w:id="424693645">
                  <w:marLeft w:val="0"/>
                  <w:marRight w:val="0"/>
                  <w:marTop w:val="0"/>
                  <w:marBottom w:val="0"/>
                  <w:divBdr>
                    <w:top w:val="none" w:sz="0" w:space="0" w:color="auto"/>
                    <w:left w:val="none" w:sz="0" w:space="0" w:color="auto"/>
                    <w:bottom w:val="none" w:sz="0" w:space="0" w:color="auto"/>
                    <w:right w:val="none" w:sz="0" w:space="0" w:color="auto"/>
                  </w:divBdr>
                  <w:divsChild>
                    <w:div w:id="885213216">
                      <w:marLeft w:val="0"/>
                      <w:marRight w:val="0"/>
                      <w:marTop w:val="0"/>
                      <w:marBottom w:val="0"/>
                      <w:divBdr>
                        <w:top w:val="none" w:sz="0" w:space="0" w:color="auto"/>
                        <w:left w:val="none" w:sz="0" w:space="0" w:color="auto"/>
                        <w:bottom w:val="none" w:sz="0" w:space="0" w:color="auto"/>
                        <w:right w:val="none" w:sz="0" w:space="0" w:color="auto"/>
                      </w:divBdr>
                      <w:divsChild>
                        <w:div w:id="1503230479">
                          <w:marLeft w:val="0"/>
                          <w:marRight w:val="0"/>
                          <w:marTop w:val="0"/>
                          <w:marBottom w:val="0"/>
                          <w:divBdr>
                            <w:top w:val="none" w:sz="0" w:space="0" w:color="auto"/>
                            <w:left w:val="none" w:sz="0" w:space="0" w:color="auto"/>
                            <w:bottom w:val="none" w:sz="0" w:space="0" w:color="auto"/>
                            <w:right w:val="none" w:sz="0" w:space="0" w:color="auto"/>
                          </w:divBdr>
                          <w:divsChild>
                            <w:div w:id="1081752983">
                              <w:marLeft w:val="0"/>
                              <w:marRight w:val="0"/>
                              <w:marTop w:val="0"/>
                              <w:marBottom w:val="0"/>
                              <w:divBdr>
                                <w:top w:val="none" w:sz="0" w:space="0" w:color="auto"/>
                                <w:left w:val="none" w:sz="0" w:space="0" w:color="auto"/>
                                <w:bottom w:val="none" w:sz="0" w:space="0" w:color="auto"/>
                                <w:right w:val="none" w:sz="0" w:space="0" w:color="auto"/>
                              </w:divBdr>
                              <w:divsChild>
                                <w:div w:id="2143190573">
                                  <w:marLeft w:val="0"/>
                                  <w:marRight w:val="0"/>
                                  <w:marTop w:val="0"/>
                                  <w:marBottom w:val="0"/>
                                  <w:divBdr>
                                    <w:top w:val="none" w:sz="0" w:space="0" w:color="auto"/>
                                    <w:left w:val="none" w:sz="0" w:space="0" w:color="auto"/>
                                    <w:bottom w:val="none" w:sz="0" w:space="0" w:color="auto"/>
                                    <w:right w:val="none" w:sz="0" w:space="0" w:color="auto"/>
                                  </w:divBdr>
                                  <w:divsChild>
                                    <w:div w:id="1150824358">
                                      <w:marLeft w:val="0"/>
                                      <w:marRight w:val="0"/>
                                      <w:marTop w:val="0"/>
                                      <w:marBottom w:val="0"/>
                                      <w:divBdr>
                                        <w:top w:val="none" w:sz="0" w:space="0" w:color="auto"/>
                                        <w:left w:val="none" w:sz="0" w:space="0" w:color="auto"/>
                                        <w:bottom w:val="none" w:sz="0" w:space="0" w:color="auto"/>
                                        <w:right w:val="none" w:sz="0" w:space="0" w:color="auto"/>
                                      </w:divBdr>
                                      <w:divsChild>
                                        <w:div w:id="1159536777">
                                          <w:marLeft w:val="0"/>
                                          <w:marRight w:val="0"/>
                                          <w:marTop w:val="0"/>
                                          <w:marBottom w:val="0"/>
                                          <w:divBdr>
                                            <w:top w:val="none" w:sz="0" w:space="0" w:color="auto"/>
                                            <w:left w:val="none" w:sz="0" w:space="0" w:color="auto"/>
                                            <w:bottom w:val="none" w:sz="0" w:space="0" w:color="auto"/>
                                            <w:right w:val="none" w:sz="0" w:space="0" w:color="auto"/>
                                          </w:divBdr>
                                          <w:divsChild>
                                            <w:div w:id="726803891">
                                              <w:marLeft w:val="0"/>
                                              <w:marRight w:val="0"/>
                                              <w:marTop w:val="0"/>
                                              <w:marBottom w:val="0"/>
                                              <w:divBdr>
                                                <w:top w:val="none" w:sz="0" w:space="0" w:color="auto"/>
                                                <w:left w:val="none" w:sz="0" w:space="0" w:color="auto"/>
                                                <w:bottom w:val="none" w:sz="0" w:space="0" w:color="auto"/>
                                                <w:right w:val="none" w:sz="0" w:space="0" w:color="auto"/>
                                              </w:divBdr>
                                              <w:divsChild>
                                                <w:div w:id="1533809473">
                                                  <w:marLeft w:val="0"/>
                                                  <w:marRight w:val="0"/>
                                                  <w:marTop w:val="0"/>
                                                  <w:marBottom w:val="0"/>
                                                  <w:divBdr>
                                                    <w:top w:val="none" w:sz="0" w:space="0" w:color="auto"/>
                                                    <w:left w:val="none" w:sz="0" w:space="0" w:color="auto"/>
                                                    <w:bottom w:val="none" w:sz="0" w:space="0" w:color="auto"/>
                                                    <w:right w:val="none" w:sz="0" w:space="0" w:color="auto"/>
                                                  </w:divBdr>
                                                  <w:divsChild>
                                                    <w:div w:id="213903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8850640">
          <w:marLeft w:val="0"/>
          <w:marRight w:val="0"/>
          <w:marTop w:val="0"/>
          <w:marBottom w:val="0"/>
          <w:divBdr>
            <w:top w:val="none" w:sz="0" w:space="0" w:color="auto"/>
            <w:left w:val="none" w:sz="0" w:space="0" w:color="auto"/>
            <w:bottom w:val="none" w:sz="0" w:space="0" w:color="auto"/>
            <w:right w:val="none" w:sz="0" w:space="0" w:color="auto"/>
          </w:divBdr>
          <w:divsChild>
            <w:div w:id="68775780">
              <w:marLeft w:val="0"/>
              <w:marRight w:val="0"/>
              <w:marTop w:val="0"/>
              <w:marBottom w:val="0"/>
              <w:divBdr>
                <w:top w:val="none" w:sz="0" w:space="0" w:color="auto"/>
                <w:left w:val="none" w:sz="0" w:space="0" w:color="auto"/>
                <w:bottom w:val="none" w:sz="0" w:space="0" w:color="auto"/>
                <w:right w:val="none" w:sz="0" w:space="0" w:color="auto"/>
              </w:divBdr>
              <w:divsChild>
                <w:div w:id="299042463">
                  <w:marLeft w:val="0"/>
                  <w:marRight w:val="0"/>
                  <w:marTop w:val="0"/>
                  <w:marBottom w:val="0"/>
                  <w:divBdr>
                    <w:top w:val="none" w:sz="0" w:space="0" w:color="auto"/>
                    <w:left w:val="none" w:sz="0" w:space="0" w:color="auto"/>
                    <w:bottom w:val="none" w:sz="0" w:space="0" w:color="auto"/>
                    <w:right w:val="none" w:sz="0" w:space="0" w:color="auto"/>
                  </w:divBdr>
                  <w:divsChild>
                    <w:div w:id="813453041">
                      <w:marLeft w:val="0"/>
                      <w:marRight w:val="0"/>
                      <w:marTop w:val="0"/>
                      <w:marBottom w:val="0"/>
                      <w:divBdr>
                        <w:top w:val="none" w:sz="0" w:space="0" w:color="auto"/>
                        <w:left w:val="none" w:sz="0" w:space="0" w:color="auto"/>
                        <w:bottom w:val="none" w:sz="0" w:space="0" w:color="auto"/>
                        <w:right w:val="none" w:sz="0" w:space="0" w:color="auto"/>
                      </w:divBdr>
                      <w:divsChild>
                        <w:div w:id="405568128">
                          <w:marLeft w:val="0"/>
                          <w:marRight w:val="0"/>
                          <w:marTop w:val="0"/>
                          <w:marBottom w:val="0"/>
                          <w:divBdr>
                            <w:top w:val="none" w:sz="0" w:space="0" w:color="auto"/>
                            <w:left w:val="none" w:sz="0" w:space="0" w:color="auto"/>
                            <w:bottom w:val="none" w:sz="0" w:space="0" w:color="auto"/>
                            <w:right w:val="none" w:sz="0" w:space="0" w:color="auto"/>
                          </w:divBdr>
                          <w:divsChild>
                            <w:div w:id="30344109">
                              <w:marLeft w:val="0"/>
                              <w:marRight w:val="0"/>
                              <w:marTop w:val="0"/>
                              <w:marBottom w:val="0"/>
                              <w:divBdr>
                                <w:top w:val="none" w:sz="0" w:space="0" w:color="auto"/>
                                <w:left w:val="none" w:sz="0" w:space="0" w:color="auto"/>
                                <w:bottom w:val="none" w:sz="0" w:space="0" w:color="auto"/>
                                <w:right w:val="none" w:sz="0" w:space="0" w:color="auto"/>
                              </w:divBdr>
                              <w:divsChild>
                                <w:div w:id="1479030167">
                                  <w:marLeft w:val="0"/>
                                  <w:marRight w:val="0"/>
                                  <w:marTop w:val="0"/>
                                  <w:marBottom w:val="0"/>
                                  <w:divBdr>
                                    <w:top w:val="none" w:sz="0" w:space="0" w:color="auto"/>
                                    <w:left w:val="none" w:sz="0" w:space="0" w:color="auto"/>
                                    <w:bottom w:val="none" w:sz="0" w:space="0" w:color="auto"/>
                                    <w:right w:val="none" w:sz="0" w:space="0" w:color="auto"/>
                                  </w:divBdr>
                                  <w:divsChild>
                                    <w:div w:id="680736817">
                                      <w:marLeft w:val="0"/>
                                      <w:marRight w:val="0"/>
                                      <w:marTop w:val="0"/>
                                      <w:marBottom w:val="0"/>
                                      <w:divBdr>
                                        <w:top w:val="none" w:sz="0" w:space="0" w:color="auto"/>
                                        <w:left w:val="none" w:sz="0" w:space="0" w:color="auto"/>
                                        <w:bottom w:val="none" w:sz="0" w:space="0" w:color="auto"/>
                                        <w:right w:val="none" w:sz="0" w:space="0" w:color="auto"/>
                                      </w:divBdr>
                                      <w:divsChild>
                                        <w:div w:id="2099134280">
                                          <w:marLeft w:val="0"/>
                                          <w:marRight w:val="0"/>
                                          <w:marTop w:val="0"/>
                                          <w:marBottom w:val="0"/>
                                          <w:divBdr>
                                            <w:top w:val="none" w:sz="0" w:space="0" w:color="auto"/>
                                            <w:left w:val="none" w:sz="0" w:space="0" w:color="auto"/>
                                            <w:bottom w:val="none" w:sz="0" w:space="0" w:color="auto"/>
                                            <w:right w:val="none" w:sz="0" w:space="0" w:color="auto"/>
                                          </w:divBdr>
                                          <w:divsChild>
                                            <w:div w:id="848712052">
                                              <w:marLeft w:val="0"/>
                                              <w:marRight w:val="0"/>
                                              <w:marTop w:val="0"/>
                                              <w:marBottom w:val="0"/>
                                              <w:divBdr>
                                                <w:top w:val="none" w:sz="0" w:space="0" w:color="auto"/>
                                                <w:left w:val="none" w:sz="0" w:space="0" w:color="auto"/>
                                                <w:bottom w:val="none" w:sz="0" w:space="0" w:color="auto"/>
                                                <w:right w:val="none" w:sz="0" w:space="0" w:color="auto"/>
                                              </w:divBdr>
                                              <w:divsChild>
                                                <w:div w:id="500194664">
                                                  <w:marLeft w:val="0"/>
                                                  <w:marRight w:val="0"/>
                                                  <w:marTop w:val="0"/>
                                                  <w:marBottom w:val="0"/>
                                                  <w:divBdr>
                                                    <w:top w:val="none" w:sz="0" w:space="0" w:color="auto"/>
                                                    <w:left w:val="none" w:sz="0" w:space="0" w:color="auto"/>
                                                    <w:bottom w:val="none" w:sz="0" w:space="0" w:color="auto"/>
                                                    <w:right w:val="none" w:sz="0" w:space="0" w:color="auto"/>
                                                  </w:divBdr>
                                                  <w:divsChild>
                                                    <w:div w:id="1171062918">
                                                      <w:marLeft w:val="0"/>
                                                      <w:marRight w:val="0"/>
                                                      <w:marTop w:val="0"/>
                                                      <w:marBottom w:val="0"/>
                                                      <w:divBdr>
                                                        <w:top w:val="none" w:sz="0" w:space="0" w:color="auto"/>
                                                        <w:left w:val="none" w:sz="0" w:space="0" w:color="auto"/>
                                                        <w:bottom w:val="none" w:sz="0" w:space="0" w:color="auto"/>
                                                        <w:right w:val="none" w:sz="0" w:space="0" w:color="auto"/>
                                                      </w:divBdr>
                                                      <w:divsChild>
                                                        <w:div w:id="204054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42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1110">
                                          <w:marLeft w:val="0"/>
                                          <w:marRight w:val="0"/>
                                          <w:marTop w:val="0"/>
                                          <w:marBottom w:val="0"/>
                                          <w:divBdr>
                                            <w:top w:val="none" w:sz="0" w:space="0" w:color="auto"/>
                                            <w:left w:val="none" w:sz="0" w:space="0" w:color="auto"/>
                                            <w:bottom w:val="none" w:sz="0" w:space="0" w:color="auto"/>
                                            <w:right w:val="none" w:sz="0" w:space="0" w:color="auto"/>
                                          </w:divBdr>
                                          <w:divsChild>
                                            <w:div w:id="1198422494">
                                              <w:marLeft w:val="0"/>
                                              <w:marRight w:val="0"/>
                                              <w:marTop w:val="0"/>
                                              <w:marBottom w:val="0"/>
                                              <w:divBdr>
                                                <w:top w:val="none" w:sz="0" w:space="0" w:color="auto"/>
                                                <w:left w:val="none" w:sz="0" w:space="0" w:color="auto"/>
                                                <w:bottom w:val="none" w:sz="0" w:space="0" w:color="auto"/>
                                                <w:right w:val="none" w:sz="0" w:space="0" w:color="auto"/>
                                              </w:divBdr>
                                              <w:divsChild>
                                                <w:div w:id="1622685837">
                                                  <w:marLeft w:val="0"/>
                                                  <w:marRight w:val="0"/>
                                                  <w:marTop w:val="0"/>
                                                  <w:marBottom w:val="0"/>
                                                  <w:divBdr>
                                                    <w:top w:val="none" w:sz="0" w:space="0" w:color="auto"/>
                                                    <w:left w:val="none" w:sz="0" w:space="0" w:color="auto"/>
                                                    <w:bottom w:val="none" w:sz="0" w:space="0" w:color="auto"/>
                                                    <w:right w:val="none" w:sz="0" w:space="0" w:color="auto"/>
                                                  </w:divBdr>
                                                  <w:divsChild>
                                                    <w:div w:id="608195342">
                                                      <w:marLeft w:val="0"/>
                                                      <w:marRight w:val="0"/>
                                                      <w:marTop w:val="0"/>
                                                      <w:marBottom w:val="0"/>
                                                      <w:divBdr>
                                                        <w:top w:val="none" w:sz="0" w:space="0" w:color="auto"/>
                                                        <w:left w:val="none" w:sz="0" w:space="0" w:color="auto"/>
                                                        <w:bottom w:val="none" w:sz="0" w:space="0" w:color="auto"/>
                                                        <w:right w:val="none" w:sz="0" w:space="0" w:color="auto"/>
                                                      </w:divBdr>
                                                      <w:divsChild>
                                                        <w:div w:id="93867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92750">
                                                  <w:marLeft w:val="0"/>
                                                  <w:marRight w:val="0"/>
                                                  <w:marTop w:val="0"/>
                                                  <w:marBottom w:val="0"/>
                                                  <w:divBdr>
                                                    <w:top w:val="none" w:sz="0" w:space="0" w:color="auto"/>
                                                    <w:left w:val="none" w:sz="0" w:space="0" w:color="auto"/>
                                                    <w:bottom w:val="none" w:sz="0" w:space="0" w:color="auto"/>
                                                    <w:right w:val="none" w:sz="0" w:space="0" w:color="auto"/>
                                                  </w:divBdr>
                                                  <w:divsChild>
                                                    <w:div w:id="978727216">
                                                      <w:marLeft w:val="0"/>
                                                      <w:marRight w:val="0"/>
                                                      <w:marTop w:val="0"/>
                                                      <w:marBottom w:val="0"/>
                                                      <w:divBdr>
                                                        <w:top w:val="none" w:sz="0" w:space="0" w:color="auto"/>
                                                        <w:left w:val="none" w:sz="0" w:space="0" w:color="auto"/>
                                                        <w:bottom w:val="none" w:sz="0" w:space="0" w:color="auto"/>
                                                        <w:right w:val="none" w:sz="0" w:space="0" w:color="auto"/>
                                                      </w:divBdr>
                                                      <w:divsChild>
                                                        <w:div w:id="1608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659625">
      <w:bodyDiv w:val="1"/>
      <w:marLeft w:val="0"/>
      <w:marRight w:val="0"/>
      <w:marTop w:val="0"/>
      <w:marBottom w:val="0"/>
      <w:divBdr>
        <w:top w:val="none" w:sz="0" w:space="0" w:color="auto"/>
        <w:left w:val="none" w:sz="0" w:space="0" w:color="auto"/>
        <w:bottom w:val="none" w:sz="0" w:space="0" w:color="auto"/>
        <w:right w:val="none" w:sz="0" w:space="0" w:color="auto"/>
      </w:divBdr>
    </w:div>
    <w:div w:id="373970599">
      <w:bodyDiv w:val="1"/>
      <w:marLeft w:val="0"/>
      <w:marRight w:val="0"/>
      <w:marTop w:val="0"/>
      <w:marBottom w:val="0"/>
      <w:divBdr>
        <w:top w:val="none" w:sz="0" w:space="0" w:color="auto"/>
        <w:left w:val="none" w:sz="0" w:space="0" w:color="auto"/>
        <w:bottom w:val="none" w:sz="0" w:space="0" w:color="auto"/>
        <w:right w:val="none" w:sz="0" w:space="0" w:color="auto"/>
      </w:divBdr>
    </w:div>
    <w:div w:id="462426825">
      <w:bodyDiv w:val="1"/>
      <w:marLeft w:val="0"/>
      <w:marRight w:val="0"/>
      <w:marTop w:val="0"/>
      <w:marBottom w:val="0"/>
      <w:divBdr>
        <w:top w:val="none" w:sz="0" w:space="0" w:color="auto"/>
        <w:left w:val="none" w:sz="0" w:space="0" w:color="auto"/>
        <w:bottom w:val="none" w:sz="0" w:space="0" w:color="auto"/>
        <w:right w:val="none" w:sz="0" w:space="0" w:color="auto"/>
      </w:divBdr>
    </w:div>
    <w:div w:id="503976325">
      <w:bodyDiv w:val="1"/>
      <w:marLeft w:val="0"/>
      <w:marRight w:val="0"/>
      <w:marTop w:val="0"/>
      <w:marBottom w:val="0"/>
      <w:divBdr>
        <w:top w:val="none" w:sz="0" w:space="0" w:color="auto"/>
        <w:left w:val="none" w:sz="0" w:space="0" w:color="auto"/>
        <w:bottom w:val="none" w:sz="0" w:space="0" w:color="auto"/>
        <w:right w:val="none" w:sz="0" w:space="0" w:color="auto"/>
      </w:divBdr>
      <w:divsChild>
        <w:div w:id="1811166920">
          <w:marLeft w:val="0"/>
          <w:marRight w:val="0"/>
          <w:marTop w:val="0"/>
          <w:marBottom w:val="0"/>
          <w:divBdr>
            <w:top w:val="none" w:sz="0" w:space="0" w:color="auto"/>
            <w:left w:val="none" w:sz="0" w:space="0" w:color="auto"/>
            <w:bottom w:val="none" w:sz="0" w:space="0" w:color="auto"/>
            <w:right w:val="none" w:sz="0" w:space="0" w:color="auto"/>
          </w:divBdr>
          <w:divsChild>
            <w:div w:id="1363704480">
              <w:marLeft w:val="0"/>
              <w:marRight w:val="0"/>
              <w:marTop w:val="0"/>
              <w:marBottom w:val="0"/>
              <w:divBdr>
                <w:top w:val="none" w:sz="0" w:space="0" w:color="auto"/>
                <w:left w:val="none" w:sz="0" w:space="0" w:color="auto"/>
                <w:bottom w:val="none" w:sz="0" w:space="0" w:color="auto"/>
                <w:right w:val="none" w:sz="0" w:space="0" w:color="auto"/>
              </w:divBdr>
              <w:divsChild>
                <w:div w:id="756830566">
                  <w:marLeft w:val="0"/>
                  <w:marRight w:val="0"/>
                  <w:marTop w:val="0"/>
                  <w:marBottom w:val="0"/>
                  <w:divBdr>
                    <w:top w:val="none" w:sz="0" w:space="0" w:color="auto"/>
                    <w:left w:val="none" w:sz="0" w:space="0" w:color="auto"/>
                    <w:bottom w:val="none" w:sz="0" w:space="0" w:color="auto"/>
                    <w:right w:val="none" w:sz="0" w:space="0" w:color="auto"/>
                  </w:divBdr>
                  <w:divsChild>
                    <w:div w:id="1468931589">
                      <w:marLeft w:val="0"/>
                      <w:marRight w:val="0"/>
                      <w:marTop w:val="0"/>
                      <w:marBottom w:val="0"/>
                      <w:divBdr>
                        <w:top w:val="none" w:sz="0" w:space="0" w:color="auto"/>
                        <w:left w:val="none" w:sz="0" w:space="0" w:color="auto"/>
                        <w:bottom w:val="none" w:sz="0" w:space="0" w:color="auto"/>
                        <w:right w:val="none" w:sz="0" w:space="0" w:color="auto"/>
                      </w:divBdr>
                      <w:divsChild>
                        <w:div w:id="696930192">
                          <w:marLeft w:val="0"/>
                          <w:marRight w:val="0"/>
                          <w:marTop w:val="0"/>
                          <w:marBottom w:val="0"/>
                          <w:divBdr>
                            <w:top w:val="none" w:sz="0" w:space="0" w:color="auto"/>
                            <w:left w:val="none" w:sz="0" w:space="0" w:color="auto"/>
                            <w:bottom w:val="none" w:sz="0" w:space="0" w:color="auto"/>
                            <w:right w:val="none" w:sz="0" w:space="0" w:color="auto"/>
                          </w:divBdr>
                          <w:divsChild>
                            <w:div w:id="844054190">
                              <w:marLeft w:val="0"/>
                              <w:marRight w:val="0"/>
                              <w:marTop w:val="0"/>
                              <w:marBottom w:val="0"/>
                              <w:divBdr>
                                <w:top w:val="none" w:sz="0" w:space="0" w:color="auto"/>
                                <w:left w:val="none" w:sz="0" w:space="0" w:color="auto"/>
                                <w:bottom w:val="none" w:sz="0" w:space="0" w:color="auto"/>
                                <w:right w:val="none" w:sz="0" w:space="0" w:color="auto"/>
                              </w:divBdr>
                              <w:divsChild>
                                <w:div w:id="1836534894">
                                  <w:marLeft w:val="0"/>
                                  <w:marRight w:val="0"/>
                                  <w:marTop w:val="0"/>
                                  <w:marBottom w:val="0"/>
                                  <w:divBdr>
                                    <w:top w:val="none" w:sz="0" w:space="0" w:color="auto"/>
                                    <w:left w:val="none" w:sz="0" w:space="0" w:color="auto"/>
                                    <w:bottom w:val="none" w:sz="0" w:space="0" w:color="auto"/>
                                    <w:right w:val="none" w:sz="0" w:space="0" w:color="auto"/>
                                  </w:divBdr>
                                  <w:divsChild>
                                    <w:div w:id="142915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4800819">
      <w:bodyDiv w:val="1"/>
      <w:marLeft w:val="0"/>
      <w:marRight w:val="0"/>
      <w:marTop w:val="0"/>
      <w:marBottom w:val="0"/>
      <w:divBdr>
        <w:top w:val="none" w:sz="0" w:space="0" w:color="auto"/>
        <w:left w:val="none" w:sz="0" w:space="0" w:color="auto"/>
        <w:bottom w:val="none" w:sz="0" w:space="0" w:color="auto"/>
        <w:right w:val="none" w:sz="0" w:space="0" w:color="auto"/>
      </w:divBdr>
      <w:divsChild>
        <w:div w:id="67263942">
          <w:marLeft w:val="0"/>
          <w:marRight w:val="0"/>
          <w:marTop w:val="0"/>
          <w:marBottom w:val="0"/>
          <w:divBdr>
            <w:top w:val="none" w:sz="0" w:space="0" w:color="auto"/>
            <w:left w:val="none" w:sz="0" w:space="0" w:color="auto"/>
            <w:bottom w:val="none" w:sz="0" w:space="0" w:color="auto"/>
            <w:right w:val="none" w:sz="0" w:space="0" w:color="auto"/>
          </w:divBdr>
          <w:divsChild>
            <w:div w:id="38625907">
              <w:marLeft w:val="0"/>
              <w:marRight w:val="0"/>
              <w:marTop w:val="0"/>
              <w:marBottom w:val="0"/>
              <w:divBdr>
                <w:top w:val="none" w:sz="0" w:space="0" w:color="auto"/>
                <w:left w:val="none" w:sz="0" w:space="0" w:color="auto"/>
                <w:bottom w:val="none" w:sz="0" w:space="0" w:color="auto"/>
                <w:right w:val="none" w:sz="0" w:space="0" w:color="auto"/>
              </w:divBdr>
              <w:divsChild>
                <w:div w:id="1246456980">
                  <w:marLeft w:val="0"/>
                  <w:marRight w:val="0"/>
                  <w:marTop w:val="0"/>
                  <w:marBottom w:val="0"/>
                  <w:divBdr>
                    <w:top w:val="none" w:sz="0" w:space="0" w:color="auto"/>
                    <w:left w:val="none" w:sz="0" w:space="0" w:color="auto"/>
                    <w:bottom w:val="none" w:sz="0" w:space="0" w:color="auto"/>
                    <w:right w:val="none" w:sz="0" w:space="0" w:color="auto"/>
                  </w:divBdr>
                  <w:divsChild>
                    <w:div w:id="1383208420">
                      <w:marLeft w:val="0"/>
                      <w:marRight w:val="0"/>
                      <w:marTop w:val="0"/>
                      <w:marBottom w:val="0"/>
                      <w:divBdr>
                        <w:top w:val="none" w:sz="0" w:space="0" w:color="auto"/>
                        <w:left w:val="none" w:sz="0" w:space="0" w:color="auto"/>
                        <w:bottom w:val="none" w:sz="0" w:space="0" w:color="auto"/>
                        <w:right w:val="none" w:sz="0" w:space="0" w:color="auto"/>
                      </w:divBdr>
                      <w:divsChild>
                        <w:div w:id="1134444427">
                          <w:marLeft w:val="0"/>
                          <w:marRight w:val="0"/>
                          <w:marTop w:val="0"/>
                          <w:marBottom w:val="0"/>
                          <w:divBdr>
                            <w:top w:val="none" w:sz="0" w:space="0" w:color="auto"/>
                            <w:left w:val="none" w:sz="0" w:space="0" w:color="auto"/>
                            <w:bottom w:val="none" w:sz="0" w:space="0" w:color="auto"/>
                            <w:right w:val="none" w:sz="0" w:space="0" w:color="auto"/>
                          </w:divBdr>
                          <w:divsChild>
                            <w:div w:id="110250524">
                              <w:marLeft w:val="0"/>
                              <w:marRight w:val="0"/>
                              <w:marTop w:val="0"/>
                              <w:marBottom w:val="0"/>
                              <w:divBdr>
                                <w:top w:val="none" w:sz="0" w:space="0" w:color="auto"/>
                                <w:left w:val="none" w:sz="0" w:space="0" w:color="auto"/>
                                <w:bottom w:val="none" w:sz="0" w:space="0" w:color="auto"/>
                                <w:right w:val="none" w:sz="0" w:space="0" w:color="auto"/>
                              </w:divBdr>
                              <w:divsChild>
                                <w:div w:id="362941294">
                                  <w:marLeft w:val="0"/>
                                  <w:marRight w:val="0"/>
                                  <w:marTop w:val="0"/>
                                  <w:marBottom w:val="0"/>
                                  <w:divBdr>
                                    <w:top w:val="none" w:sz="0" w:space="0" w:color="auto"/>
                                    <w:left w:val="none" w:sz="0" w:space="0" w:color="auto"/>
                                    <w:bottom w:val="none" w:sz="0" w:space="0" w:color="auto"/>
                                    <w:right w:val="none" w:sz="0" w:space="0" w:color="auto"/>
                                  </w:divBdr>
                                  <w:divsChild>
                                    <w:div w:id="128365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4237113">
      <w:bodyDiv w:val="1"/>
      <w:marLeft w:val="0"/>
      <w:marRight w:val="0"/>
      <w:marTop w:val="0"/>
      <w:marBottom w:val="0"/>
      <w:divBdr>
        <w:top w:val="none" w:sz="0" w:space="0" w:color="auto"/>
        <w:left w:val="none" w:sz="0" w:space="0" w:color="auto"/>
        <w:bottom w:val="none" w:sz="0" w:space="0" w:color="auto"/>
        <w:right w:val="none" w:sz="0" w:space="0" w:color="auto"/>
      </w:divBdr>
      <w:divsChild>
        <w:div w:id="630670068">
          <w:marLeft w:val="0"/>
          <w:marRight w:val="0"/>
          <w:marTop w:val="0"/>
          <w:marBottom w:val="0"/>
          <w:divBdr>
            <w:top w:val="none" w:sz="0" w:space="0" w:color="auto"/>
            <w:left w:val="none" w:sz="0" w:space="0" w:color="auto"/>
            <w:bottom w:val="none" w:sz="0" w:space="0" w:color="auto"/>
            <w:right w:val="none" w:sz="0" w:space="0" w:color="auto"/>
          </w:divBdr>
        </w:div>
        <w:div w:id="1717043655">
          <w:marLeft w:val="0"/>
          <w:marRight w:val="0"/>
          <w:marTop w:val="0"/>
          <w:marBottom w:val="0"/>
          <w:divBdr>
            <w:top w:val="none" w:sz="0" w:space="0" w:color="auto"/>
            <w:left w:val="none" w:sz="0" w:space="0" w:color="auto"/>
            <w:bottom w:val="none" w:sz="0" w:space="0" w:color="auto"/>
            <w:right w:val="none" w:sz="0" w:space="0" w:color="auto"/>
          </w:divBdr>
          <w:divsChild>
            <w:div w:id="1049261917">
              <w:marLeft w:val="0"/>
              <w:marRight w:val="0"/>
              <w:marTop w:val="0"/>
              <w:marBottom w:val="0"/>
              <w:divBdr>
                <w:top w:val="none" w:sz="0" w:space="0" w:color="auto"/>
                <w:left w:val="none" w:sz="0" w:space="0" w:color="auto"/>
                <w:bottom w:val="none" w:sz="0" w:space="0" w:color="auto"/>
                <w:right w:val="none" w:sz="0" w:space="0" w:color="auto"/>
              </w:divBdr>
              <w:divsChild>
                <w:div w:id="717245026">
                  <w:marLeft w:val="0"/>
                  <w:marRight w:val="0"/>
                  <w:marTop w:val="0"/>
                  <w:marBottom w:val="0"/>
                  <w:divBdr>
                    <w:top w:val="none" w:sz="0" w:space="0" w:color="auto"/>
                    <w:left w:val="none" w:sz="0" w:space="0" w:color="auto"/>
                    <w:bottom w:val="none" w:sz="0" w:space="0" w:color="auto"/>
                    <w:right w:val="none" w:sz="0" w:space="0" w:color="auto"/>
                  </w:divBdr>
                  <w:divsChild>
                    <w:div w:id="473840358">
                      <w:marLeft w:val="0"/>
                      <w:marRight w:val="0"/>
                      <w:marTop w:val="0"/>
                      <w:marBottom w:val="0"/>
                      <w:divBdr>
                        <w:top w:val="none" w:sz="0" w:space="0" w:color="auto"/>
                        <w:left w:val="none" w:sz="0" w:space="0" w:color="auto"/>
                        <w:bottom w:val="none" w:sz="0" w:space="0" w:color="auto"/>
                        <w:right w:val="none" w:sz="0" w:space="0" w:color="auto"/>
                      </w:divBdr>
                      <w:divsChild>
                        <w:div w:id="5166996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20983967">
      <w:bodyDiv w:val="1"/>
      <w:marLeft w:val="0"/>
      <w:marRight w:val="0"/>
      <w:marTop w:val="0"/>
      <w:marBottom w:val="0"/>
      <w:divBdr>
        <w:top w:val="none" w:sz="0" w:space="0" w:color="auto"/>
        <w:left w:val="none" w:sz="0" w:space="0" w:color="auto"/>
        <w:bottom w:val="none" w:sz="0" w:space="0" w:color="auto"/>
        <w:right w:val="none" w:sz="0" w:space="0" w:color="auto"/>
      </w:divBdr>
      <w:divsChild>
        <w:div w:id="1295134568">
          <w:marLeft w:val="0"/>
          <w:marRight w:val="0"/>
          <w:marTop w:val="0"/>
          <w:marBottom w:val="0"/>
          <w:divBdr>
            <w:top w:val="none" w:sz="0" w:space="0" w:color="auto"/>
            <w:left w:val="none" w:sz="0" w:space="0" w:color="auto"/>
            <w:bottom w:val="none" w:sz="0" w:space="0" w:color="auto"/>
            <w:right w:val="none" w:sz="0" w:space="0" w:color="auto"/>
          </w:divBdr>
          <w:divsChild>
            <w:div w:id="1170095207">
              <w:marLeft w:val="0"/>
              <w:marRight w:val="0"/>
              <w:marTop w:val="0"/>
              <w:marBottom w:val="0"/>
              <w:divBdr>
                <w:top w:val="none" w:sz="0" w:space="0" w:color="auto"/>
                <w:left w:val="none" w:sz="0" w:space="0" w:color="auto"/>
                <w:bottom w:val="none" w:sz="0" w:space="0" w:color="auto"/>
                <w:right w:val="none" w:sz="0" w:space="0" w:color="auto"/>
              </w:divBdr>
              <w:divsChild>
                <w:div w:id="1855611065">
                  <w:marLeft w:val="0"/>
                  <w:marRight w:val="0"/>
                  <w:marTop w:val="0"/>
                  <w:marBottom w:val="0"/>
                  <w:divBdr>
                    <w:top w:val="none" w:sz="0" w:space="0" w:color="auto"/>
                    <w:left w:val="none" w:sz="0" w:space="0" w:color="auto"/>
                    <w:bottom w:val="none" w:sz="0" w:space="0" w:color="auto"/>
                    <w:right w:val="none" w:sz="0" w:space="0" w:color="auto"/>
                  </w:divBdr>
                  <w:divsChild>
                    <w:div w:id="64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87484">
          <w:marLeft w:val="0"/>
          <w:marRight w:val="0"/>
          <w:marTop w:val="0"/>
          <w:marBottom w:val="0"/>
          <w:divBdr>
            <w:top w:val="none" w:sz="0" w:space="0" w:color="auto"/>
            <w:left w:val="none" w:sz="0" w:space="0" w:color="auto"/>
            <w:bottom w:val="none" w:sz="0" w:space="0" w:color="auto"/>
            <w:right w:val="none" w:sz="0" w:space="0" w:color="auto"/>
          </w:divBdr>
          <w:divsChild>
            <w:div w:id="953098943">
              <w:marLeft w:val="0"/>
              <w:marRight w:val="0"/>
              <w:marTop w:val="0"/>
              <w:marBottom w:val="0"/>
              <w:divBdr>
                <w:top w:val="none" w:sz="0" w:space="0" w:color="auto"/>
                <w:left w:val="none" w:sz="0" w:space="0" w:color="auto"/>
                <w:bottom w:val="none" w:sz="0" w:space="0" w:color="auto"/>
                <w:right w:val="none" w:sz="0" w:space="0" w:color="auto"/>
              </w:divBdr>
              <w:divsChild>
                <w:div w:id="351421586">
                  <w:marLeft w:val="0"/>
                  <w:marRight w:val="0"/>
                  <w:marTop w:val="0"/>
                  <w:marBottom w:val="0"/>
                  <w:divBdr>
                    <w:top w:val="none" w:sz="0" w:space="0" w:color="auto"/>
                    <w:left w:val="none" w:sz="0" w:space="0" w:color="auto"/>
                    <w:bottom w:val="none" w:sz="0" w:space="0" w:color="auto"/>
                    <w:right w:val="none" w:sz="0" w:space="0" w:color="auto"/>
                  </w:divBdr>
                  <w:divsChild>
                    <w:div w:id="13390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944912">
      <w:bodyDiv w:val="1"/>
      <w:marLeft w:val="0"/>
      <w:marRight w:val="0"/>
      <w:marTop w:val="0"/>
      <w:marBottom w:val="0"/>
      <w:divBdr>
        <w:top w:val="none" w:sz="0" w:space="0" w:color="auto"/>
        <w:left w:val="none" w:sz="0" w:space="0" w:color="auto"/>
        <w:bottom w:val="none" w:sz="0" w:space="0" w:color="auto"/>
        <w:right w:val="none" w:sz="0" w:space="0" w:color="auto"/>
      </w:divBdr>
    </w:div>
    <w:div w:id="829520794">
      <w:bodyDiv w:val="1"/>
      <w:marLeft w:val="0"/>
      <w:marRight w:val="0"/>
      <w:marTop w:val="0"/>
      <w:marBottom w:val="0"/>
      <w:divBdr>
        <w:top w:val="none" w:sz="0" w:space="0" w:color="auto"/>
        <w:left w:val="none" w:sz="0" w:space="0" w:color="auto"/>
        <w:bottom w:val="none" w:sz="0" w:space="0" w:color="auto"/>
        <w:right w:val="none" w:sz="0" w:space="0" w:color="auto"/>
      </w:divBdr>
    </w:div>
    <w:div w:id="911087756">
      <w:bodyDiv w:val="1"/>
      <w:marLeft w:val="0"/>
      <w:marRight w:val="0"/>
      <w:marTop w:val="0"/>
      <w:marBottom w:val="0"/>
      <w:divBdr>
        <w:top w:val="none" w:sz="0" w:space="0" w:color="auto"/>
        <w:left w:val="none" w:sz="0" w:space="0" w:color="auto"/>
        <w:bottom w:val="none" w:sz="0" w:space="0" w:color="auto"/>
        <w:right w:val="none" w:sz="0" w:space="0" w:color="auto"/>
      </w:divBdr>
      <w:divsChild>
        <w:div w:id="230165481">
          <w:marLeft w:val="0"/>
          <w:marRight w:val="0"/>
          <w:marTop w:val="0"/>
          <w:marBottom w:val="0"/>
          <w:divBdr>
            <w:top w:val="none" w:sz="0" w:space="0" w:color="auto"/>
            <w:left w:val="none" w:sz="0" w:space="0" w:color="auto"/>
            <w:bottom w:val="none" w:sz="0" w:space="0" w:color="auto"/>
            <w:right w:val="none" w:sz="0" w:space="0" w:color="auto"/>
          </w:divBdr>
          <w:divsChild>
            <w:div w:id="1880359723">
              <w:marLeft w:val="0"/>
              <w:marRight w:val="0"/>
              <w:marTop w:val="0"/>
              <w:marBottom w:val="0"/>
              <w:divBdr>
                <w:top w:val="none" w:sz="0" w:space="0" w:color="auto"/>
                <w:left w:val="none" w:sz="0" w:space="0" w:color="auto"/>
                <w:bottom w:val="none" w:sz="0" w:space="0" w:color="auto"/>
                <w:right w:val="none" w:sz="0" w:space="0" w:color="auto"/>
              </w:divBdr>
              <w:divsChild>
                <w:div w:id="1391878677">
                  <w:marLeft w:val="0"/>
                  <w:marRight w:val="0"/>
                  <w:marTop w:val="0"/>
                  <w:marBottom w:val="0"/>
                  <w:divBdr>
                    <w:top w:val="none" w:sz="0" w:space="0" w:color="auto"/>
                    <w:left w:val="none" w:sz="0" w:space="0" w:color="auto"/>
                    <w:bottom w:val="none" w:sz="0" w:space="0" w:color="auto"/>
                    <w:right w:val="none" w:sz="0" w:space="0" w:color="auto"/>
                  </w:divBdr>
                  <w:divsChild>
                    <w:div w:id="3836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192824">
          <w:marLeft w:val="0"/>
          <w:marRight w:val="0"/>
          <w:marTop w:val="0"/>
          <w:marBottom w:val="0"/>
          <w:divBdr>
            <w:top w:val="none" w:sz="0" w:space="0" w:color="auto"/>
            <w:left w:val="none" w:sz="0" w:space="0" w:color="auto"/>
            <w:bottom w:val="none" w:sz="0" w:space="0" w:color="auto"/>
            <w:right w:val="none" w:sz="0" w:space="0" w:color="auto"/>
          </w:divBdr>
          <w:divsChild>
            <w:div w:id="814487845">
              <w:marLeft w:val="0"/>
              <w:marRight w:val="0"/>
              <w:marTop w:val="0"/>
              <w:marBottom w:val="0"/>
              <w:divBdr>
                <w:top w:val="none" w:sz="0" w:space="0" w:color="auto"/>
                <w:left w:val="none" w:sz="0" w:space="0" w:color="auto"/>
                <w:bottom w:val="none" w:sz="0" w:space="0" w:color="auto"/>
                <w:right w:val="none" w:sz="0" w:space="0" w:color="auto"/>
              </w:divBdr>
              <w:divsChild>
                <w:div w:id="49691910">
                  <w:marLeft w:val="0"/>
                  <w:marRight w:val="0"/>
                  <w:marTop w:val="0"/>
                  <w:marBottom w:val="0"/>
                  <w:divBdr>
                    <w:top w:val="none" w:sz="0" w:space="0" w:color="auto"/>
                    <w:left w:val="none" w:sz="0" w:space="0" w:color="auto"/>
                    <w:bottom w:val="none" w:sz="0" w:space="0" w:color="auto"/>
                    <w:right w:val="none" w:sz="0" w:space="0" w:color="auto"/>
                  </w:divBdr>
                  <w:divsChild>
                    <w:div w:id="10527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553632">
      <w:bodyDiv w:val="1"/>
      <w:marLeft w:val="0"/>
      <w:marRight w:val="0"/>
      <w:marTop w:val="0"/>
      <w:marBottom w:val="0"/>
      <w:divBdr>
        <w:top w:val="none" w:sz="0" w:space="0" w:color="auto"/>
        <w:left w:val="none" w:sz="0" w:space="0" w:color="auto"/>
        <w:bottom w:val="none" w:sz="0" w:space="0" w:color="auto"/>
        <w:right w:val="none" w:sz="0" w:space="0" w:color="auto"/>
      </w:divBdr>
      <w:divsChild>
        <w:div w:id="1646350224">
          <w:marLeft w:val="0"/>
          <w:marRight w:val="0"/>
          <w:marTop w:val="0"/>
          <w:marBottom w:val="0"/>
          <w:divBdr>
            <w:top w:val="none" w:sz="0" w:space="0" w:color="auto"/>
            <w:left w:val="none" w:sz="0" w:space="0" w:color="auto"/>
            <w:bottom w:val="none" w:sz="0" w:space="0" w:color="auto"/>
            <w:right w:val="none" w:sz="0" w:space="0" w:color="auto"/>
          </w:divBdr>
          <w:divsChild>
            <w:div w:id="1003624963">
              <w:marLeft w:val="0"/>
              <w:marRight w:val="0"/>
              <w:marTop w:val="0"/>
              <w:marBottom w:val="0"/>
              <w:divBdr>
                <w:top w:val="none" w:sz="0" w:space="0" w:color="auto"/>
                <w:left w:val="none" w:sz="0" w:space="0" w:color="auto"/>
                <w:bottom w:val="none" w:sz="0" w:space="0" w:color="auto"/>
                <w:right w:val="none" w:sz="0" w:space="0" w:color="auto"/>
              </w:divBdr>
              <w:divsChild>
                <w:div w:id="187915095">
                  <w:marLeft w:val="0"/>
                  <w:marRight w:val="0"/>
                  <w:marTop w:val="0"/>
                  <w:marBottom w:val="0"/>
                  <w:divBdr>
                    <w:top w:val="none" w:sz="0" w:space="0" w:color="auto"/>
                    <w:left w:val="none" w:sz="0" w:space="0" w:color="auto"/>
                    <w:bottom w:val="none" w:sz="0" w:space="0" w:color="auto"/>
                    <w:right w:val="none" w:sz="0" w:space="0" w:color="auto"/>
                  </w:divBdr>
                  <w:divsChild>
                    <w:div w:id="9733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822363">
          <w:marLeft w:val="0"/>
          <w:marRight w:val="0"/>
          <w:marTop w:val="0"/>
          <w:marBottom w:val="0"/>
          <w:divBdr>
            <w:top w:val="none" w:sz="0" w:space="0" w:color="auto"/>
            <w:left w:val="none" w:sz="0" w:space="0" w:color="auto"/>
            <w:bottom w:val="none" w:sz="0" w:space="0" w:color="auto"/>
            <w:right w:val="none" w:sz="0" w:space="0" w:color="auto"/>
          </w:divBdr>
          <w:divsChild>
            <w:div w:id="1527251312">
              <w:marLeft w:val="0"/>
              <w:marRight w:val="0"/>
              <w:marTop w:val="0"/>
              <w:marBottom w:val="0"/>
              <w:divBdr>
                <w:top w:val="none" w:sz="0" w:space="0" w:color="auto"/>
                <w:left w:val="none" w:sz="0" w:space="0" w:color="auto"/>
                <w:bottom w:val="none" w:sz="0" w:space="0" w:color="auto"/>
                <w:right w:val="none" w:sz="0" w:space="0" w:color="auto"/>
              </w:divBdr>
              <w:divsChild>
                <w:div w:id="279578423">
                  <w:marLeft w:val="0"/>
                  <w:marRight w:val="0"/>
                  <w:marTop w:val="0"/>
                  <w:marBottom w:val="0"/>
                  <w:divBdr>
                    <w:top w:val="none" w:sz="0" w:space="0" w:color="auto"/>
                    <w:left w:val="none" w:sz="0" w:space="0" w:color="auto"/>
                    <w:bottom w:val="none" w:sz="0" w:space="0" w:color="auto"/>
                    <w:right w:val="none" w:sz="0" w:space="0" w:color="auto"/>
                  </w:divBdr>
                  <w:divsChild>
                    <w:div w:id="18830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540690">
      <w:bodyDiv w:val="1"/>
      <w:marLeft w:val="0"/>
      <w:marRight w:val="0"/>
      <w:marTop w:val="0"/>
      <w:marBottom w:val="0"/>
      <w:divBdr>
        <w:top w:val="none" w:sz="0" w:space="0" w:color="auto"/>
        <w:left w:val="none" w:sz="0" w:space="0" w:color="auto"/>
        <w:bottom w:val="none" w:sz="0" w:space="0" w:color="auto"/>
        <w:right w:val="none" w:sz="0" w:space="0" w:color="auto"/>
      </w:divBdr>
    </w:div>
    <w:div w:id="1040126206">
      <w:bodyDiv w:val="1"/>
      <w:marLeft w:val="0"/>
      <w:marRight w:val="0"/>
      <w:marTop w:val="0"/>
      <w:marBottom w:val="0"/>
      <w:divBdr>
        <w:top w:val="none" w:sz="0" w:space="0" w:color="auto"/>
        <w:left w:val="none" w:sz="0" w:space="0" w:color="auto"/>
        <w:bottom w:val="none" w:sz="0" w:space="0" w:color="auto"/>
        <w:right w:val="none" w:sz="0" w:space="0" w:color="auto"/>
      </w:divBdr>
      <w:divsChild>
        <w:div w:id="1457487151">
          <w:marLeft w:val="0"/>
          <w:marRight w:val="0"/>
          <w:marTop w:val="0"/>
          <w:marBottom w:val="0"/>
          <w:divBdr>
            <w:top w:val="none" w:sz="0" w:space="0" w:color="auto"/>
            <w:left w:val="none" w:sz="0" w:space="0" w:color="auto"/>
            <w:bottom w:val="none" w:sz="0" w:space="0" w:color="auto"/>
            <w:right w:val="none" w:sz="0" w:space="0" w:color="auto"/>
          </w:divBdr>
          <w:divsChild>
            <w:div w:id="2056276085">
              <w:marLeft w:val="0"/>
              <w:marRight w:val="0"/>
              <w:marTop w:val="0"/>
              <w:marBottom w:val="0"/>
              <w:divBdr>
                <w:top w:val="none" w:sz="0" w:space="0" w:color="auto"/>
                <w:left w:val="none" w:sz="0" w:space="0" w:color="auto"/>
                <w:bottom w:val="none" w:sz="0" w:space="0" w:color="auto"/>
                <w:right w:val="none" w:sz="0" w:space="0" w:color="auto"/>
              </w:divBdr>
              <w:divsChild>
                <w:div w:id="507213906">
                  <w:marLeft w:val="0"/>
                  <w:marRight w:val="0"/>
                  <w:marTop w:val="0"/>
                  <w:marBottom w:val="0"/>
                  <w:divBdr>
                    <w:top w:val="none" w:sz="0" w:space="0" w:color="auto"/>
                    <w:left w:val="none" w:sz="0" w:space="0" w:color="auto"/>
                    <w:bottom w:val="none" w:sz="0" w:space="0" w:color="auto"/>
                    <w:right w:val="none" w:sz="0" w:space="0" w:color="auto"/>
                  </w:divBdr>
                  <w:divsChild>
                    <w:div w:id="95082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782628">
          <w:marLeft w:val="0"/>
          <w:marRight w:val="0"/>
          <w:marTop w:val="0"/>
          <w:marBottom w:val="0"/>
          <w:divBdr>
            <w:top w:val="none" w:sz="0" w:space="0" w:color="auto"/>
            <w:left w:val="none" w:sz="0" w:space="0" w:color="auto"/>
            <w:bottom w:val="none" w:sz="0" w:space="0" w:color="auto"/>
            <w:right w:val="none" w:sz="0" w:space="0" w:color="auto"/>
          </w:divBdr>
          <w:divsChild>
            <w:div w:id="220332478">
              <w:marLeft w:val="0"/>
              <w:marRight w:val="0"/>
              <w:marTop w:val="0"/>
              <w:marBottom w:val="0"/>
              <w:divBdr>
                <w:top w:val="none" w:sz="0" w:space="0" w:color="auto"/>
                <w:left w:val="none" w:sz="0" w:space="0" w:color="auto"/>
                <w:bottom w:val="none" w:sz="0" w:space="0" w:color="auto"/>
                <w:right w:val="none" w:sz="0" w:space="0" w:color="auto"/>
              </w:divBdr>
              <w:divsChild>
                <w:div w:id="1102336166">
                  <w:marLeft w:val="0"/>
                  <w:marRight w:val="0"/>
                  <w:marTop w:val="0"/>
                  <w:marBottom w:val="0"/>
                  <w:divBdr>
                    <w:top w:val="none" w:sz="0" w:space="0" w:color="auto"/>
                    <w:left w:val="none" w:sz="0" w:space="0" w:color="auto"/>
                    <w:bottom w:val="none" w:sz="0" w:space="0" w:color="auto"/>
                    <w:right w:val="none" w:sz="0" w:space="0" w:color="auto"/>
                  </w:divBdr>
                  <w:divsChild>
                    <w:div w:id="79078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990540">
      <w:bodyDiv w:val="1"/>
      <w:marLeft w:val="0"/>
      <w:marRight w:val="0"/>
      <w:marTop w:val="0"/>
      <w:marBottom w:val="0"/>
      <w:divBdr>
        <w:top w:val="none" w:sz="0" w:space="0" w:color="auto"/>
        <w:left w:val="none" w:sz="0" w:space="0" w:color="auto"/>
        <w:bottom w:val="none" w:sz="0" w:space="0" w:color="auto"/>
        <w:right w:val="none" w:sz="0" w:space="0" w:color="auto"/>
      </w:divBdr>
      <w:divsChild>
        <w:div w:id="936943">
          <w:marLeft w:val="0"/>
          <w:marRight w:val="0"/>
          <w:marTop w:val="0"/>
          <w:marBottom w:val="0"/>
          <w:divBdr>
            <w:top w:val="none" w:sz="0" w:space="0" w:color="auto"/>
            <w:left w:val="none" w:sz="0" w:space="0" w:color="auto"/>
            <w:bottom w:val="none" w:sz="0" w:space="0" w:color="auto"/>
            <w:right w:val="none" w:sz="0" w:space="0" w:color="auto"/>
          </w:divBdr>
          <w:divsChild>
            <w:div w:id="545873856">
              <w:marLeft w:val="0"/>
              <w:marRight w:val="0"/>
              <w:marTop w:val="0"/>
              <w:marBottom w:val="0"/>
              <w:divBdr>
                <w:top w:val="none" w:sz="0" w:space="0" w:color="auto"/>
                <w:left w:val="none" w:sz="0" w:space="0" w:color="auto"/>
                <w:bottom w:val="none" w:sz="0" w:space="0" w:color="auto"/>
                <w:right w:val="none" w:sz="0" w:space="0" w:color="auto"/>
              </w:divBdr>
              <w:divsChild>
                <w:div w:id="1931308964">
                  <w:marLeft w:val="0"/>
                  <w:marRight w:val="0"/>
                  <w:marTop w:val="0"/>
                  <w:marBottom w:val="0"/>
                  <w:divBdr>
                    <w:top w:val="none" w:sz="0" w:space="0" w:color="auto"/>
                    <w:left w:val="none" w:sz="0" w:space="0" w:color="auto"/>
                    <w:bottom w:val="none" w:sz="0" w:space="0" w:color="auto"/>
                    <w:right w:val="none" w:sz="0" w:space="0" w:color="auto"/>
                  </w:divBdr>
                  <w:divsChild>
                    <w:div w:id="67896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0018">
          <w:marLeft w:val="0"/>
          <w:marRight w:val="0"/>
          <w:marTop w:val="0"/>
          <w:marBottom w:val="0"/>
          <w:divBdr>
            <w:top w:val="none" w:sz="0" w:space="0" w:color="auto"/>
            <w:left w:val="none" w:sz="0" w:space="0" w:color="auto"/>
            <w:bottom w:val="none" w:sz="0" w:space="0" w:color="auto"/>
            <w:right w:val="none" w:sz="0" w:space="0" w:color="auto"/>
          </w:divBdr>
          <w:divsChild>
            <w:div w:id="1248881175">
              <w:marLeft w:val="0"/>
              <w:marRight w:val="0"/>
              <w:marTop w:val="0"/>
              <w:marBottom w:val="0"/>
              <w:divBdr>
                <w:top w:val="none" w:sz="0" w:space="0" w:color="auto"/>
                <w:left w:val="none" w:sz="0" w:space="0" w:color="auto"/>
                <w:bottom w:val="none" w:sz="0" w:space="0" w:color="auto"/>
                <w:right w:val="none" w:sz="0" w:space="0" w:color="auto"/>
              </w:divBdr>
              <w:divsChild>
                <w:div w:id="676812151">
                  <w:marLeft w:val="0"/>
                  <w:marRight w:val="0"/>
                  <w:marTop w:val="0"/>
                  <w:marBottom w:val="0"/>
                  <w:divBdr>
                    <w:top w:val="none" w:sz="0" w:space="0" w:color="auto"/>
                    <w:left w:val="none" w:sz="0" w:space="0" w:color="auto"/>
                    <w:bottom w:val="none" w:sz="0" w:space="0" w:color="auto"/>
                    <w:right w:val="none" w:sz="0" w:space="0" w:color="auto"/>
                  </w:divBdr>
                  <w:divsChild>
                    <w:div w:id="7470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917244">
      <w:bodyDiv w:val="1"/>
      <w:marLeft w:val="0"/>
      <w:marRight w:val="0"/>
      <w:marTop w:val="0"/>
      <w:marBottom w:val="0"/>
      <w:divBdr>
        <w:top w:val="none" w:sz="0" w:space="0" w:color="auto"/>
        <w:left w:val="none" w:sz="0" w:space="0" w:color="auto"/>
        <w:bottom w:val="none" w:sz="0" w:space="0" w:color="auto"/>
        <w:right w:val="none" w:sz="0" w:space="0" w:color="auto"/>
      </w:divBdr>
      <w:divsChild>
        <w:div w:id="21977925">
          <w:marLeft w:val="0"/>
          <w:marRight w:val="0"/>
          <w:marTop w:val="0"/>
          <w:marBottom w:val="0"/>
          <w:divBdr>
            <w:top w:val="none" w:sz="0" w:space="0" w:color="auto"/>
            <w:left w:val="none" w:sz="0" w:space="0" w:color="auto"/>
            <w:bottom w:val="none" w:sz="0" w:space="0" w:color="auto"/>
            <w:right w:val="none" w:sz="0" w:space="0" w:color="auto"/>
          </w:divBdr>
          <w:divsChild>
            <w:div w:id="2062173499">
              <w:marLeft w:val="0"/>
              <w:marRight w:val="0"/>
              <w:marTop w:val="0"/>
              <w:marBottom w:val="0"/>
              <w:divBdr>
                <w:top w:val="none" w:sz="0" w:space="0" w:color="auto"/>
                <w:left w:val="none" w:sz="0" w:space="0" w:color="auto"/>
                <w:bottom w:val="none" w:sz="0" w:space="0" w:color="auto"/>
                <w:right w:val="none" w:sz="0" w:space="0" w:color="auto"/>
              </w:divBdr>
              <w:divsChild>
                <w:div w:id="1524706013">
                  <w:marLeft w:val="0"/>
                  <w:marRight w:val="0"/>
                  <w:marTop w:val="0"/>
                  <w:marBottom w:val="0"/>
                  <w:divBdr>
                    <w:top w:val="none" w:sz="0" w:space="0" w:color="auto"/>
                    <w:left w:val="none" w:sz="0" w:space="0" w:color="auto"/>
                    <w:bottom w:val="none" w:sz="0" w:space="0" w:color="auto"/>
                    <w:right w:val="none" w:sz="0" w:space="0" w:color="auto"/>
                  </w:divBdr>
                  <w:divsChild>
                    <w:div w:id="173631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74">
          <w:marLeft w:val="0"/>
          <w:marRight w:val="0"/>
          <w:marTop w:val="0"/>
          <w:marBottom w:val="0"/>
          <w:divBdr>
            <w:top w:val="none" w:sz="0" w:space="0" w:color="auto"/>
            <w:left w:val="none" w:sz="0" w:space="0" w:color="auto"/>
            <w:bottom w:val="none" w:sz="0" w:space="0" w:color="auto"/>
            <w:right w:val="none" w:sz="0" w:space="0" w:color="auto"/>
          </w:divBdr>
          <w:divsChild>
            <w:div w:id="932324718">
              <w:marLeft w:val="0"/>
              <w:marRight w:val="0"/>
              <w:marTop w:val="0"/>
              <w:marBottom w:val="0"/>
              <w:divBdr>
                <w:top w:val="none" w:sz="0" w:space="0" w:color="auto"/>
                <w:left w:val="none" w:sz="0" w:space="0" w:color="auto"/>
                <w:bottom w:val="none" w:sz="0" w:space="0" w:color="auto"/>
                <w:right w:val="none" w:sz="0" w:space="0" w:color="auto"/>
              </w:divBdr>
              <w:divsChild>
                <w:div w:id="2077701939">
                  <w:marLeft w:val="0"/>
                  <w:marRight w:val="0"/>
                  <w:marTop w:val="0"/>
                  <w:marBottom w:val="0"/>
                  <w:divBdr>
                    <w:top w:val="none" w:sz="0" w:space="0" w:color="auto"/>
                    <w:left w:val="none" w:sz="0" w:space="0" w:color="auto"/>
                    <w:bottom w:val="none" w:sz="0" w:space="0" w:color="auto"/>
                    <w:right w:val="none" w:sz="0" w:space="0" w:color="auto"/>
                  </w:divBdr>
                  <w:divsChild>
                    <w:div w:id="1339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3865">
      <w:bodyDiv w:val="1"/>
      <w:marLeft w:val="0"/>
      <w:marRight w:val="0"/>
      <w:marTop w:val="0"/>
      <w:marBottom w:val="0"/>
      <w:divBdr>
        <w:top w:val="none" w:sz="0" w:space="0" w:color="auto"/>
        <w:left w:val="none" w:sz="0" w:space="0" w:color="auto"/>
        <w:bottom w:val="none" w:sz="0" w:space="0" w:color="auto"/>
        <w:right w:val="none" w:sz="0" w:space="0" w:color="auto"/>
      </w:divBdr>
      <w:divsChild>
        <w:div w:id="1437213990">
          <w:marLeft w:val="0"/>
          <w:marRight w:val="0"/>
          <w:marTop w:val="0"/>
          <w:marBottom w:val="0"/>
          <w:divBdr>
            <w:top w:val="none" w:sz="0" w:space="0" w:color="auto"/>
            <w:left w:val="none" w:sz="0" w:space="0" w:color="auto"/>
            <w:bottom w:val="none" w:sz="0" w:space="0" w:color="auto"/>
            <w:right w:val="none" w:sz="0" w:space="0" w:color="auto"/>
          </w:divBdr>
          <w:divsChild>
            <w:div w:id="1780635646">
              <w:marLeft w:val="0"/>
              <w:marRight w:val="0"/>
              <w:marTop w:val="0"/>
              <w:marBottom w:val="0"/>
              <w:divBdr>
                <w:top w:val="none" w:sz="0" w:space="0" w:color="auto"/>
                <w:left w:val="none" w:sz="0" w:space="0" w:color="auto"/>
                <w:bottom w:val="none" w:sz="0" w:space="0" w:color="auto"/>
                <w:right w:val="none" w:sz="0" w:space="0" w:color="auto"/>
              </w:divBdr>
              <w:divsChild>
                <w:div w:id="296493404">
                  <w:marLeft w:val="0"/>
                  <w:marRight w:val="0"/>
                  <w:marTop w:val="0"/>
                  <w:marBottom w:val="0"/>
                  <w:divBdr>
                    <w:top w:val="none" w:sz="0" w:space="0" w:color="auto"/>
                    <w:left w:val="none" w:sz="0" w:space="0" w:color="auto"/>
                    <w:bottom w:val="none" w:sz="0" w:space="0" w:color="auto"/>
                    <w:right w:val="none" w:sz="0" w:space="0" w:color="auto"/>
                  </w:divBdr>
                  <w:divsChild>
                    <w:div w:id="1383213519">
                      <w:marLeft w:val="0"/>
                      <w:marRight w:val="0"/>
                      <w:marTop w:val="0"/>
                      <w:marBottom w:val="0"/>
                      <w:divBdr>
                        <w:top w:val="none" w:sz="0" w:space="0" w:color="auto"/>
                        <w:left w:val="none" w:sz="0" w:space="0" w:color="auto"/>
                        <w:bottom w:val="none" w:sz="0" w:space="0" w:color="auto"/>
                        <w:right w:val="none" w:sz="0" w:space="0" w:color="auto"/>
                      </w:divBdr>
                      <w:divsChild>
                        <w:div w:id="776556745">
                          <w:marLeft w:val="0"/>
                          <w:marRight w:val="0"/>
                          <w:marTop w:val="0"/>
                          <w:marBottom w:val="0"/>
                          <w:divBdr>
                            <w:top w:val="none" w:sz="0" w:space="0" w:color="auto"/>
                            <w:left w:val="none" w:sz="0" w:space="0" w:color="auto"/>
                            <w:bottom w:val="none" w:sz="0" w:space="0" w:color="auto"/>
                            <w:right w:val="none" w:sz="0" w:space="0" w:color="auto"/>
                          </w:divBdr>
                          <w:divsChild>
                            <w:div w:id="487525231">
                              <w:marLeft w:val="0"/>
                              <w:marRight w:val="0"/>
                              <w:marTop w:val="0"/>
                              <w:marBottom w:val="0"/>
                              <w:divBdr>
                                <w:top w:val="none" w:sz="0" w:space="0" w:color="auto"/>
                                <w:left w:val="none" w:sz="0" w:space="0" w:color="auto"/>
                                <w:bottom w:val="none" w:sz="0" w:space="0" w:color="auto"/>
                                <w:right w:val="none" w:sz="0" w:space="0" w:color="auto"/>
                              </w:divBdr>
                              <w:divsChild>
                                <w:div w:id="1300110452">
                                  <w:marLeft w:val="0"/>
                                  <w:marRight w:val="0"/>
                                  <w:marTop w:val="0"/>
                                  <w:marBottom w:val="0"/>
                                  <w:divBdr>
                                    <w:top w:val="none" w:sz="0" w:space="0" w:color="auto"/>
                                    <w:left w:val="none" w:sz="0" w:space="0" w:color="auto"/>
                                    <w:bottom w:val="none" w:sz="0" w:space="0" w:color="auto"/>
                                    <w:right w:val="none" w:sz="0" w:space="0" w:color="auto"/>
                                  </w:divBdr>
                                  <w:divsChild>
                                    <w:div w:id="127929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9810">
      <w:bodyDiv w:val="1"/>
      <w:marLeft w:val="0"/>
      <w:marRight w:val="0"/>
      <w:marTop w:val="0"/>
      <w:marBottom w:val="0"/>
      <w:divBdr>
        <w:top w:val="none" w:sz="0" w:space="0" w:color="auto"/>
        <w:left w:val="none" w:sz="0" w:space="0" w:color="auto"/>
        <w:bottom w:val="none" w:sz="0" w:space="0" w:color="auto"/>
        <w:right w:val="none" w:sz="0" w:space="0" w:color="auto"/>
      </w:divBdr>
    </w:div>
    <w:div w:id="1289967430">
      <w:bodyDiv w:val="1"/>
      <w:marLeft w:val="0"/>
      <w:marRight w:val="0"/>
      <w:marTop w:val="0"/>
      <w:marBottom w:val="0"/>
      <w:divBdr>
        <w:top w:val="none" w:sz="0" w:space="0" w:color="auto"/>
        <w:left w:val="none" w:sz="0" w:space="0" w:color="auto"/>
        <w:bottom w:val="none" w:sz="0" w:space="0" w:color="auto"/>
        <w:right w:val="none" w:sz="0" w:space="0" w:color="auto"/>
      </w:divBdr>
    </w:div>
    <w:div w:id="1357151952">
      <w:bodyDiv w:val="1"/>
      <w:marLeft w:val="0"/>
      <w:marRight w:val="0"/>
      <w:marTop w:val="0"/>
      <w:marBottom w:val="0"/>
      <w:divBdr>
        <w:top w:val="none" w:sz="0" w:space="0" w:color="auto"/>
        <w:left w:val="none" w:sz="0" w:space="0" w:color="auto"/>
        <w:bottom w:val="none" w:sz="0" w:space="0" w:color="auto"/>
        <w:right w:val="none" w:sz="0" w:space="0" w:color="auto"/>
      </w:divBdr>
      <w:divsChild>
        <w:div w:id="954798186">
          <w:marLeft w:val="0"/>
          <w:marRight w:val="0"/>
          <w:marTop w:val="0"/>
          <w:marBottom w:val="0"/>
          <w:divBdr>
            <w:top w:val="none" w:sz="0" w:space="0" w:color="auto"/>
            <w:left w:val="none" w:sz="0" w:space="0" w:color="auto"/>
            <w:bottom w:val="none" w:sz="0" w:space="0" w:color="auto"/>
            <w:right w:val="none" w:sz="0" w:space="0" w:color="auto"/>
          </w:divBdr>
          <w:divsChild>
            <w:div w:id="1075128581">
              <w:marLeft w:val="0"/>
              <w:marRight w:val="0"/>
              <w:marTop w:val="0"/>
              <w:marBottom w:val="0"/>
              <w:divBdr>
                <w:top w:val="none" w:sz="0" w:space="0" w:color="auto"/>
                <w:left w:val="none" w:sz="0" w:space="0" w:color="auto"/>
                <w:bottom w:val="none" w:sz="0" w:space="0" w:color="auto"/>
                <w:right w:val="none" w:sz="0" w:space="0" w:color="auto"/>
              </w:divBdr>
              <w:divsChild>
                <w:div w:id="215894880">
                  <w:marLeft w:val="0"/>
                  <w:marRight w:val="0"/>
                  <w:marTop w:val="0"/>
                  <w:marBottom w:val="0"/>
                  <w:divBdr>
                    <w:top w:val="none" w:sz="0" w:space="0" w:color="auto"/>
                    <w:left w:val="none" w:sz="0" w:space="0" w:color="auto"/>
                    <w:bottom w:val="none" w:sz="0" w:space="0" w:color="auto"/>
                    <w:right w:val="none" w:sz="0" w:space="0" w:color="auto"/>
                  </w:divBdr>
                  <w:divsChild>
                    <w:div w:id="112842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791427">
          <w:marLeft w:val="0"/>
          <w:marRight w:val="0"/>
          <w:marTop w:val="0"/>
          <w:marBottom w:val="0"/>
          <w:divBdr>
            <w:top w:val="none" w:sz="0" w:space="0" w:color="auto"/>
            <w:left w:val="none" w:sz="0" w:space="0" w:color="auto"/>
            <w:bottom w:val="none" w:sz="0" w:space="0" w:color="auto"/>
            <w:right w:val="none" w:sz="0" w:space="0" w:color="auto"/>
          </w:divBdr>
          <w:divsChild>
            <w:div w:id="1665861101">
              <w:marLeft w:val="0"/>
              <w:marRight w:val="0"/>
              <w:marTop w:val="0"/>
              <w:marBottom w:val="0"/>
              <w:divBdr>
                <w:top w:val="none" w:sz="0" w:space="0" w:color="auto"/>
                <w:left w:val="none" w:sz="0" w:space="0" w:color="auto"/>
                <w:bottom w:val="none" w:sz="0" w:space="0" w:color="auto"/>
                <w:right w:val="none" w:sz="0" w:space="0" w:color="auto"/>
              </w:divBdr>
              <w:divsChild>
                <w:div w:id="491138581">
                  <w:marLeft w:val="0"/>
                  <w:marRight w:val="0"/>
                  <w:marTop w:val="0"/>
                  <w:marBottom w:val="0"/>
                  <w:divBdr>
                    <w:top w:val="none" w:sz="0" w:space="0" w:color="auto"/>
                    <w:left w:val="none" w:sz="0" w:space="0" w:color="auto"/>
                    <w:bottom w:val="none" w:sz="0" w:space="0" w:color="auto"/>
                    <w:right w:val="none" w:sz="0" w:space="0" w:color="auto"/>
                  </w:divBdr>
                  <w:divsChild>
                    <w:div w:id="111047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139871">
      <w:bodyDiv w:val="1"/>
      <w:marLeft w:val="0"/>
      <w:marRight w:val="0"/>
      <w:marTop w:val="0"/>
      <w:marBottom w:val="0"/>
      <w:divBdr>
        <w:top w:val="none" w:sz="0" w:space="0" w:color="auto"/>
        <w:left w:val="none" w:sz="0" w:space="0" w:color="auto"/>
        <w:bottom w:val="none" w:sz="0" w:space="0" w:color="auto"/>
        <w:right w:val="none" w:sz="0" w:space="0" w:color="auto"/>
      </w:divBdr>
      <w:divsChild>
        <w:div w:id="442188860">
          <w:marLeft w:val="0"/>
          <w:marRight w:val="0"/>
          <w:marTop w:val="0"/>
          <w:marBottom w:val="0"/>
          <w:divBdr>
            <w:top w:val="none" w:sz="0" w:space="0" w:color="auto"/>
            <w:left w:val="none" w:sz="0" w:space="0" w:color="auto"/>
            <w:bottom w:val="none" w:sz="0" w:space="0" w:color="auto"/>
            <w:right w:val="none" w:sz="0" w:space="0" w:color="auto"/>
          </w:divBdr>
          <w:divsChild>
            <w:div w:id="60057985">
              <w:marLeft w:val="0"/>
              <w:marRight w:val="0"/>
              <w:marTop w:val="0"/>
              <w:marBottom w:val="0"/>
              <w:divBdr>
                <w:top w:val="none" w:sz="0" w:space="0" w:color="auto"/>
                <w:left w:val="none" w:sz="0" w:space="0" w:color="auto"/>
                <w:bottom w:val="none" w:sz="0" w:space="0" w:color="auto"/>
                <w:right w:val="none" w:sz="0" w:space="0" w:color="auto"/>
              </w:divBdr>
              <w:divsChild>
                <w:div w:id="1822962782">
                  <w:marLeft w:val="0"/>
                  <w:marRight w:val="0"/>
                  <w:marTop w:val="0"/>
                  <w:marBottom w:val="0"/>
                  <w:divBdr>
                    <w:top w:val="none" w:sz="0" w:space="0" w:color="auto"/>
                    <w:left w:val="none" w:sz="0" w:space="0" w:color="auto"/>
                    <w:bottom w:val="none" w:sz="0" w:space="0" w:color="auto"/>
                    <w:right w:val="none" w:sz="0" w:space="0" w:color="auto"/>
                  </w:divBdr>
                  <w:divsChild>
                    <w:div w:id="18653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741560">
      <w:bodyDiv w:val="1"/>
      <w:marLeft w:val="0"/>
      <w:marRight w:val="0"/>
      <w:marTop w:val="0"/>
      <w:marBottom w:val="0"/>
      <w:divBdr>
        <w:top w:val="none" w:sz="0" w:space="0" w:color="auto"/>
        <w:left w:val="none" w:sz="0" w:space="0" w:color="auto"/>
        <w:bottom w:val="none" w:sz="0" w:space="0" w:color="auto"/>
        <w:right w:val="none" w:sz="0" w:space="0" w:color="auto"/>
      </w:divBdr>
      <w:divsChild>
        <w:div w:id="1868986472">
          <w:marLeft w:val="0"/>
          <w:marRight w:val="0"/>
          <w:marTop w:val="0"/>
          <w:marBottom w:val="0"/>
          <w:divBdr>
            <w:top w:val="none" w:sz="0" w:space="0" w:color="auto"/>
            <w:left w:val="none" w:sz="0" w:space="0" w:color="auto"/>
            <w:bottom w:val="none" w:sz="0" w:space="0" w:color="auto"/>
            <w:right w:val="none" w:sz="0" w:space="0" w:color="auto"/>
          </w:divBdr>
          <w:divsChild>
            <w:div w:id="88625471">
              <w:marLeft w:val="0"/>
              <w:marRight w:val="0"/>
              <w:marTop w:val="0"/>
              <w:marBottom w:val="0"/>
              <w:divBdr>
                <w:top w:val="none" w:sz="0" w:space="0" w:color="auto"/>
                <w:left w:val="none" w:sz="0" w:space="0" w:color="auto"/>
                <w:bottom w:val="none" w:sz="0" w:space="0" w:color="auto"/>
                <w:right w:val="none" w:sz="0" w:space="0" w:color="auto"/>
              </w:divBdr>
              <w:divsChild>
                <w:div w:id="256408058">
                  <w:marLeft w:val="0"/>
                  <w:marRight w:val="0"/>
                  <w:marTop w:val="0"/>
                  <w:marBottom w:val="0"/>
                  <w:divBdr>
                    <w:top w:val="none" w:sz="0" w:space="0" w:color="auto"/>
                    <w:left w:val="none" w:sz="0" w:space="0" w:color="auto"/>
                    <w:bottom w:val="none" w:sz="0" w:space="0" w:color="auto"/>
                    <w:right w:val="none" w:sz="0" w:space="0" w:color="auto"/>
                  </w:divBdr>
                  <w:divsChild>
                    <w:div w:id="1211261969">
                      <w:marLeft w:val="0"/>
                      <w:marRight w:val="0"/>
                      <w:marTop w:val="0"/>
                      <w:marBottom w:val="0"/>
                      <w:divBdr>
                        <w:top w:val="none" w:sz="0" w:space="0" w:color="auto"/>
                        <w:left w:val="none" w:sz="0" w:space="0" w:color="auto"/>
                        <w:bottom w:val="none" w:sz="0" w:space="0" w:color="auto"/>
                        <w:right w:val="none" w:sz="0" w:space="0" w:color="auto"/>
                      </w:divBdr>
                      <w:divsChild>
                        <w:div w:id="1417048167">
                          <w:marLeft w:val="0"/>
                          <w:marRight w:val="0"/>
                          <w:marTop w:val="0"/>
                          <w:marBottom w:val="0"/>
                          <w:divBdr>
                            <w:top w:val="none" w:sz="0" w:space="0" w:color="auto"/>
                            <w:left w:val="none" w:sz="0" w:space="0" w:color="auto"/>
                            <w:bottom w:val="none" w:sz="0" w:space="0" w:color="auto"/>
                            <w:right w:val="none" w:sz="0" w:space="0" w:color="auto"/>
                          </w:divBdr>
                          <w:divsChild>
                            <w:div w:id="708382446">
                              <w:marLeft w:val="0"/>
                              <w:marRight w:val="0"/>
                              <w:marTop w:val="0"/>
                              <w:marBottom w:val="0"/>
                              <w:divBdr>
                                <w:top w:val="none" w:sz="0" w:space="0" w:color="auto"/>
                                <w:left w:val="none" w:sz="0" w:space="0" w:color="auto"/>
                                <w:bottom w:val="none" w:sz="0" w:space="0" w:color="auto"/>
                                <w:right w:val="none" w:sz="0" w:space="0" w:color="auto"/>
                              </w:divBdr>
                              <w:divsChild>
                                <w:div w:id="492338653">
                                  <w:marLeft w:val="0"/>
                                  <w:marRight w:val="0"/>
                                  <w:marTop w:val="0"/>
                                  <w:marBottom w:val="0"/>
                                  <w:divBdr>
                                    <w:top w:val="none" w:sz="0" w:space="0" w:color="auto"/>
                                    <w:left w:val="none" w:sz="0" w:space="0" w:color="auto"/>
                                    <w:bottom w:val="none" w:sz="0" w:space="0" w:color="auto"/>
                                    <w:right w:val="none" w:sz="0" w:space="0" w:color="auto"/>
                                  </w:divBdr>
                                  <w:divsChild>
                                    <w:div w:id="1699702532">
                                      <w:marLeft w:val="0"/>
                                      <w:marRight w:val="0"/>
                                      <w:marTop w:val="0"/>
                                      <w:marBottom w:val="0"/>
                                      <w:divBdr>
                                        <w:top w:val="none" w:sz="0" w:space="0" w:color="auto"/>
                                        <w:left w:val="none" w:sz="0" w:space="0" w:color="auto"/>
                                        <w:bottom w:val="none" w:sz="0" w:space="0" w:color="auto"/>
                                        <w:right w:val="none" w:sz="0" w:space="0" w:color="auto"/>
                                      </w:divBdr>
                                      <w:divsChild>
                                        <w:div w:id="1324241254">
                                          <w:marLeft w:val="0"/>
                                          <w:marRight w:val="0"/>
                                          <w:marTop w:val="0"/>
                                          <w:marBottom w:val="0"/>
                                          <w:divBdr>
                                            <w:top w:val="none" w:sz="0" w:space="0" w:color="auto"/>
                                            <w:left w:val="none" w:sz="0" w:space="0" w:color="auto"/>
                                            <w:bottom w:val="none" w:sz="0" w:space="0" w:color="auto"/>
                                            <w:right w:val="none" w:sz="0" w:space="0" w:color="auto"/>
                                          </w:divBdr>
                                          <w:divsChild>
                                            <w:div w:id="665321524">
                                              <w:marLeft w:val="0"/>
                                              <w:marRight w:val="0"/>
                                              <w:marTop w:val="0"/>
                                              <w:marBottom w:val="0"/>
                                              <w:divBdr>
                                                <w:top w:val="none" w:sz="0" w:space="0" w:color="auto"/>
                                                <w:left w:val="none" w:sz="0" w:space="0" w:color="auto"/>
                                                <w:bottom w:val="none" w:sz="0" w:space="0" w:color="auto"/>
                                                <w:right w:val="none" w:sz="0" w:space="0" w:color="auto"/>
                                              </w:divBdr>
                                              <w:divsChild>
                                                <w:div w:id="1104808735">
                                                  <w:marLeft w:val="0"/>
                                                  <w:marRight w:val="0"/>
                                                  <w:marTop w:val="0"/>
                                                  <w:marBottom w:val="0"/>
                                                  <w:divBdr>
                                                    <w:top w:val="none" w:sz="0" w:space="0" w:color="auto"/>
                                                    <w:left w:val="none" w:sz="0" w:space="0" w:color="auto"/>
                                                    <w:bottom w:val="none" w:sz="0" w:space="0" w:color="auto"/>
                                                    <w:right w:val="none" w:sz="0" w:space="0" w:color="auto"/>
                                                  </w:divBdr>
                                                  <w:divsChild>
                                                    <w:div w:id="191620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3805075">
          <w:marLeft w:val="0"/>
          <w:marRight w:val="0"/>
          <w:marTop w:val="0"/>
          <w:marBottom w:val="0"/>
          <w:divBdr>
            <w:top w:val="none" w:sz="0" w:space="0" w:color="auto"/>
            <w:left w:val="none" w:sz="0" w:space="0" w:color="auto"/>
            <w:bottom w:val="none" w:sz="0" w:space="0" w:color="auto"/>
            <w:right w:val="none" w:sz="0" w:space="0" w:color="auto"/>
          </w:divBdr>
          <w:divsChild>
            <w:div w:id="225185467">
              <w:marLeft w:val="0"/>
              <w:marRight w:val="0"/>
              <w:marTop w:val="0"/>
              <w:marBottom w:val="0"/>
              <w:divBdr>
                <w:top w:val="none" w:sz="0" w:space="0" w:color="auto"/>
                <w:left w:val="none" w:sz="0" w:space="0" w:color="auto"/>
                <w:bottom w:val="none" w:sz="0" w:space="0" w:color="auto"/>
                <w:right w:val="none" w:sz="0" w:space="0" w:color="auto"/>
              </w:divBdr>
              <w:divsChild>
                <w:div w:id="549610420">
                  <w:marLeft w:val="0"/>
                  <w:marRight w:val="0"/>
                  <w:marTop w:val="0"/>
                  <w:marBottom w:val="0"/>
                  <w:divBdr>
                    <w:top w:val="none" w:sz="0" w:space="0" w:color="auto"/>
                    <w:left w:val="none" w:sz="0" w:space="0" w:color="auto"/>
                    <w:bottom w:val="none" w:sz="0" w:space="0" w:color="auto"/>
                    <w:right w:val="none" w:sz="0" w:space="0" w:color="auto"/>
                  </w:divBdr>
                  <w:divsChild>
                    <w:div w:id="1068268840">
                      <w:marLeft w:val="0"/>
                      <w:marRight w:val="0"/>
                      <w:marTop w:val="0"/>
                      <w:marBottom w:val="0"/>
                      <w:divBdr>
                        <w:top w:val="none" w:sz="0" w:space="0" w:color="auto"/>
                        <w:left w:val="none" w:sz="0" w:space="0" w:color="auto"/>
                        <w:bottom w:val="none" w:sz="0" w:space="0" w:color="auto"/>
                        <w:right w:val="none" w:sz="0" w:space="0" w:color="auto"/>
                      </w:divBdr>
                      <w:divsChild>
                        <w:div w:id="293290714">
                          <w:marLeft w:val="0"/>
                          <w:marRight w:val="0"/>
                          <w:marTop w:val="0"/>
                          <w:marBottom w:val="0"/>
                          <w:divBdr>
                            <w:top w:val="none" w:sz="0" w:space="0" w:color="auto"/>
                            <w:left w:val="none" w:sz="0" w:space="0" w:color="auto"/>
                            <w:bottom w:val="none" w:sz="0" w:space="0" w:color="auto"/>
                            <w:right w:val="none" w:sz="0" w:space="0" w:color="auto"/>
                          </w:divBdr>
                          <w:divsChild>
                            <w:div w:id="530801805">
                              <w:marLeft w:val="0"/>
                              <w:marRight w:val="0"/>
                              <w:marTop w:val="0"/>
                              <w:marBottom w:val="0"/>
                              <w:divBdr>
                                <w:top w:val="none" w:sz="0" w:space="0" w:color="auto"/>
                                <w:left w:val="none" w:sz="0" w:space="0" w:color="auto"/>
                                <w:bottom w:val="none" w:sz="0" w:space="0" w:color="auto"/>
                                <w:right w:val="none" w:sz="0" w:space="0" w:color="auto"/>
                              </w:divBdr>
                              <w:divsChild>
                                <w:div w:id="900793292">
                                  <w:marLeft w:val="0"/>
                                  <w:marRight w:val="0"/>
                                  <w:marTop w:val="0"/>
                                  <w:marBottom w:val="0"/>
                                  <w:divBdr>
                                    <w:top w:val="none" w:sz="0" w:space="0" w:color="auto"/>
                                    <w:left w:val="none" w:sz="0" w:space="0" w:color="auto"/>
                                    <w:bottom w:val="none" w:sz="0" w:space="0" w:color="auto"/>
                                    <w:right w:val="none" w:sz="0" w:space="0" w:color="auto"/>
                                  </w:divBdr>
                                  <w:divsChild>
                                    <w:div w:id="620498830">
                                      <w:marLeft w:val="0"/>
                                      <w:marRight w:val="0"/>
                                      <w:marTop w:val="0"/>
                                      <w:marBottom w:val="0"/>
                                      <w:divBdr>
                                        <w:top w:val="none" w:sz="0" w:space="0" w:color="auto"/>
                                        <w:left w:val="none" w:sz="0" w:space="0" w:color="auto"/>
                                        <w:bottom w:val="none" w:sz="0" w:space="0" w:color="auto"/>
                                        <w:right w:val="none" w:sz="0" w:space="0" w:color="auto"/>
                                      </w:divBdr>
                                      <w:divsChild>
                                        <w:div w:id="77941960">
                                          <w:marLeft w:val="0"/>
                                          <w:marRight w:val="0"/>
                                          <w:marTop w:val="0"/>
                                          <w:marBottom w:val="0"/>
                                          <w:divBdr>
                                            <w:top w:val="none" w:sz="0" w:space="0" w:color="auto"/>
                                            <w:left w:val="none" w:sz="0" w:space="0" w:color="auto"/>
                                            <w:bottom w:val="none" w:sz="0" w:space="0" w:color="auto"/>
                                            <w:right w:val="none" w:sz="0" w:space="0" w:color="auto"/>
                                          </w:divBdr>
                                          <w:divsChild>
                                            <w:div w:id="371156352">
                                              <w:marLeft w:val="0"/>
                                              <w:marRight w:val="0"/>
                                              <w:marTop w:val="0"/>
                                              <w:marBottom w:val="0"/>
                                              <w:divBdr>
                                                <w:top w:val="none" w:sz="0" w:space="0" w:color="auto"/>
                                                <w:left w:val="none" w:sz="0" w:space="0" w:color="auto"/>
                                                <w:bottom w:val="none" w:sz="0" w:space="0" w:color="auto"/>
                                                <w:right w:val="none" w:sz="0" w:space="0" w:color="auto"/>
                                              </w:divBdr>
                                              <w:divsChild>
                                                <w:div w:id="1916472702">
                                                  <w:marLeft w:val="0"/>
                                                  <w:marRight w:val="0"/>
                                                  <w:marTop w:val="0"/>
                                                  <w:marBottom w:val="0"/>
                                                  <w:divBdr>
                                                    <w:top w:val="none" w:sz="0" w:space="0" w:color="auto"/>
                                                    <w:left w:val="none" w:sz="0" w:space="0" w:color="auto"/>
                                                    <w:bottom w:val="none" w:sz="0" w:space="0" w:color="auto"/>
                                                    <w:right w:val="none" w:sz="0" w:space="0" w:color="auto"/>
                                                  </w:divBdr>
                                                  <w:divsChild>
                                                    <w:div w:id="1285961248">
                                                      <w:marLeft w:val="0"/>
                                                      <w:marRight w:val="0"/>
                                                      <w:marTop w:val="0"/>
                                                      <w:marBottom w:val="0"/>
                                                      <w:divBdr>
                                                        <w:top w:val="none" w:sz="0" w:space="0" w:color="auto"/>
                                                        <w:left w:val="none" w:sz="0" w:space="0" w:color="auto"/>
                                                        <w:bottom w:val="none" w:sz="0" w:space="0" w:color="auto"/>
                                                        <w:right w:val="none" w:sz="0" w:space="0" w:color="auto"/>
                                                      </w:divBdr>
                                                      <w:divsChild>
                                                        <w:div w:id="133800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9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312881">
      <w:bodyDiv w:val="1"/>
      <w:marLeft w:val="0"/>
      <w:marRight w:val="0"/>
      <w:marTop w:val="0"/>
      <w:marBottom w:val="0"/>
      <w:divBdr>
        <w:top w:val="none" w:sz="0" w:space="0" w:color="auto"/>
        <w:left w:val="none" w:sz="0" w:space="0" w:color="auto"/>
        <w:bottom w:val="none" w:sz="0" w:space="0" w:color="auto"/>
        <w:right w:val="none" w:sz="0" w:space="0" w:color="auto"/>
      </w:divBdr>
      <w:divsChild>
        <w:div w:id="342246320">
          <w:marLeft w:val="0"/>
          <w:marRight w:val="0"/>
          <w:marTop w:val="0"/>
          <w:marBottom w:val="0"/>
          <w:divBdr>
            <w:top w:val="none" w:sz="0" w:space="0" w:color="auto"/>
            <w:left w:val="none" w:sz="0" w:space="0" w:color="auto"/>
            <w:bottom w:val="none" w:sz="0" w:space="0" w:color="auto"/>
            <w:right w:val="none" w:sz="0" w:space="0" w:color="auto"/>
          </w:divBdr>
          <w:divsChild>
            <w:div w:id="1855874983">
              <w:marLeft w:val="0"/>
              <w:marRight w:val="0"/>
              <w:marTop w:val="0"/>
              <w:marBottom w:val="0"/>
              <w:divBdr>
                <w:top w:val="none" w:sz="0" w:space="0" w:color="auto"/>
                <w:left w:val="none" w:sz="0" w:space="0" w:color="auto"/>
                <w:bottom w:val="none" w:sz="0" w:space="0" w:color="auto"/>
                <w:right w:val="none" w:sz="0" w:space="0" w:color="auto"/>
              </w:divBdr>
              <w:divsChild>
                <w:div w:id="797139938">
                  <w:marLeft w:val="0"/>
                  <w:marRight w:val="0"/>
                  <w:marTop w:val="0"/>
                  <w:marBottom w:val="0"/>
                  <w:divBdr>
                    <w:top w:val="none" w:sz="0" w:space="0" w:color="auto"/>
                    <w:left w:val="none" w:sz="0" w:space="0" w:color="auto"/>
                    <w:bottom w:val="none" w:sz="0" w:space="0" w:color="auto"/>
                    <w:right w:val="none" w:sz="0" w:space="0" w:color="auto"/>
                  </w:divBdr>
                  <w:divsChild>
                    <w:div w:id="1202746948">
                      <w:marLeft w:val="0"/>
                      <w:marRight w:val="0"/>
                      <w:marTop w:val="0"/>
                      <w:marBottom w:val="0"/>
                      <w:divBdr>
                        <w:top w:val="none" w:sz="0" w:space="0" w:color="auto"/>
                        <w:left w:val="none" w:sz="0" w:space="0" w:color="auto"/>
                        <w:bottom w:val="none" w:sz="0" w:space="0" w:color="auto"/>
                        <w:right w:val="none" w:sz="0" w:space="0" w:color="auto"/>
                      </w:divBdr>
                      <w:divsChild>
                        <w:div w:id="1381511236">
                          <w:marLeft w:val="0"/>
                          <w:marRight w:val="0"/>
                          <w:marTop w:val="0"/>
                          <w:marBottom w:val="0"/>
                          <w:divBdr>
                            <w:top w:val="none" w:sz="0" w:space="0" w:color="auto"/>
                            <w:left w:val="none" w:sz="0" w:space="0" w:color="auto"/>
                            <w:bottom w:val="none" w:sz="0" w:space="0" w:color="auto"/>
                            <w:right w:val="none" w:sz="0" w:space="0" w:color="auto"/>
                          </w:divBdr>
                          <w:divsChild>
                            <w:div w:id="484668206">
                              <w:marLeft w:val="0"/>
                              <w:marRight w:val="0"/>
                              <w:marTop w:val="0"/>
                              <w:marBottom w:val="0"/>
                              <w:divBdr>
                                <w:top w:val="none" w:sz="0" w:space="0" w:color="auto"/>
                                <w:left w:val="none" w:sz="0" w:space="0" w:color="auto"/>
                                <w:bottom w:val="none" w:sz="0" w:space="0" w:color="auto"/>
                                <w:right w:val="none" w:sz="0" w:space="0" w:color="auto"/>
                              </w:divBdr>
                              <w:divsChild>
                                <w:div w:id="1036735781">
                                  <w:marLeft w:val="0"/>
                                  <w:marRight w:val="0"/>
                                  <w:marTop w:val="0"/>
                                  <w:marBottom w:val="0"/>
                                  <w:divBdr>
                                    <w:top w:val="none" w:sz="0" w:space="0" w:color="auto"/>
                                    <w:left w:val="none" w:sz="0" w:space="0" w:color="auto"/>
                                    <w:bottom w:val="none" w:sz="0" w:space="0" w:color="auto"/>
                                    <w:right w:val="none" w:sz="0" w:space="0" w:color="auto"/>
                                  </w:divBdr>
                                  <w:divsChild>
                                    <w:div w:id="618027086">
                                      <w:marLeft w:val="0"/>
                                      <w:marRight w:val="0"/>
                                      <w:marTop w:val="0"/>
                                      <w:marBottom w:val="0"/>
                                      <w:divBdr>
                                        <w:top w:val="none" w:sz="0" w:space="0" w:color="auto"/>
                                        <w:left w:val="none" w:sz="0" w:space="0" w:color="auto"/>
                                        <w:bottom w:val="none" w:sz="0" w:space="0" w:color="auto"/>
                                        <w:right w:val="none" w:sz="0" w:space="0" w:color="auto"/>
                                      </w:divBdr>
                                      <w:divsChild>
                                        <w:div w:id="831797420">
                                          <w:marLeft w:val="0"/>
                                          <w:marRight w:val="0"/>
                                          <w:marTop w:val="0"/>
                                          <w:marBottom w:val="0"/>
                                          <w:divBdr>
                                            <w:top w:val="none" w:sz="0" w:space="0" w:color="auto"/>
                                            <w:left w:val="none" w:sz="0" w:space="0" w:color="auto"/>
                                            <w:bottom w:val="none" w:sz="0" w:space="0" w:color="auto"/>
                                            <w:right w:val="none" w:sz="0" w:space="0" w:color="auto"/>
                                          </w:divBdr>
                                          <w:divsChild>
                                            <w:div w:id="1639606687">
                                              <w:marLeft w:val="0"/>
                                              <w:marRight w:val="0"/>
                                              <w:marTop w:val="0"/>
                                              <w:marBottom w:val="0"/>
                                              <w:divBdr>
                                                <w:top w:val="none" w:sz="0" w:space="0" w:color="auto"/>
                                                <w:left w:val="none" w:sz="0" w:space="0" w:color="auto"/>
                                                <w:bottom w:val="none" w:sz="0" w:space="0" w:color="auto"/>
                                                <w:right w:val="none" w:sz="0" w:space="0" w:color="auto"/>
                                              </w:divBdr>
                                              <w:divsChild>
                                                <w:div w:id="1779445539">
                                                  <w:marLeft w:val="0"/>
                                                  <w:marRight w:val="0"/>
                                                  <w:marTop w:val="0"/>
                                                  <w:marBottom w:val="0"/>
                                                  <w:divBdr>
                                                    <w:top w:val="none" w:sz="0" w:space="0" w:color="auto"/>
                                                    <w:left w:val="none" w:sz="0" w:space="0" w:color="auto"/>
                                                    <w:bottom w:val="none" w:sz="0" w:space="0" w:color="auto"/>
                                                    <w:right w:val="none" w:sz="0" w:space="0" w:color="auto"/>
                                                  </w:divBdr>
                                                  <w:divsChild>
                                                    <w:div w:id="170899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085704">
          <w:marLeft w:val="0"/>
          <w:marRight w:val="0"/>
          <w:marTop w:val="0"/>
          <w:marBottom w:val="0"/>
          <w:divBdr>
            <w:top w:val="none" w:sz="0" w:space="0" w:color="auto"/>
            <w:left w:val="none" w:sz="0" w:space="0" w:color="auto"/>
            <w:bottom w:val="none" w:sz="0" w:space="0" w:color="auto"/>
            <w:right w:val="none" w:sz="0" w:space="0" w:color="auto"/>
          </w:divBdr>
          <w:divsChild>
            <w:div w:id="16472451">
              <w:marLeft w:val="0"/>
              <w:marRight w:val="0"/>
              <w:marTop w:val="0"/>
              <w:marBottom w:val="0"/>
              <w:divBdr>
                <w:top w:val="none" w:sz="0" w:space="0" w:color="auto"/>
                <w:left w:val="none" w:sz="0" w:space="0" w:color="auto"/>
                <w:bottom w:val="none" w:sz="0" w:space="0" w:color="auto"/>
                <w:right w:val="none" w:sz="0" w:space="0" w:color="auto"/>
              </w:divBdr>
              <w:divsChild>
                <w:div w:id="1517234175">
                  <w:marLeft w:val="0"/>
                  <w:marRight w:val="0"/>
                  <w:marTop w:val="0"/>
                  <w:marBottom w:val="0"/>
                  <w:divBdr>
                    <w:top w:val="none" w:sz="0" w:space="0" w:color="auto"/>
                    <w:left w:val="none" w:sz="0" w:space="0" w:color="auto"/>
                    <w:bottom w:val="none" w:sz="0" w:space="0" w:color="auto"/>
                    <w:right w:val="none" w:sz="0" w:space="0" w:color="auto"/>
                  </w:divBdr>
                  <w:divsChild>
                    <w:div w:id="125655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082551">
      <w:bodyDiv w:val="1"/>
      <w:marLeft w:val="0"/>
      <w:marRight w:val="0"/>
      <w:marTop w:val="0"/>
      <w:marBottom w:val="0"/>
      <w:divBdr>
        <w:top w:val="none" w:sz="0" w:space="0" w:color="auto"/>
        <w:left w:val="none" w:sz="0" w:space="0" w:color="auto"/>
        <w:bottom w:val="none" w:sz="0" w:space="0" w:color="auto"/>
        <w:right w:val="none" w:sz="0" w:space="0" w:color="auto"/>
      </w:divBdr>
      <w:divsChild>
        <w:div w:id="212009898">
          <w:marLeft w:val="0"/>
          <w:marRight w:val="0"/>
          <w:marTop w:val="0"/>
          <w:marBottom w:val="0"/>
          <w:divBdr>
            <w:top w:val="none" w:sz="0" w:space="0" w:color="auto"/>
            <w:left w:val="none" w:sz="0" w:space="0" w:color="auto"/>
            <w:bottom w:val="none" w:sz="0" w:space="0" w:color="auto"/>
            <w:right w:val="none" w:sz="0" w:space="0" w:color="auto"/>
          </w:divBdr>
          <w:divsChild>
            <w:div w:id="2015374776">
              <w:marLeft w:val="0"/>
              <w:marRight w:val="0"/>
              <w:marTop w:val="0"/>
              <w:marBottom w:val="0"/>
              <w:divBdr>
                <w:top w:val="none" w:sz="0" w:space="0" w:color="auto"/>
                <w:left w:val="none" w:sz="0" w:space="0" w:color="auto"/>
                <w:bottom w:val="none" w:sz="0" w:space="0" w:color="auto"/>
                <w:right w:val="none" w:sz="0" w:space="0" w:color="auto"/>
              </w:divBdr>
              <w:divsChild>
                <w:div w:id="85347603">
                  <w:marLeft w:val="0"/>
                  <w:marRight w:val="0"/>
                  <w:marTop w:val="0"/>
                  <w:marBottom w:val="0"/>
                  <w:divBdr>
                    <w:top w:val="none" w:sz="0" w:space="0" w:color="auto"/>
                    <w:left w:val="none" w:sz="0" w:space="0" w:color="auto"/>
                    <w:bottom w:val="none" w:sz="0" w:space="0" w:color="auto"/>
                    <w:right w:val="none" w:sz="0" w:space="0" w:color="auto"/>
                  </w:divBdr>
                  <w:divsChild>
                    <w:div w:id="132882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736800">
          <w:marLeft w:val="0"/>
          <w:marRight w:val="0"/>
          <w:marTop w:val="0"/>
          <w:marBottom w:val="0"/>
          <w:divBdr>
            <w:top w:val="none" w:sz="0" w:space="0" w:color="auto"/>
            <w:left w:val="none" w:sz="0" w:space="0" w:color="auto"/>
            <w:bottom w:val="none" w:sz="0" w:space="0" w:color="auto"/>
            <w:right w:val="none" w:sz="0" w:space="0" w:color="auto"/>
          </w:divBdr>
          <w:divsChild>
            <w:div w:id="921067611">
              <w:marLeft w:val="0"/>
              <w:marRight w:val="0"/>
              <w:marTop w:val="0"/>
              <w:marBottom w:val="0"/>
              <w:divBdr>
                <w:top w:val="none" w:sz="0" w:space="0" w:color="auto"/>
                <w:left w:val="none" w:sz="0" w:space="0" w:color="auto"/>
                <w:bottom w:val="none" w:sz="0" w:space="0" w:color="auto"/>
                <w:right w:val="none" w:sz="0" w:space="0" w:color="auto"/>
              </w:divBdr>
              <w:divsChild>
                <w:div w:id="2055495595">
                  <w:marLeft w:val="0"/>
                  <w:marRight w:val="0"/>
                  <w:marTop w:val="0"/>
                  <w:marBottom w:val="0"/>
                  <w:divBdr>
                    <w:top w:val="none" w:sz="0" w:space="0" w:color="auto"/>
                    <w:left w:val="none" w:sz="0" w:space="0" w:color="auto"/>
                    <w:bottom w:val="none" w:sz="0" w:space="0" w:color="auto"/>
                    <w:right w:val="none" w:sz="0" w:space="0" w:color="auto"/>
                  </w:divBdr>
                  <w:divsChild>
                    <w:div w:id="40488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369607">
      <w:bodyDiv w:val="1"/>
      <w:marLeft w:val="0"/>
      <w:marRight w:val="0"/>
      <w:marTop w:val="0"/>
      <w:marBottom w:val="0"/>
      <w:divBdr>
        <w:top w:val="none" w:sz="0" w:space="0" w:color="auto"/>
        <w:left w:val="none" w:sz="0" w:space="0" w:color="auto"/>
        <w:bottom w:val="none" w:sz="0" w:space="0" w:color="auto"/>
        <w:right w:val="none" w:sz="0" w:space="0" w:color="auto"/>
      </w:divBdr>
      <w:divsChild>
        <w:div w:id="2076201374">
          <w:marLeft w:val="0"/>
          <w:marRight w:val="0"/>
          <w:marTop w:val="0"/>
          <w:marBottom w:val="0"/>
          <w:divBdr>
            <w:top w:val="none" w:sz="0" w:space="0" w:color="auto"/>
            <w:left w:val="none" w:sz="0" w:space="0" w:color="auto"/>
            <w:bottom w:val="none" w:sz="0" w:space="0" w:color="auto"/>
            <w:right w:val="none" w:sz="0" w:space="0" w:color="auto"/>
          </w:divBdr>
          <w:divsChild>
            <w:div w:id="185142593">
              <w:marLeft w:val="0"/>
              <w:marRight w:val="0"/>
              <w:marTop w:val="0"/>
              <w:marBottom w:val="0"/>
              <w:divBdr>
                <w:top w:val="none" w:sz="0" w:space="0" w:color="auto"/>
                <w:left w:val="none" w:sz="0" w:space="0" w:color="auto"/>
                <w:bottom w:val="none" w:sz="0" w:space="0" w:color="auto"/>
                <w:right w:val="none" w:sz="0" w:space="0" w:color="auto"/>
              </w:divBdr>
              <w:divsChild>
                <w:div w:id="1112169145">
                  <w:marLeft w:val="0"/>
                  <w:marRight w:val="0"/>
                  <w:marTop w:val="0"/>
                  <w:marBottom w:val="0"/>
                  <w:divBdr>
                    <w:top w:val="none" w:sz="0" w:space="0" w:color="auto"/>
                    <w:left w:val="none" w:sz="0" w:space="0" w:color="auto"/>
                    <w:bottom w:val="none" w:sz="0" w:space="0" w:color="auto"/>
                    <w:right w:val="none" w:sz="0" w:space="0" w:color="auto"/>
                  </w:divBdr>
                  <w:divsChild>
                    <w:div w:id="1476607079">
                      <w:marLeft w:val="0"/>
                      <w:marRight w:val="0"/>
                      <w:marTop w:val="0"/>
                      <w:marBottom w:val="0"/>
                      <w:divBdr>
                        <w:top w:val="none" w:sz="0" w:space="0" w:color="auto"/>
                        <w:left w:val="none" w:sz="0" w:space="0" w:color="auto"/>
                        <w:bottom w:val="none" w:sz="0" w:space="0" w:color="auto"/>
                        <w:right w:val="none" w:sz="0" w:space="0" w:color="auto"/>
                      </w:divBdr>
                      <w:divsChild>
                        <w:div w:id="1295258651">
                          <w:marLeft w:val="0"/>
                          <w:marRight w:val="0"/>
                          <w:marTop w:val="0"/>
                          <w:marBottom w:val="0"/>
                          <w:divBdr>
                            <w:top w:val="none" w:sz="0" w:space="0" w:color="auto"/>
                            <w:left w:val="none" w:sz="0" w:space="0" w:color="auto"/>
                            <w:bottom w:val="none" w:sz="0" w:space="0" w:color="auto"/>
                            <w:right w:val="none" w:sz="0" w:space="0" w:color="auto"/>
                          </w:divBdr>
                          <w:divsChild>
                            <w:div w:id="533229921">
                              <w:marLeft w:val="0"/>
                              <w:marRight w:val="0"/>
                              <w:marTop w:val="0"/>
                              <w:marBottom w:val="0"/>
                              <w:divBdr>
                                <w:top w:val="none" w:sz="0" w:space="0" w:color="auto"/>
                                <w:left w:val="none" w:sz="0" w:space="0" w:color="auto"/>
                                <w:bottom w:val="none" w:sz="0" w:space="0" w:color="auto"/>
                                <w:right w:val="none" w:sz="0" w:space="0" w:color="auto"/>
                              </w:divBdr>
                              <w:divsChild>
                                <w:div w:id="853298529">
                                  <w:marLeft w:val="0"/>
                                  <w:marRight w:val="0"/>
                                  <w:marTop w:val="0"/>
                                  <w:marBottom w:val="0"/>
                                  <w:divBdr>
                                    <w:top w:val="none" w:sz="0" w:space="0" w:color="auto"/>
                                    <w:left w:val="none" w:sz="0" w:space="0" w:color="auto"/>
                                    <w:bottom w:val="none" w:sz="0" w:space="0" w:color="auto"/>
                                    <w:right w:val="none" w:sz="0" w:space="0" w:color="auto"/>
                                  </w:divBdr>
                                  <w:divsChild>
                                    <w:div w:id="963004969">
                                      <w:marLeft w:val="0"/>
                                      <w:marRight w:val="0"/>
                                      <w:marTop w:val="0"/>
                                      <w:marBottom w:val="0"/>
                                      <w:divBdr>
                                        <w:top w:val="none" w:sz="0" w:space="0" w:color="auto"/>
                                        <w:left w:val="none" w:sz="0" w:space="0" w:color="auto"/>
                                        <w:bottom w:val="none" w:sz="0" w:space="0" w:color="auto"/>
                                        <w:right w:val="none" w:sz="0" w:space="0" w:color="auto"/>
                                      </w:divBdr>
                                      <w:divsChild>
                                        <w:div w:id="1119765907">
                                          <w:marLeft w:val="0"/>
                                          <w:marRight w:val="0"/>
                                          <w:marTop w:val="0"/>
                                          <w:marBottom w:val="0"/>
                                          <w:divBdr>
                                            <w:top w:val="none" w:sz="0" w:space="0" w:color="auto"/>
                                            <w:left w:val="none" w:sz="0" w:space="0" w:color="auto"/>
                                            <w:bottom w:val="none" w:sz="0" w:space="0" w:color="auto"/>
                                            <w:right w:val="none" w:sz="0" w:space="0" w:color="auto"/>
                                          </w:divBdr>
                                          <w:divsChild>
                                            <w:div w:id="2072923436">
                                              <w:marLeft w:val="0"/>
                                              <w:marRight w:val="0"/>
                                              <w:marTop w:val="0"/>
                                              <w:marBottom w:val="0"/>
                                              <w:divBdr>
                                                <w:top w:val="none" w:sz="0" w:space="0" w:color="auto"/>
                                                <w:left w:val="none" w:sz="0" w:space="0" w:color="auto"/>
                                                <w:bottom w:val="none" w:sz="0" w:space="0" w:color="auto"/>
                                                <w:right w:val="none" w:sz="0" w:space="0" w:color="auto"/>
                                              </w:divBdr>
                                              <w:divsChild>
                                                <w:div w:id="417794589">
                                                  <w:marLeft w:val="0"/>
                                                  <w:marRight w:val="0"/>
                                                  <w:marTop w:val="0"/>
                                                  <w:marBottom w:val="0"/>
                                                  <w:divBdr>
                                                    <w:top w:val="none" w:sz="0" w:space="0" w:color="auto"/>
                                                    <w:left w:val="none" w:sz="0" w:space="0" w:color="auto"/>
                                                    <w:bottom w:val="none" w:sz="0" w:space="0" w:color="auto"/>
                                                    <w:right w:val="none" w:sz="0" w:space="0" w:color="auto"/>
                                                  </w:divBdr>
                                                  <w:divsChild>
                                                    <w:div w:id="12193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5285028">
          <w:marLeft w:val="0"/>
          <w:marRight w:val="0"/>
          <w:marTop w:val="0"/>
          <w:marBottom w:val="0"/>
          <w:divBdr>
            <w:top w:val="none" w:sz="0" w:space="0" w:color="auto"/>
            <w:left w:val="none" w:sz="0" w:space="0" w:color="auto"/>
            <w:bottom w:val="none" w:sz="0" w:space="0" w:color="auto"/>
            <w:right w:val="none" w:sz="0" w:space="0" w:color="auto"/>
          </w:divBdr>
          <w:divsChild>
            <w:div w:id="476530911">
              <w:marLeft w:val="0"/>
              <w:marRight w:val="0"/>
              <w:marTop w:val="0"/>
              <w:marBottom w:val="0"/>
              <w:divBdr>
                <w:top w:val="none" w:sz="0" w:space="0" w:color="auto"/>
                <w:left w:val="none" w:sz="0" w:space="0" w:color="auto"/>
                <w:bottom w:val="none" w:sz="0" w:space="0" w:color="auto"/>
                <w:right w:val="none" w:sz="0" w:space="0" w:color="auto"/>
              </w:divBdr>
              <w:divsChild>
                <w:div w:id="951980150">
                  <w:marLeft w:val="0"/>
                  <w:marRight w:val="0"/>
                  <w:marTop w:val="0"/>
                  <w:marBottom w:val="0"/>
                  <w:divBdr>
                    <w:top w:val="none" w:sz="0" w:space="0" w:color="auto"/>
                    <w:left w:val="none" w:sz="0" w:space="0" w:color="auto"/>
                    <w:bottom w:val="none" w:sz="0" w:space="0" w:color="auto"/>
                    <w:right w:val="none" w:sz="0" w:space="0" w:color="auto"/>
                  </w:divBdr>
                  <w:divsChild>
                    <w:div w:id="96778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470719">
      <w:bodyDiv w:val="1"/>
      <w:marLeft w:val="0"/>
      <w:marRight w:val="0"/>
      <w:marTop w:val="0"/>
      <w:marBottom w:val="0"/>
      <w:divBdr>
        <w:top w:val="none" w:sz="0" w:space="0" w:color="auto"/>
        <w:left w:val="none" w:sz="0" w:space="0" w:color="auto"/>
        <w:bottom w:val="none" w:sz="0" w:space="0" w:color="auto"/>
        <w:right w:val="none" w:sz="0" w:space="0" w:color="auto"/>
      </w:divBdr>
      <w:divsChild>
        <w:div w:id="1075511907">
          <w:marLeft w:val="0"/>
          <w:marRight w:val="0"/>
          <w:marTop w:val="0"/>
          <w:marBottom w:val="0"/>
          <w:divBdr>
            <w:top w:val="none" w:sz="0" w:space="0" w:color="auto"/>
            <w:left w:val="none" w:sz="0" w:space="0" w:color="auto"/>
            <w:bottom w:val="none" w:sz="0" w:space="0" w:color="auto"/>
            <w:right w:val="none" w:sz="0" w:space="0" w:color="auto"/>
          </w:divBdr>
          <w:divsChild>
            <w:div w:id="50809666">
              <w:marLeft w:val="0"/>
              <w:marRight w:val="0"/>
              <w:marTop w:val="0"/>
              <w:marBottom w:val="240"/>
              <w:divBdr>
                <w:top w:val="none" w:sz="0" w:space="0" w:color="auto"/>
                <w:left w:val="none" w:sz="0" w:space="0" w:color="auto"/>
                <w:bottom w:val="none" w:sz="0" w:space="0" w:color="auto"/>
                <w:right w:val="none" w:sz="0" w:space="0" w:color="auto"/>
              </w:divBdr>
            </w:div>
          </w:divsChild>
        </w:div>
        <w:div w:id="359285230">
          <w:marLeft w:val="0"/>
          <w:marRight w:val="0"/>
          <w:marTop w:val="0"/>
          <w:marBottom w:val="0"/>
          <w:divBdr>
            <w:top w:val="none" w:sz="0" w:space="0" w:color="auto"/>
            <w:left w:val="none" w:sz="0" w:space="0" w:color="auto"/>
            <w:bottom w:val="none" w:sz="0" w:space="0" w:color="auto"/>
            <w:right w:val="none" w:sz="0" w:space="0" w:color="auto"/>
          </w:divBdr>
          <w:divsChild>
            <w:div w:id="2292002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65413533">
      <w:bodyDiv w:val="1"/>
      <w:marLeft w:val="0"/>
      <w:marRight w:val="0"/>
      <w:marTop w:val="0"/>
      <w:marBottom w:val="0"/>
      <w:divBdr>
        <w:top w:val="none" w:sz="0" w:space="0" w:color="auto"/>
        <w:left w:val="none" w:sz="0" w:space="0" w:color="auto"/>
        <w:bottom w:val="none" w:sz="0" w:space="0" w:color="auto"/>
        <w:right w:val="none" w:sz="0" w:space="0" w:color="auto"/>
      </w:divBdr>
    </w:div>
    <w:div w:id="1789276077">
      <w:bodyDiv w:val="1"/>
      <w:marLeft w:val="0"/>
      <w:marRight w:val="0"/>
      <w:marTop w:val="0"/>
      <w:marBottom w:val="0"/>
      <w:divBdr>
        <w:top w:val="none" w:sz="0" w:space="0" w:color="auto"/>
        <w:left w:val="none" w:sz="0" w:space="0" w:color="auto"/>
        <w:bottom w:val="none" w:sz="0" w:space="0" w:color="auto"/>
        <w:right w:val="none" w:sz="0" w:space="0" w:color="auto"/>
      </w:divBdr>
      <w:divsChild>
        <w:div w:id="1424376091">
          <w:marLeft w:val="0"/>
          <w:marRight w:val="0"/>
          <w:marTop w:val="0"/>
          <w:marBottom w:val="0"/>
          <w:divBdr>
            <w:top w:val="none" w:sz="0" w:space="0" w:color="auto"/>
            <w:left w:val="none" w:sz="0" w:space="0" w:color="auto"/>
            <w:bottom w:val="none" w:sz="0" w:space="0" w:color="auto"/>
            <w:right w:val="none" w:sz="0" w:space="0" w:color="auto"/>
          </w:divBdr>
          <w:divsChild>
            <w:div w:id="1165972038">
              <w:marLeft w:val="0"/>
              <w:marRight w:val="0"/>
              <w:marTop w:val="0"/>
              <w:marBottom w:val="0"/>
              <w:divBdr>
                <w:top w:val="none" w:sz="0" w:space="0" w:color="auto"/>
                <w:left w:val="none" w:sz="0" w:space="0" w:color="auto"/>
                <w:bottom w:val="none" w:sz="0" w:space="0" w:color="auto"/>
                <w:right w:val="none" w:sz="0" w:space="0" w:color="auto"/>
              </w:divBdr>
              <w:divsChild>
                <w:div w:id="1661423617">
                  <w:marLeft w:val="0"/>
                  <w:marRight w:val="0"/>
                  <w:marTop w:val="0"/>
                  <w:marBottom w:val="0"/>
                  <w:divBdr>
                    <w:top w:val="none" w:sz="0" w:space="0" w:color="auto"/>
                    <w:left w:val="none" w:sz="0" w:space="0" w:color="auto"/>
                    <w:bottom w:val="none" w:sz="0" w:space="0" w:color="auto"/>
                    <w:right w:val="none" w:sz="0" w:space="0" w:color="auto"/>
                  </w:divBdr>
                  <w:divsChild>
                    <w:div w:id="173527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810142">
          <w:marLeft w:val="0"/>
          <w:marRight w:val="0"/>
          <w:marTop w:val="0"/>
          <w:marBottom w:val="0"/>
          <w:divBdr>
            <w:top w:val="none" w:sz="0" w:space="0" w:color="auto"/>
            <w:left w:val="none" w:sz="0" w:space="0" w:color="auto"/>
            <w:bottom w:val="none" w:sz="0" w:space="0" w:color="auto"/>
            <w:right w:val="none" w:sz="0" w:space="0" w:color="auto"/>
          </w:divBdr>
          <w:divsChild>
            <w:div w:id="233131879">
              <w:marLeft w:val="0"/>
              <w:marRight w:val="0"/>
              <w:marTop w:val="0"/>
              <w:marBottom w:val="0"/>
              <w:divBdr>
                <w:top w:val="none" w:sz="0" w:space="0" w:color="auto"/>
                <w:left w:val="none" w:sz="0" w:space="0" w:color="auto"/>
                <w:bottom w:val="none" w:sz="0" w:space="0" w:color="auto"/>
                <w:right w:val="none" w:sz="0" w:space="0" w:color="auto"/>
              </w:divBdr>
              <w:divsChild>
                <w:div w:id="2077390256">
                  <w:marLeft w:val="0"/>
                  <w:marRight w:val="0"/>
                  <w:marTop w:val="0"/>
                  <w:marBottom w:val="0"/>
                  <w:divBdr>
                    <w:top w:val="none" w:sz="0" w:space="0" w:color="auto"/>
                    <w:left w:val="none" w:sz="0" w:space="0" w:color="auto"/>
                    <w:bottom w:val="none" w:sz="0" w:space="0" w:color="auto"/>
                    <w:right w:val="none" w:sz="0" w:space="0" w:color="auto"/>
                  </w:divBdr>
                  <w:divsChild>
                    <w:div w:id="121021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293767">
      <w:bodyDiv w:val="1"/>
      <w:marLeft w:val="0"/>
      <w:marRight w:val="0"/>
      <w:marTop w:val="0"/>
      <w:marBottom w:val="0"/>
      <w:divBdr>
        <w:top w:val="none" w:sz="0" w:space="0" w:color="auto"/>
        <w:left w:val="none" w:sz="0" w:space="0" w:color="auto"/>
        <w:bottom w:val="none" w:sz="0" w:space="0" w:color="auto"/>
        <w:right w:val="none" w:sz="0" w:space="0" w:color="auto"/>
      </w:divBdr>
      <w:divsChild>
        <w:div w:id="1903128604">
          <w:marLeft w:val="0"/>
          <w:marRight w:val="0"/>
          <w:marTop w:val="0"/>
          <w:marBottom w:val="0"/>
          <w:divBdr>
            <w:top w:val="none" w:sz="0" w:space="0" w:color="auto"/>
            <w:left w:val="none" w:sz="0" w:space="0" w:color="auto"/>
            <w:bottom w:val="none" w:sz="0" w:space="0" w:color="auto"/>
            <w:right w:val="none" w:sz="0" w:space="0" w:color="auto"/>
          </w:divBdr>
          <w:divsChild>
            <w:div w:id="1393190135">
              <w:marLeft w:val="0"/>
              <w:marRight w:val="0"/>
              <w:marTop w:val="0"/>
              <w:marBottom w:val="0"/>
              <w:divBdr>
                <w:top w:val="none" w:sz="0" w:space="0" w:color="auto"/>
                <w:left w:val="none" w:sz="0" w:space="0" w:color="auto"/>
                <w:bottom w:val="none" w:sz="0" w:space="0" w:color="auto"/>
                <w:right w:val="none" w:sz="0" w:space="0" w:color="auto"/>
              </w:divBdr>
              <w:divsChild>
                <w:div w:id="361592168">
                  <w:marLeft w:val="0"/>
                  <w:marRight w:val="0"/>
                  <w:marTop w:val="0"/>
                  <w:marBottom w:val="0"/>
                  <w:divBdr>
                    <w:top w:val="none" w:sz="0" w:space="0" w:color="auto"/>
                    <w:left w:val="none" w:sz="0" w:space="0" w:color="auto"/>
                    <w:bottom w:val="none" w:sz="0" w:space="0" w:color="auto"/>
                    <w:right w:val="none" w:sz="0" w:space="0" w:color="auto"/>
                  </w:divBdr>
                  <w:divsChild>
                    <w:div w:id="1230530117">
                      <w:marLeft w:val="0"/>
                      <w:marRight w:val="0"/>
                      <w:marTop w:val="0"/>
                      <w:marBottom w:val="0"/>
                      <w:divBdr>
                        <w:top w:val="none" w:sz="0" w:space="0" w:color="auto"/>
                        <w:left w:val="none" w:sz="0" w:space="0" w:color="auto"/>
                        <w:bottom w:val="none" w:sz="0" w:space="0" w:color="auto"/>
                        <w:right w:val="none" w:sz="0" w:space="0" w:color="auto"/>
                      </w:divBdr>
                      <w:divsChild>
                        <w:div w:id="1289430270">
                          <w:marLeft w:val="0"/>
                          <w:marRight w:val="0"/>
                          <w:marTop w:val="0"/>
                          <w:marBottom w:val="0"/>
                          <w:divBdr>
                            <w:top w:val="none" w:sz="0" w:space="0" w:color="auto"/>
                            <w:left w:val="none" w:sz="0" w:space="0" w:color="auto"/>
                            <w:bottom w:val="none" w:sz="0" w:space="0" w:color="auto"/>
                            <w:right w:val="none" w:sz="0" w:space="0" w:color="auto"/>
                          </w:divBdr>
                          <w:divsChild>
                            <w:div w:id="143473703">
                              <w:marLeft w:val="0"/>
                              <w:marRight w:val="0"/>
                              <w:marTop w:val="0"/>
                              <w:marBottom w:val="0"/>
                              <w:divBdr>
                                <w:top w:val="none" w:sz="0" w:space="0" w:color="auto"/>
                                <w:left w:val="none" w:sz="0" w:space="0" w:color="auto"/>
                                <w:bottom w:val="none" w:sz="0" w:space="0" w:color="auto"/>
                                <w:right w:val="none" w:sz="0" w:space="0" w:color="auto"/>
                              </w:divBdr>
                              <w:divsChild>
                                <w:div w:id="1017735876">
                                  <w:marLeft w:val="0"/>
                                  <w:marRight w:val="0"/>
                                  <w:marTop w:val="0"/>
                                  <w:marBottom w:val="0"/>
                                  <w:divBdr>
                                    <w:top w:val="none" w:sz="0" w:space="0" w:color="auto"/>
                                    <w:left w:val="none" w:sz="0" w:space="0" w:color="auto"/>
                                    <w:bottom w:val="none" w:sz="0" w:space="0" w:color="auto"/>
                                    <w:right w:val="none" w:sz="0" w:space="0" w:color="auto"/>
                                  </w:divBdr>
                                  <w:divsChild>
                                    <w:div w:id="428434237">
                                      <w:marLeft w:val="0"/>
                                      <w:marRight w:val="0"/>
                                      <w:marTop w:val="0"/>
                                      <w:marBottom w:val="0"/>
                                      <w:divBdr>
                                        <w:top w:val="none" w:sz="0" w:space="0" w:color="auto"/>
                                        <w:left w:val="none" w:sz="0" w:space="0" w:color="auto"/>
                                        <w:bottom w:val="none" w:sz="0" w:space="0" w:color="auto"/>
                                        <w:right w:val="none" w:sz="0" w:space="0" w:color="auto"/>
                                      </w:divBdr>
                                      <w:divsChild>
                                        <w:div w:id="49348946">
                                          <w:marLeft w:val="0"/>
                                          <w:marRight w:val="0"/>
                                          <w:marTop w:val="0"/>
                                          <w:marBottom w:val="0"/>
                                          <w:divBdr>
                                            <w:top w:val="none" w:sz="0" w:space="0" w:color="auto"/>
                                            <w:left w:val="none" w:sz="0" w:space="0" w:color="auto"/>
                                            <w:bottom w:val="none" w:sz="0" w:space="0" w:color="auto"/>
                                            <w:right w:val="none" w:sz="0" w:space="0" w:color="auto"/>
                                          </w:divBdr>
                                          <w:divsChild>
                                            <w:div w:id="510606167">
                                              <w:marLeft w:val="0"/>
                                              <w:marRight w:val="0"/>
                                              <w:marTop w:val="0"/>
                                              <w:marBottom w:val="0"/>
                                              <w:divBdr>
                                                <w:top w:val="none" w:sz="0" w:space="0" w:color="auto"/>
                                                <w:left w:val="none" w:sz="0" w:space="0" w:color="auto"/>
                                                <w:bottom w:val="none" w:sz="0" w:space="0" w:color="auto"/>
                                                <w:right w:val="none" w:sz="0" w:space="0" w:color="auto"/>
                                              </w:divBdr>
                                              <w:divsChild>
                                                <w:div w:id="1739743963">
                                                  <w:marLeft w:val="0"/>
                                                  <w:marRight w:val="0"/>
                                                  <w:marTop w:val="0"/>
                                                  <w:marBottom w:val="0"/>
                                                  <w:divBdr>
                                                    <w:top w:val="none" w:sz="0" w:space="0" w:color="auto"/>
                                                    <w:left w:val="none" w:sz="0" w:space="0" w:color="auto"/>
                                                    <w:bottom w:val="none" w:sz="0" w:space="0" w:color="auto"/>
                                                    <w:right w:val="none" w:sz="0" w:space="0" w:color="auto"/>
                                                  </w:divBdr>
                                                  <w:divsChild>
                                                    <w:div w:id="50786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648170">
                                          <w:marLeft w:val="0"/>
                                          <w:marRight w:val="0"/>
                                          <w:marTop w:val="0"/>
                                          <w:marBottom w:val="0"/>
                                          <w:divBdr>
                                            <w:top w:val="none" w:sz="0" w:space="0" w:color="auto"/>
                                            <w:left w:val="none" w:sz="0" w:space="0" w:color="auto"/>
                                            <w:bottom w:val="none" w:sz="0" w:space="0" w:color="auto"/>
                                            <w:right w:val="none" w:sz="0" w:space="0" w:color="auto"/>
                                          </w:divBdr>
                                          <w:divsChild>
                                            <w:div w:id="228156387">
                                              <w:marLeft w:val="0"/>
                                              <w:marRight w:val="0"/>
                                              <w:marTop w:val="0"/>
                                              <w:marBottom w:val="0"/>
                                              <w:divBdr>
                                                <w:top w:val="none" w:sz="0" w:space="0" w:color="auto"/>
                                                <w:left w:val="none" w:sz="0" w:space="0" w:color="auto"/>
                                                <w:bottom w:val="none" w:sz="0" w:space="0" w:color="auto"/>
                                                <w:right w:val="none" w:sz="0" w:space="0" w:color="auto"/>
                                              </w:divBdr>
                                              <w:divsChild>
                                                <w:div w:id="1570725972">
                                                  <w:marLeft w:val="0"/>
                                                  <w:marRight w:val="0"/>
                                                  <w:marTop w:val="0"/>
                                                  <w:marBottom w:val="0"/>
                                                  <w:divBdr>
                                                    <w:top w:val="none" w:sz="0" w:space="0" w:color="auto"/>
                                                    <w:left w:val="none" w:sz="0" w:space="0" w:color="auto"/>
                                                    <w:bottom w:val="none" w:sz="0" w:space="0" w:color="auto"/>
                                                    <w:right w:val="none" w:sz="0" w:space="0" w:color="auto"/>
                                                  </w:divBdr>
                                                  <w:divsChild>
                                                    <w:div w:id="53164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811741">
          <w:marLeft w:val="0"/>
          <w:marRight w:val="0"/>
          <w:marTop w:val="0"/>
          <w:marBottom w:val="0"/>
          <w:divBdr>
            <w:top w:val="none" w:sz="0" w:space="0" w:color="auto"/>
            <w:left w:val="none" w:sz="0" w:space="0" w:color="auto"/>
            <w:bottom w:val="none" w:sz="0" w:space="0" w:color="auto"/>
            <w:right w:val="none" w:sz="0" w:space="0" w:color="auto"/>
          </w:divBdr>
          <w:divsChild>
            <w:div w:id="998650837">
              <w:marLeft w:val="0"/>
              <w:marRight w:val="0"/>
              <w:marTop w:val="0"/>
              <w:marBottom w:val="0"/>
              <w:divBdr>
                <w:top w:val="none" w:sz="0" w:space="0" w:color="auto"/>
                <w:left w:val="none" w:sz="0" w:space="0" w:color="auto"/>
                <w:bottom w:val="none" w:sz="0" w:space="0" w:color="auto"/>
                <w:right w:val="none" w:sz="0" w:space="0" w:color="auto"/>
              </w:divBdr>
              <w:divsChild>
                <w:div w:id="1648704141">
                  <w:marLeft w:val="0"/>
                  <w:marRight w:val="0"/>
                  <w:marTop w:val="0"/>
                  <w:marBottom w:val="0"/>
                  <w:divBdr>
                    <w:top w:val="none" w:sz="0" w:space="0" w:color="auto"/>
                    <w:left w:val="none" w:sz="0" w:space="0" w:color="auto"/>
                    <w:bottom w:val="none" w:sz="0" w:space="0" w:color="auto"/>
                    <w:right w:val="none" w:sz="0" w:space="0" w:color="auto"/>
                  </w:divBdr>
                  <w:divsChild>
                    <w:div w:id="28065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000952">
      <w:bodyDiv w:val="1"/>
      <w:marLeft w:val="0"/>
      <w:marRight w:val="0"/>
      <w:marTop w:val="0"/>
      <w:marBottom w:val="0"/>
      <w:divBdr>
        <w:top w:val="none" w:sz="0" w:space="0" w:color="auto"/>
        <w:left w:val="none" w:sz="0" w:space="0" w:color="auto"/>
        <w:bottom w:val="none" w:sz="0" w:space="0" w:color="auto"/>
        <w:right w:val="none" w:sz="0" w:space="0" w:color="auto"/>
      </w:divBdr>
    </w:div>
    <w:div w:id="2032762054">
      <w:bodyDiv w:val="1"/>
      <w:marLeft w:val="0"/>
      <w:marRight w:val="0"/>
      <w:marTop w:val="0"/>
      <w:marBottom w:val="0"/>
      <w:divBdr>
        <w:top w:val="none" w:sz="0" w:space="0" w:color="auto"/>
        <w:left w:val="none" w:sz="0" w:space="0" w:color="auto"/>
        <w:bottom w:val="none" w:sz="0" w:space="0" w:color="auto"/>
        <w:right w:val="none" w:sz="0" w:space="0" w:color="auto"/>
      </w:divBdr>
      <w:divsChild>
        <w:div w:id="1417704709">
          <w:marLeft w:val="0"/>
          <w:marRight w:val="0"/>
          <w:marTop w:val="0"/>
          <w:marBottom w:val="0"/>
          <w:divBdr>
            <w:top w:val="none" w:sz="0" w:space="0" w:color="auto"/>
            <w:left w:val="none" w:sz="0" w:space="0" w:color="auto"/>
            <w:bottom w:val="none" w:sz="0" w:space="0" w:color="auto"/>
            <w:right w:val="none" w:sz="0" w:space="0" w:color="auto"/>
          </w:divBdr>
          <w:divsChild>
            <w:div w:id="1663048411">
              <w:marLeft w:val="0"/>
              <w:marRight w:val="0"/>
              <w:marTop w:val="0"/>
              <w:marBottom w:val="0"/>
              <w:divBdr>
                <w:top w:val="none" w:sz="0" w:space="0" w:color="auto"/>
                <w:left w:val="none" w:sz="0" w:space="0" w:color="auto"/>
                <w:bottom w:val="none" w:sz="0" w:space="0" w:color="auto"/>
                <w:right w:val="none" w:sz="0" w:space="0" w:color="auto"/>
              </w:divBdr>
              <w:divsChild>
                <w:div w:id="554203384">
                  <w:marLeft w:val="0"/>
                  <w:marRight w:val="0"/>
                  <w:marTop w:val="0"/>
                  <w:marBottom w:val="0"/>
                  <w:divBdr>
                    <w:top w:val="none" w:sz="0" w:space="0" w:color="auto"/>
                    <w:left w:val="none" w:sz="0" w:space="0" w:color="auto"/>
                    <w:bottom w:val="none" w:sz="0" w:space="0" w:color="auto"/>
                    <w:right w:val="none" w:sz="0" w:space="0" w:color="auto"/>
                  </w:divBdr>
                  <w:divsChild>
                    <w:div w:id="5389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008968">
          <w:marLeft w:val="0"/>
          <w:marRight w:val="0"/>
          <w:marTop w:val="0"/>
          <w:marBottom w:val="0"/>
          <w:divBdr>
            <w:top w:val="none" w:sz="0" w:space="0" w:color="auto"/>
            <w:left w:val="none" w:sz="0" w:space="0" w:color="auto"/>
            <w:bottom w:val="none" w:sz="0" w:space="0" w:color="auto"/>
            <w:right w:val="none" w:sz="0" w:space="0" w:color="auto"/>
          </w:divBdr>
          <w:divsChild>
            <w:div w:id="1824465887">
              <w:marLeft w:val="0"/>
              <w:marRight w:val="0"/>
              <w:marTop w:val="0"/>
              <w:marBottom w:val="0"/>
              <w:divBdr>
                <w:top w:val="none" w:sz="0" w:space="0" w:color="auto"/>
                <w:left w:val="none" w:sz="0" w:space="0" w:color="auto"/>
                <w:bottom w:val="none" w:sz="0" w:space="0" w:color="auto"/>
                <w:right w:val="none" w:sz="0" w:space="0" w:color="auto"/>
              </w:divBdr>
              <w:divsChild>
                <w:div w:id="443884185">
                  <w:marLeft w:val="0"/>
                  <w:marRight w:val="0"/>
                  <w:marTop w:val="0"/>
                  <w:marBottom w:val="0"/>
                  <w:divBdr>
                    <w:top w:val="none" w:sz="0" w:space="0" w:color="auto"/>
                    <w:left w:val="none" w:sz="0" w:space="0" w:color="auto"/>
                    <w:bottom w:val="none" w:sz="0" w:space="0" w:color="auto"/>
                    <w:right w:val="none" w:sz="0" w:space="0" w:color="auto"/>
                  </w:divBdr>
                  <w:divsChild>
                    <w:div w:id="208044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033104">
      <w:bodyDiv w:val="1"/>
      <w:marLeft w:val="0"/>
      <w:marRight w:val="0"/>
      <w:marTop w:val="0"/>
      <w:marBottom w:val="0"/>
      <w:divBdr>
        <w:top w:val="none" w:sz="0" w:space="0" w:color="auto"/>
        <w:left w:val="none" w:sz="0" w:space="0" w:color="auto"/>
        <w:bottom w:val="none" w:sz="0" w:space="0" w:color="auto"/>
        <w:right w:val="none" w:sz="0" w:space="0" w:color="auto"/>
      </w:divBdr>
      <w:divsChild>
        <w:div w:id="1414472830">
          <w:marLeft w:val="0"/>
          <w:marRight w:val="0"/>
          <w:marTop w:val="0"/>
          <w:marBottom w:val="0"/>
          <w:divBdr>
            <w:top w:val="none" w:sz="0" w:space="0" w:color="auto"/>
            <w:left w:val="none" w:sz="0" w:space="0" w:color="auto"/>
            <w:bottom w:val="none" w:sz="0" w:space="0" w:color="auto"/>
            <w:right w:val="none" w:sz="0" w:space="0" w:color="auto"/>
          </w:divBdr>
          <w:divsChild>
            <w:div w:id="2075546045">
              <w:marLeft w:val="0"/>
              <w:marRight w:val="0"/>
              <w:marTop w:val="0"/>
              <w:marBottom w:val="0"/>
              <w:divBdr>
                <w:top w:val="none" w:sz="0" w:space="0" w:color="auto"/>
                <w:left w:val="none" w:sz="0" w:space="0" w:color="auto"/>
                <w:bottom w:val="none" w:sz="0" w:space="0" w:color="auto"/>
                <w:right w:val="none" w:sz="0" w:space="0" w:color="auto"/>
              </w:divBdr>
              <w:divsChild>
                <w:div w:id="1304585016">
                  <w:marLeft w:val="0"/>
                  <w:marRight w:val="0"/>
                  <w:marTop w:val="0"/>
                  <w:marBottom w:val="0"/>
                  <w:divBdr>
                    <w:top w:val="none" w:sz="0" w:space="0" w:color="auto"/>
                    <w:left w:val="none" w:sz="0" w:space="0" w:color="auto"/>
                    <w:bottom w:val="none" w:sz="0" w:space="0" w:color="auto"/>
                    <w:right w:val="none" w:sz="0" w:space="0" w:color="auto"/>
                  </w:divBdr>
                  <w:divsChild>
                    <w:div w:id="2010325326">
                      <w:marLeft w:val="0"/>
                      <w:marRight w:val="0"/>
                      <w:marTop w:val="0"/>
                      <w:marBottom w:val="0"/>
                      <w:divBdr>
                        <w:top w:val="none" w:sz="0" w:space="0" w:color="auto"/>
                        <w:left w:val="none" w:sz="0" w:space="0" w:color="auto"/>
                        <w:bottom w:val="none" w:sz="0" w:space="0" w:color="auto"/>
                        <w:right w:val="none" w:sz="0" w:space="0" w:color="auto"/>
                      </w:divBdr>
                      <w:divsChild>
                        <w:div w:id="419832047">
                          <w:marLeft w:val="0"/>
                          <w:marRight w:val="0"/>
                          <w:marTop w:val="0"/>
                          <w:marBottom w:val="0"/>
                          <w:divBdr>
                            <w:top w:val="none" w:sz="0" w:space="0" w:color="auto"/>
                            <w:left w:val="none" w:sz="0" w:space="0" w:color="auto"/>
                            <w:bottom w:val="none" w:sz="0" w:space="0" w:color="auto"/>
                            <w:right w:val="none" w:sz="0" w:space="0" w:color="auto"/>
                          </w:divBdr>
                          <w:divsChild>
                            <w:div w:id="1790200241">
                              <w:marLeft w:val="0"/>
                              <w:marRight w:val="0"/>
                              <w:marTop w:val="0"/>
                              <w:marBottom w:val="0"/>
                              <w:divBdr>
                                <w:top w:val="none" w:sz="0" w:space="0" w:color="auto"/>
                                <w:left w:val="none" w:sz="0" w:space="0" w:color="auto"/>
                                <w:bottom w:val="none" w:sz="0" w:space="0" w:color="auto"/>
                                <w:right w:val="none" w:sz="0" w:space="0" w:color="auto"/>
                              </w:divBdr>
                              <w:divsChild>
                                <w:div w:id="1206671809">
                                  <w:marLeft w:val="0"/>
                                  <w:marRight w:val="0"/>
                                  <w:marTop w:val="0"/>
                                  <w:marBottom w:val="0"/>
                                  <w:divBdr>
                                    <w:top w:val="none" w:sz="0" w:space="0" w:color="auto"/>
                                    <w:left w:val="none" w:sz="0" w:space="0" w:color="auto"/>
                                    <w:bottom w:val="none" w:sz="0" w:space="0" w:color="auto"/>
                                    <w:right w:val="none" w:sz="0" w:space="0" w:color="auto"/>
                                  </w:divBdr>
                                  <w:divsChild>
                                    <w:div w:id="154633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77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JFRA-06-2024-0337"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searchgate.net/publication/384442682_Financial_Management_and_Its_Barriers_on_Smes_in_Selected_Developing_Countries_A_Systematic_Literature_Review_Approach"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8/smed.2021.087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mc.ncbi.nlm.nih.gov/articles/PMC1169367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234/jesbm.v2i1.202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TotalTime>
  <Pages>30</Pages>
  <Words>10694</Words>
  <Characters>60956</Characters>
  <Application>Microsoft Office Word</Application>
  <DocSecurity>0</DocSecurity>
  <Lines>507</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PC New 16</cp:lastModifiedBy>
  <cp:revision>34</cp:revision>
  <dcterms:created xsi:type="dcterms:W3CDTF">2025-02-26T07:42:00Z</dcterms:created>
  <dcterms:modified xsi:type="dcterms:W3CDTF">2025-03-17T11:42:00Z</dcterms:modified>
</cp:coreProperties>
</file>