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5ECA2" w14:textId="2DD183A2" w:rsidR="00FA5DA5" w:rsidRDefault="001C6E6A" w:rsidP="001C6E6A">
      <w:pPr>
        <w:jc w:val="center"/>
        <w:rPr>
          <w:rFonts w:asciiTheme="majorBidi" w:hAnsiTheme="majorBidi" w:cstheme="majorBidi"/>
          <w:b/>
          <w:bCs/>
          <w:lang w:val="en-US"/>
        </w:rPr>
      </w:pPr>
      <w:r w:rsidRPr="001C6E6A">
        <w:rPr>
          <w:rFonts w:asciiTheme="majorBidi" w:hAnsiTheme="majorBidi" w:cstheme="majorBidi"/>
          <w:lang w:val="en-US"/>
        </w:rPr>
        <w:t>O</w:t>
      </w:r>
      <w:r w:rsidRPr="00862D4B">
        <w:rPr>
          <w:rFonts w:asciiTheme="majorBidi" w:hAnsiTheme="majorBidi" w:cstheme="majorBidi"/>
          <w:b/>
          <w:bCs/>
          <w:lang w:val="en-US"/>
        </w:rPr>
        <w:t>ptimal portfolio selection during the health crisis of Covid</w:t>
      </w:r>
      <w:r w:rsidR="00907CEF">
        <w:rPr>
          <w:rFonts w:asciiTheme="majorBidi" w:hAnsiTheme="majorBidi" w:cstheme="majorBidi"/>
          <w:b/>
          <w:bCs/>
          <w:lang w:val="en-US"/>
        </w:rPr>
        <w:t>-</w:t>
      </w:r>
      <w:r w:rsidRPr="00862D4B">
        <w:rPr>
          <w:rFonts w:asciiTheme="majorBidi" w:hAnsiTheme="majorBidi" w:cstheme="majorBidi"/>
          <w:b/>
          <w:bCs/>
          <w:lang w:val="en-US"/>
        </w:rPr>
        <w:t>19: Examining risk-based allocation methods</w:t>
      </w:r>
    </w:p>
    <w:p w14:paraId="1143BB3B" w14:textId="77777777" w:rsidR="00945A82" w:rsidRDefault="00945A82" w:rsidP="001C6E6A">
      <w:pPr>
        <w:jc w:val="center"/>
        <w:rPr>
          <w:rFonts w:asciiTheme="majorBidi" w:hAnsiTheme="majorBidi" w:cstheme="majorBidi"/>
          <w:b/>
          <w:bCs/>
          <w:lang w:val="en-US"/>
        </w:rPr>
      </w:pPr>
    </w:p>
    <w:p w14:paraId="3C65885C" w14:textId="77777777" w:rsidR="00B400C3" w:rsidRDefault="00B400C3" w:rsidP="00885BB1">
      <w:pPr>
        <w:spacing w:after="0"/>
        <w:jc w:val="center"/>
        <w:rPr>
          <w:rFonts w:asciiTheme="majorBidi" w:hAnsiTheme="majorBidi" w:cstheme="majorBidi"/>
        </w:rPr>
      </w:pPr>
    </w:p>
    <w:p w14:paraId="457A72BD" w14:textId="77777777" w:rsidR="00AC12D9" w:rsidRDefault="00AC12D9" w:rsidP="00AC12D9">
      <w:pPr>
        <w:spacing w:after="0"/>
        <w:rPr>
          <w:rFonts w:asciiTheme="majorBidi" w:hAnsiTheme="majorBidi" w:cstheme="majorBidi"/>
          <w:lang w:val="en-US"/>
        </w:rPr>
      </w:pPr>
    </w:p>
    <w:p w14:paraId="3D831BFE" w14:textId="098AC0A2" w:rsidR="00F26D3A" w:rsidRPr="00F26D3A" w:rsidRDefault="00F26D3A" w:rsidP="00862D4B">
      <w:pPr>
        <w:spacing w:after="0" w:line="360" w:lineRule="auto"/>
        <w:jc w:val="both"/>
        <w:rPr>
          <w:rFonts w:asciiTheme="majorBidi" w:hAnsiTheme="majorBidi" w:cstheme="majorBidi"/>
          <w:b/>
          <w:bCs/>
          <w:lang w:val="en-US"/>
        </w:rPr>
      </w:pPr>
      <w:r w:rsidRPr="00F26D3A">
        <w:rPr>
          <w:rFonts w:asciiTheme="majorBidi" w:hAnsiTheme="majorBidi" w:cstheme="majorBidi"/>
          <w:b/>
          <w:bCs/>
          <w:lang w:val="en-US"/>
        </w:rPr>
        <w:t>Abstract:</w:t>
      </w:r>
    </w:p>
    <w:p w14:paraId="3AB009A1" w14:textId="77777777" w:rsidR="00D12C6D" w:rsidRDefault="004F4C98" w:rsidP="00862D4B">
      <w:pPr>
        <w:spacing w:after="0" w:line="360" w:lineRule="auto"/>
        <w:jc w:val="both"/>
        <w:rPr>
          <w:rFonts w:asciiTheme="majorBidi" w:hAnsiTheme="majorBidi" w:cstheme="majorBidi"/>
          <w:lang w:val="en-US"/>
        </w:rPr>
      </w:pPr>
      <w:r w:rsidRPr="00213464">
        <w:rPr>
          <w:rFonts w:asciiTheme="majorBidi" w:hAnsiTheme="majorBidi" w:cstheme="majorBidi"/>
          <w:lang w:val="en-US"/>
        </w:rPr>
        <w:t>The minimum variance portfolio weights, the ERC (Equally-weighted Risk Contribution) portfolio, the MDP (Most Diversified Portfolio), the IVP (Inverse Volatility Portfolio), and the MDECP (Maximum Decorrelation Portfolio) are all direct functions of the estimated covariance matrix. We conduct a study of two econometric models, the EWMA historical simulation model and the DCC-GARCH model, to first assess the impact of a specification error in the covariance matrix on these risk-based portfolios over daily, weekly forecast horizons, and to study the performance of these portfolio allocation strategies during the Covid-19 health crisis.</w:t>
      </w:r>
    </w:p>
    <w:p w14:paraId="71F75D14" w14:textId="77777777" w:rsidR="00D12C6D" w:rsidRPr="00D12C6D" w:rsidRDefault="00D12C6D" w:rsidP="00D12C6D">
      <w:pPr>
        <w:spacing w:after="0" w:line="360" w:lineRule="auto"/>
        <w:jc w:val="both"/>
        <w:rPr>
          <w:rFonts w:asciiTheme="majorBidi" w:hAnsiTheme="majorBidi" w:cstheme="majorBidi"/>
        </w:rPr>
      </w:pPr>
      <w:r w:rsidRPr="00D12C6D">
        <w:rPr>
          <w:rFonts w:asciiTheme="majorBidi" w:hAnsiTheme="majorBidi" w:cstheme="majorBidi"/>
          <w:highlight w:val="yellow"/>
          <w:lang w:val="en"/>
        </w:rPr>
        <w:t>in this article We will try to evaluate to what extent the application of portfolio optimization models based on the sole risk criterion would make it possible to develop portfolios capable of remedying the failure of the mean-variance model, particularly in times of the Covid-19 health crisis while addressing the sensitivity of portfolio weightings based on the risk of covariance forecasting.</w:t>
      </w:r>
    </w:p>
    <w:p w14:paraId="3604B0C0" w14:textId="77777777" w:rsidR="00D12C6D" w:rsidRPr="00D12C6D" w:rsidRDefault="00D12C6D" w:rsidP="00862D4B">
      <w:pPr>
        <w:spacing w:after="0" w:line="360" w:lineRule="auto"/>
        <w:jc w:val="both"/>
        <w:rPr>
          <w:rFonts w:asciiTheme="majorBidi" w:hAnsiTheme="majorBidi" w:cstheme="majorBidi"/>
        </w:rPr>
      </w:pPr>
    </w:p>
    <w:p w14:paraId="4A4CD71D" w14:textId="0E6E3C1C" w:rsidR="001C6E6A" w:rsidRPr="00213464" w:rsidRDefault="004F4C98" w:rsidP="00862D4B">
      <w:pPr>
        <w:spacing w:after="0" w:line="360" w:lineRule="auto"/>
        <w:jc w:val="both"/>
        <w:rPr>
          <w:rFonts w:asciiTheme="majorBidi" w:hAnsiTheme="majorBidi" w:cstheme="majorBidi"/>
          <w:lang w:val="en-US"/>
        </w:rPr>
      </w:pPr>
      <w:r w:rsidRPr="00213464">
        <w:rPr>
          <w:rFonts w:asciiTheme="majorBidi" w:hAnsiTheme="majorBidi" w:cstheme="majorBidi"/>
          <w:lang w:val="en-US"/>
        </w:rPr>
        <w:t xml:space="preserve"> The empirical study is based on four risky assets: two stock indices, namely: S&amp;P 500 and IEF (Exchange Traded Fund), and two commodities, namely: XAU (the PHLX Gold/Silver Sector Index) and USO (the United States Oil Fund), over a four-year period (2018-2022). Our results show that using dynamic conditional correlation (DCC) or exponentially weighted moving average (EWMA) provides similar covariance forecasts. Indeed, risk-based indexing strategies allow for the minimization of specific risk rather than market risk because these aforementioned portfolio optimization models seek to eliminate diversifiable risk and do not offer protection against systematic risk. The best results are obtained with rebalancing every five trading days but with small magnitude deviations.</w:t>
      </w:r>
      <w:r w:rsidR="001C6E6A" w:rsidRPr="00213464">
        <w:rPr>
          <w:rFonts w:asciiTheme="majorBidi" w:hAnsiTheme="majorBidi" w:cstheme="majorBidi"/>
          <w:lang w:val="en-US"/>
        </w:rPr>
        <w:t xml:space="preserve">             </w:t>
      </w:r>
    </w:p>
    <w:p w14:paraId="00E54908" w14:textId="77777777" w:rsidR="001C6E6A" w:rsidRPr="001C6E6A" w:rsidRDefault="001C6E6A" w:rsidP="00862D4B">
      <w:pPr>
        <w:spacing w:after="0" w:line="360" w:lineRule="auto"/>
        <w:jc w:val="both"/>
        <w:rPr>
          <w:rFonts w:asciiTheme="majorBidi" w:hAnsiTheme="majorBidi" w:cstheme="majorBidi"/>
          <w:lang w:val="en-US"/>
        </w:rPr>
      </w:pPr>
    </w:p>
    <w:p w14:paraId="772F750B" w14:textId="59B3A123" w:rsidR="001C6E6A" w:rsidRPr="004F4C98" w:rsidRDefault="004F4C98" w:rsidP="001C6E6A">
      <w:pPr>
        <w:rPr>
          <w:rFonts w:asciiTheme="majorBidi" w:hAnsiTheme="majorBidi" w:cstheme="majorBidi"/>
          <w:lang w:val="en-US"/>
        </w:rPr>
      </w:pPr>
      <w:r w:rsidRPr="00907CEF">
        <w:rPr>
          <w:rFonts w:asciiTheme="majorBidi" w:hAnsiTheme="majorBidi" w:cstheme="majorBidi"/>
          <w:b/>
          <w:lang w:val="en-US"/>
        </w:rPr>
        <w:t>Key</w:t>
      </w:r>
      <w:r w:rsidR="00F26D3A" w:rsidRPr="00907CEF">
        <w:rPr>
          <w:rFonts w:asciiTheme="majorBidi" w:hAnsiTheme="majorBidi" w:cstheme="majorBidi"/>
          <w:b/>
          <w:lang w:val="en-US"/>
        </w:rPr>
        <w:t xml:space="preserve"> </w:t>
      </w:r>
      <w:r w:rsidRPr="00907CEF">
        <w:rPr>
          <w:rFonts w:asciiTheme="majorBidi" w:hAnsiTheme="majorBidi" w:cstheme="majorBidi"/>
          <w:b/>
          <w:lang w:val="en-US"/>
        </w:rPr>
        <w:t>words:</w:t>
      </w:r>
      <w:r w:rsidRPr="00213464">
        <w:rPr>
          <w:rFonts w:asciiTheme="majorBidi" w:hAnsiTheme="majorBidi" w:cstheme="majorBidi"/>
          <w:lang w:val="en-US"/>
        </w:rPr>
        <w:t xml:space="preserve"> </w:t>
      </w:r>
      <w:r w:rsidR="00907CEF">
        <w:rPr>
          <w:rFonts w:asciiTheme="majorBidi" w:hAnsiTheme="majorBidi" w:cstheme="majorBidi"/>
          <w:lang w:val="en-US"/>
        </w:rPr>
        <w:t xml:space="preserve"> </w:t>
      </w:r>
      <w:r w:rsidRPr="00213464">
        <w:rPr>
          <w:rFonts w:asciiTheme="majorBidi" w:hAnsiTheme="majorBidi" w:cstheme="majorBidi"/>
          <w:lang w:val="en-US"/>
        </w:rPr>
        <w:t>EWMA, DCC, covariance forecasting, performance, risk, risk-based allocations</w:t>
      </w:r>
    </w:p>
    <w:p w14:paraId="72AA2F97" w14:textId="77777777" w:rsidR="001C6E6A" w:rsidRPr="00F26D3A" w:rsidRDefault="00862D4B" w:rsidP="001C6E6A">
      <w:pPr>
        <w:rPr>
          <w:rFonts w:asciiTheme="majorBidi" w:hAnsiTheme="majorBidi" w:cstheme="majorBidi"/>
          <w:b/>
          <w:bCs/>
          <w:lang w:val="en-US"/>
        </w:rPr>
      </w:pPr>
      <w:r w:rsidRPr="00F26D3A">
        <w:rPr>
          <w:rFonts w:asciiTheme="majorBidi" w:hAnsiTheme="majorBidi" w:cstheme="majorBidi"/>
          <w:b/>
          <w:bCs/>
          <w:lang w:val="en-US"/>
        </w:rPr>
        <w:t>Introduction:</w:t>
      </w:r>
      <w:r w:rsidR="001C6E6A" w:rsidRPr="00F26D3A">
        <w:rPr>
          <w:rFonts w:asciiTheme="majorBidi" w:hAnsiTheme="majorBidi" w:cstheme="majorBidi"/>
          <w:b/>
          <w:bCs/>
          <w:lang w:val="en-US"/>
        </w:rPr>
        <w:t xml:space="preserve"> </w:t>
      </w:r>
    </w:p>
    <w:p w14:paraId="05F09E55"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In recent years, faced with increased market volatility and a globally crisis-stricken financial environment, most financial institutions and investors are increasingly exposed to a multitude of risks. These risks directly affect their performance and, consequently, their survival and success.</w:t>
      </w:r>
    </w:p>
    <w:p w14:paraId="3A03C97B" w14:textId="3C8A89B8" w:rsidR="00507E46" w:rsidRDefault="00BF6C1B" w:rsidP="008A3A4C">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We find that diversification is the best solution to minimize risk. It is considered a means to improve portfolio performance and to reduce and distribute risk.</w:t>
      </w:r>
    </w:p>
    <w:p w14:paraId="2A4F5CD6" w14:textId="5A2CEEAC" w:rsidR="00507E46" w:rsidRPr="00507E46" w:rsidRDefault="00507E46" w:rsidP="008A3A4C">
      <w:pPr>
        <w:pStyle w:val="NormalWeb"/>
        <w:spacing w:before="0" w:beforeAutospacing="0" w:after="0" w:afterAutospacing="0" w:line="360" w:lineRule="auto"/>
        <w:jc w:val="both"/>
        <w:rPr>
          <w:rFonts w:asciiTheme="majorBidi" w:eastAsiaTheme="minorEastAsia" w:hAnsiTheme="majorBidi" w:cstheme="majorBidi"/>
          <w:highlight w:val="yellow"/>
          <w:lang w:val="en"/>
        </w:rPr>
      </w:pPr>
      <w:r w:rsidRPr="00507E46">
        <w:rPr>
          <w:rFonts w:asciiTheme="majorBidi" w:eastAsiaTheme="minorEastAsia" w:hAnsiTheme="majorBidi" w:cstheme="majorBidi"/>
          <w:highlight w:val="yellow"/>
          <w:lang w:val="en"/>
        </w:rPr>
        <w:t xml:space="preserve">portfolio management is very important </w:t>
      </w:r>
      <w:r w:rsidR="008A3A4C" w:rsidRPr="000D78A9">
        <w:rPr>
          <w:rFonts w:asciiTheme="majorBidi" w:eastAsiaTheme="minorEastAsia" w:hAnsiTheme="majorBidi" w:cstheme="majorBidi"/>
          <w:highlight w:val="yellow"/>
          <w:lang w:val="en"/>
        </w:rPr>
        <w:t xml:space="preserve"> </w:t>
      </w:r>
      <w:r w:rsidRPr="00507E46">
        <w:rPr>
          <w:rFonts w:asciiTheme="majorBidi" w:eastAsiaTheme="minorEastAsia" w:hAnsiTheme="majorBidi" w:cstheme="majorBidi"/>
          <w:highlight w:val="yellow"/>
          <w:lang w:val="en"/>
        </w:rPr>
        <w:t xml:space="preserve"> for the following reasons</w:t>
      </w:r>
      <w:r w:rsidR="008A3A4C" w:rsidRPr="000D78A9">
        <w:rPr>
          <w:rFonts w:asciiTheme="majorBidi" w:eastAsiaTheme="minorEastAsia" w:hAnsiTheme="majorBidi" w:cstheme="majorBidi"/>
          <w:highlight w:val="yellow"/>
          <w:lang w:val="en"/>
        </w:rPr>
        <w:t xml:space="preserve"> such </w:t>
      </w:r>
      <w:proofErr w:type="gramStart"/>
      <w:r w:rsidR="008A3A4C" w:rsidRPr="000D78A9">
        <w:rPr>
          <w:rFonts w:asciiTheme="majorBidi" w:eastAsiaTheme="minorEastAsia" w:hAnsiTheme="majorBidi" w:cstheme="majorBidi"/>
          <w:highlight w:val="yellow"/>
          <w:lang w:val="en"/>
        </w:rPr>
        <w:t xml:space="preserve">as </w:t>
      </w:r>
      <w:r w:rsidRPr="00507E46">
        <w:rPr>
          <w:rFonts w:asciiTheme="majorBidi" w:eastAsiaTheme="minorEastAsia" w:hAnsiTheme="majorBidi" w:cstheme="majorBidi"/>
          <w:highlight w:val="yellow"/>
          <w:lang w:val="en"/>
        </w:rPr>
        <w:t>:</w:t>
      </w:r>
      <w:proofErr w:type="gramEnd"/>
      <w:r w:rsidRPr="00507E46">
        <w:rPr>
          <w:rFonts w:asciiTheme="majorBidi" w:eastAsiaTheme="minorEastAsia" w:hAnsiTheme="majorBidi" w:cstheme="majorBidi"/>
          <w:highlight w:val="yellow"/>
          <w:lang w:val="en"/>
        </w:rPr>
        <w:t xml:space="preserve"> </w:t>
      </w:r>
      <w:r w:rsidR="008A3A4C" w:rsidRPr="000D78A9">
        <w:rPr>
          <w:rFonts w:asciiTheme="majorBidi" w:eastAsiaTheme="minorEastAsia" w:hAnsiTheme="majorBidi" w:cstheme="majorBidi"/>
          <w:highlight w:val="yellow"/>
          <w:lang w:val="en"/>
        </w:rPr>
        <w:t>a</w:t>
      </w:r>
      <w:r w:rsidRPr="00507E46">
        <w:rPr>
          <w:rFonts w:asciiTheme="majorBidi" w:eastAsiaTheme="minorEastAsia" w:hAnsiTheme="majorBidi" w:cstheme="majorBidi"/>
          <w:highlight w:val="yellow"/>
          <w:lang w:val="en"/>
        </w:rPr>
        <w:t>llocation of fund</w:t>
      </w:r>
      <w:r w:rsidR="008A3A4C" w:rsidRPr="000D78A9">
        <w:rPr>
          <w:rFonts w:asciiTheme="majorBidi" w:eastAsiaTheme="minorEastAsia" w:hAnsiTheme="majorBidi" w:cstheme="majorBidi"/>
          <w:highlight w:val="yellow"/>
          <w:lang w:val="en"/>
        </w:rPr>
        <w:t>:</w:t>
      </w:r>
    </w:p>
    <w:p w14:paraId="691BC465" w14:textId="5B64460C" w:rsidR="00507E46" w:rsidRPr="008A3A4C" w:rsidRDefault="008A3A4C" w:rsidP="008A3A4C">
      <w:pPr>
        <w:pStyle w:val="NormalWeb"/>
        <w:spacing w:before="0" w:beforeAutospacing="0" w:after="0" w:afterAutospacing="0" w:line="360" w:lineRule="auto"/>
        <w:jc w:val="both"/>
        <w:rPr>
          <w:rFonts w:asciiTheme="majorBidi" w:eastAsiaTheme="minorEastAsia" w:hAnsiTheme="majorBidi" w:cstheme="majorBidi"/>
          <w:lang w:val="en"/>
        </w:rPr>
      </w:pPr>
      <w:r w:rsidRPr="000D78A9">
        <w:rPr>
          <w:rFonts w:asciiTheme="majorBidi" w:eastAsiaTheme="minorEastAsia" w:hAnsiTheme="majorBidi" w:cstheme="majorBidi"/>
          <w:highlight w:val="yellow"/>
          <w:lang w:val="en"/>
        </w:rPr>
        <w:lastRenderedPageBreak/>
        <w:t>by g</w:t>
      </w:r>
      <w:r w:rsidR="00507E46" w:rsidRPr="00507E46">
        <w:rPr>
          <w:rFonts w:asciiTheme="majorBidi" w:eastAsiaTheme="minorEastAsia" w:hAnsiTheme="majorBidi" w:cstheme="majorBidi"/>
          <w:highlight w:val="yellow"/>
          <w:lang w:val="en"/>
        </w:rPr>
        <w:t xml:space="preserve">ood portfolio management aims to allocate funds in the most profitable manner taking into account factors such as market return, risk </w:t>
      </w:r>
      <w:r w:rsidRPr="000D78A9">
        <w:rPr>
          <w:rFonts w:asciiTheme="majorBidi" w:eastAsiaTheme="minorEastAsia" w:hAnsiTheme="majorBidi" w:cstheme="majorBidi"/>
          <w:highlight w:val="yellow"/>
          <w:lang w:val="en"/>
        </w:rPr>
        <w:t>appetite, reduces</w:t>
      </w:r>
      <w:r w:rsidR="00507E46" w:rsidRPr="00507E46">
        <w:rPr>
          <w:rFonts w:asciiTheme="majorBidi" w:eastAsiaTheme="minorEastAsia" w:hAnsiTheme="majorBidi" w:cstheme="majorBidi"/>
          <w:highlight w:val="yellow"/>
          <w:lang w:val="en"/>
        </w:rPr>
        <w:t xml:space="preserve"> risks</w:t>
      </w:r>
      <w:r w:rsidRPr="000D78A9">
        <w:rPr>
          <w:rFonts w:asciiTheme="majorBidi" w:eastAsiaTheme="minorEastAsia" w:hAnsiTheme="majorBidi" w:cstheme="majorBidi"/>
          <w:highlight w:val="yellow"/>
          <w:lang w:val="en"/>
        </w:rPr>
        <w:t xml:space="preserve"> </w:t>
      </w:r>
      <w:r w:rsidR="00507E46" w:rsidRPr="00507E46">
        <w:rPr>
          <w:rFonts w:asciiTheme="majorBidi" w:eastAsiaTheme="minorEastAsia" w:hAnsiTheme="majorBidi" w:cstheme="majorBidi"/>
          <w:highlight w:val="yellow"/>
          <w:lang w:val="en"/>
        </w:rPr>
        <w:t>Portfolio management ensures that the risk factor is reduced by adjusting the risk an individual takes on a specific percentage of capital</w:t>
      </w:r>
      <w:r w:rsidRPr="000D78A9">
        <w:rPr>
          <w:rFonts w:asciiTheme="majorBidi" w:eastAsiaTheme="minorEastAsia" w:hAnsiTheme="majorBidi" w:cstheme="majorBidi"/>
          <w:highlight w:val="yellow"/>
          <w:lang w:val="en"/>
        </w:rPr>
        <w:t>; d</w:t>
      </w:r>
      <w:r w:rsidR="00507E46" w:rsidRPr="00507E46">
        <w:rPr>
          <w:rFonts w:asciiTheme="majorBidi" w:eastAsiaTheme="minorEastAsia" w:hAnsiTheme="majorBidi" w:cstheme="majorBidi"/>
          <w:highlight w:val="yellow"/>
          <w:lang w:val="en"/>
        </w:rPr>
        <w:t>iversification is nothing but the allocation of funds in various financial instruments, the objective here being to protect an asset against risk</w:t>
      </w:r>
      <w:r w:rsidRPr="000D78A9">
        <w:rPr>
          <w:rFonts w:asciiTheme="majorBidi" w:eastAsiaTheme="minorEastAsia" w:hAnsiTheme="majorBidi" w:cstheme="majorBidi"/>
          <w:highlight w:val="yellow"/>
          <w:lang w:val="en"/>
        </w:rPr>
        <w:t xml:space="preserve"> and p</w:t>
      </w:r>
      <w:r w:rsidR="00507E46" w:rsidRPr="00507E46">
        <w:rPr>
          <w:rFonts w:asciiTheme="majorBidi" w:eastAsiaTheme="minorEastAsia" w:hAnsiTheme="majorBidi" w:cstheme="majorBidi"/>
          <w:highlight w:val="yellow"/>
          <w:lang w:val="en"/>
        </w:rPr>
        <w:t>ortfolio management is very useful in terms of tax planning because having an investment portfolio helps reduce the tax burden. Tax planning can be done as part of portfolio management. Investing in financial instruments like PPF and PF etc. is a great way to save taxes.</w:t>
      </w:r>
    </w:p>
    <w:p w14:paraId="6B30EB3A"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The world of finance has experienced several moments of crisis, the most recent being the Covid-19 health crisis. Since then, the world has been living in financial instability, which undermines the confidence of financial markets and confronts savers and institutional investors with unexpected crises likely to erode the value of their portfolios. The frequency and severe consequences of recent financial crises have highlighted the shortcomings of traditional portfolio construction strategies (Markowitz model and its subsequent developments). The goal of any portfolio management model is to determine the equilibrium price of an asset in the market. Portfolio management strategies, on the other hand, depend closely on investors' attitudes toward risk and how they perceive and measure this risk. They also depend on their return and performance requirements. Therefore, the process of optimizing portfolio management is a difficult and complex task.</w:t>
      </w:r>
    </w:p>
    <w:p w14:paraId="4EBD06FB"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 xml:space="preserve">The modern portfolio theory, developed by </w:t>
      </w:r>
      <w:r w:rsidRPr="00DD3229">
        <w:rPr>
          <w:rFonts w:asciiTheme="majorBidi" w:eastAsiaTheme="minorHAnsi" w:hAnsiTheme="majorBidi" w:cstheme="majorBidi"/>
          <w:color w:val="00B0F0"/>
          <w:sz w:val="22"/>
          <w:szCs w:val="22"/>
          <w:lang w:val="en-US" w:eastAsia="en-US"/>
        </w:rPr>
        <w:t xml:space="preserve">Harry Markowitz (1952), </w:t>
      </w:r>
      <w:r w:rsidRPr="00213464">
        <w:rPr>
          <w:rFonts w:asciiTheme="majorBidi" w:eastAsiaTheme="minorHAnsi" w:hAnsiTheme="majorBidi" w:cstheme="majorBidi"/>
          <w:sz w:val="22"/>
          <w:szCs w:val="22"/>
          <w:lang w:val="en-US" w:eastAsia="en-US"/>
        </w:rPr>
        <w:t>is based on the fundamental role that diversification plays in risk reduction. It suggests that a rational investor should diversify their portfolio using various optimization methods to achieve the optimal risk-return tradeoff. This theory has long been proven effective. In recent years, we have observed the existence of several diversification methods. Among these different methods, we find, of course, the minimum variance portfolio (MVP). Other approaches include the naive diversification portfolio, the ERC (Equally-weighted Risk Contribution) portfolio, the MDP (Most Diversified Portfolio), the IVP (Inverse Volatility Portfolio), and the MDECP (Maximum Decorrelation Portfolio). These approaches address the shortcomings of the mean-variance model.</w:t>
      </w:r>
    </w:p>
    <w:p w14:paraId="44C1AF37"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 xml:space="preserve">To eliminate diversifiable risk, investors must implement portfolio optimization strategies based solely on risk criteria. The works of </w:t>
      </w:r>
      <w:r w:rsidRPr="0029360D">
        <w:rPr>
          <w:rFonts w:asciiTheme="majorBidi" w:eastAsiaTheme="minorHAnsi" w:hAnsiTheme="majorBidi" w:cstheme="majorBidi"/>
          <w:color w:val="00B0F0"/>
          <w:sz w:val="22"/>
          <w:szCs w:val="22"/>
          <w:lang w:val="en-US" w:eastAsia="en-US"/>
        </w:rPr>
        <w:t>Chan et al. (1999)</w:t>
      </w:r>
      <w:r w:rsidRPr="00213464">
        <w:rPr>
          <w:rFonts w:asciiTheme="majorBidi" w:eastAsiaTheme="minorHAnsi" w:hAnsiTheme="majorBidi" w:cstheme="majorBidi"/>
          <w:sz w:val="22"/>
          <w:szCs w:val="22"/>
          <w:lang w:val="en-US" w:eastAsia="en-US"/>
        </w:rPr>
        <w:t xml:space="preserve">, </w:t>
      </w:r>
      <w:proofErr w:type="spellStart"/>
      <w:r w:rsidRPr="0029360D">
        <w:rPr>
          <w:rFonts w:asciiTheme="majorBidi" w:eastAsiaTheme="minorHAnsi" w:hAnsiTheme="majorBidi" w:cstheme="majorBidi"/>
          <w:color w:val="00B0F0"/>
          <w:sz w:val="22"/>
          <w:szCs w:val="22"/>
          <w:lang w:val="en-US" w:eastAsia="en-US"/>
        </w:rPr>
        <w:t>Ledoit</w:t>
      </w:r>
      <w:proofErr w:type="spellEnd"/>
      <w:r w:rsidRPr="0029360D">
        <w:rPr>
          <w:rFonts w:asciiTheme="majorBidi" w:eastAsiaTheme="minorHAnsi" w:hAnsiTheme="majorBidi" w:cstheme="majorBidi"/>
          <w:color w:val="00B0F0"/>
          <w:sz w:val="22"/>
          <w:szCs w:val="22"/>
          <w:lang w:val="en-US" w:eastAsia="en-US"/>
        </w:rPr>
        <w:t xml:space="preserve"> and Wolf (2003), </w:t>
      </w:r>
      <w:proofErr w:type="spellStart"/>
      <w:r w:rsidRPr="0029360D">
        <w:rPr>
          <w:rFonts w:asciiTheme="majorBidi" w:eastAsiaTheme="minorHAnsi" w:hAnsiTheme="majorBidi" w:cstheme="majorBidi"/>
          <w:color w:val="00B0F0"/>
          <w:sz w:val="22"/>
          <w:szCs w:val="22"/>
          <w:lang w:val="en-US" w:eastAsia="en-US"/>
        </w:rPr>
        <w:t>Scutellà</w:t>
      </w:r>
      <w:proofErr w:type="spellEnd"/>
      <w:r w:rsidRPr="0029360D">
        <w:rPr>
          <w:rFonts w:asciiTheme="majorBidi" w:eastAsiaTheme="minorHAnsi" w:hAnsiTheme="majorBidi" w:cstheme="majorBidi"/>
          <w:color w:val="00B0F0"/>
          <w:sz w:val="22"/>
          <w:szCs w:val="22"/>
          <w:lang w:val="en-US" w:eastAsia="en-US"/>
        </w:rPr>
        <w:t xml:space="preserve"> and Recchia (2013), and Kim et al. (2013)</w:t>
      </w:r>
      <w:r w:rsidRPr="00213464">
        <w:rPr>
          <w:rFonts w:asciiTheme="majorBidi" w:eastAsiaTheme="minorHAnsi" w:hAnsiTheme="majorBidi" w:cstheme="majorBidi"/>
          <w:sz w:val="22"/>
          <w:szCs w:val="22"/>
          <w:lang w:val="en-US" w:eastAsia="en-US"/>
        </w:rPr>
        <w:t xml:space="preserve"> focus on the impact of the accuracy of covariance matrix forecasts on the performance of mean-variance or benchmark-tracking portfolios. Recently</w:t>
      </w:r>
      <w:r w:rsidRPr="00AC6E43">
        <w:rPr>
          <w:rFonts w:asciiTheme="majorBidi" w:eastAsiaTheme="minorHAnsi" w:hAnsiTheme="majorBidi" w:cstheme="majorBidi"/>
          <w:sz w:val="22"/>
          <w:szCs w:val="22"/>
          <w:lang w:val="en-US" w:eastAsia="en-US"/>
        </w:rPr>
        <w:t xml:space="preserve">, </w:t>
      </w:r>
      <w:proofErr w:type="spellStart"/>
      <w:r w:rsidRPr="0029360D">
        <w:rPr>
          <w:rFonts w:asciiTheme="majorBidi" w:eastAsiaTheme="minorHAnsi" w:hAnsiTheme="majorBidi" w:cstheme="majorBidi"/>
          <w:color w:val="00B0F0"/>
          <w:sz w:val="22"/>
          <w:szCs w:val="22"/>
          <w:lang w:val="en-US" w:eastAsia="en-US"/>
        </w:rPr>
        <w:t>Zakamulin</w:t>
      </w:r>
      <w:proofErr w:type="spellEnd"/>
      <w:r w:rsidR="001C4FAF" w:rsidRPr="0029360D">
        <w:rPr>
          <w:rFonts w:asciiTheme="majorBidi" w:eastAsiaTheme="minorHAnsi" w:hAnsiTheme="majorBidi" w:cstheme="majorBidi"/>
          <w:color w:val="00B0F0"/>
          <w:sz w:val="22"/>
          <w:szCs w:val="22"/>
          <w:lang w:val="en-US" w:eastAsia="en-US"/>
        </w:rPr>
        <w:t xml:space="preserve"> (2017</w:t>
      </w:r>
      <w:r w:rsidRPr="0029360D">
        <w:rPr>
          <w:rFonts w:asciiTheme="majorBidi" w:eastAsiaTheme="minorHAnsi" w:hAnsiTheme="majorBidi" w:cstheme="majorBidi"/>
          <w:color w:val="00B0F0"/>
          <w:sz w:val="22"/>
          <w:szCs w:val="22"/>
          <w:lang w:val="en-US" w:eastAsia="en-US"/>
        </w:rPr>
        <w:t xml:space="preserve">) </w:t>
      </w:r>
      <w:r w:rsidRPr="00213464">
        <w:rPr>
          <w:rFonts w:asciiTheme="majorBidi" w:eastAsiaTheme="minorHAnsi" w:hAnsiTheme="majorBidi" w:cstheme="majorBidi"/>
          <w:sz w:val="22"/>
          <w:szCs w:val="22"/>
          <w:lang w:val="en-US" w:eastAsia="en-US"/>
        </w:rPr>
        <w:t xml:space="preserve">studied the impact of various covariance matrix forecasting methodologies on the performance of mean-variance and target volatility strategies but did not pay attention to other very popular risk-based strategies that </w:t>
      </w:r>
      <w:r w:rsidRPr="0029360D">
        <w:rPr>
          <w:rFonts w:asciiTheme="majorBidi" w:eastAsiaTheme="minorHAnsi" w:hAnsiTheme="majorBidi" w:cstheme="majorBidi"/>
          <w:color w:val="00B0F0"/>
          <w:sz w:val="22"/>
          <w:szCs w:val="22"/>
          <w:lang w:val="en-US" w:eastAsia="en-US"/>
        </w:rPr>
        <w:t xml:space="preserve">Ardia et al. (2017) </w:t>
      </w:r>
      <w:r w:rsidRPr="00213464">
        <w:rPr>
          <w:rFonts w:asciiTheme="majorBidi" w:eastAsiaTheme="minorHAnsi" w:hAnsiTheme="majorBidi" w:cstheme="majorBidi"/>
          <w:sz w:val="22"/>
          <w:szCs w:val="22"/>
          <w:lang w:val="en-US" w:eastAsia="en-US"/>
        </w:rPr>
        <w:t>studied in their article.</w:t>
      </w:r>
    </w:p>
    <w:p w14:paraId="556B9743"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 xml:space="preserve">This is the context of our reflection. We will try to assess to what extent the application of portfolio optimization models based solely on risk criteria would allow the creation of portfolios capable of </w:t>
      </w:r>
      <w:r w:rsidRPr="00213464">
        <w:rPr>
          <w:rFonts w:asciiTheme="majorBidi" w:eastAsiaTheme="minorHAnsi" w:hAnsiTheme="majorBidi" w:cstheme="majorBidi"/>
          <w:sz w:val="22"/>
          <w:szCs w:val="22"/>
          <w:lang w:val="en-US" w:eastAsia="en-US"/>
        </w:rPr>
        <w:lastRenderedPageBreak/>
        <w:t>addressing the shortcomings of the mean-variance model, particularly during the Covid-19 health crisis, while addressing the sensitivity of risk-based portfolio weights to covariance forecasts.</w:t>
      </w:r>
    </w:p>
    <w:p w14:paraId="1B96CDB8"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 xml:space="preserve">To answer our research question, we deemed it useful and relevant to develop the following two parts: The first part, which is purely theoretical, consists of two chapters. The first chapter will be devoted to studying the efficient allocation model developed </w:t>
      </w:r>
      <w:r w:rsidRPr="0029360D">
        <w:rPr>
          <w:rFonts w:asciiTheme="majorBidi" w:eastAsiaTheme="minorHAnsi" w:hAnsiTheme="majorBidi" w:cstheme="majorBidi"/>
          <w:color w:val="00B0F0"/>
          <w:sz w:val="22"/>
          <w:szCs w:val="22"/>
          <w:lang w:val="en-US" w:eastAsia="en-US"/>
        </w:rPr>
        <w:t>by Markowitz (1952)</w:t>
      </w:r>
      <w:r w:rsidRPr="00213464">
        <w:rPr>
          <w:rFonts w:asciiTheme="majorBidi" w:eastAsiaTheme="minorHAnsi" w:hAnsiTheme="majorBidi" w:cstheme="majorBidi"/>
          <w:sz w:val="22"/>
          <w:szCs w:val="22"/>
          <w:lang w:val="en-US" w:eastAsia="en-US"/>
        </w:rPr>
        <w:t>. The second chapter will focus on describing various risk-based portfolio allocation techniques and presenting a literature review.</w:t>
      </w:r>
    </w:p>
    <w:p w14:paraId="035EC04C" w14:textId="77777777" w:rsidR="00BF6C1B" w:rsidRPr="00213464" w:rsidRDefault="00BF6C1B" w:rsidP="00213464">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Finally, the second part, which is practical, aims to estimate two econometric models (EWMA and DCC-GARCH) to empirically validate the covariance matrix forecasts. The estimation results are used to apply risk-based portfolio allocation strategies and evaluate their performance during the Covid-19 health crisis. This is defined by constructing a portfolio of two stock indices, S&amp;P 500 and IEF (Exchange Traded Fund), and two commodities, XAU (the PHLX Gold/Silver Sector Index) and US</w:t>
      </w:r>
      <w:r w:rsidR="00213464">
        <w:rPr>
          <w:rFonts w:asciiTheme="majorBidi" w:eastAsiaTheme="minorHAnsi" w:hAnsiTheme="majorBidi" w:cstheme="majorBidi"/>
          <w:sz w:val="22"/>
          <w:szCs w:val="22"/>
          <w:lang w:val="en-US" w:eastAsia="en-US"/>
        </w:rPr>
        <w:t>O (the United States Oil Fund).</w:t>
      </w:r>
    </w:p>
    <w:p w14:paraId="6503DCC7" w14:textId="77777777" w:rsidR="00862D4B" w:rsidRPr="00475EF9" w:rsidRDefault="00862D4B" w:rsidP="00475EF9">
      <w:pPr>
        <w:spacing w:after="0" w:line="360" w:lineRule="auto"/>
        <w:jc w:val="both"/>
        <w:rPr>
          <w:rFonts w:asciiTheme="majorBidi" w:hAnsiTheme="majorBidi" w:cstheme="majorBidi"/>
          <w:b/>
          <w:bCs/>
          <w:lang w:val="en-US"/>
        </w:rPr>
      </w:pPr>
      <w:r w:rsidRPr="00475EF9">
        <w:rPr>
          <w:rFonts w:asciiTheme="majorBidi" w:hAnsiTheme="majorBidi" w:cstheme="majorBidi"/>
          <w:b/>
          <w:bCs/>
          <w:lang w:val="en-US"/>
        </w:rPr>
        <w:t>The theoretical foundations of portfolio management</w:t>
      </w:r>
    </w:p>
    <w:p w14:paraId="6039AED5" w14:textId="77777777" w:rsidR="001D4091" w:rsidRPr="00213464" w:rsidRDefault="00862D4B" w:rsidP="00213464">
      <w:pPr>
        <w:pStyle w:val="ListParagraph"/>
        <w:numPr>
          <w:ilvl w:val="1"/>
          <w:numId w:val="3"/>
        </w:numPr>
        <w:spacing w:after="0" w:line="360" w:lineRule="auto"/>
        <w:jc w:val="both"/>
        <w:rPr>
          <w:rFonts w:asciiTheme="majorBidi" w:hAnsiTheme="majorBidi" w:cstheme="majorBidi"/>
          <w:b/>
          <w:bCs/>
          <w:lang w:val="en-US"/>
        </w:rPr>
      </w:pPr>
      <w:r w:rsidRPr="001D4091">
        <w:rPr>
          <w:rFonts w:asciiTheme="majorBidi" w:hAnsiTheme="majorBidi" w:cstheme="majorBidi"/>
          <w:b/>
          <w:bCs/>
          <w:lang w:val="en-US"/>
        </w:rPr>
        <w:t>Evolution of portfolio theory</w:t>
      </w:r>
    </w:p>
    <w:p w14:paraId="1FF51AD7" w14:textId="77777777" w:rsidR="001D4091" w:rsidRPr="001D4091" w:rsidRDefault="001D4091" w:rsidP="001D4091">
      <w:pPr>
        <w:pStyle w:val="NormalWeb"/>
        <w:spacing w:before="0" w:beforeAutospacing="0" w:after="0" w:afterAutospacing="0" w:line="360" w:lineRule="auto"/>
        <w:jc w:val="both"/>
        <w:rPr>
          <w:sz w:val="22"/>
          <w:szCs w:val="22"/>
          <w:lang w:val="en-US"/>
        </w:rPr>
      </w:pPr>
      <w:r w:rsidRPr="001D4091">
        <w:rPr>
          <w:sz w:val="22"/>
          <w:szCs w:val="22"/>
          <w:lang w:val="en-US"/>
        </w:rPr>
        <w:t>The development of modern financial theory dates back to the 1950s, resulting from the combination of classical mathematical economics and the theory of choice under uncertainty. The establishment of a rigorous selection theory proved indispensable.</w:t>
      </w:r>
    </w:p>
    <w:p w14:paraId="19136E71" w14:textId="77777777" w:rsidR="001D4091" w:rsidRPr="001D4091" w:rsidRDefault="001D4091" w:rsidP="001D4091">
      <w:pPr>
        <w:pStyle w:val="NormalWeb"/>
        <w:spacing w:before="0" w:beforeAutospacing="0" w:after="0" w:afterAutospacing="0" w:line="360" w:lineRule="auto"/>
        <w:jc w:val="both"/>
        <w:rPr>
          <w:sz w:val="22"/>
          <w:szCs w:val="22"/>
          <w:lang w:val="en-US"/>
        </w:rPr>
      </w:pPr>
      <w:r w:rsidRPr="001D4091">
        <w:rPr>
          <w:sz w:val="22"/>
          <w:szCs w:val="22"/>
          <w:lang w:val="en-US"/>
        </w:rPr>
        <w:t xml:space="preserve">The foundational works of </w:t>
      </w:r>
      <w:r w:rsidRPr="0029360D">
        <w:rPr>
          <w:color w:val="00B0F0"/>
          <w:sz w:val="22"/>
          <w:szCs w:val="22"/>
          <w:lang w:val="en-US"/>
        </w:rPr>
        <w:t xml:space="preserve">Hicks (1935-1939) </w:t>
      </w:r>
      <w:r w:rsidRPr="001D4091">
        <w:rPr>
          <w:sz w:val="22"/>
          <w:szCs w:val="22"/>
          <w:lang w:val="en-US"/>
        </w:rPr>
        <w:t xml:space="preserve">and </w:t>
      </w:r>
      <w:proofErr w:type="spellStart"/>
      <w:r w:rsidRPr="0029360D">
        <w:rPr>
          <w:color w:val="00B0F0"/>
          <w:sz w:val="22"/>
          <w:szCs w:val="22"/>
          <w:lang w:val="en-US"/>
        </w:rPr>
        <w:t>Marschak</w:t>
      </w:r>
      <w:proofErr w:type="spellEnd"/>
      <w:r w:rsidRPr="0029360D">
        <w:rPr>
          <w:color w:val="00B0F0"/>
          <w:sz w:val="22"/>
          <w:szCs w:val="22"/>
          <w:lang w:val="en-US"/>
        </w:rPr>
        <w:t xml:space="preserve"> (1938) </w:t>
      </w:r>
      <w:r w:rsidRPr="001D4091">
        <w:rPr>
          <w:sz w:val="22"/>
          <w:szCs w:val="22"/>
          <w:lang w:val="en-US"/>
        </w:rPr>
        <w:t xml:space="preserve">used the mean/variance criterion. </w:t>
      </w:r>
      <w:proofErr w:type="spellStart"/>
      <w:r w:rsidRPr="0029360D">
        <w:rPr>
          <w:color w:val="00B0F0"/>
          <w:sz w:val="22"/>
          <w:szCs w:val="22"/>
          <w:lang w:val="en-US"/>
        </w:rPr>
        <w:t>Marschak</w:t>
      </w:r>
      <w:proofErr w:type="spellEnd"/>
      <w:r w:rsidRPr="0029360D">
        <w:rPr>
          <w:color w:val="00B0F0"/>
          <w:sz w:val="22"/>
          <w:szCs w:val="22"/>
          <w:lang w:val="en-US"/>
        </w:rPr>
        <w:t xml:space="preserve"> (1938) </w:t>
      </w:r>
      <w:r w:rsidRPr="001D4091">
        <w:rPr>
          <w:sz w:val="22"/>
          <w:szCs w:val="22"/>
          <w:lang w:val="en-US"/>
        </w:rPr>
        <w:t xml:space="preserve">even expressed investment preferences through indifference curves in mean/variance frameworks. Despite these heroic efforts, financial theory remains deeply risk-averse. Consequently, </w:t>
      </w:r>
      <w:r w:rsidRPr="0029360D">
        <w:rPr>
          <w:color w:val="00B0F0"/>
          <w:sz w:val="22"/>
          <w:szCs w:val="22"/>
          <w:lang w:val="en-US"/>
        </w:rPr>
        <w:t xml:space="preserve">Willams' (1938) </w:t>
      </w:r>
      <w:r w:rsidRPr="001D4091">
        <w:rPr>
          <w:sz w:val="22"/>
          <w:szCs w:val="22"/>
          <w:lang w:val="en-US"/>
        </w:rPr>
        <w:t xml:space="preserve">reference manual is primarily devoted to discounting. Unsurprisingly, after the works of </w:t>
      </w:r>
      <w:r w:rsidRPr="0029360D">
        <w:rPr>
          <w:color w:val="00B0F0"/>
          <w:sz w:val="22"/>
          <w:szCs w:val="22"/>
          <w:lang w:val="en-US"/>
        </w:rPr>
        <w:t>von Neumann and O. Morgenstern (1947)</w:t>
      </w:r>
      <w:r w:rsidRPr="0029360D">
        <w:rPr>
          <w:sz w:val="22"/>
          <w:szCs w:val="22"/>
          <w:lang w:val="en-US"/>
        </w:rPr>
        <w:t>,</w:t>
      </w:r>
      <w:r w:rsidRPr="0029360D">
        <w:rPr>
          <w:color w:val="00B0F0"/>
          <w:sz w:val="22"/>
          <w:szCs w:val="22"/>
          <w:lang w:val="en-US"/>
        </w:rPr>
        <w:t xml:space="preserve"> </w:t>
      </w:r>
      <w:r w:rsidRPr="001D4091">
        <w:rPr>
          <w:sz w:val="22"/>
          <w:szCs w:val="22"/>
          <w:lang w:val="en-US"/>
        </w:rPr>
        <w:t>portfolio theory experienced renewed interest for the study of uncertainty selection.</w:t>
      </w:r>
    </w:p>
    <w:p w14:paraId="1980B1B5" w14:textId="77777777" w:rsidR="001D4091" w:rsidRPr="001D4091" w:rsidRDefault="001D4091" w:rsidP="001D4091">
      <w:pPr>
        <w:spacing w:after="0" w:line="360" w:lineRule="auto"/>
        <w:jc w:val="both"/>
        <w:rPr>
          <w:rFonts w:asciiTheme="majorBidi" w:hAnsiTheme="majorBidi" w:cstheme="majorBidi"/>
          <w:b/>
          <w:bCs/>
          <w:lang w:val="en-US"/>
        </w:rPr>
      </w:pPr>
    </w:p>
    <w:p w14:paraId="792E1942" w14:textId="77777777" w:rsidR="001D4091" w:rsidRPr="001D4091" w:rsidRDefault="001D4091" w:rsidP="001D4091">
      <w:pPr>
        <w:pStyle w:val="NormalWeb"/>
        <w:spacing w:before="0" w:beforeAutospacing="0" w:after="0" w:afterAutospacing="0" w:line="360" w:lineRule="auto"/>
        <w:jc w:val="both"/>
        <w:rPr>
          <w:sz w:val="22"/>
          <w:szCs w:val="22"/>
          <w:lang w:val="en-US"/>
        </w:rPr>
      </w:pPr>
      <w:r w:rsidRPr="001D4091">
        <w:rPr>
          <w:sz w:val="22"/>
          <w:szCs w:val="22"/>
          <w:lang w:val="en-US"/>
        </w:rPr>
        <w:t xml:space="preserve">The fundamental idea of </w:t>
      </w:r>
      <w:r w:rsidRPr="0029360D">
        <w:rPr>
          <w:color w:val="00B0F0"/>
          <w:sz w:val="22"/>
          <w:szCs w:val="22"/>
          <w:lang w:val="en-US"/>
        </w:rPr>
        <w:t xml:space="preserve">Markowitz (1952) </w:t>
      </w:r>
      <w:r w:rsidRPr="001D4091">
        <w:rPr>
          <w:sz w:val="22"/>
          <w:szCs w:val="22"/>
          <w:lang w:val="en-US"/>
        </w:rPr>
        <w:t xml:space="preserve">is that investors optimally choose efficient portfolios by minimizing risk, measured by variance, for a given level of expected return. </w:t>
      </w:r>
      <w:r w:rsidRPr="0029360D">
        <w:rPr>
          <w:color w:val="00B0F0"/>
          <w:sz w:val="22"/>
          <w:szCs w:val="22"/>
          <w:lang w:val="en-US"/>
        </w:rPr>
        <w:t xml:space="preserve">Markowitz (1952) </w:t>
      </w:r>
      <w:r w:rsidRPr="001D4091">
        <w:rPr>
          <w:sz w:val="22"/>
          <w:szCs w:val="22"/>
          <w:lang w:val="en-US"/>
        </w:rPr>
        <w:t xml:space="preserve">adopted variance as a measure of risk, and it has since become the most widely used risk measure in risk definition and calculation. According to </w:t>
      </w:r>
      <w:r w:rsidRPr="0029360D">
        <w:rPr>
          <w:color w:val="00B0F0"/>
          <w:sz w:val="22"/>
          <w:szCs w:val="22"/>
          <w:lang w:val="en-US"/>
        </w:rPr>
        <w:t>Lucas and Klaassen (1998)</w:t>
      </w:r>
      <w:r w:rsidRPr="0029360D">
        <w:rPr>
          <w:sz w:val="22"/>
          <w:szCs w:val="22"/>
          <w:lang w:val="en-US"/>
        </w:rPr>
        <w:t>,</w:t>
      </w:r>
      <w:r w:rsidRPr="0029360D">
        <w:rPr>
          <w:color w:val="00B0F0"/>
          <w:sz w:val="22"/>
          <w:szCs w:val="22"/>
          <w:lang w:val="en-US"/>
        </w:rPr>
        <w:t xml:space="preserve"> Markowitz (1952) </w:t>
      </w:r>
      <w:r w:rsidRPr="001D4091">
        <w:rPr>
          <w:sz w:val="22"/>
          <w:szCs w:val="22"/>
          <w:lang w:val="en-US"/>
        </w:rPr>
        <w:t>used variance because it is an intuitive and very practical measure.</w:t>
      </w:r>
    </w:p>
    <w:p w14:paraId="788BF521" w14:textId="77777777" w:rsidR="001D4091" w:rsidRPr="00595B27" w:rsidRDefault="001D4091" w:rsidP="00595B27">
      <w:pPr>
        <w:pStyle w:val="NormalWeb"/>
        <w:spacing w:before="0" w:beforeAutospacing="0" w:after="0" w:afterAutospacing="0" w:line="360" w:lineRule="auto"/>
        <w:jc w:val="both"/>
        <w:rPr>
          <w:sz w:val="22"/>
          <w:szCs w:val="22"/>
          <w:lang w:val="en-US"/>
        </w:rPr>
      </w:pPr>
      <w:r w:rsidRPr="001D4091">
        <w:rPr>
          <w:sz w:val="22"/>
          <w:szCs w:val="22"/>
          <w:lang w:val="en-US"/>
        </w:rPr>
        <w:t>In practice, the model is widely used to control risks and evaluate investment portfolios. However, the scope of the mean-variance criterion is limited because it is based on variance as a measure of risk. Indeed, this measure is not constant over time, as it is higher during crises and lower when the stock market is s</w:t>
      </w:r>
      <w:r w:rsidRPr="008D2A40">
        <w:rPr>
          <w:sz w:val="22"/>
          <w:szCs w:val="22"/>
          <w:lang w:val="en-US"/>
        </w:rPr>
        <w:t>table</w:t>
      </w:r>
      <w:r w:rsidRPr="001D4091">
        <w:rPr>
          <w:sz w:val="22"/>
          <w:szCs w:val="22"/>
          <w:lang w:val="en-US"/>
        </w:rPr>
        <w:t>. Furthermore, it does not distinguish between negative returns, treating losses and gains in the same manner. These limitations led Markowitz to propose, in 1959, another risk measure that accounts for risk asymmetry: the semi-variance, which is calculated on the same principle as variance but only considers returns below the mean.</w:t>
      </w:r>
    </w:p>
    <w:p w14:paraId="2C47F271" w14:textId="4BD1F2C2" w:rsidR="00595B27" w:rsidRDefault="00595B27" w:rsidP="00595B27">
      <w:pPr>
        <w:pStyle w:val="NormalWeb"/>
        <w:spacing w:before="0" w:beforeAutospacing="0" w:after="0" w:afterAutospacing="0" w:line="360" w:lineRule="auto"/>
        <w:jc w:val="both"/>
        <w:rPr>
          <w:sz w:val="22"/>
          <w:szCs w:val="22"/>
          <w:lang w:val="en-US"/>
        </w:rPr>
      </w:pPr>
      <w:r w:rsidRPr="00595B27">
        <w:rPr>
          <w:sz w:val="22"/>
          <w:szCs w:val="22"/>
          <w:lang w:val="en-US"/>
        </w:rPr>
        <w:lastRenderedPageBreak/>
        <w:t xml:space="preserve">In the same vein, </w:t>
      </w:r>
      <w:r w:rsidRPr="0029360D">
        <w:rPr>
          <w:color w:val="00B0F0"/>
          <w:sz w:val="22"/>
          <w:szCs w:val="22"/>
          <w:lang w:val="en-US"/>
        </w:rPr>
        <w:t xml:space="preserve">Bollerslev's (1990) </w:t>
      </w:r>
      <w:r w:rsidRPr="00595B27">
        <w:rPr>
          <w:sz w:val="22"/>
          <w:szCs w:val="22"/>
          <w:lang w:val="en-US"/>
        </w:rPr>
        <w:t xml:space="preserve">model has been a popular choice for high-variable time series modeling. A test for its constant correlation hypothesis was introduced in a recent paper by </w:t>
      </w:r>
      <w:r w:rsidRPr="0029360D">
        <w:rPr>
          <w:color w:val="00B0F0"/>
          <w:sz w:val="22"/>
          <w:szCs w:val="22"/>
          <w:lang w:val="en-US"/>
        </w:rPr>
        <w:t>Tse (2000)</w:t>
      </w:r>
      <w:r w:rsidRPr="00595B27">
        <w:rPr>
          <w:sz w:val="22"/>
          <w:szCs w:val="22"/>
          <w:lang w:val="en-US"/>
        </w:rPr>
        <w:t xml:space="preserve">. Shortly thereafter, </w:t>
      </w:r>
      <w:r w:rsidRPr="0029360D">
        <w:rPr>
          <w:color w:val="00B0F0"/>
          <w:sz w:val="22"/>
          <w:szCs w:val="22"/>
          <w:lang w:val="en-US"/>
        </w:rPr>
        <w:t xml:space="preserve">Engle (2002) </w:t>
      </w:r>
      <w:r w:rsidRPr="00595B27">
        <w:rPr>
          <w:sz w:val="22"/>
          <w:szCs w:val="22"/>
          <w:lang w:val="en-US"/>
        </w:rPr>
        <w:t xml:space="preserve">and </w:t>
      </w:r>
      <w:r w:rsidRPr="0029360D">
        <w:rPr>
          <w:color w:val="00B0F0"/>
          <w:sz w:val="22"/>
          <w:szCs w:val="22"/>
          <w:lang w:val="en-US"/>
        </w:rPr>
        <w:t xml:space="preserve">Tsui and Tse (2002) </w:t>
      </w:r>
      <w:r w:rsidRPr="00595B27">
        <w:rPr>
          <w:sz w:val="22"/>
          <w:szCs w:val="22"/>
          <w:lang w:val="en-US"/>
        </w:rPr>
        <w:t>generalized the model to allow for time-varying correlations.</w:t>
      </w:r>
    </w:p>
    <w:p w14:paraId="505ACD06" w14:textId="46784322" w:rsidR="00907CEF" w:rsidRDefault="00907CEF" w:rsidP="00595B27">
      <w:pPr>
        <w:pStyle w:val="NormalWeb"/>
        <w:spacing w:before="0" w:beforeAutospacing="0" w:after="0" w:afterAutospacing="0" w:line="360" w:lineRule="auto"/>
        <w:jc w:val="both"/>
        <w:rPr>
          <w:sz w:val="22"/>
          <w:szCs w:val="22"/>
          <w:lang w:val="en-US"/>
        </w:rPr>
      </w:pPr>
    </w:p>
    <w:p w14:paraId="0EB45508" w14:textId="1C9A0BAF" w:rsidR="00907CEF" w:rsidRPr="00907CEF" w:rsidRDefault="00907CEF" w:rsidP="00595B27">
      <w:pPr>
        <w:pStyle w:val="NormalWeb"/>
        <w:spacing w:before="0" w:beforeAutospacing="0" w:after="0" w:afterAutospacing="0" w:line="360" w:lineRule="auto"/>
        <w:jc w:val="both"/>
        <w:rPr>
          <w:b/>
          <w:sz w:val="22"/>
          <w:szCs w:val="22"/>
          <w:lang w:val="en-US"/>
        </w:rPr>
      </w:pPr>
      <w:r w:rsidRPr="00907CEF">
        <w:rPr>
          <w:b/>
          <w:sz w:val="22"/>
          <w:szCs w:val="22"/>
          <w:lang w:val="en-US"/>
        </w:rPr>
        <w:t xml:space="preserve">Methodology: </w:t>
      </w:r>
    </w:p>
    <w:p w14:paraId="5F2CB1D7" w14:textId="77777777" w:rsidR="00595B27" w:rsidRPr="00595B27" w:rsidRDefault="00595B27" w:rsidP="00595B27">
      <w:pPr>
        <w:pStyle w:val="NormalWeb"/>
        <w:spacing w:before="0" w:beforeAutospacing="0" w:after="0" w:afterAutospacing="0" w:line="360" w:lineRule="auto"/>
        <w:jc w:val="both"/>
        <w:rPr>
          <w:sz w:val="22"/>
          <w:szCs w:val="22"/>
          <w:lang w:val="en-US"/>
        </w:rPr>
      </w:pPr>
      <w:r w:rsidRPr="00595B27">
        <w:rPr>
          <w:sz w:val="22"/>
          <w:szCs w:val="22"/>
          <w:lang w:val="en-US"/>
        </w:rPr>
        <w:t>A vast literature focuses on allocation methods that do not depend on expected returns. The objective of these methods is to establish a process that achieves optimal diversification based on risk.</w:t>
      </w:r>
    </w:p>
    <w:p w14:paraId="50AF684F" w14:textId="77777777" w:rsidR="003C4D6D" w:rsidRPr="003C4D6D" w:rsidRDefault="003C4D6D" w:rsidP="00595B27">
      <w:pPr>
        <w:spacing w:after="0" w:line="360" w:lineRule="auto"/>
        <w:jc w:val="both"/>
        <w:rPr>
          <w:rFonts w:asciiTheme="majorBidi" w:hAnsiTheme="majorBidi" w:cstheme="majorBidi"/>
          <w:lang w:val="en-US"/>
        </w:rPr>
      </w:pPr>
      <w:r w:rsidRPr="003C4D6D">
        <w:rPr>
          <w:rFonts w:asciiTheme="majorBidi" w:hAnsiTheme="majorBidi" w:cstheme="majorBidi"/>
          <w:lang w:val="en-US"/>
        </w:rPr>
        <w:t>In the first sectio</w:t>
      </w:r>
      <w:r w:rsidR="00595B27">
        <w:rPr>
          <w:rFonts w:asciiTheme="majorBidi" w:hAnsiTheme="majorBidi" w:cstheme="majorBidi"/>
          <w:lang w:val="en-US"/>
        </w:rPr>
        <w:t>n</w:t>
      </w:r>
      <w:r w:rsidRPr="003C4D6D">
        <w:rPr>
          <w:rFonts w:asciiTheme="majorBidi" w:hAnsiTheme="majorBidi" w:cstheme="majorBidi"/>
          <w:lang w:val="en-US"/>
        </w:rPr>
        <w:t xml:space="preserve">, we present the various risk-based portfolio allocation methods. In the second section, we present a review of the literature on the application of these strategies. </w:t>
      </w:r>
    </w:p>
    <w:p w14:paraId="74418B6B" w14:textId="77777777" w:rsidR="003C4D6D" w:rsidRPr="00475EF9" w:rsidRDefault="003C4D6D" w:rsidP="00475EF9">
      <w:pPr>
        <w:spacing w:after="0" w:line="360" w:lineRule="auto"/>
        <w:jc w:val="both"/>
        <w:rPr>
          <w:rFonts w:asciiTheme="majorBidi" w:hAnsiTheme="majorBidi" w:cstheme="majorBidi"/>
          <w:b/>
          <w:bCs/>
          <w:lang w:val="en-US"/>
        </w:rPr>
      </w:pPr>
      <w:r w:rsidRPr="00475EF9">
        <w:rPr>
          <w:rFonts w:asciiTheme="majorBidi" w:hAnsiTheme="majorBidi" w:cstheme="majorBidi"/>
          <w:b/>
          <w:bCs/>
          <w:lang w:val="en-US"/>
        </w:rPr>
        <w:t>Section 1: Risk-based portfolio allocation strategies</w:t>
      </w:r>
    </w:p>
    <w:p w14:paraId="118E7738" w14:textId="77777777" w:rsidR="00595B27" w:rsidRPr="00595B27" w:rsidRDefault="00595B27" w:rsidP="00995AC7">
      <w:pPr>
        <w:spacing w:after="0" w:line="360" w:lineRule="auto"/>
        <w:jc w:val="both"/>
        <w:rPr>
          <w:rFonts w:asciiTheme="majorBidi" w:hAnsiTheme="majorBidi" w:cstheme="majorBidi"/>
          <w:lang w:val="en-US"/>
        </w:rPr>
      </w:pPr>
      <w:r w:rsidRPr="00595B27">
        <w:rPr>
          <w:rFonts w:asciiTheme="majorBidi" w:hAnsiTheme="majorBidi" w:cstheme="majorBidi"/>
          <w:lang w:val="en-US"/>
        </w:rPr>
        <w:t xml:space="preserve">In recent years, we have witnessed an alarming and growing amount of literature on portfolio construction approaches that focus on risk and diversification rather than on estimating expected returns. Numerous simulations applied to different universes have been documented to support these approaches based on their apparent outperformance compared to passive market-capitalization-weighted or static fixed-weight portfolios. Many studies attribute the superior performance of these risk-based asset allocation approaches to better diversification </w:t>
      </w:r>
      <w:r w:rsidRPr="0029360D">
        <w:rPr>
          <w:rFonts w:asciiTheme="majorBidi" w:hAnsiTheme="majorBidi" w:cstheme="majorBidi"/>
          <w:color w:val="00B0F0"/>
          <w:lang w:val="en-US"/>
        </w:rPr>
        <w:t>(Wai Lee (2011)).</w:t>
      </w:r>
    </w:p>
    <w:p w14:paraId="21804FD3" w14:textId="77777777" w:rsidR="00595B27" w:rsidRPr="00595B27" w:rsidRDefault="008D530B" w:rsidP="00595B27">
      <w:pPr>
        <w:pStyle w:val="ListParagraph"/>
        <w:numPr>
          <w:ilvl w:val="1"/>
          <w:numId w:val="4"/>
        </w:numPr>
        <w:rPr>
          <w:rFonts w:asciiTheme="majorBidi" w:hAnsiTheme="majorBidi" w:cstheme="majorBidi"/>
          <w:b/>
          <w:bCs/>
          <w:i/>
          <w:iCs/>
          <w:lang w:val="en-US"/>
        </w:rPr>
      </w:pPr>
      <w:r w:rsidRPr="00595B27">
        <w:rPr>
          <w:rFonts w:asciiTheme="majorBidi" w:hAnsiTheme="majorBidi" w:cstheme="majorBidi"/>
          <w:b/>
          <w:bCs/>
          <w:i/>
          <w:iCs/>
          <w:lang w:val="en-US"/>
        </w:rPr>
        <w:t>The equally-weighted portfolio</w:t>
      </w:r>
      <w:r w:rsidR="00595B27" w:rsidRPr="00595B27">
        <w:rPr>
          <w:rFonts w:asciiTheme="majorBidi" w:hAnsiTheme="majorBidi" w:cstheme="majorBidi"/>
          <w:b/>
          <w:bCs/>
          <w:i/>
          <w:iCs/>
          <w:lang w:val="en-US"/>
        </w:rPr>
        <w:t>:</w:t>
      </w:r>
    </w:p>
    <w:p w14:paraId="52831922" w14:textId="77777777" w:rsidR="008D530B" w:rsidRPr="008D530B" w:rsidRDefault="008D530B" w:rsidP="008D530B">
      <w:pPr>
        <w:rPr>
          <w:rFonts w:asciiTheme="majorBidi" w:hAnsiTheme="majorBidi" w:cstheme="majorBidi"/>
          <w:lang w:val="en-US"/>
        </w:rPr>
      </w:pPr>
      <w:r w:rsidRPr="008D530B">
        <w:rPr>
          <w:rFonts w:asciiTheme="majorBidi" w:hAnsiTheme="majorBidi" w:cstheme="majorBidi"/>
          <w:lang w:val="en-US"/>
        </w:rPr>
        <w:t>This portfolio is also known as the 1/N portfolio or the naive diversification portfolio. It is defined by the following equation</w:t>
      </w:r>
      <w:r>
        <w:rPr>
          <w:rFonts w:asciiTheme="majorBidi" w:hAnsiTheme="majorBidi" w:cstheme="majorBidi"/>
          <w:lang w:val="en-US"/>
        </w:rPr>
        <w:t xml:space="preserve">:  </w:t>
      </w:r>
      <w:proofErr w:type="spellStart"/>
      <w:r>
        <w:rPr>
          <w:rFonts w:asciiTheme="majorBidi" w:hAnsiTheme="majorBidi" w:cstheme="majorBidi"/>
          <w:lang w:val="en-US"/>
        </w:rPr>
        <w:t>ω</w:t>
      </w:r>
      <w:r w:rsidRPr="008D530B">
        <w:rPr>
          <w:rFonts w:asciiTheme="majorBidi" w:hAnsiTheme="majorBidi" w:cstheme="majorBidi"/>
          <w:sz w:val="24"/>
          <w:szCs w:val="24"/>
          <w:vertAlign w:val="subscript"/>
          <w:lang w:val="en-US"/>
        </w:rPr>
        <w:t>i</w:t>
      </w:r>
      <w:proofErr w:type="spellEnd"/>
      <w:r w:rsidRPr="008D530B">
        <w:rPr>
          <w:rFonts w:asciiTheme="majorBidi" w:hAnsiTheme="majorBidi" w:cstheme="majorBidi"/>
          <w:lang w:val="en-US"/>
        </w:rPr>
        <w:t>=1/N</w:t>
      </w:r>
    </w:p>
    <w:p w14:paraId="0A681222" w14:textId="77777777" w:rsidR="003C4D6D" w:rsidRDefault="008D530B" w:rsidP="008D530B">
      <w:pPr>
        <w:rPr>
          <w:rFonts w:asciiTheme="majorBidi" w:hAnsiTheme="majorBidi" w:cstheme="majorBidi"/>
          <w:lang w:val="en-US"/>
        </w:rPr>
      </w:pPr>
      <w:r w:rsidRPr="008D530B">
        <w:rPr>
          <w:rFonts w:asciiTheme="majorBidi" w:hAnsiTheme="majorBidi" w:cstheme="majorBidi"/>
          <w:lang w:val="en-US"/>
        </w:rPr>
        <w:t>Recall that the volatility of this portfolio is determined as follows:</w:t>
      </w:r>
    </w:p>
    <w:p w14:paraId="558C6197" w14:textId="77777777" w:rsidR="004F3E43" w:rsidRDefault="0031542F" w:rsidP="004F3E43">
      <w:pPr>
        <w:spacing w:line="360" w:lineRule="auto"/>
        <w:ind w:right="284"/>
        <w:jc w:val="both"/>
        <w:rPr>
          <w:rFonts w:eastAsia="Courier New" w:cs="Times New Roman"/>
          <w:iCs/>
          <w:color w:val="222222"/>
          <w:szCs w:val="24"/>
          <w:shd w:val="clear" w:color="auto" w:fill="FFFFFF"/>
          <w:lang w:eastAsia="fr-FR"/>
        </w:rPr>
      </w:pPr>
      <m:oMathPara>
        <m:oMath>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ourier New"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P</m:t>
              </m:r>
            </m:sub>
          </m:sSub>
          <m:r>
            <m:rPr>
              <m:sty m:val="p"/>
            </m:rPr>
            <w:rPr>
              <w:rFonts w:ascii="Cambria Math" w:eastAsia="Cambria Math" w:hAnsi="Cambria Math" w:cs="Times New Roman"/>
              <w:color w:val="222222"/>
              <w:szCs w:val="24"/>
              <w:shd w:val="clear" w:color="auto" w:fill="FFFFFF"/>
              <w:lang w:eastAsia="fr-FR"/>
            </w:rPr>
            <m:t>=</m:t>
          </m:r>
          <m:rad>
            <m:radPr>
              <m:degHide m:val="1"/>
              <m:ctrlPr>
                <w:rPr>
                  <w:rFonts w:ascii="Cambria Math" w:eastAsia="Cambria Math" w:hAnsi="Cambria Math" w:cs="Times New Roman"/>
                  <w:iCs/>
                  <w:color w:val="222222"/>
                  <w:szCs w:val="24"/>
                  <w:shd w:val="clear" w:color="auto" w:fill="FFFFFF"/>
                  <w:lang w:eastAsia="fr-FR"/>
                </w:rPr>
              </m:ctrlPr>
            </m:radPr>
            <m:deg/>
            <m:e>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j=1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eastAsia="fr-FR"/>
                    </w:rPr>
                    <m:t>i</m:t>
                  </m:r>
                </m:sub>
              </m:sSub>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eastAsia="fr-FR"/>
                    </w:rPr>
                    <m:t>j</m:t>
                  </m:r>
                </m:sub>
              </m:sSub>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ij</m:t>
                  </m:r>
                </m:sub>
              </m:sSub>
            </m:e>
          </m:rad>
          <m:r>
            <m:rPr>
              <m:sty m:val="p"/>
            </m:rPr>
            <w:rPr>
              <w:rFonts w:ascii="Cambria Math" w:eastAsia="Cambria Math" w:hAnsi="Cambria Math" w:cs="Times New Roman"/>
              <w:color w:val="222222"/>
              <w:szCs w:val="24"/>
              <w:shd w:val="clear" w:color="auto" w:fill="FFFFFF"/>
              <w:lang w:eastAsia="fr-FR"/>
            </w:rPr>
            <m:t>=</m:t>
          </m:r>
          <m:rad>
            <m:radPr>
              <m:degHide m:val="1"/>
              <m:ctrlPr>
                <w:rPr>
                  <w:rFonts w:ascii="Cambria Math" w:eastAsia="Cambria Math" w:hAnsi="Cambria Math" w:cs="Times New Roman"/>
                  <w:iCs/>
                  <w:color w:val="222222"/>
                  <w:szCs w:val="24"/>
                  <w:shd w:val="clear" w:color="auto" w:fill="FFFFFF"/>
                  <w:lang w:eastAsia="fr-FR"/>
                </w:rPr>
              </m:ctrlPr>
            </m:radPr>
            <m:deg/>
            <m:e>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j=1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ij</m:t>
                  </m:r>
                </m:sub>
              </m:sSub>
            </m:e>
          </m:rad>
          <m:r>
            <m:rPr>
              <m:sty m:val="p"/>
            </m:rPr>
            <w:rPr>
              <w:rFonts w:ascii="Cambria Math" w:eastAsia="Cambria Math" w:hAnsi="Cambria Math" w:cs="Times New Roman"/>
              <w:color w:val="222222"/>
              <w:szCs w:val="24"/>
              <w:shd w:val="clear" w:color="auto" w:fill="FFFFFF"/>
              <w:lang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rad>
            <m:radPr>
              <m:degHide m:val="1"/>
              <m:ctrlPr>
                <w:rPr>
                  <w:rFonts w:ascii="Cambria Math" w:eastAsia="Cambria Math" w:hAnsi="Cambria Math" w:cs="Times New Roman"/>
                  <w:iCs/>
                  <w:color w:val="222222"/>
                  <w:szCs w:val="24"/>
                  <w:shd w:val="clear" w:color="auto" w:fill="FFFFFF"/>
                  <w:lang w:eastAsia="fr-FR"/>
                </w:rPr>
              </m:ctrlPr>
            </m:radPr>
            <m:deg/>
            <m:e>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j=1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ij</m:t>
                  </m:r>
                </m:sub>
              </m:sSub>
            </m:e>
          </m:rad>
          <m:r>
            <m:rPr>
              <m:sty m:val="p"/>
            </m:rPr>
            <w:rPr>
              <w:rFonts w:ascii="Cambria Math" w:eastAsia="Cambria Math" w:hAnsi="Cambria Math" w:cs="Times New Roman"/>
              <w:color w:val="222222"/>
              <w:szCs w:val="24"/>
              <w:shd w:val="clear" w:color="auto" w:fill="FFFFFF"/>
              <w:lang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rad>
            <m:radPr>
              <m:degHide m:val="1"/>
              <m:ctrlPr>
                <w:rPr>
                  <w:rFonts w:ascii="Cambria Math" w:eastAsia="Cambria Math" w:hAnsi="Cambria Math" w:cs="Times New Roman"/>
                  <w:iCs/>
                  <w:color w:val="222222"/>
                  <w:szCs w:val="24"/>
                  <w:shd w:val="clear" w:color="auto" w:fill="FFFFFF"/>
                  <w:lang w:eastAsia="fr-FR"/>
                </w:rPr>
              </m:ctrlPr>
            </m:radPr>
            <m:deg/>
            <m:e>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m:t>
                  </m:r>
                </m:sub>
                <m:sup>
                  <m:r>
                    <m:rPr>
                      <m:sty m:val="p"/>
                    </m:rPr>
                    <w:rPr>
                      <w:rFonts w:ascii="Cambria Math" w:eastAsia="Cambria Math" w:hAnsi="Cambria Math" w:cs="Times New Roman"/>
                      <w:color w:val="222222"/>
                      <w:szCs w:val="24"/>
                      <w:shd w:val="clear" w:color="auto" w:fill="FFFFFF"/>
                      <w:lang w:eastAsia="fr-FR"/>
                    </w:rPr>
                    <m:t>2</m:t>
                  </m:r>
                </m:sup>
              </m:sSubSup>
              <m:r>
                <m:rPr>
                  <m:sty m:val="p"/>
                </m:rPr>
                <w:rPr>
                  <w:rFonts w:ascii="Cambria Math" w:eastAsia="Cambria Math" w:hAnsi="Cambria Math" w:cs="Times New Roman"/>
                  <w:color w:val="222222"/>
                  <w:szCs w:val="24"/>
                  <w:shd w:val="clear" w:color="auto" w:fill="FFFFFF"/>
                  <w:lang w:eastAsia="fr-FR"/>
                </w:rPr>
                <m:t>+</m:t>
              </m:r>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j#1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m:t>
                  </m:r>
                </m:sub>
              </m:sSub>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j</m:t>
                  </m:r>
                </m:sub>
              </m:sSub>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ρ</m:t>
                  </m:r>
                </m:e>
                <m:sub>
                  <m:r>
                    <m:rPr>
                      <m:sty m:val="p"/>
                    </m:rPr>
                    <w:rPr>
                      <w:rFonts w:ascii="Cambria Math" w:eastAsia="Cambria Math" w:hAnsi="Cambria Math" w:cs="Times New Roman"/>
                      <w:color w:val="222222"/>
                      <w:szCs w:val="24"/>
                      <w:shd w:val="clear" w:color="auto" w:fill="FFFFFF"/>
                      <w:lang w:eastAsia="fr-FR"/>
                    </w:rPr>
                    <m:t>ij</m:t>
                  </m:r>
                </m:sub>
              </m:sSub>
            </m:e>
          </m:rad>
        </m:oMath>
      </m:oMathPara>
    </w:p>
    <w:p w14:paraId="0588C363" w14:textId="77777777" w:rsidR="008D530B" w:rsidRDefault="004F3E43" w:rsidP="008D530B">
      <w:pPr>
        <w:rPr>
          <w:rFonts w:asciiTheme="majorBidi" w:hAnsiTheme="majorBidi" w:cstheme="majorBidi"/>
          <w:lang w:val="en-US"/>
        </w:rPr>
      </w:pPr>
      <w:r w:rsidRPr="004F3E43">
        <w:rPr>
          <w:rFonts w:asciiTheme="majorBidi" w:hAnsiTheme="majorBidi" w:cstheme="majorBidi"/>
          <w:lang w:val="en-US"/>
        </w:rPr>
        <w:t xml:space="preserve">If we </w:t>
      </w:r>
      <w:r>
        <w:rPr>
          <w:rFonts w:asciiTheme="majorBidi" w:hAnsiTheme="majorBidi" w:cstheme="majorBidi"/>
          <w:lang w:val="en-US"/>
        </w:rPr>
        <w:t>assume a unique correlation (</w:t>
      </w:r>
      <w:proofErr w:type="spellStart"/>
      <w:r>
        <w:rPr>
          <w:rFonts w:asciiTheme="majorBidi" w:hAnsiTheme="majorBidi" w:cstheme="majorBidi"/>
          <w:lang w:val="en-US"/>
        </w:rPr>
        <w:t>ρ</w:t>
      </w:r>
      <w:r w:rsidRPr="004F3E43">
        <w:rPr>
          <w:rFonts w:asciiTheme="majorBidi" w:hAnsiTheme="majorBidi" w:cstheme="majorBidi"/>
          <w:b/>
          <w:bCs/>
          <w:vertAlign w:val="subscript"/>
          <w:lang w:val="en-US"/>
        </w:rPr>
        <w:t>ij</w:t>
      </w:r>
      <w:proofErr w:type="spellEnd"/>
      <w:r>
        <w:rPr>
          <w:rFonts w:asciiTheme="majorBidi" w:hAnsiTheme="majorBidi" w:cstheme="majorBidi"/>
          <w:lang w:val="en-US"/>
        </w:rPr>
        <w:t>=</w:t>
      </w:r>
      <w:r w:rsidRPr="004F3E43">
        <w:rPr>
          <w:rFonts w:asciiTheme="majorBidi" w:hAnsiTheme="majorBidi" w:cstheme="majorBidi"/>
          <w:lang w:val="en-US"/>
        </w:rPr>
        <w:t xml:space="preserve"> ρ)</w:t>
      </w:r>
      <w:r>
        <w:rPr>
          <w:rFonts w:asciiTheme="majorBidi" w:hAnsiTheme="majorBidi" w:cstheme="majorBidi"/>
          <w:lang w:val="en-US"/>
        </w:rPr>
        <w:t xml:space="preserve"> and comparable volatilities (</w:t>
      </w:r>
      <w:proofErr w:type="spellStart"/>
      <w:r>
        <w:rPr>
          <w:rFonts w:asciiTheme="majorBidi" w:hAnsiTheme="majorBidi" w:cstheme="majorBidi"/>
          <w:lang w:val="en-US"/>
        </w:rPr>
        <w:t>σ</w:t>
      </w:r>
      <w:r w:rsidRPr="004F3E43">
        <w:rPr>
          <w:rFonts w:asciiTheme="majorBidi" w:hAnsiTheme="majorBidi" w:cstheme="majorBidi"/>
          <w:sz w:val="24"/>
          <w:szCs w:val="24"/>
          <w:vertAlign w:val="subscript"/>
          <w:lang w:val="en-US"/>
        </w:rPr>
        <w:t>i</w:t>
      </w:r>
      <w:proofErr w:type="spellEnd"/>
      <w:r w:rsidRPr="004F3E43">
        <w:rPr>
          <w:rFonts w:asciiTheme="majorBidi" w:hAnsiTheme="majorBidi" w:cstheme="majorBidi"/>
          <w:lang w:val="en-US"/>
        </w:rPr>
        <w:t>=σ), we obtain the following equalities:</w:t>
      </w:r>
    </w:p>
    <w:p w14:paraId="6ABC6529" w14:textId="77777777" w:rsidR="006E3EE9" w:rsidRPr="006E3EE9" w:rsidRDefault="0031542F" w:rsidP="006E3EE9">
      <w:pPr>
        <w:spacing w:line="360" w:lineRule="auto"/>
        <w:ind w:right="284"/>
        <w:jc w:val="both"/>
        <w:rPr>
          <w:rFonts w:ascii="Cambria Math" w:eastAsia="Cambria Math" w:hAnsi="Cambria Math" w:cs="Times New Roman"/>
          <w:iCs/>
          <w:color w:val="222222"/>
          <w:szCs w:val="24"/>
          <w:shd w:val="clear" w:color="auto" w:fill="FFFFFF"/>
          <w:lang w:eastAsia="fr-FR"/>
        </w:rPr>
      </w:pPr>
      <m:oMathPara>
        <m:oMath>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P</m:t>
              </m:r>
            </m:sub>
          </m:sSub>
          <m:r>
            <m:rPr>
              <m:sty m:val="p"/>
            </m:rPr>
            <w:rPr>
              <w:rFonts w:ascii="Cambria Math" w:eastAsia="Cambria Math" w:hAnsi="Cambria Math" w:cs="Times New Roman"/>
              <w:color w:val="222222"/>
              <w:szCs w:val="24"/>
              <w:shd w:val="clear" w:color="auto" w:fill="FFFFFF"/>
              <w:lang w:eastAsia="fr-FR"/>
            </w:rPr>
            <m:t xml:space="preserve">= </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rad>
            <m:radPr>
              <m:degHide m:val="1"/>
              <m:ctrlPr>
                <w:rPr>
                  <w:rFonts w:ascii="Cambria Math" w:eastAsia="Cambria Math" w:hAnsi="Cambria Math" w:cs="Times New Roman"/>
                  <w:iCs/>
                  <w:color w:val="222222"/>
                  <w:szCs w:val="24"/>
                  <w:shd w:val="clear" w:color="auto" w:fill="FFFFFF"/>
                  <w:lang w:eastAsia="fr-FR"/>
                </w:rPr>
              </m:ctrlPr>
            </m:radPr>
            <m:deg/>
            <m:e>
              <m:r>
                <m:rPr>
                  <m:sty m:val="p"/>
                </m:rPr>
                <w:rPr>
                  <w:rFonts w:ascii="Cambria Math" w:eastAsia="Cambria Math" w:hAnsi="Cambria Math" w:cs="Times New Roman"/>
                  <w:color w:val="222222"/>
                  <w:szCs w:val="24"/>
                  <w:shd w:val="clear" w:color="auto" w:fill="FFFFFF"/>
                  <w:lang w:eastAsia="fr-FR"/>
                </w:rPr>
                <m:t>N</m:t>
              </m:r>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σ</m:t>
                  </m:r>
                </m:e>
                <m:sup>
                  <m:r>
                    <m:rPr>
                      <m:sty m:val="p"/>
                    </m:rPr>
                    <w:rPr>
                      <w:rFonts w:ascii="Cambria Math" w:eastAsia="Cambria Math" w:hAnsi="Cambria Math" w:cs="Times New Roman"/>
                      <w:color w:val="222222"/>
                      <w:szCs w:val="24"/>
                      <w:shd w:val="clear" w:color="auto" w:fill="FFFFFF"/>
                      <w:lang w:eastAsia="fr-FR"/>
                    </w:rPr>
                    <m:t>2</m:t>
                  </m:r>
                </m:sup>
              </m:sSup>
              <m:r>
                <m:rPr>
                  <m:sty m:val="p"/>
                </m:rPr>
                <w:rPr>
                  <w:rFonts w:ascii="Cambria Math" w:eastAsia="Cambria Math" w:hAnsi="Cambria Math" w:cs="Times New Roman"/>
                  <w:color w:val="222222"/>
                  <w:szCs w:val="24"/>
                  <w:shd w:val="clear" w:color="auto" w:fill="FFFFFF"/>
                  <w:lang w:eastAsia="fr-FR"/>
                </w:rPr>
                <m:t>+</m:t>
              </m:r>
              <m:d>
                <m:dPr>
                  <m:ctrlPr>
                    <w:rPr>
                      <w:rFonts w:ascii="Cambria Math" w:eastAsia="Cambria Math" w:hAnsi="Cambria Math" w:cs="Times New Roman"/>
                      <w:iCs/>
                      <w:color w:val="222222"/>
                      <w:szCs w:val="24"/>
                      <w:shd w:val="clear" w:color="auto" w:fill="FFFFFF"/>
                      <w:lang w:eastAsia="fr-FR"/>
                    </w:rPr>
                  </m:ctrlPr>
                </m:dPr>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N</m:t>
                      </m:r>
                    </m:e>
                    <m:sup>
                      <m:r>
                        <m:rPr>
                          <m:sty m:val="p"/>
                        </m:rPr>
                        <w:rPr>
                          <w:rFonts w:ascii="Cambria Math" w:eastAsia="Cambria Math" w:hAnsi="Cambria Math" w:cs="Times New Roman"/>
                          <w:color w:val="222222"/>
                          <w:szCs w:val="24"/>
                          <w:shd w:val="clear" w:color="auto" w:fill="FFFFFF"/>
                          <w:lang w:eastAsia="fr-FR"/>
                        </w:rPr>
                        <m:t>2</m:t>
                      </m:r>
                    </m:sup>
                  </m:sSup>
                  <m:r>
                    <m:rPr>
                      <m:sty m:val="p"/>
                    </m:rPr>
                    <w:rPr>
                      <w:rFonts w:ascii="Cambria Math" w:eastAsia="Cambria Math" w:hAnsi="Cambria Math" w:cs="Times New Roman"/>
                      <w:color w:val="222222"/>
                      <w:szCs w:val="24"/>
                      <w:shd w:val="clear" w:color="auto" w:fill="FFFFFF"/>
                      <w:lang w:eastAsia="fr-FR"/>
                    </w:rPr>
                    <m:t>-</m:t>
                  </m:r>
                  <m:r>
                    <m:rPr>
                      <m:sty m:val="p"/>
                    </m:rPr>
                    <w:rPr>
                      <w:rFonts w:ascii="Cambria Math" w:eastAsia="Cambria Math" w:hAnsi="Cambria Math" w:cs="Times New Roman"/>
                      <w:color w:val="222222"/>
                      <w:szCs w:val="24"/>
                      <w:shd w:val="clear" w:color="auto" w:fill="FFFFFF"/>
                      <w:lang w:eastAsia="fr-FR"/>
                    </w:rPr>
                    <m:t>N</m:t>
                  </m:r>
                </m:e>
              </m:d>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σ</m:t>
                  </m:r>
                </m:e>
                <m:sup>
                  <m:r>
                    <m:rPr>
                      <m:sty m:val="p"/>
                    </m:rPr>
                    <w:rPr>
                      <w:rFonts w:ascii="Cambria Math" w:eastAsia="Cambria Math" w:hAnsi="Cambria Math" w:cs="Times New Roman"/>
                      <w:color w:val="222222"/>
                      <w:szCs w:val="24"/>
                      <w:shd w:val="clear" w:color="auto" w:fill="FFFFFF"/>
                      <w:lang w:eastAsia="fr-FR"/>
                    </w:rPr>
                    <m:t>2</m:t>
                  </m:r>
                </m:sup>
              </m:sSup>
              <m:r>
                <m:rPr>
                  <m:sty m:val="p"/>
                </m:rPr>
                <w:rPr>
                  <w:rFonts w:ascii="Cambria Math" w:eastAsia="Cambria Math" w:hAnsi="Cambria Math" w:cs="Times New Roman"/>
                  <w:color w:val="222222"/>
                  <w:szCs w:val="24"/>
                  <w:shd w:val="clear" w:color="auto" w:fill="FFFFFF"/>
                  <w:lang w:eastAsia="fr-FR"/>
                </w:rPr>
                <m:t>ρ</m:t>
              </m:r>
            </m:e>
          </m:rad>
          <m:r>
            <m:rPr>
              <m:sty m:val="p"/>
            </m:rPr>
            <w:rPr>
              <w:rFonts w:ascii="Cambria Math" w:eastAsia="Cambria Math" w:hAnsi="Cambria Math" w:cs="Times New Roman"/>
              <w:color w:val="222222"/>
              <w:szCs w:val="24"/>
              <w:shd w:val="clear" w:color="auto" w:fill="FFFFFF"/>
              <w:lang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σ</m:t>
              </m:r>
            </m:num>
            <m:den>
              <m:r>
                <m:rPr>
                  <m:sty m:val="p"/>
                </m:rPr>
                <w:rPr>
                  <w:rFonts w:ascii="Cambria Math" w:eastAsia="Cambria Math" w:hAnsi="Cambria Math" w:cs="Times New Roman"/>
                  <w:color w:val="222222"/>
                  <w:szCs w:val="24"/>
                  <w:shd w:val="clear" w:color="auto" w:fill="FFFFFF"/>
                  <w:lang w:eastAsia="fr-FR"/>
                </w:rPr>
                <m:t>N</m:t>
              </m:r>
            </m:den>
          </m:f>
          <m:rad>
            <m:radPr>
              <m:degHide m:val="1"/>
              <m:ctrlPr>
                <w:rPr>
                  <w:rFonts w:ascii="Cambria Math" w:eastAsia="Cambria Math" w:hAnsi="Cambria Math" w:cs="Times New Roman"/>
                  <w:iCs/>
                  <w:color w:val="222222"/>
                  <w:szCs w:val="24"/>
                  <w:shd w:val="clear" w:color="auto" w:fill="FFFFFF"/>
                  <w:lang w:eastAsia="fr-FR"/>
                </w:rPr>
              </m:ctrlPr>
            </m:radPr>
            <m:deg/>
            <m:e>
              <m:r>
                <m:rPr>
                  <m:sty m:val="p"/>
                </m:rPr>
                <w:rPr>
                  <w:rFonts w:ascii="Cambria Math" w:eastAsia="Cambria Math" w:hAnsi="Cambria Math" w:cs="Times New Roman"/>
                  <w:color w:val="222222"/>
                  <w:szCs w:val="24"/>
                  <w:shd w:val="clear" w:color="auto" w:fill="FFFFFF"/>
                  <w:lang w:eastAsia="fr-FR"/>
                </w:rPr>
                <m:t>N+(</m:t>
              </m:r>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N</m:t>
                  </m:r>
                </m:e>
                <m:sup>
                  <m:r>
                    <m:rPr>
                      <m:sty m:val="p"/>
                    </m:rPr>
                    <w:rPr>
                      <w:rFonts w:ascii="Cambria Math" w:eastAsia="Cambria Math" w:hAnsi="Cambria Math" w:cs="Times New Roman"/>
                      <w:color w:val="222222"/>
                      <w:szCs w:val="24"/>
                      <w:shd w:val="clear" w:color="auto" w:fill="FFFFFF"/>
                      <w:lang w:eastAsia="fr-FR"/>
                    </w:rPr>
                    <m:t>2</m:t>
                  </m:r>
                </m:sup>
              </m:sSup>
              <m:r>
                <m:rPr>
                  <m:sty m:val="p"/>
                </m:rPr>
                <w:rPr>
                  <w:rFonts w:ascii="Cambria Math" w:eastAsia="Cambria Math" w:hAnsi="Cambria Math" w:cs="Times New Roman"/>
                  <w:color w:val="222222"/>
                  <w:szCs w:val="24"/>
                  <w:shd w:val="clear" w:color="auto" w:fill="FFFFFF"/>
                  <w:lang w:eastAsia="fr-FR"/>
                </w:rPr>
                <m:t>-</m:t>
              </m:r>
              <m:r>
                <m:rPr>
                  <m:sty m:val="p"/>
                </m:rPr>
                <w:rPr>
                  <w:rFonts w:ascii="Cambria Math" w:eastAsia="Cambria Math" w:hAnsi="Cambria Math" w:cs="Times New Roman"/>
                  <w:color w:val="222222"/>
                  <w:szCs w:val="24"/>
                  <w:shd w:val="clear" w:color="auto" w:fill="FFFFFF"/>
                  <w:lang w:eastAsia="fr-FR"/>
                </w:rPr>
                <m:t>N)ρ</m:t>
              </m:r>
            </m:e>
          </m:rad>
          <m:r>
            <m:rPr>
              <m:sty m:val="p"/>
            </m:rPr>
            <w:rPr>
              <w:rFonts w:ascii="Cambria Math" w:eastAsia="Cambria Math" w:hAnsi="Cambria Math" w:cs="Times New Roman"/>
              <w:color w:val="222222"/>
              <w:szCs w:val="24"/>
              <w:shd w:val="clear" w:color="auto" w:fill="FFFFFF"/>
              <w:lang w:eastAsia="fr-FR"/>
            </w:rPr>
            <m:t>=σ</m:t>
          </m:r>
          <m:rad>
            <m:radPr>
              <m:degHide m:val="1"/>
              <m:ctrlPr>
                <w:rPr>
                  <w:rFonts w:ascii="Cambria Math" w:eastAsia="Cambria Math" w:hAnsi="Cambria Math" w:cs="Times New Roman"/>
                  <w:iCs/>
                  <w:color w:val="222222"/>
                  <w:szCs w:val="24"/>
                  <w:shd w:val="clear" w:color="auto" w:fill="FFFFFF"/>
                  <w:lang w:eastAsia="fr-FR"/>
                </w:rPr>
              </m:ctrlPr>
            </m:radPr>
            <m:deg/>
            <m:e>
              <m:r>
                <m:rPr>
                  <m:sty m:val="p"/>
                </m:rPr>
                <w:rPr>
                  <w:rFonts w:ascii="Cambria Math" w:eastAsia="Cambria Math" w:hAnsi="Cambria Math" w:cs="Times New Roman"/>
                  <w:color w:val="222222"/>
                  <w:szCs w:val="24"/>
                  <w:shd w:val="clear" w:color="auto" w:fill="FFFFFF"/>
                  <w:lang w:eastAsia="fr-FR"/>
                </w:rPr>
                <m:t>ρ+</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1-ρ</m:t>
                  </m:r>
                </m:e>
              </m:d>
            </m:e>
          </m:rad>
        </m:oMath>
      </m:oMathPara>
    </w:p>
    <w:p w14:paraId="5881B893" w14:textId="77777777" w:rsidR="008D530B" w:rsidRPr="008D530B" w:rsidRDefault="008D530B" w:rsidP="006E3EE9">
      <w:pPr>
        <w:spacing w:after="0" w:line="360" w:lineRule="auto"/>
        <w:jc w:val="both"/>
        <w:rPr>
          <w:rFonts w:asciiTheme="majorBidi" w:hAnsiTheme="majorBidi" w:cstheme="majorBidi"/>
          <w:lang w:val="en-US"/>
        </w:rPr>
      </w:pPr>
      <w:r w:rsidRPr="0029360D">
        <w:rPr>
          <w:rFonts w:asciiTheme="majorBidi" w:hAnsiTheme="majorBidi" w:cstheme="majorBidi"/>
          <w:color w:val="00B0F0"/>
          <w:lang w:val="en-US"/>
        </w:rPr>
        <w:t xml:space="preserve">DeMiguel et al (2009) </w:t>
      </w:r>
      <w:r w:rsidRPr="008D530B">
        <w:rPr>
          <w:rFonts w:asciiTheme="majorBidi" w:hAnsiTheme="majorBidi" w:cstheme="majorBidi"/>
          <w:lang w:val="en-US"/>
        </w:rPr>
        <w:t>attempt to understand under what conditions the 1/N portfolio can perform well, testing 14 models including the naive allocation. Of these 14 strategies, they point out that none actually outperforms the 1/N allocation.</w:t>
      </w:r>
    </w:p>
    <w:p w14:paraId="0392C1B6" w14:textId="77777777" w:rsidR="008D530B" w:rsidRPr="008D530B" w:rsidRDefault="008D530B" w:rsidP="006E3EE9">
      <w:pPr>
        <w:spacing w:after="0" w:line="360" w:lineRule="auto"/>
        <w:jc w:val="both"/>
        <w:rPr>
          <w:rFonts w:asciiTheme="majorBidi" w:hAnsiTheme="majorBidi" w:cstheme="majorBidi"/>
          <w:lang w:val="en-US"/>
        </w:rPr>
      </w:pPr>
      <w:r w:rsidRPr="008D530B">
        <w:rPr>
          <w:rFonts w:asciiTheme="majorBidi" w:hAnsiTheme="majorBidi" w:cstheme="majorBidi"/>
          <w:lang w:val="en-US"/>
        </w:rPr>
        <w:t xml:space="preserve"> Among the portfolios studied, we distinguish several types of allocation: the mean-variance model, portfolios subject to the no-short-sale rule and portfolios where the moments of returns are constrained.</w:t>
      </w:r>
    </w:p>
    <w:p w14:paraId="301E2295" w14:textId="77777777" w:rsidR="008D530B" w:rsidRDefault="008D530B" w:rsidP="006E3EE9">
      <w:pPr>
        <w:spacing w:after="0" w:line="360" w:lineRule="auto"/>
        <w:jc w:val="both"/>
        <w:rPr>
          <w:rFonts w:asciiTheme="majorBidi" w:hAnsiTheme="majorBidi" w:cstheme="majorBidi"/>
          <w:lang w:val="en-US"/>
        </w:rPr>
      </w:pPr>
      <w:proofErr w:type="spellStart"/>
      <w:r w:rsidRPr="0029360D">
        <w:rPr>
          <w:rFonts w:asciiTheme="majorBidi" w:hAnsiTheme="majorBidi" w:cstheme="majorBidi"/>
          <w:color w:val="00B0F0"/>
          <w:lang w:val="en-US"/>
        </w:rPr>
        <w:lastRenderedPageBreak/>
        <w:t>Choueifaty</w:t>
      </w:r>
      <w:proofErr w:type="spellEnd"/>
      <w:r w:rsidRPr="0029360D">
        <w:rPr>
          <w:rFonts w:asciiTheme="majorBidi" w:hAnsiTheme="majorBidi" w:cstheme="majorBidi"/>
          <w:color w:val="00B0F0"/>
          <w:lang w:val="en-US"/>
        </w:rPr>
        <w:t xml:space="preserve"> and </w:t>
      </w:r>
      <w:proofErr w:type="spellStart"/>
      <w:r w:rsidRPr="0029360D">
        <w:rPr>
          <w:rFonts w:asciiTheme="majorBidi" w:hAnsiTheme="majorBidi" w:cstheme="majorBidi"/>
          <w:color w:val="00B0F0"/>
          <w:lang w:val="en-US"/>
        </w:rPr>
        <w:t>Coignard</w:t>
      </w:r>
      <w:proofErr w:type="spellEnd"/>
      <w:r w:rsidRPr="0029360D">
        <w:rPr>
          <w:rFonts w:asciiTheme="majorBidi" w:hAnsiTheme="majorBidi" w:cstheme="majorBidi"/>
          <w:color w:val="00B0F0"/>
          <w:lang w:val="en-US"/>
        </w:rPr>
        <w:t xml:space="preserve"> (2008) </w:t>
      </w:r>
      <w:r w:rsidRPr="008D530B">
        <w:rPr>
          <w:rFonts w:asciiTheme="majorBidi" w:hAnsiTheme="majorBidi" w:cstheme="majorBidi"/>
          <w:lang w:val="en-US"/>
        </w:rPr>
        <w:t xml:space="preserve">carry out a study on US stocks (components of the S&amp;P 500) and Eurozone stocks (components of the Dow Jones Euro Stoxx). </w:t>
      </w:r>
      <w:r w:rsidR="006E3EE9">
        <w:rPr>
          <w:rFonts w:asciiTheme="majorBidi" w:hAnsiTheme="majorBidi" w:cstheme="majorBidi"/>
          <w:lang w:val="en-US"/>
        </w:rPr>
        <w:t xml:space="preserve"> </w:t>
      </w:r>
      <w:r w:rsidRPr="008D530B">
        <w:rPr>
          <w:rFonts w:asciiTheme="majorBidi" w:hAnsiTheme="majorBidi" w:cstheme="majorBidi"/>
          <w:lang w:val="en-US"/>
        </w:rPr>
        <w:t>They compare the MDP portfolio to the PVM and 1/N portfolios and to a large-cap benchmark (Market Cap-Weighted Benchmark). They found that the MDP portfolio dominates the other portfolios in terms of returns and Sharpe ratios.</w:t>
      </w:r>
    </w:p>
    <w:p w14:paraId="0F218234" w14:textId="77777777" w:rsidR="006E3EE9" w:rsidRPr="00995AC7" w:rsidRDefault="006E3EE9" w:rsidP="006E3EE9">
      <w:pPr>
        <w:spacing w:after="0" w:line="360" w:lineRule="auto"/>
        <w:jc w:val="both"/>
        <w:rPr>
          <w:rFonts w:asciiTheme="majorBidi" w:hAnsiTheme="majorBidi" w:cstheme="majorBidi"/>
          <w:b/>
          <w:bCs/>
          <w:i/>
          <w:iCs/>
          <w:lang w:val="en-US"/>
        </w:rPr>
      </w:pPr>
      <w:r w:rsidRPr="00995AC7">
        <w:rPr>
          <w:rFonts w:asciiTheme="majorBidi" w:hAnsiTheme="majorBidi" w:cstheme="majorBidi"/>
          <w:b/>
          <w:bCs/>
          <w:i/>
          <w:iCs/>
          <w:lang w:val="en-US"/>
        </w:rPr>
        <w:t xml:space="preserve">1.2 The ERC </w:t>
      </w:r>
      <w:r w:rsidR="00137BC9" w:rsidRPr="00995AC7">
        <w:rPr>
          <w:rFonts w:asciiTheme="majorBidi" w:hAnsiTheme="majorBidi" w:cstheme="majorBidi"/>
          <w:b/>
          <w:bCs/>
          <w:i/>
          <w:iCs/>
          <w:lang w:val="en-US"/>
        </w:rPr>
        <w:t>portfolio:</w:t>
      </w:r>
    </w:p>
    <w:p w14:paraId="138CB0BA" w14:textId="77777777" w:rsidR="00475EF9" w:rsidRPr="004F4C98" w:rsidRDefault="006E3EE9" w:rsidP="00475EF9">
      <w:pPr>
        <w:spacing w:before="100" w:beforeAutospacing="1" w:after="100" w:afterAutospacing="1" w:line="360" w:lineRule="auto"/>
        <w:ind w:right="284"/>
        <w:jc w:val="both"/>
        <w:rPr>
          <w:rFonts w:eastAsia="SimSun" w:cs="Times New Roman"/>
          <w:bCs/>
          <w:iCs/>
          <w:szCs w:val="24"/>
          <w:lang w:val="en-US" w:eastAsia="fr-FR"/>
        </w:rPr>
      </w:pPr>
      <w:r w:rsidRPr="006E3EE9">
        <w:rPr>
          <w:rFonts w:asciiTheme="majorBidi" w:hAnsiTheme="majorBidi" w:cstheme="majorBidi"/>
          <w:lang w:val="en-US"/>
        </w:rPr>
        <w:t xml:space="preserve">According to the Euler decomposition of volatility, we note that σ(ω) is the total risk of the portfolio defined by the weight vector ω such </w:t>
      </w:r>
      <w:proofErr w:type="gramStart"/>
      <w:r w:rsidRPr="006E3EE9">
        <w:rPr>
          <w:rFonts w:asciiTheme="majorBidi" w:hAnsiTheme="majorBidi" w:cstheme="majorBidi"/>
          <w:lang w:val="en-US"/>
        </w:rPr>
        <w:t>that :</w:t>
      </w:r>
      <w:proofErr w:type="gramEnd"/>
      <w:r w:rsidR="00475EF9">
        <w:rPr>
          <w:rFonts w:asciiTheme="majorBidi" w:hAnsiTheme="majorBidi" w:cstheme="majorBidi"/>
          <w:lang w:val="en-US"/>
        </w:rPr>
        <w:t xml:space="preserve"> </w:t>
      </w:r>
      <m:oMath>
        <m:r>
          <m:rPr>
            <m:sty m:val="p"/>
          </m:rPr>
          <w:rPr>
            <w:rFonts w:ascii="Cambria Math" w:eastAsia="Courier New" w:hAnsi="Cambria Math" w:cs="Times New Roman"/>
            <w:color w:val="222222"/>
            <w:szCs w:val="24"/>
            <w:shd w:val="clear" w:color="auto" w:fill="FFFFFF"/>
            <w:lang w:val="en-US" w:eastAsia="fr-FR"/>
          </w:rPr>
          <w:br/>
        </m:r>
      </m:oMath>
      <m:oMathPara>
        <m:oMath>
          <m:r>
            <m:rPr>
              <m:sty m:val="p"/>
            </m:rPr>
            <w:rPr>
              <w:rFonts w:ascii="Cambria Math" w:eastAsia="Courier New" w:hAnsi="Cambria Math" w:cs="Times New Roman"/>
              <w:color w:val="222222"/>
              <w:szCs w:val="24"/>
              <w:shd w:val="clear" w:color="auto" w:fill="FFFFFF"/>
              <w:lang w:eastAsia="fr-FR"/>
            </w:rPr>
            <m:t>σ</m:t>
          </m:r>
          <m:d>
            <m:dPr>
              <m:ctrlPr>
                <w:rPr>
                  <w:rFonts w:ascii="Cambria Math" w:eastAsia="Courier New" w:hAnsi="Cambria Math" w:cs="Times New Roman"/>
                  <w:iCs/>
                  <w:color w:val="222222"/>
                  <w:szCs w:val="24"/>
                  <w:shd w:val="clear" w:color="auto" w:fill="FFFFFF"/>
                  <w:lang w:eastAsia="fr-FR"/>
                </w:rPr>
              </m:ctrlPr>
            </m:dPr>
            <m:e>
              <m:r>
                <m:rPr>
                  <m:sty m:val="p"/>
                </m:rPr>
                <w:rPr>
                  <w:rFonts w:ascii="Cambria Math" w:eastAsia="Courier New" w:hAnsi="Cambria Math" w:cs="Times New Roman"/>
                  <w:color w:val="222222"/>
                  <w:szCs w:val="24"/>
                  <w:shd w:val="clear" w:color="auto" w:fill="FFFFFF"/>
                  <w:lang w:eastAsia="fr-FR"/>
                </w:rPr>
                <m:t>ω</m:t>
              </m:r>
            </m:e>
          </m:d>
          <m:r>
            <m:rPr>
              <m:sty m:val="p"/>
            </m:rPr>
            <w:rPr>
              <w:rFonts w:ascii="Cambria Math" w:eastAsia="Cambria Math" w:hAnsi="Cambria Math" w:cs="Times New Roman"/>
              <w:color w:val="222222"/>
              <w:szCs w:val="24"/>
              <w:shd w:val="clear" w:color="auto" w:fill="FFFFFF"/>
              <w:lang w:val="en-US" w:eastAsia="fr-FR"/>
            </w:rPr>
            <m:t>=</m:t>
          </m:r>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oMath>
      </m:oMathPara>
    </w:p>
    <w:p w14:paraId="17648D04" w14:textId="77777777" w:rsidR="00475EF9" w:rsidRPr="00475EF9" w:rsidRDefault="00475EF9" w:rsidP="00475EF9">
      <w:pPr>
        <w:spacing w:after="0" w:line="360" w:lineRule="auto"/>
        <w:jc w:val="both"/>
        <w:rPr>
          <w:rFonts w:asciiTheme="majorBidi" w:hAnsiTheme="majorBidi" w:cstheme="majorBidi"/>
          <w:lang w:val="en-US"/>
        </w:rPr>
      </w:pPr>
      <w:r w:rsidRPr="00475EF9">
        <w:rPr>
          <w:rFonts w:asciiTheme="majorBidi" w:hAnsiTheme="majorBidi" w:cstheme="majorBidi"/>
          <w:lang w:val="en-US"/>
        </w:rPr>
        <w:t xml:space="preserve">Where Σ is the variance-covariance matrix of the assets under consideration, whose diagonal elements are denoted </w:t>
      </w:r>
      <m:oMath>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eastAsia="Courier New"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val="en-US" w:eastAsia="fr-FR"/>
              </w:rPr>
              <m:t>i</m:t>
            </m:r>
          </m:sub>
          <m:sup>
            <m:r>
              <m:rPr>
                <m:sty m:val="p"/>
              </m:rPr>
              <w:rPr>
                <w:rFonts w:ascii="Cambria Math" w:eastAsia="Cambria Math" w:hAnsi="Cambria Math" w:cs="Times New Roman"/>
                <w:color w:val="222222"/>
                <w:szCs w:val="24"/>
                <w:shd w:val="clear" w:color="auto" w:fill="FFFFFF"/>
                <w:lang w:val="en-US" w:eastAsia="fr-FR"/>
              </w:rPr>
              <m:t>2</m:t>
            </m:r>
          </m:sup>
        </m:sSubSup>
      </m:oMath>
      <w:r w:rsidRPr="00475EF9">
        <w:rPr>
          <w:rFonts w:asciiTheme="majorBidi" w:hAnsiTheme="majorBidi" w:cstheme="majorBidi"/>
          <w:lang w:val="en-US"/>
        </w:rPr>
        <w:t xml:space="preserve">and non-diagonal elements are denoted </w:t>
      </w:r>
      <m:oMath>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ourier New"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val="en-US" w:eastAsia="fr-FR"/>
              </w:rPr>
              <m:t>i,j</m:t>
            </m:r>
          </m:sub>
        </m:sSub>
        <m:r>
          <m:rPr>
            <m:sty m:val="p"/>
          </m:rPr>
          <w:rPr>
            <w:rFonts w:ascii="Cambria Math" w:eastAsia="Courier New"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val="en-US" w:eastAsia="fr-FR"/>
          </w:rPr>
          <m:t>i,j ∈[1,N]</m:t>
        </m:r>
      </m:oMath>
    </w:p>
    <w:p w14:paraId="078283D6" w14:textId="77777777" w:rsidR="003C4D6D" w:rsidRPr="004F4C98" w:rsidRDefault="00475EF9" w:rsidP="00475EF9">
      <w:pPr>
        <w:spacing w:after="0" w:line="360" w:lineRule="auto"/>
        <w:jc w:val="both"/>
        <w:rPr>
          <w:rFonts w:asciiTheme="majorBidi" w:eastAsiaTheme="minorEastAsia" w:hAnsiTheme="majorBidi" w:cstheme="majorBidi"/>
          <w:iCs/>
          <w:color w:val="222222"/>
          <w:szCs w:val="24"/>
          <w:shd w:val="clear" w:color="auto" w:fill="FFFFFF"/>
          <w:lang w:val="en-US" w:eastAsia="fr-FR"/>
        </w:rPr>
      </w:pPr>
      <w:r w:rsidRPr="00475EF9">
        <w:rPr>
          <w:rFonts w:asciiTheme="majorBidi" w:hAnsiTheme="majorBidi" w:cstheme="majorBidi"/>
          <w:lang w:val="en-US"/>
        </w:rPr>
        <w:t>We have the following equality:</w:t>
      </w:r>
      <w:r>
        <w:rPr>
          <w:rFonts w:asciiTheme="majorBidi" w:hAnsiTheme="majorBidi" w:cstheme="majorBidi"/>
          <w:lang w:val="en-US"/>
        </w:rPr>
        <w:t xml:space="preserve"> </w:t>
      </w:r>
      <m:oMath>
        <m:r>
          <m:rPr>
            <m:sty m:val="p"/>
          </m:rPr>
          <w:rPr>
            <w:rFonts w:ascii="Cambria Math" w:eastAsia="Cambria Math" w:hAnsi="Cambria Math" w:cs="Times New Roman"/>
            <w:color w:val="222222"/>
            <w:szCs w:val="24"/>
            <w:shd w:val="clear" w:color="auto" w:fill="FFFFFF"/>
            <w:lang w:val="en-US" w:eastAsia="fr-FR"/>
          </w:rPr>
          <w:br/>
        </m:r>
      </m:oMath>
      <m:oMathPara>
        <m:oMath>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ω</m:t>
              </m:r>
            </m:den>
          </m:f>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Σω</m:t>
              </m:r>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oMath>
      </m:oMathPara>
    </w:p>
    <w:p w14:paraId="350850C1" w14:textId="77777777" w:rsidR="00475EF9" w:rsidRPr="004F4C98" w:rsidRDefault="00475EF9" w:rsidP="00475EF9">
      <w:pPr>
        <w:spacing w:after="0" w:line="360" w:lineRule="auto"/>
        <w:ind w:right="284"/>
        <w:jc w:val="both"/>
        <w:rPr>
          <w:rFonts w:eastAsia="Courier New" w:cs="Times New Roman"/>
          <w:iCs/>
          <w:color w:val="222222"/>
          <w:szCs w:val="24"/>
          <w:shd w:val="clear" w:color="auto" w:fill="FFFFFF"/>
          <w:lang w:val="en-US" w:eastAsia="fr-FR"/>
        </w:rPr>
      </w:pPr>
      <w:r w:rsidRPr="00475EF9">
        <w:rPr>
          <w:rFonts w:asciiTheme="majorBidi" w:hAnsiTheme="majorBidi" w:cstheme="majorBidi"/>
          <w:lang w:val="en-US"/>
        </w:rPr>
        <w:t xml:space="preserve">We assume that the marginal volatility of asset </w:t>
      </w:r>
      <w:proofErr w:type="spellStart"/>
      <w:r w:rsidRPr="00475EF9">
        <w:rPr>
          <w:rFonts w:asciiTheme="majorBidi" w:hAnsiTheme="majorBidi" w:cstheme="majorBidi"/>
          <w:lang w:val="en-US"/>
        </w:rPr>
        <w:t>i</w:t>
      </w:r>
      <w:proofErr w:type="spellEnd"/>
      <w:r w:rsidRPr="00475EF9">
        <w:rPr>
          <w:rFonts w:asciiTheme="majorBidi" w:hAnsiTheme="majorBidi" w:cstheme="majorBidi"/>
          <w:lang w:val="en-US"/>
        </w:rPr>
        <w:t xml:space="preserve"> is as follows:</w:t>
      </w:r>
      <w:r>
        <w:rPr>
          <w:rFonts w:asciiTheme="majorBidi" w:hAnsiTheme="majorBidi" w:cstheme="majorBidi"/>
          <w:lang w:val="en-US"/>
        </w:rPr>
        <w:t xml:space="preserve"> </w:t>
      </w:r>
      <m:oMath>
        <m:r>
          <m:rPr>
            <m:sty m:val="p"/>
          </m:rPr>
          <w:rPr>
            <w:rFonts w:ascii="Cambria Math" w:eastAsia="Cambria Math" w:hAnsi="Cambria Math" w:cs="Times New Roman"/>
            <w:color w:val="222222"/>
            <w:szCs w:val="24"/>
            <w:shd w:val="clear" w:color="auto" w:fill="FFFFFF"/>
            <w:lang w:val="en-US" w:eastAsia="fr-FR"/>
          </w:rPr>
          <w:br/>
        </m:r>
      </m:oMath>
      <m:oMathPara>
        <m:oMath>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i</m:t>
                  </m:r>
                </m:sub>
              </m:sSub>
            </m:den>
          </m:f>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Σω</m:t>
                  </m:r>
                  <m:r>
                    <m:rPr>
                      <m:sty m:val="p"/>
                    </m:rPr>
                    <w:rPr>
                      <w:rFonts w:ascii="Cambria Math" w:eastAsia="Cambria Math" w:hAnsi="Cambria Math" w:cs="Times New Roman"/>
                      <w:color w:val="222222"/>
                      <w:szCs w:val="24"/>
                      <w:shd w:val="clear" w:color="auto" w:fill="FFFFFF"/>
                      <w:lang w:val="en-US" w:eastAsia="fr-FR"/>
                    </w:rPr>
                    <m:t>)</m:t>
                  </m:r>
                </m:e>
                <m:sub>
                  <m:r>
                    <m:rPr>
                      <m:sty m:val="p"/>
                    </m:rPr>
                    <w:rPr>
                      <w:rFonts w:ascii="Cambria Math" w:eastAsia="Cambria Math" w:hAnsi="Cambria Math" w:cs="Times New Roman"/>
                      <w:color w:val="222222"/>
                      <w:szCs w:val="24"/>
                      <w:shd w:val="clear" w:color="auto" w:fill="FFFFFF"/>
                      <w:lang w:val="en-US" w:eastAsia="fr-FR"/>
                    </w:rPr>
                    <m:t>i</m:t>
                  </m:r>
                </m:sub>
              </m:sSub>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oMath>
      </m:oMathPara>
    </w:p>
    <w:p w14:paraId="1B0ED5CE" w14:textId="77777777" w:rsidR="00137BC9" w:rsidRPr="00137BC9" w:rsidRDefault="00137BC9" w:rsidP="00137BC9">
      <w:pPr>
        <w:spacing w:after="0" w:line="360" w:lineRule="auto"/>
        <w:ind w:right="284"/>
        <w:jc w:val="both"/>
        <w:rPr>
          <w:rFonts w:asciiTheme="majorBidi" w:eastAsia="Courier New" w:hAnsiTheme="majorBidi" w:cstheme="majorBidi"/>
          <w:iCs/>
          <w:color w:val="222222"/>
          <w:szCs w:val="24"/>
          <w:shd w:val="clear" w:color="auto" w:fill="FFFFFF"/>
          <w:lang w:val="en-US" w:eastAsia="fr-FR"/>
        </w:rPr>
      </w:pPr>
      <w:r w:rsidRPr="00137BC9">
        <w:rPr>
          <w:rFonts w:asciiTheme="majorBidi" w:eastAsia="Courier New" w:hAnsiTheme="majorBidi" w:cstheme="majorBidi"/>
          <w:iCs/>
          <w:color w:val="222222"/>
          <w:szCs w:val="24"/>
          <w:shd w:val="clear" w:color="auto" w:fill="FFFFFF"/>
          <w:lang w:val="en-US" w:eastAsia="fr-FR"/>
        </w:rPr>
        <w:t xml:space="preserve">This quantity is also called the marginal risk contribution of asset </w:t>
      </w:r>
      <w:proofErr w:type="spellStart"/>
      <w:r w:rsidRPr="00137BC9">
        <w:rPr>
          <w:rFonts w:asciiTheme="majorBidi" w:eastAsia="Courier New" w:hAnsiTheme="majorBidi" w:cstheme="majorBidi"/>
          <w:iCs/>
          <w:color w:val="222222"/>
          <w:szCs w:val="24"/>
          <w:shd w:val="clear" w:color="auto" w:fill="FFFFFF"/>
          <w:lang w:val="en-US" w:eastAsia="fr-FR"/>
        </w:rPr>
        <w:t>i</w:t>
      </w:r>
      <w:proofErr w:type="spellEnd"/>
      <w:r w:rsidRPr="00137BC9">
        <w:rPr>
          <w:rFonts w:asciiTheme="majorBidi" w:eastAsia="Courier New" w:hAnsiTheme="majorBidi" w:cstheme="majorBidi"/>
          <w:iCs/>
          <w:color w:val="222222"/>
          <w:szCs w:val="24"/>
          <w:shd w:val="clear" w:color="auto" w:fill="FFFFFF"/>
          <w:lang w:val="en-US" w:eastAsia="fr-FR"/>
        </w:rPr>
        <w:t>. We thus note:</w:t>
      </w:r>
    </w:p>
    <w:p w14:paraId="232D0393" w14:textId="77777777" w:rsidR="00137BC9" w:rsidRDefault="00137BC9" w:rsidP="00137BC9">
      <w:pPr>
        <w:spacing w:after="0" w:line="360" w:lineRule="auto"/>
        <w:ind w:right="284"/>
        <w:jc w:val="both"/>
        <w:rPr>
          <w:rFonts w:eastAsia="Courier New" w:cs="Times New Roman"/>
          <w:iCs/>
          <w:color w:val="222222"/>
          <w:szCs w:val="24"/>
          <w:shd w:val="clear" w:color="auto" w:fill="FFFFFF"/>
          <w:lang w:eastAsia="fr-FR"/>
        </w:rPr>
      </w:pPr>
      <m:oMathPara>
        <m:oMath>
          <m:r>
            <m:rPr>
              <m:sty m:val="p"/>
            </m:rPr>
            <w:rPr>
              <w:rFonts w:ascii="Cambria Math" w:eastAsia="Courier New" w:hAnsi="Cambria Math" w:cs="Times New Roman"/>
              <w:color w:val="222222"/>
              <w:szCs w:val="24"/>
              <w:shd w:val="clear" w:color="auto" w:fill="FFFFFF"/>
              <w:lang w:eastAsia="fr-FR"/>
            </w:rPr>
            <m:t>σ</m:t>
          </m:r>
          <m:d>
            <m:dPr>
              <m:ctrlPr>
                <w:rPr>
                  <w:rFonts w:ascii="Cambria Math" w:eastAsia="Courier New" w:hAnsi="Cambria Math" w:cs="Times New Roman"/>
                  <w:iCs/>
                  <w:color w:val="222222"/>
                  <w:szCs w:val="24"/>
                  <w:shd w:val="clear" w:color="auto" w:fill="FFFFFF"/>
                  <w:lang w:eastAsia="fr-FR"/>
                </w:rPr>
              </m:ctrlPr>
            </m:dPr>
            <m:e>
              <m:r>
                <m:rPr>
                  <m:sty m:val="p"/>
                </m:rPr>
                <w:rPr>
                  <w:rFonts w:ascii="Cambria Math" w:eastAsia="Courier New" w:hAnsi="Cambria Math" w:cs="Times New Roman"/>
                  <w:color w:val="222222"/>
                  <w:szCs w:val="24"/>
                  <w:shd w:val="clear" w:color="auto" w:fill="FFFFFF"/>
                  <w:lang w:eastAsia="fr-FR"/>
                </w:rPr>
                <m:t>ω</m:t>
              </m:r>
            </m:e>
          </m:d>
          <m:r>
            <m:rPr>
              <m:sty m:val="p"/>
            </m:rPr>
            <w:rPr>
              <w:rFonts w:ascii="Cambria Math" w:eastAsia="Cambria Math" w:hAnsi="Cambria Math" w:cs="Times New Roman"/>
              <w:color w:val="222222"/>
              <w:szCs w:val="24"/>
              <w:shd w:val="clear" w:color="auto" w:fill="FFFFFF"/>
              <w:lang w:eastAsia="fr-FR"/>
            </w:rPr>
            <m:t>=</m:t>
          </m:r>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eastAsia="fr-FR"/>
                    </w:rPr>
                    <m:t>T</m:t>
                  </m:r>
                </m:sup>
              </m:sSup>
              <m:r>
                <m:rPr>
                  <m:sty m:val="p"/>
                </m:rPr>
                <w:rPr>
                  <w:rFonts w:ascii="Cambria Math" w:eastAsia="Cambria Math" w:hAnsi="Cambria Math" w:cs="Times New Roman"/>
                  <w:color w:val="222222"/>
                  <w:szCs w:val="24"/>
                  <w:shd w:val="clear" w:color="auto" w:fill="FFFFFF"/>
                  <w:lang w:eastAsia="fr-FR"/>
                </w:rPr>
                <m:t>Σ</m:t>
              </m:r>
            </m:e>
          </m:rad>
          <m:r>
            <m:rPr>
              <m:sty m:val="p"/>
            </m:rPr>
            <w:rPr>
              <w:rFonts w:ascii="Cambria Math" w:eastAsia="Cambria Math" w:hAnsi="Cambria Math" w:cs="Times New Roman"/>
              <w:color w:val="222222"/>
              <w:szCs w:val="24"/>
              <w:shd w:val="clear" w:color="auto" w:fill="FFFFFF"/>
              <w:lang w:eastAsia="fr-FR"/>
            </w:rPr>
            <m:t>ω=</m:t>
          </m:r>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eastAsia="fr-FR"/>
                </w:rPr>
                <m:t>T</m:t>
              </m:r>
            </m:sup>
          </m:sSup>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Σω</m:t>
              </m:r>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eastAsia="fr-FR"/>
                        </w:rPr>
                        <m:t>T</m:t>
                      </m:r>
                    </m:sup>
                  </m:sSup>
                  <m:r>
                    <m:rPr>
                      <m:sty m:val="p"/>
                    </m:rPr>
                    <w:rPr>
                      <w:rFonts w:ascii="Cambria Math" w:eastAsia="Cambria Math" w:hAnsi="Cambria Math" w:cs="Times New Roman"/>
                      <w:color w:val="222222"/>
                      <w:szCs w:val="24"/>
                      <w:shd w:val="clear" w:color="auto" w:fill="FFFFFF"/>
                      <w:lang w:eastAsia="fr-FR"/>
                    </w:rPr>
                    <m:t>Σ</m:t>
                  </m:r>
                </m:e>
              </m:rad>
              <m:r>
                <m:rPr>
                  <m:sty m:val="p"/>
                </m:rPr>
                <w:rPr>
                  <w:rFonts w:ascii="Cambria Math" w:eastAsia="Cambria Math" w:hAnsi="Cambria Math" w:cs="Times New Roman"/>
                  <w:color w:val="222222"/>
                  <w:szCs w:val="24"/>
                  <w:shd w:val="clear" w:color="auto" w:fill="FFFFFF"/>
                  <w:lang w:eastAsia="fr-FR"/>
                </w:rPr>
                <m:t>ω</m:t>
              </m:r>
            </m:den>
          </m:f>
          <m:r>
            <m:rPr>
              <m:sty m:val="p"/>
            </m:rPr>
            <w:rPr>
              <w:rFonts w:ascii="Cambria Math" w:eastAsia="Cambria Math" w:hAnsi="Cambria Math" w:cs="Times New Roman"/>
              <w:color w:val="222222"/>
              <w:szCs w:val="24"/>
              <w:shd w:val="clear" w:color="auto" w:fill="FFFFFF"/>
              <w:lang w:eastAsia="fr-FR"/>
            </w:rPr>
            <m:t>=</m:t>
          </m:r>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eastAsia="fr-FR"/>
                </w:rPr>
                <m:t>T</m:t>
              </m:r>
            </m:sup>
          </m:sSup>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eastAsia="fr-FR"/>
                </w:rPr>
                <m:t>∂ω</m:t>
              </m:r>
            </m:den>
          </m:f>
        </m:oMath>
      </m:oMathPara>
    </w:p>
    <w:p w14:paraId="10EED9AC" w14:textId="77777777" w:rsidR="00137BC9" w:rsidRPr="004F4C98" w:rsidRDefault="00137BC9" w:rsidP="00137BC9">
      <w:pPr>
        <w:spacing w:after="0" w:line="360" w:lineRule="auto"/>
        <w:ind w:right="284"/>
        <w:jc w:val="both"/>
        <w:rPr>
          <w:rFonts w:eastAsia="Courier New" w:cs="Times New Roman"/>
          <w:iCs/>
          <w:color w:val="222222"/>
          <w:szCs w:val="24"/>
          <w:shd w:val="clear" w:color="auto" w:fill="FFFFFF"/>
          <w:lang w:val="en-US" w:eastAsia="fr-FR"/>
        </w:rPr>
      </w:pPr>
      <w:r w:rsidRPr="00137BC9">
        <w:rPr>
          <w:rFonts w:asciiTheme="majorBidi" w:hAnsiTheme="majorBidi" w:cstheme="majorBidi"/>
          <w:lang w:val="en-US"/>
        </w:rPr>
        <w:t>We obtain the following Euler decomposition:</w:t>
      </w:r>
      <w:r>
        <w:rPr>
          <w:rFonts w:asciiTheme="majorBidi" w:hAnsiTheme="majorBidi" w:cstheme="majorBidi"/>
          <w:lang w:val="en-US"/>
        </w:rPr>
        <w:t xml:space="preserve"> </w:t>
      </w:r>
      <m:oMath>
        <m:r>
          <m:rPr>
            <m:sty m:val="p"/>
          </m:rPr>
          <w:rPr>
            <w:rFonts w:ascii="Cambria Math" w:eastAsia="Courier New" w:hAnsi="Cambria Math" w:cs="Times New Roman"/>
            <w:color w:val="222222"/>
            <w:szCs w:val="24"/>
            <w:shd w:val="clear" w:color="auto" w:fill="FFFFFF"/>
            <w:lang w:val="en-US" w:eastAsia="fr-FR"/>
          </w:rPr>
          <w:br/>
        </m:r>
      </m:oMath>
      <m:oMathPara>
        <m:oMath>
          <m:r>
            <m:rPr>
              <m:sty m:val="p"/>
            </m:rPr>
            <w:rPr>
              <w:rFonts w:ascii="Cambria Math" w:eastAsia="Courier New" w:hAnsi="Cambria Math" w:cs="Times New Roman"/>
              <w:color w:val="222222"/>
              <w:szCs w:val="24"/>
              <w:shd w:val="clear" w:color="auto" w:fill="FFFFFF"/>
              <w:lang w:eastAsia="fr-FR"/>
            </w:rPr>
            <m:t>σ</m:t>
          </m:r>
          <m:d>
            <m:dPr>
              <m:ctrlPr>
                <w:rPr>
                  <w:rFonts w:ascii="Cambria Math" w:eastAsia="Courier New" w:hAnsi="Cambria Math" w:cs="Times New Roman"/>
                  <w:iCs/>
                  <w:color w:val="222222"/>
                  <w:szCs w:val="24"/>
                  <w:shd w:val="clear" w:color="auto" w:fill="FFFFFF"/>
                  <w:lang w:eastAsia="fr-FR"/>
                </w:rPr>
              </m:ctrlPr>
            </m:dPr>
            <m:e>
              <m:r>
                <m:rPr>
                  <m:sty m:val="p"/>
                </m:rPr>
                <w:rPr>
                  <w:rFonts w:ascii="Cambria Math" w:eastAsia="Courier New" w:hAnsi="Cambria Math" w:cs="Times New Roman"/>
                  <w:color w:val="222222"/>
                  <w:szCs w:val="24"/>
                  <w:shd w:val="clear" w:color="auto" w:fill="FFFFFF"/>
                  <w:lang w:eastAsia="fr-FR"/>
                </w:rPr>
                <m:t>ω</m:t>
              </m:r>
            </m:e>
          </m:d>
          <m:r>
            <m:rPr>
              <m:sty m:val="p"/>
            </m:rPr>
            <w:rPr>
              <w:rFonts w:ascii="Cambria Math" w:eastAsia="Cambria Math" w:hAnsi="Cambria Math" w:cs="Times New Roman"/>
              <w:color w:val="222222"/>
              <w:szCs w:val="24"/>
              <w:shd w:val="clear" w:color="auto" w:fill="FFFFFF"/>
              <w:lang w:val="en-US" w:eastAsia="fr-FR"/>
            </w:rPr>
            <m:t>=</m:t>
          </m:r>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val="en-US" w:eastAsia="fr-FR"/>
                </w:rPr>
                <m:t>1</m:t>
              </m:r>
            </m:sub>
            <m:sup>
              <m:r>
                <m:rPr>
                  <m:sty m:val="p"/>
                </m:rPr>
                <w:rPr>
                  <w:rFonts w:ascii="Cambria Math" w:eastAsia="Cambria Math" w:hAnsi="Cambria Math" w:cs="Times New Roman"/>
                  <w:color w:val="222222"/>
                  <w:szCs w:val="24"/>
                  <w:shd w:val="clear" w:color="auto" w:fill="FFFFFF"/>
                  <w:lang w:val="en-US" w:eastAsia="fr-FR"/>
                </w:rPr>
                <m:t>N</m:t>
              </m:r>
            </m:sup>
            <m:e>
              <m:r>
                <w:rPr>
                  <w:rFonts w:ascii="Cambria Math" w:eastAsia="Cambria Math" w:hAnsi="Cambria Math" w:cs="Times New Roman"/>
                  <w:color w:val="222222"/>
                  <w:szCs w:val="24"/>
                  <w:shd w:val="clear" w:color="auto" w:fill="FFFFFF"/>
                  <w:lang w:val="en-US"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val="en-US" w:eastAsia="fr-FR"/>
                </w:rPr>
                <m:t>w</m:t>
              </m:r>
            </m:e>
            <m:sub>
              <m:r>
                <m:rPr>
                  <m:sty m:val="p"/>
                </m:rPr>
                <w:rPr>
                  <w:rFonts w:ascii="Cambria Math" w:eastAsia="Cambria Math" w:hAnsi="Cambria Math" w:cs="Times New Roman"/>
                  <w:color w:val="222222"/>
                  <w:szCs w:val="24"/>
                  <w:shd w:val="clear" w:color="auto" w:fill="FFFFFF"/>
                  <w:lang w:val="en-US" w:eastAsia="fr-FR"/>
                </w:rPr>
                <m:t>i</m:t>
              </m:r>
            </m:sub>
          </m:sSub>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i</m:t>
                  </m:r>
                </m:sub>
              </m:sSub>
            </m:den>
          </m:f>
          <m:r>
            <m:rPr>
              <m:sty m:val="p"/>
            </m:rPr>
            <w:rPr>
              <w:rFonts w:ascii="Cambria Math" w:eastAsia="Cambria Math" w:hAnsi="Cambria Math" w:cs="Times New Roman"/>
              <w:color w:val="222222"/>
              <w:szCs w:val="24"/>
              <w:shd w:val="clear" w:color="auto" w:fill="FFFFFF"/>
              <w:lang w:val="en-US" w:eastAsia="fr-FR"/>
            </w:rPr>
            <m:t>=</m:t>
          </m:r>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val="en-US" w:eastAsia="fr-FR"/>
                </w:rPr>
                <m:t>i=1</m:t>
              </m:r>
            </m:sub>
            <m:sup>
              <m:r>
                <m:rPr>
                  <m:sty m:val="p"/>
                </m:rPr>
                <w:rPr>
                  <w:rFonts w:ascii="Cambria Math" w:eastAsia="Cambria Math" w:hAnsi="Cambria Math" w:cs="Times New Roman"/>
                  <w:color w:val="222222"/>
                  <w:szCs w:val="24"/>
                  <w:shd w:val="clear" w:color="auto" w:fill="FFFFFF"/>
                  <w:lang w:val="en-US" w:eastAsia="fr-FR"/>
                </w:rPr>
                <m:t>N</m:t>
              </m:r>
            </m:sup>
            <m:e>
              <m:r>
                <w:rPr>
                  <w:rFonts w:ascii="Cambria Math" w:eastAsia="Cambria Math" w:hAnsi="Cambria Math" w:cs="Times New Roman"/>
                  <w:color w:val="222222"/>
                  <w:szCs w:val="24"/>
                  <w:shd w:val="clear" w:color="auto" w:fill="FFFFFF"/>
                  <w:lang w:val="en-US"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val="en-US" w:eastAsia="fr-FR"/>
                </w:rPr>
                <m:t>i</m:t>
              </m:r>
            </m:sub>
          </m:sSub>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oMath>
      </m:oMathPara>
    </w:p>
    <w:p w14:paraId="362168F6" w14:textId="77777777" w:rsidR="00137BC9" w:rsidRPr="00137BC9" w:rsidRDefault="00137BC9" w:rsidP="00137BC9">
      <w:pPr>
        <w:spacing w:after="0" w:line="360" w:lineRule="auto"/>
        <w:ind w:right="284"/>
        <w:jc w:val="both"/>
        <w:rPr>
          <w:rFonts w:asciiTheme="majorBidi" w:eastAsia="Courier New" w:hAnsiTheme="majorBidi" w:cstheme="majorBidi"/>
          <w:iCs/>
          <w:color w:val="222222"/>
          <w:szCs w:val="24"/>
          <w:shd w:val="clear" w:color="auto" w:fill="FFFFFF"/>
          <w:lang w:val="en-US" w:eastAsia="fr-FR"/>
        </w:rPr>
      </w:pPr>
      <w:r w:rsidRPr="00137BC9">
        <w:rPr>
          <w:rFonts w:asciiTheme="majorBidi" w:eastAsia="Courier New" w:hAnsiTheme="majorBidi" w:cstheme="majorBidi"/>
          <w:iCs/>
          <w:color w:val="222222"/>
          <w:szCs w:val="24"/>
          <w:shd w:val="clear" w:color="auto" w:fill="FFFFFF"/>
          <w:lang w:val="en-US" w:eastAsia="fr-FR"/>
        </w:rPr>
        <w:t xml:space="preserve">Maillard, Roncalli and </w:t>
      </w:r>
      <w:proofErr w:type="spellStart"/>
      <w:r w:rsidRPr="00137BC9">
        <w:rPr>
          <w:rFonts w:asciiTheme="majorBidi" w:eastAsia="Courier New" w:hAnsiTheme="majorBidi" w:cstheme="majorBidi"/>
          <w:iCs/>
          <w:color w:val="222222"/>
          <w:szCs w:val="24"/>
          <w:shd w:val="clear" w:color="auto" w:fill="FFFFFF"/>
          <w:lang w:val="en-US" w:eastAsia="fr-FR"/>
        </w:rPr>
        <w:t>Teiletche</w:t>
      </w:r>
      <w:proofErr w:type="spellEnd"/>
      <w:r w:rsidRPr="00137BC9">
        <w:rPr>
          <w:rFonts w:asciiTheme="majorBidi" w:eastAsia="Courier New" w:hAnsiTheme="majorBidi" w:cstheme="majorBidi"/>
          <w:iCs/>
          <w:color w:val="222222"/>
          <w:szCs w:val="24"/>
          <w:shd w:val="clear" w:color="auto" w:fill="FFFFFF"/>
          <w:lang w:val="en-US" w:eastAsia="fr-FR"/>
        </w:rPr>
        <w:t xml:space="preserve"> (2008) define the ERC portfolio as the portfolio that equalizes the risk contributions of all assets:</w:t>
      </w:r>
      <w:r>
        <w:rPr>
          <w:rFonts w:asciiTheme="majorBidi" w:eastAsia="Courier New" w:hAnsiTheme="majorBidi" w:cstheme="majorBidi"/>
          <w:iCs/>
          <w:color w:val="222222"/>
          <w:szCs w:val="24"/>
          <w:shd w:val="clear" w:color="auto" w:fill="FFFFFF"/>
          <w:lang w:val="en-US" w:eastAsia="fr-FR"/>
        </w:rPr>
        <w:t xml:space="preserve"> </w:t>
      </w:r>
      <m:oMath>
        <m:r>
          <m:rPr>
            <m:sty m:val="p"/>
          </m:rPr>
          <w:rPr>
            <w:rFonts w:ascii="Cambria Math" w:eastAsia="Cambria Math" w:hAnsi="Cambria Math" w:cs="Times New Roman"/>
            <w:color w:val="222222"/>
            <w:szCs w:val="24"/>
            <w:shd w:val="clear" w:color="auto" w:fill="FFFFFF"/>
            <w:lang w:val="en-US" w:eastAsia="fr-FR"/>
          </w:rPr>
          <w:br/>
        </m:r>
      </m:oMath>
      <m:oMathPara>
        <m:oMath>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ourier New"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i</m:t>
              </m:r>
            </m:sub>
          </m:sSub>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i</m:t>
                  </m:r>
                </m:sub>
              </m:sSub>
            </m:den>
          </m:f>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j</m:t>
              </m:r>
            </m:sub>
          </m:sSub>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j</m:t>
                  </m:r>
                </m:sub>
              </m:sSub>
            </m:den>
          </m:f>
        </m:oMath>
      </m:oMathPara>
    </w:p>
    <w:p w14:paraId="3AC4782A" w14:textId="77777777" w:rsidR="003A79F5" w:rsidRDefault="00137BC9" w:rsidP="003A79F5">
      <w:pPr>
        <w:spacing w:after="0" w:line="360" w:lineRule="auto"/>
        <w:jc w:val="both"/>
        <w:rPr>
          <w:rFonts w:asciiTheme="majorBidi" w:hAnsiTheme="majorBidi" w:cstheme="majorBidi"/>
          <w:lang w:val="en-US"/>
        </w:rPr>
      </w:pPr>
      <w:r w:rsidRPr="0029360D">
        <w:rPr>
          <w:rFonts w:asciiTheme="majorBidi" w:hAnsiTheme="majorBidi" w:cstheme="majorBidi"/>
          <w:color w:val="00B0F0"/>
          <w:lang w:val="en-US"/>
        </w:rPr>
        <w:t xml:space="preserve">Maillard et al (2009) </w:t>
      </w:r>
      <w:r w:rsidRPr="00137BC9">
        <w:rPr>
          <w:rFonts w:asciiTheme="majorBidi" w:hAnsiTheme="majorBidi" w:cstheme="majorBidi"/>
          <w:lang w:val="en-US"/>
        </w:rPr>
        <w:t>compare the PVM and EW portfolios with the ERC portfolio, in order to test the performance of the latter method. The ERC method constructs a portfolio in which each asset contributes equally to the total risk, and is based on the idea that good risk diversification can enhance portfolio performance.</w:t>
      </w:r>
    </w:p>
    <w:p w14:paraId="1E42B216" w14:textId="77777777" w:rsidR="003A79F5" w:rsidRPr="00995AC7" w:rsidRDefault="00995AC7" w:rsidP="003A79F5">
      <w:pPr>
        <w:spacing w:after="0" w:line="360" w:lineRule="auto"/>
        <w:jc w:val="both"/>
        <w:rPr>
          <w:rFonts w:asciiTheme="majorBidi" w:hAnsiTheme="majorBidi" w:cstheme="majorBidi"/>
          <w:b/>
          <w:bCs/>
          <w:i/>
          <w:iCs/>
          <w:lang w:val="en-US"/>
        </w:rPr>
      </w:pPr>
      <w:r w:rsidRPr="00995AC7">
        <w:rPr>
          <w:rFonts w:asciiTheme="majorBidi" w:hAnsiTheme="majorBidi" w:cstheme="majorBidi"/>
          <w:b/>
          <w:bCs/>
          <w:i/>
          <w:iCs/>
          <w:lang w:val="en-US"/>
        </w:rPr>
        <w:t xml:space="preserve">1.3 </w:t>
      </w:r>
      <w:r w:rsidR="003A79F5" w:rsidRPr="00995AC7">
        <w:rPr>
          <w:rFonts w:asciiTheme="majorBidi" w:hAnsiTheme="majorBidi" w:cstheme="majorBidi"/>
          <w:b/>
          <w:bCs/>
          <w:i/>
          <w:iCs/>
          <w:lang w:val="en-US"/>
        </w:rPr>
        <w:t>The MDP portfolio</w:t>
      </w:r>
      <w:r w:rsidR="007510AA">
        <w:rPr>
          <w:rFonts w:asciiTheme="majorBidi" w:hAnsiTheme="majorBidi" w:cstheme="majorBidi"/>
          <w:b/>
          <w:bCs/>
          <w:i/>
          <w:iCs/>
          <w:lang w:val="en-US"/>
        </w:rPr>
        <w:t>:</w:t>
      </w:r>
    </w:p>
    <w:p w14:paraId="7FB6ACC3" w14:textId="77777777" w:rsidR="003A79F5" w:rsidRPr="004F4C98" w:rsidRDefault="003A79F5" w:rsidP="003A79F5">
      <w:pPr>
        <w:spacing w:after="0" w:line="360" w:lineRule="auto"/>
        <w:jc w:val="both"/>
        <w:rPr>
          <w:rFonts w:asciiTheme="majorBidi" w:eastAsiaTheme="minorEastAsia" w:hAnsiTheme="majorBidi" w:cstheme="majorBidi"/>
          <w:iCs/>
          <w:color w:val="222222"/>
          <w:szCs w:val="24"/>
          <w:shd w:val="clear" w:color="auto" w:fill="FFFFFF"/>
          <w:lang w:val="en-US" w:eastAsia="fr-FR"/>
        </w:rPr>
      </w:pPr>
      <w:proofErr w:type="spellStart"/>
      <w:r w:rsidRPr="003A79F5">
        <w:rPr>
          <w:rFonts w:asciiTheme="majorBidi" w:hAnsiTheme="majorBidi" w:cstheme="majorBidi"/>
          <w:lang w:val="en-US"/>
        </w:rPr>
        <w:t>Choueifaty</w:t>
      </w:r>
      <w:proofErr w:type="spellEnd"/>
      <w:r w:rsidRPr="003A79F5">
        <w:rPr>
          <w:rFonts w:asciiTheme="majorBidi" w:hAnsiTheme="majorBidi" w:cstheme="majorBidi"/>
          <w:lang w:val="en-US"/>
        </w:rPr>
        <w:t xml:space="preserve"> and </w:t>
      </w:r>
      <w:proofErr w:type="spellStart"/>
      <w:r w:rsidRPr="003A79F5">
        <w:rPr>
          <w:rFonts w:asciiTheme="majorBidi" w:hAnsiTheme="majorBidi" w:cstheme="majorBidi"/>
          <w:lang w:val="en-US"/>
        </w:rPr>
        <w:t>Coignard</w:t>
      </w:r>
      <w:proofErr w:type="spellEnd"/>
      <w:r w:rsidRPr="003A79F5">
        <w:rPr>
          <w:rFonts w:asciiTheme="majorBidi" w:hAnsiTheme="majorBidi" w:cstheme="majorBidi"/>
          <w:lang w:val="en-US"/>
        </w:rPr>
        <w:t xml:space="preserve"> (2008) define the diversification ratio as follows:</w:t>
      </w:r>
      <w:r>
        <w:rPr>
          <w:rFonts w:asciiTheme="majorBidi" w:hAnsiTheme="majorBidi" w:cstheme="majorBidi"/>
          <w:lang w:val="en-US"/>
        </w:rPr>
        <w:t xml:space="preserve"> </w:t>
      </w:r>
      <m:oMath>
        <m:r>
          <m:rPr>
            <m:sty m:val="p"/>
          </m:rPr>
          <w:rPr>
            <w:rFonts w:ascii="Cambria Math" w:eastAsia="Cambria Math" w:hAnsi="Cambria Math" w:cs="Times New Roman"/>
            <w:color w:val="222222"/>
            <w:szCs w:val="24"/>
            <w:shd w:val="clear" w:color="auto" w:fill="FFFFFF"/>
            <w:lang w:val="en-US" w:eastAsia="fr-FR"/>
          </w:rPr>
          <w:br/>
        </m:r>
      </m:oMath>
      <m:oMathPara>
        <m:oMath>
          <m:r>
            <m:rPr>
              <m:sty m:val="p"/>
            </m:rPr>
            <w:rPr>
              <w:rFonts w:ascii="Cambria Math" w:eastAsia="Cambria Math" w:hAnsi="Cambria Math" w:cs="Times New Roman"/>
              <w:color w:val="222222"/>
              <w:szCs w:val="24"/>
              <w:shd w:val="clear" w:color="auto" w:fill="FFFFFF"/>
              <w:lang w:val="en-US" w:eastAsia="fr-FR"/>
            </w:rPr>
            <m:t>D</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val="en-US" w:eastAsia="fr-FR"/>
                </w:rPr>
                <m:t>w</m:t>
              </m:r>
            </m:e>
          </m:d>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m:t>
              </m:r>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oMath>
      </m:oMathPara>
    </w:p>
    <w:p w14:paraId="1E0EAC94" w14:textId="77777777" w:rsidR="003A79F5" w:rsidRPr="003A79F5" w:rsidRDefault="003A79F5" w:rsidP="003A79F5">
      <w:pPr>
        <w:spacing w:after="0" w:line="360" w:lineRule="auto"/>
        <w:jc w:val="both"/>
        <w:rPr>
          <w:rFonts w:asciiTheme="majorBidi" w:hAnsiTheme="majorBidi" w:cstheme="majorBidi"/>
          <w:lang w:val="en-US"/>
        </w:rPr>
      </w:pPr>
      <w:r w:rsidRPr="003A79F5">
        <w:rPr>
          <w:rFonts w:asciiTheme="majorBidi" w:hAnsiTheme="majorBidi" w:cstheme="majorBidi"/>
          <w:lang w:val="en-US"/>
        </w:rPr>
        <w:lastRenderedPageBreak/>
        <w:t>Where Σ is the variance-covariance matrix of the assets considered, σ is the vector of asset volatilities and ω is the vector of weights assigned to each of the N assets constituting the portfolio.</w:t>
      </w:r>
    </w:p>
    <w:p w14:paraId="33FF676F" w14:textId="77777777" w:rsidR="003A79F5" w:rsidRPr="004F4C98" w:rsidRDefault="003A79F5" w:rsidP="003A79F5">
      <w:pPr>
        <w:spacing w:after="0" w:line="360" w:lineRule="auto"/>
        <w:ind w:right="284"/>
        <w:jc w:val="both"/>
        <w:rPr>
          <w:rFonts w:eastAsia="Courier New" w:cs="Times New Roman"/>
          <w:iCs/>
          <w:color w:val="222222"/>
          <w:szCs w:val="24"/>
          <w:shd w:val="clear" w:color="auto" w:fill="FFFFFF"/>
          <w:lang w:val="en-US" w:eastAsia="fr-FR"/>
        </w:rPr>
      </w:pPr>
      <w:r w:rsidRPr="003A79F5">
        <w:rPr>
          <w:rFonts w:asciiTheme="majorBidi" w:hAnsiTheme="majorBidi" w:cstheme="majorBidi"/>
          <w:lang w:val="en-US"/>
        </w:rPr>
        <w:t>The diversification ratio is therefore the ratio between the weighted average of the volatilities and the volatility of the portfolio. This ratio can be written as follows:</w:t>
      </w:r>
      <m:oMath>
        <m:r>
          <m:rPr>
            <m:sty m:val="p"/>
          </m:rPr>
          <w:rPr>
            <w:rFonts w:ascii="Cambria Math" w:eastAsia="Cambria Math" w:hAnsi="Cambria Math" w:cs="Times New Roman"/>
            <w:color w:val="222222"/>
            <w:szCs w:val="24"/>
            <w:shd w:val="clear" w:color="auto" w:fill="FFFFFF"/>
            <w:lang w:val="en-US" w:eastAsia="fr-FR"/>
          </w:rPr>
          <w:br/>
        </m:r>
      </m:oMath>
      <m:oMathPara>
        <m:oMath>
          <m:r>
            <m:rPr>
              <m:sty m:val="p"/>
            </m:rPr>
            <w:rPr>
              <w:rFonts w:ascii="Cambria Math" w:eastAsia="Cambria Math" w:hAnsi="Cambria Math" w:cs="Times New Roman"/>
              <w:color w:val="222222"/>
              <w:szCs w:val="24"/>
              <w:shd w:val="clear" w:color="auto" w:fill="FFFFFF"/>
              <w:lang w:val="en-US" w:eastAsia="fr-FR"/>
            </w:rPr>
            <m:t>D</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val="en-US" w:eastAsia="fr-FR"/>
                </w:rPr>
                <m:t>w</m:t>
              </m:r>
            </m:e>
          </m:d>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m:t>
              </m:r>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val="en-US" w:eastAsia="fr-FR"/>
                        </w:rPr>
                        <m:t>1</m:t>
                      </m:r>
                    </m:e>
                  </m:d>
                  <m:r>
                    <m:rPr>
                      <m:sty m:val="p"/>
                    </m:rPr>
                    <w:rPr>
                      <w:rFonts w:ascii="Cambria Math" w:eastAsia="Cambria Math" w:hAnsi="Cambria Math" w:cs="Times New Roman"/>
                      <w:color w:val="222222"/>
                      <w:szCs w:val="24"/>
                      <w:shd w:val="clear" w:color="auto" w:fill="FFFFFF"/>
                      <w:lang w:eastAsia="fr-FR"/>
                    </w:rPr>
                    <m:t>ω</m:t>
                  </m:r>
                </m:e>
              </m:rad>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oMath>
      </m:oMathPara>
    </w:p>
    <w:p w14:paraId="682FD39B" w14:textId="77777777" w:rsidR="003A79F5" w:rsidRPr="003A79F5" w:rsidRDefault="003A79F5" w:rsidP="003A79F5">
      <w:pPr>
        <w:spacing w:after="0" w:line="360" w:lineRule="auto"/>
        <w:jc w:val="both"/>
        <w:rPr>
          <w:rFonts w:asciiTheme="majorBidi" w:hAnsiTheme="majorBidi" w:cstheme="majorBidi"/>
          <w:lang w:val="en-US"/>
        </w:rPr>
      </w:pPr>
      <w:r w:rsidRPr="003A79F5">
        <w:rPr>
          <w:rFonts w:asciiTheme="majorBidi" w:hAnsiTheme="majorBidi" w:cstheme="majorBidi"/>
          <w:lang w:val="en-US"/>
        </w:rPr>
        <w:t xml:space="preserve">Where </w:t>
      </w:r>
      <w:proofErr w:type="gramStart"/>
      <w:r w:rsidRPr="003A79F5">
        <w:rPr>
          <w:rFonts w:asciiTheme="majorBidi" w:hAnsiTheme="majorBidi" w:cstheme="majorBidi"/>
          <w:lang w:val="en-US"/>
        </w:rPr>
        <w:t>∑(</w:t>
      </w:r>
      <w:proofErr w:type="gramEnd"/>
      <w:r w:rsidRPr="003A79F5">
        <w:rPr>
          <w:rFonts w:asciiTheme="majorBidi" w:hAnsiTheme="majorBidi" w:cstheme="majorBidi"/>
          <w:lang w:val="en-US"/>
        </w:rPr>
        <w:t>1) is the covariance matrix with correlations equal to unity.</w:t>
      </w:r>
    </w:p>
    <w:p w14:paraId="0DD5C9B0" w14:textId="77777777" w:rsidR="003A79F5" w:rsidRDefault="003A79F5" w:rsidP="003A79F5">
      <w:pPr>
        <w:spacing w:after="0" w:line="360" w:lineRule="auto"/>
        <w:jc w:val="both"/>
        <w:rPr>
          <w:rFonts w:asciiTheme="majorBidi" w:hAnsiTheme="majorBidi" w:cstheme="majorBidi"/>
          <w:lang w:val="en-US"/>
        </w:rPr>
      </w:pPr>
      <w:r w:rsidRPr="003A79F5">
        <w:rPr>
          <w:rFonts w:asciiTheme="majorBidi" w:hAnsiTheme="majorBidi" w:cstheme="majorBidi"/>
          <w:lang w:val="en-US"/>
        </w:rPr>
        <w:t>D(ω) is the ratio of portfolio volatility assuming unit correlations to portfolio volatility with true correlations.</w:t>
      </w:r>
      <w:r>
        <w:rPr>
          <w:rFonts w:asciiTheme="majorBidi" w:hAnsiTheme="majorBidi" w:cstheme="majorBidi"/>
          <w:lang w:val="en-US"/>
        </w:rPr>
        <w:t xml:space="preserve"> </w:t>
      </w:r>
    </w:p>
    <w:p w14:paraId="5DA71963" w14:textId="77777777" w:rsidR="003A79F5" w:rsidRPr="007510AA" w:rsidRDefault="003A79F5" w:rsidP="003A79F5">
      <w:pPr>
        <w:spacing w:after="0" w:line="360" w:lineRule="auto"/>
        <w:jc w:val="both"/>
        <w:rPr>
          <w:rFonts w:asciiTheme="majorBidi" w:hAnsiTheme="majorBidi" w:cstheme="majorBidi"/>
          <w:b/>
          <w:bCs/>
          <w:i/>
          <w:iCs/>
          <w:lang w:val="en-US"/>
        </w:rPr>
      </w:pPr>
      <w:r w:rsidRPr="007510AA">
        <w:rPr>
          <w:rFonts w:asciiTheme="majorBidi" w:hAnsiTheme="majorBidi" w:cstheme="majorBidi"/>
          <w:b/>
          <w:bCs/>
          <w:i/>
          <w:iCs/>
          <w:lang w:val="en-US"/>
        </w:rPr>
        <w:t>1.4 The IVP portfolio (inverse volatility portfolio)</w:t>
      </w:r>
    </w:p>
    <w:p w14:paraId="6E85CA7F" w14:textId="77777777" w:rsidR="003A79F5" w:rsidRPr="004F4C98" w:rsidRDefault="00DF63EB" w:rsidP="0029360D">
      <w:pPr>
        <w:spacing w:after="0" w:line="360" w:lineRule="auto"/>
        <w:jc w:val="both"/>
        <w:rPr>
          <w:rFonts w:asciiTheme="majorBidi" w:eastAsiaTheme="minorEastAsia" w:hAnsiTheme="majorBidi" w:cstheme="majorBidi"/>
          <w:iCs/>
          <w:color w:val="222222"/>
          <w:sz w:val="28"/>
          <w:szCs w:val="28"/>
          <w:shd w:val="clear" w:color="auto" w:fill="FFFFFF"/>
          <w:lang w:val="en-US" w:eastAsia="fr-FR"/>
        </w:rPr>
      </w:pPr>
      <w:r w:rsidRPr="0029360D">
        <w:rPr>
          <w:rFonts w:asciiTheme="majorBidi" w:hAnsiTheme="majorBidi" w:cstheme="majorBidi"/>
          <w:color w:val="00B0F0"/>
          <w:lang w:val="en-US"/>
        </w:rPr>
        <w:t>Clarke</w:t>
      </w:r>
      <w:r w:rsidR="0029360D" w:rsidRPr="0029360D">
        <w:rPr>
          <w:rFonts w:asciiTheme="majorBidi" w:hAnsiTheme="majorBidi" w:cstheme="majorBidi"/>
          <w:color w:val="00B0F0"/>
          <w:lang w:val="en-US"/>
        </w:rPr>
        <w:t xml:space="preserve"> et al </w:t>
      </w:r>
      <w:r w:rsidRPr="0029360D">
        <w:rPr>
          <w:rFonts w:asciiTheme="majorBidi" w:hAnsiTheme="majorBidi" w:cstheme="majorBidi"/>
          <w:color w:val="00B0F0"/>
          <w:lang w:val="en-US"/>
        </w:rPr>
        <w:t xml:space="preserve">(2013) </w:t>
      </w:r>
      <w:r w:rsidRPr="00DF63EB">
        <w:rPr>
          <w:rFonts w:asciiTheme="majorBidi" w:hAnsiTheme="majorBidi" w:cstheme="majorBidi"/>
          <w:lang w:val="en-US"/>
        </w:rPr>
        <w:t xml:space="preserve">propose a portfolio weight allocation that is inversely proportional to the volatility of the portfolio's underlying assets as </w:t>
      </w:r>
      <w:proofErr w:type="gramStart"/>
      <w:r w:rsidRPr="00DF63EB">
        <w:rPr>
          <w:rFonts w:asciiTheme="majorBidi" w:hAnsiTheme="majorBidi" w:cstheme="majorBidi"/>
          <w:lang w:val="en-US"/>
        </w:rPr>
        <w:t>follows</w:t>
      </w:r>
      <w:r>
        <w:rPr>
          <w:rFonts w:asciiTheme="majorBidi" w:hAnsiTheme="majorBidi" w:cstheme="majorBidi"/>
          <w:lang w:val="en-US"/>
        </w:rPr>
        <w:t xml:space="preserve"> </w:t>
      </w:r>
      <w:r w:rsidRPr="00DF63EB">
        <w:rPr>
          <w:rFonts w:asciiTheme="majorBidi" w:hAnsiTheme="majorBidi" w:cstheme="majorBidi"/>
          <w:lang w:val="en-US"/>
        </w:rPr>
        <w:t>:</w:t>
      </w:r>
      <w:proofErr w:type="gramEnd"/>
      <w:r>
        <w:rPr>
          <w:rFonts w:asciiTheme="majorBidi" w:hAnsiTheme="majorBidi" w:cstheme="majorBidi"/>
          <w:lang w:val="en-US"/>
        </w:rPr>
        <w:t xml:space="preserve"> </w:t>
      </w:r>
      <m:oMath>
        <m:sSub>
          <m:sSubPr>
            <m:ctrlPr>
              <w:rPr>
                <w:rFonts w:ascii="Cambria Math" w:eastAsia="Cambria Math" w:hAnsi="Cambria Math" w:cs="Times New Roman"/>
                <w:iCs/>
                <w:color w:val="222222"/>
                <w:sz w:val="28"/>
                <w:szCs w:val="28"/>
                <w:shd w:val="clear" w:color="auto" w:fill="FFFFFF"/>
                <w:lang w:eastAsia="fr-FR"/>
              </w:rPr>
            </m:ctrlPr>
          </m:sSubPr>
          <m:e>
            <m:r>
              <m:rPr>
                <m:sty m:val="p"/>
              </m:rPr>
              <w:rPr>
                <w:rFonts w:ascii="Cambria Math" w:eastAsia="Courier New" w:hAnsi="Cambria Math" w:cs="Times New Roman"/>
                <w:color w:val="222222"/>
                <w:sz w:val="28"/>
                <w:szCs w:val="28"/>
                <w:shd w:val="clear" w:color="auto" w:fill="FFFFFF"/>
                <w:lang w:eastAsia="fr-FR"/>
              </w:rPr>
              <m:t>ω</m:t>
            </m:r>
          </m:e>
          <m:sub>
            <m:r>
              <m:rPr>
                <m:sty m:val="p"/>
              </m:rPr>
              <w:rPr>
                <w:rFonts w:ascii="Cambria Math" w:eastAsia="Cambria Math" w:hAnsi="Cambria Math" w:cs="Times New Roman"/>
                <w:color w:val="222222"/>
                <w:sz w:val="28"/>
                <w:szCs w:val="28"/>
                <w:shd w:val="clear" w:color="auto" w:fill="FFFFFF"/>
                <w:lang w:val="en-US" w:eastAsia="fr-FR"/>
              </w:rPr>
              <m:t>i</m:t>
            </m:r>
          </m:sub>
        </m:sSub>
        <m:r>
          <m:rPr>
            <m:sty m:val="p"/>
          </m:rPr>
          <w:rPr>
            <w:rFonts w:ascii="Cambria Math" w:eastAsia="Cambria Math" w:hAnsi="Cambria Math" w:cs="Times New Roman"/>
            <w:color w:val="222222"/>
            <w:sz w:val="28"/>
            <w:szCs w:val="28"/>
            <w:shd w:val="clear" w:color="auto" w:fill="FFFFFF"/>
            <w:lang w:val="en-US" w:eastAsia="fr-FR"/>
          </w:rPr>
          <m:t>=</m:t>
        </m:r>
        <m:f>
          <m:fPr>
            <m:ctrlPr>
              <w:rPr>
                <w:rFonts w:ascii="Cambria Math" w:eastAsia="Cambria Math" w:hAnsi="Cambria Math" w:cs="Times New Roman"/>
                <w:iCs/>
                <w:color w:val="222222"/>
                <w:sz w:val="28"/>
                <w:szCs w:val="28"/>
                <w:shd w:val="clear" w:color="auto" w:fill="FFFFFF"/>
                <w:lang w:eastAsia="fr-FR"/>
              </w:rPr>
            </m:ctrlPr>
          </m:fPr>
          <m:num>
            <m:f>
              <m:fPr>
                <m:ctrlPr>
                  <w:rPr>
                    <w:rFonts w:ascii="Cambria Math" w:eastAsia="Cambria Math" w:hAnsi="Cambria Math" w:cs="Times New Roman"/>
                    <w:iCs/>
                    <w:color w:val="222222"/>
                    <w:sz w:val="28"/>
                    <w:szCs w:val="28"/>
                    <w:shd w:val="clear" w:color="auto" w:fill="FFFFFF"/>
                    <w:lang w:eastAsia="fr-FR"/>
                  </w:rPr>
                </m:ctrlPr>
              </m:fPr>
              <m:num>
                <m:r>
                  <m:rPr>
                    <m:sty m:val="p"/>
                  </m:rPr>
                  <w:rPr>
                    <w:rFonts w:ascii="Cambria Math" w:eastAsia="Cambria Math" w:hAnsi="Cambria Math" w:cs="Times New Roman"/>
                    <w:color w:val="222222"/>
                    <w:sz w:val="28"/>
                    <w:szCs w:val="28"/>
                    <w:shd w:val="clear" w:color="auto" w:fill="FFFFFF"/>
                    <w:lang w:val="en-US" w:eastAsia="fr-FR"/>
                  </w:rPr>
                  <m:t>1</m:t>
                </m:r>
              </m:num>
              <m:den>
                <m:sSub>
                  <m:sSubPr>
                    <m:ctrlPr>
                      <w:rPr>
                        <w:rFonts w:ascii="Cambria Math" w:eastAsia="Cambria Math" w:hAnsi="Cambria Math" w:cs="Times New Roman"/>
                        <w:iCs/>
                        <w:color w:val="222222"/>
                        <w:sz w:val="28"/>
                        <w:szCs w:val="28"/>
                        <w:shd w:val="clear" w:color="auto" w:fill="FFFFFF"/>
                        <w:lang w:eastAsia="fr-FR"/>
                      </w:rPr>
                    </m:ctrlPr>
                  </m:sSubPr>
                  <m:e>
                    <m:r>
                      <m:rPr>
                        <m:sty m:val="p"/>
                      </m:rPr>
                      <w:rPr>
                        <w:rFonts w:ascii="Cambria Math" w:eastAsia="Cambria Math" w:hAnsi="Cambria Math" w:cs="Times New Roman"/>
                        <w:color w:val="222222"/>
                        <w:sz w:val="28"/>
                        <w:szCs w:val="28"/>
                        <w:shd w:val="clear" w:color="auto" w:fill="FFFFFF"/>
                        <w:lang w:eastAsia="fr-FR"/>
                      </w:rPr>
                      <m:t>σ</m:t>
                    </m:r>
                  </m:e>
                  <m:sub>
                    <m:r>
                      <m:rPr>
                        <m:sty m:val="p"/>
                      </m:rPr>
                      <w:rPr>
                        <w:rFonts w:ascii="Cambria Math" w:eastAsia="Cambria Math" w:hAnsi="Cambria Math" w:cs="Times New Roman"/>
                        <w:color w:val="222222"/>
                        <w:sz w:val="28"/>
                        <w:szCs w:val="28"/>
                        <w:shd w:val="clear" w:color="auto" w:fill="FFFFFF"/>
                        <w:lang w:val="en-US" w:eastAsia="fr-FR"/>
                      </w:rPr>
                      <m:t>i</m:t>
                    </m:r>
                  </m:sub>
                </m:sSub>
              </m:den>
            </m:f>
          </m:num>
          <m:den>
            <m:nary>
              <m:naryPr>
                <m:chr m:val="∑"/>
                <m:ctrlPr>
                  <w:rPr>
                    <w:rFonts w:ascii="Cambria Math" w:eastAsia="Cambria Math" w:hAnsi="Cambria Math" w:cs="Times New Roman"/>
                    <w:iCs/>
                    <w:color w:val="222222"/>
                    <w:sz w:val="28"/>
                    <w:szCs w:val="28"/>
                    <w:shd w:val="clear" w:color="auto" w:fill="FFFFFF"/>
                    <w:lang w:eastAsia="fr-FR"/>
                  </w:rPr>
                </m:ctrlPr>
              </m:naryPr>
              <m:sub>
                <m:r>
                  <m:rPr>
                    <m:sty m:val="p"/>
                  </m:rPr>
                  <w:rPr>
                    <w:rFonts w:ascii="Cambria Math" w:eastAsia="Cambria Math" w:hAnsi="Cambria Math" w:cs="Times New Roman"/>
                    <w:color w:val="222222"/>
                    <w:sz w:val="28"/>
                    <w:szCs w:val="28"/>
                    <w:shd w:val="clear" w:color="auto" w:fill="FFFFFF"/>
                    <w:lang w:val="en-US" w:eastAsia="fr-FR"/>
                  </w:rPr>
                  <m:t xml:space="preserve">j    </m:t>
                </m:r>
                <m:f>
                  <m:fPr>
                    <m:ctrlPr>
                      <w:rPr>
                        <w:rFonts w:ascii="Cambria Math" w:eastAsia="Cambria Math" w:hAnsi="Cambria Math" w:cs="Times New Roman"/>
                        <w:iCs/>
                        <w:color w:val="222222"/>
                        <w:sz w:val="28"/>
                        <w:szCs w:val="28"/>
                        <w:shd w:val="clear" w:color="auto" w:fill="FFFFFF"/>
                        <w:lang w:eastAsia="fr-FR"/>
                      </w:rPr>
                    </m:ctrlPr>
                  </m:fPr>
                  <m:num>
                    <m:r>
                      <m:rPr>
                        <m:sty m:val="p"/>
                      </m:rPr>
                      <w:rPr>
                        <w:rFonts w:ascii="Cambria Math" w:eastAsia="Cambria Math" w:hAnsi="Cambria Math" w:cs="Times New Roman"/>
                        <w:color w:val="222222"/>
                        <w:sz w:val="28"/>
                        <w:szCs w:val="28"/>
                        <w:shd w:val="clear" w:color="auto" w:fill="FFFFFF"/>
                        <w:lang w:val="en-US" w:eastAsia="fr-FR"/>
                      </w:rPr>
                      <m:t>1</m:t>
                    </m:r>
                  </m:num>
                  <m:den>
                    <m:sSub>
                      <m:sSubPr>
                        <m:ctrlPr>
                          <w:rPr>
                            <w:rFonts w:ascii="Cambria Math" w:eastAsia="Cambria Math" w:hAnsi="Cambria Math" w:cs="Times New Roman"/>
                            <w:iCs/>
                            <w:color w:val="222222"/>
                            <w:sz w:val="28"/>
                            <w:szCs w:val="28"/>
                            <w:shd w:val="clear" w:color="auto" w:fill="FFFFFF"/>
                            <w:lang w:eastAsia="fr-FR"/>
                          </w:rPr>
                        </m:ctrlPr>
                      </m:sSubPr>
                      <m:e>
                        <m:r>
                          <m:rPr>
                            <m:sty m:val="p"/>
                          </m:rPr>
                          <w:rPr>
                            <w:rFonts w:ascii="Cambria Math" w:eastAsia="Cambria Math" w:hAnsi="Cambria Math" w:cs="Times New Roman"/>
                            <w:color w:val="222222"/>
                            <w:sz w:val="28"/>
                            <w:szCs w:val="28"/>
                            <w:shd w:val="clear" w:color="auto" w:fill="FFFFFF"/>
                            <w:lang w:eastAsia="fr-FR"/>
                          </w:rPr>
                          <m:t>σ</m:t>
                        </m:r>
                      </m:e>
                      <m:sub>
                        <m:r>
                          <m:rPr>
                            <m:sty m:val="p"/>
                          </m:rPr>
                          <w:rPr>
                            <w:rFonts w:ascii="Cambria Math" w:eastAsia="Cambria Math" w:hAnsi="Cambria Math" w:cs="Times New Roman"/>
                            <w:color w:val="222222"/>
                            <w:sz w:val="28"/>
                            <w:szCs w:val="28"/>
                            <w:shd w:val="clear" w:color="auto" w:fill="FFFFFF"/>
                            <w:lang w:val="en-US" w:eastAsia="fr-FR"/>
                          </w:rPr>
                          <m:t>j</m:t>
                        </m:r>
                      </m:sub>
                    </m:sSub>
                  </m:den>
                </m:f>
              </m:sub>
              <m:sup>
                <m:r>
                  <w:rPr>
                    <w:rFonts w:ascii="Cambria Math" w:eastAsia="Cambria Math" w:hAnsi="Cambria Math" w:cs="Times New Roman"/>
                    <w:color w:val="222222"/>
                    <w:sz w:val="28"/>
                    <w:szCs w:val="28"/>
                    <w:shd w:val="clear" w:color="auto" w:fill="FFFFFF"/>
                    <w:lang w:val="en-US" w:eastAsia="fr-FR"/>
                  </w:rPr>
                  <m:t xml:space="preserve"> </m:t>
                </m:r>
              </m:sup>
              <m:e>
                <m:r>
                  <w:rPr>
                    <w:rFonts w:ascii="Cambria Math" w:eastAsia="Cambria Math" w:hAnsi="Cambria Math" w:cs="Times New Roman"/>
                    <w:color w:val="222222"/>
                    <w:sz w:val="28"/>
                    <w:szCs w:val="28"/>
                    <w:shd w:val="clear" w:color="auto" w:fill="FFFFFF"/>
                    <w:lang w:val="en-US" w:eastAsia="fr-FR"/>
                  </w:rPr>
                  <m:t xml:space="preserve"> </m:t>
                </m:r>
              </m:e>
            </m:nary>
          </m:den>
        </m:f>
      </m:oMath>
    </w:p>
    <w:p w14:paraId="1DB65AAE" w14:textId="77777777" w:rsidR="006035D9" w:rsidRDefault="00DF63EB" w:rsidP="00995AC7">
      <w:pPr>
        <w:spacing w:after="0" w:line="360" w:lineRule="auto"/>
        <w:jc w:val="both"/>
        <w:rPr>
          <w:rFonts w:asciiTheme="majorBidi" w:hAnsiTheme="majorBidi" w:cstheme="majorBidi"/>
          <w:lang w:val="en-US"/>
        </w:rPr>
      </w:pPr>
      <w:r w:rsidRPr="00DF63EB">
        <w:rPr>
          <w:rFonts w:asciiTheme="majorBidi" w:hAnsiTheme="majorBidi" w:cstheme="majorBidi"/>
          <w:lang w:val="en-US"/>
        </w:rPr>
        <w:t>An inverse volatility-weighted portfolio is one in which highly volatile assets receive less weight and less volatile assets receive more weight. Therefore, the weights of individual assets in a portfolio are proportional to the inverse of their respective volatility.</w:t>
      </w:r>
      <w:r>
        <w:rPr>
          <w:rFonts w:asciiTheme="majorBidi" w:hAnsiTheme="majorBidi" w:cstheme="majorBidi"/>
          <w:lang w:val="en-US"/>
        </w:rPr>
        <w:t xml:space="preserve"> </w:t>
      </w:r>
    </w:p>
    <w:p w14:paraId="77C19874" w14:textId="77777777" w:rsidR="00230F6F" w:rsidRPr="007510AA" w:rsidRDefault="006035D9" w:rsidP="00F86695">
      <w:pPr>
        <w:spacing w:after="0" w:line="360" w:lineRule="auto"/>
        <w:rPr>
          <w:rFonts w:asciiTheme="majorBidi" w:hAnsiTheme="majorBidi" w:cstheme="majorBidi"/>
          <w:b/>
          <w:bCs/>
          <w:i/>
          <w:iCs/>
          <w:lang w:val="en-US"/>
        </w:rPr>
      </w:pPr>
      <w:r w:rsidRPr="007510AA">
        <w:rPr>
          <w:rFonts w:asciiTheme="majorBidi" w:hAnsiTheme="majorBidi" w:cstheme="majorBidi"/>
          <w:b/>
          <w:bCs/>
          <w:i/>
          <w:iCs/>
          <w:lang w:val="en-US"/>
        </w:rPr>
        <w:t>1.5 The MDECP (maximum decorrelation portfolio</w:t>
      </w:r>
      <w:proofErr w:type="gramStart"/>
      <w:r w:rsidRPr="007510AA">
        <w:rPr>
          <w:rFonts w:asciiTheme="majorBidi" w:hAnsiTheme="majorBidi" w:cstheme="majorBidi"/>
          <w:b/>
          <w:bCs/>
          <w:i/>
          <w:iCs/>
          <w:lang w:val="en-US"/>
        </w:rPr>
        <w:t>)</w:t>
      </w:r>
      <w:r w:rsidR="00F86695" w:rsidRPr="007510AA">
        <w:rPr>
          <w:rFonts w:asciiTheme="majorBidi" w:hAnsiTheme="majorBidi" w:cstheme="majorBidi"/>
          <w:b/>
          <w:bCs/>
          <w:i/>
          <w:iCs/>
          <w:lang w:val="en-US"/>
        </w:rPr>
        <w:t xml:space="preserve"> :</w:t>
      </w:r>
      <w:proofErr w:type="gramEnd"/>
    </w:p>
    <w:p w14:paraId="590292C6" w14:textId="77777777" w:rsidR="006035D9" w:rsidRDefault="006035D9" w:rsidP="006035D9">
      <w:pPr>
        <w:spacing w:after="0" w:line="360" w:lineRule="auto"/>
        <w:jc w:val="both"/>
        <w:rPr>
          <w:rFonts w:asciiTheme="majorBidi" w:hAnsiTheme="majorBidi" w:cstheme="majorBidi"/>
          <w:lang w:val="en-US"/>
        </w:rPr>
      </w:pPr>
      <w:r w:rsidRPr="006035D9">
        <w:rPr>
          <w:rFonts w:asciiTheme="majorBidi" w:hAnsiTheme="majorBidi" w:cstheme="majorBidi"/>
          <w:lang w:val="en-US"/>
        </w:rPr>
        <w:t>The maximum decorrelation described by (</w:t>
      </w:r>
      <w:r w:rsidRPr="0029360D">
        <w:rPr>
          <w:rFonts w:asciiTheme="majorBidi" w:hAnsiTheme="majorBidi" w:cstheme="majorBidi"/>
          <w:color w:val="00B0F0"/>
          <w:lang w:val="en-US"/>
        </w:rPr>
        <w:t>Christoffersen et al. 2010</w:t>
      </w:r>
      <w:r w:rsidRPr="006035D9">
        <w:rPr>
          <w:rFonts w:asciiTheme="majorBidi" w:hAnsiTheme="majorBidi" w:cstheme="majorBidi"/>
          <w:lang w:val="en-US"/>
        </w:rPr>
        <w:t>) is closely related to minimum variance and maximum diversification, but applies to the case where an investor believes that all assets have similar returns and volatility, but heterogeneous correlations. This is a minimum variance optimization performed on the covariance matrix.</w:t>
      </w:r>
    </w:p>
    <w:p w14:paraId="52C5A0DA" w14:textId="77777777" w:rsidR="006035D9" w:rsidRDefault="006035D9" w:rsidP="006035D9">
      <w:pPr>
        <w:spacing w:after="0" w:line="360" w:lineRule="auto"/>
        <w:jc w:val="both"/>
        <w:rPr>
          <w:rFonts w:asciiTheme="majorBidi" w:hAnsiTheme="majorBidi" w:cstheme="majorBidi"/>
          <w:lang w:val="en-US"/>
        </w:rPr>
      </w:pPr>
      <w:r w:rsidRPr="006035D9">
        <w:rPr>
          <w:rFonts w:asciiTheme="majorBidi" w:hAnsiTheme="majorBidi" w:cstheme="majorBidi"/>
          <w:lang w:val="en-US"/>
        </w:rPr>
        <w:t>Interestingly, when the weights derived from the maximum decorrelation optimization are divided by their respective volatilities and re-normalized to total 1, we recover the maximum diversification weights. Thus, the portfolio weights that maximize decorrelation will also maximize the diversification ratio when all assets have equal volatility, and maximize the Sharpe ratio when all assets have equal risks and returns.</w:t>
      </w:r>
    </w:p>
    <w:p w14:paraId="02B8ACC2" w14:textId="77777777" w:rsidR="00230F6F" w:rsidRDefault="00230F6F" w:rsidP="006035D9">
      <w:pPr>
        <w:spacing w:after="0" w:line="360" w:lineRule="auto"/>
        <w:jc w:val="both"/>
        <w:rPr>
          <w:rFonts w:asciiTheme="majorBidi" w:hAnsiTheme="majorBidi" w:cstheme="majorBidi"/>
          <w:lang w:val="en-US"/>
        </w:rPr>
      </w:pPr>
      <w:r w:rsidRPr="00666A23">
        <w:rPr>
          <w:rFonts w:asciiTheme="majorBidi" w:hAnsiTheme="majorBidi" w:cstheme="majorBidi"/>
          <w:color w:val="00B0F0"/>
          <w:lang w:val="en-US"/>
        </w:rPr>
        <w:t xml:space="preserve">Kei Nakagawa et al (2018) </w:t>
      </w:r>
      <w:r w:rsidRPr="00230F6F">
        <w:rPr>
          <w:rFonts w:asciiTheme="majorBidi" w:hAnsiTheme="majorBidi" w:cstheme="majorBidi"/>
          <w:lang w:val="en-US"/>
        </w:rPr>
        <w:t xml:space="preserve">compare the performance of risk-based portfolios for several covariance matrix estimation methods on the Japanese stock market. In addition, they proposed a highly accurate estimation method called </w:t>
      </w:r>
      <w:proofErr w:type="spellStart"/>
      <w:r w:rsidRPr="00230F6F">
        <w:rPr>
          <w:rFonts w:asciiTheme="majorBidi" w:hAnsiTheme="majorBidi" w:cstheme="majorBidi"/>
          <w:lang w:val="en-US"/>
        </w:rPr>
        <w:t>cDCC</w:t>
      </w:r>
      <w:proofErr w:type="spellEnd"/>
      <w:r w:rsidRPr="00230F6F">
        <w:rPr>
          <w:rFonts w:asciiTheme="majorBidi" w:hAnsiTheme="majorBidi" w:cstheme="majorBidi"/>
          <w:lang w:val="en-US"/>
        </w:rPr>
        <w:t xml:space="preserve">-NLS, which incorporates nonlinear shrinkage into the </w:t>
      </w:r>
      <w:proofErr w:type="spellStart"/>
      <w:r w:rsidRPr="00230F6F">
        <w:rPr>
          <w:rFonts w:asciiTheme="majorBidi" w:hAnsiTheme="majorBidi" w:cstheme="majorBidi"/>
          <w:lang w:val="en-US"/>
        </w:rPr>
        <w:t>cDCC</w:t>
      </w:r>
      <w:proofErr w:type="spellEnd"/>
      <w:r w:rsidRPr="00230F6F">
        <w:rPr>
          <w:rFonts w:asciiTheme="majorBidi" w:hAnsiTheme="majorBidi" w:cstheme="majorBidi"/>
          <w:lang w:val="en-US"/>
        </w:rPr>
        <w:t>-GARCH model.</w:t>
      </w:r>
    </w:p>
    <w:p w14:paraId="01C82EA0" w14:textId="77777777" w:rsidR="00342A48" w:rsidRDefault="00342A48" w:rsidP="00342A48">
      <w:pPr>
        <w:spacing w:after="0" w:line="360" w:lineRule="auto"/>
        <w:jc w:val="both"/>
        <w:rPr>
          <w:rFonts w:asciiTheme="majorBidi" w:hAnsiTheme="majorBidi" w:cstheme="majorBidi"/>
          <w:lang w:val="en-US"/>
        </w:rPr>
      </w:pPr>
      <w:r w:rsidRPr="00342A48">
        <w:rPr>
          <w:rFonts w:asciiTheme="majorBidi" w:hAnsiTheme="majorBidi" w:cstheme="majorBidi"/>
          <w:lang w:val="en-US"/>
        </w:rPr>
        <w:t xml:space="preserve">Risk-only portfolio weights avoid estimation error from the sample mean, but they are still affected by specification error in the sample covariance matrix. To address this issue, </w:t>
      </w:r>
      <w:r w:rsidRPr="00666A23">
        <w:rPr>
          <w:rFonts w:asciiTheme="majorBidi" w:hAnsiTheme="majorBidi" w:cstheme="majorBidi"/>
          <w:color w:val="00B0F0"/>
          <w:lang w:val="en-US"/>
        </w:rPr>
        <w:t xml:space="preserve">Marco (2018) </w:t>
      </w:r>
      <w:r w:rsidRPr="00342A48">
        <w:rPr>
          <w:rFonts w:asciiTheme="majorBidi" w:hAnsiTheme="majorBidi" w:cstheme="majorBidi"/>
          <w:lang w:val="en-US"/>
        </w:rPr>
        <w:t xml:space="preserve">reduced the covariance matrix to the target matrices Identity, Variance Identity, Single-index model, Common Covariance, Constant Correlation and Exponential Weighted Moving Average. Using extensive Monte Carlo simulation, he proposed a comparative study of these target estimators, testing their ability to reproduce actual portfolio weights. He checked the dimensionality of the data set and the intensity of </w:t>
      </w:r>
      <w:r w:rsidRPr="00342A48">
        <w:rPr>
          <w:rFonts w:asciiTheme="majorBidi" w:hAnsiTheme="majorBidi" w:cstheme="majorBidi"/>
          <w:lang w:val="en-US"/>
        </w:rPr>
        <w:lastRenderedPageBreak/>
        <w:t xml:space="preserve">contraction in the Minimum Variance (MV), Inverse Volatility (IV), Equal-Risk-Contribution (ERC) and Maximum Diversification (MD) portfolios. He found that identity and variance identity have very good statistical properties, being equally well conditioned in high-dimensional data sets. </w:t>
      </w:r>
    </w:p>
    <w:p w14:paraId="77B160AE" w14:textId="77777777" w:rsidR="00342A48" w:rsidRPr="00342A48" w:rsidRDefault="00342A48" w:rsidP="00AC6E43">
      <w:pPr>
        <w:spacing w:after="0" w:line="360" w:lineRule="auto"/>
        <w:jc w:val="both"/>
        <w:rPr>
          <w:rFonts w:asciiTheme="majorBidi" w:hAnsiTheme="majorBidi" w:cstheme="majorBidi"/>
          <w:lang w:val="en-US"/>
        </w:rPr>
      </w:pPr>
      <w:proofErr w:type="spellStart"/>
      <w:r w:rsidRPr="00666A23">
        <w:rPr>
          <w:rFonts w:asciiTheme="majorBidi" w:hAnsiTheme="majorBidi" w:cstheme="majorBidi"/>
          <w:color w:val="00B0F0"/>
          <w:lang w:val="en-US"/>
        </w:rPr>
        <w:t>Nanakorn</w:t>
      </w:r>
      <w:proofErr w:type="spellEnd"/>
      <w:r w:rsidRPr="00666A23">
        <w:rPr>
          <w:rFonts w:asciiTheme="majorBidi" w:hAnsiTheme="majorBidi" w:cstheme="majorBidi"/>
          <w:color w:val="00B0F0"/>
          <w:lang w:val="en-US"/>
        </w:rPr>
        <w:t xml:space="preserve"> </w:t>
      </w:r>
      <w:r w:rsidR="00AC6E43" w:rsidRPr="00666A23">
        <w:rPr>
          <w:rFonts w:asciiTheme="majorBidi" w:hAnsiTheme="majorBidi" w:cstheme="majorBidi"/>
          <w:color w:val="00B0F0"/>
          <w:lang w:val="en-US"/>
        </w:rPr>
        <w:t>et al</w:t>
      </w:r>
      <w:r w:rsidRPr="00666A23">
        <w:rPr>
          <w:rFonts w:asciiTheme="majorBidi" w:hAnsiTheme="majorBidi" w:cstheme="majorBidi"/>
          <w:color w:val="00B0F0"/>
          <w:lang w:val="en-US"/>
        </w:rPr>
        <w:t xml:space="preserve"> (2021</w:t>
      </w:r>
      <w:r w:rsidR="00DD3229" w:rsidRPr="00666A23">
        <w:rPr>
          <w:rFonts w:asciiTheme="majorBidi" w:hAnsiTheme="majorBidi" w:cstheme="majorBidi"/>
          <w:color w:val="00B0F0"/>
          <w:lang w:val="en-US"/>
        </w:rPr>
        <w:t xml:space="preserve">) </w:t>
      </w:r>
      <w:r w:rsidR="00DD3229">
        <w:rPr>
          <w:rFonts w:asciiTheme="majorBidi" w:hAnsiTheme="majorBidi" w:cstheme="majorBidi"/>
          <w:lang w:val="en-US"/>
        </w:rPr>
        <w:t>attempt</w:t>
      </w:r>
      <w:r w:rsidRPr="00342A48">
        <w:rPr>
          <w:rFonts w:asciiTheme="majorBidi" w:hAnsiTheme="majorBidi" w:cstheme="majorBidi"/>
          <w:lang w:val="en-US"/>
        </w:rPr>
        <w:t xml:space="preserve"> to evaluate HRP using forward-looking analysis and historical data from stock indices and bond futures, against more realistic benchmark methods and using additional performance measures relevant to practitioners. The main conclusion is that the application of hierarchical classification to risk-based portfolio construction does indeed improve out-of-sample performance and the Sharpe ratio. </w:t>
      </w:r>
    </w:p>
    <w:p w14:paraId="6AD6D8A8" w14:textId="77777777" w:rsidR="00342A48" w:rsidRPr="00342A48" w:rsidRDefault="00342A48" w:rsidP="00213464">
      <w:pPr>
        <w:spacing w:after="0" w:line="360" w:lineRule="auto"/>
        <w:jc w:val="both"/>
        <w:rPr>
          <w:rFonts w:asciiTheme="majorBidi" w:hAnsiTheme="majorBidi" w:cstheme="majorBidi"/>
          <w:lang w:val="en-US"/>
        </w:rPr>
      </w:pPr>
      <w:r w:rsidRPr="00666A23">
        <w:rPr>
          <w:rFonts w:asciiTheme="majorBidi" w:hAnsiTheme="majorBidi" w:cstheme="majorBidi"/>
          <w:color w:val="00B0F0"/>
          <w:lang w:val="en-US"/>
        </w:rPr>
        <w:t xml:space="preserve">Roy Kwon (2022) </w:t>
      </w:r>
      <w:r w:rsidRPr="00342A48">
        <w:rPr>
          <w:rFonts w:asciiTheme="majorBidi" w:hAnsiTheme="majorBidi" w:cstheme="majorBidi"/>
          <w:lang w:val="en-US"/>
        </w:rPr>
        <w:t xml:space="preserve">presented a stochastic optimization framework for integrating time-varying factor covariance models into a risk-based portfolio optimization framework. He considered three risk-based portfolio optimizations: minimum variance, maximum diversification and equal risk contribution, and provided a first-order method for performing the integrated optimization. He presented several historical simulations using U.S. industry and stock data, and demonstrated the advantages of the integrated approach </w:t>
      </w:r>
      <w:r w:rsidR="00213464">
        <w:rPr>
          <w:rFonts w:asciiTheme="majorBidi" w:hAnsiTheme="majorBidi" w:cstheme="majorBidi"/>
          <w:lang w:val="en-US"/>
        </w:rPr>
        <w:t>over the decoupled alternative.</w:t>
      </w:r>
    </w:p>
    <w:p w14:paraId="4F429B7E" w14:textId="77777777" w:rsidR="00DC4A4B" w:rsidRPr="00DC4A4B" w:rsidRDefault="00DC4A4B" w:rsidP="00DC4A4B">
      <w:pPr>
        <w:spacing w:after="0" w:line="360" w:lineRule="auto"/>
        <w:jc w:val="both"/>
        <w:rPr>
          <w:rFonts w:asciiTheme="majorBidi" w:hAnsiTheme="majorBidi" w:cstheme="majorBidi"/>
          <w:lang w:val="en-US"/>
        </w:rPr>
      </w:pPr>
      <w:r w:rsidRPr="00DC4A4B">
        <w:rPr>
          <w:rFonts w:asciiTheme="majorBidi" w:hAnsiTheme="majorBidi" w:cstheme="majorBidi"/>
          <w:lang w:val="en-US"/>
        </w:rPr>
        <w:t xml:space="preserve">  The empirical study we are proposing aims to assess the performance of portfolio allocation strategies involving the study of risk-based diversification methods. </w:t>
      </w:r>
    </w:p>
    <w:p w14:paraId="4954115B" w14:textId="77777777" w:rsidR="00DC4A4B" w:rsidRPr="00DC4A4B" w:rsidRDefault="00DC4A4B" w:rsidP="00DC4A4B">
      <w:pPr>
        <w:spacing w:after="0" w:line="360" w:lineRule="auto"/>
        <w:jc w:val="both"/>
        <w:rPr>
          <w:rFonts w:asciiTheme="majorBidi" w:hAnsiTheme="majorBidi" w:cstheme="majorBidi"/>
          <w:lang w:val="en-US"/>
        </w:rPr>
      </w:pPr>
      <w:r w:rsidRPr="00DC4A4B">
        <w:rPr>
          <w:rFonts w:asciiTheme="majorBidi" w:hAnsiTheme="majorBidi" w:cstheme="majorBidi"/>
          <w:lang w:val="en-US"/>
        </w:rPr>
        <w:t xml:space="preserve"> The proposed approach consists in first analyzing the forecasts of the covariance matrix between the various assets in the portfolio. These forecasts will be evaluated using the historical simulation method (EWMA), which has the advantage of being based on real historical data, and a more sophisticated model (parametric method) to obtain more relevant results. In the second stage, we aim to study the performance of risk-based indexing strategies ERC, MDP and PVM, IVP, MDCEP. The results will be compared with those of a passive portfolio management strategy: naive diversification. The choice of this strategy as a benchmark seems appropriate given its ease of implementation.</w:t>
      </w:r>
    </w:p>
    <w:p w14:paraId="392AAF12" w14:textId="77777777" w:rsidR="00342A48" w:rsidRDefault="00DC4A4B" w:rsidP="00DC4A4B">
      <w:pPr>
        <w:spacing w:after="0" w:line="360" w:lineRule="auto"/>
        <w:jc w:val="both"/>
        <w:rPr>
          <w:rFonts w:asciiTheme="majorBidi" w:hAnsiTheme="majorBidi" w:cstheme="majorBidi"/>
          <w:lang w:val="en-US"/>
        </w:rPr>
      </w:pPr>
      <w:r w:rsidRPr="00DC4A4B">
        <w:rPr>
          <w:rFonts w:asciiTheme="majorBidi" w:hAnsiTheme="majorBidi" w:cstheme="majorBidi"/>
          <w:lang w:val="en-US"/>
        </w:rPr>
        <w:t>In order to implement the different strategies, we have chosen to apply our methodology to a portfolio comprising two stock market indices: S&amp;P 500 and IEF (Exchange Traded Fund), and two commodities: USO (the United States Oil Fund) and XAU (the PHLX Gold/Silver Sector Index).  Daily prices are downloaded from the Yahoo Finance website for the period 03/01/2018 to 07/06/2022.</w:t>
      </w:r>
    </w:p>
    <w:p w14:paraId="358B054E" w14:textId="77777777" w:rsidR="007510AA" w:rsidRPr="007510AA" w:rsidRDefault="007510AA" w:rsidP="00DC4A4B">
      <w:pPr>
        <w:spacing w:after="0" w:line="360" w:lineRule="auto"/>
        <w:jc w:val="both"/>
        <w:rPr>
          <w:rFonts w:asciiTheme="majorBidi" w:hAnsiTheme="majorBidi" w:cstheme="majorBidi"/>
          <w:b/>
          <w:bCs/>
          <w:sz w:val="24"/>
          <w:szCs w:val="24"/>
          <w:lang w:val="en-US"/>
        </w:rPr>
      </w:pPr>
      <w:r w:rsidRPr="007510AA">
        <w:rPr>
          <w:b/>
          <w:bCs/>
          <w:sz w:val="24"/>
          <w:szCs w:val="24"/>
          <w:lang w:val="en-US"/>
        </w:rPr>
        <w:t>Section 2: Data Description, Historical Overview, and Descriptive Statistics</w:t>
      </w:r>
    </w:p>
    <w:p w14:paraId="31574AEB" w14:textId="77777777" w:rsidR="00DC4A4B" w:rsidRPr="007510AA" w:rsidRDefault="007510AA" w:rsidP="00DC4A4B">
      <w:pPr>
        <w:spacing w:after="0" w:line="360" w:lineRule="auto"/>
        <w:ind w:right="284"/>
        <w:jc w:val="both"/>
        <w:rPr>
          <w:rFonts w:asciiTheme="majorBidi" w:hAnsiTheme="majorBidi" w:cstheme="majorBidi"/>
          <w:b/>
          <w:bCs/>
          <w:i/>
          <w:iCs/>
          <w:lang w:val="en-US"/>
        </w:rPr>
      </w:pPr>
      <w:r>
        <w:rPr>
          <w:rFonts w:asciiTheme="majorBidi" w:hAnsiTheme="majorBidi" w:cstheme="majorBidi"/>
          <w:b/>
          <w:bCs/>
          <w:i/>
          <w:iCs/>
          <w:lang w:val="en-US"/>
        </w:rPr>
        <w:t xml:space="preserve">   2.</w:t>
      </w:r>
      <w:r w:rsidR="00DC4A4B" w:rsidRPr="007510AA">
        <w:rPr>
          <w:rFonts w:asciiTheme="majorBidi" w:hAnsiTheme="majorBidi" w:cstheme="majorBidi"/>
          <w:b/>
          <w:bCs/>
          <w:i/>
          <w:iCs/>
          <w:lang w:val="en-US"/>
        </w:rPr>
        <w:t>1 Data description:</w:t>
      </w:r>
    </w:p>
    <w:p w14:paraId="7CE1DB14" w14:textId="77777777" w:rsidR="00DC4A4B" w:rsidRDefault="00DC4A4B" w:rsidP="00DC4A4B">
      <w:pPr>
        <w:spacing w:after="0" w:line="360" w:lineRule="auto"/>
        <w:ind w:right="284"/>
        <w:jc w:val="both"/>
        <w:rPr>
          <w:rFonts w:asciiTheme="majorBidi" w:hAnsiTheme="majorBidi" w:cstheme="majorBidi"/>
          <w:lang w:val="en-US"/>
        </w:rPr>
      </w:pPr>
      <w:r w:rsidRPr="00DC4A4B">
        <w:rPr>
          <w:rFonts w:asciiTheme="majorBidi" w:hAnsiTheme="majorBidi" w:cstheme="majorBidi"/>
          <w:lang w:val="en-US"/>
        </w:rPr>
        <w:t>In our analysis we include a set of daily data from four time series namely:</w:t>
      </w:r>
    </w:p>
    <w:p w14:paraId="399AAFF0" w14:textId="77777777" w:rsidR="00F601C5" w:rsidRDefault="00F601C5" w:rsidP="00DC4A4B">
      <w:pPr>
        <w:spacing w:after="0" w:line="360" w:lineRule="auto"/>
        <w:ind w:right="284"/>
        <w:jc w:val="both"/>
        <w:rPr>
          <w:rFonts w:asciiTheme="majorBidi" w:hAnsiTheme="majorBidi" w:cstheme="majorBidi"/>
          <w:lang w:val="en-US"/>
        </w:rPr>
      </w:pPr>
    </w:p>
    <w:p w14:paraId="36B31208" w14:textId="77777777" w:rsidR="00F601C5" w:rsidRDefault="00F601C5" w:rsidP="00DC4A4B">
      <w:pPr>
        <w:spacing w:after="0" w:line="360" w:lineRule="auto"/>
        <w:ind w:right="284"/>
        <w:jc w:val="both"/>
        <w:rPr>
          <w:rFonts w:asciiTheme="majorBidi" w:hAnsiTheme="majorBidi" w:cstheme="majorBidi"/>
          <w:lang w:val="en-US"/>
        </w:rPr>
      </w:pPr>
    </w:p>
    <w:p w14:paraId="169095DC" w14:textId="77777777" w:rsidR="00F601C5" w:rsidRPr="00DC4A4B" w:rsidRDefault="00F601C5" w:rsidP="00DC4A4B">
      <w:pPr>
        <w:spacing w:after="0" w:line="360" w:lineRule="auto"/>
        <w:ind w:right="284"/>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2061"/>
        <w:gridCol w:w="4854"/>
        <w:gridCol w:w="2147"/>
      </w:tblGrid>
      <w:tr w:rsidR="00DC4A4B" w:rsidRPr="007510AA" w14:paraId="391A92D7" w14:textId="77777777" w:rsidTr="00F86695">
        <w:tc>
          <w:tcPr>
            <w:tcW w:w="2093" w:type="dxa"/>
          </w:tcPr>
          <w:p w14:paraId="7F9E99EE" w14:textId="77777777" w:rsidR="00DC4A4B" w:rsidRPr="007510AA" w:rsidRDefault="00DC4A4B" w:rsidP="00DC4A4B">
            <w:pPr>
              <w:rPr>
                <w:lang w:val="en-US"/>
              </w:rPr>
            </w:pPr>
            <w:r w:rsidRPr="007510AA">
              <w:rPr>
                <w:lang w:val="en-US"/>
              </w:rPr>
              <w:t xml:space="preserve">Variables </w:t>
            </w:r>
          </w:p>
        </w:tc>
        <w:tc>
          <w:tcPr>
            <w:tcW w:w="5043" w:type="dxa"/>
          </w:tcPr>
          <w:p w14:paraId="02842F7C" w14:textId="77777777" w:rsidR="00DC4A4B" w:rsidRPr="007510AA" w:rsidRDefault="00DC4A4B">
            <w:pPr>
              <w:rPr>
                <w:lang w:val="en-US"/>
              </w:rPr>
            </w:pPr>
            <w:r w:rsidRPr="007510AA">
              <w:rPr>
                <w:lang w:val="en-US"/>
              </w:rPr>
              <w:t xml:space="preserve"> Measures </w:t>
            </w:r>
          </w:p>
        </w:tc>
        <w:tc>
          <w:tcPr>
            <w:tcW w:w="2152" w:type="dxa"/>
          </w:tcPr>
          <w:p w14:paraId="241E4A71" w14:textId="77777777" w:rsidR="00DC4A4B" w:rsidRPr="007510AA" w:rsidRDefault="00DC4A4B">
            <w:pPr>
              <w:rPr>
                <w:lang w:val="en-US"/>
              </w:rPr>
            </w:pPr>
            <w:r w:rsidRPr="007510AA">
              <w:rPr>
                <w:lang w:val="en-US"/>
              </w:rPr>
              <w:t xml:space="preserve">Authors </w:t>
            </w:r>
          </w:p>
        </w:tc>
      </w:tr>
      <w:tr w:rsidR="00DC4A4B" w:rsidRPr="001C4FAF" w14:paraId="062BFB7A" w14:textId="77777777" w:rsidTr="00F86695">
        <w:tc>
          <w:tcPr>
            <w:tcW w:w="2093" w:type="dxa"/>
          </w:tcPr>
          <w:p w14:paraId="4B801F04" w14:textId="77777777" w:rsidR="00DC4A4B" w:rsidRPr="00DC4A4B" w:rsidRDefault="00F86695" w:rsidP="000953B1">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S&amp;P 500 (Standard &amp; Poor 500 or SPX)</w:t>
            </w:r>
          </w:p>
        </w:tc>
        <w:tc>
          <w:tcPr>
            <w:tcW w:w="5043" w:type="dxa"/>
          </w:tcPr>
          <w:p w14:paraId="0D32BF49" w14:textId="77777777" w:rsidR="00DC4A4B" w:rsidRPr="00DC4A4B" w:rsidRDefault="00F86695" w:rsidP="000953B1">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 xml:space="preserve">The S&amp;P 500 index is made up of the 500 largest-capitalization U.S. stocks, representing around 80% of U.S. market capitalization. It is widely </w:t>
            </w:r>
            <w:r w:rsidRPr="00F86695">
              <w:rPr>
                <w:rFonts w:asciiTheme="majorBidi" w:eastAsiaTheme="minorHAnsi" w:hAnsiTheme="majorBidi" w:cstheme="majorBidi"/>
                <w:sz w:val="22"/>
                <w:szCs w:val="22"/>
                <w:lang w:val="en-US" w:eastAsia="en-US"/>
              </w:rPr>
              <w:lastRenderedPageBreak/>
              <w:t>regarded as the best indicator of US market performance.</w:t>
            </w:r>
            <w:r w:rsidRPr="00F86695">
              <w:rPr>
                <w:rFonts w:asciiTheme="majorBidi" w:eastAsiaTheme="minorHAnsi" w:hAnsiTheme="majorBidi" w:cstheme="majorBidi"/>
                <w:sz w:val="22"/>
                <w:szCs w:val="22"/>
                <w:lang w:val="en-US" w:eastAsia="en-US"/>
              </w:rPr>
              <w:tab/>
            </w:r>
          </w:p>
        </w:tc>
        <w:tc>
          <w:tcPr>
            <w:tcW w:w="2152" w:type="dxa"/>
          </w:tcPr>
          <w:p w14:paraId="6EE11D65" w14:textId="77777777" w:rsidR="00DC4A4B" w:rsidRDefault="00666A23" w:rsidP="000953B1">
            <w:pPr>
              <w:spacing w:line="360" w:lineRule="auto"/>
              <w:ind w:right="284"/>
              <w:jc w:val="both"/>
              <w:rPr>
                <w:rFonts w:eastAsia="Times New Roman"/>
                <w:lang w:val="en-US"/>
              </w:rPr>
            </w:pPr>
            <w:r w:rsidRPr="00FA1271">
              <w:rPr>
                <w:rFonts w:eastAsia="Times New Roman"/>
                <w:color w:val="00B0F0"/>
                <w:lang w:val="en-US"/>
              </w:rPr>
              <w:lastRenderedPageBreak/>
              <w:t>Ardia, D., &amp;</w:t>
            </w:r>
            <w:proofErr w:type="spellStart"/>
            <w:r w:rsidRPr="00FA1271">
              <w:rPr>
                <w:rFonts w:eastAsia="Times New Roman"/>
                <w:color w:val="00B0F0"/>
                <w:lang w:val="en-US"/>
              </w:rPr>
              <w:t>Boudt</w:t>
            </w:r>
            <w:proofErr w:type="spellEnd"/>
            <w:r w:rsidRPr="00FA1271">
              <w:rPr>
                <w:rFonts w:eastAsia="Times New Roman"/>
                <w:color w:val="00B0F0"/>
                <w:lang w:val="en-US"/>
              </w:rPr>
              <w:t>, K. (2015)</w:t>
            </w:r>
            <w:r w:rsidRPr="00DD3229">
              <w:rPr>
                <w:rFonts w:eastAsia="Times New Roman"/>
                <w:lang w:val="en-US"/>
              </w:rPr>
              <w:t>.</w:t>
            </w:r>
          </w:p>
          <w:p w14:paraId="4D31AFA4" w14:textId="77777777" w:rsidR="00666A23" w:rsidRPr="00DC4A4B" w:rsidRDefault="00666A23" w:rsidP="000953B1">
            <w:pPr>
              <w:spacing w:line="360" w:lineRule="auto"/>
              <w:ind w:right="284"/>
              <w:jc w:val="both"/>
              <w:rPr>
                <w:rFonts w:asciiTheme="majorBidi" w:eastAsiaTheme="minorHAnsi" w:hAnsiTheme="majorBidi" w:cstheme="majorBidi"/>
                <w:sz w:val="22"/>
                <w:szCs w:val="22"/>
                <w:lang w:val="en-US" w:eastAsia="en-US"/>
              </w:rPr>
            </w:pPr>
            <w:r w:rsidRPr="00FA1271">
              <w:rPr>
                <w:rFonts w:eastAsia="Times New Roman"/>
                <w:color w:val="00B0F0"/>
                <w:lang w:val="en-US"/>
              </w:rPr>
              <w:lastRenderedPageBreak/>
              <w:t>Bertrand, P., &amp; Lapointe, V. (2015).</w:t>
            </w:r>
          </w:p>
        </w:tc>
      </w:tr>
      <w:tr w:rsidR="00DC4A4B" w:rsidRPr="001C4FAF" w14:paraId="2DC3AC3D" w14:textId="77777777" w:rsidTr="00F86695">
        <w:tc>
          <w:tcPr>
            <w:tcW w:w="2093" w:type="dxa"/>
          </w:tcPr>
          <w:p w14:paraId="605B2314"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r w:rsidRPr="00DC4A4B">
              <w:rPr>
                <w:rFonts w:asciiTheme="majorBidi" w:eastAsiaTheme="minorHAnsi" w:hAnsiTheme="majorBidi" w:cstheme="majorBidi"/>
                <w:sz w:val="22"/>
                <w:szCs w:val="22"/>
                <w:lang w:val="en-US" w:eastAsia="en-US"/>
              </w:rPr>
              <w:t>IEF (Exchange traded fund</w:t>
            </w:r>
            <w:proofErr w:type="gramStart"/>
            <w:r w:rsidRPr="00DC4A4B">
              <w:rPr>
                <w:rFonts w:asciiTheme="majorBidi" w:eastAsiaTheme="minorHAnsi" w:hAnsiTheme="majorBidi" w:cstheme="majorBidi"/>
                <w:sz w:val="22"/>
                <w:szCs w:val="22"/>
                <w:lang w:val="en-US" w:eastAsia="en-US"/>
              </w:rPr>
              <w:t>) :</w:t>
            </w:r>
            <w:proofErr w:type="gramEnd"/>
            <w:r w:rsidRPr="00DC4A4B">
              <w:rPr>
                <w:rFonts w:asciiTheme="majorBidi" w:eastAsiaTheme="minorHAnsi" w:hAnsiTheme="majorBidi" w:cstheme="majorBidi"/>
                <w:sz w:val="22"/>
                <w:szCs w:val="22"/>
                <w:lang w:val="en-US" w:eastAsia="en-US"/>
              </w:rPr>
              <w:t xml:space="preserve"> </w:t>
            </w:r>
          </w:p>
          <w:p w14:paraId="235D931B"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p>
        </w:tc>
        <w:tc>
          <w:tcPr>
            <w:tcW w:w="5043" w:type="dxa"/>
          </w:tcPr>
          <w:p w14:paraId="57E1284E" w14:textId="77777777" w:rsidR="00DC4A4B" w:rsidRPr="00DC4A4B" w:rsidRDefault="00F86695" w:rsidP="000953B1">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 xml:space="preserve">also known as a </w:t>
            </w:r>
            <w:r>
              <w:rPr>
                <w:rFonts w:asciiTheme="majorBidi" w:eastAsiaTheme="minorHAnsi" w:hAnsiTheme="majorBidi" w:cstheme="majorBidi"/>
                <w:sz w:val="22"/>
                <w:szCs w:val="22"/>
                <w:lang w:val="en-US" w:eastAsia="en-US"/>
              </w:rPr>
              <w:t>“</w:t>
            </w:r>
            <w:r w:rsidRPr="00F86695">
              <w:rPr>
                <w:rFonts w:asciiTheme="majorBidi" w:eastAsiaTheme="minorHAnsi" w:hAnsiTheme="majorBidi" w:cstheme="majorBidi"/>
                <w:sz w:val="22"/>
                <w:szCs w:val="22"/>
                <w:lang w:val="en-US" w:eastAsia="en-US"/>
              </w:rPr>
              <w:t>tracker</w:t>
            </w:r>
            <w:r>
              <w:rPr>
                <w:rFonts w:asciiTheme="majorBidi" w:eastAsiaTheme="minorHAnsi" w:hAnsiTheme="majorBidi" w:cstheme="majorBidi"/>
                <w:sz w:val="22"/>
                <w:szCs w:val="22"/>
                <w:lang w:val="en-US" w:eastAsia="en-US"/>
              </w:rPr>
              <w:t>”</w:t>
            </w:r>
            <w:r w:rsidRPr="00F86695">
              <w:rPr>
                <w:rFonts w:asciiTheme="majorBidi" w:eastAsiaTheme="minorHAnsi" w:hAnsiTheme="majorBidi" w:cstheme="majorBidi"/>
                <w:sz w:val="22"/>
                <w:szCs w:val="22"/>
                <w:lang w:val="en-US" w:eastAsia="en-US"/>
              </w:rPr>
              <w:t>, is an investment fund designed to replicate the rise and fall of a stock market index (such as the CAC 40). ETFs are issued by asset management companies. They are passively managed, as their objective is to track their benchmark index rather than to seek out better performance.</w:t>
            </w:r>
          </w:p>
        </w:tc>
        <w:tc>
          <w:tcPr>
            <w:tcW w:w="2152" w:type="dxa"/>
          </w:tcPr>
          <w:p w14:paraId="73D42CB2" w14:textId="77777777" w:rsidR="00DC4A4B" w:rsidRPr="00DC4A4B" w:rsidRDefault="00666A23" w:rsidP="000953B1">
            <w:pPr>
              <w:spacing w:line="360" w:lineRule="auto"/>
              <w:ind w:right="284"/>
              <w:jc w:val="both"/>
              <w:rPr>
                <w:rFonts w:asciiTheme="majorBidi" w:eastAsiaTheme="minorHAnsi" w:hAnsiTheme="majorBidi" w:cstheme="majorBidi"/>
                <w:sz w:val="22"/>
                <w:szCs w:val="22"/>
                <w:lang w:val="en-US" w:eastAsia="en-US"/>
              </w:rPr>
            </w:pPr>
            <w:r w:rsidRPr="00FA1271">
              <w:rPr>
                <w:rFonts w:eastAsia="Times New Roman"/>
                <w:color w:val="00B0F0"/>
                <w:lang w:val="en-US"/>
              </w:rPr>
              <w:t>Engle, R. (2002).</w:t>
            </w:r>
          </w:p>
        </w:tc>
      </w:tr>
      <w:tr w:rsidR="00DC4A4B" w:rsidRPr="00666A23" w14:paraId="4A62F530" w14:textId="77777777" w:rsidTr="00F86695">
        <w:tc>
          <w:tcPr>
            <w:tcW w:w="2093" w:type="dxa"/>
          </w:tcPr>
          <w:p w14:paraId="46B37880"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r w:rsidRPr="00DC4A4B">
              <w:rPr>
                <w:rFonts w:asciiTheme="majorBidi" w:eastAsiaTheme="minorHAnsi" w:hAnsiTheme="majorBidi" w:cstheme="majorBidi"/>
                <w:sz w:val="22"/>
                <w:szCs w:val="22"/>
                <w:lang w:val="en-US" w:eastAsia="en-US"/>
              </w:rPr>
              <w:t>XAU (the PHLX Gold/Silver Sector Index):</w:t>
            </w:r>
          </w:p>
          <w:p w14:paraId="6E22A642"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p>
        </w:tc>
        <w:tc>
          <w:tcPr>
            <w:tcW w:w="5043" w:type="dxa"/>
          </w:tcPr>
          <w:p w14:paraId="42511110" w14:textId="77777777" w:rsidR="00DC4A4B" w:rsidRPr="00DC4A4B" w:rsidRDefault="00F86695" w:rsidP="000953B1">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 xml:space="preserve">The Philadelphia Gold/Silver Sector Index is an index of eleven precious metals mining companies traded on the Philadelphia Stock </w:t>
            </w:r>
            <w:proofErr w:type="spellStart"/>
            <w:r w:rsidRPr="00F86695">
              <w:rPr>
                <w:rFonts w:asciiTheme="majorBidi" w:eastAsiaTheme="minorHAnsi" w:hAnsiTheme="majorBidi" w:cstheme="majorBidi"/>
                <w:sz w:val="22"/>
                <w:szCs w:val="22"/>
                <w:lang w:val="en-US" w:eastAsia="en-US"/>
              </w:rPr>
              <w:t>Exchange.It</w:t>
            </w:r>
            <w:proofErr w:type="spellEnd"/>
            <w:r w:rsidRPr="00F86695">
              <w:rPr>
                <w:rFonts w:asciiTheme="majorBidi" w:eastAsiaTheme="minorHAnsi" w:hAnsiTheme="majorBidi" w:cstheme="majorBidi"/>
                <w:sz w:val="22"/>
                <w:szCs w:val="22"/>
                <w:lang w:val="en-US" w:eastAsia="en-US"/>
              </w:rPr>
              <w:t xml:space="preserve"> is symbolized by "XAU".</w:t>
            </w:r>
          </w:p>
        </w:tc>
        <w:tc>
          <w:tcPr>
            <w:tcW w:w="2152" w:type="dxa"/>
          </w:tcPr>
          <w:p w14:paraId="3B08599F" w14:textId="77777777" w:rsidR="00DC4A4B" w:rsidRPr="00666A23" w:rsidRDefault="00666A23" w:rsidP="000953B1">
            <w:pPr>
              <w:spacing w:line="360" w:lineRule="auto"/>
              <w:ind w:right="284"/>
              <w:jc w:val="both"/>
              <w:rPr>
                <w:rFonts w:asciiTheme="majorBidi" w:eastAsiaTheme="minorHAnsi" w:hAnsiTheme="majorBidi" w:cstheme="majorBidi"/>
                <w:sz w:val="22"/>
                <w:szCs w:val="22"/>
                <w:lang w:eastAsia="en-US"/>
              </w:rPr>
            </w:pPr>
            <w:proofErr w:type="spellStart"/>
            <w:proofErr w:type="gramStart"/>
            <w:r w:rsidRPr="00FA1271">
              <w:rPr>
                <w:rFonts w:eastAsia="Times New Roman"/>
                <w:color w:val="00B0F0"/>
              </w:rPr>
              <w:t>Choueifaty,Y</w:t>
            </w:r>
            <w:proofErr w:type="spellEnd"/>
            <w:r w:rsidRPr="00FA1271">
              <w:rPr>
                <w:rFonts w:eastAsia="Times New Roman"/>
                <w:color w:val="00B0F0"/>
              </w:rPr>
              <w:t>.</w:t>
            </w:r>
            <w:proofErr w:type="gramEnd"/>
            <w:r w:rsidRPr="00FA1271">
              <w:rPr>
                <w:rFonts w:eastAsia="Times New Roman"/>
                <w:color w:val="00B0F0"/>
              </w:rPr>
              <w:t xml:space="preserve">, et </w:t>
            </w:r>
            <w:proofErr w:type="spellStart"/>
            <w:r w:rsidRPr="00FA1271">
              <w:rPr>
                <w:rFonts w:eastAsia="Times New Roman"/>
                <w:color w:val="00B0F0"/>
              </w:rPr>
              <w:t>Coignard,Y</w:t>
            </w:r>
            <w:proofErr w:type="spellEnd"/>
            <w:r w:rsidRPr="00FA1271">
              <w:rPr>
                <w:rFonts w:eastAsia="Times New Roman"/>
                <w:color w:val="00B0F0"/>
              </w:rPr>
              <w:t>.(2008).</w:t>
            </w:r>
          </w:p>
        </w:tc>
      </w:tr>
      <w:tr w:rsidR="00DC4A4B" w:rsidRPr="001C4FAF" w14:paraId="3019AD53" w14:textId="77777777" w:rsidTr="00F86695">
        <w:tc>
          <w:tcPr>
            <w:tcW w:w="2093" w:type="dxa"/>
          </w:tcPr>
          <w:p w14:paraId="516516C4"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r w:rsidRPr="00DC4A4B">
              <w:rPr>
                <w:rFonts w:asciiTheme="majorBidi" w:eastAsiaTheme="minorHAnsi" w:hAnsiTheme="majorBidi" w:cstheme="majorBidi"/>
                <w:sz w:val="22"/>
                <w:szCs w:val="22"/>
                <w:lang w:val="en-US" w:eastAsia="en-US"/>
              </w:rPr>
              <w:t>USO (the United States Oil Fund):</w:t>
            </w:r>
          </w:p>
          <w:p w14:paraId="2E273F5C"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p>
        </w:tc>
        <w:tc>
          <w:tcPr>
            <w:tcW w:w="5043" w:type="dxa"/>
          </w:tcPr>
          <w:p w14:paraId="32B68450" w14:textId="77777777" w:rsidR="00DC4A4B" w:rsidRPr="00DC4A4B" w:rsidRDefault="00F86695" w:rsidP="00F86695">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 xml:space="preserve">The United States Oil Fund (NYSE Arca: USO) is an exchange-traded fund (ETF) that attempts to track the price of ' West Texas Intermediate Light Sweet Crude Oil '. It differs from an exchange-traded bill (ETN) in that it represents a claim of ownership on the underlying securities that the fund has pooled. </w:t>
            </w:r>
            <w:r w:rsidRPr="004F4C98">
              <w:rPr>
                <w:rFonts w:asciiTheme="majorBidi" w:eastAsiaTheme="minorHAnsi" w:hAnsiTheme="majorBidi" w:cstheme="majorBidi"/>
                <w:sz w:val="22"/>
                <w:szCs w:val="22"/>
                <w:lang w:val="en-US" w:eastAsia="en-US"/>
              </w:rPr>
              <w:t>The USO invests in oil futures contracts traded on regulated futures markets.</w:t>
            </w:r>
            <w:r w:rsidRPr="004F4C98">
              <w:rPr>
                <w:rFonts w:asciiTheme="majorBidi" w:eastAsiaTheme="minorHAnsi" w:hAnsiTheme="majorBidi" w:cstheme="majorBidi"/>
                <w:sz w:val="22"/>
                <w:szCs w:val="22"/>
                <w:lang w:val="en-US" w:eastAsia="en-US"/>
              </w:rPr>
              <w:tab/>
            </w:r>
          </w:p>
        </w:tc>
        <w:tc>
          <w:tcPr>
            <w:tcW w:w="2152" w:type="dxa"/>
          </w:tcPr>
          <w:p w14:paraId="1EFECD60" w14:textId="77777777" w:rsidR="00DC4A4B" w:rsidRPr="00DC4A4B" w:rsidRDefault="00FA1271" w:rsidP="000953B1">
            <w:pPr>
              <w:spacing w:line="360" w:lineRule="auto"/>
              <w:ind w:right="284"/>
              <w:jc w:val="both"/>
              <w:rPr>
                <w:rFonts w:asciiTheme="majorBidi" w:eastAsiaTheme="minorHAnsi" w:hAnsiTheme="majorBidi" w:cstheme="majorBidi"/>
                <w:sz w:val="22"/>
                <w:szCs w:val="22"/>
                <w:lang w:val="en-US" w:eastAsia="en-US"/>
              </w:rPr>
            </w:pPr>
            <w:r w:rsidRPr="00FA1271">
              <w:rPr>
                <w:rFonts w:eastAsia="Times New Roman"/>
                <w:color w:val="00B0F0"/>
                <w:lang w:val="en-US"/>
              </w:rPr>
              <w:t>Ghysels, E., Rubia, A., &amp;</w:t>
            </w:r>
            <w:proofErr w:type="spellStart"/>
            <w:r w:rsidRPr="00FA1271">
              <w:rPr>
                <w:rFonts w:eastAsia="Times New Roman"/>
                <w:color w:val="00B0F0"/>
                <w:lang w:val="en-US"/>
              </w:rPr>
              <w:t>Valkanov</w:t>
            </w:r>
            <w:proofErr w:type="spellEnd"/>
            <w:r w:rsidRPr="00FA1271">
              <w:rPr>
                <w:rFonts w:eastAsia="Times New Roman"/>
                <w:color w:val="00B0F0"/>
                <w:lang w:val="en-US"/>
              </w:rPr>
              <w:t>, R. (2009)</w:t>
            </w:r>
          </w:p>
        </w:tc>
      </w:tr>
    </w:tbl>
    <w:p w14:paraId="641B0DA3" w14:textId="1992E150" w:rsidR="00DC4A4B" w:rsidRPr="00C7360F" w:rsidRDefault="00C7360F" w:rsidP="00DC4A4B">
      <w:pPr>
        <w:spacing w:after="0" w:line="360" w:lineRule="auto"/>
        <w:jc w:val="both"/>
        <w:rPr>
          <w:rFonts w:asciiTheme="majorBidi" w:hAnsiTheme="majorBidi" w:cstheme="majorBidi"/>
          <w:b/>
          <w:bCs/>
          <w:lang w:val="en-US"/>
        </w:rPr>
      </w:pPr>
      <w:r w:rsidRPr="00C7360F">
        <w:rPr>
          <w:rFonts w:asciiTheme="majorBidi" w:hAnsiTheme="majorBidi" w:cstheme="majorBidi"/>
          <w:b/>
          <w:bCs/>
          <w:lang w:val="en-US"/>
        </w:rPr>
        <w:t>Table 1:</w:t>
      </w:r>
      <w:r w:rsidR="005A6AFE" w:rsidRPr="00C7360F">
        <w:rPr>
          <w:rFonts w:asciiTheme="majorBidi" w:hAnsiTheme="majorBidi" w:cstheme="majorBidi"/>
          <w:b/>
          <w:bCs/>
          <w:lang w:val="en-US"/>
        </w:rPr>
        <w:t xml:space="preserve"> </w:t>
      </w:r>
      <w:r w:rsidR="00AB2D9F" w:rsidRPr="00C7360F">
        <w:rPr>
          <w:rFonts w:asciiTheme="majorBidi" w:hAnsiTheme="majorBidi" w:cstheme="majorBidi"/>
          <w:b/>
          <w:bCs/>
          <w:lang w:val="en-US"/>
        </w:rPr>
        <w:t xml:space="preserve">Analysis of reviewed articles </w:t>
      </w:r>
    </w:p>
    <w:p w14:paraId="7CE700CD" w14:textId="77777777" w:rsidR="007510AA" w:rsidRPr="007510AA" w:rsidRDefault="007510AA" w:rsidP="007510AA">
      <w:pPr>
        <w:pStyle w:val="NormalWeb"/>
        <w:spacing w:before="0" w:beforeAutospacing="0" w:after="0" w:afterAutospacing="0" w:line="360" w:lineRule="auto"/>
        <w:jc w:val="both"/>
        <w:rPr>
          <w:sz w:val="22"/>
          <w:szCs w:val="22"/>
          <w:lang w:val="en-US"/>
        </w:rPr>
      </w:pPr>
      <w:r w:rsidRPr="007510AA">
        <w:rPr>
          <w:sz w:val="22"/>
          <w:szCs w:val="22"/>
          <w:lang w:val="en-US"/>
        </w:rPr>
        <w:t>The data are of daily frequency. The period chosen for our study was selected to provide a large data base and includes the COVID-19 pandemic crisis. We used R STUDIO software for data analysis.</w:t>
      </w:r>
    </w:p>
    <w:p w14:paraId="4516A977" w14:textId="77777777" w:rsidR="007510AA" w:rsidRPr="007510AA" w:rsidRDefault="007510AA" w:rsidP="007510AA">
      <w:pPr>
        <w:pStyle w:val="NormalWeb"/>
        <w:spacing w:before="0" w:beforeAutospacing="0" w:after="0" w:afterAutospacing="0" w:line="360" w:lineRule="auto"/>
        <w:jc w:val="both"/>
        <w:rPr>
          <w:sz w:val="22"/>
          <w:szCs w:val="22"/>
          <w:lang w:val="en-US"/>
        </w:rPr>
      </w:pPr>
      <w:r w:rsidRPr="007510AA">
        <w:rPr>
          <w:sz w:val="22"/>
          <w:szCs w:val="22"/>
          <w:lang w:val="en-US"/>
        </w:rPr>
        <w:t>The choice of the sample is justified for several reasons. Among them, the selected commodities and indices are the most important, allowing for better analysis of forecasts and discovering diversification opportunities.</w:t>
      </w:r>
    </w:p>
    <w:p w14:paraId="117010C7" w14:textId="77777777" w:rsidR="00695DA3" w:rsidRPr="007510AA" w:rsidRDefault="007510AA" w:rsidP="00695DA3">
      <w:pPr>
        <w:spacing w:after="0" w:line="360" w:lineRule="auto"/>
        <w:jc w:val="both"/>
        <w:rPr>
          <w:rFonts w:asciiTheme="majorBidi" w:hAnsiTheme="majorBidi" w:cstheme="majorBidi"/>
          <w:b/>
          <w:bCs/>
          <w:i/>
          <w:iCs/>
          <w:lang w:val="en-US"/>
        </w:rPr>
      </w:pPr>
      <w:r w:rsidRPr="007510AA">
        <w:rPr>
          <w:rFonts w:asciiTheme="majorBidi" w:hAnsiTheme="majorBidi" w:cstheme="majorBidi"/>
          <w:b/>
          <w:bCs/>
          <w:i/>
          <w:iCs/>
          <w:lang w:val="en-US"/>
        </w:rPr>
        <w:t xml:space="preserve">  2</w:t>
      </w:r>
      <w:r w:rsidR="00695DA3" w:rsidRPr="007510AA">
        <w:rPr>
          <w:rFonts w:asciiTheme="majorBidi" w:hAnsiTheme="majorBidi" w:cstheme="majorBidi"/>
          <w:b/>
          <w:bCs/>
          <w:i/>
          <w:iCs/>
          <w:lang w:val="en-US"/>
        </w:rPr>
        <w:t xml:space="preserve">.2 Descriptive </w:t>
      </w:r>
      <w:proofErr w:type="gramStart"/>
      <w:r w:rsidR="00695DA3" w:rsidRPr="007510AA">
        <w:rPr>
          <w:rFonts w:asciiTheme="majorBidi" w:hAnsiTheme="majorBidi" w:cstheme="majorBidi"/>
          <w:b/>
          <w:bCs/>
          <w:i/>
          <w:iCs/>
          <w:lang w:val="en-US"/>
        </w:rPr>
        <w:t>statistics</w:t>
      </w:r>
      <w:r>
        <w:rPr>
          <w:rFonts w:asciiTheme="majorBidi" w:hAnsiTheme="majorBidi" w:cstheme="majorBidi"/>
          <w:b/>
          <w:bCs/>
          <w:i/>
          <w:iCs/>
          <w:lang w:val="en-US"/>
        </w:rPr>
        <w:t xml:space="preserve"> :</w:t>
      </w:r>
      <w:proofErr w:type="gramEnd"/>
    </w:p>
    <w:p w14:paraId="13404DE7" w14:textId="77777777" w:rsidR="00695DA3" w:rsidRDefault="00695DA3" w:rsidP="00695DA3">
      <w:pPr>
        <w:spacing w:after="0" w:line="360" w:lineRule="auto"/>
        <w:jc w:val="both"/>
        <w:rPr>
          <w:rFonts w:asciiTheme="majorBidi" w:hAnsiTheme="majorBidi" w:cstheme="majorBidi"/>
          <w:lang w:val="en-US"/>
        </w:rPr>
      </w:pPr>
      <w:r w:rsidRPr="00695DA3">
        <w:rPr>
          <w:rFonts w:asciiTheme="majorBidi" w:hAnsiTheme="majorBidi" w:cstheme="majorBidi"/>
          <w:lang w:val="en-US"/>
        </w:rPr>
        <w:t>Before applying the different alternative allocation strategies to all the variables considered, it is important to start giving a historical overview of the evolution of raw materials, stock market indices while comparing the two periods of pre and post COVID 19.</w:t>
      </w:r>
    </w:p>
    <w:p w14:paraId="24F965D2" w14:textId="77777777" w:rsidR="004E2B96" w:rsidRPr="004E2B96" w:rsidRDefault="00695DA3" w:rsidP="004E2B96">
      <w:pPr>
        <w:pStyle w:val="Caption"/>
        <w:rPr>
          <w:color w:val="auto"/>
          <w:sz w:val="22"/>
          <w:szCs w:val="22"/>
        </w:rPr>
      </w:pPr>
      <w:bookmarkStart w:id="0" w:name="_Toc126224545"/>
      <w:r w:rsidRPr="004E2B96">
        <w:rPr>
          <w:color w:val="auto"/>
          <w:sz w:val="22"/>
          <w:szCs w:val="22"/>
        </w:rPr>
        <w:t xml:space="preserve">Figure </w:t>
      </w:r>
      <w:r w:rsidRPr="004E2B96">
        <w:rPr>
          <w:color w:val="auto"/>
          <w:sz w:val="22"/>
          <w:szCs w:val="22"/>
        </w:rPr>
        <w:fldChar w:fldCharType="begin"/>
      </w:r>
      <w:r w:rsidRPr="004E2B96">
        <w:rPr>
          <w:color w:val="auto"/>
          <w:sz w:val="22"/>
          <w:szCs w:val="22"/>
        </w:rPr>
        <w:instrText xml:space="preserve"> SEQ Figure \* ARABIC </w:instrText>
      </w:r>
      <w:r w:rsidRPr="004E2B96">
        <w:rPr>
          <w:color w:val="auto"/>
          <w:sz w:val="22"/>
          <w:szCs w:val="22"/>
        </w:rPr>
        <w:fldChar w:fldCharType="separate"/>
      </w:r>
      <w:r w:rsidR="005827D7">
        <w:rPr>
          <w:noProof/>
          <w:color w:val="auto"/>
          <w:sz w:val="22"/>
          <w:szCs w:val="22"/>
        </w:rPr>
        <w:t>1</w:t>
      </w:r>
      <w:r w:rsidRPr="004E2B96">
        <w:rPr>
          <w:color w:val="auto"/>
          <w:sz w:val="22"/>
          <w:szCs w:val="22"/>
        </w:rPr>
        <w:fldChar w:fldCharType="end"/>
      </w:r>
      <w:r w:rsidRPr="004E2B96">
        <w:rPr>
          <w:color w:val="auto"/>
          <w:sz w:val="22"/>
          <w:szCs w:val="22"/>
        </w:rPr>
        <w:t xml:space="preserve"> :</w:t>
      </w:r>
      <w:r w:rsidR="004E2B96" w:rsidRPr="004E2B96">
        <w:rPr>
          <w:color w:val="auto"/>
          <w:sz w:val="22"/>
          <w:szCs w:val="22"/>
        </w:rPr>
        <w:t xml:space="preserve"> Price Evolutions of Stock Indices and Commodities (Daily Data from 01/03/2018 to 03/07/2022)</w:t>
      </w:r>
      <w:r w:rsidRPr="004E2B96">
        <w:rPr>
          <w:color w:val="auto"/>
          <w:sz w:val="22"/>
          <w:szCs w:val="22"/>
        </w:rPr>
        <w:t xml:space="preserve"> </w:t>
      </w:r>
      <w:bookmarkEnd w:id="0"/>
    </w:p>
    <w:p w14:paraId="0EC3E709" w14:textId="77777777" w:rsidR="00695DA3" w:rsidRPr="004E2B96" w:rsidRDefault="00BA40F1" w:rsidP="00695DA3">
      <w:pPr>
        <w:spacing w:after="0" w:line="360" w:lineRule="auto"/>
        <w:ind w:right="284"/>
        <w:jc w:val="both"/>
        <w:rPr>
          <w:lang w:val="en-US"/>
        </w:rPr>
      </w:pPr>
      <w:r>
        <w:object w:dxaOrig="7275" w:dyaOrig="5355" w14:anchorId="69D6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26.35pt" o:ole="">
            <v:imagedata r:id="rId7" o:title=""/>
          </v:shape>
          <o:OLEObject Type="Embed" ProgID="EViews.Workfile.2" ShapeID="_x0000_i1025" DrawAspect="Content" ObjectID="_1801724613" r:id="rId8"/>
        </w:object>
      </w:r>
      <w:r>
        <w:object w:dxaOrig="4395" w:dyaOrig="2791" w14:anchorId="62EA7F41">
          <v:shape id="_x0000_i1026" type="#_x0000_t75" style="width:186.1pt;height:128.4pt" o:ole="">
            <v:imagedata r:id="rId9" o:title=""/>
          </v:shape>
          <o:OLEObject Type="Embed" ProgID="EViews.Workfile.2" ShapeID="_x0000_i1026" DrawAspect="Content" ObjectID="_1801724614" r:id="rId10"/>
        </w:object>
      </w:r>
    </w:p>
    <w:p w14:paraId="0C82EB29" w14:textId="77777777" w:rsidR="00695DA3" w:rsidRDefault="00BA40F1" w:rsidP="00695DA3">
      <w:pPr>
        <w:spacing w:after="0" w:line="360" w:lineRule="auto"/>
        <w:ind w:right="284"/>
        <w:rPr>
          <w:b/>
          <w:bCs/>
          <w:color w:val="4F81BD" w:themeColor="accent1"/>
          <w:sz w:val="18"/>
          <w:szCs w:val="18"/>
        </w:rPr>
      </w:pPr>
      <w:r w:rsidRPr="000235CB">
        <w:rPr>
          <w:b/>
          <w:bCs/>
          <w:color w:val="4F81BD" w:themeColor="accent1"/>
          <w:sz w:val="18"/>
          <w:szCs w:val="18"/>
        </w:rPr>
        <w:object w:dxaOrig="4619" w:dyaOrig="2925" w14:anchorId="5920D7AC">
          <v:shape id="_x0000_i1027" type="#_x0000_t75" style="width:188.15pt;height:133.8pt" o:ole="">
            <v:imagedata r:id="rId11" o:title=""/>
          </v:shape>
          <o:OLEObject Type="Embed" ProgID="EViews.Workfile.2" ShapeID="_x0000_i1027" DrawAspect="Content" ObjectID="_1801724615" r:id="rId12"/>
        </w:object>
      </w:r>
      <w:r w:rsidRPr="000235CB">
        <w:rPr>
          <w:b/>
          <w:bCs/>
          <w:color w:val="4F81BD" w:themeColor="accent1"/>
          <w:sz w:val="18"/>
          <w:szCs w:val="18"/>
        </w:rPr>
        <w:object w:dxaOrig="4483" w:dyaOrig="2894" w14:anchorId="5BFED360">
          <v:shape id="_x0000_i1028" type="#_x0000_t75" style="width:197.65pt;height:135.15pt" o:ole="">
            <v:imagedata r:id="rId13" o:title=""/>
          </v:shape>
          <o:OLEObject Type="Embed" ProgID="EViews.Workfile.2" ShapeID="_x0000_i1028" DrawAspect="Content" ObjectID="_1801724616" r:id="rId14"/>
        </w:object>
      </w:r>
    </w:p>
    <w:p w14:paraId="158441CA" w14:textId="77777777" w:rsidR="00695DA3" w:rsidRDefault="00695DA3" w:rsidP="00695DA3">
      <w:pPr>
        <w:spacing w:after="0" w:line="360" w:lineRule="auto"/>
        <w:ind w:right="284"/>
        <w:jc w:val="both"/>
      </w:pPr>
    </w:p>
    <w:p w14:paraId="0DDC9736" w14:textId="77777777" w:rsidR="00695DA3" w:rsidRDefault="00695DA3" w:rsidP="00695DA3">
      <w:pPr>
        <w:spacing w:after="0" w:line="360" w:lineRule="auto"/>
        <w:jc w:val="both"/>
        <w:rPr>
          <w:rFonts w:asciiTheme="majorBidi" w:hAnsiTheme="majorBidi" w:cstheme="majorBidi"/>
          <w:lang w:val="en-US"/>
        </w:rPr>
      </w:pPr>
    </w:p>
    <w:p w14:paraId="62A1A844" w14:textId="08F75783" w:rsidR="007510AA" w:rsidRPr="007510AA" w:rsidRDefault="007510AA" w:rsidP="007510AA">
      <w:pPr>
        <w:pStyle w:val="NormalWeb"/>
        <w:spacing w:before="0" w:beforeAutospacing="0" w:after="0" w:afterAutospacing="0" w:line="360" w:lineRule="auto"/>
        <w:jc w:val="both"/>
        <w:rPr>
          <w:sz w:val="22"/>
          <w:szCs w:val="22"/>
          <w:lang w:val="en-US"/>
        </w:rPr>
      </w:pPr>
      <w:r>
        <w:rPr>
          <w:sz w:val="22"/>
          <w:szCs w:val="22"/>
          <w:lang w:val="en-US"/>
        </w:rPr>
        <w:t>Figure N</w:t>
      </w:r>
      <w:r w:rsidR="008D2A40">
        <w:rPr>
          <w:sz w:val="22"/>
          <w:szCs w:val="22"/>
          <w:lang w:val="en-US"/>
        </w:rPr>
        <w:t>o</w:t>
      </w:r>
      <w:r w:rsidRPr="007510AA">
        <w:rPr>
          <w:sz w:val="22"/>
          <w:szCs w:val="22"/>
          <w:lang w:val="en-US"/>
        </w:rPr>
        <w:t>1 illustrates the fluctuations in prices during our study period. Indeed, we observe that the curve for gold prices shows a downward trend until September 2018, followed by a remarkable increase during 2020. This increase is based on decisions made by the majority of central banks in several countries to strengthen their gold reserves.</w:t>
      </w:r>
    </w:p>
    <w:p w14:paraId="6EC114A3" w14:textId="77777777" w:rsidR="007510AA" w:rsidRPr="007510AA" w:rsidRDefault="007510AA" w:rsidP="007510AA">
      <w:pPr>
        <w:pStyle w:val="NormalWeb"/>
        <w:spacing w:before="0" w:beforeAutospacing="0" w:after="0" w:afterAutospacing="0" w:line="360" w:lineRule="auto"/>
        <w:jc w:val="both"/>
        <w:rPr>
          <w:sz w:val="22"/>
          <w:szCs w:val="22"/>
          <w:lang w:val="en-US"/>
        </w:rPr>
      </w:pPr>
      <w:r w:rsidRPr="007510AA">
        <w:rPr>
          <w:sz w:val="22"/>
          <w:szCs w:val="22"/>
          <w:lang w:val="en-US"/>
        </w:rPr>
        <w:t>For the oil price curve, we notice that at the beginning of 2018 there is growth, but it does not remain continuous. In 2020, prices collapsed, falling below the $20 mark—a figure not seen in twenty years. The COVID-19 pandemic caused significant turbulence as it led to a sharp decline in global economic growth and an almost complete halt in tourism starting in March 2020.</w:t>
      </w:r>
    </w:p>
    <w:p w14:paraId="0041AC8D" w14:textId="77777777" w:rsidR="004E2B96" w:rsidRPr="004E2B96" w:rsidRDefault="007510AA" w:rsidP="004E2B96">
      <w:pPr>
        <w:pStyle w:val="NormalWeb"/>
        <w:spacing w:before="0" w:beforeAutospacing="0" w:after="0" w:afterAutospacing="0" w:line="360" w:lineRule="auto"/>
        <w:jc w:val="both"/>
        <w:rPr>
          <w:sz w:val="22"/>
          <w:szCs w:val="22"/>
          <w:lang w:val="en-US"/>
        </w:rPr>
      </w:pPr>
      <w:r w:rsidRPr="007510AA">
        <w:rPr>
          <w:sz w:val="22"/>
          <w:szCs w:val="22"/>
          <w:lang w:val="en-US"/>
        </w:rPr>
        <w:t>We also observe that the S&amp;P 500 and USO show a similar trend over time. They experienced an upward movement in 2018, a no</w:t>
      </w:r>
      <w:r w:rsidRPr="008D2A40">
        <w:rPr>
          <w:sz w:val="22"/>
          <w:szCs w:val="22"/>
          <w:lang w:val="en-US"/>
        </w:rPr>
        <w:t>table</w:t>
      </w:r>
      <w:r w:rsidRPr="007510AA">
        <w:rPr>
          <w:sz w:val="22"/>
          <w:szCs w:val="22"/>
          <w:lang w:val="en-US"/>
        </w:rPr>
        <w:t xml:space="preserve"> decline in March 2020 due to the financial crisis generated by COVID-19, followed by a significant acceleration, reaching 3,749 at the end of 2020 for the S&amp;P 500 and 80 for USO.</w:t>
      </w:r>
    </w:p>
    <w:p w14:paraId="72855019" w14:textId="77777777" w:rsidR="004E2B96" w:rsidRPr="004E2B96" w:rsidRDefault="004E2B96" w:rsidP="004E2B96">
      <w:pPr>
        <w:spacing w:before="100" w:beforeAutospacing="1" w:after="100" w:afterAutospacing="1" w:line="240" w:lineRule="auto"/>
        <w:rPr>
          <w:rFonts w:ascii="Times New Roman" w:eastAsia="Times New Roman" w:hAnsi="Times New Roman" w:cs="Times New Roman"/>
          <w:b/>
          <w:bCs/>
          <w:lang w:val="en-US" w:eastAsia="fr-FR"/>
        </w:rPr>
      </w:pPr>
      <w:r w:rsidRPr="004E2B96">
        <w:rPr>
          <w:rFonts w:ascii="Times New Roman" w:eastAsia="Times New Roman" w:hAnsi="Times New Roman" w:cs="Times New Roman"/>
          <w:b/>
          <w:bCs/>
          <w:lang w:val="en-US" w:eastAsia="fr-FR"/>
        </w:rPr>
        <w:t>Figure 2: Daily Evolutions of Commodity and Stock Index Returns</w:t>
      </w:r>
    </w:p>
    <w:p w14:paraId="7F5EB5BB" w14:textId="77777777" w:rsidR="004E2B96" w:rsidRDefault="004E2B96" w:rsidP="004E2B96">
      <w:pPr>
        <w:spacing w:after="0" w:line="360" w:lineRule="auto"/>
        <w:ind w:right="284"/>
        <w:jc w:val="both"/>
      </w:pPr>
      <w:r>
        <w:object w:dxaOrig="4155" w:dyaOrig="3136" w14:anchorId="59FFE74F">
          <v:shape id="_x0000_i1029" type="#_x0000_t75" style="width:206.5pt;height:156.25pt" o:ole="">
            <v:imagedata r:id="rId15" o:title=""/>
          </v:shape>
          <o:OLEObject Type="Embed" ProgID="EViews.Workfile.2" ShapeID="_x0000_i1029" DrawAspect="Content" ObjectID="_1801724617" r:id="rId16"/>
        </w:object>
      </w:r>
      <w:r>
        <w:object w:dxaOrig="4307" w:dyaOrig="3180" w14:anchorId="4959AEF2">
          <v:shape id="_x0000_i1030" type="#_x0000_t75" style="width:215.3pt;height:158.95pt" o:ole="">
            <v:imagedata r:id="rId17" o:title=""/>
          </v:shape>
          <o:OLEObject Type="Embed" ProgID="EViews.Workfile.2" ShapeID="_x0000_i1030" DrawAspect="Content" ObjectID="_1801724618" r:id="rId18"/>
        </w:object>
      </w:r>
    </w:p>
    <w:p w14:paraId="6F6ECFAD" w14:textId="77777777" w:rsidR="004E2B96" w:rsidRDefault="004E2B96" w:rsidP="004E2B96">
      <w:pPr>
        <w:spacing w:after="0" w:line="360" w:lineRule="auto"/>
        <w:ind w:right="284"/>
        <w:jc w:val="both"/>
      </w:pPr>
    </w:p>
    <w:p w14:paraId="09220CB9" w14:textId="77777777" w:rsidR="004E2B96" w:rsidRDefault="004E2B96" w:rsidP="00213464">
      <w:pPr>
        <w:spacing w:after="0" w:line="360" w:lineRule="auto"/>
        <w:jc w:val="both"/>
      </w:pPr>
      <w:r>
        <w:object w:dxaOrig="4169" w:dyaOrig="3435" w14:anchorId="10994D50">
          <v:shape id="_x0000_i1031" type="#_x0000_t75" style="width:208.55pt;height:171.85pt" o:ole="">
            <v:imagedata r:id="rId19" o:title=""/>
          </v:shape>
          <o:OLEObject Type="Embed" ProgID="EViews.Workfile.2" ShapeID="_x0000_i1031" DrawAspect="Content" ObjectID="_1801724619" r:id="rId20"/>
        </w:object>
      </w:r>
      <w:r>
        <w:object w:dxaOrig="4396" w:dyaOrig="3376" w14:anchorId="6437AFE8">
          <v:shape id="_x0000_i1032" type="#_x0000_t75" style="width:220.1pt;height:169.15pt" o:ole="">
            <v:imagedata r:id="rId21" o:title=""/>
          </v:shape>
          <o:OLEObject Type="Embed" ProgID="EViews.Workfile.2" ShapeID="_x0000_i1032" DrawAspect="Content" ObjectID="_1801724620" r:id="rId22"/>
        </w:object>
      </w:r>
    </w:p>
    <w:p w14:paraId="7A4EC5D5" w14:textId="77777777" w:rsidR="004E2B96" w:rsidRDefault="004E2B96" w:rsidP="004E2B96">
      <w:pPr>
        <w:spacing w:after="0" w:line="360" w:lineRule="auto"/>
        <w:jc w:val="both"/>
      </w:pPr>
    </w:p>
    <w:p w14:paraId="3B087829" w14:textId="77777777" w:rsidR="004E2B96" w:rsidRPr="004E2B96" w:rsidRDefault="004E2B96" w:rsidP="004E2B96">
      <w:pPr>
        <w:pStyle w:val="NormalWeb"/>
        <w:spacing w:before="0" w:beforeAutospacing="0" w:after="0" w:afterAutospacing="0" w:line="360" w:lineRule="auto"/>
        <w:jc w:val="both"/>
        <w:rPr>
          <w:sz w:val="22"/>
          <w:szCs w:val="22"/>
          <w:lang w:val="en-US"/>
        </w:rPr>
      </w:pPr>
      <w:r w:rsidRPr="004E2B96">
        <w:rPr>
          <w:sz w:val="22"/>
          <w:szCs w:val="22"/>
          <w:lang w:val="en-US"/>
        </w:rPr>
        <w:t>Before starting the analysis of the time series, it is crucial to study their stochastic characteristics, especially in terms of stationarity. We begin by examining the stationarity of the series based on graphs. An initial indication highlights that the series are stationary.</w:t>
      </w:r>
    </w:p>
    <w:p w14:paraId="4EF6996E" w14:textId="249A3EC9" w:rsidR="004E2B96" w:rsidRPr="004E2B96" w:rsidRDefault="004E2B96" w:rsidP="004E2B96">
      <w:pPr>
        <w:pStyle w:val="NormalWeb"/>
        <w:spacing w:before="0" w:beforeAutospacing="0" w:after="0" w:afterAutospacing="0" w:line="360" w:lineRule="auto"/>
        <w:jc w:val="both"/>
        <w:rPr>
          <w:sz w:val="22"/>
          <w:szCs w:val="22"/>
          <w:lang w:val="en-US"/>
        </w:rPr>
      </w:pPr>
      <w:r>
        <w:rPr>
          <w:sz w:val="22"/>
          <w:szCs w:val="22"/>
          <w:lang w:val="en-US"/>
        </w:rPr>
        <w:t>Figure N</w:t>
      </w:r>
      <w:r w:rsidR="008D2A40">
        <w:rPr>
          <w:sz w:val="22"/>
          <w:szCs w:val="22"/>
          <w:lang w:val="en-US"/>
        </w:rPr>
        <w:t xml:space="preserve">o </w:t>
      </w:r>
      <w:r w:rsidRPr="004E2B96">
        <w:rPr>
          <w:sz w:val="22"/>
          <w:szCs w:val="22"/>
          <w:lang w:val="en-US"/>
        </w:rPr>
        <w:t>2 presents the daily evolution of commodity and stock index returns during our study period. We can observe that the series are stationary. In fact, the graphs do not show upward or downward trends. According to the figure, we observe the phenomenon of volatility clustering, where high (low) volatilities are followed by high (low) volatilities. This confirms our choice of a GARCH-type model to adequately study the correlation between commodities and stock indices.</w:t>
      </w:r>
    </w:p>
    <w:p w14:paraId="6568F750" w14:textId="77777777" w:rsidR="004E2B96" w:rsidRPr="00213464" w:rsidRDefault="004E2B96" w:rsidP="00213464">
      <w:pPr>
        <w:pStyle w:val="NormalWeb"/>
        <w:spacing w:before="0" w:beforeAutospacing="0" w:after="0" w:afterAutospacing="0" w:line="360" w:lineRule="auto"/>
        <w:jc w:val="both"/>
        <w:rPr>
          <w:sz w:val="22"/>
          <w:szCs w:val="22"/>
          <w:lang w:val="en-US"/>
        </w:rPr>
      </w:pPr>
      <w:r w:rsidRPr="004E2B96">
        <w:rPr>
          <w:sz w:val="22"/>
          <w:szCs w:val="22"/>
          <w:lang w:val="en-US"/>
        </w:rPr>
        <w:t>Furthermore, it is clear that the S&amp;P 500 index of the US market recorded the lowest volatility during the Covid-19 pandemic crisis. This can be explained by the effectiveness of corrective measures taken by US authorities to support financial markets and protect its finance-driven economy. This low volatility promotes market efficiency by limitin</w:t>
      </w:r>
      <w:r w:rsidR="00213464">
        <w:rPr>
          <w:sz w:val="22"/>
          <w:szCs w:val="22"/>
          <w:lang w:val="en-US"/>
        </w:rPr>
        <w:t>g irrational investor behavior.</w:t>
      </w:r>
    </w:p>
    <w:tbl>
      <w:tblPr>
        <w:tblStyle w:val="LightShading"/>
        <w:tblW w:w="9072" w:type="dxa"/>
        <w:tblLook w:val="04A0" w:firstRow="1" w:lastRow="0" w:firstColumn="1" w:lastColumn="0" w:noHBand="0" w:noVBand="1"/>
      </w:tblPr>
      <w:tblGrid>
        <w:gridCol w:w="1645"/>
        <w:gridCol w:w="1986"/>
        <w:gridCol w:w="2070"/>
        <w:gridCol w:w="2070"/>
        <w:gridCol w:w="1301"/>
      </w:tblGrid>
      <w:tr w:rsidR="00F05705" w14:paraId="74E2E022" w14:textId="77777777" w:rsidTr="0021346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45" w:type="dxa"/>
            <w:noWrap/>
          </w:tcPr>
          <w:p w14:paraId="06E4968D" w14:textId="77777777" w:rsidR="00F05705" w:rsidRPr="00122604" w:rsidRDefault="00F05705" w:rsidP="000953B1">
            <w:pPr>
              <w:spacing w:line="360" w:lineRule="auto"/>
              <w:ind w:right="284"/>
              <w:jc w:val="both"/>
              <w:rPr>
                <w:b w:val="0"/>
                <w:bCs w:val="0"/>
                <w:color w:val="17365D" w:themeColor="text2" w:themeShade="BF"/>
                <w:lang w:val="en-US"/>
              </w:rPr>
            </w:pPr>
          </w:p>
        </w:tc>
        <w:tc>
          <w:tcPr>
            <w:tcW w:w="1986" w:type="dxa"/>
            <w:noWrap/>
          </w:tcPr>
          <w:p w14:paraId="0A705493" w14:textId="77777777" w:rsidR="00F05705" w:rsidRDefault="00F05705" w:rsidP="000953B1">
            <w:pPr>
              <w:spacing w:line="360" w:lineRule="auto"/>
              <w:ind w:right="284"/>
              <w:jc w:val="both"/>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rPr>
            </w:pPr>
            <w:r>
              <w:rPr>
                <w:color w:val="17365D" w:themeColor="text2" w:themeShade="BF"/>
              </w:rPr>
              <w:t>IEF</w:t>
            </w:r>
          </w:p>
        </w:tc>
        <w:tc>
          <w:tcPr>
            <w:tcW w:w="2070" w:type="dxa"/>
            <w:noWrap/>
          </w:tcPr>
          <w:p w14:paraId="12694B78" w14:textId="77777777" w:rsidR="00F05705" w:rsidRDefault="00F05705" w:rsidP="000953B1">
            <w:pPr>
              <w:spacing w:line="360" w:lineRule="auto"/>
              <w:ind w:right="284"/>
              <w:jc w:val="both"/>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rPr>
            </w:pPr>
            <w:r>
              <w:rPr>
                <w:color w:val="17365D" w:themeColor="text2" w:themeShade="BF"/>
              </w:rPr>
              <w:t>SP</w:t>
            </w:r>
          </w:p>
        </w:tc>
        <w:tc>
          <w:tcPr>
            <w:tcW w:w="2070" w:type="dxa"/>
            <w:noWrap/>
          </w:tcPr>
          <w:p w14:paraId="6C80F9AE" w14:textId="77777777" w:rsidR="00F05705" w:rsidRDefault="00F05705" w:rsidP="000953B1">
            <w:pPr>
              <w:spacing w:line="360" w:lineRule="auto"/>
              <w:ind w:right="284"/>
              <w:jc w:val="both"/>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rPr>
            </w:pPr>
            <w:r>
              <w:rPr>
                <w:color w:val="17365D" w:themeColor="text2" w:themeShade="BF"/>
              </w:rPr>
              <w:t>USO</w:t>
            </w:r>
          </w:p>
        </w:tc>
        <w:tc>
          <w:tcPr>
            <w:tcW w:w="1301" w:type="dxa"/>
            <w:noWrap/>
          </w:tcPr>
          <w:p w14:paraId="2AF7862B" w14:textId="77777777" w:rsidR="00F05705" w:rsidRDefault="00F05705" w:rsidP="000953B1">
            <w:pPr>
              <w:spacing w:line="360" w:lineRule="auto"/>
              <w:ind w:right="284"/>
              <w:jc w:val="both"/>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rPr>
            </w:pPr>
            <w:r>
              <w:rPr>
                <w:color w:val="17365D" w:themeColor="text2" w:themeShade="BF"/>
              </w:rPr>
              <w:t>XAU</w:t>
            </w:r>
          </w:p>
        </w:tc>
      </w:tr>
      <w:tr w:rsidR="00F05705" w14:paraId="250808DD" w14:textId="77777777" w:rsidTr="0021346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45" w:type="dxa"/>
            <w:noWrap/>
          </w:tcPr>
          <w:p w14:paraId="3EBD6140"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Mean</w:t>
            </w:r>
            <w:proofErr w:type="spellEnd"/>
          </w:p>
        </w:tc>
        <w:tc>
          <w:tcPr>
            <w:tcW w:w="1986" w:type="dxa"/>
            <w:noWrap/>
          </w:tcPr>
          <w:p w14:paraId="0248B97B"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3.58E-05</w:t>
            </w:r>
          </w:p>
        </w:tc>
        <w:tc>
          <w:tcPr>
            <w:tcW w:w="2070" w:type="dxa"/>
            <w:noWrap/>
          </w:tcPr>
          <w:p w14:paraId="3B00665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0.000400</w:t>
            </w:r>
          </w:p>
        </w:tc>
        <w:tc>
          <w:tcPr>
            <w:tcW w:w="2070" w:type="dxa"/>
            <w:noWrap/>
          </w:tcPr>
          <w:p w14:paraId="19641751"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-8.61E-05</w:t>
            </w:r>
          </w:p>
        </w:tc>
        <w:tc>
          <w:tcPr>
            <w:tcW w:w="1301" w:type="dxa"/>
            <w:noWrap/>
          </w:tcPr>
          <w:p w14:paraId="2FDF4FE0"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0.000396</w:t>
            </w:r>
          </w:p>
        </w:tc>
      </w:tr>
      <w:tr w:rsidR="00F05705" w14:paraId="62A3BF98"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4048BA83"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Median</w:t>
            </w:r>
            <w:proofErr w:type="spellEnd"/>
          </w:p>
        </w:tc>
        <w:tc>
          <w:tcPr>
            <w:tcW w:w="1986" w:type="dxa"/>
            <w:noWrap/>
          </w:tcPr>
          <w:p w14:paraId="4127FE38"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8.90E-05</w:t>
            </w:r>
          </w:p>
        </w:tc>
        <w:tc>
          <w:tcPr>
            <w:tcW w:w="2070" w:type="dxa"/>
            <w:noWrap/>
          </w:tcPr>
          <w:p w14:paraId="365080E3"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0.001909</w:t>
            </w:r>
          </w:p>
        </w:tc>
        <w:tc>
          <w:tcPr>
            <w:tcW w:w="2070" w:type="dxa"/>
            <w:noWrap/>
          </w:tcPr>
          <w:p w14:paraId="496D5670"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0.001845</w:t>
            </w:r>
          </w:p>
        </w:tc>
        <w:tc>
          <w:tcPr>
            <w:tcW w:w="1301" w:type="dxa"/>
            <w:noWrap/>
          </w:tcPr>
          <w:p w14:paraId="0299D597"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-0.000247</w:t>
            </w:r>
          </w:p>
        </w:tc>
      </w:tr>
      <w:tr w:rsidR="00F05705" w14:paraId="134AE8FE"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3EFA1DD6"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Maximum</w:t>
            </w:r>
          </w:p>
        </w:tc>
        <w:tc>
          <w:tcPr>
            <w:tcW w:w="1986" w:type="dxa"/>
            <w:noWrap/>
          </w:tcPr>
          <w:p w14:paraId="1C576FA3"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0.026074</w:t>
            </w:r>
          </w:p>
        </w:tc>
        <w:tc>
          <w:tcPr>
            <w:tcW w:w="2070" w:type="dxa"/>
            <w:noWrap/>
          </w:tcPr>
          <w:p w14:paraId="61629256"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0.089612</w:t>
            </w:r>
          </w:p>
        </w:tc>
        <w:tc>
          <w:tcPr>
            <w:tcW w:w="2070" w:type="dxa"/>
            <w:noWrap/>
          </w:tcPr>
          <w:p w14:paraId="1D94CA15"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0.154151</w:t>
            </w:r>
          </w:p>
        </w:tc>
        <w:tc>
          <w:tcPr>
            <w:tcW w:w="1301" w:type="dxa"/>
            <w:noWrap/>
          </w:tcPr>
          <w:p w14:paraId="70193D20"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0.144537</w:t>
            </w:r>
          </w:p>
        </w:tc>
      </w:tr>
      <w:tr w:rsidR="00F05705" w14:paraId="68CCDB73"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3BD90F32"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lastRenderedPageBreak/>
              <w:t>Minimum</w:t>
            </w:r>
          </w:p>
        </w:tc>
        <w:tc>
          <w:tcPr>
            <w:tcW w:w="1986" w:type="dxa"/>
            <w:noWrap/>
          </w:tcPr>
          <w:p w14:paraId="1128D07A"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-0.025392</w:t>
            </w:r>
          </w:p>
        </w:tc>
        <w:tc>
          <w:tcPr>
            <w:tcW w:w="2070" w:type="dxa"/>
            <w:noWrap/>
          </w:tcPr>
          <w:p w14:paraId="65D28D98"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-0.126703</w:t>
            </w:r>
          </w:p>
        </w:tc>
        <w:tc>
          <w:tcPr>
            <w:tcW w:w="2070" w:type="dxa"/>
            <w:noWrap/>
          </w:tcPr>
          <w:p w14:paraId="598EDFAD"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-0.404278</w:t>
            </w:r>
          </w:p>
        </w:tc>
        <w:tc>
          <w:tcPr>
            <w:tcW w:w="1301" w:type="dxa"/>
            <w:noWrap/>
          </w:tcPr>
          <w:p w14:paraId="5927D96C"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-0.146046</w:t>
            </w:r>
          </w:p>
        </w:tc>
      </w:tr>
      <w:tr w:rsidR="00F05705" w14:paraId="0C4CE2B3"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160BB51A"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Std. Dev.</w:t>
            </w:r>
          </w:p>
        </w:tc>
        <w:tc>
          <w:tcPr>
            <w:tcW w:w="1986" w:type="dxa"/>
            <w:noWrap/>
          </w:tcPr>
          <w:p w14:paraId="5A2F769E"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0.003888</w:t>
            </w:r>
          </w:p>
        </w:tc>
        <w:tc>
          <w:tcPr>
            <w:tcW w:w="2070" w:type="dxa"/>
            <w:noWrap/>
          </w:tcPr>
          <w:p w14:paraId="69E672D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0.013795</w:t>
            </w:r>
          </w:p>
        </w:tc>
        <w:tc>
          <w:tcPr>
            <w:tcW w:w="2070" w:type="dxa"/>
            <w:noWrap/>
          </w:tcPr>
          <w:p w14:paraId="48D1CF4B"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0.030633</w:t>
            </w:r>
          </w:p>
        </w:tc>
        <w:tc>
          <w:tcPr>
            <w:tcW w:w="1301" w:type="dxa"/>
            <w:noWrap/>
          </w:tcPr>
          <w:p w14:paraId="340A5AD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0.023385</w:t>
            </w:r>
          </w:p>
        </w:tc>
      </w:tr>
      <w:tr w:rsidR="00F05705" w14:paraId="0A6219BB"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7CA19DA7"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Skewness</w:t>
            </w:r>
            <w:proofErr w:type="spellEnd"/>
          </w:p>
        </w:tc>
        <w:tc>
          <w:tcPr>
            <w:tcW w:w="1986" w:type="dxa"/>
            <w:noWrap/>
          </w:tcPr>
          <w:p w14:paraId="5F2A0B73"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0.046132</w:t>
            </w:r>
          </w:p>
        </w:tc>
        <w:tc>
          <w:tcPr>
            <w:tcW w:w="2070" w:type="dxa"/>
            <w:noWrap/>
          </w:tcPr>
          <w:p w14:paraId="6B061750"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-1.001844</w:t>
            </w:r>
          </w:p>
        </w:tc>
        <w:tc>
          <w:tcPr>
            <w:tcW w:w="2070" w:type="dxa"/>
            <w:noWrap/>
          </w:tcPr>
          <w:p w14:paraId="63B93E6A"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-3.303927</w:t>
            </w:r>
          </w:p>
        </w:tc>
        <w:tc>
          <w:tcPr>
            <w:tcW w:w="1301" w:type="dxa"/>
            <w:noWrap/>
          </w:tcPr>
          <w:p w14:paraId="549C4724"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-0.095653</w:t>
            </w:r>
          </w:p>
        </w:tc>
      </w:tr>
      <w:tr w:rsidR="00F05705" w14:paraId="34A650C9"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7081D2C1"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Kurtosis</w:t>
            </w:r>
          </w:p>
        </w:tc>
        <w:tc>
          <w:tcPr>
            <w:tcW w:w="1986" w:type="dxa"/>
            <w:noWrap/>
          </w:tcPr>
          <w:p w14:paraId="3F7F1C51"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8.952510</w:t>
            </w:r>
          </w:p>
        </w:tc>
        <w:tc>
          <w:tcPr>
            <w:tcW w:w="2070" w:type="dxa"/>
            <w:noWrap/>
          </w:tcPr>
          <w:p w14:paraId="0A6E1FFA"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17.82296</w:t>
            </w:r>
          </w:p>
        </w:tc>
        <w:tc>
          <w:tcPr>
            <w:tcW w:w="2070" w:type="dxa"/>
            <w:noWrap/>
          </w:tcPr>
          <w:p w14:paraId="3DCD7769"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42.56501</w:t>
            </w:r>
          </w:p>
        </w:tc>
        <w:tc>
          <w:tcPr>
            <w:tcW w:w="1301" w:type="dxa"/>
            <w:noWrap/>
          </w:tcPr>
          <w:p w14:paraId="0E6ADCD3"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7.896151</w:t>
            </w:r>
          </w:p>
        </w:tc>
      </w:tr>
      <w:tr w:rsidR="00F05705" w14:paraId="33767056"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6B760975"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Jarque-Bera</w:t>
            </w:r>
            <w:proofErr w:type="spellEnd"/>
          </w:p>
        </w:tc>
        <w:tc>
          <w:tcPr>
            <w:tcW w:w="1986" w:type="dxa"/>
            <w:noWrap/>
          </w:tcPr>
          <w:p w14:paraId="2A55B090"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1578.596</w:t>
            </w:r>
          </w:p>
        </w:tc>
        <w:tc>
          <w:tcPr>
            <w:tcW w:w="2070" w:type="dxa"/>
            <w:noWrap/>
          </w:tcPr>
          <w:p w14:paraId="34633CE2"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9965.526</w:t>
            </w:r>
          </w:p>
        </w:tc>
        <w:tc>
          <w:tcPr>
            <w:tcW w:w="2070" w:type="dxa"/>
            <w:noWrap/>
          </w:tcPr>
          <w:p w14:paraId="5E238942"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71669.94</w:t>
            </w:r>
          </w:p>
        </w:tc>
        <w:tc>
          <w:tcPr>
            <w:tcW w:w="1301" w:type="dxa"/>
            <w:noWrap/>
          </w:tcPr>
          <w:p w14:paraId="14559D0B"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1069.396</w:t>
            </w:r>
          </w:p>
        </w:tc>
      </w:tr>
      <w:tr w:rsidR="00F05705" w14:paraId="6940D2B6"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61C055B4" w14:textId="77777777" w:rsidR="00F05705" w:rsidRDefault="00F05705" w:rsidP="000953B1">
            <w:pPr>
              <w:spacing w:line="360" w:lineRule="auto"/>
              <w:ind w:right="284"/>
              <w:jc w:val="both"/>
              <w:rPr>
                <w:b w:val="0"/>
                <w:bCs w:val="0"/>
                <w:color w:val="17365D" w:themeColor="text2" w:themeShade="BF"/>
              </w:rPr>
            </w:pPr>
            <w:proofErr w:type="spellStart"/>
            <w:r>
              <w:rPr>
                <w:color w:val="17365D" w:themeColor="text2" w:themeShade="BF"/>
              </w:rPr>
              <w:t>Probability</w:t>
            </w:r>
            <w:proofErr w:type="spellEnd"/>
          </w:p>
        </w:tc>
        <w:tc>
          <w:tcPr>
            <w:tcW w:w="1986" w:type="dxa"/>
            <w:noWrap/>
          </w:tcPr>
          <w:p w14:paraId="2AA4B8A7"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0.000000</w:t>
            </w:r>
          </w:p>
        </w:tc>
        <w:tc>
          <w:tcPr>
            <w:tcW w:w="2070" w:type="dxa"/>
            <w:noWrap/>
          </w:tcPr>
          <w:p w14:paraId="0C4CA57B"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0.000000</w:t>
            </w:r>
          </w:p>
        </w:tc>
        <w:tc>
          <w:tcPr>
            <w:tcW w:w="2070" w:type="dxa"/>
            <w:noWrap/>
          </w:tcPr>
          <w:p w14:paraId="737505B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0.000000</w:t>
            </w:r>
          </w:p>
        </w:tc>
        <w:tc>
          <w:tcPr>
            <w:tcW w:w="1301" w:type="dxa"/>
            <w:noWrap/>
          </w:tcPr>
          <w:p w14:paraId="6B6A54B7"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0.000000</w:t>
            </w:r>
          </w:p>
        </w:tc>
      </w:tr>
      <w:tr w:rsidR="00F05705" w14:paraId="343C1E9B"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76E06F0C"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Sum</w:t>
            </w:r>
            <w:proofErr w:type="spellEnd"/>
          </w:p>
        </w:tc>
        <w:tc>
          <w:tcPr>
            <w:tcW w:w="1986" w:type="dxa"/>
            <w:noWrap/>
          </w:tcPr>
          <w:p w14:paraId="1B1124E2"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0.038319</w:t>
            </w:r>
          </w:p>
        </w:tc>
        <w:tc>
          <w:tcPr>
            <w:tcW w:w="2070" w:type="dxa"/>
            <w:noWrap/>
          </w:tcPr>
          <w:p w14:paraId="7BC0BFF3"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0.427627</w:t>
            </w:r>
          </w:p>
        </w:tc>
        <w:tc>
          <w:tcPr>
            <w:tcW w:w="2070" w:type="dxa"/>
            <w:noWrap/>
          </w:tcPr>
          <w:p w14:paraId="2C90C2EB"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-0.092034</w:t>
            </w:r>
          </w:p>
        </w:tc>
        <w:tc>
          <w:tcPr>
            <w:tcW w:w="1301" w:type="dxa"/>
            <w:noWrap/>
          </w:tcPr>
          <w:p w14:paraId="48926BBD"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0.423447</w:t>
            </w:r>
          </w:p>
        </w:tc>
      </w:tr>
      <w:tr w:rsidR="00F05705" w14:paraId="416C0D63"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016EFE33"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Sum</w:t>
            </w:r>
            <w:proofErr w:type="spellEnd"/>
            <w:r>
              <w:rPr>
                <w:color w:val="17365D" w:themeColor="text2" w:themeShade="BF"/>
              </w:rPr>
              <w:t xml:space="preserve"> Sq. Dev.</w:t>
            </w:r>
          </w:p>
        </w:tc>
        <w:tc>
          <w:tcPr>
            <w:tcW w:w="1986" w:type="dxa"/>
            <w:noWrap/>
          </w:tcPr>
          <w:p w14:paraId="1A1A8E7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0.016146</w:t>
            </w:r>
          </w:p>
        </w:tc>
        <w:tc>
          <w:tcPr>
            <w:tcW w:w="2070" w:type="dxa"/>
            <w:noWrap/>
          </w:tcPr>
          <w:p w14:paraId="07D958C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0.203256</w:t>
            </w:r>
          </w:p>
        </w:tc>
        <w:tc>
          <w:tcPr>
            <w:tcW w:w="2070" w:type="dxa"/>
            <w:noWrap/>
          </w:tcPr>
          <w:p w14:paraId="3830C4CB"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1.002197</w:t>
            </w:r>
          </w:p>
        </w:tc>
        <w:tc>
          <w:tcPr>
            <w:tcW w:w="1301" w:type="dxa"/>
            <w:noWrap/>
          </w:tcPr>
          <w:p w14:paraId="41FA7BCC"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0.584062</w:t>
            </w:r>
          </w:p>
        </w:tc>
      </w:tr>
      <w:tr w:rsidR="00F05705" w14:paraId="03DA3E19" w14:textId="77777777" w:rsidTr="00213464">
        <w:trPr>
          <w:trHeight w:val="310"/>
        </w:trPr>
        <w:tc>
          <w:tcPr>
            <w:cnfStyle w:val="001000000000" w:firstRow="0" w:lastRow="0" w:firstColumn="1" w:lastColumn="0" w:oddVBand="0" w:evenVBand="0" w:oddHBand="0" w:evenHBand="0" w:firstRowFirstColumn="0" w:firstRowLastColumn="0" w:lastRowFirstColumn="0" w:lastRowLastColumn="0"/>
            <w:tcW w:w="1645" w:type="dxa"/>
            <w:noWrap/>
          </w:tcPr>
          <w:p w14:paraId="694A655B" w14:textId="77777777" w:rsidR="00F05705" w:rsidRDefault="00F05705" w:rsidP="000953B1">
            <w:pPr>
              <w:spacing w:line="360" w:lineRule="auto"/>
              <w:ind w:right="284"/>
              <w:jc w:val="both"/>
              <w:rPr>
                <w:b w:val="0"/>
                <w:bCs w:val="0"/>
                <w:color w:val="17365D" w:themeColor="text2" w:themeShade="BF"/>
              </w:rPr>
            </w:pPr>
            <w:proofErr w:type="spellStart"/>
            <w:r>
              <w:rPr>
                <w:color w:val="17365D" w:themeColor="text2" w:themeShade="BF"/>
              </w:rPr>
              <w:t>Observati</w:t>
            </w:r>
            <w:proofErr w:type="spellEnd"/>
          </w:p>
        </w:tc>
        <w:tc>
          <w:tcPr>
            <w:tcW w:w="1986" w:type="dxa"/>
            <w:noWrap/>
          </w:tcPr>
          <w:p w14:paraId="661F3E74"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w:t>
            </w:r>
          </w:p>
        </w:tc>
        <w:tc>
          <w:tcPr>
            <w:tcW w:w="2070" w:type="dxa"/>
            <w:noWrap/>
          </w:tcPr>
          <w:p w14:paraId="57ABE5A5"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w:t>
            </w:r>
          </w:p>
        </w:tc>
        <w:tc>
          <w:tcPr>
            <w:tcW w:w="2070" w:type="dxa"/>
            <w:noWrap/>
          </w:tcPr>
          <w:p w14:paraId="7895CE4B"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w:t>
            </w:r>
          </w:p>
        </w:tc>
        <w:tc>
          <w:tcPr>
            <w:tcW w:w="1301" w:type="dxa"/>
            <w:noWrap/>
          </w:tcPr>
          <w:p w14:paraId="26180DE8"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w:t>
            </w:r>
          </w:p>
        </w:tc>
      </w:tr>
    </w:tbl>
    <w:p w14:paraId="668CFD20" w14:textId="7FAF040D" w:rsidR="004E2B96" w:rsidRPr="00C7360F" w:rsidRDefault="00F05705" w:rsidP="000953B1">
      <w:pPr>
        <w:spacing w:after="0" w:line="360" w:lineRule="auto"/>
        <w:jc w:val="both"/>
        <w:rPr>
          <w:rFonts w:asciiTheme="majorBidi" w:hAnsiTheme="majorBidi" w:cstheme="majorBidi"/>
          <w:b/>
          <w:bCs/>
          <w:lang w:val="en-US"/>
        </w:rPr>
      </w:pPr>
      <w:r w:rsidRPr="00C7360F">
        <w:rPr>
          <w:rFonts w:asciiTheme="majorBidi" w:hAnsiTheme="majorBidi" w:cstheme="majorBidi"/>
          <w:b/>
          <w:bCs/>
          <w:lang w:val="en-US"/>
        </w:rPr>
        <w:t xml:space="preserve">Table </w:t>
      </w:r>
      <w:r w:rsidR="00C7360F" w:rsidRPr="00C7360F">
        <w:rPr>
          <w:rFonts w:asciiTheme="majorBidi" w:hAnsiTheme="majorBidi" w:cstheme="majorBidi"/>
          <w:b/>
          <w:bCs/>
          <w:lang w:val="en-US"/>
        </w:rPr>
        <w:t>2</w:t>
      </w:r>
      <w:r w:rsidRPr="00C7360F">
        <w:rPr>
          <w:rFonts w:asciiTheme="majorBidi" w:hAnsiTheme="majorBidi" w:cstheme="majorBidi"/>
          <w:b/>
          <w:bCs/>
          <w:lang w:val="en-US"/>
        </w:rPr>
        <w:t>: Descriptive Statistics of Daily Returns of Stock Indices</w:t>
      </w:r>
    </w:p>
    <w:p w14:paraId="49D7AFBB" w14:textId="51644A86" w:rsidR="000953B1" w:rsidRPr="000953B1" w:rsidRDefault="000953B1" w:rsidP="000953B1">
      <w:pPr>
        <w:pStyle w:val="NormalWeb"/>
        <w:spacing w:before="0" w:beforeAutospacing="0" w:after="0" w:afterAutospacing="0" w:line="360" w:lineRule="auto"/>
        <w:jc w:val="both"/>
        <w:rPr>
          <w:sz w:val="22"/>
          <w:szCs w:val="22"/>
          <w:lang w:val="en-US"/>
        </w:rPr>
      </w:pPr>
      <w:r w:rsidRPr="008D2A40">
        <w:rPr>
          <w:sz w:val="22"/>
          <w:szCs w:val="22"/>
          <w:lang w:val="en-US"/>
        </w:rPr>
        <w:t>Table</w:t>
      </w:r>
      <w:r w:rsidRPr="000953B1">
        <w:rPr>
          <w:sz w:val="22"/>
          <w:szCs w:val="22"/>
          <w:lang w:val="en-US"/>
        </w:rPr>
        <w:t xml:space="preserve"> </w:t>
      </w:r>
      <w:r w:rsidR="008D2A40">
        <w:rPr>
          <w:sz w:val="22"/>
          <w:szCs w:val="22"/>
          <w:lang w:val="en-US"/>
        </w:rPr>
        <w:t>1</w:t>
      </w:r>
      <w:r w:rsidRPr="000953B1">
        <w:rPr>
          <w:sz w:val="22"/>
          <w:szCs w:val="22"/>
          <w:lang w:val="en-US"/>
        </w:rPr>
        <w:t xml:space="preserve"> presents some descriptive statistics (mean, standard deviation, skewness, kurtosis, maximum, and minimum) of the four series of arithmetic returns of the stock indices over the entire period (1069 observations): from January 3, 2018, to June 7, 2022.</w:t>
      </w:r>
    </w:p>
    <w:p w14:paraId="727D837B" w14:textId="77777777" w:rsidR="000953B1" w:rsidRPr="00122604" w:rsidRDefault="000953B1" w:rsidP="000953B1">
      <w:pPr>
        <w:pStyle w:val="NormalWeb"/>
        <w:spacing w:before="0" w:beforeAutospacing="0" w:after="0" w:afterAutospacing="0" w:line="360" w:lineRule="auto"/>
        <w:jc w:val="both"/>
        <w:rPr>
          <w:sz w:val="22"/>
          <w:szCs w:val="22"/>
          <w:lang w:val="en-US"/>
        </w:rPr>
      </w:pPr>
      <w:r w:rsidRPr="000953B1">
        <w:rPr>
          <w:sz w:val="22"/>
          <w:szCs w:val="22"/>
          <w:lang w:val="en-US"/>
        </w:rPr>
        <w:t xml:space="preserve">According to this </w:t>
      </w:r>
      <w:r w:rsidRPr="008D2A40">
        <w:rPr>
          <w:sz w:val="22"/>
          <w:szCs w:val="22"/>
          <w:lang w:val="en-US"/>
        </w:rPr>
        <w:t>table</w:t>
      </w:r>
      <w:r w:rsidRPr="000953B1">
        <w:rPr>
          <w:sz w:val="22"/>
          <w:szCs w:val="22"/>
          <w:lang w:val="en-US"/>
        </w:rPr>
        <w:t xml:space="preserve">, we notice that all means in our sample are statistically different from zero. We can observe that the signs of the means of the three assets (S&amp;P 500, IEF, and XAU) are positive, indicating positive performance. Specifically, the S&amp;P 500 has the highest mean value (0.4%) and the highest standard deviation (0.19%), implying higher volatility. Furthermore, the two commodities, XAU and USO, have low average returns (0.03% and -8.61E05, respectively). </w:t>
      </w:r>
      <w:r w:rsidRPr="00122604">
        <w:rPr>
          <w:sz w:val="22"/>
          <w:szCs w:val="22"/>
          <w:lang w:val="en-US"/>
        </w:rPr>
        <w:t>The stock index, IEF, still shows positive average returns.</w:t>
      </w:r>
    </w:p>
    <w:p w14:paraId="5429EAC3" w14:textId="77777777" w:rsidR="000953B1" w:rsidRPr="000953B1" w:rsidRDefault="000953B1" w:rsidP="000953B1">
      <w:pPr>
        <w:pStyle w:val="NormalWeb"/>
        <w:spacing w:before="0" w:beforeAutospacing="0" w:after="0" w:afterAutospacing="0" w:line="360" w:lineRule="auto"/>
        <w:jc w:val="both"/>
        <w:rPr>
          <w:sz w:val="22"/>
          <w:szCs w:val="22"/>
          <w:lang w:val="en-US"/>
        </w:rPr>
      </w:pPr>
      <w:r w:rsidRPr="000953B1">
        <w:rPr>
          <w:sz w:val="22"/>
          <w:szCs w:val="22"/>
          <w:lang w:val="en-US"/>
        </w:rPr>
        <w:t>We use the Jarque-Bera test for normality, kurtosis coefficient, and skewness index. In a normal distribution, the kurtosis is 0. A distribution with a kurtosis greater than or equal to 3 is called leptokurtic. In our case, and based on the results of the descriptive statistics, we observe that all series have kurtosis coefficients greater than 3. Therefore, these series have thicker tails than normal, which aligns well with empirical literature stating that financial data tends to be leptokurtic.</w:t>
      </w:r>
    </w:p>
    <w:p w14:paraId="54F9E68E" w14:textId="23CE3D2E" w:rsidR="00213464" w:rsidRPr="000953B1" w:rsidRDefault="000953B1" w:rsidP="00B5216D">
      <w:pPr>
        <w:pStyle w:val="NormalWeb"/>
        <w:spacing w:before="0" w:beforeAutospacing="0" w:after="0" w:afterAutospacing="0" w:line="360" w:lineRule="auto"/>
        <w:jc w:val="both"/>
        <w:rPr>
          <w:sz w:val="22"/>
          <w:szCs w:val="22"/>
          <w:lang w:val="en-US"/>
        </w:rPr>
      </w:pPr>
      <w:r w:rsidRPr="000953B1">
        <w:rPr>
          <w:sz w:val="22"/>
          <w:szCs w:val="22"/>
          <w:lang w:val="en-US"/>
        </w:rPr>
        <w:t>Regarding the skewness coefficients, we observe that for XAU, S&amp;P 500, and USO, the coefficients are negative, indicating right-skewed distributions. However, for IEF, the coefficient is greater than zero, indicating a left-skewed distribution.</w:t>
      </w:r>
    </w:p>
    <w:p w14:paraId="120EB187" w14:textId="77777777" w:rsidR="000953B1" w:rsidRPr="000953B1" w:rsidRDefault="000953B1" w:rsidP="000953B1">
      <w:pPr>
        <w:pStyle w:val="NormalWeb"/>
        <w:rPr>
          <w:sz w:val="22"/>
          <w:szCs w:val="22"/>
          <w:lang w:val="en-US"/>
        </w:rPr>
      </w:pPr>
      <w:r w:rsidRPr="000953B1">
        <w:rPr>
          <w:rStyle w:val="Strong"/>
          <w:sz w:val="22"/>
          <w:szCs w:val="22"/>
          <w:lang w:val="en-US"/>
        </w:rPr>
        <w:t>2.3 Correlation Between Different Variables:</w:t>
      </w:r>
    </w:p>
    <w:p w14:paraId="58BD36A6" w14:textId="77777777" w:rsidR="000953B1" w:rsidRPr="000953B1" w:rsidRDefault="000953B1" w:rsidP="000953B1">
      <w:pPr>
        <w:pStyle w:val="NormalWeb"/>
        <w:spacing w:before="0" w:beforeAutospacing="0" w:after="0" w:afterAutospacing="0" w:line="360" w:lineRule="auto"/>
        <w:jc w:val="both"/>
        <w:rPr>
          <w:sz w:val="22"/>
          <w:szCs w:val="22"/>
          <w:lang w:val="en-US"/>
        </w:rPr>
      </w:pPr>
      <w:r w:rsidRPr="000953B1">
        <w:rPr>
          <w:sz w:val="22"/>
          <w:szCs w:val="22"/>
          <w:lang w:val="en-US"/>
        </w:rPr>
        <w:t>The correlation matrix is used to assess the dependency between multiple variables simultaneously. Studying correlations over the two sub-periods of our sample will provide insight into the degree of dependence or independence among our variables for the two periods of our study.</w:t>
      </w:r>
    </w:p>
    <w:p w14:paraId="6DE65764" w14:textId="77777777" w:rsidR="000953B1" w:rsidRPr="000953B1" w:rsidRDefault="000953B1" w:rsidP="000953B1">
      <w:pPr>
        <w:pStyle w:val="NormalWeb"/>
        <w:rPr>
          <w:sz w:val="22"/>
          <w:szCs w:val="22"/>
          <w:lang w:val="en-US"/>
        </w:rPr>
      </w:pPr>
      <w:r w:rsidRPr="000953B1">
        <w:rPr>
          <w:rStyle w:val="Strong"/>
          <w:sz w:val="22"/>
          <w:szCs w:val="22"/>
          <w:lang w:val="en-US"/>
        </w:rPr>
        <w:t xml:space="preserve">     2.3.1 Correlation for the First Period: Pre-COVID-19</w:t>
      </w:r>
    </w:p>
    <w:p w14:paraId="38B39668" w14:textId="77777777" w:rsidR="000953B1" w:rsidRPr="000953B1" w:rsidRDefault="000953B1" w:rsidP="000953B1">
      <w:pPr>
        <w:pStyle w:val="NormalWeb"/>
        <w:rPr>
          <w:sz w:val="22"/>
          <w:szCs w:val="22"/>
          <w:lang w:val="en-US"/>
        </w:rPr>
      </w:pPr>
      <w:r w:rsidRPr="000953B1">
        <w:rPr>
          <w:sz w:val="22"/>
          <w:szCs w:val="22"/>
          <w:lang w:val="en-US"/>
        </w:rPr>
        <w:t xml:space="preserve">According to the </w:t>
      </w:r>
      <w:r w:rsidRPr="008D2A40">
        <w:rPr>
          <w:sz w:val="22"/>
          <w:szCs w:val="22"/>
          <w:lang w:val="en-US"/>
        </w:rPr>
        <w:t>table</w:t>
      </w:r>
      <w:r w:rsidRPr="000953B1">
        <w:rPr>
          <w:sz w:val="22"/>
          <w:szCs w:val="22"/>
          <w:lang w:val="en-US"/>
        </w:rPr>
        <w:t xml:space="preserve"> below, we observe that all indices are weakly correlated.</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262"/>
        <w:gridCol w:w="1795"/>
        <w:gridCol w:w="2081"/>
        <w:gridCol w:w="2117"/>
        <w:gridCol w:w="1817"/>
      </w:tblGrid>
      <w:tr w:rsidR="000953B1" w14:paraId="03EC1237" w14:textId="77777777" w:rsidTr="00DE64B7">
        <w:tc>
          <w:tcPr>
            <w:tcW w:w="1265" w:type="dxa"/>
            <w:tcBorders>
              <w:top w:val="outset" w:sz="6" w:space="0" w:color="auto"/>
              <w:left w:val="nil"/>
              <w:bottom w:val="nil"/>
              <w:right w:val="nil"/>
            </w:tcBorders>
            <w:vAlign w:val="center"/>
          </w:tcPr>
          <w:p w14:paraId="5C9DF004" w14:textId="77777777" w:rsidR="000953B1" w:rsidRPr="00122604" w:rsidRDefault="000953B1" w:rsidP="000953B1">
            <w:pPr>
              <w:spacing w:line="360" w:lineRule="auto"/>
              <w:ind w:right="284"/>
              <w:jc w:val="both"/>
              <w:rPr>
                <w:lang w:val="en-US"/>
              </w:rPr>
            </w:pPr>
          </w:p>
        </w:tc>
        <w:tc>
          <w:tcPr>
            <w:tcW w:w="1800" w:type="dxa"/>
            <w:tcBorders>
              <w:top w:val="outset" w:sz="6" w:space="0" w:color="auto"/>
              <w:left w:val="nil"/>
              <w:bottom w:val="nil"/>
              <w:right w:val="nil"/>
            </w:tcBorders>
            <w:vAlign w:val="center"/>
          </w:tcPr>
          <w:p w14:paraId="320DBA4C" w14:textId="77777777" w:rsidR="000953B1" w:rsidRDefault="000953B1" w:rsidP="000953B1">
            <w:pPr>
              <w:spacing w:line="360" w:lineRule="auto"/>
              <w:ind w:right="284"/>
              <w:jc w:val="both"/>
            </w:pPr>
            <w:r>
              <w:t>XAU</w:t>
            </w:r>
          </w:p>
        </w:tc>
        <w:tc>
          <w:tcPr>
            <w:tcW w:w="2088" w:type="dxa"/>
            <w:tcBorders>
              <w:top w:val="outset" w:sz="6" w:space="0" w:color="auto"/>
              <w:left w:val="nil"/>
              <w:bottom w:val="nil"/>
              <w:right w:val="nil"/>
            </w:tcBorders>
            <w:vAlign w:val="center"/>
          </w:tcPr>
          <w:p w14:paraId="53B0BE37" w14:textId="77777777" w:rsidR="000953B1" w:rsidRDefault="000953B1" w:rsidP="000953B1">
            <w:pPr>
              <w:spacing w:line="360" w:lineRule="auto"/>
              <w:ind w:right="284"/>
              <w:jc w:val="both"/>
            </w:pPr>
            <w:r>
              <w:t>SP</w:t>
            </w:r>
          </w:p>
        </w:tc>
        <w:tc>
          <w:tcPr>
            <w:tcW w:w="2124" w:type="dxa"/>
            <w:tcBorders>
              <w:top w:val="outset" w:sz="6" w:space="0" w:color="auto"/>
              <w:left w:val="nil"/>
              <w:bottom w:val="nil"/>
              <w:right w:val="nil"/>
            </w:tcBorders>
            <w:vAlign w:val="center"/>
          </w:tcPr>
          <w:p w14:paraId="3E7E1E32" w14:textId="77777777" w:rsidR="000953B1" w:rsidRDefault="000953B1" w:rsidP="000953B1">
            <w:pPr>
              <w:spacing w:line="360" w:lineRule="auto"/>
              <w:ind w:right="284"/>
              <w:jc w:val="both"/>
            </w:pPr>
            <w:r>
              <w:t>USO</w:t>
            </w:r>
          </w:p>
        </w:tc>
        <w:tc>
          <w:tcPr>
            <w:tcW w:w="1825" w:type="dxa"/>
            <w:tcBorders>
              <w:top w:val="outset" w:sz="6" w:space="0" w:color="auto"/>
              <w:left w:val="nil"/>
              <w:bottom w:val="nil"/>
              <w:right w:val="nil"/>
            </w:tcBorders>
            <w:vAlign w:val="center"/>
          </w:tcPr>
          <w:p w14:paraId="07593251" w14:textId="77777777" w:rsidR="000953B1" w:rsidRDefault="000953B1" w:rsidP="000953B1">
            <w:pPr>
              <w:spacing w:line="360" w:lineRule="auto"/>
              <w:ind w:right="284"/>
              <w:jc w:val="both"/>
            </w:pPr>
            <w:r>
              <w:t>IEF</w:t>
            </w:r>
          </w:p>
        </w:tc>
      </w:tr>
      <w:tr w:rsidR="000953B1" w14:paraId="6A57328E" w14:textId="77777777" w:rsidTr="00DE64B7">
        <w:tc>
          <w:tcPr>
            <w:tcW w:w="1265" w:type="dxa"/>
            <w:tcBorders>
              <w:top w:val="nil"/>
              <w:left w:val="nil"/>
              <w:bottom w:val="nil"/>
              <w:right w:val="nil"/>
            </w:tcBorders>
            <w:vAlign w:val="center"/>
          </w:tcPr>
          <w:p w14:paraId="128371B8" w14:textId="77777777" w:rsidR="000953B1" w:rsidRDefault="000953B1" w:rsidP="000953B1">
            <w:pPr>
              <w:spacing w:line="360" w:lineRule="auto"/>
              <w:ind w:right="284"/>
              <w:jc w:val="both"/>
            </w:pPr>
            <w:r>
              <w:t>XAU</w:t>
            </w:r>
          </w:p>
        </w:tc>
        <w:tc>
          <w:tcPr>
            <w:tcW w:w="1800" w:type="dxa"/>
            <w:tcBorders>
              <w:top w:val="nil"/>
              <w:left w:val="nil"/>
              <w:bottom w:val="nil"/>
              <w:right w:val="nil"/>
            </w:tcBorders>
            <w:vAlign w:val="center"/>
          </w:tcPr>
          <w:p w14:paraId="57AE59FD" w14:textId="77777777" w:rsidR="000953B1" w:rsidRDefault="000953B1" w:rsidP="000953B1">
            <w:pPr>
              <w:spacing w:line="360" w:lineRule="auto"/>
              <w:ind w:right="284"/>
              <w:jc w:val="both"/>
            </w:pPr>
            <w:r>
              <w:t>1</w:t>
            </w:r>
          </w:p>
        </w:tc>
        <w:tc>
          <w:tcPr>
            <w:tcW w:w="2088" w:type="dxa"/>
            <w:tcBorders>
              <w:top w:val="nil"/>
              <w:left w:val="nil"/>
              <w:bottom w:val="nil"/>
              <w:right w:val="nil"/>
            </w:tcBorders>
            <w:vAlign w:val="center"/>
          </w:tcPr>
          <w:p w14:paraId="56BF16F3" w14:textId="77777777" w:rsidR="000953B1" w:rsidRDefault="000953B1" w:rsidP="000953B1">
            <w:pPr>
              <w:spacing w:line="360" w:lineRule="auto"/>
              <w:ind w:right="284"/>
              <w:jc w:val="both"/>
            </w:pPr>
          </w:p>
        </w:tc>
        <w:tc>
          <w:tcPr>
            <w:tcW w:w="2124" w:type="dxa"/>
            <w:tcBorders>
              <w:top w:val="nil"/>
              <w:left w:val="nil"/>
              <w:bottom w:val="nil"/>
              <w:right w:val="nil"/>
            </w:tcBorders>
            <w:vAlign w:val="center"/>
          </w:tcPr>
          <w:p w14:paraId="7BE05286" w14:textId="77777777" w:rsidR="000953B1" w:rsidRDefault="000953B1" w:rsidP="000953B1">
            <w:pPr>
              <w:spacing w:line="360" w:lineRule="auto"/>
              <w:ind w:right="284"/>
              <w:jc w:val="both"/>
            </w:pPr>
          </w:p>
        </w:tc>
        <w:tc>
          <w:tcPr>
            <w:tcW w:w="1825" w:type="dxa"/>
            <w:tcBorders>
              <w:top w:val="nil"/>
              <w:left w:val="nil"/>
              <w:bottom w:val="nil"/>
              <w:right w:val="nil"/>
            </w:tcBorders>
            <w:vAlign w:val="center"/>
          </w:tcPr>
          <w:p w14:paraId="67CACE3F" w14:textId="77777777" w:rsidR="000953B1" w:rsidRDefault="000953B1" w:rsidP="000953B1">
            <w:pPr>
              <w:spacing w:line="360" w:lineRule="auto"/>
              <w:ind w:right="284"/>
              <w:jc w:val="both"/>
            </w:pPr>
          </w:p>
        </w:tc>
      </w:tr>
      <w:tr w:rsidR="000953B1" w14:paraId="7ED8FF2B" w14:textId="77777777" w:rsidTr="00DE64B7">
        <w:tc>
          <w:tcPr>
            <w:tcW w:w="1265" w:type="dxa"/>
            <w:tcBorders>
              <w:top w:val="nil"/>
              <w:left w:val="nil"/>
              <w:bottom w:val="nil"/>
              <w:right w:val="nil"/>
            </w:tcBorders>
            <w:vAlign w:val="center"/>
          </w:tcPr>
          <w:p w14:paraId="2E3B7277" w14:textId="77777777" w:rsidR="000953B1" w:rsidRDefault="000953B1" w:rsidP="000953B1">
            <w:pPr>
              <w:spacing w:line="360" w:lineRule="auto"/>
              <w:ind w:right="284"/>
              <w:jc w:val="both"/>
            </w:pPr>
            <w:r>
              <w:t>SP</w:t>
            </w:r>
          </w:p>
        </w:tc>
        <w:tc>
          <w:tcPr>
            <w:tcW w:w="1800" w:type="dxa"/>
            <w:tcBorders>
              <w:top w:val="nil"/>
              <w:left w:val="nil"/>
              <w:bottom w:val="nil"/>
              <w:right w:val="nil"/>
            </w:tcBorders>
            <w:vAlign w:val="center"/>
          </w:tcPr>
          <w:p w14:paraId="39A302E4" w14:textId="77777777" w:rsidR="000953B1" w:rsidRDefault="000953B1" w:rsidP="000953B1">
            <w:pPr>
              <w:spacing w:line="360" w:lineRule="auto"/>
              <w:ind w:right="284"/>
              <w:jc w:val="both"/>
            </w:pPr>
            <w:r>
              <w:t>0.02155</w:t>
            </w:r>
          </w:p>
        </w:tc>
        <w:tc>
          <w:tcPr>
            <w:tcW w:w="2088" w:type="dxa"/>
            <w:tcBorders>
              <w:top w:val="nil"/>
              <w:left w:val="nil"/>
              <w:bottom w:val="nil"/>
              <w:right w:val="nil"/>
            </w:tcBorders>
            <w:vAlign w:val="center"/>
          </w:tcPr>
          <w:p w14:paraId="3DB2BF7E" w14:textId="77777777" w:rsidR="000953B1" w:rsidRDefault="000953B1" w:rsidP="000953B1">
            <w:pPr>
              <w:spacing w:line="360" w:lineRule="auto"/>
              <w:ind w:right="284"/>
              <w:jc w:val="both"/>
            </w:pPr>
            <w:r>
              <w:t>1</w:t>
            </w:r>
          </w:p>
        </w:tc>
        <w:tc>
          <w:tcPr>
            <w:tcW w:w="2124" w:type="dxa"/>
            <w:tcBorders>
              <w:top w:val="nil"/>
              <w:left w:val="nil"/>
              <w:bottom w:val="nil"/>
              <w:right w:val="nil"/>
            </w:tcBorders>
            <w:vAlign w:val="center"/>
          </w:tcPr>
          <w:p w14:paraId="0D691660" w14:textId="77777777" w:rsidR="000953B1" w:rsidRDefault="000953B1" w:rsidP="000953B1">
            <w:pPr>
              <w:spacing w:line="360" w:lineRule="auto"/>
              <w:ind w:right="284"/>
              <w:jc w:val="both"/>
            </w:pPr>
          </w:p>
        </w:tc>
        <w:tc>
          <w:tcPr>
            <w:tcW w:w="1825" w:type="dxa"/>
            <w:tcBorders>
              <w:top w:val="nil"/>
              <w:left w:val="nil"/>
              <w:bottom w:val="nil"/>
              <w:right w:val="nil"/>
            </w:tcBorders>
            <w:vAlign w:val="center"/>
          </w:tcPr>
          <w:p w14:paraId="138C0CF0" w14:textId="77777777" w:rsidR="000953B1" w:rsidRDefault="000953B1" w:rsidP="000953B1">
            <w:pPr>
              <w:spacing w:line="360" w:lineRule="auto"/>
              <w:ind w:right="284"/>
              <w:jc w:val="both"/>
            </w:pPr>
          </w:p>
        </w:tc>
      </w:tr>
      <w:tr w:rsidR="000953B1" w14:paraId="4BE76E24" w14:textId="77777777" w:rsidTr="00DE64B7">
        <w:tc>
          <w:tcPr>
            <w:tcW w:w="1265" w:type="dxa"/>
            <w:tcBorders>
              <w:top w:val="nil"/>
              <w:left w:val="nil"/>
              <w:bottom w:val="nil"/>
              <w:right w:val="nil"/>
            </w:tcBorders>
            <w:vAlign w:val="center"/>
          </w:tcPr>
          <w:p w14:paraId="65C2065C" w14:textId="77777777" w:rsidR="000953B1" w:rsidRDefault="000953B1" w:rsidP="000953B1">
            <w:pPr>
              <w:spacing w:line="360" w:lineRule="auto"/>
              <w:ind w:right="284"/>
              <w:jc w:val="both"/>
            </w:pPr>
            <w:r>
              <w:t>USO</w:t>
            </w:r>
          </w:p>
        </w:tc>
        <w:tc>
          <w:tcPr>
            <w:tcW w:w="1800" w:type="dxa"/>
            <w:tcBorders>
              <w:top w:val="nil"/>
              <w:left w:val="nil"/>
              <w:bottom w:val="nil"/>
              <w:right w:val="nil"/>
            </w:tcBorders>
            <w:vAlign w:val="center"/>
          </w:tcPr>
          <w:p w14:paraId="5F7AED6F" w14:textId="77777777" w:rsidR="000953B1" w:rsidRDefault="000953B1" w:rsidP="000953B1">
            <w:pPr>
              <w:spacing w:line="360" w:lineRule="auto"/>
              <w:ind w:right="284"/>
              <w:jc w:val="both"/>
            </w:pPr>
            <w:r>
              <w:t>0.08581</w:t>
            </w:r>
          </w:p>
        </w:tc>
        <w:tc>
          <w:tcPr>
            <w:tcW w:w="2088" w:type="dxa"/>
            <w:tcBorders>
              <w:top w:val="nil"/>
              <w:left w:val="nil"/>
              <w:bottom w:val="nil"/>
              <w:right w:val="nil"/>
            </w:tcBorders>
            <w:vAlign w:val="center"/>
          </w:tcPr>
          <w:p w14:paraId="09F39864" w14:textId="77777777" w:rsidR="000953B1" w:rsidRDefault="000953B1" w:rsidP="000953B1">
            <w:pPr>
              <w:spacing w:line="360" w:lineRule="auto"/>
              <w:ind w:right="284"/>
              <w:jc w:val="both"/>
            </w:pPr>
            <w:r>
              <w:t>0.29833</w:t>
            </w:r>
          </w:p>
        </w:tc>
        <w:tc>
          <w:tcPr>
            <w:tcW w:w="2124" w:type="dxa"/>
            <w:tcBorders>
              <w:top w:val="nil"/>
              <w:left w:val="nil"/>
              <w:bottom w:val="nil"/>
              <w:right w:val="nil"/>
            </w:tcBorders>
            <w:vAlign w:val="center"/>
          </w:tcPr>
          <w:p w14:paraId="6129D85E" w14:textId="77777777" w:rsidR="000953B1" w:rsidRDefault="000953B1" w:rsidP="000953B1">
            <w:pPr>
              <w:spacing w:line="360" w:lineRule="auto"/>
              <w:ind w:right="284"/>
              <w:jc w:val="both"/>
            </w:pPr>
            <w:r>
              <w:t>1</w:t>
            </w:r>
          </w:p>
        </w:tc>
        <w:tc>
          <w:tcPr>
            <w:tcW w:w="1825" w:type="dxa"/>
            <w:tcBorders>
              <w:top w:val="nil"/>
              <w:left w:val="nil"/>
              <w:bottom w:val="nil"/>
              <w:right w:val="nil"/>
            </w:tcBorders>
            <w:vAlign w:val="center"/>
          </w:tcPr>
          <w:p w14:paraId="1D5E7627" w14:textId="77777777" w:rsidR="000953B1" w:rsidRDefault="000953B1" w:rsidP="000953B1">
            <w:pPr>
              <w:spacing w:line="360" w:lineRule="auto"/>
              <w:ind w:right="284"/>
              <w:jc w:val="both"/>
            </w:pPr>
          </w:p>
        </w:tc>
      </w:tr>
      <w:tr w:rsidR="000953B1" w14:paraId="52D872A0" w14:textId="77777777" w:rsidTr="00DE64B7">
        <w:tc>
          <w:tcPr>
            <w:tcW w:w="1265" w:type="dxa"/>
            <w:tcBorders>
              <w:top w:val="nil"/>
              <w:left w:val="nil"/>
              <w:bottom w:val="outset" w:sz="6" w:space="0" w:color="auto"/>
              <w:right w:val="nil"/>
            </w:tcBorders>
            <w:vAlign w:val="center"/>
          </w:tcPr>
          <w:p w14:paraId="087928DB" w14:textId="77777777" w:rsidR="000953B1" w:rsidRDefault="000953B1" w:rsidP="000953B1">
            <w:pPr>
              <w:spacing w:line="360" w:lineRule="auto"/>
              <w:ind w:right="284"/>
              <w:jc w:val="both"/>
            </w:pPr>
            <w:r>
              <w:t>IEF</w:t>
            </w:r>
          </w:p>
        </w:tc>
        <w:tc>
          <w:tcPr>
            <w:tcW w:w="1800" w:type="dxa"/>
            <w:tcBorders>
              <w:top w:val="nil"/>
              <w:left w:val="nil"/>
              <w:bottom w:val="outset" w:sz="6" w:space="0" w:color="auto"/>
              <w:right w:val="nil"/>
            </w:tcBorders>
            <w:vAlign w:val="center"/>
          </w:tcPr>
          <w:p w14:paraId="2B2121DE" w14:textId="77777777" w:rsidR="000953B1" w:rsidRDefault="000953B1" w:rsidP="000953B1">
            <w:pPr>
              <w:spacing w:line="360" w:lineRule="auto"/>
              <w:ind w:right="284"/>
              <w:jc w:val="both"/>
            </w:pPr>
            <w:r>
              <w:t>0.370673</w:t>
            </w:r>
          </w:p>
        </w:tc>
        <w:tc>
          <w:tcPr>
            <w:tcW w:w="2088" w:type="dxa"/>
            <w:tcBorders>
              <w:top w:val="nil"/>
              <w:left w:val="nil"/>
              <w:bottom w:val="outset" w:sz="6" w:space="0" w:color="auto"/>
              <w:right w:val="nil"/>
            </w:tcBorders>
            <w:vAlign w:val="center"/>
          </w:tcPr>
          <w:p w14:paraId="311CFFFD" w14:textId="77777777" w:rsidR="000953B1" w:rsidRDefault="000953B1" w:rsidP="000953B1">
            <w:pPr>
              <w:spacing w:line="360" w:lineRule="auto"/>
              <w:ind w:right="284"/>
              <w:jc w:val="both"/>
            </w:pPr>
            <w:r>
              <w:t>-0.37385</w:t>
            </w:r>
          </w:p>
        </w:tc>
        <w:tc>
          <w:tcPr>
            <w:tcW w:w="2124" w:type="dxa"/>
            <w:tcBorders>
              <w:top w:val="nil"/>
              <w:left w:val="nil"/>
              <w:bottom w:val="outset" w:sz="6" w:space="0" w:color="auto"/>
              <w:right w:val="nil"/>
            </w:tcBorders>
            <w:vAlign w:val="center"/>
          </w:tcPr>
          <w:p w14:paraId="40956B8B" w14:textId="77777777" w:rsidR="000953B1" w:rsidRDefault="000953B1" w:rsidP="000953B1">
            <w:pPr>
              <w:spacing w:line="360" w:lineRule="auto"/>
              <w:ind w:right="284"/>
              <w:jc w:val="both"/>
            </w:pPr>
            <w:r>
              <w:t>-0.15308</w:t>
            </w:r>
          </w:p>
        </w:tc>
        <w:tc>
          <w:tcPr>
            <w:tcW w:w="1825" w:type="dxa"/>
            <w:tcBorders>
              <w:top w:val="nil"/>
              <w:left w:val="nil"/>
              <w:bottom w:val="outset" w:sz="6" w:space="0" w:color="auto"/>
              <w:right w:val="nil"/>
            </w:tcBorders>
            <w:vAlign w:val="center"/>
          </w:tcPr>
          <w:p w14:paraId="3F4B9D25" w14:textId="77777777" w:rsidR="000953B1" w:rsidRDefault="000953B1" w:rsidP="000953B1">
            <w:pPr>
              <w:spacing w:line="360" w:lineRule="auto"/>
              <w:ind w:right="284"/>
              <w:jc w:val="both"/>
            </w:pPr>
            <w:r>
              <w:t>1</w:t>
            </w:r>
          </w:p>
        </w:tc>
      </w:tr>
    </w:tbl>
    <w:p w14:paraId="54B24A54" w14:textId="191639DD" w:rsidR="000953B1" w:rsidRDefault="00DE64B7" w:rsidP="000953B1">
      <w:pPr>
        <w:pStyle w:val="NormalWeb"/>
        <w:spacing w:before="0" w:beforeAutospacing="0" w:after="0" w:afterAutospacing="0" w:line="360" w:lineRule="auto"/>
        <w:jc w:val="both"/>
        <w:rPr>
          <w:b/>
          <w:bCs/>
          <w:sz w:val="22"/>
          <w:szCs w:val="22"/>
          <w:lang w:val="en-US"/>
        </w:rPr>
      </w:pPr>
      <w:r w:rsidRPr="008D2A40">
        <w:rPr>
          <w:b/>
          <w:bCs/>
          <w:sz w:val="22"/>
          <w:szCs w:val="22"/>
          <w:lang w:val="en-US"/>
        </w:rPr>
        <w:t>Table</w:t>
      </w:r>
      <w:r w:rsidRPr="00DE64B7">
        <w:rPr>
          <w:b/>
          <w:bCs/>
          <w:sz w:val="22"/>
          <w:szCs w:val="22"/>
          <w:lang w:val="en-US"/>
        </w:rPr>
        <w:t xml:space="preserve"> </w:t>
      </w:r>
      <w:r w:rsidR="00C7360F">
        <w:rPr>
          <w:b/>
          <w:bCs/>
          <w:sz w:val="22"/>
          <w:szCs w:val="22"/>
          <w:lang w:val="en-US"/>
        </w:rPr>
        <w:t>3</w:t>
      </w:r>
      <w:r w:rsidRPr="00DE64B7">
        <w:rPr>
          <w:b/>
          <w:bCs/>
          <w:sz w:val="22"/>
          <w:szCs w:val="22"/>
          <w:lang w:val="en-US"/>
        </w:rPr>
        <w:t>: Correlation Matrix of Returns Pre-COVID-19</w:t>
      </w:r>
    </w:p>
    <w:p w14:paraId="56DA4910" w14:textId="77777777" w:rsidR="00DE64B7" w:rsidRPr="00DE64B7" w:rsidRDefault="00DE64B7" w:rsidP="00DE64B7">
      <w:pPr>
        <w:pStyle w:val="NormalWeb"/>
        <w:spacing w:before="0" w:beforeAutospacing="0" w:after="0" w:afterAutospacing="0" w:line="360" w:lineRule="auto"/>
        <w:jc w:val="both"/>
        <w:rPr>
          <w:sz w:val="22"/>
          <w:szCs w:val="22"/>
          <w:lang w:val="en-US"/>
        </w:rPr>
      </w:pPr>
      <w:r w:rsidRPr="00F601C5">
        <w:rPr>
          <w:sz w:val="22"/>
          <w:szCs w:val="22"/>
          <w:highlight w:val="yellow"/>
          <w:lang w:val="en-US"/>
        </w:rPr>
        <w:t>Indeed, there is a positive and statistically non-significant correlation between the gold index (XAU) and the other variables. Similarly, the S&amp;P 500 is weakly and positively correlated with the other stock indices (USO and XAU) with respective values of 30% and 2%. There is a negative and statistically non-significant relationship between IEF and S&amp;P 500 (-0.37385), and between IEF and USO (-0.15308). The correlation coefficients between USO and the other indices, namely S&amp;P 500 and the gold index XAU, are positive and statistically non-significant.</w:t>
      </w:r>
    </w:p>
    <w:p w14:paraId="0F31CEC5" w14:textId="77777777" w:rsidR="00A42C83" w:rsidRPr="00A42C83" w:rsidRDefault="00A42C83" w:rsidP="00A42C83">
      <w:pPr>
        <w:pStyle w:val="NormalWeb"/>
        <w:rPr>
          <w:lang w:val="en-US"/>
        </w:rPr>
      </w:pPr>
      <w:r>
        <w:rPr>
          <w:rStyle w:val="Strong"/>
          <w:lang w:val="en-US"/>
        </w:rPr>
        <w:t xml:space="preserve">        </w:t>
      </w:r>
      <w:r w:rsidRPr="00A42C83">
        <w:rPr>
          <w:rStyle w:val="Strong"/>
          <w:sz w:val="22"/>
          <w:szCs w:val="22"/>
          <w:lang w:val="en-US"/>
        </w:rPr>
        <w:t>2.3.2 Correlation for the Second Period: Post-COVID</w:t>
      </w:r>
    </w:p>
    <w:p w14:paraId="04D61AE2" w14:textId="77777777" w:rsidR="00A42C83" w:rsidRDefault="00A42C83" w:rsidP="00A42C83">
      <w:pPr>
        <w:pStyle w:val="NormalWeb"/>
        <w:spacing w:before="0" w:beforeAutospacing="0" w:after="0" w:afterAutospacing="0" w:line="360" w:lineRule="auto"/>
        <w:jc w:val="both"/>
        <w:rPr>
          <w:sz w:val="22"/>
          <w:szCs w:val="22"/>
          <w:lang w:val="en-US"/>
        </w:rPr>
      </w:pPr>
      <w:r w:rsidRPr="00A42C83">
        <w:rPr>
          <w:sz w:val="22"/>
          <w:szCs w:val="22"/>
          <w:lang w:val="en-US"/>
        </w:rPr>
        <w:t>Mishkin (1996) defines a financial crisis as a disruption in financial markets that significantly increases information asymmetry problems, such that financial markets are no longer able to efficiently channel funds to those with the most productive investment opportunities. The results show that there is a weak correlation between the different variables in our study</w:t>
      </w:r>
      <w:r>
        <w:rPr>
          <w:sz w:val="22"/>
          <w:szCs w:val="22"/>
          <w:lang w:val="en-US"/>
        </w:rPr>
        <w:t>.</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236"/>
        <w:gridCol w:w="1832"/>
        <w:gridCol w:w="2105"/>
        <w:gridCol w:w="2138"/>
        <w:gridCol w:w="1761"/>
      </w:tblGrid>
      <w:tr w:rsidR="00A42C83" w14:paraId="1C7908BA" w14:textId="77777777" w:rsidTr="00A42C83">
        <w:tc>
          <w:tcPr>
            <w:tcW w:w="1240" w:type="dxa"/>
            <w:tcBorders>
              <w:top w:val="outset" w:sz="6" w:space="0" w:color="auto"/>
              <w:left w:val="nil"/>
              <w:bottom w:val="nil"/>
              <w:right w:val="nil"/>
            </w:tcBorders>
            <w:vAlign w:val="center"/>
          </w:tcPr>
          <w:p w14:paraId="24D2163D" w14:textId="77777777" w:rsidR="00A42C83" w:rsidRPr="00122604" w:rsidRDefault="00A42C83" w:rsidP="00593C4E">
            <w:pPr>
              <w:spacing w:line="360" w:lineRule="auto"/>
              <w:ind w:right="284"/>
              <w:jc w:val="both"/>
              <w:rPr>
                <w:lang w:val="en-US"/>
              </w:rPr>
            </w:pPr>
          </w:p>
        </w:tc>
        <w:tc>
          <w:tcPr>
            <w:tcW w:w="1836" w:type="dxa"/>
            <w:tcBorders>
              <w:top w:val="outset" w:sz="6" w:space="0" w:color="auto"/>
              <w:left w:val="nil"/>
              <w:bottom w:val="nil"/>
              <w:right w:val="nil"/>
            </w:tcBorders>
            <w:vAlign w:val="center"/>
          </w:tcPr>
          <w:p w14:paraId="2AABD63D" w14:textId="77777777" w:rsidR="00A42C83" w:rsidRDefault="00A42C83" w:rsidP="00593C4E">
            <w:pPr>
              <w:spacing w:line="360" w:lineRule="auto"/>
              <w:ind w:right="284"/>
              <w:jc w:val="both"/>
            </w:pPr>
            <w:r>
              <w:t>XAU</w:t>
            </w:r>
          </w:p>
        </w:tc>
        <w:tc>
          <w:tcPr>
            <w:tcW w:w="2111" w:type="dxa"/>
            <w:tcBorders>
              <w:top w:val="outset" w:sz="6" w:space="0" w:color="auto"/>
              <w:left w:val="nil"/>
              <w:bottom w:val="nil"/>
              <w:right w:val="nil"/>
            </w:tcBorders>
            <w:vAlign w:val="center"/>
          </w:tcPr>
          <w:p w14:paraId="1D469EDB" w14:textId="77777777" w:rsidR="00A42C83" w:rsidRDefault="00A42C83" w:rsidP="00593C4E">
            <w:pPr>
              <w:spacing w:line="360" w:lineRule="auto"/>
              <w:ind w:right="284"/>
              <w:jc w:val="both"/>
            </w:pPr>
            <w:r>
              <w:t>SP</w:t>
            </w:r>
          </w:p>
        </w:tc>
        <w:tc>
          <w:tcPr>
            <w:tcW w:w="2145" w:type="dxa"/>
            <w:tcBorders>
              <w:top w:val="outset" w:sz="6" w:space="0" w:color="auto"/>
              <w:left w:val="nil"/>
              <w:bottom w:val="nil"/>
              <w:right w:val="nil"/>
            </w:tcBorders>
            <w:vAlign w:val="center"/>
          </w:tcPr>
          <w:p w14:paraId="3948EFFB" w14:textId="77777777" w:rsidR="00A42C83" w:rsidRDefault="00A42C83" w:rsidP="00593C4E">
            <w:pPr>
              <w:spacing w:line="360" w:lineRule="auto"/>
              <w:ind w:right="284"/>
              <w:jc w:val="both"/>
            </w:pPr>
            <w:r>
              <w:t>USO</w:t>
            </w:r>
          </w:p>
        </w:tc>
        <w:tc>
          <w:tcPr>
            <w:tcW w:w="1770" w:type="dxa"/>
            <w:tcBorders>
              <w:top w:val="outset" w:sz="6" w:space="0" w:color="auto"/>
              <w:left w:val="nil"/>
              <w:bottom w:val="nil"/>
              <w:right w:val="nil"/>
            </w:tcBorders>
            <w:vAlign w:val="center"/>
          </w:tcPr>
          <w:p w14:paraId="3E2B4168" w14:textId="77777777" w:rsidR="00A42C83" w:rsidRDefault="00A42C83" w:rsidP="00593C4E">
            <w:pPr>
              <w:spacing w:line="360" w:lineRule="auto"/>
              <w:ind w:right="284"/>
              <w:jc w:val="both"/>
            </w:pPr>
            <w:r>
              <w:t>IEF</w:t>
            </w:r>
          </w:p>
        </w:tc>
      </w:tr>
      <w:tr w:rsidR="00A42C83" w14:paraId="104A6BBF" w14:textId="77777777" w:rsidTr="00A42C83">
        <w:tc>
          <w:tcPr>
            <w:tcW w:w="1240" w:type="dxa"/>
            <w:tcBorders>
              <w:top w:val="nil"/>
              <w:left w:val="nil"/>
              <w:bottom w:val="nil"/>
              <w:right w:val="nil"/>
            </w:tcBorders>
            <w:vAlign w:val="center"/>
          </w:tcPr>
          <w:p w14:paraId="6A508828" w14:textId="77777777" w:rsidR="00A42C83" w:rsidRDefault="00A42C83" w:rsidP="00593C4E">
            <w:pPr>
              <w:spacing w:line="360" w:lineRule="auto"/>
              <w:ind w:right="284"/>
              <w:jc w:val="both"/>
            </w:pPr>
            <w:r>
              <w:t xml:space="preserve">  XAU</w:t>
            </w:r>
          </w:p>
        </w:tc>
        <w:tc>
          <w:tcPr>
            <w:tcW w:w="1836" w:type="dxa"/>
            <w:tcBorders>
              <w:top w:val="nil"/>
              <w:left w:val="nil"/>
              <w:bottom w:val="nil"/>
              <w:right w:val="nil"/>
            </w:tcBorders>
            <w:vAlign w:val="center"/>
          </w:tcPr>
          <w:p w14:paraId="2E845667" w14:textId="77777777" w:rsidR="00A42C83" w:rsidRDefault="00A42C83" w:rsidP="00593C4E">
            <w:pPr>
              <w:spacing w:line="360" w:lineRule="auto"/>
              <w:ind w:right="284"/>
              <w:jc w:val="both"/>
            </w:pPr>
            <w:r>
              <w:t>1</w:t>
            </w:r>
          </w:p>
        </w:tc>
        <w:tc>
          <w:tcPr>
            <w:tcW w:w="2111" w:type="dxa"/>
            <w:tcBorders>
              <w:top w:val="nil"/>
              <w:left w:val="nil"/>
              <w:bottom w:val="nil"/>
              <w:right w:val="nil"/>
            </w:tcBorders>
            <w:vAlign w:val="center"/>
          </w:tcPr>
          <w:p w14:paraId="25F3682A" w14:textId="77777777" w:rsidR="00A42C83" w:rsidRDefault="00A42C83" w:rsidP="00593C4E">
            <w:pPr>
              <w:spacing w:line="360" w:lineRule="auto"/>
              <w:ind w:right="284"/>
              <w:jc w:val="both"/>
            </w:pPr>
          </w:p>
        </w:tc>
        <w:tc>
          <w:tcPr>
            <w:tcW w:w="2145" w:type="dxa"/>
            <w:tcBorders>
              <w:top w:val="nil"/>
              <w:left w:val="nil"/>
              <w:bottom w:val="nil"/>
              <w:right w:val="nil"/>
            </w:tcBorders>
            <w:vAlign w:val="center"/>
          </w:tcPr>
          <w:p w14:paraId="05EFD653" w14:textId="77777777" w:rsidR="00A42C83" w:rsidRDefault="00A42C83" w:rsidP="00593C4E">
            <w:pPr>
              <w:spacing w:line="360" w:lineRule="auto"/>
              <w:ind w:right="284"/>
              <w:jc w:val="both"/>
            </w:pPr>
          </w:p>
        </w:tc>
        <w:tc>
          <w:tcPr>
            <w:tcW w:w="1770" w:type="dxa"/>
            <w:tcBorders>
              <w:top w:val="nil"/>
              <w:left w:val="nil"/>
              <w:bottom w:val="nil"/>
              <w:right w:val="nil"/>
            </w:tcBorders>
            <w:vAlign w:val="center"/>
          </w:tcPr>
          <w:p w14:paraId="5CFDD111" w14:textId="77777777" w:rsidR="00A42C83" w:rsidRDefault="00A42C83" w:rsidP="00593C4E">
            <w:pPr>
              <w:spacing w:line="360" w:lineRule="auto"/>
              <w:ind w:right="284"/>
              <w:jc w:val="both"/>
            </w:pPr>
          </w:p>
        </w:tc>
      </w:tr>
      <w:tr w:rsidR="00A42C83" w14:paraId="205C169C" w14:textId="77777777" w:rsidTr="00A42C83">
        <w:tc>
          <w:tcPr>
            <w:tcW w:w="1240" w:type="dxa"/>
            <w:tcBorders>
              <w:top w:val="nil"/>
              <w:left w:val="nil"/>
              <w:bottom w:val="nil"/>
              <w:right w:val="nil"/>
            </w:tcBorders>
            <w:vAlign w:val="center"/>
          </w:tcPr>
          <w:p w14:paraId="12142773" w14:textId="77777777" w:rsidR="00A42C83" w:rsidRDefault="00A42C83" w:rsidP="00593C4E">
            <w:pPr>
              <w:spacing w:line="360" w:lineRule="auto"/>
              <w:ind w:right="284"/>
              <w:jc w:val="both"/>
            </w:pPr>
            <w:r>
              <w:t>SP</w:t>
            </w:r>
          </w:p>
        </w:tc>
        <w:tc>
          <w:tcPr>
            <w:tcW w:w="1836" w:type="dxa"/>
            <w:tcBorders>
              <w:top w:val="nil"/>
              <w:left w:val="nil"/>
              <w:bottom w:val="nil"/>
              <w:right w:val="nil"/>
            </w:tcBorders>
            <w:vAlign w:val="center"/>
          </w:tcPr>
          <w:p w14:paraId="2A3A2EEF" w14:textId="77777777" w:rsidR="00A42C83" w:rsidRDefault="00A42C83" w:rsidP="00593C4E">
            <w:pPr>
              <w:spacing w:line="360" w:lineRule="auto"/>
              <w:ind w:right="284"/>
              <w:jc w:val="both"/>
            </w:pPr>
            <w:r>
              <w:t>0.34536127</w:t>
            </w:r>
          </w:p>
        </w:tc>
        <w:tc>
          <w:tcPr>
            <w:tcW w:w="2111" w:type="dxa"/>
            <w:tcBorders>
              <w:top w:val="nil"/>
              <w:left w:val="nil"/>
              <w:bottom w:val="nil"/>
              <w:right w:val="nil"/>
            </w:tcBorders>
            <w:vAlign w:val="center"/>
          </w:tcPr>
          <w:p w14:paraId="15275D98" w14:textId="77777777" w:rsidR="00A42C83" w:rsidRDefault="00A42C83" w:rsidP="00593C4E">
            <w:pPr>
              <w:spacing w:line="360" w:lineRule="auto"/>
              <w:ind w:right="284"/>
              <w:jc w:val="both"/>
            </w:pPr>
            <w:r>
              <w:t>1</w:t>
            </w:r>
          </w:p>
        </w:tc>
        <w:tc>
          <w:tcPr>
            <w:tcW w:w="2145" w:type="dxa"/>
            <w:tcBorders>
              <w:top w:val="nil"/>
              <w:left w:val="nil"/>
              <w:bottom w:val="nil"/>
              <w:right w:val="nil"/>
            </w:tcBorders>
            <w:vAlign w:val="center"/>
          </w:tcPr>
          <w:p w14:paraId="223E50BC" w14:textId="77777777" w:rsidR="00A42C83" w:rsidRDefault="00A42C83" w:rsidP="00593C4E">
            <w:pPr>
              <w:spacing w:line="360" w:lineRule="auto"/>
              <w:ind w:right="284"/>
              <w:jc w:val="both"/>
            </w:pPr>
          </w:p>
        </w:tc>
        <w:tc>
          <w:tcPr>
            <w:tcW w:w="1770" w:type="dxa"/>
            <w:tcBorders>
              <w:top w:val="nil"/>
              <w:left w:val="nil"/>
              <w:bottom w:val="nil"/>
              <w:right w:val="nil"/>
            </w:tcBorders>
            <w:vAlign w:val="center"/>
          </w:tcPr>
          <w:p w14:paraId="4BABFED5" w14:textId="77777777" w:rsidR="00A42C83" w:rsidRDefault="00A42C83" w:rsidP="00593C4E">
            <w:pPr>
              <w:spacing w:line="360" w:lineRule="auto"/>
              <w:ind w:right="284"/>
              <w:jc w:val="both"/>
            </w:pPr>
          </w:p>
        </w:tc>
      </w:tr>
      <w:tr w:rsidR="00A42C83" w14:paraId="2657B832" w14:textId="77777777" w:rsidTr="00A42C83">
        <w:tc>
          <w:tcPr>
            <w:tcW w:w="1240" w:type="dxa"/>
            <w:tcBorders>
              <w:top w:val="nil"/>
              <w:left w:val="nil"/>
              <w:bottom w:val="nil"/>
              <w:right w:val="nil"/>
            </w:tcBorders>
            <w:vAlign w:val="center"/>
          </w:tcPr>
          <w:p w14:paraId="07DC215D" w14:textId="77777777" w:rsidR="00A42C83" w:rsidRDefault="00A42C83" w:rsidP="00593C4E">
            <w:pPr>
              <w:spacing w:line="360" w:lineRule="auto"/>
              <w:ind w:right="284"/>
              <w:jc w:val="both"/>
            </w:pPr>
            <w:r>
              <w:t>USO</w:t>
            </w:r>
          </w:p>
        </w:tc>
        <w:tc>
          <w:tcPr>
            <w:tcW w:w="1836" w:type="dxa"/>
            <w:tcBorders>
              <w:top w:val="nil"/>
              <w:left w:val="nil"/>
              <w:bottom w:val="nil"/>
              <w:right w:val="nil"/>
            </w:tcBorders>
            <w:vAlign w:val="center"/>
          </w:tcPr>
          <w:p w14:paraId="22F8933A" w14:textId="77777777" w:rsidR="00A42C83" w:rsidRDefault="00A42C83" w:rsidP="00593C4E">
            <w:pPr>
              <w:spacing w:line="360" w:lineRule="auto"/>
              <w:ind w:right="284"/>
              <w:jc w:val="both"/>
            </w:pPr>
            <w:r>
              <w:t>0.21039555</w:t>
            </w:r>
          </w:p>
        </w:tc>
        <w:tc>
          <w:tcPr>
            <w:tcW w:w="2111" w:type="dxa"/>
            <w:tcBorders>
              <w:top w:val="nil"/>
              <w:left w:val="nil"/>
              <w:bottom w:val="nil"/>
              <w:right w:val="nil"/>
            </w:tcBorders>
            <w:vAlign w:val="center"/>
          </w:tcPr>
          <w:p w14:paraId="3534D284" w14:textId="77777777" w:rsidR="00A42C83" w:rsidRDefault="00A42C83" w:rsidP="00593C4E">
            <w:pPr>
              <w:spacing w:line="360" w:lineRule="auto"/>
              <w:ind w:right="284"/>
              <w:jc w:val="both"/>
            </w:pPr>
            <w:r>
              <w:t>0.35338177</w:t>
            </w:r>
          </w:p>
        </w:tc>
        <w:tc>
          <w:tcPr>
            <w:tcW w:w="2145" w:type="dxa"/>
            <w:tcBorders>
              <w:top w:val="nil"/>
              <w:left w:val="nil"/>
              <w:bottom w:val="nil"/>
              <w:right w:val="nil"/>
            </w:tcBorders>
            <w:vAlign w:val="center"/>
          </w:tcPr>
          <w:p w14:paraId="467CDF81" w14:textId="77777777" w:rsidR="00A42C83" w:rsidRDefault="00A42C83" w:rsidP="00593C4E">
            <w:pPr>
              <w:spacing w:line="360" w:lineRule="auto"/>
              <w:ind w:right="284"/>
              <w:jc w:val="both"/>
            </w:pPr>
            <w:r>
              <w:t>1</w:t>
            </w:r>
          </w:p>
        </w:tc>
        <w:tc>
          <w:tcPr>
            <w:tcW w:w="1770" w:type="dxa"/>
            <w:tcBorders>
              <w:top w:val="nil"/>
              <w:left w:val="nil"/>
              <w:bottom w:val="nil"/>
              <w:right w:val="nil"/>
            </w:tcBorders>
            <w:vAlign w:val="center"/>
          </w:tcPr>
          <w:p w14:paraId="3F9731A1" w14:textId="77777777" w:rsidR="00A42C83" w:rsidRDefault="00A42C83" w:rsidP="00593C4E">
            <w:pPr>
              <w:spacing w:line="360" w:lineRule="auto"/>
              <w:ind w:right="284"/>
              <w:jc w:val="both"/>
            </w:pPr>
          </w:p>
        </w:tc>
      </w:tr>
      <w:tr w:rsidR="00A42C83" w14:paraId="1C9E2040" w14:textId="77777777" w:rsidTr="00A42C83">
        <w:tc>
          <w:tcPr>
            <w:tcW w:w="1240" w:type="dxa"/>
            <w:tcBorders>
              <w:top w:val="nil"/>
              <w:left w:val="nil"/>
              <w:bottom w:val="outset" w:sz="6" w:space="0" w:color="auto"/>
              <w:right w:val="nil"/>
            </w:tcBorders>
            <w:vAlign w:val="center"/>
          </w:tcPr>
          <w:p w14:paraId="0E420D51" w14:textId="77777777" w:rsidR="00A42C83" w:rsidRDefault="00A42C83" w:rsidP="00593C4E">
            <w:pPr>
              <w:spacing w:line="360" w:lineRule="auto"/>
              <w:ind w:right="284"/>
              <w:jc w:val="both"/>
            </w:pPr>
            <w:r>
              <w:t>IEF</w:t>
            </w:r>
          </w:p>
        </w:tc>
        <w:tc>
          <w:tcPr>
            <w:tcW w:w="1836" w:type="dxa"/>
            <w:tcBorders>
              <w:top w:val="nil"/>
              <w:left w:val="nil"/>
              <w:bottom w:val="outset" w:sz="6" w:space="0" w:color="auto"/>
              <w:right w:val="nil"/>
            </w:tcBorders>
            <w:vAlign w:val="center"/>
          </w:tcPr>
          <w:p w14:paraId="170583EA" w14:textId="77777777" w:rsidR="00A42C83" w:rsidRDefault="00A42C83" w:rsidP="00593C4E">
            <w:pPr>
              <w:spacing w:line="360" w:lineRule="auto"/>
              <w:ind w:right="284"/>
              <w:jc w:val="both"/>
            </w:pPr>
            <w:r>
              <w:t>0.06773771</w:t>
            </w:r>
          </w:p>
        </w:tc>
        <w:tc>
          <w:tcPr>
            <w:tcW w:w="2111" w:type="dxa"/>
            <w:tcBorders>
              <w:top w:val="nil"/>
              <w:left w:val="nil"/>
              <w:bottom w:val="outset" w:sz="6" w:space="0" w:color="auto"/>
              <w:right w:val="nil"/>
            </w:tcBorders>
            <w:vAlign w:val="center"/>
          </w:tcPr>
          <w:p w14:paraId="49A27748" w14:textId="77777777" w:rsidR="00A42C83" w:rsidRDefault="00A42C83" w:rsidP="00593C4E">
            <w:pPr>
              <w:spacing w:line="360" w:lineRule="auto"/>
              <w:ind w:right="284"/>
              <w:jc w:val="both"/>
            </w:pPr>
            <w:r>
              <w:t>-0.32364481</w:t>
            </w:r>
          </w:p>
        </w:tc>
        <w:tc>
          <w:tcPr>
            <w:tcW w:w="2145" w:type="dxa"/>
            <w:tcBorders>
              <w:top w:val="nil"/>
              <w:left w:val="nil"/>
              <w:bottom w:val="outset" w:sz="6" w:space="0" w:color="auto"/>
              <w:right w:val="nil"/>
            </w:tcBorders>
            <w:vAlign w:val="center"/>
          </w:tcPr>
          <w:p w14:paraId="78C6E5BC" w14:textId="77777777" w:rsidR="00A42C83" w:rsidRDefault="00A42C83" w:rsidP="00593C4E">
            <w:pPr>
              <w:spacing w:line="360" w:lineRule="auto"/>
              <w:ind w:right="284"/>
              <w:jc w:val="both"/>
            </w:pPr>
            <w:r>
              <w:t>-0.16774098</w:t>
            </w:r>
          </w:p>
        </w:tc>
        <w:tc>
          <w:tcPr>
            <w:tcW w:w="1770" w:type="dxa"/>
            <w:tcBorders>
              <w:top w:val="nil"/>
              <w:left w:val="nil"/>
              <w:bottom w:val="outset" w:sz="6" w:space="0" w:color="auto"/>
              <w:right w:val="nil"/>
            </w:tcBorders>
            <w:vAlign w:val="center"/>
          </w:tcPr>
          <w:p w14:paraId="016862AC" w14:textId="77777777" w:rsidR="00A42C83" w:rsidRDefault="00A42C83" w:rsidP="00593C4E">
            <w:pPr>
              <w:spacing w:line="360" w:lineRule="auto"/>
              <w:ind w:right="284"/>
              <w:jc w:val="both"/>
            </w:pPr>
            <w:r>
              <w:t>1</w:t>
            </w:r>
          </w:p>
        </w:tc>
      </w:tr>
    </w:tbl>
    <w:p w14:paraId="794800D4" w14:textId="6207EE61" w:rsidR="00A42C83" w:rsidRPr="00A42C83" w:rsidRDefault="00A42C83" w:rsidP="00A42C83">
      <w:pPr>
        <w:pStyle w:val="NormalWeb"/>
        <w:spacing w:before="0" w:beforeAutospacing="0" w:after="0" w:afterAutospacing="0" w:line="360" w:lineRule="auto"/>
        <w:jc w:val="both"/>
        <w:rPr>
          <w:b/>
          <w:bCs/>
          <w:sz w:val="20"/>
          <w:szCs w:val="20"/>
          <w:lang w:val="en-US"/>
        </w:rPr>
      </w:pPr>
      <w:r w:rsidRPr="008D2A40">
        <w:rPr>
          <w:b/>
          <w:bCs/>
          <w:sz w:val="22"/>
          <w:szCs w:val="22"/>
          <w:lang w:val="en-US"/>
        </w:rPr>
        <w:t>Table</w:t>
      </w:r>
      <w:r w:rsidRPr="00A42C83">
        <w:rPr>
          <w:b/>
          <w:bCs/>
          <w:sz w:val="22"/>
          <w:szCs w:val="22"/>
          <w:lang w:val="en-US"/>
        </w:rPr>
        <w:t xml:space="preserve"> </w:t>
      </w:r>
      <w:r w:rsidR="00C7360F">
        <w:rPr>
          <w:b/>
          <w:bCs/>
          <w:sz w:val="22"/>
          <w:szCs w:val="22"/>
          <w:lang w:val="en-US"/>
        </w:rPr>
        <w:t>4</w:t>
      </w:r>
      <w:r w:rsidRPr="00A42C83">
        <w:rPr>
          <w:b/>
          <w:bCs/>
          <w:sz w:val="22"/>
          <w:szCs w:val="22"/>
          <w:lang w:val="en-US"/>
        </w:rPr>
        <w:t xml:space="preserve">: </w:t>
      </w:r>
      <w:r w:rsidR="00C7360F">
        <w:rPr>
          <w:b/>
          <w:bCs/>
          <w:sz w:val="22"/>
          <w:szCs w:val="22"/>
          <w:lang w:val="en-US"/>
        </w:rPr>
        <w:t>c</w:t>
      </w:r>
      <w:r w:rsidRPr="00A42C83">
        <w:rPr>
          <w:b/>
          <w:bCs/>
          <w:sz w:val="22"/>
          <w:szCs w:val="22"/>
          <w:lang w:val="en-US"/>
        </w:rPr>
        <w:t>orrelation Matrix of Returns Post-COVID</w:t>
      </w:r>
    </w:p>
    <w:p w14:paraId="5A54B897" w14:textId="77777777" w:rsidR="00DE64B7" w:rsidRPr="00DE64B7" w:rsidRDefault="00DE64B7" w:rsidP="000953B1">
      <w:pPr>
        <w:pStyle w:val="NormalWeb"/>
        <w:spacing w:before="0" w:beforeAutospacing="0" w:after="0" w:afterAutospacing="0" w:line="360" w:lineRule="auto"/>
        <w:jc w:val="both"/>
        <w:rPr>
          <w:b/>
          <w:bCs/>
          <w:sz w:val="20"/>
          <w:szCs w:val="20"/>
          <w:lang w:val="en-US"/>
        </w:rPr>
      </w:pPr>
    </w:p>
    <w:p w14:paraId="7F3A6CEA" w14:textId="77777777" w:rsidR="00A42C83" w:rsidRPr="00A42C83" w:rsidRDefault="00A42C83" w:rsidP="00A42C83">
      <w:pPr>
        <w:pStyle w:val="NormalWeb"/>
        <w:spacing w:before="0" w:beforeAutospacing="0" w:after="0" w:afterAutospacing="0" w:line="360" w:lineRule="auto"/>
        <w:jc w:val="both"/>
        <w:rPr>
          <w:sz w:val="22"/>
          <w:szCs w:val="22"/>
          <w:lang w:val="en-US"/>
        </w:rPr>
      </w:pPr>
      <w:r w:rsidRPr="00A42C83">
        <w:rPr>
          <w:sz w:val="22"/>
          <w:szCs w:val="22"/>
          <w:lang w:val="en-US"/>
        </w:rPr>
        <w:t>Indeed, we also observe a positive and statistically non-significant correlation between the gold index (XAU) and the other variables. Comparing the two periods studied in our analysis, we find that the correlation between XAU and S&amp;P 500 increased from 2.1% (before the COVID-19 pandemic) to 34%. This can be explained by the effect of the COVID-19 health crisis.</w:t>
      </w:r>
    </w:p>
    <w:p w14:paraId="7F715B11" w14:textId="77777777" w:rsidR="00A42C83" w:rsidRDefault="00A42C83" w:rsidP="00A42C83">
      <w:pPr>
        <w:pStyle w:val="NormalWeb"/>
        <w:spacing w:before="0" w:beforeAutospacing="0" w:after="0" w:afterAutospacing="0" w:line="360" w:lineRule="auto"/>
        <w:jc w:val="both"/>
        <w:rPr>
          <w:sz w:val="22"/>
          <w:szCs w:val="22"/>
          <w:lang w:val="en-US"/>
        </w:rPr>
      </w:pPr>
      <w:r w:rsidRPr="00A42C83">
        <w:rPr>
          <w:sz w:val="22"/>
          <w:szCs w:val="22"/>
          <w:lang w:val="en-US"/>
        </w:rPr>
        <w:t>Similarly, there is a negative and statistically non-significant relationship between IEF and S&amp;P 500 (-0.32364481), and between IEF and USO (-0.16774098). A low correlation between individual securities leads to a better risk-return trade-off, as described by Markowitz (1952). This is the primary reason for choosing our sample, as correlations among these markets are relatively low and expected gains from diversification strategies are significant.</w:t>
      </w:r>
    </w:p>
    <w:p w14:paraId="13501545" w14:textId="77777777" w:rsidR="000D78A9" w:rsidRDefault="000D78A9" w:rsidP="00A42C83">
      <w:pPr>
        <w:pStyle w:val="NormalWeb"/>
        <w:spacing w:before="0" w:beforeAutospacing="0" w:after="0" w:afterAutospacing="0" w:line="360" w:lineRule="auto"/>
        <w:jc w:val="both"/>
        <w:rPr>
          <w:sz w:val="22"/>
          <w:szCs w:val="22"/>
          <w:lang w:val="en-US"/>
        </w:rPr>
      </w:pPr>
    </w:p>
    <w:p w14:paraId="5118F3C8" w14:textId="77777777" w:rsidR="000D78A9" w:rsidRPr="00A42C83" w:rsidRDefault="000D78A9" w:rsidP="00A42C83">
      <w:pPr>
        <w:pStyle w:val="NormalWeb"/>
        <w:spacing w:before="0" w:beforeAutospacing="0" w:after="0" w:afterAutospacing="0" w:line="360" w:lineRule="auto"/>
        <w:jc w:val="both"/>
        <w:rPr>
          <w:sz w:val="22"/>
          <w:szCs w:val="22"/>
          <w:lang w:val="en-US"/>
        </w:rPr>
      </w:pPr>
    </w:p>
    <w:p w14:paraId="3ABFAA5D" w14:textId="77777777" w:rsidR="00A42C83" w:rsidRPr="00A42C83" w:rsidRDefault="00A42C83" w:rsidP="00A42C83">
      <w:pPr>
        <w:pStyle w:val="NormalWeb"/>
        <w:rPr>
          <w:sz w:val="22"/>
          <w:szCs w:val="22"/>
          <w:lang w:val="en-US"/>
        </w:rPr>
      </w:pPr>
      <w:r w:rsidRPr="00A42C83">
        <w:rPr>
          <w:rStyle w:val="Strong"/>
          <w:sz w:val="22"/>
          <w:szCs w:val="22"/>
          <w:lang w:val="en-US"/>
        </w:rPr>
        <w:lastRenderedPageBreak/>
        <w:t>Section 3. Empirical Investigation</w:t>
      </w:r>
    </w:p>
    <w:p w14:paraId="65F7901E" w14:textId="77777777" w:rsidR="00A42C83" w:rsidRDefault="00A42C83" w:rsidP="00A42C83">
      <w:pPr>
        <w:pStyle w:val="NormalWeb"/>
        <w:spacing w:before="0" w:beforeAutospacing="0" w:after="0" w:afterAutospacing="0" w:line="360" w:lineRule="auto"/>
        <w:jc w:val="both"/>
        <w:rPr>
          <w:sz w:val="22"/>
          <w:szCs w:val="22"/>
          <w:lang w:val="en-US"/>
        </w:rPr>
      </w:pPr>
      <w:r w:rsidRPr="00A42C83">
        <w:rPr>
          <w:sz w:val="22"/>
          <w:szCs w:val="22"/>
          <w:lang w:val="en-US"/>
        </w:rPr>
        <w:t>Risk-based portfolios aim to avoid the high sensitivity of Markowitz's mean-variance portfolio to errors in expected returns estimation by circumventing the use of these returns. They rely solely on the covariance matrix (Ardia et al., 2017). The empirical study is conducted in two stages. The first stage aims to estimate econometric models that empirically validate the covariance matrix. The second stage defines and analyzes portfolio optimization methods that minimize diversifiable risk. Portfolios are constructed and periodically reviewed using optimization models such as ERC, MDP, Minimum Variance Portfolio (PVM), IVP, MDECP, and the naive diversification rule. This allocation rule is used for comparison purposes with optimization programs and to analyze the impact of diversifiable risk minimization.</w:t>
      </w:r>
    </w:p>
    <w:p w14:paraId="3F8D7F85" w14:textId="77777777" w:rsidR="00B5216D" w:rsidRDefault="00B5216D" w:rsidP="00A42C83">
      <w:pPr>
        <w:pStyle w:val="NormalWeb"/>
        <w:spacing w:before="0" w:beforeAutospacing="0" w:after="0" w:afterAutospacing="0" w:line="360" w:lineRule="auto"/>
        <w:jc w:val="both"/>
        <w:rPr>
          <w:sz w:val="22"/>
          <w:szCs w:val="22"/>
          <w:lang w:val="en-US"/>
        </w:rPr>
      </w:pPr>
    </w:p>
    <w:p w14:paraId="6560C309" w14:textId="77777777" w:rsidR="00DE222B" w:rsidRPr="00DE222B" w:rsidRDefault="00DE222B" w:rsidP="00A42C83">
      <w:pPr>
        <w:pStyle w:val="NormalWeb"/>
        <w:spacing w:before="0" w:beforeAutospacing="0" w:after="0" w:afterAutospacing="0" w:line="360" w:lineRule="auto"/>
        <w:jc w:val="both"/>
        <w:rPr>
          <w:b/>
          <w:bCs/>
          <w:i/>
          <w:iCs/>
          <w:sz w:val="22"/>
          <w:szCs w:val="22"/>
          <w:lang w:val="en-US"/>
        </w:rPr>
      </w:pPr>
      <w:r w:rsidRPr="00005D88">
        <w:rPr>
          <w:b/>
          <w:bCs/>
          <w:i/>
          <w:iCs/>
          <w:sz w:val="22"/>
          <w:szCs w:val="22"/>
          <w:lang w:val="en-US"/>
        </w:rPr>
        <w:t xml:space="preserve">  3.1 EWMA Model Estimation</w:t>
      </w:r>
    </w:p>
    <w:p w14:paraId="4C271EF0" w14:textId="77777777" w:rsidR="000953B1" w:rsidRPr="00A42C83" w:rsidRDefault="000953B1" w:rsidP="00A42C83">
      <w:pPr>
        <w:pStyle w:val="NormalWeb"/>
        <w:spacing w:before="0" w:beforeAutospacing="0" w:after="0" w:afterAutospacing="0" w:line="360" w:lineRule="auto"/>
        <w:jc w:val="both"/>
        <w:rPr>
          <w:sz w:val="20"/>
          <w:szCs w:val="20"/>
          <w:lang w:val="en-US"/>
        </w:rPr>
      </w:pPr>
    </w:p>
    <w:p w14:paraId="13DAC1E5" w14:textId="77777777" w:rsidR="00005D88" w:rsidRPr="00005D88" w:rsidRDefault="00005D88" w:rsidP="00005D88">
      <w:pPr>
        <w:spacing w:after="0" w:line="360" w:lineRule="auto"/>
        <w:jc w:val="both"/>
        <w:rPr>
          <w:rFonts w:ascii="Times New Roman" w:eastAsia="Times New Roman" w:hAnsi="Times New Roman" w:cs="Times New Roman"/>
          <w:lang w:val="en-US" w:eastAsia="fr-FR"/>
        </w:rPr>
      </w:pPr>
      <w:r w:rsidRPr="00005D88">
        <w:rPr>
          <w:rFonts w:ascii="Times New Roman" w:eastAsia="Times New Roman" w:hAnsi="Times New Roman" w:cs="Times New Roman"/>
          <w:lang w:val="en-US" w:eastAsia="fr-FR"/>
        </w:rPr>
        <w:t>The EWMA (Exponentially Weighted Moving Average) model calculates the volatility value for a given time based on the previous day's value, but assigns more weight to recent observations. This model captures the dynamic characteristics of volatility according to the following equation:</w:t>
      </w:r>
    </w:p>
    <w:p w14:paraId="4A4D2676" w14:textId="77777777" w:rsidR="00005D88" w:rsidRPr="00005D88" w:rsidRDefault="0031542F" w:rsidP="00005D88">
      <w:pPr>
        <w:spacing w:after="0" w:line="360" w:lineRule="auto"/>
        <w:ind w:right="284"/>
        <w:jc w:val="both"/>
        <w:rPr>
          <w:rFonts w:eastAsia="SimSun" w:cs="Times New Roman"/>
          <w:szCs w:val="24"/>
        </w:rPr>
      </w:pPr>
      <m:oMathPara>
        <m:oMath>
          <m:sSub>
            <m:sSubPr>
              <m:ctrlPr>
                <w:rPr>
                  <w:rFonts w:ascii="Cambria Math" w:eastAsia="Cambria Math" w:hAnsi="Cambria Math" w:cs="Times New Roman"/>
                  <w:iCs/>
                  <w:color w:val="222222"/>
                  <w:szCs w:val="24"/>
                  <w:shd w:val="clear" w:color="auto" w:fill="FFFFFF"/>
                  <w:lang w:eastAsia="fr-FR"/>
                </w:rPr>
              </m:ctrlPr>
            </m:sSubPr>
            <m:e>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n</m:t>
                  </m:r>
                </m:sub>
                <m:sup>
                  <m:r>
                    <m:rPr>
                      <m:sty m:val="p"/>
                    </m:rPr>
                    <w:rPr>
                      <w:rFonts w:ascii="Cambria Math" w:eastAsia="Cambria Math" w:hAnsi="Cambria Math" w:cs="Times New Roman"/>
                      <w:color w:val="222222"/>
                      <w:szCs w:val="24"/>
                      <w:shd w:val="clear" w:color="auto" w:fill="FFFFFF"/>
                      <w:lang w:eastAsia="fr-FR"/>
                    </w:rPr>
                    <m:t>2</m:t>
                  </m:r>
                </m:sup>
              </m:sSubSup>
              <m:r>
                <m:rPr>
                  <m:sty m:val="p"/>
                </m:rPr>
                <w:rPr>
                  <w:rFonts w:ascii="Cambria Math" w:eastAsia="Cambria Math" w:hAnsi="Cambria Math" w:cs="Times New Roman"/>
                  <w:color w:val="222222"/>
                  <w:szCs w:val="24"/>
                  <w:shd w:val="clear" w:color="auto" w:fill="FFFFFF"/>
                  <w:lang w:eastAsia="fr-FR"/>
                </w:rPr>
                <m:t>=</m:t>
              </m:r>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hAnsi="Cambria Math" w:cs="Times New Roman"/>
                      <w:color w:val="222222"/>
                      <w:szCs w:val="24"/>
                      <w:shd w:val="clear" w:color="auto" w:fill="FFFFFF"/>
                    </w:rPr>
                    <m:t>γ</m:t>
                  </m:r>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n-1</m:t>
                  </m:r>
                </m:sub>
                <m:sup>
                  <m:r>
                    <m:rPr>
                      <m:sty m:val="p"/>
                    </m:rPr>
                    <w:rPr>
                      <w:rFonts w:ascii="Cambria Math" w:eastAsia="Cambria Math" w:hAnsi="Cambria Math" w:cs="Times New Roman"/>
                      <w:color w:val="222222"/>
                      <w:szCs w:val="24"/>
                      <w:shd w:val="clear" w:color="auto" w:fill="FFFFFF"/>
                      <w:lang w:eastAsia="fr-FR"/>
                    </w:rPr>
                    <m:t>2</m:t>
                  </m:r>
                </m:sup>
              </m:sSubSup>
              <m:r>
                <m:rPr>
                  <m:sty m:val="p"/>
                </m:rPr>
                <w:rPr>
                  <w:rFonts w:ascii="Cambria Math" w:eastAsia="Cambria Math" w:hAnsi="Cambria Math" w:cs="Times New Roman"/>
                  <w:color w:val="222222"/>
                  <w:szCs w:val="24"/>
                  <w:shd w:val="clear" w:color="auto" w:fill="FFFFFF"/>
                  <w:lang w:eastAsia="fr-FR"/>
                </w:rPr>
                <m:t>(1-</m:t>
              </m:r>
              <m:r>
                <m:rPr>
                  <m:sty m:val="p"/>
                </m:rPr>
                <w:rPr>
                  <w:rFonts w:ascii="Cambria Math" w:hAnsi="Cambria Math" w:cs="Times New Roman"/>
                  <w:color w:val="222222"/>
                  <w:szCs w:val="24"/>
                  <w:shd w:val="clear" w:color="auto" w:fill="FFFFFF"/>
                </w:rPr>
                <m:t>γ</m:t>
              </m:r>
              <m:r>
                <m:rPr>
                  <m:sty m:val="p"/>
                </m:rPr>
                <w:rPr>
                  <w:rFonts w:ascii="Cambria Math" w:eastAsia="Cambria Math" w:hAnsi="Cambria Math" w:cs="Times New Roman"/>
                  <w:color w:val="222222"/>
                  <w:szCs w:val="24"/>
                  <w:shd w:val="clear" w:color="auto" w:fill="FFFFFF"/>
                  <w:lang w:eastAsia="fr-FR"/>
                </w:rPr>
                <m:t>)</m:t>
              </m:r>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eastAsia="Cambria Math" w:hAnsi="Cambria Math" w:cs="Times New Roman"/>
                      <w:color w:val="222222"/>
                      <w:szCs w:val="24"/>
                      <w:shd w:val="clear" w:color="auto" w:fill="FFFFFF"/>
                      <w:lang w:eastAsia="fr-FR"/>
                    </w:rPr>
                    <m:t>r</m:t>
                  </m:r>
                </m:e>
                <m:sub>
                  <m:r>
                    <m:rPr>
                      <m:sty m:val="p"/>
                    </m:rPr>
                    <w:rPr>
                      <w:rFonts w:ascii="Cambria Math" w:eastAsia="Cambria Math" w:hAnsi="Cambria Math" w:cs="Times New Roman"/>
                      <w:color w:val="222222"/>
                      <w:szCs w:val="24"/>
                      <w:shd w:val="clear" w:color="auto" w:fill="FFFFFF"/>
                      <w:lang w:eastAsia="fr-FR"/>
                    </w:rPr>
                    <m:t>n-1</m:t>
                  </m:r>
                </m:sub>
                <m:sup>
                  <m:r>
                    <m:rPr>
                      <m:sty m:val="p"/>
                    </m:rPr>
                    <w:rPr>
                      <w:rFonts w:ascii="Cambria Math" w:eastAsia="Cambria Math" w:hAnsi="Cambria Math" w:cs="Times New Roman"/>
                      <w:color w:val="222222"/>
                      <w:szCs w:val="24"/>
                      <w:shd w:val="clear" w:color="auto" w:fill="FFFFFF"/>
                      <w:lang w:eastAsia="fr-FR"/>
                    </w:rPr>
                    <m:t>2</m:t>
                  </m:r>
                </m:sup>
              </m:sSubSup>
            </m:e>
            <m:sub>
              <m:r>
                <w:rPr>
                  <w:rFonts w:ascii="Cambria Math" w:eastAsia="Cambria Math" w:hAnsi="Cambria Math" w:cs="Times New Roman"/>
                  <w:color w:val="222222"/>
                  <w:szCs w:val="24"/>
                  <w:shd w:val="clear" w:color="auto" w:fill="FFFFFF"/>
                  <w:lang w:eastAsia="fr-FR"/>
                </w:rPr>
                <m:t xml:space="preserve"> </m:t>
              </m:r>
            </m:sub>
          </m:sSub>
        </m:oMath>
      </m:oMathPara>
    </w:p>
    <w:p w14:paraId="0CC96685" w14:textId="77777777" w:rsidR="004E2B96" w:rsidRPr="00213464" w:rsidRDefault="00005D88" w:rsidP="00213464">
      <w:pPr>
        <w:spacing w:after="0" w:line="360" w:lineRule="auto"/>
        <w:jc w:val="both"/>
        <w:rPr>
          <w:rFonts w:ascii="Times New Roman" w:eastAsia="Times New Roman" w:hAnsi="Times New Roman" w:cs="Times New Roman"/>
          <w:lang w:val="en-US" w:eastAsia="fr-FR"/>
        </w:rPr>
      </w:pPr>
      <w:r w:rsidRPr="00005D88">
        <w:rPr>
          <w:rFonts w:ascii="Times New Roman" w:eastAsia="Times New Roman" w:hAnsi="Times New Roman" w:cs="Times New Roman"/>
          <w:lang w:val="en-US" w:eastAsia="fr-FR"/>
        </w:rPr>
        <w:t>The EWMA model effectively incorporates recent market information into its volatility estimation, making it responsive t</w:t>
      </w:r>
      <w:r w:rsidR="00213464">
        <w:rPr>
          <w:rFonts w:ascii="Times New Roman" w:eastAsia="Times New Roman" w:hAnsi="Times New Roman" w:cs="Times New Roman"/>
          <w:lang w:val="en-US" w:eastAsia="fr-FR"/>
        </w:rPr>
        <w:t>o changes in market conditions.</w:t>
      </w:r>
    </w:p>
    <w:p w14:paraId="256EB424" w14:textId="77777777" w:rsidR="00005D88" w:rsidRPr="00005D88" w:rsidRDefault="00890F31" w:rsidP="00005D88">
      <w:pPr>
        <w:pStyle w:val="Heading3"/>
        <w:numPr>
          <w:ilvl w:val="0"/>
          <w:numId w:val="0"/>
        </w:numPr>
        <w:ind w:left="840" w:hanging="360"/>
        <w:rPr>
          <w:i/>
          <w:iCs w:val="0"/>
          <w:sz w:val="22"/>
          <w:szCs w:val="22"/>
        </w:rPr>
      </w:pPr>
      <w:r>
        <w:rPr>
          <w:i/>
          <w:iCs w:val="0"/>
          <w:sz w:val="22"/>
          <w:szCs w:val="22"/>
        </w:rPr>
        <w:t>3.1.1</w:t>
      </w:r>
      <w:r w:rsidR="00005D88" w:rsidRPr="00005D88">
        <w:rPr>
          <w:i/>
          <w:iCs w:val="0"/>
          <w:sz w:val="22"/>
          <w:szCs w:val="22"/>
        </w:rPr>
        <w:t xml:space="preserve"> Performance of Risk-Based Indexing Strategies Following EWMA Model Estimation</w:t>
      </w:r>
    </w:p>
    <w:p w14:paraId="230188EB" w14:textId="77777777" w:rsidR="00005D88" w:rsidRPr="00005D88" w:rsidRDefault="00005D88" w:rsidP="00005D88">
      <w:pPr>
        <w:pStyle w:val="NormalWeb"/>
        <w:spacing w:before="0" w:beforeAutospacing="0" w:after="0" w:afterAutospacing="0" w:line="360" w:lineRule="auto"/>
        <w:jc w:val="both"/>
        <w:rPr>
          <w:sz w:val="22"/>
          <w:szCs w:val="22"/>
          <w:lang w:val="en-US"/>
        </w:rPr>
      </w:pPr>
      <w:r w:rsidRPr="00005D88">
        <w:rPr>
          <w:sz w:val="22"/>
          <w:szCs w:val="22"/>
          <w:lang w:val="en-US"/>
        </w:rPr>
        <w:t>We are interested in analyzing and comparing the performances of six portfolios constructed according to risk-based indexing strategies. The objective is to conduct forecasts using the EWMA model: ERC, PVM, MDP, IVP, MDECP, and EW portfolios. The EW portfolio serves as a benchmark to assess the effectiveness of allocation strategies. To ensure unbiased comparisons, the six portfolios are constructed based on information available to traders at the time of their construction. Portfolio structures are therefore re-estimated at each rebalancing date based on all new available information, while maintaining a constant sample size of 251 observations. As a result, estimates for the different portfolios are made over the period from January 3, 2018, to June 7, 2022, in accordance with the chosen rebalancing frequency. We considered two rebalancing frequencies: weekly with adjustments every five trading days, and daily.</w:t>
      </w:r>
    </w:p>
    <w:p w14:paraId="0CEE6FEC" w14:textId="77777777" w:rsidR="00005D88" w:rsidRPr="00005D88" w:rsidRDefault="00005D88" w:rsidP="00005D88">
      <w:pPr>
        <w:spacing w:after="0" w:line="360" w:lineRule="auto"/>
        <w:jc w:val="both"/>
        <w:rPr>
          <w:rFonts w:ascii="Times New Roman" w:eastAsia="Times New Roman" w:hAnsi="Times New Roman" w:cs="Times New Roman"/>
          <w:lang w:val="en-US" w:eastAsia="fr-FR"/>
        </w:rPr>
      </w:pPr>
      <w:r w:rsidRPr="00005D88">
        <w:rPr>
          <w:rFonts w:ascii="Times New Roman" w:eastAsia="Times New Roman" w:hAnsi="Times New Roman" w:cs="Times New Roman"/>
          <w:lang w:val="en-US" w:eastAsia="fr-FR"/>
        </w:rPr>
        <w:t xml:space="preserve">To measure performance, we have chosen to calculate several metrics based on the daily returns of each portfolio: the Sharpe ratio (1966), the Sortino and Price ratio (1994), the Omega ratio proposed by </w:t>
      </w:r>
      <w:r w:rsidRPr="00666A23">
        <w:rPr>
          <w:rFonts w:ascii="Times New Roman" w:eastAsia="Times New Roman" w:hAnsi="Times New Roman" w:cs="Times New Roman"/>
          <w:color w:val="00B0F0"/>
          <w:lang w:val="en-US" w:eastAsia="fr-FR"/>
        </w:rPr>
        <w:t xml:space="preserve">Keating and Shadwick (2002), </w:t>
      </w:r>
      <w:r w:rsidRPr="00005D88">
        <w:rPr>
          <w:rFonts w:ascii="Times New Roman" w:eastAsia="Times New Roman" w:hAnsi="Times New Roman" w:cs="Times New Roman"/>
          <w:lang w:val="en-US" w:eastAsia="fr-FR"/>
        </w:rPr>
        <w:t>maximum drawdown (MDD), value-at-risk at the 95% confidence level, and portfolio turnover rate.</w:t>
      </w:r>
    </w:p>
    <w:p w14:paraId="32486E54" w14:textId="77777777" w:rsidR="00005D88" w:rsidRPr="00005D88" w:rsidRDefault="00005D88" w:rsidP="00005D88">
      <w:pPr>
        <w:spacing w:after="0" w:line="360" w:lineRule="auto"/>
        <w:jc w:val="both"/>
        <w:rPr>
          <w:rFonts w:ascii="Times New Roman" w:eastAsia="Times New Roman" w:hAnsi="Times New Roman" w:cs="Times New Roman"/>
          <w:lang w:val="en-US" w:eastAsia="fr-FR"/>
        </w:rPr>
      </w:pPr>
      <w:r w:rsidRPr="00005D88">
        <w:rPr>
          <w:rFonts w:ascii="Times New Roman" w:eastAsia="Times New Roman" w:hAnsi="Times New Roman" w:cs="Times New Roman"/>
          <w:lang w:val="en-US" w:eastAsia="fr-FR"/>
        </w:rPr>
        <w:lastRenderedPageBreak/>
        <w:t>The Sharpe ratio measures the excess return of a portfolio relative to the risk-free rate of return. It is relevant because it provides a normalized measure (per unit of risk) of the excess return.</w:t>
      </w:r>
    </w:p>
    <w:p w14:paraId="1FBD4BD5" w14:textId="77777777" w:rsidR="00005D88" w:rsidRPr="00005D88" w:rsidRDefault="00005D88" w:rsidP="0050343A">
      <w:pPr>
        <w:spacing w:after="0" w:line="360" w:lineRule="auto"/>
        <w:jc w:val="both"/>
        <w:rPr>
          <w:rFonts w:ascii="Times New Roman" w:eastAsia="Times New Roman" w:hAnsi="Times New Roman" w:cs="Times New Roman"/>
          <w:lang w:val="en-US" w:eastAsia="fr-FR"/>
        </w:rPr>
      </w:pPr>
      <w:r w:rsidRPr="0050343A">
        <w:rPr>
          <w:rFonts w:ascii="Times New Roman" w:eastAsia="Times New Roman" w:hAnsi="Times New Roman" w:cs="Times New Roman"/>
          <w:lang w:val="en-US" w:eastAsia="fr-FR"/>
        </w:rPr>
        <w:t>Sortino and Price (1994)</w:t>
      </w:r>
      <w:r w:rsidRPr="00005D88">
        <w:rPr>
          <w:rFonts w:ascii="Times New Roman" w:eastAsia="Times New Roman" w:hAnsi="Times New Roman" w:cs="Times New Roman"/>
          <w:lang w:val="en-US" w:eastAsia="fr-FR"/>
        </w:rPr>
        <w:t xml:space="preserve"> introduced the Omega ratio to account for returns below a specified threshold, representing the minimum accep</w:t>
      </w:r>
      <w:r w:rsidRPr="008D2A40">
        <w:rPr>
          <w:rFonts w:ascii="Times New Roman" w:eastAsia="Times New Roman" w:hAnsi="Times New Roman" w:cs="Times New Roman"/>
          <w:lang w:val="en-US" w:eastAsia="fr-FR"/>
        </w:rPr>
        <w:t>table</w:t>
      </w:r>
      <w:r w:rsidRPr="00005D88">
        <w:rPr>
          <w:rFonts w:ascii="Times New Roman" w:eastAsia="Times New Roman" w:hAnsi="Times New Roman" w:cs="Times New Roman"/>
          <w:lang w:val="en-US" w:eastAsia="fr-FR"/>
        </w:rPr>
        <w:t xml:space="preserve"> return. Therefore, this ratio is among the downside risk measures that use lower partial moments.</w:t>
      </w:r>
    </w:p>
    <w:p w14:paraId="75637901" w14:textId="454D1E5E" w:rsidR="00B5216D" w:rsidRDefault="00005D88" w:rsidP="000D78A9">
      <w:pPr>
        <w:spacing w:after="0" w:line="360" w:lineRule="auto"/>
        <w:jc w:val="both"/>
        <w:rPr>
          <w:rFonts w:ascii="Times New Roman" w:eastAsia="Times New Roman" w:hAnsi="Times New Roman" w:cs="Times New Roman"/>
          <w:lang w:val="en-US" w:eastAsia="fr-FR"/>
        </w:rPr>
      </w:pPr>
      <w:r w:rsidRPr="00666A23">
        <w:rPr>
          <w:rFonts w:ascii="Times New Roman" w:eastAsia="Times New Roman" w:hAnsi="Times New Roman" w:cs="Times New Roman"/>
          <w:color w:val="00B0F0"/>
          <w:lang w:val="en-US" w:eastAsia="fr-FR"/>
        </w:rPr>
        <w:t xml:space="preserve">Keating and Shadwick (2002) </w:t>
      </w:r>
      <w:r w:rsidRPr="00005D88">
        <w:rPr>
          <w:rFonts w:ascii="Times New Roman" w:eastAsia="Times New Roman" w:hAnsi="Times New Roman" w:cs="Times New Roman"/>
          <w:lang w:val="en-US" w:eastAsia="fr-FR"/>
        </w:rPr>
        <w:t>introduced the Omega ratio to consider the entire distribution of returns without imposing any parametric assumptions on this distribution. The Omega measure is defined as the ratio of the weighted probabilities of gains to losses relative to a given threshold rate of return.</w:t>
      </w:r>
    </w:p>
    <w:p w14:paraId="42251C38" w14:textId="77777777" w:rsidR="00B5216D" w:rsidRPr="00005D88" w:rsidRDefault="00B5216D" w:rsidP="0050343A">
      <w:pPr>
        <w:spacing w:after="0" w:line="360" w:lineRule="auto"/>
        <w:jc w:val="both"/>
        <w:rPr>
          <w:rFonts w:ascii="Times New Roman" w:eastAsia="Times New Roman" w:hAnsi="Times New Roman" w:cs="Times New Roman"/>
          <w:lang w:val="en-US" w:eastAsia="fr-FR"/>
        </w:rPr>
      </w:pPr>
    </w:p>
    <w:tbl>
      <w:tblPr>
        <w:tblStyle w:val="Trameclaire-Accent13"/>
        <w:tblW w:w="10172" w:type="dxa"/>
        <w:tblLayout w:type="fixed"/>
        <w:tblLook w:val="04A0" w:firstRow="1" w:lastRow="0" w:firstColumn="1" w:lastColumn="0" w:noHBand="0" w:noVBand="1"/>
      </w:tblPr>
      <w:tblGrid>
        <w:gridCol w:w="3056"/>
        <w:gridCol w:w="1186"/>
        <w:gridCol w:w="1186"/>
        <w:gridCol w:w="1159"/>
        <w:gridCol w:w="1213"/>
        <w:gridCol w:w="1186"/>
        <w:gridCol w:w="1186"/>
      </w:tblGrid>
      <w:tr w:rsidR="0050343A" w:rsidRPr="00D37542" w14:paraId="00386E30" w14:textId="77777777" w:rsidTr="00213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noWrap/>
          </w:tcPr>
          <w:p w14:paraId="3DA1AC07" w14:textId="77777777" w:rsidR="0050343A" w:rsidRPr="00122604" w:rsidRDefault="0050343A" w:rsidP="00593C4E">
            <w:pPr>
              <w:jc w:val="both"/>
              <w:rPr>
                <w:rFonts w:asciiTheme="majorBidi" w:hAnsiTheme="majorBidi" w:cstheme="majorBidi" w:hint="default"/>
                <w:b w:val="0"/>
                <w:bCs w:val="0"/>
                <w:color w:val="000000"/>
                <w:lang w:val="en-US"/>
              </w:rPr>
            </w:pPr>
          </w:p>
        </w:tc>
        <w:tc>
          <w:tcPr>
            <w:tcW w:w="1186" w:type="dxa"/>
            <w:noWrap/>
          </w:tcPr>
          <w:p w14:paraId="7E516B98" w14:textId="77777777" w:rsidR="0050343A" w:rsidRPr="00D37542" w:rsidRDefault="0050343A" w:rsidP="0050343A">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EWP</w:t>
            </w:r>
          </w:p>
        </w:tc>
        <w:tc>
          <w:tcPr>
            <w:tcW w:w="1186" w:type="dxa"/>
            <w:noWrap/>
          </w:tcPr>
          <w:p w14:paraId="1499AB5F" w14:textId="77777777" w:rsidR="0050343A" w:rsidRPr="00D37542" w:rsidRDefault="0050343A" w:rsidP="0050343A">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MVP</w:t>
            </w:r>
          </w:p>
        </w:tc>
        <w:tc>
          <w:tcPr>
            <w:tcW w:w="1159" w:type="dxa"/>
            <w:noWrap/>
          </w:tcPr>
          <w:p w14:paraId="66500672" w14:textId="77777777" w:rsidR="0050343A" w:rsidRPr="00D37542" w:rsidRDefault="0050343A" w:rsidP="0050343A">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ERC</w:t>
            </w:r>
          </w:p>
        </w:tc>
        <w:tc>
          <w:tcPr>
            <w:tcW w:w="1213" w:type="dxa"/>
            <w:noWrap/>
          </w:tcPr>
          <w:p w14:paraId="27142054" w14:textId="77777777" w:rsidR="0050343A" w:rsidRPr="00D37542" w:rsidRDefault="0050343A" w:rsidP="0050343A">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MDP</w:t>
            </w:r>
          </w:p>
        </w:tc>
        <w:tc>
          <w:tcPr>
            <w:tcW w:w="1186" w:type="dxa"/>
            <w:noWrap/>
          </w:tcPr>
          <w:p w14:paraId="4A28F2FC" w14:textId="77777777" w:rsidR="0050343A" w:rsidRPr="00D37542" w:rsidRDefault="0050343A" w:rsidP="0050343A">
            <w:pPr>
              <w:ind w:firstLineChars="150" w:firstLine="33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IVP</w:t>
            </w:r>
          </w:p>
        </w:tc>
        <w:tc>
          <w:tcPr>
            <w:tcW w:w="1186" w:type="dxa"/>
            <w:noWrap/>
          </w:tcPr>
          <w:p w14:paraId="1FFE776E" w14:textId="77777777" w:rsidR="0050343A" w:rsidRPr="00D37542" w:rsidRDefault="0050343A" w:rsidP="0050343A">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MDECP</w:t>
            </w:r>
          </w:p>
        </w:tc>
      </w:tr>
      <w:tr w:rsidR="0050343A" w:rsidRPr="00D37542" w14:paraId="3AA9E9E8"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FE7D5E5"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color w:val="000000"/>
              </w:rPr>
              <w:t>PRE COVID</w:t>
            </w:r>
          </w:p>
        </w:tc>
        <w:tc>
          <w:tcPr>
            <w:tcW w:w="1186" w:type="dxa"/>
            <w:noWrap/>
          </w:tcPr>
          <w:p w14:paraId="4C057D58"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09A6884C"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59" w:type="dxa"/>
            <w:noWrap/>
          </w:tcPr>
          <w:p w14:paraId="54C783CE"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213" w:type="dxa"/>
            <w:noWrap/>
          </w:tcPr>
          <w:p w14:paraId="05185885"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1208A243"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7045A3CD"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r>
      <w:tr w:rsidR="0050343A" w:rsidRPr="00D37542" w14:paraId="2BBE1D88"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237F3BA1"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PF_sd</w:t>
            </w:r>
            <w:proofErr w:type="spellEnd"/>
          </w:p>
        </w:tc>
        <w:tc>
          <w:tcPr>
            <w:tcW w:w="1186" w:type="dxa"/>
            <w:noWrap/>
          </w:tcPr>
          <w:p w14:paraId="631F5AD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0.76278</w:t>
            </w:r>
          </w:p>
        </w:tc>
        <w:tc>
          <w:tcPr>
            <w:tcW w:w="1186" w:type="dxa"/>
            <w:noWrap/>
          </w:tcPr>
          <w:p w14:paraId="44EDC62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0.23973</w:t>
            </w:r>
          </w:p>
        </w:tc>
        <w:tc>
          <w:tcPr>
            <w:tcW w:w="1159" w:type="dxa"/>
            <w:noWrap/>
          </w:tcPr>
          <w:p w14:paraId="70D76EE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0.68006</w:t>
            </w:r>
          </w:p>
        </w:tc>
        <w:tc>
          <w:tcPr>
            <w:tcW w:w="1213" w:type="dxa"/>
            <w:noWrap/>
          </w:tcPr>
          <w:p w14:paraId="13C7731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0.28561</w:t>
            </w:r>
          </w:p>
        </w:tc>
        <w:tc>
          <w:tcPr>
            <w:tcW w:w="1186" w:type="dxa"/>
            <w:noWrap/>
          </w:tcPr>
          <w:p w14:paraId="6597BA2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0.37400</w:t>
            </w:r>
          </w:p>
        </w:tc>
        <w:tc>
          <w:tcPr>
            <w:tcW w:w="1186" w:type="dxa"/>
            <w:noWrap/>
          </w:tcPr>
          <w:p w14:paraId="08CC96B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0.60082</w:t>
            </w:r>
          </w:p>
        </w:tc>
      </w:tr>
      <w:tr w:rsidR="0050343A" w:rsidRPr="00D37542" w14:paraId="3D654207"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377FAF57"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VaR</w:t>
            </w:r>
            <w:proofErr w:type="spellEnd"/>
          </w:p>
        </w:tc>
        <w:tc>
          <w:tcPr>
            <w:tcW w:w="1186" w:type="dxa"/>
            <w:noWrap/>
          </w:tcPr>
          <w:p w14:paraId="38767AA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-1.26070</w:t>
            </w:r>
          </w:p>
        </w:tc>
        <w:tc>
          <w:tcPr>
            <w:tcW w:w="1186" w:type="dxa"/>
            <w:noWrap/>
          </w:tcPr>
          <w:p w14:paraId="344BBDD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-0.38117</w:t>
            </w:r>
          </w:p>
        </w:tc>
        <w:tc>
          <w:tcPr>
            <w:tcW w:w="1159" w:type="dxa"/>
            <w:noWrap/>
          </w:tcPr>
          <w:p w14:paraId="58BEE04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-0.93886</w:t>
            </w:r>
          </w:p>
        </w:tc>
        <w:tc>
          <w:tcPr>
            <w:tcW w:w="1213" w:type="dxa"/>
            <w:noWrap/>
          </w:tcPr>
          <w:p w14:paraId="2DAE272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-0.41262</w:t>
            </w:r>
          </w:p>
        </w:tc>
        <w:tc>
          <w:tcPr>
            <w:tcW w:w="1186" w:type="dxa"/>
            <w:noWrap/>
          </w:tcPr>
          <w:p w14:paraId="0D21FC6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-0.57789</w:t>
            </w:r>
          </w:p>
        </w:tc>
        <w:tc>
          <w:tcPr>
            <w:tcW w:w="1186" w:type="dxa"/>
            <w:noWrap/>
          </w:tcPr>
          <w:p w14:paraId="6BDDF74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-1.00655</w:t>
            </w:r>
          </w:p>
        </w:tc>
      </w:tr>
      <w:tr w:rsidR="0050343A" w:rsidRPr="00D37542" w14:paraId="48903724"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70A2E686"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ES</w:t>
            </w:r>
          </w:p>
        </w:tc>
        <w:tc>
          <w:tcPr>
            <w:tcW w:w="1186" w:type="dxa"/>
            <w:noWrap/>
          </w:tcPr>
          <w:p w14:paraId="347296A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-1.73663</w:t>
            </w:r>
          </w:p>
        </w:tc>
        <w:tc>
          <w:tcPr>
            <w:tcW w:w="1186" w:type="dxa"/>
            <w:noWrap/>
          </w:tcPr>
          <w:p w14:paraId="2B0AFED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-0.51202</w:t>
            </w:r>
          </w:p>
        </w:tc>
        <w:tc>
          <w:tcPr>
            <w:tcW w:w="1159" w:type="dxa"/>
            <w:noWrap/>
          </w:tcPr>
          <w:p w14:paraId="5FDFDE2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-1.62689</w:t>
            </w:r>
          </w:p>
        </w:tc>
        <w:tc>
          <w:tcPr>
            <w:tcW w:w="1213" w:type="dxa"/>
            <w:noWrap/>
          </w:tcPr>
          <w:p w14:paraId="2A59E8F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-0.60133</w:t>
            </w:r>
          </w:p>
        </w:tc>
        <w:tc>
          <w:tcPr>
            <w:tcW w:w="1186" w:type="dxa"/>
            <w:noWrap/>
          </w:tcPr>
          <w:p w14:paraId="564B160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-0.83169</w:t>
            </w:r>
          </w:p>
        </w:tc>
        <w:tc>
          <w:tcPr>
            <w:tcW w:w="1186" w:type="dxa"/>
            <w:noWrap/>
          </w:tcPr>
          <w:p w14:paraId="199A1E7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-1.39419</w:t>
            </w:r>
          </w:p>
        </w:tc>
      </w:tr>
      <w:tr w:rsidR="0050343A" w:rsidRPr="00D37542" w14:paraId="54EC6E8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5FA02D7A"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Worst</w:t>
            </w:r>
            <w:proofErr w:type="spellEnd"/>
            <w:r>
              <w:rPr>
                <w:rFonts w:asciiTheme="majorBidi" w:hAnsiTheme="majorBidi" w:cstheme="majorBidi" w:hint="default"/>
                <w:b w:val="0"/>
                <w:bCs w:val="0"/>
                <w:color w:val="000000"/>
              </w:rPr>
              <w:t xml:space="preserve"> </w:t>
            </w:r>
            <w:proofErr w:type="spellStart"/>
            <w:r w:rsidRPr="00D37542">
              <w:rPr>
                <w:rFonts w:asciiTheme="majorBidi" w:hAnsiTheme="majorBidi" w:cstheme="majorBidi" w:hint="default"/>
                <w:b w:val="0"/>
                <w:bCs w:val="0"/>
                <w:color w:val="000000"/>
              </w:rPr>
              <w:t>Drawdown</w:t>
            </w:r>
            <w:proofErr w:type="spellEnd"/>
          </w:p>
        </w:tc>
        <w:tc>
          <w:tcPr>
            <w:tcW w:w="1186" w:type="dxa"/>
            <w:noWrap/>
          </w:tcPr>
          <w:p w14:paraId="1EFD938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16.91832</w:t>
            </w:r>
          </w:p>
        </w:tc>
        <w:tc>
          <w:tcPr>
            <w:tcW w:w="1186" w:type="dxa"/>
            <w:noWrap/>
          </w:tcPr>
          <w:p w14:paraId="0110DB8A"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2.81790</w:t>
            </w:r>
          </w:p>
        </w:tc>
        <w:tc>
          <w:tcPr>
            <w:tcW w:w="1159" w:type="dxa"/>
            <w:noWrap/>
          </w:tcPr>
          <w:p w14:paraId="7EC2F38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14.97409</w:t>
            </w:r>
          </w:p>
        </w:tc>
        <w:tc>
          <w:tcPr>
            <w:tcW w:w="1213" w:type="dxa"/>
            <w:noWrap/>
          </w:tcPr>
          <w:p w14:paraId="18057D4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5.38180</w:t>
            </w:r>
          </w:p>
        </w:tc>
        <w:tc>
          <w:tcPr>
            <w:tcW w:w="1186" w:type="dxa"/>
            <w:noWrap/>
          </w:tcPr>
          <w:p w14:paraId="25A4D0B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8.14628</w:t>
            </w:r>
          </w:p>
        </w:tc>
        <w:tc>
          <w:tcPr>
            <w:tcW w:w="1186" w:type="dxa"/>
            <w:noWrap/>
          </w:tcPr>
          <w:p w14:paraId="3EE7928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11.55781</w:t>
            </w:r>
          </w:p>
        </w:tc>
      </w:tr>
      <w:tr w:rsidR="0050343A" w:rsidRPr="00D37542" w14:paraId="00DF20C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D580636"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Annualized</w:t>
            </w:r>
            <w:proofErr w:type="spellEnd"/>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Sharpe</w:t>
            </w:r>
            <w:r>
              <w:rPr>
                <w:rFonts w:asciiTheme="majorBidi" w:hAnsiTheme="majorBidi" w:cstheme="majorBidi" w:hint="default"/>
                <w:b w:val="0"/>
                <w:bCs w:val="0"/>
                <w:color w:val="000000"/>
              </w:rPr>
              <w:t xml:space="preserve"> </w:t>
            </w:r>
            <w:proofErr w:type="gramStart"/>
            <w:r w:rsidRPr="00D37542">
              <w:rPr>
                <w:rFonts w:asciiTheme="majorBidi" w:hAnsiTheme="majorBidi" w:cstheme="majorBidi" w:hint="default"/>
                <w:b w:val="0"/>
                <w:bCs w:val="0"/>
                <w:color w:val="000000"/>
              </w:rPr>
              <w:t>Ratio(</w:t>
            </w:r>
            <w:proofErr w:type="gramEnd"/>
            <w:r w:rsidRPr="00D37542">
              <w:rPr>
                <w:rFonts w:asciiTheme="majorBidi" w:hAnsiTheme="majorBidi" w:cstheme="majorBidi" w:hint="default"/>
                <w:b w:val="0"/>
                <w:bCs w:val="0"/>
                <w:color w:val="000000"/>
              </w:rPr>
              <w:t>Rf=0%)</w:t>
            </w:r>
          </w:p>
        </w:tc>
        <w:tc>
          <w:tcPr>
            <w:tcW w:w="1186" w:type="dxa"/>
            <w:noWrap/>
          </w:tcPr>
          <w:p w14:paraId="04F2F3B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0.59284</w:t>
            </w:r>
          </w:p>
        </w:tc>
        <w:tc>
          <w:tcPr>
            <w:tcW w:w="1186" w:type="dxa"/>
            <w:noWrap/>
          </w:tcPr>
          <w:p w14:paraId="777BE8B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1.94162</w:t>
            </w:r>
          </w:p>
        </w:tc>
        <w:tc>
          <w:tcPr>
            <w:tcW w:w="1159" w:type="dxa"/>
            <w:noWrap/>
          </w:tcPr>
          <w:p w14:paraId="679B109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0.70898</w:t>
            </w:r>
          </w:p>
        </w:tc>
        <w:tc>
          <w:tcPr>
            <w:tcW w:w="1213" w:type="dxa"/>
            <w:noWrap/>
          </w:tcPr>
          <w:p w14:paraId="42D84A8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1.59207</w:t>
            </w:r>
          </w:p>
        </w:tc>
        <w:tc>
          <w:tcPr>
            <w:tcW w:w="1186" w:type="dxa"/>
            <w:noWrap/>
          </w:tcPr>
          <w:p w14:paraId="7EB0A09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1.18052</w:t>
            </w:r>
          </w:p>
        </w:tc>
        <w:tc>
          <w:tcPr>
            <w:tcW w:w="1186" w:type="dxa"/>
            <w:noWrap/>
          </w:tcPr>
          <w:p w14:paraId="590DC8D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0.71479</w:t>
            </w:r>
          </w:p>
        </w:tc>
      </w:tr>
      <w:tr w:rsidR="0050343A" w:rsidRPr="00D37542" w14:paraId="58A5021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AF81928"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Sortino</w:t>
            </w:r>
            <w:proofErr w:type="spellEnd"/>
            <w:r>
              <w:rPr>
                <w:rFonts w:asciiTheme="majorBidi" w:hAnsiTheme="majorBidi" w:cstheme="majorBidi" w:hint="default"/>
                <w:b w:val="0"/>
                <w:bCs w:val="0"/>
                <w:color w:val="000000"/>
              </w:rPr>
              <w:t xml:space="preserve"> </w:t>
            </w:r>
            <w:proofErr w:type="gramStart"/>
            <w:r w:rsidRPr="00D37542">
              <w:rPr>
                <w:rFonts w:asciiTheme="majorBidi" w:hAnsiTheme="majorBidi" w:cstheme="majorBidi" w:hint="default"/>
                <w:b w:val="0"/>
                <w:bCs w:val="0"/>
                <w:color w:val="000000"/>
              </w:rPr>
              <w:t>Ratio(</w:t>
            </w:r>
            <w:proofErr w:type="gramEnd"/>
            <w:r w:rsidRPr="00D37542">
              <w:rPr>
                <w:rFonts w:asciiTheme="majorBidi" w:hAnsiTheme="majorBidi" w:cstheme="majorBidi" w:hint="default"/>
                <w:b w:val="0"/>
                <w:bCs w:val="0"/>
                <w:color w:val="000000"/>
              </w:rPr>
              <w:t>MAR=0%)</w:t>
            </w:r>
          </w:p>
        </w:tc>
        <w:tc>
          <w:tcPr>
            <w:tcW w:w="1186" w:type="dxa"/>
            <w:noWrap/>
          </w:tcPr>
          <w:p w14:paraId="6AE9B7D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0.05668</w:t>
            </w:r>
          </w:p>
        </w:tc>
        <w:tc>
          <w:tcPr>
            <w:tcW w:w="1186" w:type="dxa"/>
            <w:noWrap/>
          </w:tcPr>
          <w:p w14:paraId="233FCF0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0.17743</w:t>
            </w:r>
          </w:p>
        </w:tc>
        <w:tc>
          <w:tcPr>
            <w:tcW w:w="1159" w:type="dxa"/>
            <w:noWrap/>
          </w:tcPr>
          <w:p w14:paraId="61F5F5B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0.06672</w:t>
            </w:r>
          </w:p>
        </w:tc>
        <w:tc>
          <w:tcPr>
            <w:tcW w:w="1213" w:type="dxa"/>
            <w:noWrap/>
          </w:tcPr>
          <w:p w14:paraId="33E053D5"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0.14560</w:t>
            </w:r>
          </w:p>
        </w:tc>
        <w:tc>
          <w:tcPr>
            <w:tcW w:w="1186" w:type="dxa"/>
            <w:noWrap/>
          </w:tcPr>
          <w:p w14:paraId="3FFCF0D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0.10748</w:t>
            </w:r>
          </w:p>
        </w:tc>
        <w:tc>
          <w:tcPr>
            <w:tcW w:w="1186" w:type="dxa"/>
            <w:noWrap/>
          </w:tcPr>
          <w:p w14:paraId="65B129F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0.06565</w:t>
            </w:r>
          </w:p>
        </w:tc>
      </w:tr>
      <w:tr w:rsidR="0050343A" w:rsidRPr="00D37542" w14:paraId="7748E42F"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D4D0544"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Calmar</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Ratio</w:t>
            </w:r>
          </w:p>
        </w:tc>
        <w:tc>
          <w:tcPr>
            <w:tcW w:w="1186" w:type="dxa"/>
            <w:noWrap/>
          </w:tcPr>
          <w:p w14:paraId="1ECFD94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0.42431</w:t>
            </w:r>
          </w:p>
        </w:tc>
        <w:tc>
          <w:tcPr>
            <w:tcW w:w="1186" w:type="dxa"/>
            <w:noWrap/>
          </w:tcPr>
          <w:p w14:paraId="26CFF90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2.62221</w:t>
            </w:r>
          </w:p>
        </w:tc>
        <w:tc>
          <w:tcPr>
            <w:tcW w:w="1159" w:type="dxa"/>
            <w:noWrap/>
          </w:tcPr>
          <w:p w14:paraId="1392234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0.51114</w:t>
            </w:r>
          </w:p>
        </w:tc>
        <w:tc>
          <w:tcPr>
            <w:tcW w:w="1213" w:type="dxa"/>
            <w:noWrap/>
          </w:tcPr>
          <w:p w14:paraId="6860B73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1.34124</w:t>
            </w:r>
          </w:p>
        </w:tc>
        <w:tc>
          <w:tcPr>
            <w:tcW w:w="1186" w:type="dxa"/>
            <w:noWrap/>
          </w:tcPr>
          <w:p w14:paraId="61623B1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0.86038</w:t>
            </w:r>
          </w:p>
        </w:tc>
        <w:tc>
          <w:tcPr>
            <w:tcW w:w="1186" w:type="dxa"/>
            <w:noWrap/>
          </w:tcPr>
          <w:p w14:paraId="10827180"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0.58986</w:t>
            </w:r>
          </w:p>
        </w:tc>
      </w:tr>
      <w:tr w:rsidR="0050343A" w:rsidRPr="00D37542" w14:paraId="29EC3C04"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266D11E"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Omega(L=0%)</w:t>
            </w:r>
          </w:p>
        </w:tc>
        <w:tc>
          <w:tcPr>
            <w:tcW w:w="1186" w:type="dxa"/>
            <w:noWrap/>
          </w:tcPr>
          <w:p w14:paraId="7D71310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1.11117</w:t>
            </w:r>
          </w:p>
        </w:tc>
        <w:tc>
          <w:tcPr>
            <w:tcW w:w="1186" w:type="dxa"/>
            <w:noWrap/>
          </w:tcPr>
          <w:p w14:paraId="7A73D90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1.36499</w:t>
            </w:r>
          </w:p>
        </w:tc>
        <w:tc>
          <w:tcPr>
            <w:tcW w:w="1159" w:type="dxa"/>
            <w:noWrap/>
          </w:tcPr>
          <w:p w14:paraId="4959AD9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1.14282</w:t>
            </w:r>
          </w:p>
        </w:tc>
        <w:tc>
          <w:tcPr>
            <w:tcW w:w="1213" w:type="dxa"/>
            <w:noWrap/>
          </w:tcPr>
          <w:p w14:paraId="1065882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1.29054</w:t>
            </w:r>
          </w:p>
        </w:tc>
        <w:tc>
          <w:tcPr>
            <w:tcW w:w="1186" w:type="dxa"/>
            <w:noWrap/>
          </w:tcPr>
          <w:p w14:paraId="2224CAC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1.21149</w:t>
            </w:r>
          </w:p>
        </w:tc>
        <w:tc>
          <w:tcPr>
            <w:tcW w:w="1186" w:type="dxa"/>
            <w:noWrap/>
          </w:tcPr>
          <w:p w14:paraId="7885391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1.13119</w:t>
            </w:r>
          </w:p>
        </w:tc>
      </w:tr>
      <w:tr w:rsidR="0050343A" w:rsidRPr="00D37542" w14:paraId="15A0A6DC"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66C72750"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Turnover</w:t>
            </w:r>
          </w:p>
        </w:tc>
        <w:tc>
          <w:tcPr>
            <w:tcW w:w="1186" w:type="dxa"/>
            <w:noWrap/>
          </w:tcPr>
          <w:p w14:paraId="013C1B4E" w14:textId="77777777" w:rsidR="0050343A" w:rsidRPr="00D37542" w:rsidRDefault="0050343A" w:rsidP="00593C4E">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rPr>
            </w:pPr>
            <w:r w:rsidRPr="00D37542">
              <w:rPr>
                <w:rFonts w:asciiTheme="majorBidi" w:hAnsiTheme="majorBidi" w:cstheme="majorBidi" w:hint="default"/>
                <w:iCs/>
                <w:color w:val="000000"/>
                <w:szCs w:val="24"/>
                <w:lang w:eastAsia="zh-CN"/>
              </w:rPr>
              <w:t xml:space="preserve"> 1.53053</w:t>
            </w:r>
          </w:p>
        </w:tc>
        <w:tc>
          <w:tcPr>
            <w:tcW w:w="1186" w:type="dxa"/>
            <w:noWrap/>
          </w:tcPr>
          <w:p w14:paraId="79F040B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5.01268</w:t>
            </w:r>
          </w:p>
        </w:tc>
        <w:tc>
          <w:tcPr>
            <w:tcW w:w="1159" w:type="dxa"/>
            <w:noWrap/>
          </w:tcPr>
          <w:p w14:paraId="10F0CF2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26.04513</w:t>
            </w:r>
          </w:p>
        </w:tc>
        <w:tc>
          <w:tcPr>
            <w:tcW w:w="1213" w:type="dxa"/>
            <w:noWrap/>
          </w:tcPr>
          <w:p w14:paraId="0148FD65"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6.39429</w:t>
            </w:r>
          </w:p>
        </w:tc>
        <w:tc>
          <w:tcPr>
            <w:tcW w:w="1186" w:type="dxa"/>
            <w:noWrap/>
          </w:tcPr>
          <w:p w14:paraId="682DAB75"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3.84233</w:t>
            </w:r>
          </w:p>
        </w:tc>
        <w:tc>
          <w:tcPr>
            <w:tcW w:w="1186" w:type="dxa"/>
            <w:noWrap/>
          </w:tcPr>
          <w:p w14:paraId="3B17A84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11.12609</w:t>
            </w:r>
          </w:p>
        </w:tc>
      </w:tr>
      <w:tr w:rsidR="0050343A" w:rsidRPr="00D37542" w14:paraId="0C296AEE"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F2DF653"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color w:val="000000"/>
              </w:rPr>
              <w:t>POST COVID</w:t>
            </w:r>
          </w:p>
        </w:tc>
        <w:tc>
          <w:tcPr>
            <w:tcW w:w="1186" w:type="dxa"/>
            <w:noWrap/>
          </w:tcPr>
          <w:p w14:paraId="314FB508"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59E0B671"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59" w:type="dxa"/>
            <w:noWrap/>
          </w:tcPr>
          <w:p w14:paraId="1CC3F248"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213" w:type="dxa"/>
            <w:noWrap/>
          </w:tcPr>
          <w:p w14:paraId="243276D8"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3F060945"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659E7CDF"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r>
      <w:tr w:rsidR="0050343A" w:rsidRPr="00D37542" w14:paraId="1050EF2C"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2BF7DFDD"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PF_sd</w:t>
            </w:r>
            <w:proofErr w:type="spellEnd"/>
          </w:p>
        </w:tc>
        <w:tc>
          <w:tcPr>
            <w:tcW w:w="1186" w:type="dxa"/>
            <w:noWrap/>
          </w:tcPr>
          <w:p w14:paraId="5F53EBF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1.45473</w:t>
            </w:r>
          </w:p>
        </w:tc>
        <w:tc>
          <w:tcPr>
            <w:tcW w:w="1186" w:type="dxa"/>
            <w:noWrap/>
          </w:tcPr>
          <w:p w14:paraId="3191266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0.39536</w:t>
            </w:r>
          </w:p>
        </w:tc>
        <w:tc>
          <w:tcPr>
            <w:tcW w:w="1159" w:type="dxa"/>
            <w:noWrap/>
          </w:tcPr>
          <w:p w14:paraId="287BCB1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1.62063</w:t>
            </w:r>
          </w:p>
        </w:tc>
        <w:tc>
          <w:tcPr>
            <w:tcW w:w="1213" w:type="dxa"/>
            <w:noWrap/>
          </w:tcPr>
          <w:p w14:paraId="302ADA45"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0.48104</w:t>
            </w:r>
          </w:p>
        </w:tc>
        <w:tc>
          <w:tcPr>
            <w:tcW w:w="1186" w:type="dxa"/>
            <w:noWrap/>
          </w:tcPr>
          <w:p w14:paraId="7704434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0.64892</w:t>
            </w:r>
          </w:p>
        </w:tc>
        <w:tc>
          <w:tcPr>
            <w:tcW w:w="1186" w:type="dxa"/>
            <w:noWrap/>
          </w:tcPr>
          <w:p w14:paraId="7996268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1.13258</w:t>
            </w:r>
          </w:p>
        </w:tc>
      </w:tr>
      <w:tr w:rsidR="0050343A" w:rsidRPr="00D37542" w14:paraId="157D0854"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BF434A4"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VaR</w:t>
            </w:r>
            <w:proofErr w:type="spellEnd"/>
          </w:p>
        </w:tc>
        <w:tc>
          <w:tcPr>
            <w:tcW w:w="1186" w:type="dxa"/>
            <w:noWrap/>
          </w:tcPr>
          <w:p w14:paraId="3294404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-2.04103</w:t>
            </w:r>
          </w:p>
        </w:tc>
        <w:tc>
          <w:tcPr>
            <w:tcW w:w="1186" w:type="dxa"/>
            <w:noWrap/>
          </w:tcPr>
          <w:p w14:paraId="7C72052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-0.67362</w:t>
            </w:r>
          </w:p>
        </w:tc>
        <w:tc>
          <w:tcPr>
            <w:tcW w:w="1159" w:type="dxa"/>
            <w:noWrap/>
          </w:tcPr>
          <w:p w14:paraId="3D3CBFE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-1.91566</w:t>
            </w:r>
          </w:p>
        </w:tc>
        <w:tc>
          <w:tcPr>
            <w:tcW w:w="1213" w:type="dxa"/>
            <w:noWrap/>
          </w:tcPr>
          <w:p w14:paraId="5E9BAC4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-0.77050</w:t>
            </w:r>
          </w:p>
        </w:tc>
        <w:tc>
          <w:tcPr>
            <w:tcW w:w="1186" w:type="dxa"/>
            <w:noWrap/>
          </w:tcPr>
          <w:p w14:paraId="152C2C8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-0.92976</w:t>
            </w:r>
          </w:p>
        </w:tc>
        <w:tc>
          <w:tcPr>
            <w:tcW w:w="1186" w:type="dxa"/>
            <w:noWrap/>
          </w:tcPr>
          <w:p w14:paraId="5AB60F7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-1.63455</w:t>
            </w:r>
          </w:p>
        </w:tc>
      </w:tr>
      <w:tr w:rsidR="0050343A" w:rsidRPr="00D37542" w14:paraId="380C6049"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78B530CA"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ES</w:t>
            </w:r>
          </w:p>
        </w:tc>
        <w:tc>
          <w:tcPr>
            <w:tcW w:w="1186" w:type="dxa"/>
            <w:noWrap/>
          </w:tcPr>
          <w:p w14:paraId="5A1DB10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-3.86598</w:t>
            </w:r>
          </w:p>
        </w:tc>
        <w:tc>
          <w:tcPr>
            <w:tcW w:w="1186" w:type="dxa"/>
            <w:noWrap/>
          </w:tcPr>
          <w:p w14:paraId="401CB53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-1.06396</w:t>
            </w:r>
          </w:p>
        </w:tc>
        <w:tc>
          <w:tcPr>
            <w:tcW w:w="1159" w:type="dxa"/>
            <w:noWrap/>
          </w:tcPr>
          <w:p w14:paraId="2860620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-4.44250</w:t>
            </w:r>
          </w:p>
        </w:tc>
        <w:tc>
          <w:tcPr>
            <w:tcW w:w="1213" w:type="dxa"/>
            <w:noWrap/>
          </w:tcPr>
          <w:p w14:paraId="149EAEF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-1.28939</w:t>
            </w:r>
          </w:p>
        </w:tc>
        <w:tc>
          <w:tcPr>
            <w:tcW w:w="1186" w:type="dxa"/>
            <w:noWrap/>
          </w:tcPr>
          <w:p w14:paraId="26AA370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-1.73732</w:t>
            </w:r>
          </w:p>
        </w:tc>
        <w:tc>
          <w:tcPr>
            <w:tcW w:w="1186" w:type="dxa"/>
            <w:noWrap/>
          </w:tcPr>
          <w:p w14:paraId="6B0EF65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-2.94780</w:t>
            </w:r>
          </w:p>
        </w:tc>
      </w:tr>
      <w:tr w:rsidR="0050343A" w:rsidRPr="00D37542" w14:paraId="07E5087F"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DD6A8DC"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Worst</w:t>
            </w:r>
            <w:proofErr w:type="spellEnd"/>
            <w:r>
              <w:rPr>
                <w:rFonts w:asciiTheme="majorBidi" w:hAnsiTheme="majorBidi" w:cstheme="majorBidi" w:hint="default"/>
                <w:b w:val="0"/>
                <w:bCs w:val="0"/>
                <w:color w:val="000000"/>
              </w:rPr>
              <w:t xml:space="preserve"> </w:t>
            </w:r>
            <w:proofErr w:type="spellStart"/>
            <w:r w:rsidRPr="00D37542">
              <w:rPr>
                <w:rFonts w:asciiTheme="majorBidi" w:hAnsiTheme="majorBidi" w:cstheme="majorBidi" w:hint="default"/>
                <w:b w:val="0"/>
                <w:bCs w:val="0"/>
                <w:color w:val="000000"/>
              </w:rPr>
              <w:t>Drawdown</w:t>
            </w:r>
            <w:proofErr w:type="spellEnd"/>
          </w:p>
        </w:tc>
        <w:tc>
          <w:tcPr>
            <w:tcW w:w="1186" w:type="dxa"/>
            <w:noWrap/>
          </w:tcPr>
          <w:p w14:paraId="3F18DFA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31.35889</w:t>
            </w:r>
          </w:p>
        </w:tc>
        <w:tc>
          <w:tcPr>
            <w:tcW w:w="1186" w:type="dxa"/>
            <w:noWrap/>
          </w:tcPr>
          <w:p w14:paraId="3849F54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13.13527</w:t>
            </w:r>
          </w:p>
        </w:tc>
        <w:tc>
          <w:tcPr>
            <w:tcW w:w="1159" w:type="dxa"/>
            <w:noWrap/>
          </w:tcPr>
          <w:p w14:paraId="08542B5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40.28738</w:t>
            </w:r>
          </w:p>
        </w:tc>
        <w:tc>
          <w:tcPr>
            <w:tcW w:w="1213" w:type="dxa"/>
            <w:noWrap/>
          </w:tcPr>
          <w:p w14:paraId="200F946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8.56052</w:t>
            </w:r>
          </w:p>
        </w:tc>
        <w:tc>
          <w:tcPr>
            <w:tcW w:w="1186" w:type="dxa"/>
            <w:noWrap/>
          </w:tcPr>
          <w:p w14:paraId="10BE020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15.73593</w:t>
            </w:r>
          </w:p>
        </w:tc>
        <w:tc>
          <w:tcPr>
            <w:tcW w:w="1186" w:type="dxa"/>
            <w:noWrap/>
          </w:tcPr>
          <w:p w14:paraId="6461682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23.55396</w:t>
            </w:r>
          </w:p>
        </w:tc>
      </w:tr>
      <w:tr w:rsidR="0050343A" w:rsidRPr="00D37542" w14:paraId="16A99D28"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78839453"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Annualized</w:t>
            </w:r>
            <w:proofErr w:type="spellEnd"/>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Sharpe</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Ratio</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(Rf=0%)</w:t>
            </w:r>
          </w:p>
        </w:tc>
        <w:tc>
          <w:tcPr>
            <w:tcW w:w="1186" w:type="dxa"/>
            <w:noWrap/>
          </w:tcPr>
          <w:p w14:paraId="6ADE2A1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0.36206</w:t>
            </w:r>
          </w:p>
        </w:tc>
        <w:tc>
          <w:tcPr>
            <w:tcW w:w="1186" w:type="dxa"/>
            <w:noWrap/>
          </w:tcPr>
          <w:p w14:paraId="68018A9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-0.47538</w:t>
            </w:r>
          </w:p>
        </w:tc>
        <w:tc>
          <w:tcPr>
            <w:tcW w:w="1159" w:type="dxa"/>
            <w:noWrap/>
          </w:tcPr>
          <w:p w14:paraId="1E2EEC1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0.05266</w:t>
            </w:r>
          </w:p>
        </w:tc>
        <w:tc>
          <w:tcPr>
            <w:tcW w:w="1213" w:type="dxa"/>
            <w:noWrap/>
          </w:tcPr>
          <w:p w14:paraId="0925214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0.16427</w:t>
            </w:r>
          </w:p>
        </w:tc>
        <w:tc>
          <w:tcPr>
            <w:tcW w:w="1186" w:type="dxa"/>
            <w:noWrap/>
          </w:tcPr>
          <w:p w14:paraId="707972B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0.15006</w:t>
            </w:r>
          </w:p>
        </w:tc>
        <w:tc>
          <w:tcPr>
            <w:tcW w:w="1186" w:type="dxa"/>
            <w:noWrap/>
          </w:tcPr>
          <w:p w14:paraId="7E33720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0.49392</w:t>
            </w:r>
          </w:p>
        </w:tc>
      </w:tr>
      <w:tr w:rsidR="0050343A" w:rsidRPr="00D37542" w14:paraId="5A1E425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3FEC6B3"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Sortino</w:t>
            </w:r>
            <w:proofErr w:type="spellEnd"/>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Ratio</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(MAR=0%)</w:t>
            </w:r>
          </w:p>
        </w:tc>
        <w:tc>
          <w:tcPr>
            <w:tcW w:w="1186" w:type="dxa"/>
            <w:noWrap/>
          </w:tcPr>
          <w:p w14:paraId="6019793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Pr>
                <w:rFonts w:asciiTheme="majorBidi" w:hAnsiTheme="majorBidi" w:cstheme="majorBidi" w:hint="default"/>
                <w:color w:val="000000"/>
              </w:rPr>
              <w:t xml:space="preserve">  </w:t>
            </w:r>
            <w:r w:rsidRPr="00D37542">
              <w:rPr>
                <w:rFonts w:asciiTheme="majorBidi" w:hAnsiTheme="majorBidi" w:cstheme="majorBidi" w:hint="default"/>
                <w:color w:val="000000"/>
              </w:rPr>
              <w:t>0.03785</w:t>
            </w:r>
          </w:p>
        </w:tc>
        <w:tc>
          <w:tcPr>
            <w:tcW w:w="1186" w:type="dxa"/>
            <w:noWrap/>
          </w:tcPr>
          <w:p w14:paraId="4C4C626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-0.03673</w:t>
            </w:r>
          </w:p>
        </w:tc>
        <w:tc>
          <w:tcPr>
            <w:tcW w:w="1159" w:type="dxa"/>
            <w:noWrap/>
          </w:tcPr>
          <w:p w14:paraId="2967524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0.01463</w:t>
            </w:r>
          </w:p>
        </w:tc>
        <w:tc>
          <w:tcPr>
            <w:tcW w:w="1213" w:type="dxa"/>
            <w:noWrap/>
          </w:tcPr>
          <w:p w14:paraId="7BCC06E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0.01684</w:t>
            </w:r>
          </w:p>
        </w:tc>
        <w:tc>
          <w:tcPr>
            <w:tcW w:w="1186" w:type="dxa"/>
            <w:noWrap/>
          </w:tcPr>
          <w:p w14:paraId="5D31534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0.01620</w:t>
            </w:r>
          </w:p>
        </w:tc>
        <w:tc>
          <w:tcPr>
            <w:tcW w:w="1186" w:type="dxa"/>
            <w:noWrap/>
          </w:tcPr>
          <w:p w14:paraId="485403B0"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0.04669</w:t>
            </w:r>
          </w:p>
        </w:tc>
      </w:tr>
      <w:tr w:rsidR="0050343A" w:rsidRPr="00D37542" w14:paraId="060A11F8"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55E2ECEC"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Calmar</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Ratio</w:t>
            </w:r>
          </w:p>
        </w:tc>
        <w:tc>
          <w:tcPr>
            <w:tcW w:w="1186" w:type="dxa"/>
            <w:noWrap/>
          </w:tcPr>
          <w:p w14:paraId="7DA80F3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Pr>
                <w:rFonts w:asciiTheme="majorBidi" w:hAnsiTheme="majorBidi" w:cstheme="majorBidi" w:hint="default"/>
                <w:color w:val="000000"/>
              </w:rPr>
              <w:t xml:space="preserve">  </w:t>
            </w:r>
            <w:r w:rsidRPr="00D37542">
              <w:rPr>
                <w:rFonts w:asciiTheme="majorBidi" w:hAnsiTheme="majorBidi" w:cstheme="majorBidi" w:hint="default"/>
                <w:color w:val="000000"/>
              </w:rPr>
              <w:t>0.26663</w:t>
            </w:r>
          </w:p>
        </w:tc>
        <w:tc>
          <w:tcPr>
            <w:tcW w:w="1186" w:type="dxa"/>
            <w:noWrap/>
          </w:tcPr>
          <w:p w14:paraId="335CD05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-0.22714</w:t>
            </w:r>
          </w:p>
        </w:tc>
        <w:tc>
          <w:tcPr>
            <w:tcW w:w="1159" w:type="dxa"/>
            <w:noWrap/>
          </w:tcPr>
          <w:p w14:paraId="0AB1F40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0.03363</w:t>
            </w:r>
          </w:p>
        </w:tc>
        <w:tc>
          <w:tcPr>
            <w:tcW w:w="1213" w:type="dxa"/>
            <w:noWrap/>
          </w:tcPr>
          <w:p w14:paraId="67EB502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0.14654</w:t>
            </w:r>
          </w:p>
        </w:tc>
        <w:tc>
          <w:tcPr>
            <w:tcW w:w="1186" w:type="dxa"/>
            <w:noWrap/>
          </w:tcPr>
          <w:p w14:paraId="496F27C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0.09823</w:t>
            </w:r>
          </w:p>
        </w:tc>
        <w:tc>
          <w:tcPr>
            <w:tcW w:w="1186" w:type="dxa"/>
            <w:noWrap/>
          </w:tcPr>
          <w:p w14:paraId="485528C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0.37702</w:t>
            </w:r>
          </w:p>
        </w:tc>
      </w:tr>
      <w:tr w:rsidR="0050343A" w:rsidRPr="00D37542" w14:paraId="2ECAEA0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B6008FF"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Omega</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(L=0%)</w:t>
            </w:r>
          </w:p>
        </w:tc>
        <w:tc>
          <w:tcPr>
            <w:tcW w:w="1186" w:type="dxa"/>
            <w:noWrap/>
          </w:tcPr>
          <w:p w14:paraId="3E45F76D" w14:textId="77777777" w:rsidR="0050343A" w:rsidRPr="00D37542" w:rsidRDefault="0050343A" w:rsidP="0050343A">
            <w:pPr>
              <w:ind w:firstLineChars="50" w:firstLine="11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1.09309</w:t>
            </w:r>
          </w:p>
        </w:tc>
        <w:tc>
          <w:tcPr>
            <w:tcW w:w="1186" w:type="dxa"/>
            <w:noWrap/>
          </w:tcPr>
          <w:p w14:paraId="1D31F3C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0.92244</w:t>
            </w:r>
          </w:p>
        </w:tc>
        <w:tc>
          <w:tcPr>
            <w:tcW w:w="1159" w:type="dxa"/>
            <w:noWrap/>
          </w:tcPr>
          <w:p w14:paraId="2062EC3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1.04259</w:t>
            </w:r>
          </w:p>
        </w:tc>
        <w:tc>
          <w:tcPr>
            <w:tcW w:w="1213" w:type="dxa"/>
            <w:noWrap/>
          </w:tcPr>
          <w:p w14:paraId="0E0C032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1.03785</w:t>
            </w:r>
          </w:p>
        </w:tc>
        <w:tc>
          <w:tcPr>
            <w:tcW w:w="1186" w:type="dxa"/>
            <w:noWrap/>
          </w:tcPr>
          <w:p w14:paraId="7DE1792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1.03880</w:t>
            </w:r>
          </w:p>
        </w:tc>
        <w:tc>
          <w:tcPr>
            <w:tcW w:w="1186" w:type="dxa"/>
            <w:noWrap/>
          </w:tcPr>
          <w:p w14:paraId="4DF0ED4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1.11081</w:t>
            </w:r>
          </w:p>
        </w:tc>
      </w:tr>
      <w:tr w:rsidR="0050343A" w:rsidRPr="00D37542" w14:paraId="37F7D5E4" w14:textId="77777777" w:rsidTr="00213464">
        <w:trPr>
          <w:trHeight w:val="672"/>
        </w:trPr>
        <w:tc>
          <w:tcPr>
            <w:cnfStyle w:val="001000000000" w:firstRow="0" w:lastRow="0" w:firstColumn="1" w:lastColumn="0" w:oddVBand="0" w:evenVBand="0" w:oddHBand="0" w:evenHBand="0" w:firstRowFirstColumn="0" w:firstRowLastColumn="0" w:lastRowFirstColumn="0" w:lastRowLastColumn="0"/>
            <w:tcW w:w="3056" w:type="dxa"/>
            <w:noWrap/>
          </w:tcPr>
          <w:p w14:paraId="397FC07E"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Turnover</w:t>
            </w:r>
          </w:p>
        </w:tc>
        <w:tc>
          <w:tcPr>
            <w:tcW w:w="1186" w:type="dxa"/>
            <w:noWrap/>
          </w:tcPr>
          <w:p w14:paraId="750867FA" w14:textId="77777777" w:rsidR="0050343A" w:rsidRPr="00D37542" w:rsidRDefault="0050343A" w:rsidP="00593C4E">
            <w:pPr>
              <w:jc w:val="cente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rPr>
            </w:pPr>
            <w:r w:rsidRPr="00D37542">
              <w:rPr>
                <w:rFonts w:asciiTheme="majorBidi" w:hAnsiTheme="majorBidi" w:cstheme="majorBidi" w:hint="default"/>
                <w:iCs/>
                <w:color w:val="000000"/>
                <w:szCs w:val="24"/>
                <w:lang w:eastAsia="zh-CN"/>
              </w:rPr>
              <w:t>2.68476</w:t>
            </w:r>
          </w:p>
        </w:tc>
        <w:tc>
          <w:tcPr>
            <w:tcW w:w="1186" w:type="dxa"/>
            <w:noWrap/>
          </w:tcPr>
          <w:p w14:paraId="5E89E99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7.02624</w:t>
            </w:r>
          </w:p>
        </w:tc>
        <w:tc>
          <w:tcPr>
            <w:tcW w:w="1159" w:type="dxa"/>
            <w:noWrap/>
          </w:tcPr>
          <w:p w14:paraId="6BD324CA"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18.40673</w:t>
            </w:r>
          </w:p>
        </w:tc>
        <w:tc>
          <w:tcPr>
            <w:tcW w:w="1213" w:type="dxa"/>
            <w:noWrap/>
          </w:tcPr>
          <w:p w14:paraId="1E37388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8.69641</w:t>
            </w:r>
          </w:p>
        </w:tc>
        <w:tc>
          <w:tcPr>
            <w:tcW w:w="1186" w:type="dxa"/>
            <w:noWrap/>
          </w:tcPr>
          <w:p w14:paraId="4780FA5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4.58153</w:t>
            </w:r>
          </w:p>
        </w:tc>
        <w:tc>
          <w:tcPr>
            <w:tcW w:w="1186" w:type="dxa"/>
            <w:noWrap/>
          </w:tcPr>
          <w:p w14:paraId="3A10F79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13.32260</w:t>
            </w:r>
          </w:p>
        </w:tc>
      </w:tr>
    </w:tbl>
    <w:p w14:paraId="39D56AD7" w14:textId="6B67F1A2" w:rsidR="004E2B96" w:rsidRPr="00C7360F" w:rsidRDefault="0050343A" w:rsidP="004E2B96">
      <w:pPr>
        <w:spacing w:after="0" w:line="360" w:lineRule="auto"/>
        <w:jc w:val="both"/>
        <w:rPr>
          <w:rFonts w:asciiTheme="majorBidi" w:hAnsiTheme="majorBidi" w:cstheme="majorBidi"/>
          <w:b/>
          <w:bCs/>
          <w:lang w:val="en-US"/>
        </w:rPr>
      </w:pPr>
      <w:r w:rsidRPr="00C7360F">
        <w:rPr>
          <w:rFonts w:asciiTheme="majorBidi" w:hAnsiTheme="majorBidi" w:cstheme="majorBidi"/>
          <w:b/>
          <w:bCs/>
          <w:lang w:val="en-US"/>
        </w:rPr>
        <w:t xml:space="preserve">Table </w:t>
      </w:r>
      <w:r w:rsidR="00C7360F" w:rsidRPr="00C7360F">
        <w:rPr>
          <w:rFonts w:asciiTheme="majorBidi" w:hAnsiTheme="majorBidi" w:cstheme="majorBidi"/>
          <w:b/>
          <w:bCs/>
          <w:lang w:val="en-US"/>
        </w:rPr>
        <w:t>5</w:t>
      </w:r>
      <w:r w:rsidRPr="00C7360F">
        <w:rPr>
          <w:rFonts w:asciiTheme="majorBidi" w:hAnsiTheme="majorBidi" w:cstheme="majorBidi"/>
          <w:b/>
          <w:bCs/>
          <w:lang w:val="en-US"/>
        </w:rPr>
        <w:t>: Performance of Risk-Based Indexing Strategies with Daily Rebalancing (EWMA)</w:t>
      </w:r>
    </w:p>
    <w:p w14:paraId="668AE520" w14:textId="77777777" w:rsidR="00213464" w:rsidRPr="0050343A" w:rsidRDefault="00213464" w:rsidP="004E2B96">
      <w:pPr>
        <w:spacing w:after="0" w:line="360" w:lineRule="auto"/>
        <w:jc w:val="both"/>
        <w:rPr>
          <w:b/>
          <w:bCs/>
          <w:lang w:val="en-US"/>
        </w:rPr>
      </w:pPr>
    </w:p>
    <w:p w14:paraId="7984ED17" w14:textId="56DEC940" w:rsidR="004E2B96" w:rsidRPr="00C7360F" w:rsidRDefault="0050343A" w:rsidP="004E2B96">
      <w:pPr>
        <w:spacing w:after="0" w:line="360" w:lineRule="auto"/>
        <w:jc w:val="both"/>
        <w:rPr>
          <w:rFonts w:asciiTheme="majorBidi" w:hAnsiTheme="majorBidi" w:cstheme="majorBidi"/>
          <w:b/>
          <w:bCs/>
          <w:lang w:val="en-US"/>
        </w:rPr>
      </w:pPr>
      <w:r w:rsidRPr="00C7360F">
        <w:rPr>
          <w:rFonts w:asciiTheme="majorBidi" w:hAnsiTheme="majorBidi" w:cstheme="majorBidi"/>
          <w:b/>
          <w:bCs/>
          <w:lang w:val="en-US"/>
        </w:rPr>
        <w:t xml:space="preserve">Figure 3: </w:t>
      </w:r>
      <w:r w:rsidR="00907CEF">
        <w:rPr>
          <w:rFonts w:asciiTheme="majorBidi" w:hAnsiTheme="majorBidi" w:cstheme="majorBidi"/>
          <w:b/>
          <w:bCs/>
          <w:lang w:val="en-US"/>
        </w:rPr>
        <w:t xml:space="preserve">Graph of </w:t>
      </w:r>
      <w:r w:rsidRPr="00C7360F">
        <w:rPr>
          <w:rFonts w:asciiTheme="majorBidi" w:hAnsiTheme="majorBidi" w:cstheme="majorBidi"/>
          <w:b/>
          <w:bCs/>
          <w:lang w:val="en-US"/>
        </w:rPr>
        <w:t>Performance of Risk-Based Indexing Strategies with Daily Rebalancing (EWMA)</w:t>
      </w:r>
    </w:p>
    <w:p w14:paraId="7B887DD8" w14:textId="77777777" w:rsidR="0050343A" w:rsidRPr="0050343A" w:rsidRDefault="0050343A" w:rsidP="0050343A">
      <w:pPr>
        <w:spacing w:after="0" w:line="360" w:lineRule="auto"/>
        <w:jc w:val="both"/>
        <w:rPr>
          <w:rFonts w:asciiTheme="majorBidi" w:hAnsiTheme="majorBidi" w:cstheme="majorBidi"/>
          <w:lang w:val="en-US"/>
        </w:rPr>
      </w:pPr>
      <w:r>
        <w:rPr>
          <w:noProof/>
          <w:lang w:val="en-US"/>
        </w:rPr>
        <w:lastRenderedPageBreak/>
        <w:drawing>
          <wp:inline distT="0" distB="0" distL="0" distR="0" wp14:anchorId="476439D0" wp14:editId="6B0AB4EE">
            <wp:extent cx="4866199" cy="2872046"/>
            <wp:effectExtent l="0" t="0" r="0" b="508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869559" cy="2874029"/>
                    </a:xfrm>
                    <a:prstGeom prst="rect">
                      <a:avLst/>
                    </a:prstGeom>
                    <a:noFill/>
                  </pic:spPr>
                </pic:pic>
              </a:graphicData>
            </a:graphic>
          </wp:inline>
        </w:drawing>
      </w:r>
    </w:p>
    <w:tbl>
      <w:tblPr>
        <w:tblStyle w:val="Trameclaire-Accent13"/>
        <w:tblW w:w="10206" w:type="dxa"/>
        <w:tblLayout w:type="fixed"/>
        <w:tblLook w:val="04A0" w:firstRow="1" w:lastRow="0" w:firstColumn="1" w:lastColumn="0" w:noHBand="0" w:noVBand="1"/>
      </w:tblPr>
      <w:tblGrid>
        <w:gridCol w:w="3178"/>
        <w:gridCol w:w="1149"/>
        <w:gridCol w:w="1100"/>
        <w:gridCol w:w="1240"/>
        <w:gridCol w:w="1320"/>
        <w:gridCol w:w="1220"/>
        <w:gridCol w:w="999"/>
      </w:tblGrid>
      <w:tr w:rsidR="0050343A" w:rsidRPr="0050343A" w14:paraId="3B118C62" w14:textId="77777777" w:rsidTr="00213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dxa"/>
            <w:noWrap/>
          </w:tcPr>
          <w:p w14:paraId="3E50B64A" w14:textId="77777777" w:rsidR="0050343A" w:rsidRPr="0050343A" w:rsidRDefault="0050343A" w:rsidP="00593C4E">
            <w:pPr>
              <w:jc w:val="both"/>
              <w:rPr>
                <w:rFonts w:asciiTheme="majorBidi" w:hAnsiTheme="majorBidi" w:cstheme="majorBidi" w:hint="default"/>
                <w:b w:val="0"/>
                <w:bCs w:val="0"/>
                <w:color w:val="000000"/>
                <w:sz w:val="20"/>
              </w:rPr>
            </w:pPr>
          </w:p>
        </w:tc>
        <w:tc>
          <w:tcPr>
            <w:tcW w:w="1149" w:type="dxa"/>
            <w:noWrap/>
          </w:tcPr>
          <w:p w14:paraId="396E013C" w14:textId="77777777" w:rsidR="0050343A" w:rsidRPr="0050343A" w:rsidRDefault="0050343A" w:rsidP="0050343A">
            <w:pPr>
              <w:ind w:firstLineChars="100" w:firstLine="20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EWP</w:t>
            </w:r>
          </w:p>
        </w:tc>
        <w:tc>
          <w:tcPr>
            <w:tcW w:w="1100" w:type="dxa"/>
            <w:noWrap/>
          </w:tcPr>
          <w:p w14:paraId="4C323828" w14:textId="77777777" w:rsidR="0050343A" w:rsidRPr="0050343A" w:rsidRDefault="0050343A" w:rsidP="0050343A">
            <w:pPr>
              <w:ind w:firstLineChars="50" w:firstLine="10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MVP</w:t>
            </w:r>
          </w:p>
        </w:tc>
        <w:tc>
          <w:tcPr>
            <w:tcW w:w="1240" w:type="dxa"/>
            <w:noWrap/>
          </w:tcPr>
          <w:p w14:paraId="3DA13CCF" w14:textId="77777777" w:rsidR="0050343A" w:rsidRPr="0050343A" w:rsidRDefault="0050343A" w:rsidP="0050343A">
            <w:pPr>
              <w:ind w:firstLineChars="50" w:firstLine="10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ERC</w:t>
            </w:r>
          </w:p>
        </w:tc>
        <w:tc>
          <w:tcPr>
            <w:tcW w:w="1320" w:type="dxa"/>
            <w:noWrap/>
          </w:tcPr>
          <w:p w14:paraId="6DA6A8B7" w14:textId="77777777" w:rsidR="0050343A" w:rsidRPr="0050343A" w:rsidRDefault="0050343A" w:rsidP="0050343A">
            <w:pPr>
              <w:ind w:firstLineChars="100" w:firstLine="20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MDP</w:t>
            </w:r>
          </w:p>
        </w:tc>
        <w:tc>
          <w:tcPr>
            <w:tcW w:w="1220" w:type="dxa"/>
            <w:noWrap/>
          </w:tcPr>
          <w:p w14:paraId="2DA35451" w14:textId="77777777" w:rsidR="0050343A" w:rsidRPr="0050343A" w:rsidRDefault="0050343A" w:rsidP="0050343A">
            <w:pPr>
              <w:ind w:firstLineChars="100" w:firstLine="20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IVP</w:t>
            </w:r>
          </w:p>
        </w:tc>
        <w:tc>
          <w:tcPr>
            <w:tcW w:w="999" w:type="dxa"/>
            <w:noWrap/>
          </w:tcPr>
          <w:p w14:paraId="6DE66730" w14:textId="77777777" w:rsidR="0050343A" w:rsidRPr="0050343A" w:rsidRDefault="0050343A" w:rsidP="00593C4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MDECP</w:t>
            </w:r>
          </w:p>
        </w:tc>
      </w:tr>
      <w:tr w:rsidR="0050343A" w:rsidRPr="0050343A" w14:paraId="30AD3749"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2B434D77" w14:textId="77777777" w:rsidR="0050343A" w:rsidRPr="0050343A" w:rsidRDefault="0050343A" w:rsidP="00593C4E">
            <w:pPr>
              <w:jc w:val="both"/>
              <w:rPr>
                <w:rFonts w:asciiTheme="majorBidi" w:hAnsiTheme="majorBidi" w:cstheme="majorBidi" w:hint="default"/>
                <w:color w:val="000000"/>
                <w:sz w:val="20"/>
              </w:rPr>
            </w:pPr>
            <w:r w:rsidRPr="0050343A">
              <w:rPr>
                <w:rFonts w:asciiTheme="majorBidi" w:hAnsiTheme="majorBidi" w:cstheme="majorBidi" w:hint="default"/>
                <w:color w:val="000000"/>
                <w:sz w:val="20"/>
              </w:rPr>
              <w:t>PRE COVID</w:t>
            </w:r>
          </w:p>
        </w:tc>
        <w:tc>
          <w:tcPr>
            <w:tcW w:w="1149" w:type="dxa"/>
            <w:noWrap/>
          </w:tcPr>
          <w:p w14:paraId="4FFF9B1B"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100" w:type="dxa"/>
            <w:noWrap/>
          </w:tcPr>
          <w:p w14:paraId="1BEE4296"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240" w:type="dxa"/>
            <w:noWrap/>
          </w:tcPr>
          <w:p w14:paraId="1E7D3DE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320" w:type="dxa"/>
            <w:noWrap/>
          </w:tcPr>
          <w:p w14:paraId="45BD60E0"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220" w:type="dxa"/>
            <w:noWrap/>
          </w:tcPr>
          <w:p w14:paraId="0D3A388F"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999" w:type="dxa"/>
            <w:noWrap/>
          </w:tcPr>
          <w:p w14:paraId="0D988EDC"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r>
      <w:tr w:rsidR="0050343A" w:rsidRPr="0050343A" w14:paraId="2EA1CFD7"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002EA931"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PF_sd</w:t>
            </w:r>
            <w:proofErr w:type="spellEnd"/>
          </w:p>
        </w:tc>
        <w:tc>
          <w:tcPr>
            <w:tcW w:w="1149" w:type="dxa"/>
            <w:noWrap/>
          </w:tcPr>
          <w:p w14:paraId="191D5CB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0.76232</w:t>
            </w:r>
          </w:p>
        </w:tc>
        <w:tc>
          <w:tcPr>
            <w:tcW w:w="1100" w:type="dxa"/>
            <w:noWrap/>
          </w:tcPr>
          <w:p w14:paraId="167AE73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0.24223</w:t>
            </w:r>
          </w:p>
        </w:tc>
        <w:tc>
          <w:tcPr>
            <w:tcW w:w="1240" w:type="dxa"/>
            <w:noWrap/>
          </w:tcPr>
          <w:p w14:paraId="0405388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0.68778</w:t>
            </w:r>
          </w:p>
        </w:tc>
        <w:tc>
          <w:tcPr>
            <w:tcW w:w="1320" w:type="dxa"/>
            <w:noWrap/>
          </w:tcPr>
          <w:p w14:paraId="57564F4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0.28179</w:t>
            </w:r>
          </w:p>
        </w:tc>
        <w:tc>
          <w:tcPr>
            <w:tcW w:w="1220" w:type="dxa"/>
            <w:noWrap/>
          </w:tcPr>
          <w:p w14:paraId="252BC6E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0.37419</w:t>
            </w:r>
          </w:p>
        </w:tc>
        <w:tc>
          <w:tcPr>
            <w:tcW w:w="999" w:type="dxa"/>
            <w:noWrap/>
          </w:tcPr>
          <w:p w14:paraId="1B79E70E"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0.59613</w:t>
            </w:r>
          </w:p>
        </w:tc>
      </w:tr>
      <w:tr w:rsidR="0050343A" w:rsidRPr="0050343A" w14:paraId="4B438C7C"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10AF3716"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VaR</w:t>
            </w:r>
            <w:proofErr w:type="spellEnd"/>
          </w:p>
        </w:tc>
        <w:tc>
          <w:tcPr>
            <w:tcW w:w="1149" w:type="dxa"/>
            <w:noWrap/>
          </w:tcPr>
          <w:p w14:paraId="2CE1018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-1.26433</w:t>
            </w:r>
          </w:p>
        </w:tc>
        <w:tc>
          <w:tcPr>
            <w:tcW w:w="1100" w:type="dxa"/>
            <w:noWrap/>
          </w:tcPr>
          <w:p w14:paraId="4F03D31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-0.37220</w:t>
            </w:r>
          </w:p>
        </w:tc>
        <w:tc>
          <w:tcPr>
            <w:tcW w:w="1240" w:type="dxa"/>
            <w:noWrap/>
          </w:tcPr>
          <w:p w14:paraId="60C6AED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-0.99683</w:t>
            </w:r>
          </w:p>
        </w:tc>
        <w:tc>
          <w:tcPr>
            <w:tcW w:w="1320" w:type="dxa"/>
            <w:noWrap/>
          </w:tcPr>
          <w:p w14:paraId="412D5301"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-0.41632</w:t>
            </w:r>
          </w:p>
        </w:tc>
        <w:tc>
          <w:tcPr>
            <w:tcW w:w="1220" w:type="dxa"/>
            <w:noWrap/>
          </w:tcPr>
          <w:p w14:paraId="02D6275B"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-0.58672</w:t>
            </w:r>
          </w:p>
        </w:tc>
        <w:tc>
          <w:tcPr>
            <w:tcW w:w="999" w:type="dxa"/>
            <w:noWrap/>
          </w:tcPr>
          <w:p w14:paraId="6CB0874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-1.00165</w:t>
            </w:r>
          </w:p>
        </w:tc>
      </w:tr>
      <w:tr w:rsidR="0050343A" w:rsidRPr="0050343A" w14:paraId="195B6CFA" w14:textId="77777777" w:rsidTr="00213464">
        <w:trPr>
          <w:trHeight w:val="403"/>
        </w:trPr>
        <w:tc>
          <w:tcPr>
            <w:cnfStyle w:val="001000000000" w:firstRow="0" w:lastRow="0" w:firstColumn="1" w:lastColumn="0" w:oddVBand="0" w:evenVBand="0" w:oddHBand="0" w:evenHBand="0" w:firstRowFirstColumn="0" w:firstRowLastColumn="0" w:lastRowFirstColumn="0" w:lastRowLastColumn="0"/>
            <w:tcW w:w="3178" w:type="dxa"/>
            <w:noWrap/>
          </w:tcPr>
          <w:p w14:paraId="79715705"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ES</w:t>
            </w:r>
          </w:p>
        </w:tc>
        <w:tc>
          <w:tcPr>
            <w:tcW w:w="1149" w:type="dxa"/>
            <w:noWrap/>
          </w:tcPr>
          <w:p w14:paraId="0C24633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-1.73241</w:t>
            </w:r>
          </w:p>
        </w:tc>
        <w:tc>
          <w:tcPr>
            <w:tcW w:w="1100" w:type="dxa"/>
            <w:noWrap/>
          </w:tcPr>
          <w:p w14:paraId="6AFDF26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-0.50958</w:t>
            </w:r>
          </w:p>
        </w:tc>
        <w:tc>
          <w:tcPr>
            <w:tcW w:w="1240" w:type="dxa"/>
            <w:noWrap/>
          </w:tcPr>
          <w:p w14:paraId="2B48CAE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-1.68156</w:t>
            </w:r>
          </w:p>
        </w:tc>
        <w:tc>
          <w:tcPr>
            <w:tcW w:w="1320" w:type="dxa"/>
            <w:noWrap/>
          </w:tcPr>
          <w:p w14:paraId="229C10F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-0.59412</w:t>
            </w:r>
          </w:p>
        </w:tc>
        <w:tc>
          <w:tcPr>
            <w:tcW w:w="1220" w:type="dxa"/>
            <w:noWrap/>
          </w:tcPr>
          <w:p w14:paraId="584313B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-0.83150</w:t>
            </w:r>
          </w:p>
        </w:tc>
        <w:tc>
          <w:tcPr>
            <w:tcW w:w="999" w:type="dxa"/>
            <w:noWrap/>
          </w:tcPr>
          <w:p w14:paraId="20593538" w14:textId="77777777" w:rsidR="0050343A" w:rsidRPr="0050343A" w:rsidRDefault="00213464" w:rsidP="0021346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Pr>
                <w:rFonts w:asciiTheme="majorBidi" w:hAnsiTheme="majorBidi" w:cstheme="majorBidi" w:hint="default"/>
                <w:color w:val="000000"/>
                <w:sz w:val="20"/>
              </w:rPr>
              <w:t>-1.3585</w:t>
            </w:r>
            <w:r w:rsidR="00EF4A4E">
              <w:rPr>
                <w:rFonts w:asciiTheme="majorBidi" w:hAnsiTheme="majorBidi" w:cstheme="majorBidi" w:hint="default"/>
                <w:color w:val="000000"/>
                <w:sz w:val="20"/>
              </w:rPr>
              <w:t>7</w:t>
            </w:r>
          </w:p>
        </w:tc>
      </w:tr>
      <w:tr w:rsidR="0050343A" w:rsidRPr="0050343A" w14:paraId="62AF1F7A"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3707F2C"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Worst</w:t>
            </w:r>
            <w:proofErr w:type="spellEnd"/>
            <w:r w:rsidRPr="0050343A">
              <w:rPr>
                <w:rFonts w:asciiTheme="majorBidi" w:hAnsiTheme="majorBidi" w:cstheme="majorBidi" w:hint="default"/>
                <w:b w:val="0"/>
                <w:bCs w:val="0"/>
                <w:color w:val="000000"/>
                <w:sz w:val="20"/>
              </w:rPr>
              <w:t xml:space="preserve"> </w:t>
            </w:r>
            <w:proofErr w:type="spellStart"/>
            <w:r w:rsidRPr="0050343A">
              <w:rPr>
                <w:rFonts w:asciiTheme="majorBidi" w:hAnsiTheme="majorBidi" w:cstheme="majorBidi" w:hint="default"/>
                <w:b w:val="0"/>
                <w:bCs w:val="0"/>
                <w:color w:val="000000"/>
                <w:sz w:val="20"/>
              </w:rPr>
              <w:t>Drawdown</w:t>
            </w:r>
            <w:proofErr w:type="spellEnd"/>
          </w:p>
        </w:tc>
        <w:tc>
          <w:tcPr>
            <w:tcW w:w="1149" w:type="dxa"/>
            <w:noWrap/>
          </w:tcPr>
          <w:p w14:paraId="6DCB985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16.76527</w:t>
            </w:r>
          </w:p>
        </w:tc>
        <w:tc>
          <w:tcPr>
            <w:tcW w:w="1100" w:type="dxa"/>
            <w:noWrap/>
          </w:tcPr>
          <w:p w14:paraId="36A04E3F" w14:textId="77777777" w:rsidR="0050343A" w:rsidRPr="0050343A" w:rsidRDefault="0050343A" w:rsidP="0050343A">
            <w:pPr>
              <w:ind w:firstLineChars="100" w:firstLine="2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3.10525</w:t>
            </w:r>
          </w:p>
        </w:tc>
        <w:tc>
          <w:tcPr>
            <w:tcW w:w="1240" w:type="dxa"/>
            <w:noWrap/>
          </w:tcPr>
          <w:p w14:paraId="3EE69E7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14.7120</w:t>
            </w:r>
          </w:p>
        </w:tc>
        <w:tc>
          <w:tcPr>
            <w:tcW w:w="1320" w:type="dxa"/>
            <w:noWrap/>
          </w:tcPr>
          <w:p w14:paraId="305A952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6.01625</w:t>
            </w:r>
          </w:p>
        </w:tc>
        <w:tc>
          <w:tcPr>
            <w:tcW w:w="1220" w:type="dxa"/>
            <w:noWrap/>
          </w:tcPr>
          <w:p w14:paraId="1E17A832" w14:textId="77777777" w:rsidR="0050343A" w:rsidRPr="0050343A" w:rsidRDefault="0050343A" w:rsidP="0050343A">
            <w:pPr>
              <w:ind w:firstLineChars="100" w:firstLine="2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7.92188</w:t>
            </w:r>
          </w:p>
        </w:tc>
        <w:tc>
          <w:tcPr>
            <w:tcW w:w="999" w:type="dxa"/>
            <w:noWrap/>
          </w:tcPr>
          <w:p w14:paraId="0C9C492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13.3745</w:t>
            </w:r>
          </w:p>
        </w:tc>
      </w:tr>
      <w:tr w:rsidR="0050343A" w:rsidRPr="0050343A" w14:paraId="1F702A50"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73578201"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Annualized</w:t>
            </w:r>
            <w:proofErr w:type="spellEnd"/>
            <w:r w:rsidRPr="0050343A">
              <w:rPr>
                <w:rFonts w:asciiTheme="majorBidi" w:hAnsiTheme="majorBidi" w:cstheme="majorBidi" w:hint="default"/>
                <w:b w:val="0"/>
                <w:bCs w:val="0"/>
                <w:color w:val="000000"/>
                <w:sz w:val="20"/>
              </w:rPr>
              <w:t xml:space="preserve"> Sharpe Ratio (Rf=0%)</w:t>
            </w:r>
          </w:p>
        </w:tc>
        <w:tc>
          <w:tcPr>
            <w:tcW w:w="1149" w:type="dxa"/>
            <w:noWrap/>
          </w:tcPr>
          <w:p w14:paraId="7F2355C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0.61094</w:t>
            </w:r>
          </w:p>
        </w:tc>
        <w:tc>
          <w:tcPr>
            <w:tcW w:w="1100" w:type="dxa"/>
            <w:noWrap/>
          </w:tcPr>
          <w:p w14:paraId="099E7F0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1.96519</w:t>
            </w:r>
          </w:p>
        </w:tc>
        <w:tc>
          <w:tcPr>
            <w:tcW w:w="1240" w:type="dxa"/>
            <w:noWrap/>
          </w:tcPr>
          <w:p w14:paraId="207CBB6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0.85466</w:t>
            </w:r>
          </w:p>
        </w:tc>
        <w:tc>
          <w:tcPr>
            <w:tcW w:w="1320" w:type="dxa"/>
            <w:noWrap/>
          </w:tcPr>
          <w:p w14:paraId="6C2E92F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1.53787</w:t>
            </w:r>
          </w:p>
        </w:tc>
        <w:tc>
          <w:tcPr>
            <w:tcW w:w="1220" w:type="dxa"/>
            <w:noWrap/>
          </w:tcPr>
          <w:p w14:paraId="51CA110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1.24884</w:t>
            </w:r>
          </w:p>
        </w:tc>
        <w:tc>
          <w:tcPr>
            <w:tcW w:w="999" w:type="dxa"/>
            <w:noWrap/>
          </w:tcPr>
          <w:p w14:paraId="4FFC5C5D"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0.59246</w:t>
            </w:r>
          </w:p>
        </w:tc>
      </w:tr>
      <w:tr w:rsidR="0050343A" w:rsidRPr="0050343A" w14:paraId="0D50C9F3"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2D140054"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Sortino</w:t>
            </w:r>
            <w:proofErr w:type="spellEnd"/>
            <w:r w:rsidRPr="0050343A">
              <w:rPr>
                <w:rFonts w:asciiTheme="majorBidi" w:hAnsiTheme="majorBidi" w:cstheme="majorBidi" w:hint="default"/>
                <w:b w:val="0"/>
                <w:bCs w:val="0"/>
                <w:color w:val="000000"/>
                <w:sz w:val="20"/>
              </w:rPr>
              <w:t xml:space="preserve"> </w:t>
            </w:r>
            <w:proofErr w:type="gramStart"/>
            <w:r w:rsidRPr="0050343A">
              <w:rPr>
                <w:rFonts w:asciiTheme="majorBidi" w:hAnsiTheme="majorBidi" w:cstheme="majorBidi" w:hint="default"/>
                <w:b w:val="0"/>
                <w:bCs w:val="0"/>
                <w:color w:val="000000"/>
                <w:sz w:val="20"/>
              </w:rPr>
              <w:t>Ratio(</w:t>
            </w:r>
            <w:proofErr w:type="gramEnd"/>
            <w:r w:rsidRPr="0050343A">
              <w:rPr>
                <w:rFonts w:asciiTheme="majorBidi" w:hAnsiTheme="majorBidi" w:cstheme="majorBidi" w:hint="default"/>
                <w:b w:val="0"/>
                <w:bCs w:val="0"/>
                <w:color w:val="000000"/>
                <w:sz w:val="20"/>
              </w:rPr>
              <w:t>MAR=0%)</w:t>
            </w:r>
          </w:p>
        </w:tc>
        <w:tc>
          <w:tcPr>
            <w:tcW w:w="1149" w:type="dxa"/>
            <w:noWrap/>
          </w:tcPr>
          <w:p w14:paraId="735D520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0.05821</w:t>
            </w:r>
          </w:p>
        </w:tc>
        <w:tc>
          <w:tcPr>
            <w:tcW w:w="1100" w:type="dxa"/>
            <w:noWrap/>
          </w:tcPr>
          <w:p w14:paraId="5E1FF91B"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0.18051</w:t>
            </w:r>
          </w:p>
        </w:tc>
        <w:tc>
          <w:tcPr>
            <w:tcW w:w="1240" w:type="dxa"/>
            <w:noWrap/>
          </w:tcPr>
          <w:p w14:paraId="0BA46DA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0.07809</w:t>
            </w:r>
          </w:p>
        </w:tc>
        <w:tc>
          <w:tcPr>
            <w:tcW w:w="1320" w:type="dxa"/>
            <w:noWrap/>
          </w:tcPr>
          <w:p w14:paraId="3E108321"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0.14117</w:t>
            </w:r>
          </w:p>
        </w:tc>
        <w:tc>
          <w:tcPr>
            <w:tcW w:w="1220" w:type="dxa"/>
            <w:noWrap/>
          </w:tcPr>
          <w:p w14:paraId="1A835771"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0.11367</w:t>
            </w:r>
          </w:p>
        </w:tc>
        <w:tc>
          <w:tcPr>
            <w:tcW w:w="999" w:type="dxa"/>
            <w:noWrap/>
          </w:tcPr>
          <w:p w14:paraId="3BBE445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0.05553</w:t>
            </w:r>
          </w:p>
        </w:tc>
      </w:tr>
      <w:tr w:rsidR="0050343A" w:rsidRPr="0050343A" w14:paraId="2F1F79C4"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F602AEB"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Calmar Ratio</w:t>
            </w:r>
          </w:p>
        </w:tc>
        <w:tc>
          <w:tcPr>
            <w:tcW w:w="1149" w:type="dxa"/>
            <w:noWrap/>
          </w:tcPr>
          <w:p w14:paraId="575B69B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0.44099</w:t>
            </w:r>
          </w:p>
        </w:tc>
        <w:tc>
          <w:tcPr>
            <w:tcW w:w="1100" w:type="dxa"/>
            <w:noWrap/>
          </w:tcPr>
          <w:p w14:paraId="68F2699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2.43359</w:t>
            </w:r>
          </w:p>
        </w:tc>
        <w:tc>
          <w:tcPr>
            <w:tcW w:w="1240" w:type="dxa"/>
            <w:noWrap/>
          </w:tcPr>
          <w:p w14:paraId="36C8B75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0.63427</w:t>
            </w:r>
          </w:p>
        </w:tc>
        <w:tc>
          <w:tcPr>
            <w:tcW w:w="1320" w:type="dxa"/>
            <w:noWrap/>
          </w:tcPr>
          <w:p w14:paraId="4D2E726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1.14347</w:t>
            </w:r>
          </w:p>
        </w:tc>
        <w:tc>
          <w:tcPr>
            <w:tcW w:w="1220" w:type="dxa"/>
            <w:noWrap/>
          </w:tcPr>
          <w:p w14:paraId="09E6AAB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0.93641</w:t>
            </w:r>
          </w:p>
        </w:tc>
        <w:tc>
          <w:tcPr>
            <w:tcW w:w="999" w:type="dxa"/>
            <w:noWrap/>
          </w:tcPr>
          <w:p w14:paraId="712EE54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0.41920</w:t>
            </w:r>
          </w:p>
        </w:tc>
      </w:tr>
      <w:tr w:rsidR="0050343A" w:rsidRPr="0050343A" w14:paraId="4C2C921B"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58F1012"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Omega(L=0%)</w:t>
            </w:r>
          </w:p>
        </w:tc>
        <w:tc>
          <w:tcPr>
            <w:tcW w:w="1149" w:type="dxa"/>
            <w:noWrap/>
          </w:tcPr>
          <w:p w14:paraId="3C68616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1.11415</w:t>
            </w:r>
          </w:p>
        </w:tc>
        <w:tc>
          <w:tcPr>
            <w:tcW w:w="1100" w:type="dxa"/>
            <w:noWrap/>
          </w:tcPr>
          <w:p w14:paraId="0B6D5E4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1.36813</w:t>
            </w:r>
          </w:p>
        </w:tc>
        <w:tc>
          <w:tcPr>
            <w:tcW w:w="1240" w:type="dxa"/>
            <w:noWrap/>
          </w:tcPr>
          <w:p w14:paraId="7DC568B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1.16992</w:t>
            </w:r>
          </w:p>
        </w:tc>
        <w:tc>
          <w:tcPr>
            <w:tcW w:w="1320" w:type="dxa"/>
            <w:noWrap/>
          </w:tcPr>
          <w:p w14:paraId="194ECF15"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1.27891</w:t>
            </w:r>
          </w:p>
        </w:tc>
        <w:tc>
          <w:tcPr>
            <w:tcW w:w="1220" w:type="dxa"/>
            <w:noWrap/>
          </w:tcPr>
          <w:p w14:paraId="7F6B1EA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1.22393</w:t>
            </w:r>
          </w:p>
        </w:tc>
        <w:tc>
          <w:tcPr>
            <w:tcW w:w="999" w:type="dxa"/>
            <w:noWrap/>
          </w:tcPr>
          <w:p w14:paraId="4B85196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1.10803</w:t>
            </w:r>
          </w:p>
        </w:tc>
      </w:tr>
      <w:tr w:rsidR="0050343A" w:rsidRPr="0050343A" w14:paraId="638BC7F9"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4EE0227"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Turnover</w:t>
            </w:r>
          </w:p>
        </w:tc>
        <w:tc>
          <w:tcPr>
            <w:tcW w:w="1149" w:type="dxa"/>
            <w:noWrap/>
          </w:tcPr>
          <w:p w14:paraId="19D58509" w14:textId="77777777" w:rsidR="0050343A" w:rsidRPr="0050343A" w:rsidRDefault="0050343A" w:rsidP="00593C4E">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 w:val="20"/>
              </w:rPr>
            </w:pPr>
            <w:r w:rsidRPr="0050343A">
              <w:rPr>
                <w:rFonts w:asciiTheme="majorBidi" w:hAnsiTheme="majorBidi" w:cstheme="majorBidi" w:hint="default"/>
                <w:iCs/>
                <w:color w:val="000000"/>
                <w:sz w:val="20"/>
                <w:lang w:eastAsia="zh-CN"/>
              </w:rPr>
              <w:t xml:space="preserve"> 0.71878</w:t>
            </w:r>
          </w:p>
        </w:tc>
        <w:tc>
          <w:tcPr>
            <w:tcW w:w="1100" w:type="dxa"/>
            <w:noWrap/>
          </w:tcPr>
          <w:p w14:paraId="2F5D6F3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2.71043</w:t>
            </w:r>
          </w:p>
        </w:tc>
        <w:tc>
          <w:tcPr>
            <w:tcW w:w="1240" w:type="dxa"/>
            <w:noWrap/>
          </w:tcPr>
          <w:p w14:paraId="2E7FFBED"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13.66199</w:t>
            </w:r>
          </w:p>
        </w:tc>
        <w:tc>
          <w:tcPr>
            <w:tcW w:w="1320" w:type="dxa"/>
            <w:noWrap/>
          </w:tcPr>
          <w:p w14:paraId="7EF08B5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2.99049</w:t>
            </w:r>
          </w:p>
        </w:tc>
        <w:tc>
          <w:tcPr>
            <w:tcW w:w="1220" w:type="dxa"/>
            <w:noWrap/>
          </w:tcPr>
          <w:p w14:paraId="6D1F479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2.04221</w:t>
            </w:r>
          </w:p>
        </w:tc>
        <w:tc>
          <w:tcPr>
            <w:tcW w:w="999" w:type="dxa"/>
            <w:noWrap/>
          </w:tcPr>
          <w:p w14:paraId="6409B5A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5.57729</w:t>
            </w:r>
          </w:p>
        </w:tc>
      </w:tr>
      <w:tr w:rsidR="0050343A" w:rsidRPr="0050343A" w14:paraId="1C1198C2" w14:textId="77777777" w:rsidTr="00213464">
        <w:tc>
          <w:tcPr>
            <w:cnfStyle w:val="001000000000" w:firstRow="0" w:lastRow="0" w:firstColumn="1" w:lastColumn="0" w:oddVBand="0" w:evenVBand="0" w:oddHBand="0" w:evenHBand="0" w:firstRowFirstColumn="0" w:firstRowLastColumn="0" w:lastRowFirstColumn="0" w:lastRowLastColumn="0"/>
            <w:tcW w:w="4327" w:type="dxa"/>
            <w:gridSpan w:val="2"/>
            <w:noWrap/>
          </w:tcPr>
          <w:p w14:paraId="04838DA7" w14:textId="77777777" w:rsidR="0050343A" w:rsidRPr="0050343A" w:rsidRDefault="0050343A" w:rsidP="00593C4E">
            <w:pPr>
              <w:jc w:val="both"/>
              <w:rPr>
                <w:rFonts w:asciiTheme="majorBidi" w:hAnsiTheme="majorBidi" w:cstheme="majorBidi" w:hint="default"/>
                <w:color w:val="000000"/>
                <w:sz w:val="20"/>
              </w:rPr>
            </w:pPr>
            <w:r w:rsidRPr="0050343A">
              <w:rPr>
                <w:rFonts w:asciiTheme="majorBidi" w:hAnsiTheme="majorBidi" w:cstheme="majorBidi" w:hint="default"/>
                <w:color w:val="000000"/>
                <w:sz w:val="20"/>
              </w:rPr>
              <w:t xml:space="preserve">POST COVID </w:t>
            </w:r>
          </w:p>
        </w:tc>
        <w:tc>
          <w:tcPr>
            <w:tcW w:w="1100" w:type="dxa"/>
            <w:noWrap/>
          </w:tcPr>
          <w:p w14:paraId="45DDEC40"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240" w:type="dxa"/>
            <w:noWrap/>
          </w:tcPr>
          <w:p w14:paraId="6DBD3002"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320" w:type="dxa"/>
            <w:noWrap/>
          </w:tcPr>
          <w:p w14:paraId="0DE7B7F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220" w:type="dxa"/>
            <w:noWrap/>
          </w:tcPr>
          <w:p w14:paraId="0D8A10BF"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999" w:type="dxa"/>
            <w:noWrap/>
          </w:tcPr>
          <w:p w14:paraId="04B12CD5"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r>
      <w:tr w:rsidR="0050343A" w:rsidRPr="0050343A" w14:paraId="20BFCDD1"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A1E18D9"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PF_sd</w:t>
            </w:r>
            <w:proofErr w:type="spellEnd"/>
          </w:p>
        </w:tc>
        <w:tc>
          <w:tcPr>
            <w:tcW w:w="1149" w:type="dxa"/>
            <w:noWrap/>
          </w:tcPr>
          <w:p w14:paraId="1FAC3CE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1.43997</w:t>
            </w:r>
          </w:p>
        </w:tc>
        <w:tc>
          <w:tcPr>
            <w:tcW w:w="1100" w:type="dxa"/>
            <w:noWrap/>
          </w:tcPr>
          <w:p w14:paraId="2DA8943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0.38584</w:t>
            </w:r>
          </w:p>
        </w:tc>
        <w:tc>
          <w:tcPr>
            <w:tcW w:w="1240" w:type="dxa"/>
            <w:noWrap/>
          </w:tcPr>
          <w:p w14:paraId="374A4A2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1.63214</w:t>
            </w:r>
          </w:p>
        </w:tc>
        <w:tc>
          <w:tcPr>
            <w:tcW w:w="1320" w:type="dxa"/>
            <w:noWrap/>
          </w:tcPr>
          <w:p w14:paraId="380BD45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0.47655</w:t>
            </w:r>
          </w:p>
        </w:tc>
        <w:tc>
          <w:tcPr>
            <w:tcW w:w="1220" w:type="dxa"/>
            <w:noWrap/>
          </w:tcPr>
          <w:p w14:paraId="38DF134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0.64034</w:t>
            </w:r>
          </w:p>
        </w:tc>
        <w:tc>
          <w:tcPr>
            <w:tcW w:w="999" w:type="dxa"/>
            <w:noWrap/>
          </w:tcPr>
          <w:p w14:paraId="60F48C8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1.12229</w:t>
            </w:r>
          </w:p>
        </w:tc>
      </w:tr>
      <w:tr w:rsidR="0050343A" w:rsidRPr="0050343A" w14:paraId="55241C14"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79479C4B"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VaR</w:t>
            </w:r>
            <w:proofErr w:type="spellEnd"/>
          </w:p>
        </w:tc>
        <w:tc>
          <w:tcPr>
            <w:tcW w:w="1149" w:type="dxa"/>
            <w:noWrap/>
          </w:tcPr>
          <w:p w14:paraId="4B43F37D"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-2.11326</w:t>
            </w:r>
          </w:p>
        </w:tc>
        <w:tc>
          <w:tcPr>
            <w:tcW w:w="1100" w:type="dxa"/>
            <w:noWrap/>
          </w:tcPr>
          <w:p w14:paraId="08E0E13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-0.65695</w:t>
            </w:r>
          </w:p>
        </w:tc>
        <w:tc>
          <w:tcPr>
            <w:tcW w:w="1240" w:type="dxa"/>
            <w:noWrap/>
          </w:tcPr>
          <w:p w14:paraId="362C0C6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-1.88174</w:t>
            </w:r>
          </w:p>
        </w:tc>
        <w:tc>
          <w:tcPr>
            <w:tcW w:w="1320" w:type="dxa"/>
            <w:noWrap/>
          </w:tcPr>
          <w:p w14:paraId="52E407E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-0.75107</w:t>
            </w:r>
          </w:p>
        </w:tc>
        <w:tc>
          <w:tcPr>
            <w:tcW w:w="1220" w:type="dxa"/>
            <w:noWrap/>
          </w:tcPr>
          <w:p w14:paraId="1110363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-0.91538</w:t>
            </w:r>
          </w:p>
        </w:tc>
        <w:tc>
          <w:tcPr>
            <w:tcW w:w="999" w:type="dxa"/>
            <w:noWrap/>
          </w:tcPr>
          <w:p w14:paraId="35FD654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-1.65063</w:t>
            </w:r>
          </w:p>
        </w:tc>
      </w:tr>
      <w:tr w:rsidR="0050343A" w:rsidRPr="0050343A" w14:paraId="12CE6DA1"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55614B0"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ES</w:t>
            </w:r>
          </w:p>
        </w:tc>
        <w:tc>
          <w:tcPr>
            <w:tcW w:w="1149" w:type="dxa"/>
            <w:noWrap/>
          </w:tcPr>
          <w:p w14:paraId="32649395"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-3.80872</w:t>
            </w:r>
          </w:p>
        </w:tc>
        <w:tc>
          <w:tcPr>
            <w:tcW w:w="1100" w:type="dxa"/>
            <w:noWrap/>
          </w:tcPr>
          <w:p w14:paraId="577E875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-1.02655</w:t>
            </w:r>
          </w:p>
        </w:tc>
        <w:tc>
          <w:tcPr>
            <w:tcW w:w="1240" w:type="dxa"/>
            <w:noWrap/>
          </w:tcPr>
          <w:p w14:paraId="2C1A974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-4.45250</w:t>
            </w:r>
          </w:p>
        </w:tc>
        <w:tc>
          <w:tcPr>
            <w:tcW w:w="1320" w:type="dxa"/>
            <w:noWrap/>
          </w:tcPr>
          <w:p w14:paraId="132B537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-1.26661</w:t>
            </w:r>
          </w:p>
        </w:tc>
        <w:tc>
          <w:tcPr>
            <w:tcW w:w="1220" w:type="dxa"/>
            <w:noWrap/>
          </w:tcPr>
          <w:p w14:paraId="002EDF8B"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-1.71507</w:t>
            </w:r>
          </w:p>
        </w:tc>
        <w:tc>
          <w:tcPr>
            <w:tcW w:w="999" w:type="dxa"/>
            <w:noWrap/>
          </w:tcPr>
          <w:p w14:paraId="21429803"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-2.91686</w:t>
            </w:r>
          </w:p>
        </w:tc>
      </w:tr>
      <w:tr w:rsidR="0050343A" w:rsidRPr="0050343A" w14:paraId="47A6DBC9"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145086BE"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Worst</w:t>
            </w:r>
            <w:proofErr w:type="spellEnd"/>
            <w:r w:rsidRPr="0050343A">
              <w:rPr>
                <w:rFonts w:asciiTheme="majorBidi" w:hAnsiTheme="majorBidi" w:cstheme="majorBidi" w:hint="default"/>
                <w:b w:val="0"/>
                <w:bCs w:val="0"/>
                <w:color w:val="000000"/>
                <w:sz w:val="20"/>
              </w:rPr>
              <w:t xml:space="preserve"> </w:t>
            </w:r>
            <w:proofErr w:type="spellStart"/>
            <w:r w:rsidRPr="0050343A">
              <w:rPr>
                <w:rFonts w:asciiTheme="majorBidi" w:hAnsiTheme="majorBidi" w:cstheme="majorBidi" w:hint="default"/>
                <w:b w:val="0"/>
                <w:bCs w:val="0"/>
                <w:color w:val="000000"/>
                <w:sz w:val="20"/>
              </w:rPr>
              <w:t>Drawdown</w:t>
            </w:r>
            <w:proofErr w:type="spellEnd"/>
          </w:p>
        </w:tc>
        <w:tc>
          <w:tcPr>
            <w:tcW w:w="1149" w:type="dxa"/>
            <w:noWrap/>
          </w:tcPr>
          <w:p w14:paraId="704DE4E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31.77664</w:t>
            </w:r>
          </w:p>
        </w:tc>
        <w:tc>
          <w:tcPr>
            <w:tcW w:w="1100" w:type="dxa"/>
            <w:noWrap/>
          </w:tcPr>
          <w:p w14:paraId="7753C031"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12.98946</w:t>
            </w:r>
          </w:p>
        </w:tc>
        <w:tc>
          <w:tcPr>
            <w:tcW w:w="1240" w:type="dxa"/>
            <w:noWrap/>
          </w:tcPr>
          <w:p w14:paraId="63011A4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39.83640</w:t>
            </w:r>
          </w:p>
        </w:tc>
        <w:tc>
          <w:tcPr>
            <w:tcW w:w="1320" w:type="dxa"/>
            <w:noWrap/>
          </w:tcPr>
          <w:p w14:paraId="3C58EC3B"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8.45075</w:t>
            </w:r>
          </w:p>
        </w:tc>
        <w:tc>
          <w:tcPr>
            <w:tcW w:w="1220" w:type="dxa"/>
            <w:noWrap/>
          </w:tcPr>
          <w:p w14:paraId="3A6B6B4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15.09451</w:t>
            </w:r>
          </w:p>
        </w:tc>
        <w:tc>
          <w:tcPr>
            <w:tcW w:w="999" w:type="dxa"/>
            <w:noWrap/>
          </w:tcPr>
          <w:p w14:paraId="45FE4B98"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24.34327</w:t>
            </w:r>
          </w:p>
        </w:tc>
      </w:tr>
      <w:tr w:rsidR="0050343A" w:rsidRPr="0050343A" w14:paraId="14922B62"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74A987E"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Annualized</w:t>
            </w:r>
            <w:proofErr w:type="spellEnd"/>
            <w:r w:rsidRPr="0050343A">
              <w:rPr>
                <w:rFonts w:asciiTheme="majorBidi" w:hAnsiTheme="majorBidi" w:cstheme="majorBidi" w:hint="default"/>
                <w:b w:val="0"/>
                <w:bCs w:val="0"/>
                <w:color w:val="000000"/>
                <w:sz w:val="20"/>
              </w:rPr>
              <w:t xml:space="preserve"> Sharpe Ratio (Rf=0%)</w:t>
            </w:r>
          </w:p>
        </w:tc>
        <w:tc>
          <w:tcPr>
            <w:tcW w:w="1149" w:type="dxa"/>
            <w:noWrap/>
          </w:tcPr>
          <w:p w14:paraId="33C8F7E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0.41563</w:t>
            </w:r>
          </w:p>
        </w:tc>
        <w:tc>
          <w:tcPr>
            <w:tcW w:w="1100" w:type="dxa"/>
            <w:noWrap/>
          </w:tcPr>
          <w:p w14:paraId="3FDA785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-0.43474</w:t>
            </w:r>
          </w:p>
        </w:tc>
        <w:tc>
          <w:tcPr>
            <w:tcW w:w="1240" w:type="dxa"/>
            <w:noWrap/>
          </w:tcPr>
          <w:p w14:paraId="3B474FE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0.12362</w:t>
            </w:r>
          </w:p>
        </w:tc>
        <w:tc>
          <w:tcPr>
            <w:tcW w:w="1320" w:type="dxa"/>
            <w:noWrap/>
          </w:tcPr>
          <w:p w14:paraId="39D1813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0.27943</w:t>
            </w:r>
          </w:p>
        </w:tc>
        <w:tc>
          <w:tcPr>
            <w:tcW w:w="1220" w:type="dxa"/>
            <w:noWrap/>
          </w:tcPr>
          <w:p w14:paraId="355750E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0.20035</w:t>
            </w:r>
          </w:p>
        </w:tc>
        <w:tc>
          <w:tcPr>
            <w:tcW w:w="999" w:type="dxa"/>
            <w:noWrap/>
          </w:tcPr>
          <w:p w14:paraId="71C7AF0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0.58699</w:t>
            </w:r>
          </w:p>
        </w:tc>
      </w:tr>
      <w:tr w:rsidR="0050343A" w:rsidRPr="0050343A" w14:paraId="78493241"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46971D0D"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Sortino</w:t>
            </w:r>
            <w:proofErr w:type="spellEnd"/>
            <w:r w:rsidRPr="0050343A">
              <w:rPr>
                <w:rFonts w:asciiTheme="majorBidi" w:hAnsiTheme="majorBidi" w:cstheme="majorBidi" w:hint="default"/>
                <w:b w:val="0"/>
                <w:bCs w:val="0"/>
                <w:color w:val="000000"/>
                <w:sz w:val="20"/>
              </w:rPr>
              <w:t xml:space="preserve"> Ratio (MAR=0%)</w:t>
            </w:r>
          </w:p>
        </w:tc>
        <w:tc>
          <w:tcPr>
            <w:tcW w:w="1149" w:type="dxa"/>
            <w:noWrap/>
          </w:tcPr>
          <w:p w14:paraId="2E425C6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0.04191</w:t>
            </w:r>
          </w:p>
        </w:tc>
        <w:tc>
          <w:tcPr>
            <w:tcW w:w="1100" w:type="dxa"/>
            <w:noWrap/>
          </w:tcPr>
          <w:p w14:paraId="42DEDB3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-0.03328</w:t>
            </w:r>
          </w:p>
        </w:tc>
        <w:tc>
          <w:tcPr>
            <w:tcW w:w="1240" w:type="dxa"/>
            <w:noWrap/>
          </w:tcPr>
          <w:p w14:paraId="7A8CAEF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0.02034</w:t>
            </w:r>
          </w:p>
        </w:tc>
        <w:tc>
          <w:tcPr>
            <w:tcW w:w="1320" w:type="dxa"/>
            <w:noWrap/>
          </w:tcPr>
          <w:p w14:paraId="0221E9D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0.02646</w:t>
            </w:r>
          </w:p>
        </w:tc>
        <w:tc>
          <w:tcPr>
            <w:tcW w:w="1220" w:type="dxa"/>
            <w:noWrap/>
          </w:tcPr>
          <w:p w14:paraId="6A15A7E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0.02029</w:t>
            </w:r>
          </w:p>
        </w:tc>
        <w:tc>
          <w:tcPr>
            <w:tcW w:w="999" w:type="dxa"/>
            <w:noWrap/>
          </w:tcPr>
          <w:p w14:paraId="5BD793AD"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0.05407</w:t>
            </w:r>
          </w:p>
        </w:tc>
      </w:tr>
      <w:tr w:rsidR="0050343A" w:rsidRPr="0050343A" w14:paraId="4E0761CE"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2B19E2B9"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Calmar Ratio</w:t>
            </w:r>
          </w:p>
        </w:tc>
        <w:tc>
          <w:tcPr>
            <w:tcW w:w="1149" w:type="dxa"/>
            <w:noWrap/>
          </w:tcPr>
          <w:p w14:paraId="1B1B977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0.29899</w:t>
            </w:r>
          </w:p>
        </w:tc>
        <w:tc>
          <w:tcPr>
            <w:tcW w:w="1100" w:type="dxa"/>
            <w:noWrap/>
          </w:tcPr>
          <w:p w14:paraId="0C8E9C4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-0.20500</w:t>
            </w:r>
          </w:p>
        </w:tc>
        <w:tc>
          <w:tcPr>
            <w:tcW w:w="1240" w:type="dxa"/>
            <w:noWrap/>
          </w:tcPr>
          <w:p w14:paraId="560E26C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0.08040</w:t>
            </w:r>
          </w:p>
        </w:tc>
        <w:tc>
          <w:tcPr>
            <w:tcW w:w="1320" w:type="dxa"/>
            <w:noWrap/>
          </w:tcPr>
          <w:p w14:paraId="77F2C26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0.25014</w:t>
            </w:r>
          </w:p>
        </w:tc>
        <w:tc>
          <w:tcPr>
            <w:tcW w:w="1220" w:type="dxa"/>
            <w:noWrap/>
          </w:tcPr>
          <w:p w14:paraId="371A1F3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0.13492</w:t>
            </w:r>
          </w:p>
        </w:tc>
        <w:tc>
          <w:tcPr>
            <w:tcW w:w="999" w:type="dxa"/>
            <w:noWrap/>
          </w:tcPr>
          <w:p w14:paraId="002CB42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0.42959</w:t>
            </w:r>
          </w:p>
        </w:tc>
      </w:tr>
      <w:tr w:rsidR="0050343A" w:rsidRPr="0050343A" w14:paraId="1C189BDC"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0C3FF36F"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Omega(L=0%)</w:t>
            </w:r>
          </w:p>
        </w:tc>
        <w:tc>
          <w:tcPr>
            <w:tcW w:w="1149" w:type="dxa"/>
            <w:noWrap/>
          </w:tcPr>
          <w:p w14:paraId="0C6A91C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1.10278</w:t>
            </w:r>
          </w:p>
        </w:tc>
        <w:tc>
          <w:tcPr>
            <w:tcW w:w="1100" w:type="dxa"/>
            <w:noWrap/>
          </w:tcPr>
          <w:p w14:paraId="6F67A92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0.93050</w:t>
            </w:r>
          </w:p>
        </w:tc>
        <w:tc>
          <w:tcPr>
            <w:tcW w:w="1240" w:type="dxa"/>
            <w:noWrap/>
          </w:tcPr>
          <w:p w14:paraId="76D134E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1.05897</w:t>
            </w:r>
          </w:p>
        </w:tc>
        <w:tc>
          <w:tcPr>
            <w:tcW w:w="1320" w:type="dxa"/>
            <w:noWrap/>
          </w:tcPr>
          <w:p w14:paraId="52E765F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1.05851</w:t>
            </w:r>
          </w:p>
        </w:tc>
        <w:tc>
          <w:tcPr>
            <w:tcW w:w="1220" w:type="dxa"/>
            <w:noWrap/>
          </w:tcPr>
          <w:p w14:paraId="123EE1A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1.04775</w:t>
            </w:r>
          </w:p>
        </w:tc>
        <w:tc>
          <w:tcPr>
            <w:tcW w:w="999" w:type="dxa"/>
            <w:noWrap/>
          </w:tcPr>
          <w:p w14:paraId="1162F33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1.12631</w:t>
            </w:r>
          </w:p>
        </w:tc>
      </w:tr>
      <w:tr w:rsidR="0050343A" w:rsidRPr="0050343A" w14:paraId="0F312B74"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77200077"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Turnover</w:t>
            </w:r>
          </w:p>
        </w:tc>
        <w:tc>
          <w:tcPr>
            <w:tcW w:w="1149" w:type="dxa"/>
            <w:noWrap/>
          </w:tcPr>
          <w:p w14:paraId="21BEC241" w14:textId="77777777" w:rsidR="0050343A" w:rsidRPr="0050343A" w:rsidRDefault="0050343A" w:rsidP="00593C4E">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 w:val="20"/>
              </w:rPr>
            </w:pPr>
            <w:r w:rsidRPr="0050343A">
              <w:rPr>
                <w:rFonts w:asciiTheme="majorBidi" w:hAnsiTheme="majorBidi" w:cstheme="majorBidi" w:hint="default"/>
                <w:iCs/>
                <w:color w:val="000000"/>
                <w:sz w:val="20"/>
                <w:lang w:eastAsia="zh-CN"/>
              </w:rPr>
              <w:t xml:space="preserve"> 1.26114</w:t>
            </w:r>
          </w:p>
        </w:tc>
        <w:tc>
          <w:tcPr>
            <w:tcW w:w="1100" w:type="dxa"/>
            <w:noWrap/>
          </w:tcPr>
          <w:p w14:paraId="2E2EF62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3.37643</w:t>
            </w:r>
          </w:p>
        </w:tc>
        <w:tc>
          <w:tcPr>
            <w:tcW w:w="1240" w:type="dxa"/>
            <w:noWrap/>
          </w:tcPr>
          <w:p w14:paraId="5AA70FE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10.76162</w:t>
            </w:r>
          </w:p>
        </w:tc>
        <w:tc>
          <w:tcPr>
            <w:tcW w:w="1320" w:type="dxa"/>
            <w:noWrap/>
          </w:tcPr>
          <w:p w14:paraId="561954C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4.42205</w:t>
            </w:r>
          </w:p>
        </w:tc>
        <w:tc>
          <w:tcPr>
            <w:tcW w:w="1220" w:type="dxa"/>
            <w:noWrap/>
          </w:tcPr>
          <w:p w14:paraId="24D5291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2.22921</w:t>
            </w:r>
          </w:p>
        </w:tc>
        <w:tc>
          <w:tcPr>
            <w:tcW w:w="999" w:type="dxa"/>
            <w:noWrap/>
          </w:tcPr>
          <w:p w14:paraId="2095001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6.35448</w:t>
            </w:r>
          </w:p>
        </w:tc>
      </w:tr>
    </w:tbl>
    <w:p w14:paraId="48BCAC1C" w14:textId="24B85821" w:rsidR="00EF4A4E" w:rsidRPr="00B5216D" w:rsidRDefault="0050343A" w:rsidP="00B5216D">
      <w:pPr>
        <w:tabs>
          <w:tab w:val="left" w:pos="1615"/>
        </w:tabs>
        <w:rPr>
          <w:rFonts w:asciiTheme="majorBidi" w:hAnsiTheme="majorBidi" w:cstheme="majorBidi"/>
          <w:b/>
          <w:bCs/>
          <w:lang w:val="en-US"/>
        </w:rPr>
      </w:pPr>
      <w:r w:rsidRPr="00C7360F">
        <w:rPr>
          <w:rFonts w:asciiTheme="majorBidi" w:hAnsiTheme="majorBidi" w:cstheme="majorBidi"/>
          <w:b/>
          <w:bCs/>
          <w:lang w:val="en-US"/>
        </w:rPr>
        <w:t xml:space="preserve">Table </w:t>
      </w:r>
      <w:r w:rsidR="00C7360F" w:rsidRPr="00C7360F">
        <w:rPr>
          <w:rFonts w:asciiTheme="majorBidi" w:hAnsiTheme="majorBidi" w:cstheme="majorBidi"/>
          <w:b/>
          <w:bCs/>
          <w:lang w:val="en-US"/>
        </w:rPr>
        <w:t>6</w:t>
      </w:r>
      <w:r w:rsidRPr="00C7360F">
        <w:rPr>
          <w:rFonts w:asciiTheme="majorBidi" w:hAnsiTheme="majorBidi" w:cstheme="majorBidi"/>
          <w:b/>
          <w:bCs/>
          <w:lang w:val="en-US"/>
        </w:rPr>
        <w:t>: Performance of Risk-Based Indexing Strategies with Rebalancing Every Five Trading Days (EWMA)</w:t>
      </w:r>
    </w:p>
    <w:p w14:paraId="09239A39" w14:textId="1C806EAC" w:rsidR="00593C4E" w:rsidRPr="00C7360F" w:rsidRDefault="00593C4E" w:rsidP="0050343A">
      <w:pPr>
        <w:tabs>
          <w:tab w:val="left" w:pos="1615"/>
        </w:tabs>
        <w:rPr>
          <w:rFonts w:asciiTheme="majorBidi" w:hAnsiTheme="majorBidi" w:cstheme="majorBidi"/>
          <w:b/>
          <w:bCs/>
          <w:lang w:val="en-US"/>
        </w:rPr>
      </w:pPr>
      <w:r w:rsidRPr="00C7360F">
        <w:rPr>
          <w:rFonts w:asciiTheme="majorBidi" w:hAnsiTheme="majorBidi" w:cstheme="majorBidi"/>
          <w:b/>
          <w:bCs/>
          <w:lang w:val="en-US"/>
        </w:rPr>
        <w:t xml:space="preserve">Figure 4: </w:t>
      </w:r>
      <w:r w:rsidR="00907CEF">
        <w:rPr>
          <w:rFonts w:asciiTheme="majorBidi" w:hAnsiTheme="majorBidi" w:cstheme="majorBidi"/>
          <w:b/>
          <w:bCs/>
          <w:lang w:val="en-US"/>
        </w:rPr>
        <w:t xml:space="preserve">Graph of </w:t>
      </w:r>
      <w:r w:rsidRPr="00C7360F">
        <w:rPr>
          <w:rFonts w:asciiTheme="majorBidi" w:hAnsiTheme="majorBidi" w:cstheme="majorBidi"/>
          <w:b/>
          <w:bCs/>
          <w:lang w:val="en-US"/>
        </w:rPr>
        <w:t>Performance of Risk-Based Indexing Strategies with Rebalancing Every Five Trading Days (EWMA)</w:t>
      </w:r>
    </w:p>
    <w:p w14:paraId="35E02D56" w14:textId="77777777" w:rsidR="00593C4E" w:rsidRDefault="00593C4E" w:rsidP="0050343A">
      <w:pPr>
        <w:tabs>
          <w:tab w:val="left" w:pos="1615"/>
        </w:tabs>
        <w:rPr>
          <w:rFonts w:asciiTheme="majorBidi" w:hAnsiTheme="majorBidi" w:cstheme="majorBidi"/>
          <w:lang w:val="en-US"/>
        </w:rPr>
      </w:pPr>
      <w:r>
        <w:rPr>
          <w:noProof/>
          <w:lang w:val="en-US"/>
        </w:rPr>
        <w:lastRenderedPageBreak/>
        <w:drawing>
          <wp:inline distT="0" distB="0" distL="0" distR="0" wp14:anchorId="14CBFC89" wp14:editId="70A3C0CC">
            <wp:extent cx="4858247" cy="286718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861602" cy="2869160"/>
                    </a:xfrm>
                    <a:prstGeom prst="rect">
                      <a:avLst/>
                    </a:prstGeom>
                    <a:noFill/>
                  </pic:spPr>
                </pic:pic>
              </a:graphicData>
            </a:graphic>
          </wp:inline>
        </w:drawing>
      </w:r>
    </w:p>
    <w:p w14:paraId="743811A8" w14:textId="11E8F5DA" w:rsidR="00593C4E" w:rsidRPr="00B5216D" w:rsidRDefault="00B5216D" w:rsidP="00B5216D">
      <w:pPr>
        <w:rPr>
          <w:rFonts w:asciiTheme="majorBidi" w:hAnsiTheme="majorBidi" w:cstheme="majorBidi"/>
          <w:b/>
          <w:bCs/>
          <w:sz w:val="24"/>
          <w:szCs w:val="24"/>
        </w:rPr>
      </w:pPr>
      <w:r w:rsidRPr="00B5216D">
        <w:rPr>
          <w:rFonts w:asciiTheme="majorBidi" w:hAnsiTheme="majorBidi" w:cstheme="majorBidi"/>
          <w:b/>
          <w:bCs/>
          <w:sz w:val="24"/>
          <w:szCs w:val="24"/>
          <w:lang w:val="en-US"/>
        </w:rPr>
        <w:t xml:space="preserve">                </w:t>
      </w:r>
      <w:r w:rsidRPr="000D78A9">
        <w:rPr>
          <w:rFonts w:asciiTheme="majorBidi" w:hAnsiTheme="majorBidi" w:cstheme="majorBidi"/>
          <w:b/>
          <w:bCs/>
          <w:sz w:val="24"/>
          <w:szCs w:val="24"/>
          <w:highlight w:val="yellow"/>
          <w:lang w:val="en-US"/>
        </w:rPr>
        <w:t xml:space="preserve">3.1.2 </w:t>
      </w:r>
      <w:r w:rsidRPr="000D78A9">
        <w:rPr>
          <w:rFonts w:asciiTheme="majorBidi" w:hAnsiTheme="majorBidi" w:cstheme="majorBidi"/>
          <w:b/>
          <w:bCs/>
          <w:sz w:val="24"/>
          <w:szCs w:val="24"/>
          <w:highlight w:val="yellow"/>
          <w:lang w:val="en"/>
        </w:rPr>
        <w:t>results and discussions</w:t>
      </w:r>
    </w:p>
    <w:p w14:paraId="260A5CEF" w14:textId="7E7C2AE9" w:rsidR="00593C4E" w:rsidRPr="00593C4E" w:rsidRDefault="00593C4E" w:rsidP="00593C4E">
      <w:pPr>
        <w:pStyle w:val="NormalWeb"/>
        <w:spacing w:before="0" w:beforeAutospacing="0" w:after="0" w:afterAutospacing="0" w:line="360" w:lineRule="auto"/>
        <w:jc w:val="both"/>
        <w:rPr>
          <w:sz w:val="22"/>
          <w:szCs w:val="22"/>
          <w:lang w:val="en-US"/>
        </w:rPr>
      </w:pPr>
      <w:r w:rsidRPr="008D2A40">
        <w:rPr>
          <w:rFonts w:asciiTheme="majorBidi" w:hAnsiTheme="majorBidi" w:cstheme="majorBidi"/>
          <w:sz w:val="22"/>
          <w:szCs w:val="22"/>
          <w:lang w:val="en-US"/>
        </w:rPr>
        <w:t>T</w:t>
      </w:r>
      <w:r w:rsidRPr="008D2A40">
        <w:rPr>
          <w:sz w:val="22"/>
          <w:szCs w:val="22"/>
          <w:lang w:val="en-US"/>
        </w:rPr>
        <w:t>able</w:t>
      </w:r>
      <w:r w:rsidRPr="00593C4E">
        <w:rPr>
          <w:sz w:val="22"/>
          <w:szCs w:val="22"/>
          <w:lang w:val="en-US"/>
        </w:rPr>
        <w:t xml:space="preserve">s </w:t>
      </w:r>
      <w:r w:rsidR="008D2A40">
        <w:rPr>
          <w:sz w:val="22"/>
          <w:szCs w:val="22"/>
          <w:lang w:val="en-US"/>
        </w:rPr>
        <w:t>4</w:t>
      </w:r>
      <w:r w:rsidRPr="00593C4E">
        <w:rPr>
          <w:sz w:val="22"/>
          <w:szCs w:val="22"/>
          <w:lang w:val="en-US"/>
        </w:rPr>
        <w:t xml:space="preserve"> and </w:t>
      </w:r>
      <w:r w:rsidR="008D2A40">
        <w:rPr>
          <w:sz w:val="22"/>
          <w:szCs w:val="22"/>
          <w:lang w:val="en-US"/>
        </w:rPr>
        <w:t>5</w:t>
      </w:r>
      <w:r w:rsidRPr="00593C4E">
        <w:rPr>
          <w:sz w:val="22"/>
          <w:szCs w:val="22"/>
          <w:lang w:val="en-US"/>
        </w:rPr>
        <w:t xml:space="preserve"> present the performance achieved by the ERC, PVM, MDP, IVP, MDECP, and EW portfolios across both sub-periods and using two rebalancing frequencies, all assessed using the Exponentially Weighted Moving Average (EWMA) method for risk estimation based on historical return data. A no</w:t>
      </w:r>
      <w:r w:rsidRPr="008D2A40">
        <w:rPr>
          <w:sz w:val="22"/>
          <w:szCs w:val="22"/>
          <w:lang w:val="en-US"/>
        </w:rPr>
        <w:t>table</w:t>
      </w:r>
      <w:r w:rsidRPr="00593C4E">
        <w:rPr>
          <w:sz w:val="22"/>
          <w:szCs w:val="22"/>
          <w:lang w:val="en-US"/>
        </w:rPr>
        <w:t xml:space="preserve"> observation from these </w:t>
      </w:r>
      <w:r w:rsidRPr="008D2A40">
        <w:rPr>
          <w:sz w:val="22"/>
          <w:szCs w:val="22"/>
          <w:lang w:val="en-US"/>
        </w:rPr>
        <w:t>table</w:t>
      </w:r>
      <w:r w:rsidRPr="00593C4E">
        <w:rPr>
          <w:sz w:val="22"/>
          <w:szCs w:val="22"/>
          <w:lang w:val="en-US"/>
        </w:rPr>
        <w:t>s is that during the first sub-period (pre-COVID), the Sortino ratios were consistently positive for all strategies regardless of rebalancing frequency (Daily: EW = 0.056, MVP = 0.177, ERC = 0.066, MDP = 0.145, IVP = 0.107, MDECP = 0.045). Similarly, the Omega ratios were consistently above 1 (Daily: EW = 1.111, MVP = 1.364, ERC = 1.142, MDP = 1.290, IVP = 1.211, MDECP = 1.131), indicating positive performance.</w:t>
      </w:r>
    </w:p>
    <w:p w14:paraId="769BFCE3" w14:textId="77777777" w:rsidR="00593C4E" w:rsidRPr="00593C4E" w:rsidRDefault="00593C4E" w:rsidP="00593C4E">
      <w:pPr>
        <w:spacing w:after="0" w:line="360" w:lineRule="auto"/>
        <w:jc w:val="both"/>
        <w:rPr>
          <w:rFonts w:ascii="Times New Roman" w:eastAsia="Times New Roman" w:hAnsi="Times New Roman" w:cs="Times New Roman"/>
          <w:lang w:val="en-US" w:eastAsia="fr-FR"/>
        </w:rPr>
      </w:pPr>
      <w:r w:rsidRPr="00593C4E">
        <w:rPr>
          <w:rFonts w:ascii="Times New Roman" w:eastAsia="Times New Roman" w:hAnsi="Times New Roman" w:cs="Times New Roman"/>
          <w:lang w:val="en-US" w:eastAsia="fr-FR"/>
        </w:rPr>
        <w:t>Furthermore, all strategies exhibited positive Sharpe ratios (Daily: EW = 0.592, MVP = 1.491, ERC = 0.708, MDP = 1.592, IVP = 1.180, MDECP = 0.714), indicating outperformance compared to a risk-free investment. However, the absolute performance metrics across all allocation methods were relatively modest. While both Sharpe and Sortino ratios were positive, the focus of these allocation strategies is primarily on effective risk management to limit losses while achieving significant returns.</w:t>
      </w:r>
    </w:p>
    <w:p w14:paraId="594175EB" w14:textId="77777777" w:rsidR="00593C4E" w:rsidRPr="00593C4E" w:rsidRDefault="00593C4E" w:rsidP="00593C4E">
      <w:pPr>
        <w:spacing w:after="0" w:line="360" w:lineRule="auto"/>
        <w:jc w:val="both"/>
        <w:rPr>
          <w:rFonts w:ascii="Times New Roman" w:eastAsia="Times New Roman" w:hAnsi="Times New Roman" w:cs="Times New Roman"/>
          <w:lang w:val="en-US" w:eastAsia="fr-FR"/>
        </w:rPr>
      </w:pPr>
      <w:r w:rsidRPr="00593C4E">
        <w:rPr>
          <w:rFonts w:ascii="Times New Roman" w:eastAsia="Times New Roman" w:hAnsi="Times New Roman" w:cs="Times New Roman"/>
          <w:lang w:val="en-US" w:eastAsia="fr-FR"/>
        </w:rPr>
        <w:t>This summary captures the key findings regarding the performance metrics of the different portfolios under study, providing insight into their risk-adjusted returns during the pre-COVID period.</w:t>
      </w:r>
    </w:p>
    <w:p w14:paraId="3F55901D" w14:textId="77777777" w:rsidR="00593C4E" w:rsidRDefault="00593C4E" w:rsidP="00593C4E">
      <w:pPr>
        <w:spacing w:after="0" w:line="360" w:lineRule="auto"/>
        <w:jc w:val="both"/>
        <w:rPr>
          <w:rFonts w:ascii="Times New Roman" w:eastAsia="Times New Roman" w:hAnsi="Times New Roman" w:cs="Times New Roman"/>
          <w:lang w:val="en-US" w:eastAsia="fr-FR"/>
        </w:rPr>
      </w:pPr>
      <w:r w:rsidRPr="00593C4E">
        <w:rPr>
          <w:rFonts w:ascii="Times New Roman" w:eastAsia="Times New Roman" w:hAnsi="Times New Roman" w:cs="Times New Roman"/>
          <w:lang w:val="en-US" w:eastAsia="fr-FR"/>
        </w:rPr>
        <w:t>The second sub-period, which coincided with the peak of the COVID-19 pandemic, showed the poorest performance among all strategies. The Sharpe ratios declined from (EW = 0.592, MVP = 1.491, ERC = 0.708, MDP = 1.592, IVP = 1.180, MDECP = 0.714) to (EW = 0.362, MVP = -0.475, ERC = 0.052, MDP = 0.164, IVP = 0.150, MDECP = 0.493). Additionally, the highest values of risk measures such as Maximum Drawdown (MDD) and Value-at-Risk (</w:t>
      </w:r>
      <w:proofErr w:type="spellStart"/>
      <w:r w:rsidRPr="00593C4E">
        <w:rPr>
          <w:rFonts w:ascii="Times New Roman" w:eastAsia="Times New Roman" w:hAnsi="Times New Roman" w:cs="Times New Roman"/>
          <w:lang w:val="en-US" w:eastAsia="fr-FR"/>
        </w:rPr>
        <w:t>VaR</w:t>
      </w:r>
      <w:proofErr w:type="spellEnd"/>
      <w:r w:rsidRPr="00593C4E">
        <w:rPr>
          <w:rFonts w:ascii="Times New Roman" w:eastAsia="Times New Roman" w:hAnsi="Times New Roman" w:cs="Times New Roman"/>
          <w:lang w:val="en-US" w:eastAsia="fr-FR"/>
        </w:rPr>
        <w:t xml:space="preserve">) were recorded during this period. Specifically, </w:t>
      </w:r>
      <w:proofErr w:type="spellStart"/>
      <w:r w:rsidRPr="00593C4E">
        <w:rPr>
          <w:rFonts w:ascii="Times New Roman" w:eastAsia="Times New Roman" w:hAnsi="Times New Roman" w:cs="Times New Roman"/>
          <w:lang w:val="en-US" w:eastAsia="fr-FR"/>
        </w:rPr>
        <w:t>VaR</w:t>
      </w:r>
      <w:proofErr w:type="spellEnd"/>
      <w:r w:rsidRPr="00593C4E">
        <w:rPr>
          <w:rFonts w:ascii="Times New Roman" w:eastAsia="Times New Roman" w:hAnsi="Times New Roman" w:cs="Times New Roman"/>
          <w:lang w:val="en-US" w:eastAsia="fr-FR"/>
        </w:rPr>
        <w:t xml:space="preserve"> for the EW portfolio increased from -1.260 to -2.041, for MVP from -0.381 to -0.673, for ERC from -0.938 to -1.915, for MDP from -0.412 to -0.770, for IVP from -0.577 to -0.929, and for MDECP from -1.006 to -1.634.</w:t>
      </w:r>
      <w:r>
        <w:rPr>
          <w:rFonts w:ascii="Times New Roman" w:eastAsia="Times New Roman" w:hAnsi="Times New Roman" w:cs="Times New Roman"/>
          <w:lang w:val="en-US" w:eastAsia="fr-FR"/>
        </w:rPr>
        <w:t xml:space="preserve"> </w:t>
      </w:r>
      <w:r w:rsidRPr="00593C4E">
        <w:rPr>
          <w:rFonts w:ascii="Times New Roman" w:eastAsia="Times New Roman" w:hAnsi="Times New Roman" w:cs="Times New Roman"/>
          <w:lang w:val="en-US" w:eastAsia="fr-FR"/>
        </w:rPr>
        <w:t xml:space="preserve">MVP exhibited the worst performance (Sharpe ratio = -0.43474, Sortino </w:t>
      </w:r>
      <w:r w:rsidRPr="00593C4E">
        <w:rPr>
          <w:rFonts w:ascii="Times New Roman" w:eastAsia="Times New Roman" w:hAnsi="Times New Roman" w:cs="Times New Roman"/>
          <w:lang w:val="en-US" w:eastAsia="fr-FR"/>
        </w:rPr>
        <w:lastRenderedPageBreak/>
        <w:t>ratio = -0.03328, Calmar ratio = -0.20500). These findings indicate that economic conditions significantly influence performance, and while risk-based indexing strategies mitigate the shortcomings of the mean-variance model (MVP), they do not fully protect investors against extreme risks.</w:t>
      </w:r>
      <w:r>
        <w:rPr>
          <w:rFonts w:ascii="Times New Roman" w:eastAsia="Times New Roman" w:hAnsi="Times New Roman" w:cs="Times New Roman"/>
          <w:lang w:val="en-US" w:eastAsia="fr-FR"/>
        </w:rPr>
        <w:t xml:space="preserve"> </w:t>
      </w:r>
      <w:r w:rsidRPr="00593C4E">
        <w:rPr>
          <w:rFonts w:ascii="Times New Roman" w:eastAsia="Times New Roman" w:hAnsi="Times New Roman" w:cs="Times New Roman"/>
          <w:lang w:val="en-US" w:eastAsia="fr-FR"/>
        </w:rPr>
        <w:t xml:space="preserve">Comparing the results from both </w:t>
      </w:r>
      <w:r w:rsidRPr="008D2A40">
        <w:rPr>
          <w:rFonts w:ascii="Times New Roman" w:eastAsia="Times New Roman" w:hAnsi="Times New Roman" w:cs="Times New Roman"/>
          <w:lang w:val="en-US" w:eastAsia="fr-FR"/>
        </w:rPr>
        <w:t>table</w:t>
      </w:r>
      <w:r w:rsidRPr="00593C4E">
        <w:rPr>
          <w:rFonts w:ascii="Times New Roman" w:eastAsia="Times New Roman" w:hAnsi="Times New Roman" w:cs="Times New Roman"/>
          <w:lang w:val="en-US" w:eastAsia="fr-FR"/>
        </w:rPr>
        <w:t>s reveals that the rebalancing frequency has a considerable effect on the performance and risk of the portfolios. Although better results were generally achieved with rebalancing every five trading days, the differences were relatively small. Increasing the rebalancing frequency tends to increase turnover, which significantly impacts both the performance and risk of the portfolios.</w:t>
      </w:r>
    </w:p>
    <w:p w14:paraId="508676E9" w14:textId="77777777" w:rsidR="00890F31" w:rsidRPr="00890F31" w:rsidRDefault="00890F31" w:rsidP="00890F31">
      <w:pPr>
        <w:spacing w:after="0" w:line="360" w:lineRule="auto"/>
        <w:jc w:val="both"/>
        <w:rPr>
          <w:rFonts w:ascii="Times New Roman" w:eastAsia="Times New Roman" w:hAnsi="Times New Roman" w:cs="Times New Roman"/>
          <w:lang w:val="en-US" w:eastAsia="fr-FR"/>
        </w:rPr>
      </w:pPr>
      <w:r w:rsidRPr="00890F31">
        <w:rPr>
          <w:rFonts w:ascii="Times New Roman" w:eastAsia="Times New Roman" w:hAnsi="Times New Roman" w:cs="Times New Roman"/>
          <w:lang w:val="en-US" w:eastAsia="fr-FR"/>
        </w:rPr>
        <w:t>Referring to the various performance ratios and risk measures, it appears that the portfolios ERC, PVM, MDP, IVP, and MDECP perform better than the EW portfolio. Despite the lower returns, the risk-based allocation strategies offer investors a more advantageous risk-return profile compared to simple naive diversification, in different market conditions. This contrasts with DeMiguel et al. (2009), who noted that among 14 risk-based indexing strategies, none actually outperformed the 1/N allocation.</w:t>
      </w:r>
    </w:p>
    <w:p w14:paraId="518CA255" w14:textId="0FA8D362" w:rsidR="00890F31" w:rsidRPr="00890F31" w:rsidRDefault="00890F31" w:rsidP="00890F31">
      <w:pPr>
        <w:spacing w:after="0" w:line="360" w:lineRule="auto"/>
        <w:jc w:val="both"/>
        <w:rPr>
          <w:rFonts w:ascii="Times New Roman" w:eastAsia="Times New Roman" w:hAnsi="Times New Roman" w:cs="Times New Roman"/>
          <w:lang w:val="en-US" w:eastAsia="fr-FR"/>
        </w:rPr>
      </w:pPr>
      <w:r w:rsidRPr="00890F31">
        <w:rPr>
          <w:rFonts w:ascii="Times New Roman" w:eastAsia="Times New Roman" w:hAnsi="Times New Roman" w:cs="Times New Roman"/>
          <w:lang w:val="en-US" w:eastAsia="fr-FR"/>
        </w:rPr>
        <w:t xml:space="preserve">Additionally, from </w:t>
      </w:r>
      <w:r w:rsidRPr="008D2A40">
        <w:rPr>
          <w:rFonts w:ascii="Times New Roman" w:eastAsia="Times New Roman" w:hAnsi="Times New Roman" w:cs="Times New Roman"/>
          <w:lang w:val="en-US" w:eastAsia="fr-FR"/>
        </w:rPr>
        <w:t>table</w:t>
      </w:r>
      <w:r w:rsidRPr="00890F31">
        <w:rPr>
          <w:rFonts w:ascii="Times New Roman" w:eastAsia="Times New Roman" w:hAnsi="Times New Roman" w:cs="Times New Roman"/>
          <w:lang w:val="en-US" w:eastAsia="fr-FR"/>
        </w:rPr>
        <w:t xml:space="preserve">s </w:t>
      </w:r>
      <w:r w:rsidR="008D2A40">
        <w:rPr>
          <w:rFonts w:ascii="Times New Roman" w:eastAsia="Times New Roman" w:hAnsi="Times New Roman" w:cs="Times New Roman"/>
          <w:lang w:val="en-US" w:eastAsia="fr-FR"/>
        </w:rPr>
        <w:t>4</w:t>
      </w:r>
      <w:r w:rsidRPr="00890F31">
        <w:rPr>
          <w:rFonts w:ascii="Times New Roman" w:eastAsia="Times New Roman" w:hAnsi="Times New Roman" w:cs="Times New Roman"/>
          <w:lang w:val="en-US" w:eastAsia="fr-FR"/>
        </w:rPr>
        <w:t xml:space="preserve"> and </w:t>
      </w:r>
      <w:r w:rsidR="008D2A40">
        <w:rPr>
          <w:rFonts w:ascii="Times New Roman" w:eastAsia="Times New Roman" w:hAnsi="Times New Roman" w:cs="Times New Roman"/>
          <w:lang w:val="en-US" w:eastAsia="fr-FR"/>
        </w:rPr>
        <w:t>5</w:t>
      </w:r>
      <w:r w:rsidRPr="00890F31">
        <w:rPr>
          <w:rFonts w:ascii="Times New Roman" w:eastAsia="Times New Roman" w:hAnsi="Times New Roman" w:cs="Times New Roman"/>
          <w:lang w:val="en-US" w:eastAsia="fr-FR"/>
        </w:rPr>
        <w:t xml:space="preserve">, we see that the best performance during the first sub-period was achieved by the MVP portfolio, followed successively by the MDP, IVP, MDECP, and ERC portfolios. For the second sub-period, considering the four performance ratios and the two extreme risk measures, the best performance is most often achieved by the MDP portfolio, especially in a risk context. Despite differences in variables and strategies studied, these results are consistent with findings by </w:t>
      </w:r>
      <w:proofErr w:type="spellStart"/>
      <w:r w:rsidRPr="00890F31">
        <w:rPr>
          <w:rFonts w:ascii="Times New Roman" w:eastAsia="Times New Roman" w:hAnsi="Times New Roman" w:cs="Times New Roman"/>
          <w:lang w:val="en-US" w:eastAsia="fr-FR"/>
        </w:rPr>
        <w:t>Choueifaty</w:t>
      </w:r>
      <w:proofErr w:type="spellEnd"/>
      <w:r w:rsidRPr="00890F31">
        <w:rPr>
          <w:rFonts w:ascii="Times New Roman" w:eastAsia="Times New Roman" w:hAnsi="Times New Roman" w:cs="Times New Roman"/>
          <w:lang w:val="en-US" w:eastAsia="fr-FR"/>
        </w:rPr>
        <w:t xml:space="preserve"> and </w:t>
      </w:r>
      <w:proofErr w:type="spellStart"/>
      <w:r w:rsidRPr="00890F31">
        <w:rPr>
          <w:rFonts w:ascii="Times New Roman" w:eastAsia="Times New Roman" w:hAnsi="Times New Roman" w:cs="Times New Roman"/>
          <w:lang w:val="en-US" w:eastAsia="fr-FR"/>
        </w:rPr>
        <w:t>Coignard</w:t>
      </w:r>
      <w:proofErr w:type="spellEnd"/>
      <w:r w:rsidRPr="00890F31">
        <w:rPr>
          <w:rFonts w:ascii="Times New Roman" w:eastAsia="Times New Roman" w:hAnsi="Times New Roman" w:cs="Times New Roman"/>
          <w:lang w:val="en-US" w:eastAsia="fr-FR"/>
        </w:rPr>
        <w:t xml:space="preserve"> (2008), who observed that the MDP portfolio outperformed others in terms of returns and Sharpe ratios.</w:t>
      </w:r>
    </w:p>
    <w:p w14:paraId="1B3C80FB" w14:textId="77777777" w:rsidR="00890F31" w:rsidRPr="00890F31" w:rsidRDefault="00890F31" w:rsidP="00890F31">
      <w:pPr>
        <w:spacing w:after="0" w:line="360" w:lineRule="auto"/>
        <w:jc w:val="both"/>
        <w:rPr>
          <w:rFonts w:ascii="Times New Roman" w:eastAsia="Times New Roman" w:hAnsi="Times New Roman" w:cs="Times New Roman"/>
          <w:lang w:val="en-US" w:eastAsia="fr-FR"/>
        </w:rPr>
      </w:pPr>
      <w:r w:rsidRPr="00890F31">
        <w:rPr>
          <w:rFonts w:ascii="Times New Roman" w:eastAsia="Times New Roman" w:hAnsi="Times New Roman" w:cs="Times New Roman"/>
          <w:lang w:val="en-US" w:eastAsia="fr-FR"/>
        </w:rPr>
        <w:t>However, the ERC portfolio produced the lowest performances (Sharpe ratio = 0.708) and the highest risk levels (MDD = 14.97). We can thus conclude a dominance of the MDP portfolio over the ERC, IVP, MDECP, and PVM portfolios in a crisis context, and an equivalence between the MDP and PVM portfolios in calm and low-turbulence contexts. Finally, from the turnover rates, the EW portfolio is the least active in its management, followed by the IVP, MVP, MDP, and MDECP portfolios. Conversely, the ERC portfolio requires the most significant adjustments, leading to the highest transaction fees (Turnover = 26.045).</w:t>
      </w:r>
    </w:p>
    <w:p w14:paraId="7B2CD873" w14:textId="77777777" w:rsidR="00890F31" w:rsidRPr="00890F31" w:rsidRDefault="00890F31" w:rsidP="00890F31">
      <w:pPr>
        <w:pStyle w:val="Heading3"/>
        <w:numPr>
          <w:ilvl w:val="0"/>
          <w:numId w:val="0"/>
        </w:numPr>
        <w:ind w:left="840" w:hanging="360"/>
        <w:rPr>
          <w:i/>
          <w:iCs w:val="0"/>
          <w:sz w:val="22"/>
          <w:szCs w:val="22"/>
        </w:rPr>
      </w:pPr>
      <w:r w:rsidRPr="00890F31">
        <w:rPr>
          <w:i/>
          <w:iCs w:val="0"/>
          <w:sz w:val="22"/>
          <w:szCs w:val="22"/>
        </w:rPr>
        <w:t>3.2 Estimation of the DCC Model</w:t>
      </w:r>
    </w:p>
    <w:p w14:paraId="0278A79F" w14:textId="77777777" w:rsidR="00890F31" w:rsidRPr="00EF4A4E" w:rsidRDefault="00890F31" w:rsidP="00593C4E">
      <w:pPr>
        <w:spacing w:after="0" w:line="360" w:lineRule="auto"/>
        <w:jc w:val="both"/>
        <w:rPr>
          <w:rFonts w:ascii="Times New Roman" w:eastAsia="Times New Roman" w:hAnsi="Times New Roman" w:cs="Times New Roman"/>
          <w:lang w:val="en-US" w:eastAsia="fr-FR"/>
        </w:rPr>
      </w:pPr>
      <w:r w:rsidRPr="00EF4A4E">
        <w:rPr>
          <w:rFonts w:ascii="Times New Roman" w:eastAsia="Times New Roman" w:hAnsi="Times New Roman" w:cs="Times New Roman"/>
          <w:lang w:val="en-US" w:eastAsia="fr-FR"/>
        </w:rPr>
        <w:t>As we have already indicated, optimizing a portfolio requires the use of multivariate models to examine risk-based portfolio allocation strategies. Among these models, the DCC GARCH model stands out for its efficiency and relevance in econometric studies in finance. This motivates us to utilize these models in our research.</w:t>
      </w:r>
    </w:p>
    <w:p w14:paraId="69C32B58" w14:textId="77777777" w:rsidR="00890F31" w:rsidRPr="00890F31" w:rsidRDefault="00890F31" w:rsidP="00890F31">
      <w:pPr>
        <w:pStyle w:val="NormalWeb"/>
        <w:spacing w:before="0" w:beforeAutospacing="0" w:after="0" w:afterAutospacing="0" w:line="360" w:lineRule="auto"/>
        <w:jc w:val="both"/>
        <w:rPr>
          <w:sz w:val="22"/>
          <w:szCs w:val="22"/>
          <w:lang w:val="en-US"/>
        </w:rPr>
      </w:pPr>
      <w:r w:rsidRPr="00890F31">
        <w:rPr>
          <w:sz w:val="22"/>
          <w:szCs w:val="22"/>
          <w:lang w:val="en-US"/>
        </w:rPr>
        <w:t>in our study, we employed the Dynamic Conditional Correlation (DCC-GARCH) model proposed by Engle (2002) and Tse and Tsui (2002), which allows for modeling both dynamic variances and correlations. This approach is inspired by the CCC (Constant Conditional Correlation) GARCH model and is implemented in three steps:</w:t>
      </w:r>
    </w:p>
    <w:p w14:paraId="7F62ABBB" w14:textId="77777777" w:rsidR="00890F31" w:rsidRPr="00890F31" w:rsidRDefault="00890F31" w:rsidP="00890F31">
      <w:pPr>
        <w:pStyle w:val="NormalWeb"/>
        <w:numPr>
          <w:ilvl w:val="0"/>
          <w:numId w:val="6"/>
        </w:numPr>
        <w:spacing w:before="0" w:beforeAutospacing="0" w:after="0" w:afterAutospacing="0" w:line="360" w:lineRule="auto"/>
        <w:jc w:val="both"/>
        <w:rPr>
          <w:sz w:val="22"/>
          <w:szCs w:val="22"/>
          <w:lang w:val="en-US"/>
        </w:rPr>
      </w:pPr>
      <w:r w:rsidRPr="00890F31">
        <w:rPr>
          <w:rStyle w:val="Strong"/>
          <w:sz w:val="22"/>
          <w:szCs w:val="22"/>
          <w:lang w:val="en-US"/>
        </w:rPr>
        <w:lastRenderedPageBreak/>
        <w:t>Estimation of Conditional Variance (H)</w:t>
      </w:r>
      <w:r w:rsidRPr="00890F31">
        <w:rPr>
          <w:sz w:val="22"/>
          <w:szCs w:val="22"/>
          <w:lang w:val="en-US"/>
        </w:rPr>
        <w:t>: The first step involves estimating the conditional variance (H) for each portfolio using a univariate GARCH process (which can be linear or nonlinear).</w:t>
      </w:r>
    </w:p>
    <w:p w14:paraId="076310D6" w14:textId="77777777" w:rsidR="00890F31" w:rsidRPr="00890F31" w:rsidRDefault="00890F31" w:rsidP="00890F31">
      <w:pPr>
        <w:pStyle w:val="NormalWeb"/>
        <w:numPr>
          <w:ilvl w:val="0"/>
          <w:numId w:val="6"/>
        </w:numPr>
        <w:spacing w:before="0" w:beforeAutospacing="0" w:after="0" w:afterAutospacing="0" w:line="360" w:lineRule="auto"/>
        <w:jc w:val="both"/>
        <w:rPr>
          <w:sz w:val="22"/>
          <w:szCs w:val="22"/>
          <w:lang w:val="en-US"/>
        </w:rPr>
      </w:pPr>
      <w:r w:rsidRPr="00890F31">
        <w:rPr>
          <w:rStyle w:val="Strong"/>
          <w:sz w:val="22"/>
          <w:szCs w:val="22"/>
          <w:lang w:val="en-US"/>
        </w:rPr>
        <w:t>Construction of the Diagonal Matrix</w:t>
      </w:r>
      <w:r w:rsidRPr="00890F31">
        <w:rPr>
          <w:sz w:val="22"/>
          <w:szCs w:val="22"/>
          <w:lang w:val="en-US"/>
        </w:rPr>
        <w:t>: The second step is to construct the diagonal matrix containing the previously calculated conditional variances. By taking the square root of this matrix, we obtain the matrix of conditional standard deviations, denoted as D.</w:t>
      </w:r>
    </w:p>
    <w:p w14:paraId="7E89846E" w14:textId="77777777" w:rsidR="00890F31" w:rsidRPr="00890F31" w:rsidRDefault="00890F31" w:rsidP="00890F31">
      <w:pPr>
        <w:pStyle w:val="NormalWeb"/>
        <w:numPr>
          <w:ilvl w:val="0"/>
          <w:numId w:val="6"/>
        </w:numPr>
        <w:spacing w:before="0" w:beforeAutospacing="0" w:after="0" w:afterAutospacing="0" w:line="360" w:lineRule="auto"/>
        <w:jc w:val="both"/>
        <w:rPr>
          <w:sz w:val="22"/>
          <w:szCs w:val="22"/>
        </w:rPr>
      </w:pPr>
      <w:r w:rsidRPr="00890F31">
        <w:rPr>
          <w:rStyle w:val="Strong"/>
          <w:sz w:val="22"/>
          <w:szCs w:val="22"/>
          <w:lang w:val="en-US"/>
        </w:rPr>
        <w:t>Construction of the Conditional Correlation Matrix</w:t>
      </w:r>
      <w:r w:rsidRPr="00890F31">
        <w:rPr>
          <w:sz w:val="22"/>
          <w:szCs w:val="22"/>
          <w:lang w:val="en-US"/>
        </w:rPr>
        <w:t xml:space="preserve">: Finally, the third step involves using the residuals obtained from the regressions in the first step to build the correlations in an autoregressive manner. </w:t>
      </w:r>
      <w:r w:rsidRPr="00890F31">
        <w:rPr>
          <w:sz w:val="22"/>
          <w:szCs w:val="22"/>
        </w:rPr>
        <w:t xml:space="preserve">This </w:t>
      </w:r>
      <w:proofErr w:type="spellStart"/>
      <w:r w:rsidRPr="00890F31">
        <w:rPr>
          <w:sz w:val="22"/>
          <w:szCs w:val="22"/>
        </w:rPr>
        <w:t>gives</w:t>
      </w:r>
      <w:proofErr w:type="spellEnd"/>
      <w:r w:rsidRPr="00890F31">
        <w:rPr>
          <w:sz w:val="22"/>
          <w:szCs w:val="22"/>
        </w:rPr>
        <w:t xml:space="preserve"> us a time-</w:t>
      </w:r>
      <w:proofErr w:type="spellStart"/>
      <w:r w:rsidRPr="00890F31">
        <w:rPr>
          <w:sz w:val="22"/>
          <w:szCs w:val="22"/>
        </w:rPr>
        <w:t>evolving</w:t>
      </w:r>
      <w:proofErr w:type="spellEnd"/>
      <w:r w:rsidRPr="00890F31">
        <w:rPr>
          <w:sz w:val="22"/>
          <w:szCs w:val="22"/>
        </w:rPr>
        <w:t xml:space="preserve"> </w:t>
      </w:r>
      <w:proofErr w:type="spellStart"/>
      <w:r w:rsidRPr="00890F31">
        <w:rPr>
          <w:sz w:val="22"/>
          <w:szCs w:val="22"/>
        </w:rPr>
        <w:t>conditional</w:t>
      </w:r>
      <w:proofErr w:type="spellEnd"/>
      <w:r w:rsidRPr="00890F31">
        <w:rPr>
          <w:sz w:val="22"/>
          <w:szCs w:val="22"/>
        </w:rPr>
        <w:t xml:space="preserve"> </w:t>
      </w:r>
      <w:proofErr w:type="spellStart"/>
      <w:r w:rsidRPr="00890F31">
        <w:rPr>
          <w:sz w:val="22"/>
          <w:szCs w:val="22"/>
        </w:rPr>
        <w:t>correlation</w:t>
      </w:r>
      <w:proofErr w:type="spellEnd"/>
      <w:r w:rsidRPr="00890F31">
        <w:rPr>
          <w:sz w:val="22"/>
          <w:szCs w:val="22"/>
        </w:rPr>
        <w:t xml:space="preserve"> matrix.</w:t>
      </w:r>
    </w:p>
    <w:p w14:paraId="7CAA73FB" w14:textId="77777777" w:rsidR="00890F31" w:rsidRPr="00890F31" w:rsidRDefault="00890F31" w:rsidP="00593C4E">
      <w:pPr>
        <w:spacing w:after="0" w:line="360" w:lineRule="auto"/>
        <w:jc w:val="both"/>
        <w:rPr>
          <w:rFonts w:ascii="Times New Roman" w:eastAsia="Times New Roman" w:hAnsi="Times New Roman" w:cs="Times New Roman"/>
          <w:lang w:val="en-US" w:eastAsia="fr-FR"/>
        </w:rPr>
      </w:pPr>
    </w:p>
    <w:p w14:paraId="3230667C" w14:textId="77777777" w:rsidR="00593C4E" w:rsidRDefault="00F66512" w:rsidP="00593C4E">
      <w:pPr>
        <w:tabs>
          <w:tab w:val="left" w:pos="902"/>
        </w:tabs>
        <w:rPr>
          <w:rFonts w:asciiTheme="majorBidi" w:hAnsiTheme="majorBidi" w:cstheme="majorBidi"/>
          <w:b/>
          <w:bCs/>
          <w:i/>
          <w:iCs/>
          <w:lang w:val="en-US"/>
        </w:rPr>
      </w:pPr>
      <w:r>
        <w:rPr>
          <w:rFonts w:asciiTheme="majorBidi" w:hAnsiTheme="majorBidi" w:cstheme="majorBidi"/>
          <w:b/>
          <w:bCs/>
          <w:i/>
          <w:iCs/>
          <w:lang w:val="en-US"/>
        </w:rPr>
        <w:t xml:space="preserve">             </w:t>
      </w:r>
      <w:r w:rsidRPr="00F66512">
        <w:rPr>
          <w:rFonts w:asciiTheme="majorBidi" w:hAnsiTheme="majorBidi" w:cstheme="majorBidi"/>
          <w:b/>
          <w:bCs/>
          <w:i/>
          <w:iCs/>
          <w:lang w:val="en-US"/>
        </w:rPr>
        <w:t>3.2.1 Performance of Risk-Based Indexing Strategies Following DCC-GARCH Model Estimation</w:t>
      </w:r>
    </w:p>
    <w:tbl>
      <w:tblPr>
        <w:tblStyle w:val="Trameclaire-Accent11"/>
        <w:tblW w:w="0" w:type="auto"/>
        <w:tblLayout w:type="fixed"/>
        <w:tblLook w:val="04A0" w:firstRow="1" w:lastRow="0" w:firstColumn="1" w:lastColumn="0" w:noHBand="0" w:noVBand="1"/>
      </w:tblPr>
      <w:tblGrid>
        <w:gridCol w:w="3056"/>
        <w:gridCol w:w="1186"/>
        <w:gridCol w:w="1186"/>
        <w:gridCol w:w="1159"/>
        <w:gridCol w:w="1213"/>
        <w:gridCol w:w="1186"/>
        <w:gridCol w:w="1186"/>
      </w:tblGrid>
      <w:tr w:rsidR="00F66512" w:rsidRPr="0095407B" w14:paraId="2BD13DF3" w14:textId="77777777" w:rsidTr="00F66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noWrap/>
          </w:tcPr>
          <w:p w14:paraId="05D87818" w14:textId="77777777" w:rsidR="00F66512" w:rsidRPr="00122604" w:rsidRDefault="00F66512" w:rsidP="00122604">
            <w:pPr>
              <w:jc w:val="both"/>
              <w:rPr>
                <w:rFonts w:asciiTheme="majorBidi" w:hAnsiTheme="majorBidi" w:cstheme="majorBidi" w:hint="default"/>
                <w:b w:val="0"/>
                <w:bCs w:val="0"/>
                <w:color w:val="000000"/>
                <w:lang w:val="en-US"/>
              </w:rPr>
            </w:pPr>
          </w:p>
        </w:tc>
        <w:tc>
          <w:tcPr>
            <w:tcW w:w="1186" w:type="dxa"/>
            <w:noWrap/>
          </w:tcPr>
          <w:p w14:paraId="5C83EA6A" w14:textId="77777777" w:rsidR="00F66512" w:rsidRPr="0095407B" w:rsidRDefault="00F66512" w:rsidP="00F66512">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EWP</w:t>
            </w:r>
          </w:p>
        </w:tc>
        <w:tc>
          <w:tcPr>
            <w:tcW w:w="1186" w:type="dxa"/>
            <w:noWrap/>
          </w:tcPr>
          <w:p w14:paraId="4BC4B91A" w14:textId="77777777" w:rsidR="00F66512" w:rsidRPr="0095407B" w:rsidRDefault="00F66512" w:rsidP="00F66512">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MVP</w:t>
            </w:r>
          </w:p>
        </w:tc>
        <w:tc>
          <w:tcPr>
            <w:tcW w:w="1159" w:type="dxa"/>
            <w:noWrap/>
          </w:tcPr>
          <w:p w14:paraId="54FDF70E" w14:textId="77777777" w:rsidR="00F66512" w:rsidRPr="0095407B" w:rsidRDefault="00F66512" w:rsidP="00F66512">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ERC</w:t>
            </w:r>
          </w:p>
        </w:tc>
        <w:tc>
          <w:tcPr>
            <w:tcW w:w="1213" w:type="dxa"/>
            <w:noWrap/>
          </w:tcPr>
          <w:p w14:paraId="2DFBC168" w14:textId="77777777" w:rsidR="00F66512" w:rsidRPr="0095407B" w:rsidRDefault="00F66512" w:rsidP="00F66512">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MDP</w:t>
            </w:r>
          </w:p>
        </w:tc>
        <w:tc>
          <w:tcPr>
            <w:tcW w:w="1186" w:type="dxa"/>
            <w:noWrap/>
          </w:tcPr>
          <w:p w14:paraId="2E378D25" w14:textId="77777777" w:rsidR="00F66512" w:rsidRPr="0095407B" w:rsidRDefault="00F66512" w:rsidP="00F66512">
            <w:pPr>
              <w:ind w:firstLineChars="150" w:firstLine="33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IVP</w:t>
            </w:r>
          </w:p>
        </w:tc>
        <w:tc>
          <w:tcPr>
            <w:tcW w:w="1186" w:type="dxa"/>
            <w:noWrap/>
          </w:tcPr>
          <w:p w14:paraId="242EA088" w14:textId="77777777" w:rsidR="00F66512" w:rsidRPr="0095407B" w:rsidRDefault="00F66512" w:rsidP="00F66512">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MDECP</w:t>
            </w:r>
          </w:p>
        </w:tc>
      </w:tr>
      <w:tr w:rsidR="00F66512" w:rsidRPr="0095407B" w14:paraId="33FCBDFC"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15426421"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PRE COVID</w:t>
            </w:r>
          </w:p>
        </w:tc>
        <w:tc>
          <w:tcPr>
            <w:tcW w:w="1186" w:type="dxa"/>
            <w:noWrap/>
          </w:tcPr>
          <w:p w14:paraId="2F07F917"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5FEBBC8C"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59" w:type="dxa"/>
            <w:noWrap/>
          </w:tcPr>
          <w:p w14:paraId="71AD34DA"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213" w:type="dxa"/>
            <w:noWrap/>
          </w:tcPr>
          <w:p w14:paraId="1CD181EA"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2C71A515"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1ED6DD83"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r>
      <w:tr w:rsidR="00F66512" w:rsidRPr="0095407B" w14:paraId="4C4B08A4"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2114CC2"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PF_sd</w:t>
            </w:r>
            <w:proofErr w:type="spellEnd"/>
          </w:p>
        </w:tc>
        <w:tc>
          <w:tcPr>
            <w:tcW w:w="1186" w:type="dxa"/>
            <w:noWrap/>
          </w:tcPr>
          <w:p w14:paraId="6CBA6AA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0.76278</w:t>
            </w:r>
          </w:p>
        </w:tc>
        <w:tc>
          <w:tcPr>
            <w:tcW w:w="1186" w:type="dxa"/>
            <w:noWrap/>
          </w:tcPr>
          <w:p w14:paraId="469A105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0.23973</w:t>
            </w:r>
          </w:p>
        </w:tc>
        <w:tc>
          <w:tcPr>
            <w:tcW w:w="1159" w:type="dxa"/>
            <w:noWrap/>
          </w:tcPr>
          <w:p w14:paraId="1F70ABD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0.68006</w:t>
            </w:r>
          </w:p>
        </w:tc>
        <w:tc>
          <w:tcPr>
            <w:tcW w:w="1213" w:type="dxa"/>
            <w:noWrap/>
          </w:tcPr>
          <w:p w14:paraId="407D750E"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0.28561</w:t>
            </w:r>
          </w:p>
        </w:tc>
        <w:tc>
          <w:tcPr>
            <w:tcW w:w="1186" w:type="dxa"/>
            <w:noWrap/>
          </w:tcPr>
          <w:p w14:paraId="2800700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0.37400</w:t>
            </w:r>
          </w:p>
        </w:tc>
        <w:tc>
          <w:tcPr>
            <w:tcW w:w="1186" w:type="dxa"/>
            <w:noWrap/>
          </w:tcPr>
          <w:p w14:paraId="33D6A37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0.60082</w:t>
            </w:r>
          </w:p>
        </w:tc>
      </w:tr>
      <w:tr w:rsidR="00F66512" w:rsidRPr="0095407B" w14:paraId="4B259D09"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5975CAF"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VaR</w:t>
            </w:r>
            <w:proofErr w:type="spellEnd"/>
          </w:p>
        </w:tc>
        <w:tc>
          <w:tcPr>
            <w:tcW w:w="1186" w:type="dxa"/>
            <w:noWrap/>
          </w:tcPr>
          <w:p w14:paraId="4ACB8EF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-1.26070</w:t>
            </w:r>
          </w:p>
        </w:tc>
        <w:tc>
          <w:tcPr>
            <w:tcW w:w="1186" w:type="dxa"/>
            <w:noWrap/>
          </w:tcPr>
          <w:p w14:paraId="7E39BC5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-0.38117</w:t>
            </w:r>
          </w:p>
        </w:tc>
        <w:tc>
          <w:tcPr>
            <w:tcW w:w="1159" w:type="dxa"/>
            <w:noWrap/>
          </w:tcPr>
          <w:p w14:paraId="07FBC23C"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-0.93886</w:t>
            </w:r>
          </w:p>
        </w:tc>
        <w:tc>
          <w:tcPr>
            <w:tcW w:w="1213" w:type="dxa"/>
            <w:noWrap/>
          </w:tcPr>
          <w:p w14:paraId="60571CE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-0.41262</w:t>
            </w:r>
          </w:p>
        </w:tc>
        <w:tc>
          <w:tcPr>
            <w:tcW w:w="1186" w:type="dxa"/>
            <w:noWrap/>
          </w:tcPr>
          <w:p w14:paraId="08FC06F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-0.57789</w:t>
            </w:r>
          </w:p>
        </w:tc>
        <w:tc>
          <w:tcPr>
            <w:tcW w:w="1186" w:type="dxa"/>
            <w:noWrap/>
          </w:tcPr>
          <w:p w14:paraId="47A2C9D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-1.00655</w:t>
            </w:r>
          </w:p>
        </w:tc>
      </w:tr>
      <w:tr w:rsidR="00F66512" w:rsidRPr="0095407B" w14:paraId="5D8246BC"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D0645FF"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ES</w:t>
            </w:r>
          </w:p>
        </w:tc>
        <w:tc>
          <w:tcPr>
            <w:tcW w:w="1186" w:type="dxa"/>
            <w:noWrap/>
          </w:tcPr>
          <w:p w14:paraId="74B83EC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-1.73663</w:t>
            </w:r>
          </w:p>
        </w:tc>
        <w:tc>
          <w:tcPr>
            <w:tcW w:w="1186" w:type="dxa"/>
            <w:noWrap/>
          </w:tcPr>
          <w:p w14:paraId="5B4D049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-0.51202</w:t>
            </w:r>
          </w:p>
        </w:tc>
        <w:tc>
          <w:tcPr>
            <w:tcW w:w="1159" w:type="dxa"/>
            <w:noWrap/>
          </w:tcPr>
          <w:p w14:paraId="34B562B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-1.62689</w:t>
            </w:r>
          </w:p>
        </w:tc>
        <w:tc>
          <w:tcPr>
            <w:tcW w:w="1213" w:type="dxa"/>
            <w:noWrap/>
          </w:tcPr>
          <w:p w14:paraId="2D9965E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-0.60133</w:t>
            </w:r>
          </w:p>
        </w:tc>
        <w:tc>
          <w:tcPr>
            <w:tcW w:w="1186" w:type="dxa"/>
            <w:noWrap/>
          </w:tcPr>
          <w:p w14:paraId="70E7B4D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-0.83169</w:t>
            </w:r>
          </w:p>
        </w:tc>
        <w:tc>
          <w:tcPr>
            <w:tcW w:w="1186" w:type="dxa"/>
            <w:noWrap/>
          </w:tcPr>
          <w:p w14:paraId="0412BA5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-1.39419</w:t>
            </w:r>
          </w:p>
        </w:tc>
      </w:tr>
      <w:tr w:rsidR="00F66512" w:rsidRPr="0095407B" w14:paraId="54B3A218"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69E0728F"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Worst</w:t>
            </w:r>
            <w:proofErr w:type="spellEnd"/>
            <w:r w:rsidRPr="00F66512">
              <w:rPr>
                <w:rFonts w:asciiTheme="majorBidi" w:hAnsiTheme="majorBidi" w:cstheme="majorBidi" w:hint="default"/>
                <w:b w:val="0"/>
                <w:bCs w:val="0"/>
                <w:color w:val="000000"/>
                <w:sz w:val="20"/>
                <w:szCs w:val="20"/>
              </w:rPr>
              <w:t xml:space="preserve"> </w:t>
            </w:r>
            <w:proofErr w:type="spellStart"/>
            <w:r w:rsidRPr="00F66512">
              <w:rPr>
                <w:rFonts w:asciiTheme="majorBidi" w:hAnsiTheme="majorBidi" w:cstheme="majorBidi" w:hint="default"/>
                <w:b w:val="0"/>
                <w:bCs w:val="0"/>
                <w:color w:val="000000"/>
                <w:sz w:val="20"/>
                <w:szCs w:val="20"/>
              </w:rPr>
              <w:t>Drawdown</w:t>
            </w:r>
            <w:proofErr w:type="spellEnd"/>
          </w:p>
        </w:tc>
        <w:tc>
          <w:tcPr>
            <w:tcW w:w="1186" w:type="dxa"/>
            <w:noWrap/>
          </w:tcPr>
          <w:p w14:paraId="6297D71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16.91832</w:t>
            </w:r>
          </w:p>
        </w:tc>
        <w:tc>
          <w:tcPr>
            <w:tcW w:w="1186" w:type="dxa"/>
            <w:noWrap/>
          </w:tcPr>
          <w:p w14:paraId="7623E3A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2.81790</w:t>
            </w:r>
          </w:p>
        </w:tc>
        <w:tc>
          <w:tcPr>
            <w:tcW w:w="1159" w:type="dxa"/>
            <w:noWrap/>
          </w:tcPr>
          <w:p w14:paraId="59E1440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14.97409</w:t>
            </w:r>
          </w:p>
        </w:tc>
        <w:tc>
          <w:tcPr>
            <w:tcW w:w="1213" w:type="dxa"/>
            <w:noWrap/>
          </w:tcPr>
          <w:p w14:paraId="31FB899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5.38180</w:t>
            </w:r>
          </w:p>
        </w:tc>
        <w:tc>
          <w:tcPr>
            <w:tcW w:w="1186" w:type="dxa"/>
            <w:noWrap/>
          </w:tcPr>
          <w:p w14:paraId="19DA903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8.14628</w:t>
            </w:r>
          </w:p>
        </w:tc>
        <w:tc>
          <w:tcPr>
            <w:tcW w:w="1186" w:type="dxa"/>
            <w:noWrap/>
          </w:tcPr>
          <w:p w14:paraId="70DC764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11.55781</w:t>
            </w:r>
          </w:p>
        </w:tc>
      </w:tr>
      <w:tr w:rsidR="00F66512" w:rsidRPr="0095407B" w14:paraId="4DEC227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A5E540E"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Annualized</w:t>
            </w:r>
            <w:proofErr w:type="spellEnd"/>
            <w:r w:rsidRPr="00F66512">
              <w:rPr>
                <w:rFonts w:asciiTheme="majorBidi" w:hAnsiTheme="majorBidi" w:cstheme="majorBidi" w:hint="default"/>
                <w:b w:val="0"/>
                <w:bCs w:val="0"/>
                <w:color w:val="000000"/>
                <w:sz w:val="20"/>
                <w:szCs w:val="20"/>
              </w:rPr>
              <w:t xml:space="preserve"> Sharpe Ratio (Rf=0%)</w:t>
            </w:r>
          </w:p>
        </w:tc>
        <w:tc>
          <w:tcPr>
            <w:tcW w:w="1186" w:type="dxa"/>
            <w:noWrap/>
          </w:tcPr>
          <w:p w14:paraId="5FCB4EB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0.59284</w:t>
            </w:r>
          </w:p>
        </w:tc>
        <w:tc>
          <w:tcPr>
            <w:tcW w:w="1186" w:type="dxa"/>
            <w:noWrap/>
          </w:tcPr>
          <w:p w14:paraId="1596993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1.94162</w:t>
            </w:r>
          </w:p>
        </w:tc>
        <w:tc>
          <w:tcPr>
            <w:tcW w:w="1159" w:type="dxa"/>
            <w:noWrap/>
          </w:tcPr>
          <w:p w14:paraId="4D80C6A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0.70898</w:t>
            </w:r>
          </w:p>
        </w:tc>
        <w:tc>
          <w:tcPr>
            <w:tcW w:w="1213" w:type="dxa"/>
            <w:noWrap/>
          </w:tcPr>
          <w:p w14:paraId="6052795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1.59207</w:t>
            </w:r>
          </w:p>
        </w:tc>
        <w:tc>
          <w:tcPr>
            <w:tcW w:w="1186" w:type="dxa"/>
            <w:noWrap/>
          </w:tcPr>
          <w:p w14:paraId="5705FC0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1.18052</w:t>
            </w:r>
          </w:p>
        </w:tc>
        <w:tc>
          <w:tcPr>
            <w:tcW w:w="1186" w:type="dxa"/>
            <w:noWrap/>
          </w:tcPr>
          <w:p w14:paraId="1BA2C1A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0.71479</w:t>
            </w:r>
          </w:p>
        </w:tc>
      </w:tr>
      <w:tr w:rsidR="00F66512" w:rsidRPr="0095407B" w14:paraId="693FF353"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6F25623"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Sortino</w:t>
            </w:r>
            <w:proofErr w:type="spellEnd"/>
            <w:r w:rsidRPr="00F66512">
              <w:rPr>
                <w:rFonts w:asciiTheme="majorBidi" w:hAnsiTheme="majorBidi" w:cstheme="majorBidi" w:hint="default"/>
                <w:b w:val="0"/>
                <w:bCs w:val="0"/>
                <w:color w:val="000000"/>
                <w:sz w:val="20"/>
                <w:szCs w:val="20"/>
              </w:rPr>
              <w:t xml:space="preserve"> Ratio (MAR=0%)</w:t>
            </w:r>
          </w:p>
        </w:tc>
        <w:tc>
          <w:tcPr>
            <w:tcW w:w="1186" w:type="dxa"/>
            <w:noWrap/>
          </w:tcPr>
          <w:p w14:paraId="49DF7E0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0.05668</w:t>
            </w:r>
          </w:p>
        </w:tc>
        <w:tc>
          <w:tcPr>
            <w:tcW w:w="1186" w:type="dxa"/>
            <w:noWrap/>
          </w:tcPr>
          <w:p w14:paraId="1DF33341"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0.17743</w:t>
            </w:r>
          </w:p>
        </w:tc>
        <w:tc>
          <w:tcPr>
            <w:tcW w:w="1159" w:type="dxa"/>
            <w:noWrap/>
          </w:tcPr>
          <w:p w14:paraId="1602147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0.06672</w:t>
            </w:r>
          </w:p>
        </w:tc>
        <w:tc>
          <w:tcPr>
            <w:tcW w:w="1213" w:type="dxa"/>
            <w:noWrap/>
          </w:tcPr>
          <w:p w14:paraId="68D8CB0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0.14560</w:t>
            </w:r>
          </w:p>
        </w:tc>
        <w:tc>
          <w:tcPr>
            <w:tcW w:w="1186" w:type="dxa"/>
            <w:noWrap/>
          </w:tcPr>
          <w:p w14:paraId="5FF1167E"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0.10748</w:t>
            </w:r>
          </w:p>
        </w:tc>
        <w:tc>
          <w:tcPr>
            <w:tcW w:w="1186" w:type="dxa"/>
            <w:noWrap/>
          </w:tcPr>
          <w:p w14:paraId="3EF8C8E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0.06565</w:t>
            </w:r>
          </w:p>
        </w:tc>
      </w:tr>
      <w:tr w:rsidR="00F66512" w:rsidRPr="0095407B" w14:paraId="536C1F5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556693D6"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Calmar Ratio</w:t>
            </w:r>
          </w:p>
        </w:tc>
        <w:tc>
          <w:tcPr>
            <w:tcW w:w="1186" w:type="dxa"/>
            <w:noWrap/>
          </w:tcPr>
          <w:p w14:paraId="5B426D0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0.42431</w:t>
            </w:r>
          </w:p>
        </w:tc>
        <w:tc>
          <w:tcPr>
            <w:tcW w:w="1186" w:type="dxa"/>
            <w:noWrap/>
          </w:tcPr>
          <w:p w14:paraId="1E5DA227"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2.62221</w:t>
            </w:r>
          </w:p>
        </w:tc>
        <w:tc>
          <w:tcPr>
            <w:tcW w:w="1159" w:type="dxa"/>
            <w:noWrap/>
          </w:tcPr>
          <w:p w14:paraId="0922684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0.51114</w:t>
            </w:r>
          </w:p>
        </w:tc>
        <w:tc>
          <w:tcPr>
            <w:tcW w:w="1213" w:type="dxa"/>
            <w:noWrap/>
          </w:tcPr>
          <w:p w14:paraId="0806D817"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1.34124</w:t>
            </w:r>
          </w:p>
        </w:tc>
        <w:tc>
          <w:tcPr>
            <w:tcW w:w="1186" w:type="dxa"/>
            <w:noWrap/>
          </w:tcPr>
          <w:p w14:paraId="099CA69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0.86038</w:t>
            </w:r>
          </w:p>
        </w:tc>
        <w:tc>
          <w:tcPr>
            <w:tcW w:w="1186" w:type="dxa"/>
            <w:noWrap/>
          </w:tcPr>
          <w:p w14:paraId="59B016E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0.58986</w:t>
            </w:r>
          </w:p>
        </w:tc>
      </w:tr>
      <w:tr w:rsidR="00F66512" w:rsidRPr="0095407B" w14:paraId="5BA0E3FE"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5FA607B"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Omega(L=0%)</w:t>
            </w:r>
          </w:p>
        </w:tc>
        <w:tc>
          <w:tcPr>
            <w:tcW w:w="1186" w:type="dxa"/>
            <w:noWrap/>
          </w:tcPr>
          <w:p w14:paraId="21544AC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1.11117</w:t>
            </w:r>
          </w:p>
        </w:tc>
        <w:tc>
          <w:tcPr>
            <w:tcW w:w="1186" w:type="dxa"/>
            <w:noWrap/>
          </w:tcPr>
          <w:p w14:paraId="39C5134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1.36499</w:t>
            </w:r>
          </w:p>
        </w:tc>
        <w:tc>
          <w:tcPr>
            <w:tcW w:w="1159" w:type="dxa"/>
            <w:noWrap/>
          </w:tcPr>
          <w:p w14:paraId="5880541E"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1.14282</w:t>
            </w:r>
          </w:p>
        </w:tc>
        <w:tc>
          <w:tcPr>
            <w:tcW w:w="1213" w:type="dxa"/>
            <w:noWrap/>
          </w:tcPr>
          <w:p w14:paraId="4E27E2E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1.29054</w:t>
            </w:r>
          </w:p>
        </w:tc>
        <w:tc>
          <w:tcPr>
            <w:tcW w:w="1186" w:type="dxa"/>
            <w:noWrap/>
          </w:tcPr>
          <w:p w14:paraId="6B37C5B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1.21149</w:t>
            </w:r>
          </w:p>
        </w:tc>
        <w:tc>
          <w:tcPr>
            <w:tcW w:w="1186" w:type="dxa"/>
            <w:noWrap/>
          </w:tcPr>
          <w:p w14:paraId="55A9514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1.13119</w:t>
            </w:r>
          </w:p>
        </w:tc>
      </w:tr>
      <w:tr w:rsidR="00F66512" w:rsidRPr="0095407B" w14:paraId="66E5736C"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46576C20"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Turnover</w:t>
            </w:r>
          </w:p>
        </w:tc>
        <w:tc>
          <w:tcPr>
            <w:tcW w:w="1186" w:type="dxa"/>
            <w:noWrap/>
          </w:tcPr>
          <w:p w14:paraId="22DBF433" w14:textId="77777777" w:rsidR="00F66512" w:rsidRPr="00F66512" w:rsidRDefault="00F66512" w:rsidP="00122604">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 w:val="20"/>
                <w:szCs w:val="20"/>
              </w:rPr>
            </w:pPr>
            <w:r w:rsidRPr="00F66512">
              <w:rPr>
                <w:rFonts w:asciiTheme="majorBidi" w:hAnsiTheme="majorBidi" w:cstheme="majorBidi" w:hint="default"/>
                <w:iCs/>
                <w:color w:val="000000"/>
                <w:sz w:val="20"/>
                <w:szCs w:val="20"/>
                <w:lang w:eastAsia="zh-CN"/>
              </w:rPr>
              <w:t xml:space="preserve"> 1.53053</w:t>
            </w:r>
          </w:p>
        </w:tc>
        <w:tc>
          <w:tcPr>
            <w:tcW w:w="1186" w:type="dxa"/>
            <w:noWrap/>
          </w:tcPr>
          <w:p w14:paraId="6B34039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5.01268</w:t>
            </w:r>
          </w:p>
        </w:tc>
        <w:tc>
          <w:tcPr>
            <w:tcW w:w="1159" w:type="dxa"/>
            <w:noWrap/>
          </w:tcPr>
          <w:p w14:paraId="4579D6F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26.04513</w:t>
            </w:r>
          </w:p>
        </w:tc>
        <w:tc>
          <w:tcPr>
            <w:tcW w:w="1213" w:type="dxa"/>
            <w:noWrap/>
          </w:tcPr>
          <w:p w14:paraId="6E38EDB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6.39429</w:t>
            </w:r>
          </w:p>
        </w:tc>
        <w:tc>
          <w:tcPr>
            <w:tcW w:w="1186" w:type="dxa"/>
            <w:noWrap/>
          </w:tcPr>
          <w:p w14:paraId="190373F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3.84233</w:t>
            </w:r>
          </w:p>
        </w:tc>
        <w:tc>
          <w:tcPr>
            <w:tcW w:w="1186" w:type="dxa"/>
            <w:noWrap/>
          </w:tcPr>
          <w:p w14:paraId="3484D4D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11.12609</w:t>
            </w:r>
          </w:p>
        </w:tc>
      </w:tr>
      <w:tr w:rsidR="00F66512" w:rsidRPr="0095407B" w14:paraId="39942C05"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B89EF19"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POST COVID</w:t>
            </w:r>
          </w:p>
        </w:tc>
        <w:tc>
          <w:tcPr>
            <w:tcW w:w="1186" w:type="dxa"/>
            <w:noWrap/>
          </w:tcPr>
          <w:p w14:paraId="45A64509"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16B33187"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59" w:type="dxa"/>
            <w:noWrap/>
          </w:tcPr>
          <w:p w14:paraId="737FD7EA"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213" w:type="dxa"/>
            <w:noWrap/>
          </w:tcPr>
          <w:p w14:paraId="0A8B1DFA"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1609BDF0"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0EC869EC"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r>
      <w:tr w:rsidR="00F66512" w:rsidRPr="0095407B" w14:paraId="236A57E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46998E2"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PF_sd</w:t>
            </w:r>
            <w:proofErr w:type="spellEnd"/>
          </w:p>
        </w:tc>
        <w:tc>
          <w:tcPr>
            <w:tcW w:w="1186" w:type="dxa"/>
            <w:noWrap/>
          </w:tcPr>
          <w:p w14:paraId="621ABA2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1.45473</w:t>
            </w:r>
          </w:p>
        </w:tc>
        <w:tc>
          <w:tcPr>
            <w:tcW w:w="1186" w:type="dxa"/>
            <w:noWrap/>
          </w:tcPr>
          <w:p w14:paraId="3663DF1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0.39536</w:t>
            </w:r>
          </w:p>
        </w:tc>
        <w:tc>
          <w:tcPr>
            <w:tcW w:w="1159" w:type="dxa"/>
            <w:noWrap/>
          </w:tcPr>
          <w:p w14:paraId="3071E09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1.62063</w:t>
            </w:r>
          </w:p>
        </w:tc>
        <w:tc>
          <w:tcPr>
            <w:tcW w:w="1213" w:type="dxa"/>
            <w:noWrap/>
          </w:tcPr>
          <w:p w14:paraId="1BC241B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0.48104</w:t>
            </w:r>
          </w:p>
        </w:tc>
        <w:tc>
          <w:tcPr>
            <w:tcW w:w="1186" w:type="dxa"/>
            <w:noWrap/>
          </w:tcPr>
          <w:p w14:paraId="06601E8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0.64892</w:t>
            </w:r>
          </w:p>
        </w:tc>
        <w:tc>
          <w:tcPr>
            <w:tcW w:w="1186" w:type="dxa"/>
            <w:noWrap/>
          </w:tcPr>
          <w:p w14:paraId="307F6C4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1.13258</w:t>
            </w:r>
          </w:p>
        </w:tc>
      </w:tr>
      <w:tr w:rsidR="00F66512" w:rsidRPr="0095407B" w14:paraId="7F75C290"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41BA3C63"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VaR</w:t>
            </w:r>
            <w:proofErr w:type="spellEnd"/>
          </w:p>
        </w:tc>
        <w:tc>
          <w:tcPr>
            <w:tcW w:w="1186" w:type="dxa"/>
            <w:noWrap/>
          </w:tcPr>
          <w:p w14:paraId="20AB8027"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-2.04103</w:t>
            </w:r>
          </w:p>
        </w:tc>
        <w:tc>
          <w:tcPr>
            <w:tcW w:w="1186" w:type="dxa"/>
            <w:noWrap/>
          </w:tcPr>
          <w:p w14:paraId="6E601801"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-0.67362</w:t>
            </w:r>
          </w:p>
        </w:tc>
        <w:tc>
          <w:tcPr>
            <w:tcW w:w="1159" w:type="dxa"/>
            <w:noWrap/>
          </w:tcPr>
          <w:p w14:paraId="7785D54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-1.91566</w:t>
            </w:r>
          </w:p>
        </w:tc>
        <w:tc>
          <w:tcPr>
            <w:tcW w:w="1213" w:type="dxa"/>
            <w:noWrap/>
          </w:tcPr>
          <w:p w14:paraId="6453C27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-0.77050</w:t>
            </w:r>
          </w:p>
        </w:tc>
        <w:tc>
          <w:tcPr>
            <w:tcW w:w="1186" w:type="dxa"/>
            <w:noWrap/>
          </w:tcPr>
          <w:p w14:paraId="7C57EF3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-0.92976</w:t>
            </w:r>
          </w:p>
        </w:tc>
        <w:tc>
          <w:tcPr>
            <w:tcW w:w="1186" w:type="dxa"/>
            <w:noWrap/>
          </w:tcPr>
          <w:p w14:paraId="54814D0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-1.63455</w:t>
            </w:r>
          </w:p>
        </w:tc>
      </w:tr>
      <w:tr w:rsidR="00F66512" w:rsidRPr="0095407B" w14:paraId="3C831C6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63B5FC28"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ES</w:t>
            </w:r>
          </w:p>
        </w:tc>
        <w:tc>
          <w:tcPr>
            <w:tcW w:w="1186" w:type="dxa"/>
            <w:noWrap/>
          </w:tcPr>
          <w:p w14:paraId="57976F7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-3.86598</w:t>
            </w:r>
          </w:p>
        </w:tc>
        <w:tc>
          <w:tcPr>
            <w:tcW w:w="1186" w:type="dxa"/>
            <w:noWrap/>
          </w:tcPr>
          <w:p w14:paraId="679BCF0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-1.06396</w:t>
            </w:r>
          </w:p>
        </w:tc>
        <w:tc>
          <w:tcPr>
            <w:tcW w:w="1159" w:type="dxa"/>
            <w:noWrap/>
          </w:tcPr>
          <w:p w14:paraId="5F62B64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-4.44250</w:t>
            </w:r>
          </w:p>
        </w:tc>
        <w:tc>
          <w:tcPr>
            <w:tcW w:w="1213" w:type="dxa"/>
            <w:noWrap/>
          </w:tcPr>
          <w:p w14:paraId="68F7C77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-1.28939</w:t>
            </w:r>
          </w:p>
        </w:tc>
        <w:tc>
          <w:tcPr>
            <w:tcW w:w="1186" w:type="dxa"/>
            <w:noWrap/>
          </w:tcPr>
          <w:p w14:paraId="04ABFBD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-1.73732</w:t>
            </w:r>
          </w:p>
        </w:tc>
        <w:tc>
          <w:tcPr>
            <w:tcW w:w="1186" w:type="dxa"/>
            <w:noWrap/>
          </w:tcPr>
          <w:p w14:paraId="54EA531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-2.94780</w:t>
            </w:r>
          </w:p>
        </w:tc>
      </w:tr>
      <w:tr w:rsidR="00F66512" w:rsidRPr="0095407B" w14:paraId="0B0C4A5F"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CE4B2D2"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Worst</w:t>
            </w:r>
            <w:proofErr w:type="spellEnd"/>
            <w:r w:rsidRPr="00F66512">
              <w:rPr>
                <w:rFonts w:asciiTheme="majorBidi" w:hAnsiTheme="majorBidi" w:cstheme="majorBidi" w:hint="default"/>
                <w:b w:val="0"/>
                <w:bCs w:val="0"/>
                <w:color w:val="000000"/>
                <w:sz w:val="20"/>
                <w:szCs w:val="20"/>
              </w:rPr>
              <w:t xml:space="preserve"> </w:t>
            </w:r>
            <w:proofErr w:type="spellStart"/>
            <w:r w:rsidRPr="00F66512">
              <w:rPr>
                <w:rFonts w:asciiTheme="majorBidi" w:hAnsiTheme="majorBidi" w:cstheme="majorBidi" w:hint="default"/>
                <w:b w:val="0"/>
                <w:bCs w:val="0"/>
                <w:color w:val="000000"/>
                <w:sz w:val="20"/>
                <w:szCs w:val="20"/>
              </w:rPr>
              <w:t>Drawdown</w:t>
            </w:r>
            <w:proofErr w:type="spellEnd"/>
          </w:p>
        </w:tc>
        <w:tc>
          <w:tcPr>
            <w:tcW w:w="1186" w:type="dxa"/>
            <w:noWrap/>
          </w:tcPr>
          <w:p w14:paraId="3CACE64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31.35889</w:t>
            </w:r>
          </w:p>
        </w:tc>
        <w:tc>
          <w:tcPr>
            <w:tcW w:w="1186" w:type="dxa"/>
            <w:noWrap/>
          </w:tcPr>
          <w:p w14:paraId="5009F56C"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13.13527</w:t>
            </w:r>
          </w:p>
        </w:tc>
        <w:tc>
          <w:tcPr>
            <w:tcW w:w="1159" w:type="dxa"/>
            <w:noWrap/>
          </w:tcPr>
          <w:p w14:paraId="291917B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40.28738</w:t>
            </w:r>
          </w:p>
        </w:tc>
        <w:tc>
          <w:tcPr>
            <w:tcW w:w="1213" w:type="dxa"/>
            <w:noWrap/>
          </w:tcPr>
          <w:p w14:paraId="42AF750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8.56052</w:t>
            </w:r>
          </w:p>
        </w:tc>
        <w:tc>
          <w:tcPr>
            <w:tcW w:w="1186" w:type="dxa"/>
            <w:noWrap/>
          </w:tcPr>
          <w:p w14:paraId="6029C4E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15.73593</w:t>
            </w:r>
          </w:p>
        </w:tc>
        <w:tc>
          <w:tcPr>
            <w:tcW w:w="1186" w:type="dxa"/>
            <w:noWrap/>
          </w:tcPr>
          <w:p w14:paraId="3D734AE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23.55396</w:t>
            </w:r>
          </w:p>
        </w:tc>
      </w:tr>
      <w:tr w:rsidR="00F66512" w:rsidRPr="0095407B" w14:paraId="6DA8E2AD"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18DCD90"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Annualized</w:t>
            </w:r>
            <w:proofErr w:type="spellEnd"/>
            <w:r w:rsidRPr="00F66512">
              <w:rPr>
                <w:rFonts w:asciiTheme="majorBidi" w:hAnsiTheme="majorBidi" w:cstheme="majorBidi" w:hint="default"/>
                <w:b w:val="0"/>
                <w:bCs w:val="0"/>
                <w:color w:val="000000"/>
                <w:sz w:val="20"/>
                <w:szCs w:val="20"/>
              </w:rPr>
              <w:t xml:space="preserve"> Sharpe Ratio (Rf=0%)</w:t>
            </w:r>
          </w:p>
        </w:tc>
        <w:tc>
          <w:tcPr>
            <w:tcW w:w="1186" w:type="dxa"/>
            <w:noWrap/>
          </w:tcPr>
          <w:p w14:paraId="6814103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0.36206</w:t>
            </w:r>
          </w:p>
        </w:tc>
        <w:tc>
          <w:tcPr>
            <w:tcW w:w="1186" w:type="dxa"/>
            <w:noWrap/>
          </w:tcPr>
          <w:p w14:paraId="64BECE0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-0.47538</w:t>
            </w:r>
          </w:p>
        </w:tc>
        <w:tc>
          <w:tcPr>
            <w:tcW w:w="1159" w:type="dxa"/>
            <w:noWrap/>
          </w:tcPr>
          <w:p w14:paraId="06F3617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0.05266</w:t>
            </w:r>
          </w:p>
        </w:tc>
        <w:tc>
          <w:tcPr>
            <w:tcW w:w="1213" w:type="dxa"/>
            <w:noWrap/>
          </w:tcPr>
          <w:p w14:paraId="41EE505E"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0.16427</w:t>
            </w:r>
          </w:p>
        </w:tc>
        <w:tc>
          <w:tcPr>
            <w:tcW w:w="1186" w:type="dxa"/>
            <w:noWrap/>
          </w:tcPr>
          <w:p w14:paraId="6E8E0CF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0.15006</w:t>
            </w:r>
          </w:p>
        </w:tc>
        <w:tc>
          <w:tcPr>
            <w:tcW w:w="1186" w:type="dxa"/>
            <w:noWrap/>
          </w:tcPr>
          <w:p w14:paraId="5A93A83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0.49392</w:t>
            </w:r>
          </w:p>
        </w:tc>
      </w:tr>
      <w:tr w:rsidR="00F66512" w:rsidRPr="0095407B" w14:paraId="5AA4BB5A"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30CF67F"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Sortino</w:t>
            </w:r>
            <w:proofErr w:type="spellEnd"/>
            <w:r w:rsidRPr="00F66512">
              <w:rPr>
                <w:rFonts w:asciiTheme="majorBidi" w:hAnsiTheme="majorBidi" w:cstheme="majorBidi" w:hint="default"/>
                <w:b w:val="0"/>
                <w:bCs w:val="0"/>
                <w:color w:val="000000"/>
                <w:sz w:val="20"/>
                <w:szCs w:val="20"/>
              </w:rPr>
              <w:t xml:space="preserve"> Ratio (MAR=0%)</w:t>
            </w:r>
          </w:p>
        </w:tc>
        <w:tc>
          <w:tcPr>
            <w:tcW w:w="1186" w:type="dxa"/>
            <w:noWrap/>
          </w:tcPr>
          <w:p w14:paraId="23590C21"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0.03785</w:t>
            </w:r>
          </w:p>
        </w:tc>
        <w:tc>
          <w:tcPr>
            <w:tcW w:w="1186" w:type="dxa"/>
            <w:noWrap/>
          </w:tcPr>
          <w:p w14:paraId="2A3304F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-0.03673</w:t>
            </w:r>
          </w:p>
        </w:tc>
        <w:tc>
          <w:tcPr>
            <w:tcW w:w="1159" w:type="dxa"/>
            <w:noWrap/>
          </w:tcPr>
          <w:p w14:paraId="025334D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0.01463</w:t>
            </w:r>
          </w:p>
        </w:tc>
        <w:tc>
          <w:tcPr>
            <w:tcW w:w="1213" w:type="dxa"/>
            <w:noWrap/>
          </w:tcPr>
          <w:p w14:paraId="4D1E7777"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0.01684</w:t>
            </w:r>
          </w:p>
        </w:tc>
        <w:tc>
          <w:tcPr>
            <w:tcW w:w="1186" w:type="dxa"/>
            <w:noWrap/>
          </w:tcPr>
          <w:p w14:paraId="24D9F0E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0.01620</w:t>
            </w:r>
          </w:p>
        </w:tc>
        <w:tc>
          <w:tcPr>
            <w:tcW w:w="1186" w:type="dxa"/>
            <w:noWrap/>
          </w:tcPr>
          <w:p w14:paraId="57FB317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0.04669</w:t>
            </w:r>
          </w:p>
        </w:tc>
      </w:tr>
      <w:tr w:rsidR="00F66512" w:rsidRPr="0095407B" w14:paraId="64207EA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CB45CD5"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Calmar Ratio</w:t>
            </w:r>
          </w:p>
        </w:tc>
        <w:tc>
          <w:tcPr>
            <w:tcW w:w="1186" w:type="dxa"/>
            <w:noWrap/>
          </w:tcPr>
          <w:p w14:paraId="2E5A623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0.26663</w:t>
            </w:r>
          </w:p>
        </w:tc>
        <w:tc>
          <w:tcPr>
            <w:tcW w:w="1186" w:type="dxa"/>
            <w:noWrap/>
          </w:tcPr>
          <w:p w14:paraId="5C76EE8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-0.22714</w:t>
            </w:r>
          </w:p>
        </w:tc>
        <w:tc>
          <w:tcPr>
            <w:tcW w:w="1159" w:type="dxa"/>
            <w:noWrap/>
          </w:tcPr>
          <w:p w14:paraId="59A8EE3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0.03363</w:t>
            </w:r>
          </w:p>
        </w:tc>
        <w:tc>
          <w:tcPr>
            <w:tcW w:w="1213" w:type="dxa"/>
            <w:noWrap/>
          </w:tcPr>
          <w:p w14:paraId="40C7403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0.14654</w:t>
            </w:r>
          </w:p>
        </w:tc>
        <w:tc>
          <w:tcPr>
            <w:tcW w:w="1186" w:type="dxa"/>
            <w:noWrap/>
          </w:tcPr>
          <w:p w14:paraId="36F688F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0.09823</w:t>
            </w:r>
          </w:p>
        </w:tc>
        <w:tc>
          <w:tcPr>
            <w:tcW w:w="1186" w:type="dxa"/>
            <w:noWrap/>
          </w:tcPr>
          <w:p w14:paraId="2AF06A0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0.37702</w:t>
            </w:r>
          </w:p>
        </w:tc>
      </w:tr>
      <w:tr w:rsidR="00F66512" w:rsidRPr="0095407B" w14:paraId="2A57B404"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4DA702DD" w14:textId="77777777" w:rsidR="00F66512" w:rsidRPr="00F66512" w:rsidRDefault="00F66512" w:rsidP="00122604">
            <w:pPr>
              <w:jc w:val="both"/>
              <w:rPr>
                <w:rFonts w:asciiTheme="majorBidi" w:hAnsiTheme="majorBidi" w:cstheme="majorBidi" w:hint="default"/>
                <w:color w:val="000000"/>
                <w:sz w:val="20"/>
                <w:szCs w:val="20"/>
              </w:rPr>
            </w:pPr>
          </w:p>
        </w:tc>
        <w:tc>
          <w:tcPr>
            <w:tcW w:w="1186" w:type="dxa"/>
            <w:noWrap/>
          </w:tcPr>
          <w:p w14:paraId="1B25B55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10AAE1B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59" w:type="dxa"/>
            <w:noWrap/>
          </w:tcPr>
          <w:p w14:paraId="06A2D14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213" w:type="dxa"/>
            <w:noWrap/>
          </w:tcPr>
          <w:p w14:paraId="2F442EF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65C9C7B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08FE999C"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r>
      <w:tr w:rsidR="00F66512" w:rsidRPr="0095407B" w14:paraId="4F102CD4"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1A1B5BA"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Omega(L=0%)</w:t>
            </w:r>
          </w:p>
        </w:tc>
        <w:tc>
          <w:tcPr>
            <w:tcW w:w="1186" w:type="dxa"/>
            <w:noWrap/>
          </w:tcPr>
          <w:p w14:paraId="33C563D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1.09309</w:t>
            </w:r>
          </w:p>
        </w:tc>
        <w:tc>
          <w:tcPr>
            <w:tcW w:w="1186" w:type="dxa"/>
            <w:noWrap/>
          </w:tcPr>
          <w:p w14:paraId="3694A6B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0.92244</w:t>
            </w:r>
          </w:p>
        </w:tc>
        <w:tc>
          <w:tcPr>
            <w:tcW w:w="1159" w:type="dxa"/>
            <w:noWrap/>
          </w:tcPr>
          <w:p w14:paraId="7FCDB8B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1.04259</w:t>
            </w:r>
          </w:p>
        </w:tc>
        <w:tc>
          <w:tcPr>
            <w:tcW w:w="1213" w:type="dxa"/>
            <w:noWrap/>
          </w:tcPr>
          <w:p w14:paraId="123496B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1.03785</w:t>
            </w:r>
          </w:p>
        </w:tc>
        <w:tc>
          <w:tcPr>
            <w:tcW w:w="1186" w:type="dxa"/>
            <w:noWrap/>
          </w:tcPr>
          <w:p w14:paraId="068751C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1.03880</w:t>
            </w:r>
          </w:p>
        </w:tc>
        <w:tc>
          <w:tcPr>
            <w:tcW w:w="1186" w:type="dxa"/>
            <w:noWrap/>
          </w:tcPr>
          <w:p w14:paraId="10595B4C"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1.11081</w:t>
            </w:r>
          </w:p>
        </w:tc>
      </w:tr>
      <w:tr w:rsidR="00F66512" w:rsidRPr="0095407B" w14:paraId="4CE5C0CD" w14:textId="77777777" w:rsidTr="00C7360F">
        <w:trPr>
          <w:trHeight w:val="268"/>
        </w:trPr>
        <w:tc>
          <w:tcPr>
            <w:cnfStyle w:val="001000000000" w:firstRow="0" w:lastRow="0" w:firstColumn="1" w:lastColumn="0" w:oddVBand="0" w:evenVBand="0" w:oddHBand="0" w:evenHBand="0" w:firstRowFirstColumn="0" w:firstRowLastColumn="0" w:lastRowFirstColumn="0" w:lastRowLastColumn="0"/>
            <w:tcW w:w="3056" w:type="dxa"/>
            <w:noWrap/>
          </w:tcPr>
          <w:p w14:paraId="3A94A006"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Turnover</w:t>
            </w:r>
          </w:p>
        </w:tc>
        <w:tc>
          <w:tcPr>
            <w:tcW w:w="1186" w:type="dxa"/>
            <w:noWrap/>
          </w:tcPr>
          <w:p w14:paraId="72CBEC4E" w14:textId="77777777" w:rsidR="00F66512" w:rsidRPr="00F66512" w:rsidRDefault="00F66512" w:rsidP="00122604">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 w:val="20"/>
                <w:szCs w:val="20"/>
              </w:rPr>
            </w:pPr>
            <w:r w:rsidRPr="00F66512">
              <w:rPr>
                <w:rFonts w:asciiTheme="majorBidi" w:hAnsiTheme="majorBidi" w:cstheme="majorBidi" w:hint="default"/>
                <w:iCs/>
                <w:color w:val="000000"/>
                <w:sz w:val="20"/>
                <w:szCs w:val="20"/>
                <w:lang w:eastAsia="zh-CN"/>
              </w:rPr>
              <w:t xml:space="preserve"> 2.68476</w:t>
            </w:r>
          </w:p>
        </w:tc>
        <w:tc>
          <w:tcPr>
            <w:tcW w:w="1186" w:type="dxa"/>
            <w:noWrap/>
          </w:tcPr>
          <w:p w14:paraId="14355C4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7.02624</w:t>
            </w:r>
          </w:p>
        </w:tc>
        <w:tc>
          <w:tcPr>
            <w:tcW w:w="1159" w:type="dxa"/>
            <w:noWrap/>
          </w:tcPr>
          <w:p w14:paraId="5E21F80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18.40673</w:t>
            </w:r>
          </w:p>
        </w:tc>
        <w:tc>
          <w:tcPr>
            <w:tcW w:w="1213" w:type="dxa"/>
            <w:noWrap/>
          </w:tcPr>
          <w:p w14:paraId="5834A4B1"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8.69641</w:t>
            </w:r>
          </w:p>
        </w:tc>
        <w:tc>
          <w:tcPr>
            <w:tcW w:w="1186" w:type="dxa"/>
            <w:noWrap/>
          </w:tcPr>
          <w:p w14:paraId="769F021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4.58153</w:t>
            </w:r>
          </w:p>
        </w:tc>
        <w:tc>
          <w:tcPr>
            <w:tcW w:w="1186" w:type="dxa"/>
            <w:noWrap/>
          </w:tcPr>
          <w:p w14:paraId="4D1F82B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13.32260</w:t>
            </w:r>
          </w:p>
        </w:tc>
      </w:tr>
    </w:tbl>
    <w:p w14:paraId="25226605" w14:textId="410B064B" w:rsidR="00F66512" w:rsidRPr="001E1E51" w:rsidRDefault="00F66512" w:rsidP="00593C4E">
      <w:pPr>
        <w:tabs>
          <w:tab w:val="left" w:pos="902"/>
        </w:tabs>
        <w:rPr>
          <w:rFonts w:asciiTheme="majorBidi" w:hAnsiTheme="majorBidi" w:cstheme="majorBidi"/>
          <w:b/>
          <w:bCs/>
          <w:i/>
          <w:iCs/>
          <w:lang w:val="en-US"/>
        </w:rPr>
      </w:pPr>
      <w:r w:rsidRPr="001E1E51">
        <w:rPr>
          <w:rFonts w:asciiTheme="majorBidi" w:hAnsiTheme="majorBidi" w:cstheme="majorBidi"/>
          <w:b/>
          <w:bCs/>
          <w:i/>
          <w:iCs/>
          <w:lang w:val="en-US"/>
        </w:rPr>
        <w:t xml:space="preserve">Table </w:t>
      </w:r>
      <w:proofErr w:type="gramStart"/>
      <w:r w:rsidR="00C7360F" w:rsidRPr="001E1E51">
        <w:rPr>
          <w:rFonts w:asciiTheme="majorBidi" w:hAnsiTheme="majorBidi" w:cstheme="majorBidi"/>
          <w:b/>
          <w:bCs/>
          <w:i/>
          <w:iCs/>
          <w:lang w:val="en-US"/>
        </w:rPr>
        <w:t>7</w:t>
      </w:r>
      <w:r w:rsidRPr="001E1E51">
        <w:rPr>
          <w:rFonts w:asciiTheme="majorBidi" w:hAnsiTheme="majorBidi" w:cstheme="majorBidi"/>
          <w:b/>
          <w:bCs/>
          <w:i/>
          <w:iCs/>
          <w:lang w:val="en-US"/>
        </w:rPr>
        <w:t xml:space="preserve"> :</w:t>
      </w:r>
      <w:proofErr w:type="gramEnd"/>
      <w:r w:rsidRPr="001E1E51">
        <w:rPr>
          <w:rFonts w:asciiTheme="majorBidi" w:hAnsiTheme="majorBidi" w:cstheme="majorBidi"/>
          <w:b/>
          <w:bCs/>
          <w:lang w:val="en-US"/>
        </w:rPr>
        <w:t xml:space="preserve"> Performance of Risk-based Indexation Strategies with Daily Rebalancing (DCC-GARCH)</w:t>
      </w:r>
    </w:p>
    <w:p w14:paraId="33B096B9" w14:textId="77777777" w:rsidR="00F66512" w:rsidRDefault="00F66512" w:rsidP="00593C4E">
      <w:pPr>
        <w:tabs>
          <w:tab w:val="left" w:pos="902"/>
        </w:tabs>
        <w:rPr>
          <w:rFonts w:asciiTheme="majorBidi" w:hAnsiTheme="majorBidi" w:cstheme="majorBidi"/>
          <w:b/>
          <w:bCs/>
          <w:i/>
          <w:iCs/>
          <w:lang w:val="en-US"/>
        </w:rPr>
      </w:pPr>
    </w:p>
    <w:p w14:paraId="189306EF" w14:textId="77777777" w:rsidR="00F66512" w:rsidRDefault="00F66512" w:rsidP="00593C4E">
      <w:pPr>
        <w:tabs>
          <w:tab w:val="left" w:pos="902"/>
        </w:tabs>
        <w:rPr>
          <w:rFonts w:asciiTheme="majorBidi" w:hAnsiTheme="majorBidi" w:cstheme="majorBidi"/>
          <w:b/>
          <w:bCs/>
          <w:i/>
          <w:iCs/>
          <w:lang w:val="en-US"/>
        </w:rPr>
      </w:pPr>
    </w:p>
    <w:p w14:paraId="5B7DBC7D" w14:textId="77777777" w:rsidR="00F66512" w:rsidRDefault="00F66512" w:rsidP="00593C4E">
      <w:pPr>
        <w:tabs>
          <w:tab w:val="left" w:pos="902"/>
        </w:tabs>
        <w:rPr>
          <w:rFonts w:asciiTheme="majorBidi" w:hAnsiTheme="majorBidi" w:cstheme="majorBidi"/>
          <w:b/>
          <w:bCs/>
          <w:i/>
          <w:iCs/>
          <w:lang w:val="en-US"/>
        </w:rPr>
      </w:pPr>
    </w:p>
    <w:p w14:paraId="01B4F40F" w14:textId="77777777" w:rsidR="00F66512" w:rsidRDefault="00F66512" w:rsidP="00593C4E">
      <w:pPr>
        <w:tabs>
          <w:tab w:val="left" w:pos="902"/>
        </w:tabs>
        <w:rPr>
          <w:rFonts w:asciiTheme="majorBidi" w:hAnsiTheme="majorBidi" w:cstheme="majorBidi"/>
          <w:b/>
          <w:bCs/>
          <w:i/>
          <w:iCs/>
          <w:lang w:val="en-US"/>
        </w:rPr>
      </w:pPr>
    </w:p>
    <w:p w14:paraId="1603A577" w14:textId="77777777" w:rsidR="00F66512" w:rsidRDefault="00F66512" w:rsidP="00593C4E">
      <w:pPr>
        <w:tabs>
          <w:tab w:val="left" w:pos="902"/>
        </w:tabs>
        <w:rPr>
          <w:rFonts w:asciiTheme="majorBidi" w:hAnsiTheme="majorBidi" w:cstheme="majorBidi"/>
          <w:b/>
          <w:bCs/>
          <w:i/>
          <w:iCs/>
          <w:lang w:val="en-US"/>
        </w:rPr>
      </w:pPr>
    </w:p>
    <w:p w14:paraId="24EF7AAF" w14:textId="28029E81" w:rsidR="00F66512" w:rsidRPr="001E1E51" w:rsidRDefault="00F66512" w:rsidP="00593C4E">
      <w:pPr>
        <w:tabs>
          <w:tab w:val="left" w:pos="902"/>
        </w:tabs>
        <w:rPr>
          <w:rFonts w:asciiTheme="majorBidi" w:hAnsiTheme="majorBidi" w:cstheme="majorBidi"/>
          <w:b/>
          <w:bCs/>
          <w:lang w:val="en-US"/>
        </w:rPr>
      </w:pPr>
      <w:r w:rsidRPr="001E1E51">
        <w:rPr>
          <w:rFonts w:asciiTheme="majorBidi" w:hAnsiTheme="majorBidi" w:cstheme="majorBidi"/>
          <w:b/>
          <w:bCs/>
          <w:lang w:val="en-US"/>
        </w:rPr>
        <w:t>Figure 5 :</w:t>
      </w:r>
      <w:r w:rsidR="00163FB6">
        <w:rPr>
          <w:rFonts w:asciiTheme="majorBidi" w:hAnsiTheme="majorBidi" w:cstheme="majorBidi"/>
          <w:b/>
          <w:bCs/>
          <w:lang w:val="en-US"/>
        </w:rPr>
        <w:t xml:space="preserve"> Graph of</w:t>
      </w:r>
      <w:r w:rsidR="00907CEF">
        <w:rPr>
          <w:rFonts w:asciiTheme="majorBidi" w:hAnsiTheme="majorBidi" w:cstheme="majorBidi"/>
          <w:b/>
          <w:bCs/>
          <w:lang w:val="en-US"/>
        </w:rPr>
        <w:t xml:space="preserve"> </w:t>
      </w:r>
      <w:r w:rsidR="00163FB6">
        <w:rPr>
          <w:rFonts w:asciiTheme="majorBidi" w:hAnsiTheme="majorBidi" w:cstheme="majorBidi"/>
          <w:b/>
          <w:bCs/>
          <w:lang w:val="en-US"/>
        </w:rPr>
        <w:t>t</w:t>
      </w:r>
      <w:bookmarkStart w:id="1" w:name="_GoBack"/>
      <w:bookmarkEnd w:id="1"/>
      <w:r w:rsidRPr="001E1E51">
        <w:rPr>
          <w:rFonts w:asciiTheme="majorBidi" w:hAnsiTheme="majorBidi" w:cstheme="majorBidi"/>
          <w:b/>
          <w:bCs/>
          <w:lang w:val="en-US"/>
        </w:rPr>
        <w:t>he performance of risk-based indexing strategies with daily rebalancing using the DCC-GARCH model</w:t>
      </w:r>
    </w:p>
    <w:p w14:paraId="12425BC0" w14:textId="77777777" w:rsidR="000A6289" w:rsidRPr="00EF4A4E" w:rsidRDefault="00F66512" w:rsidP="00EF4A4E">
      <w:pPr>
        <w:tabs>
          <w:tab w:val="left" w:pos="902"/>
        </w:tabs>
        <w:rPr>
          <w:rFonts w:asciiTheme="majorBidi" w:hAnsiTheme="majorBidi" w:cstheme="majorBidi"/>
          <w:b/>
          <w:bCs/>
          <w:i/>
          <w:iCs/>
          <w:lang w:val="en-US"/>
        </w:rPr>
      </w:pPr>
      <w:r>
        <w:rPr>
          <w:noProof/>
          <w:lang w:val="en-US"/>
        </w:rPr>
        <w:lastRenderedPageBreak/>
        <w:drawing>
          <wp:inline distT="0" distB="0" distL="0" distR="0" wp14:anchorId="552858AE" wp14:editId="07DEEDBF">
            <wp:extent cx="5001371" cy="2948690"/>
            <wp:effectExtent l="0" t="0" r="8890" b="4445"/>
            <wp:docPr id="174" name="Image 174" descr="C:\Users\NewTek\AppData\Local\Temp\ksohtml3208\wps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 174" descr="C:\Users\NewTek\AppData\Local\Temp\ksohtml3208\wps174.jpg"/>
                    <pic:cNvPicPr>
                      <a:picLocks noChangeAspect="1" noChangeArrowheads="1"/>
                    </pic:cNvPicPr>
                  </pic:nvPicPr>
                  <pic:blipFill>
                    <a:blip r:embed="rId24"/>
                    <a:srcRect/>
                    <a:stretch>
                      <a:fillRect/>
                    </a:stretch>
                  </pic:blipFill>
                  <pic:spPr>
                    <a:xfrm>
                      <a:off x="0" y="0"/>
                      <a:ext cx="5004824" cy="2950726"/>
                    </a:xfrm>
                    <a:prstGeom prst="rect">
                      <a:avLst/>
                    </a:prstGeom>
                    <a:noFill/>
                    <a:ln w="9525">
                      <a:noFill/>
                      <a:miter lim="800000"/>
                      <a:headEnd/>
                      <a:tailEnd/>
                    </a:ln>
                  </pic:spPr>
                </pic:pic>
              </a:graphicData>
            </a:graphic>
          </wp:inline>
        </w:drawing>
      </w:r>
    </w:p>
    <w:tbl>
      <w:tblPr>
        <w:tblStyle w:val="Trameclaire-Accent13"/>
        <w:tblW w:w="10348" w:type="dxa"/>
        <w:tblLayout w:type="fixed"/>
        <w:tblLook w:val="04A0" w:firstRow="1" w:lastRow="0" w:firstColumn="1" w:lastColumn="0" w:noHBand="0" w:noVBand="1"/>
      </w:tblPr>
      <w:tblGrid>
        <w:gridCol w:w="3178"/>
        <w:gridCol w:w="1149"/>
        <w:gridCol w:w="1100"/>
        <w:gridCol w:w="1240"/>
        <w:gridCol w:w="1320"/>
        <w:gridCol w:w="1220"/>
        <w:gridCol w:w="1141"/>
      </w:tblGrid>
      <w:tr w:rsidR="000A6289" w:rsidRPr="0095407B" w14:paraId="4700D093" w14:textId="77777777" w:rsidTr="00EF4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dxa"/>
            <w:noWrap/>
          </w:tcPr>
          <w:p w14:paraId="16C695DE" w14:textId="77777777" w:rsidR="000A6289" w:rsidRPr="0095407B" w:rsidRDefault="000A6289" w:rsidP="00122604">
            <w:pPr>
              <w:jc w:val="both"/>
              <w:rPr>
                <w:rFonts w:asciiTheme="majorBidi" w:hAnsiTheme="majorBidi" w:cstheme="majorBidi" w:hint="default"/>
                <w:b w:val="0"/>
                <w:bCs w:val="0"/>
                <w:color w:val="000000"/>
                <w:szCs w:val="24"/>
              </w:rPr>
            </w:pPr>
          </w:p>
        </w:tc>
        <w:tc>
          <w:tcPr>
            <w:tcW w:w="1149" w:type="dxa"/>
            <w:noWrap/>
          </w:tcPr>
          <w:p w14:paraId="5B701334" w14:textId="77777777" w:rsidR="000A6289" w:rsidRPr="0095407B" w:rsidRDefault="000A6289" w:rsidP="000A6289">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EWP</w:t>
            </w:r>
          </w:p>
        </w:tc>
        <w:tc>
          <w:tcPr>
            <w:tcW w:w="1100" w:type="dxa"/>
            <w:noWrap/>
          </w:tcPr>
          <w:p w14:paraId="759D9C83" w14:textId="77777777" w:rsidR="000A6289" w:rsidRPr="0095407B" w:rsidRDefault="000A6289" w:rsidP="000A6289">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MVP</w:t>
            </w:r>
          </w:p>
        </w:tc>
        <w:tc>
          <w:tcPr>
            <w:tcW w:w="1240" w:type="dxa"/>
            <w:noWrap/>
          </w:tcPr>
          <w:p w14:paraId="3A8A39A3" w14:textId="77777777" w:rsidR="000A6289" w:rsidRPr="0095407B" w:rsidRDefault="000A6289" w:rsidP="000A6289">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ERC</w:t>
            </w:r>
          </w:p>
        </w:tc>
        <w:tc>
          <w:tcPr>
            <w:tcW w:w="1320" w:type="dxa"/>
            <w:noWrap/>
          </w:tcPr>
          <w:p w14:paraId="63D1F95B" w14:textId="77777777" w:rsidR="000A6289" w:rsidRPr="0095407B" w:rsidRDefault="000A6289" w:rsidP="000A6289">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MDP</w:t>
            </w:r>
          </w:p>
        </w:tc>
        <w:tc>
          <w:tcPr>
            <w:tcW w:w="1220" w:type="dxa"/>
            <w:noWrap/>
          </w:tcPr>
          <w:p w14:paraId="0957FB6B" w14:textId="77777777" w:rsidR="000A6289" w:rsidRPr="0095407B" w:rsidRDefault="000A6289" w:rsidP="000A6289">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IVP</w:t>
            </w:r>
          </w:p>
        </w:tc>
        <w:tc>
          <w:tcPr>
            <w:tcW w:w="1141" w:type="dxa"/>
            <w:noWrap/>
          </w:tcPr>
          <w:p w14:paraId="0F54E5CE" w14:textId="77777777" w:rsidR="000A6289" w:rsidRPr="0095407B" w:rsidRDefault="000A6289" w:rsidP="000A6289">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MDECP</w:t>
            </w:r>
          </w:p>
        </w:tc>
      </w:tr>
      <w:tr w:rsidR="000A6289" w:rsidRPr="0095407B" w14:paraId="295BFBF4"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054E6ED9" w14:textId="77777777" w:rsidR="000A6289" w:rsidRPr="0095407B" w:rsidRDefault="000A6289" w:rsidP="00122604">
            <w:pPr>
              <w:jc w:val="both"/>
              <w:rPr>
                <w:rFonts w:asciiTheme="majorBidi" w:hAnsiTheme="majorBidi" w:cstheme="majorBidi" w:hint="default"/>
                <w:color w:val="000000"/>
                <w:szCs w:val="24"/>
              </w:rPr>
            </w:pPr>
            <w:r w:rsidRPr="0095407B">
              <w:rPr>
                <w:rFonts w:asciiTheme="majorBidi" w:hAnsiTheme="majorBidi" w:cstheme="majorBidi" w:hint="default"/>
                <w:color w:val="000000"/>
                <w:szCs w:val="24"/>
              </w:rPr>
              <w:t>PRE COVID</w:t>
            </w:r>
          </w:p>
        </w:tc>
        <w:tc>
          <w:tcPr>
            <w:tcW w:w="1149" w:type="dxa"/>
            <w:noWrap/>
          </w:tcPr>
          <w:p w14:paraId="2CFF2D56"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100" w:type="dxa"/>
            <w:noWrap/>
          </w:tcPr>
          <w:p w14:paraId="547B000D"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240" w:type="dxa"/>
            <w:noWrap/>
          </w:tcPr>
          <w:p w14:paraId="0DBDDB53"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320" w:type="dxa"/>
            <w:noWrap/>
          </w:tcPr>
          <w:p w14:paraId="4793C882"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220" w:type="dxa"/>
            <w:noWrap/>
          </w:tcPr>
          <w:p w14:paraId="0B7FF667"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141" w:type="dxa"/>
            <w:noWrap/>
          </w:tcPr>
          <w:p w14:paraId="471C725C"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r>
      <w:tr w:rsidR="000A6289" w:rsidRPr="0095407B" w14:paraId="603AFF80"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48DD92E3"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PF_sd</w:t>
            </w:r>
            <w:proofErr w:type="spellEnd"/>
          </w:p>
        </w:tc>
        <w:tc>
          <w:tcPr>
            <w:tcW w:w="1149" w:type="dxa"/>
            <w:noWrap/>
          </w:tcPr>
          <w:p w14:paraId="7758E0B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0.76232</w:t>
            </w:r>
          </w:p>
        </w:tc>
        <w:tc>
          <w:tcPr>
            <w:tcW w:w="1100" w:type="dxa"/>
            <w:noWrap/>
          </w:tcPr>
          <w:p w14:paraId="27B2771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0.24223</w:t>
            </w:r>
          </w:p>
        </w:tc>
        <w:tc>
          <w:tcPr>
            <w:tcW w:w="1240" w:type="dxa"/>
            <w:noWrap/>
          </w:tcPr>
          <w:p w14:paraId="048EC13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0.68778</w:t>
            </w:r>
          </w:p>
        </w:tc>
        <w:tc>
          <w:tcPr>
            <w:tcW w:w="1320" w:type="dxa"/>
            <w:noWrap/>
          </w:tcPr>
          <w:p w14:paraId="7397F08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0.28179</w:t>
            </w:r>
          </w:p>
        </w:tc>
        <w:tc>
          <w:tcPr>
            <w:tcW w:w="1220" w:type="dxa"/>
            <w:noWrap/>
          </w:tcPr>
          <w:p w14:paraId="26F2CA0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0.37419</w:t>
            </w:r>
          </w:p>
        </w:tc>
        <w:tc>
          <w:tcPr>
            <w:tcW w:w="1141" w:type="dxa"/>
            <w:noWrap/>
          </w:tcPr>
          <w:p w14:paraId="4B3C37F1"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0.59613</w:t>
            </w:r>
          </w:p>
        </w:tc>
      </w:tr>
      <w:tr w:rsidR="000A6289" w:rsidRPr="0095407B" w14:paraId="3E7F4C57"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5268C15E"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VaR</w:t>
            </w:r>
            <w:proofErr w:type="spellEnd"/>
          </w:p>
        </w:tc>
        <w:tc>
          <w:tcPr>
            <w:tcW w:w="1149" w:type="dxa"/>
            <w:noWrap/>
          </w:tcPr>
          <w:p w14:paraId="17CF144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-1.26433</w:t>
            </w:r>
          </w:p>
        </w:tc>
        <w:tc>
          <w:tcPr>
            <w:tcW w:w="1100" w:type="dxa"/>
            <w:noWrap/>
          </w:tcPr>
          <w:p w14:paraId="7E48EB0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-0.37220</w:t>
            </w:r>
          </w:p>
        </w:tc>
        <w:tc>
          <w:tcPr>
            <w:tcW w:w="1240" w:type="dxa"/>
            <w:noWrap/>
          </w:tcPr>
          <w:p w14:paraId="4E6DA7E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-0.99683</w:t>
            </w:r>
          </w:p>
        </w:tc>
        <w:tc>
          <w:tcPr>
            <w:tcW w:w="1320" w:type="dxa"/>
            <w:noWrap/>
          </w:tcPr>
          <w:p w14:paraId="5FCF885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-0.41632</w:t>
            </w:r>
          </w:p>
        </w:tc>
        <w:tc>
          <w:tcPr>
            <w:tcW w:w="1220" w:type="dxa"/>
            <w:noWrap/>
          </w:tcPr>
          <w:p w14:paraId="37AF0EC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-0.58672</w:t>
            </w:r>
          </w:p>
        </w:tc>
        <w:tc>
          <w:tcPr>
            <w:tcW w:w="1141" w:type="dxa"/>
            <w:noWrap/>
          </w:tcPr>
          <w:p w14:paraId="51D6F4E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-1.00165</w:t>
            </w:r>
          </w:p>
        </w:tc>
      </w:tr>
      <w:tr w:rsidR="000A6289" w:rsidRPr="0095407B" w14:paraId="2254D99C" w14:textId="77777777" w:rsidTr="00EF4A4E">
        <w:trPr>
          <w:trHeight w:val="403"/>
        </w:trPr>
        <w:tc>
          <w:tcPr>
            <w:cnfStyle w:val="001000000000" w:firstRow="0" w:lastRow="0" w:firstColumn="1" w:lastColumn="0" w:oddVBand="0" w:evenVBand="0" w:oddHBand="0" w:evenHBand="0" w:firstRowFirstColumn="0" w:firstRowLastColumn="0" w:lastRowFirstColumn="0" w:lastRowLastColumn="0"/>
            <w:tcW w:w="3178" w:type="dxa"/>
            <w:noWrap/>
          </w:tcPr>
          <w:p w14:paraId="34A08571"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ES</w:t>
            </w:r>
          </w:p>
        </w:tc>
        <w:tc>
          <w:tcPr>
            <w:tcW w:w="1149" w:type="dxa"/>
            <w:noWrap/>
          </w:tcPr>
          <w:p w14:paraId="0D2BFFB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-1.73241</w:t>
            </w:r>
          </w:p>
        </w:tc>
        <w:tc>
          <w:tcPr>
            <w:tcW w:w="1100" w:type="dxa"/>
            <w:noWrap/>
          </w:tcPr>
          <w:p w14:paraId="6BFEDEA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-0.50958</w:t>
            </w:r>
          </w:p>
        </w:tc>
        <w:tc>
          <w:tcPr>
            <w:tcW w:w="1240" w:type="dxa"/>
            <w:noWrap/>
          </w:tcPr>
          <w:p w14:paraId="2BAFD90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-1.68156</w:t>
            </w:r>
          </w:p>
        </w:tc>
        <w:tc>
          <w:tcPr>
            <w:tcW w:w="1320" w:type="dxa"/>
            <w:noWrap/>
          </w:tcPr>
          <w:p w14:paraId="1426864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-0.59412</w:t>
            </w:r>
          </w:p>
        </w:tc>
        <w:tc>
          <w:tcPr>
            <w:tcW w:w="1220" w:type="dxa"/>
            <w:noWrap/>
          </w:tcPr>
          <w:p w14:paraId="24FA921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-0.83150</w:t>
            </w:r>
          </w:p>
        </w:tc>
        <w:tc>
          <w:tcPr>
            <w:tcW w:w="1141" w:type="dxa"/>
            <w:noWrap/>
          </w:tcPr>
          <w:p w14:paraId="3BC226B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-1.35857</w:t>
            </w:r>
          </w:p>
        </w:tc>
      </w:tr>
      <w:tr w:rsidR="000A6289" w:rsidRPr="0095407B" w14:paraId="080A3DAE"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C2CEAF3"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Worst</w:t>
            </w:r>
            <w:proofErr w:type="spellEnd"/>
            <w:r>
              <w:rPr>
                <w:rFonts w:asciiTheme="majorBidi" w:hAnsiTheme="majorBidi" w:cstheme="majorBidi" w:hint="default"/>
                <w:b w:val="0"/>
                <w:bCs w:val="0"/>
                <w:color w:val="000000"/>
                <w:szCs w:val="24"/>
              </w:rPr>
              <w:t xml:space="preserve"> </w:t>
            </w:r>
            <w:proofErr w:type="spellStart"/>
            <w:r w:rsidRPr="0095407B">
              <w:rPr>
                <w:rFonts w:asciiTheme="majorBidi" w:hAnsiTheme="majorBidi" w:cstheme="majorBidi" w:hint="default"/>
                <w:b w:val="0"/>
                <w:bCs w:val="0"/>
                <w:color w:val="000000"/>
                <w:szCs w:val="24"/>
              </w:rPr>
              <w:t>Drawdown</w:t>
            </w:r>
            <w:proofErr w:type="spellEnd"/>
          </w:p>
        </w:tc>
        <w:tc>
          <w:tcPr>
            <w:tcW w:w="1149" w:type="dxa"/>
            <w:noWrap/>
          </w:tcPr>
          <w:p w14:paraId="523E255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16.76527</w:t>
            </w:r>
          </w:p>
        </w:tc>
        <w:tc>
          <w:tcPr>
            <w:tcW w:w="1100" w:type="dxa"/>
            <w:noWrap/>
          </w:tcPr>
          <w:p w14:paraId="352C9716" w14:textId="77777777" w:rsidR="000A6289" w:rsidRPr="0095407B" w:rsidRDefault="00EF4A4E" w:rsidP="000A6289">
            <w:pPr>
              <w:ind w:firstLineChars="100" w:firstLine="2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Pr>
                <w:rFonts w:asciiTheme="majorBidi" w:hAnsiTheme="majorBidi" w:cstheme="majorBidi" w:hint="default"/>
                <w:color w:val="000000"/>
                <w:szCs w:val="24"/>
              </w:rPr>
              <w:t>3.1052</w:t>
            </w:r>
          </w:p>
        </w:tc>
        <w:tc>
          <w:tcPr>
            <w:tcW w:w="1240" w:type="dxa"/>
            <w:noWrap/>
          </w:tcPr>
          <w:p w14:paraId="0AACFE3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14.7120</w:t>
            </w:r>
          </w:p>
        </w:tc>
        <w:tc>
          <w:tcPr>
            <w:tcW w:w="1320" w:type="dxa"/>
            <w:noWrap/>
          </w:tcPr>
          <w:p w14:paraId="29A12194"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6.01625</w:t>
            </w:r>
          </w:p>
        </w:tc>
        <w:tc>
          <w:tcPr>
            <w:tcW w:w="1220" w:type="dxa"/>
            <w:noWrap/>
          </w:tcPr>
          <w:p w14:paraId="2591FAF1" w14:textId="77777777" w:rsidR="000A6289" w:rsidRPr="0095407B" w:rsidRDefault="000A6289" w:rsidP="000A6289">
            <w:pPr>
              <w:ind w:firstLineChars="100" w:firstLine="2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7.92188</w:t>
            </w:r>
          </w:p>
        </w:tc>
        <w:tc>
          <w:tcPr>
            <w:tcW w:w="1141" w:type="dxa"/>
            <w:noWrap/>
          </w:tcPr>
          <w:p w14:paraId="6C54B0A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13.3745</w:t>
            </w:r>
          </w:p>
        </w:tc>
      </w:tr>
      <w:tr w:rsidR="000A6289" w:rsidRPr="0095407B" w14:paraId="280E759F"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0BED0079"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Annualized</w:t>
            </w:r>
            <w:proofErr w:type="spellEnd"/>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Sharpe</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(Rf=0%)</w:t>
            </w:r>
          </w:p>
        </w:tc>
        <w:tc>
          <w:tcPr>
            <w:tcW w:w="1149" w:type="dxa"/>
            <w:noWrap/>
          </w:tcPr>
          <w:p w14:paraId="1E37E7A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0.61094</w:t>
            </w:r>
          </w:p>
        </w:tc>
        <w:tc>
          <w:tcPr>
            <w:tcW w:w="1100" w:type="dxa"/>
            <w:noWrap/>
          </w:tcPr>
          <w:p w14:paraId="61BE5591"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1.96519</w:t>
            </w:r>
          </w:p>
        </w:tc>
        <w:tc>
          <w:tcPr>
            <w:tcW w:w="1240" w:type="dxa"/>
            <w:noWrap/>
          </w:tcPr>
          <w:p w14:paraId="5DE5977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0.85466</w:t>
            </w:r>
          </w:p>
        </w:tc>
        <w:tc>
          <w:tcPr>
            <w:tcW w:w="1320" w:type="dxa"/>
            <w:noWrap/>
          </w:tcPr>
          <w:p w14:paraId="4BF0400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1.53787</w:t>
            </w:r>
          </w:p>
        </w:tc>
        <w:tc>
          <w:tcPr>
            <w:tcW w:w="1220" w:type="dxa"/>
            <w:noWrap/>
          </w:tcPr>
          <w:p w14:paraId="5AD5A5F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1.24884</w:t>
            </w:r>
          </w:p>
        </w:tc>
        <w:tc>
          <w:tcPr>
            <w:tcW w:w="1141" w:type="dxa"/>
            <w:noWrap/>
          </w:tcPr>
          <w:p w14:paraId="514D930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0.59246</w:t>
            </w:r>
          </w:p>
        </w:tc>
      </w:tr>
      <w:tr w:rsidR="000A6289" w:rsidRPr="0095407B" w14:paraId="1044287F"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4DC314D3"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Sortino</w:t>
            </w:r>
            <w:proofErr w:type="spellEnd"/>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(MAR=0%)</w:t>
            </w:r>
          </w:p>
        </w:tc>
        <w:tc>
          <w:tcPr>
            <w:tcW w:w="1149" w:type="dxa"/>
            <w:noWrap/>
          </w:tcPr>
          <w:p w14:paraId="5002C81B"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0.05821</w:t>
            </w:r>
          </w:p>
        </w:tc>
        <w:tc>
          <w:tcPr>
            <w:tcW w:w="1100" w:type="dxa"/>
            <w:noWrap/>
          </w:tcPr>
          <w:p w14:paraId="15C38B6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0.18051</w:t>
            </w:r>
          </w:p>
        </w:tc>
        <w:tc>
          <w:tcPr>
            <w:tcW w:w="1240" w:type="dxa"/>
            <w:noWrap/>
          </w:tcPr>
          <w:p w14:paraId="09C7AED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0.07809</w:t>
            </w:r>
          </w:p>
        </w:tc>
        <w:tc>
          <w:tcPr>
            <w:tcW w:w="1320" w:type="dxa"/>
            <w:noWrap/>
          </w:tcPr>
          <w:p w14:paraId="4C8BE97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0.14117</w:t>
            </w:r>
          </w:p>
        </w:tc>
        <w:tc>
          <w:tcPr>
            <w:tcW w:w="1220" w:type="dxa"/>
            <w:noWrap/>
          </w:tcPr>
          <w:p w14:paraId="2E8949C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0.11367</w:t>
            </w:r>
          </w:p>
        </w:tc>
        <w:tc>
          <w:tcPr>
            <w:tcW w:w="1141" w:type="dxa"/>
            <w:noWrap/>
          </w:tcPr>
          <w:p w14:paraId="63DF802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0.05553</w:t>
            </w:r>
          </w:p>
        </w:tc>
      </w:tr>
      <w:tr w:rsidR="000A6289" w:rsidRPr="0095407B" w14:paraId="2C025140"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1D238D3"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Calmar</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p>
        </w:tc>
        <w:tc>
          <w:tcPr>
            <w:tcW w:w="1149" w:type="dxa"/>
            <w:noWrap/>
          </w:tcPr>
          <w:p w14:paraId="18DAC25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0.44099</w:t>
            </w:r>
          </w:p>
        </w:tc>
        <w:tc>
          <w:tcPr>
            <w:tcW w:w="1100" w:type="dxa"/>
            <w:noWrap/>
          </w:tcPr>
          <w:p w14:paraId="1B5DFBE4"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2.43359</w:t>
            </w:r>
          </w:p>
        </w:tc>
        <w:tc>
          <w:tcPr>
            <w:tcW w:w="1240" w:type="dxa"/>
            <w:noWrap/>
          </w:tcPr>
          <w:p w14:paraId="7F95187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0.63427</w:t>
            </w:r>
          </w:p>
        </w:tc>
        <w:tc>
          <w:tcPr>
            <w:tcW w:w="1320" w:type="dxa"/>
            <w:noWrap/>
          </w:tcPr>
          <w:p w14:paraId="15D887B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1.14347</w:t>
            </w:r>
          </w:p>
        </w:tc>
        <w:tc>
          <w:tcPr>
            <w:tcW w:w="1220" w:type="dxa"/>
            <w:noWrap/>
          </w:tcPr>
          <w:p w14:paraId="2EDC36E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0.93641</w:t>
            </w:r>
          </w:p>
        </w:tc>
        <w:tc>
          <w:tcPr>
            <w:tcW w:w="1141" w:type="dxa"/>
            <w:noWrap/>
          </w:tcPr>
          <w:p w14:paraId="5132FC3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0.41920</w:t>
            </w:r>
          </w:p>
        </w:tc>
      </w:tr>
      <w:tr w:rsidR="000A6289" w:rsidRPr="0095407B" w14:paraId="2A62F082"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6FF3CF7A"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Omega</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(L=0%)</w:t>
            </w:r>
          </w:p>
        </w:tc>
        <w:tc>
          <w:tcPr>
            <w:tcW w:w="1149" w:type="dxa"/>
            <w:noWrap/>
          </w:tcPr>
          <w:p w14:paraId="776B633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1.11415</w:t>
            </w:r>
          </w:p>
        </w:tc>
        <w:tc>
          <w:tcPr>
            <w:tcW w:w="1100" w:type="dxa"/>
            <w:noWrap/>
          </w:tcPr>
          <w:p w14:paraId="6DCB3F5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1.36813</w:t>
            </w:r>
          </w:p>
        </w:tc>
        <w:tc>
          <w:tcPr>
            <w:tcW w:w="1240" w:type="dxa"/>
            <w:noWrap/>
          </w:tcPr>
          <w:p w14:paraId="2949527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1.16992</w:t>
            </w:r>
          </w:p>
        </w:tc>
        <w:tc>
          <w:tcPr>
            <w:tcW w:w="1320" w:type="dxa"/>
            <w:noWrap/>
          </w:tcPr>
          <w:p w14:paraId="7CED1D5B"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1.27891</w:t>
            </w:r>
          </w:p>
        </w:tc>
        <w:tc>
          <w:tcPr>
            <w:tcW w:w="1220" w:type="dxa"/>
            <w:noWrap/>
          </w:tcPr>
          <w:p w14:paraId="2F8C178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1.22393</w:t>
            </w:r>
          </w:p>
        </w:tc>
        <w:tc>
          <w:tcPr>
            <w:tcW w:w="1141" w:type="dxa"/>
            <w:noWrap/>
          </w:tcPr>
          <w:p w14:paraId="2C6E9BF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1.10803</w:t>
            </w:r>
          </w:p>
        </w:tc>
      </w:tr>
      <w:tr w:rsidR="000A6289" w:rsidRPr="0095407B" w14:paraId="635BBF75"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30B17C86"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Turnover</w:t>
            </w:r>
          </w:p>
        </w:tc>
        <w:tc>
          <w:tcPr>
            <w:tcW w:w="1149" w:type="dxa"/>
            <w:noWrap/>
          </w:tcPr>
          <w:p w14:paraId="2402FD98" w14:textId="77777777" w:rsidR="000A6289" w:rsidRPr="0095407B" w:rsidRDefault="000A6289" w:rsidP="00122604">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Cs w:val="24"/>
              </w:rPr>
            </w:pPr>
            <w:r w:rsidRPr="0095407B">
              <w:rPr>
                <w:rFonts w:asciiTheme="majorBidi" w:hAnsiTheme="majorBidi" w:cstheme="majorBidi" w:hint="default"/>
                <w:iCs/>
                <w:color w:val="000000"/>
                <w:szCs w:val="24"/>
                <w:lang w:eastAsia="zh-CN"/>
              </w:rPr>
              <w:t xml:space="preserve"> 0.71878</w:t>
            </w:r>
          </w:p>
        </w:tc>
        <w:tc>
          <w:tcPr>
            <w:tcW w:w="1100" w:type="dxa"/>
            <w:noWrap/>
          </w:tcPr>
          <w:p w14:paraId="21C76CB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2.71043</w:t>
            </w:r>
          </w:p>
        </w:tc>
        <w:tc>
          <w:tcPr>
            <w:tcW w:w="1240" w:type="dxa"/>
            <w:noWrap/>
          </w:tcPr>
          <w:p w14:paraId="7AA165D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13.66199</w:t>
            </w:r>
          </w:p>
        </w:tc>
        <w:tc>
          <w:tcPr>
            <w:tcW w:w="1320" w:type="dxa"/>
            <w:noWrap/>
          </w:tcPr>
          <w:p w14:paraId="1CCBE084"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2.99049</w:t>
            </w:r>
          </w:p>
        </w:tc>
        <w:tc>
          <w:tcPr>
            <w:tcW w:w="1220" w:type="dxa"/>
            <w:noWrap/>
          </w:tcPr>
          <w:p w14:paraId="5470D67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2.04221</w:t>
            </w:r>
          </w:p>
        </w:tc>
        <w:tc>
          <w:tcPr>
            <w:tcW w:w="1141" w:type="dxa"/>
            <w:noWrap/>
          </w:tcPr>
          <w:p w14:paraId="07E1252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5.57729</w:t>
            </w:r>
          </w:p>
        </w:tc>
      </w:tr>
      <w:tr w:rsidR="000A6289" w:rsidRPr="0095407B" w14:paraId="2B121203" w14:textId="77777777" w:rsidTr="00EF4A4E">
        <w:tc>
          <w:tcPr>
            <w:cnfStyle w:val="001000000000" w:firstRow="0" w:lastRow="0" w:firstColumn="1" w:lastColumn="0" w:oddVBand="0" w:evenVBand="0" w:oddHBand="0" w:evenHBand="0" w:firstRowFirstColumn="0" w:firstRowLastColumn="0" w:lastRowFirstColumn="0" w:lastRowLastColumn="0"/>
            <w:tcW w:w="4327" w:type="dxa"/>
            <w:gridSpan w:val="2"/>
            <w:noWrap/>
          </w:tcPr>
          <w:p w14:paraId="51CCC75D" w14:textId="77777777" w:rsidR="000A6289" w:rsidRPr="0095407B" w:rsidRDefault="000A6289" w:rsidP="00122604">
            <w:pPr>
              <w:jc w:val="both"/>
              <w:rPr>
                <w:rFonts w:asciiTheme="majorBidi" w:hAnsiTheme="majorBidi" w:cstheme="majorBidi" w:hint="default"/>
                <w:color w:val="000000"/>
                <w:szCs w:val="24"/>
              </w:rPr>
            </w:pPr>
            <w:r w:rsidRPr="0095407B">
              <w:rPr>
                <w:rFonts w:asciiTheme="majorBidi" w:hAnsiTheme="majorBidi" w:cstheme="majorBidi" w:hint="default"/>
                <w:color w:val="000000"/>
                <w:szCs w:val="24"/>
              </w:rPr>
              <w:t xml:space="preserve">POST COVID </w:t>
            </w:r>
          </w:p>
        </w:tc>
        <w:tc>
          <w:tcPr>
            <w:tcW w:w="1100" w:type="dxa"/>
            <w:noWrap/>
          </w:tcPr>
          <w:p w14:paraId="38092F26"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240" w:type="dxa"/>
            <w:noWrap/>
          </w:tcPr>
          <w:p w14:paraId="5362A204"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320" w:type="dxa"/>
            <w:noWrap/>
          </w:tcPr>
          <w:p w14:paraId="09EE4BCC"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220" w:type="dxa"/>
            <w:noWrap/>
          </w:tcPr>
          <w:p w14:paraId="15DE8A82"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141" w:type="dxa"/>
            <w:noWrap/>
          </w:tcPr>
          <w:p w14:paraId="157455F3"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r>
      <w:tr w:rsidR="000A6289" w:rsidRPr="0095407B" w14:paraId="0CA4B6D0"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6F49C28C"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PF_sd</w:t>
            </w:r>
            <w:proofErr w:type="spellEnd"/>
          </w:p>
        </w:tc>
        <w:tc>
          <w:tcPr>
            <w:tcW w:w="1149" w:type="dxa"/>
            <w:noWrap/>
          </w:tcPr>
          <w:p w14:paraId="7BB95D4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1.43997</w:t>
            </w:r>
          </w:p>
        </w:tc>
        <w:tc>
          <w:tcPr>
            <w:tcW w:w="1100" w:type="dxa"/>
            <w:noWrap/>
          </w:tcPr>
          <w:p w14:paraId="113D81A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0.38584</w:t>
            </w:r>
          </w:p>
        </w:tc>
        <w:tc>
          <w:tcPr>
            <w:tcW w:w="1240" w:type="dxa"/>
            <w:noWrap/>
          </w:tcPr>
          <w:p w14:paraId="7FA2E6E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1.63214</w:t>
            </w:r>
          </w:p>
        </w:tc>
        <w:tc>
          <w:tcPr>
            <w:tcW w:w="1320" w:type="dxa"/>
            <w:noWrap/>
          </w:tcPr>
          <w:p w14:paraId="2781684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0.47655</w:t>
            </w:r>
          </w:p>
        </w:tc>
        <w:tc>
          <w:tcPr>
            <w:tcW w:w="1220" w:type="dxa"/>
            <w:noWrap/>
          </w:tcPr>
          <w:p w14:paraId="2A8AAB3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0.64034</w:t>
            </w:r>
          </w:p>
        </w:tc>
        <w:tc>
          <w:tcPr>
            <w:tcW w:w="1141" w:type="dxa"/>
            <w:noWrap/>
          </w:tcPr>
          <w:p w14:paraId="24D7FA2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1.12229</w:t>
            </w:r>
          </w:p>
        </w:tc>
      </w:tr>
      <w:tr w:rsidR="000A6289" w:rsidRPr="0095407B" w14:paraId="599E149C"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605FAB8"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VaR</w:t>
            </w:r>
            <w:proofErr w:type="spellEnd"/>
          </w:p>
        </w:tc>
        <w:tc>
          <w:tcPr>
            <w:tcW w:w="1149" w:type="dxa"/>
            <w:noWrap/>
          </w:tcPr>
          <w:p w14:paraId="4E701E5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-2.11326</w:t>
            </w:r>
          </w:p>
        </w:tc>
        <w:tc>
          <w:tcPr>
            <w:tcW w:w="1100" w:type="dxa"/>
            <w:noWrap/>
          </w:tcPr>
          <w:p w14:paraId="3E47C91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-0.65695</w:t>
            </w:r>
          </w:p>
        </w:tc>
        <w:tc>
          <w:tcPr>
            <w:tcW w:w="1240" w:type="dxa"/>
            <w:noWrap/>
          </w:tcPr>
          <w:p w14:paraId="62FB468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-1.88174</w:t>
            </w:r>
          </w:p>
        </w:tc>
        <w:tc>
          <w:tcPr>
            <w:tcW w:w="1320" w:type="dxa"/>
            <w:noWrap/>
          </w:tcPr>
          <w:p w14:paraId="5CCCD56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-0.75107</w:t>
            </w:r>
          </w:p>
        </w:tc>
        <w:tc>
          <w:tcPr>
            <w:tcW w:w="1220" w:type="dxa"/>
            <w:noWrap/>
          </w:tcPr>
          <w:p w14:paraId="3924752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-0.91538</w:t>
            </w:r>
          </w:p>
        </w:tc>
        <w:tc>
          <w:tcPr>
            <w:tcW w:w="1141" w:type="dxa"/>
            <w:noWrap/>
          </w:tcPr>
          <w:p w14:paraId="46AF996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-1.65063</w:t>
            </w:r>
          </w:p>
        </w:tc>
      </w:tr>
      <w:tr w:rsidR="000A6289" w:rsidRPr="0095407B" w14:paraId="173A4A8B"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08983FC"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ES</w:t>
            </w:r>
          </w:p>
        </w:tc>
        <w:tc>
          <w:tcPr>
            <w:tcW w:w="1149" w:type="dxa"/>
            <w:noWrap/>
          </w:tcPr>
          <w:p w14:paraId="56990FD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-3.80872</w:t>
            </w:r>
          </w:p>
        </w:tc>
        <w:tc>
          <w:tcPr>
            <w:tcW w:w="1100" w:type="dxa"/>
            <w:noWrap/>
          </w:tcPr>
          <w:p w14:paraId="4900CAB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-1.02655</w:t>
            </w:r>
          </w:p>
        </w:tc>
        <w:tc>
          <w:tcPr>
            <w:tcW w:w="1240" w:type="dxa"/>
            <w:noWrap/>
          </w:tcPr>
          <w:p w14:paraId="3E6EEAF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-4.45250</w:t>
            </w:r>
          </w:p>
        </w:tc>
        <w:tc>
          <w:tcPr>
            <w:tcW w:w="1320" w:type="dxa"/>
            <w:noWrap/>
          </w:tcPr>
          <w:p w14:paraId="4038B69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-1.26661</w:t>
            </w:r>
          </w:p>
        </w:tc>
        <w:tc>
          <w:tcPr>
            <w:tcW w:w="1220" w:type="dxa"/>
            <w:noWrap/>
          </w:tcPr>
          <w:p w14:paraId="5AC15C7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-1.71507</w:t>
            </w:r>
          </w:p>
        </w:tc>
        <w:tc>
          <w:tcPr>
            <w:tcW w:w="1141" w:type="dxa"/>
            <w:noWrap/>
          </w:tcPr>
          <w:p w14:paraId="47049E5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-2.91686</w:t>
            </w:r>
          </w:p>
        </w:tc>
      </w:tr>
      <w:tr w:rsidR="000A6289" w:rsidRPr="0095407B" w14:paraId="0E36DB6E"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324A640E"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Worst</w:t>
            </w:r>
            <w:proofErr w:type="spellEnd"/>
            <w:r>
              <w:rPr>
                <w:rFonts w:asciiTheme="majorBidi" w:hAnsiTheme="majorBidi" w:cstheme="majorBidi" w:hint="default"/>
                <w:b w:val="0"/>
                <w:bCs w:val="0"/>
                <w:color w:val="000000"/>
                <w:szCs w:val="24"/>
              </w:rPr>
              <w:t xml:space="preserve"> </w:t>
            </w:r>
            <w:proofErr w:type="spellStart"/>
            <w:r w:rsidRPr="0095407B">
              <w:rPr>
                <w:rFonts w:asciiTheme="majorBidi" w:hAnsiTheme="majorBidi" w:cstheme="majorBidi" w:hint="default"/>
                <w:b w:val="0"/>
                <w:bCs w:val="0"/>
                <w:color w:val="000000"/>
                <w:szCs w:val="24"/>
              </w:rPr>
              <w:t>Drawdown</w:t>
            </w:r>
            <w:proofErr w:type="spellEnd"/>
          </w:p>
        </w:tc>
        <w:tc>
          <w:tcPr>
            <w:tcW w:w="1149" w:type="dxa"/>
            <w:noWrap/>
          </w:tcPr>
          <w:p w14:paraId="6AED315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31.77664</w:t>
            </w:r>
          </w:p>
        </w:tc>
        <w:tc>
          <w:tcPr>
            <w:tcW w:w="1100" w:type="dxa"/>
            <w:noWrap/>
          </w:tcPr>
          <w:p w14:paraId="288AE904" w14:textId="77777777" w:rsidR="000A6289" w:rsidRPr="0095407B" w:rsidRDefault="00EF4A4E"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Pr>
                <w:rFonts w:asciiTheme="majorBidi" w:hAnsiTheme="majorBidi" w:cstheme="majorBidi" w:hint="default"/>
                <w:color w:val="000000"/>
                <w:szCs w:val="24"/>
              </w:rPr>
              <w:t>12.9894</w:t>
            </w:r>
          </w:p>
        </w:tc>
        <w:tc>
          <w:tcPr>
            <w:tcW w:w="1240" w:type="dxa"/>
            <w:noWrap/>
          </w:tcPr>
          <w:p w14:paraId="741A159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39.83640</w:t>
            </w:r>
          </w:p>
        </w:tc>
        <w:tc>
          <w:tcPr>
            <w:tcW w:w="1320" w:type="dxa"/>
            <w:noWrap/>
          </w:tcPr>
          <w:p w14:paraId="27BB4B9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8.45075</w:t>
            </w:r>
          </w:p>
        </w:tc>
        <w:tc>
          <w:tcPr>
            <w:tcW w:w="1220" w:type="dxa"/>
            <w:noWrap/>
          </w:tcPr>
          <w:p w14:paraId="574F1AD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15.09451</w:t>
            </w:r>
          </w:p>
        </w:tc>
        <w:tc>
          <w:tcPr>
            <w:tcW w:w="1141" w:type="dxa"/>
            <w:noWrap/>
          </w:tcPr>
          <w:p w14:paraId="10C5C58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24.34327</w:t>
            </w:r>
          </w:p>
        </w:tc>
      </w:tr>
      <w:tr w:rsidR="000A6289" w:rsidRPr="0095407B" w14:paraId="381155FA"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698CBE36"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Annualized</w:t>
            </w:r>
            <w:proofErr w:type="spellEnd"/>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Sharpe</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(Rf=0%)</w:t>
            </w:r>
          </w:p>
        </w:tc>
        <w:tc>
          <w:tcPr>
            <w:tcW w:w="1149" w:type="dxa"/>
            <w:noWrap/>
          </w:tcPr>
          <w:p w14:paraId="576A00B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0.41563</w:t>
            </w:r>
          </w:p>
        </w:tc>
        <w:tc>
          <w:tcPr>
            <w:tcW w:w="1100" w:type="dxa"/>
            <w:noWrap/>
          </w:tcPr>
          <w:p w14:paraId="18AB8524"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-0.43474</w:t>
            </w:r>
          </w:p>
        </w:tc>
        <w:tc>
          <w:tcPr>
            <w:tcW w:w="1240" w:type="dxa"/>
            <w:noWrap/>
          </w:tcPr>
          <w:p w14:paraId="071F832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0.12362</w:t>
            </w:r>
          </w:p>
        </w:tc>
        <w:tc>
          <w:tcPr>
            <w:tcW w:w="1320" w:type="dxa"/>
            <w:noWrap/>
          </w:tcPr>
          <w:p w14:paraId="5EF8520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0.27943</w:t>
            </w:r>
          </w:p>
        </w:tc>
        <w:tc>
          <w:tcPr>
            <w:tcW w:w="1220" w:type="dxa"/>
            <w:noWrap/>
          </w:tcPr>
          <w:p w14:paraId="776FB9F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0.20035</w:t>
            </w:r>
          </w:p>
        </w:tc>
        <w:tc>
          <w:tcPr>
            <w:tcW w:w="1141" w:type="dxa"/>
            <w:noWrap/>
          </w:tcPr>
          <w:p w14:paraId="143E60B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0.58699</w:t>
            </w:r>
          </w:p>
        </w:tc>
      </w:tr>
      <w:tr w:rsidR="000A6289" w:rsidRPr="0095407B" w14:paraId="73C2459D"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0C1C1737"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Sortino</w:t>
            </w:r>
            <w:proofErr w:type="spellEnd"/>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(MAR=0%)</w:t>
            </w:r>
          </w:p>
        </w:tc>
        <w:tc>
          <w:tcPr>
            <w:tcW w:w="1149" w:type="dxa"/>
            <w:noWrap/>
          </w:tcPr>
          <w:p w14:paraId="2CB33FB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0.04191</w:t>
            </w:r>
          </w:p>
        </w:tc>
        <w:tc>
          <w:tcPr>
            <w:tcW w:w="1100" w:type="dxa"/>
            <w:noWrap/>
          </w:tcPr>
          <w:p w14:paraId="73A04C2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-0.03328</w:t>
            </w:r>
          </w:p>
        </w:tc>
        <w:tc>
          <w:tcPr>
            <w:tcW w:w="1240" w:type="dxa"/>
            <w:noWrap/>
          </w:tcPr>
          <w:p w14:paraId="6796A45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0.02034</w:t>
            </w:r>
          </w:p>
        </w:tc>
        <w:tc>
          <w:tcPr>
            <w:tcW w:w="1320" w:type="dxa"/>
            <w:noWrap/>
          </w:tcPr>
          <w:p w14:paraId="192ADF7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0.02646</w:t>
            </w:r>
          </w:p>
        </w:tc>
        <w:tc>
          <w:tcPr>
            <w:tcW w:w="1220" w:type="dxa"/>
            <w:noWrap/>
          </w:tcPr>
          <w:p w14:paraId="1CCCA85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0.02029</w:t>
            </w:r>
          </w:p>
        </w:tc>
        <w:tc>
          <w:tcPr>
            <w:tcW w:w="1141" w:type="dxa"/>
            <w:noWrap/>
          </w:tcPr>
          <w:p w14:paraId="7263A51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0.05407</w:t>
            </w:r>
          </w:p>
        </w:tc>
      </w:tr>
      <w:tr w:rsidR="000A6289" w:rsidRPr="0095407B" w14:paraId="36AD4078"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7EF59071"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Calmar</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p>
        </w:tc>
        <w:tc>
          <w:tcPr>
            <w:tcW w:w="1149" w:type="dxa"/>
            <w:noWrap/>
          </w:tcPr>
          <w:p w14:paraId="2DB33B5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0.29899</w:t>
            </w:r>
          </w:p>
        </w:tc>
        <w:tc>
          <w:tcPr>
            <w:tcW w:w="1100" w:type="dxa"/>
            <w:noWrap/>
          </w:tcPr>
          <w:p w14:paraId="4FF8F91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-0.20500</w:t>
            </w:r>
          </w:p>
        </w:tc>
        <w:tc>
          <w:tcPr>
            <w:tcW w:w="1240" w:type="dxa"/>
            <w:noWrap/>
          </w:tcPr>
          <w:p w14:paraId="1D78917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0.08040</w:t>
            </w:r>
          </w:p>
        </w:tc>
        <w:tc>
          <w:tcPr>
            <w:tcW w:w="1320" w:type="dxa"/>
            <w:noWrap/>
          </w:tcPr>
          <w:p w14:paraId="35715F3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0.25014</w:t>
            </w:r>
          </w:p>
        </w:tc>
        <w:tc>
          <w:tcPr>
            <w:tcW w:w="1220" w:type="dxa"/>
            <w:noWrap/>
          </w:tcPr>
          <w:p w14:paraId="595EAAC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0.13492</w:t>
            </w:r>
          </w:p>
        </w:tc>
        <w:tc>
          <w:tcPr>
            <w:tcW w:w="1141" w:type="dxa"/>
            <w:noWrap/>
          </w:tcPr>
          <w:p w14:paraId="1FCA806B"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0.42959</w:t>
            </w:r>
          </w:p>
        </w:tc>
      </w:tr>
      <w:tr w:rsidR="000A6289" w:rsidRPr="0095407B" w14:paraId="6815992B"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F8F0CE4"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Omega</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(L=0%)</w:t>
            </w:r>
          </w:p>
        </w:tc>
        <w:tc>
          <w:tcPr>
            <w:tcW w:w="1149" w:type="dxa"/>
            <w:noWrap/>
          </w:tcPr>
          <w:p w14:paraId="1DEE63B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1.10278</w:t>
            </w:r>
          </w:p>
        </w:tc>
        <w:tc>
          <w:tcPr>
            <w:tcW w:w="1100" w:type="dxa"/>
            <w:noWrap/>
          </w:tcPr>
          <w:p w14:paraId="5D752C7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0.93050</w:t>
            </w:r>
          </w:p>
        </w:tc>
        <w:tc>
          <w:tcPr>
            <w:tcW w:w="1240" w:type="dxa"/>
            <w:noWrap/>
          </w:tcPr>
          <w:p w14:paraId="7338A7A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1.05897</w:t>
            </w:r>
          </w:p>
        </w:tc>
        <w:tc>
          <w:tcPr>
            <w:tcW w:w="1320" w:type="dxa"/>
            <w:noWrap/>
          </w:tcPr>
          <w:p w14:paraId="5F848F4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1.05851</w:t>
            </w:r>
          </w:p>
        </w:tc>
        <w:tc>
          <w:tcPr>
            <w:tcW w:w="1220" w:type="dxa"/>
            <w:noWrap/>
          </w:tcPr>
          <w:p w14:paraId="7B788581"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1.04775</w:t>
            </w:r>
          </w:p>
        </w:tc>
        <w:tc>
          <w:tcPr>
            <w:tcW w:w="1141" w:type="dxa"/>
            <w:noWrap/>
          </w:tcPr>
          <w:p w14:paraId="59A69E5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1.12631</w:t>
            </w:r>
          </w:p>
        </w:tc>
      </w:tr>
      <w:tr w:rsidR="000A6289" w:rsidRPr="0095407B" w14:paraId="72233E02"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1FA1E27C"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Turnover</w:t>
            </w:r>
          </w:p>
        </w:tc>
        <w:tc>
          <w:tcPr>
            <w:tcW w:w="1149" w:type="dxa"/>
            <w:noWrap/>
          </w:tcPr>
          <w:p w14:paraId="207A7D0D" w14:textId="77777777" w:rsidR="000A6289" w:rsidRPr="0095407B" w:rsidRDefault="000A6289" w:rsidP="00122604">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Cs w:val="24"/>
              </w:rPr>
            </w:pPr>
            <w:r w:rsidRPr="0095407B">
              <w:rPr>
                <w:rFonts w:asciiTheme="majorBidi" w:hAnsiTheme="majorBidi" w:cstheme="majorBidi" w:hint="default"/>
                <w:iCs/>
                <w:color w:val="000000"/>
                <w:szCs w:val="24"/>
                <w:lang w:eastAsia="zh-CN"/>
              </w:rPr>
              <w:t xml:space="preserve"> 1.26114</w:t>
            </w:r>
          </w:p>
        </w:tc>
        <w:tc>
          <w:tcPr>
            <w:tcW w:w="1100" w:type="dxa"/>
            <w:noWrap/>
          </w:tcPr>
          <w:p w14:paraId="161C129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3.37643</w:t>
            </w:r>
          </w:p>
        </w:tc>
        <w:tc>
          <w:tcPr>
            <w:tcW w:w="1240" w:type="dxa"/>
            <w:noWrap/>
          </w:tcPr>
          <w:p w14:paraId="4E014361"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10.76162</w:t>
            </w:r>
          </w:p>
        </w:tc>
        <w:tc>
          <w:tcPr>
            <w:tcW w:w="1320" w:type="dxa"/>
            <w:noWrap/>
          </w:tcPr>
          <w:p w14:paraId="2182C00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4.42205</w:t>
            </w:r>
          </w:p>
        </w:tc>
        <w:tc>
          <w:tcPr>
            <w:tcW w:w="1220" w:type="dxa"/>
            <w:noWrap/>
          </w:tcPr>
          <w:p w14:paraId="300C78B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2.22921</w:t>
            </w:r>
          </w:p>
        </w:tc>
        <w:tc>
          <w:tcPr>
            <w:tcW w:w="1141" w:type="dxa"/>
            <w:noWrap/>
          </w:tcPr>
          <w:p w14:paraId="698017F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6.35448</w:t>
            </w:r>
          </w:p>
        </w:tc>
      </w:tr>
    </w:tbl>
    <w:p w14:paraId="4D0EBB2D" w14:textId="4C33817B" w:rsidR="00F66512" w:rsidRPr="001E1E51" w:rsidRDefault="000A6289" w:rsidP="000A6289">
      <w:pPr>
        <w:rPr>
          <w:rFonts w:asciiTheme="majorBidi" w:hAnsiTheme="majorBidi" w:cstheme="majorBidi"/>
          <w:b/>
          <w:bCs/>
          <w:lang w:val="en-US"/>
        </w:rPr>
      </w:pPr>
      <w:r w:rsidRPr="008D2A40">
        <w:rPr>
          <w:rFonts w:asciiTheme="majorBidi" w:hAnsiTheme="majorBidi" w:cstheme="majorBidi"/>
          <w:b/>
          <w:bCs/>
          <w:i/>
          <w:iCs/>
          <w:lang w:val="en-US"/>
        </w:rPr>
        <w:t>T</w:t>
      </w:r>
      <w:r w:rsidRPr="001E1E51">
        <w:rPr>
          <w:rFonts w:asciiTheme="majorBidi" w:hAnsiTheme="majorBidi" w:cstheme="majorBidi"/>
          <w:b/>
          <w:bCs/>
          <w:lang w:val="en-US"/>
        </w:rPr>
        <w:t xml:space="preserve">able </w:t>
      </w:r>
      <w:proofErr w:type="gramStart"/>
      <w:r w:rsidR="001E1E51" w:rsidRPr="001E1E51">
        <w:rPr>
          <w:rFonts w:asciiTheme="majorBidi" w:hAnsiTheme="majorBidi" w:cstheme="majorBidi"/>
          <w:b/>
          <w:bCs/>
          <w:lang w:val="en-US"/>
        </w:rPr>
        <w:t>8 :</w:t>
      </w:r>
      <w:proofErr w:type="gramEnd"/>
      <w:r w:rsidRPr="001E1E51">
        <w:rPr>
          <w:rFonts w:asciiTheme="majorBidi" w:hAnsiTheme="majorBidi" w:cstheme="majorBidi"/>
          <w:b/>
          <w:bCs/>
          <w:lang w:val="en-US"/>
        </w:rPr>
        <w:t xml:space="preserve"> </w:t>
      </w:r>
      <w:r w:rsidR="00907CEF">
        <w:rPr>
          <w:rFonts w:asciiTheme="majorBidi" w:hAnsiTheme="majorBidi" w:cstheme="majorBidi"/>
          <w:b/>
          <w:bCs/>
          <w:lang w:val="en-US"/>
        </w:rPr>
        <w:t>P</w:t>
      </w:r>
      <w:r w:rsidRPr="001E1E51">
        <w:rPr>
          <w:rFonts w:asciiTheme="majorBidi" w:hAnsiTheme="majorBidi" w:cstheme="majorBidi"/>
          <w:b/>
          <w:bCs/>
          <w:lang w:val="en-US"/>
        </w:rPr>
        <w:t>erformance data for risk-based indexing strategies with five-day trading rebalancing using the DCC model</w:t>
      </w:r>
    </w:p>
    <w:p w14:paraId="492F8F47" w14:textId="77777777" w:rsidR="000A6289" w:rsidRDefault="000A6289" w:rsidP="000A6289">
      <w:pPr>
        <w:rPr>
          <w:rFonts w:asciiTheme="majorBidi" w:hAnsiTheme="majorBidi" w:cstheme="majorBidi"/>
          <w:b/>
          <w:bCs/>
          <w:i/>
          <w:iCs/>
          <w:lang w:val="en-US"/>
        </w:rPr>
      </w:pPr>
    </w:p>
    <w:p w14:paraId="40988024" w14:textId="77777777" w:rsidR="000A6289" w:rsidRDefault="000A6289" w:rsidP="000A6289">
      <w:pPr>
        <w:rPr>
          <w:rFonts w:asciiTheme="majorBidi" w:hAnsiTheme="majorBidi" w:cstheme="majorBidi"/>
          <w:b/>
          <w:bCs/>
          <w:i/>
          <w:iCs/>
          <w:lang w:val="en-US"/>
        </w:rPr>
      </w:pPr>
    </w:p>
    <w:p w14:paraId="3578CDC1" w14:textId="6EFB1689" w:rsidR="000A6289" w:rsidRPr="001E1E51" w:rsidRDefault="000A6289" w:rsidP="000A6289">
      <w:pPr>
        <w:rPr>
          <w:rFonts w:asciiTheme="majorBidi" w:hAnsiTheme="majorBidi" w:cstheme="majorBidi"/>
          <w:b/>
          <w:bCs/>
          <w:i/>
          <w:iCs/>
          <w:lang w:val="en-US"/>
        </w:rPr>
      </w:pPr>
      <w:r w:rsidRPr="001E1E51">
        <w:rPr>
          <w:rFonts w:asciiTheme="majorBidi" w:hAnsiTheme="majorBidi" w:cstheme="majorBidi"/>
          <w:b/>
          <w:bCs/>
          <w:lang w:val="en-US"/>
        </w:rPr>
        <w:t xml:space="preserve">Figure 6: </w:t>
      </w:r>
      <w:r w:rsidR="00907CEF">
        <w:rPr>
          <w:rFonts w:asciiTheme="majorBidi" w:hAnsiTheme="majorBidi" w:cstheme="majorBidi"/>
          <w:b/>
          <w:bCs/>
          <w:lang w:val="en-US"/>
        </w:rPr>
        <w:t xml:space="preserve">Graph of </w:t>
      </w:r>
      <w:r w:rsidRPr="001E1E51">
        <w:rPr>
          <w:rFonts w:asciiTheme="majorBidi" w:hAnsiTheme="majorBidi" w:cstheme="majorBidi"/>
          <w:b/>
          <w:bCs/>
          <w:lang w:val="en-US"/>
        </w:rPr>
        <w:t>Performance of Risk-Based Indexing Strategies with Rebalancing Every Five Trading Days (DCC-GARCH):</w:t>
      </w:r>
    </w:p>
    <w:p w14:paraId="767A356F" w14:textId="77777777" w:rsidR="000A6289" w:rsidRDefault="000A6289" w:rsidP="000A6289">
      <w:pPr>
        <w:tabs>
          <w:tab w:val="left" w:pos="1816"/>
        </w:tabs>
        <w:rPr>
          <w:rFonts w:asciiTheme="majorBidi" w:hAnsiTheme="majorBidi" w:cstheme="majorBidi"/>
          <w:lang w:val="en-US"/>
        </w:rPr>
      </w:pPr>
      <w:r>
        <w:rPr>
          <w:rFonts w:cs="Times New Roman"/>
          <w:iCs/>
          <w:noProof/>
          <w:sz w:val="24"/>
          <w:szCs w:val="24"/>
          <w:lang w:val="en-US"/>
        </w:rPr>
        <w:lastRenderedPageBreak/>
        <w:drawing>
          <wp:inline distT="0" distB="0" distL="0" distR="0" wp14:anchorId="0E536665" wp14:editId="308BF866">
            <wp:extent cx="4572000" cy="2267535"/>
            <wp:effectExtent l="0" t="0" r="0" b="0"/>
            <wp:docPr id="175" name="Image 175" descr="C:\Users\NewTek\AppData\Local\Temp\ksohtml3208\wps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 175" descr="C:\Users\NewTek\AppData\Local\Temp\ksohtml3208\wps175.jpg"/>
                    <pic:cNvPicPr>
                      <a:picLocks noChangeAspect="1" noChangeArrowheads="1"/>
                    </pic:cNvPicPr>
                  </pic:nvPicPr>
                  <pic:blipFill>
                    <a:blip r:embed="rId25"/>
                    <a:srcRect/>
                    <a:stretch>
                      <a:fillRect/>
                    </a:stretch>
                  </pic:blipFill>
                  <pic:spPr>
                    <a:xfrm>
                      <a:off x="0" y="0"/>
                      <a:ext cx="4576124" cy="2269580"/>
                    </a:xfrm>
                    <a:prstGeom prst="rect">
                      <a:avLst/>
                    </a:prstGeom>
                    <a:noFill/>
                    <a:ln w="9525">
                      <a:noFill/>
                      <a:miter lim="800000"/>
                      <a:headEnd/>
                      <a:tailEnd/>
                    </a:ln>
                  </pic:spPr>
                </pic:pic>
              </a:graphicData>
            </a:graphic>
          </wp:inline>
        </w:drawing>
      </w:r>
      <w:r>
        <w:rPr>
          <w:rFonts w:asciiTheme="majorBidi" w:hAnsiTheme="majorBidi" w:cstheme="majorBidi"/>
          <w:lang w:val="en-US"/>
        </w:rPr>
        <w:tab/>
      </w:r>
    </w:p>
    <w:p w14:paraId="4960D8BD" w14:textId="77777777" w:rsidR="000A6289" w:rsidRDefault="000A6289" w:rsidP="000A6289">
      <w:pPr>
        <w:tabs>
          <w:tab w:val="left" w:pos="1816"/>
        </w:tabs>
        <w:rPr>
          <w:rFonts w:asciiTheme="majorBidi" w:hAnsiTheme="majorBidi" w:cstheme="majorBidi"/>
          <w:lang w:val="en-US"/>
        </w:rPr>
      </w:pPr>
    </w:p>
    <w:p w14:paraId="2367966A"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In this stage, we are interested in testing a multivariate model to examine the performance of risk-based indexing strategies. Specifically, our objective is to evaluate the performance of a parametric method in estimating covariance matrix forecasts.</w:t>
      </w:r>
    </w:p>
    <w:p w14:paraId="58022C7C" w14:textId="69CF161B"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8D2A40">
        <w:rPr>
          <w:rFonts w:ascii="Times New Roman" w:eastAsia="Times New Roman" w:hAnsi="Times New Roman" w:cs="Times New Roman"/>
          <w:lang w:val="en-US" w:eastAsia="fr-FR"/>
        </w:rPr>
        <w:t>Table</w:t>
      </w:r>
      <w:r w:rsidRPr="000A6289">
        <w:rPr>
          <w:rFonts w:ascii="Times New Roman" w:eastAsia="Times New Roman" w:hAnsi="Times New Roman" w:cs="Times New Roman"/>
          <w:lang w:val="en-US" w:eastAsia="fr-FR"/>
        </w:rPr>
        <w:t xml:space="preserve">s </w:t>
      </w:r>
      <w:r w:rsidR="008D2A40">
        <w:rPr>
          <w:rFonts w:ascii="Times New Roman" w:eastAsia="Times New Roman" w:hAnsi="Times New Roman" w:cs="Times New Roman"/>
          <w:lang w:val="en-US" w:eastAsia="fr-FR"/>
        </w:rPr>
        <w:t>6</w:t>
      </w:r>
      <w:r w:rsidRPr="000A6289">
        <w:rPr>
          <w:rFonts w:ascii="Times New Roman" w:eastAsia="Times New Roman" w:hAnsi="Times New Roman" w:cs="Times New Roman"/>
          <w:lang w:val="en-US" w:eastAsia="fr-FR"/>
        </w:rPr>
        <w:t xml:space="preserve"> and </w:t>
      </w:r>
      <w:r w:rsidR="008D2A40">
        <w:rPr>
          <w:rFonts w:ascii="Times New Roman" w:eastAsia="Times New Roman" w:hAnsi="Times New Roman" w:cs="Times New Roman"/>
          <w:lang w:val="en-US" w:eastAsia="fr-FR"/>
        </w:rPr>
        <w:t>7</w:t>
      </w:r>
      <w:r w:rsidRPr="000A6289">
        <w:rPr>
          <w:rFonts w:ascii="Times New Roman" w:eastAsia="Times New Roman" w:hAnsi="Times New Roman" w:cs="Times New Roman"/>
          <w:lang w:val="en-US" w:eastAsia="fr-FR"/>
        </w:rPr>
        <w:t xml:space="preserve"> illustrate the performances achieved by the ERC, PVM, MDP, IVP, MDECP, and EW portfolios in each of the two sub-periods and with the two rebalancing frequencies considered, using the parametric method (DCC multivariate model). The first observation we can make from these </w:t>
      </w:r>
      <w:r w:rsidRPr="008D2A40">
        <w:rPr>
          <w:rFonts w:ascii="Times New Roman" w:eastAsia="Times New Roman" w:hAnsi="Times New Roman" w:cs="Times New Roman"/>
          <w:lang w:val="en-US" w:eastAsia="fr-FR"/>
        </w:rPr>
        <w:t>table</w:t>
      </w:r>
      <w:r w:rsidRPr="000A6289">
        <w:rPr>
          <w:rFonts w:ascii="Times New Roman" w:eastAsia="Times New Roman" w:hAnsi="Times New Roman" w:cs="Times New Roman"/>
          <w:lang w:val="en-US" w:eastAsia="fr-FR"/>
        </w:rPr>
        <w:t>s is that there are no differences between the alternative methods for forecasting the covariance matrix.</w:t>
      </w:r>
    </w:p>
    <w:p w14:paraId="667171ED"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By comparing the results of two covariance matrix forecasting methods (EWMA) and (DCC), we can easily see that the application of the parametric method (DCC) did not yield benefits in either sub-period. The results obtained show that the forecasts generated by the EWMA model align with those made by the DCC model.</w:t>
      </w:r>
    </w:p>
    <w:p w14:paraId="292C8BFB"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Regardless of the covariance matrix forecasting method used, we therefore obtained the same results, which can be summarized in a few points:</w:t>
      </w:r>
    </w:p>
    <w:p w14:paraId="2D02F1D4" w14:textId="77777777" w:rsidR="000A6289" w:rsidRPr="000A6289" w:rsidRDefault="000A6289" w:rsidP="00807411">
      <w:pPr>
        <w:numPr>
          <w:ilvl w:val="0"/>
          <w:numId w:val="7"/>
        </w:num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A moderately frequent weekly rebalancing leads to a slight improvement in performance.</w:t>
      </w:r>
    </w:p>
    <w:p w14:paraId="65041D18" w14:textId="77777777" w:rsidR="000A6289" w:rsidRPr="000A6289" w:rsidRDefault="000A6289" w:rsidP="00807411">
      <w:pPr>
        <w:numPr>
          <w:ilvl w:val="0"/>
          <w:numId w:val="7"/>
        </w:num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The best performance is most often achieved by the MDP portfolio, particularly in times of crisis. The application of the parametric method in covariance matrix forecasting does not change the ranking of risk-based indexing strategies. The MDP portfolio consistently performs the best in both study sub-periods.</w:t>
      </w:r>
    </w:p>
    <w:p w14:paraId="69DCFBB5" w14:textId="77777777" w:rsidR="000A6289" w:rsidRPr="000A6289" w:rsidRDefault="000A6289" w:rsidP="00807411">
      <w:pPr>
        <w:numPr>
          <w:ilvl w:val="0"/>
          <w:numId w:val="7"/>
        </w:num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The MVP portfolio recorded the worst performance in the second sub-period. Risk-based indexing strategies help mitigate the shortcomings of the mean-variance model (MVP) but are not yet capable of protecting investors against extreme risks.</w:t>
      </w:r>
    </w:p>
    <w:p w14:paraId="5DB12E5C"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 xml:space="preserve">In conclusion, as seen in the literature, there are potential benefits to adopting multivariate GARCH models. Compared to sample covariance matrix forecasting, multivariate GARCH models reduce the covariance matrix forecasting error. Portfolios constructed using multivariate GARCH forecasts offer superior performance in terms of risk optimization and tracking error. Specifically, switching from </w:t>
      </w:r>
      <w:r w:rsidRPr="000A6289">
        <w:rPr>
          <w:rFonts w:ascii="Times New Roman" w:eastAsia="Times New Roman" w:hAnsi="Times New Roman" w:cs="Times New Roman"/>
          <w:lang w:val="en-US" w:eastAsia="fr-FR"/>
        </w:rPr>
        <w:lastRenderedPageBreak/>
        <w:t xml:space="preserve">sample covariance matrix forecasting to multivariate GARCH forecasting reduces tracking errors for minimum variance portfolios, as noted by </w:t>
      </w:r>
      <w:proofErr w:type="spellStart"/>
      <w:r w:rsidR="00DD3229" w:rsidRPr="00666A23">
        <w:rPr>
          <w:rFonts w:ascii="Times New Roman" w:eastAsia="Times New Roman" w:hAnsi="Times New Roman" w:cs="Times New Roman"/>
          <w:color w:val="00B0F0"/>
          <w:lang w:val="en-US" w:eastAsia="fr-FR"/>
        </w:rPr>
        <w:t>Zakamulin</w:t>
      </w:r>
      <w:proofErr w:type="spellEnd"/>
      <w:r w:rsidR="00DD3229" w:rsidRPr="00666A23">
        <w:rPr>
          <w:rFonts w:ascii="Times New Roman" w:eastAsia="Times New Roman" w:hAnsi="Times New Roman" w:cs="Times New Roman"/>
          <w:color w:val="00B0F0"/>
          <w:lang w:val="en-US" w:eastAsia="fr-FR"/>
        </w:rPr>
        <w:t xml:space="preserve"> (2017</w:t>
      </w:r>
      <w:r w:rsidRPr="00666A23">
        <w:rPr>
          <w:rFonts w:ascii="Times New Roman" w:eastAsia="Times New Roman" w:hAnsi="Times New Roman" w:cs="Times New Roman"/>
          <w:color w:val="00B0F0"/>
          <w:lang w:val="en-US" w:eastAsia="fr-FR"/>
        </w:rPr>
        <w:t>)</w:t>
      </w:r>
      <w:r w:rsidRPr="00666A23">
        <w:rPr>
          <w:rFonts w:ascii="Times New Roman" w:eastAsia="Times New Roman" w:hAnsi="Times New Roman" w:cs="Times New Roman"/>
          <w:lang w:val="en-US" w:eastAsia="fr-FR"/>
        </w:rPr>
        <w:t>.</w:t>
      </w:r>
    </w:p>
    <w:p w14:paraId="714C76EE"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 xml:space="preserve">Indeed, we tested the DCC multivariate model and the EWMA model, and the performance of the DCC-GARCH model was almost similar to that of the EWMA model. It appears that simple EWMA covariance matrix forecasting is only slightly inferior to multivariate forecasting. Therefore, practitioners who find multivariate GARCH models cumbersome to implement are encouraged to adopt the EWMA method, which is </w:t>
      </w:r>
      <w:r w:rsidR="00807411" w:rsidRPr="00807411">
        <w:rPr>
          <w:rFonts w:ascii="Times New Roman" w:eastAsia="Times New Roman" w:hAnsi="Times New Roman" w:cs="Times New Roman"/>
          <w:lang w:val="en-US" w:eastAsia="fr-FR"/>
        </w:rPr>
        <w:t>computationally simple and fast</w:t>
      </w:r>
      <w:r w:rsidRPr="000A6289">
        <w:rPr>
          <w:rFonts w:ascii="Times New Roman" w:eastAsia="Times New Roman" w:hAnsi="Times New Roman" w:cs="Times New Roman"/>
          <w:lang w:val="en-US" w:eastAsia="fr-FR"/>
        </w:rPr>
        <w:t>.</w:t>
      </w:r>
    </w:p>
    <w:p w14:paraId="39D42F54" w14:textId="77777777" w:rsidR="00122604" w:rsidRDefault="00122604" w:rsidP="000A6289">
      <w:pPr>
        <w:tabs>
          <w:tab w:val="left" w:pos="1816"/>
        </w:tabs>
        <w:rPr>
          <w:rFonts w:asciiTheme="majorBidi" w:hAnsiTheme="majorBidi" w:cstheme="majorBidi"/>
          <w:lang w:val="en-US"/>
        </w:rPr>
      </w:pPr>
    </w:p>
    <w:p w14:paraId="1C28707A" w14:textId="77777777" w:rsidR="00122604" w:rsidRPr="00122604" w:rsidRDefault="00122604" w:rsidP="00122604">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122604">
        <w:rPr>
          <w:rFonts w:ascii="Times New Roman" w:eastAsia="Times New Roman" w:hAnsi="Times New Roman" w:cs="Times New Roman"/>
          <w:b/>
          <w:bCs/>
          <w:sz w:val="24"/>
          <w:szCs w:val="24"/>
          <w:lang w:val="en-US" w:eastAsia="fr-FR"/>
        </w:rPr>
        <w:t xml:space="preserve">Conclusion </w:t>
      </w:r>
    </w:p>
    <w:p w14:paraId="566FAC52" w14:textId="77777777" w:rsidR="00122604" w:rsidRPr="001C4FAF" w:rsidRDefault="00122604" w:rsidP="00122604">
      <w:pPr>
        <w:spacing w:after="0" w:line="360" w:lineRule="auto"/>
        <w:jc w:val="both"/>
        <w:rPr>
          <w:rFonts w:ascii="Times New Roman" w:eastAsia="Times New Roman" w:hAnsi="Times New Roman" w:cs="Times New Roman"/>
          <w:lang w:val="en-US" w:eastAsia="fr-FR"/>
        </w:rPr>
      </w:pPr>
      <w:r w:rsidRPr="00122604">
        <w:rPr>
          <w:rFonts w:ascii="Times New Roman" w:eastAsia="Times New Roman" w:hAnsi="Times New Roman" w:cs="Times New Roman"/>
          <w:lang w:val="en-US" w:eastAsia="fr-FR"/>
        </w:rPr>
        <w:t>Managing a portfolio involves knowing how to make an investment profi</w:t>
      </w:r>
      <w:r w:rsidRPr="008D2A40">
        <w:rPr>
          <w:rFonts w:ascii="Times New Roman" w:eastAsia="Times New Roman" w:hAnsi="Times New Roman" w:cs="Times New Roman"/>
          <w:lang w:val="en-US" w:eastAsia="fr-FR"/>
        </w:rPr>
        <w:t>table</w:t>
      </w:r>
      <w:r w:rsidRPr="00122604">
        <w:rPr>
          <w:rFonts w:ascii="Times New Roman" w:eastAsia="Times New Roman" w:hAnsi="Times New Roman" w:cs="Times New Roman"/>
          <w:lang w:val="en-US" w:eastAsia="fr-FR"/>
        </w:rPr>
        <w:t xml:space="preserve">, but it also requires managing risk during market crises. Since Markowitz's pioneering work in 1952, several portfolio optimization models have emerged, such as the Most Diversified Portfolio (MDP) proposed by </w:t>
      </w:r>
      <w:proofErr w:type="spellStart"/>
      <w:r w:rsidRPr="00666A23">
        <w:rPr>
          <w:rFonts w:ascii="Times New Roman" w:eastAsia="Times New Roman" w:hAnsi="Times New Roman" w:cs="Times New Roman"/>
          <w:color w:val="00B0F0"/>
          <w:lang w:val="en-US" w:eastAsia="fr-FR"/>
        </w:rPr>
        <w:t>Choueifaty</w:t>
      </w:r>
      <w:proofErr w:type="spellEnd"/>
      <w:r w:rsidRPr="00666A23">
        <w:rPr>
          <w:rFonts w:ascii="Times New Roman" w:eastAsia="Times New Roman" w:hAnsi="Times New Roman" w:cs="Times New Roman"/>
          <w:color w:val="00B0F0"/>
          <w:lang w:val="en-US" w:eastAsia="fr-FR"/>
        </w:rPr>
        <w:t xml:space="preserve"> and </w:t>
      </w:r>
      <w:proofErr w:type="spellStart"/>
      <w:r w:rsidRPr="00666A23">
        <w:rPr>
          <w:rFonts w:ascii="Times New Roman" w:eastAsia="Times New Roman" w:hAnsi="Times New Roman" w:cs="Times New Roman"/>
          <w:color w:val="00B0F0"/>
          <w:lang w:val="en-US" w:eastAsia="fr-FR"/>
        </w:rPr>
        <w:t>Coignard</w:t>
      </w:r>
      <w:proofErr w:type="spellEnd"/>
      <w:r w:rsidRPr="00666A23">
        <w:rPr>
          <w:rFonts w:ascii="Times New Roman" w:eastAsia="Times New Roman" w:hAnsi="Times New Roman" w:cs="Times New Roman"/>
          <w:color w:val="00B0F0"/>
          <w:lang w:val="en-US" w:eastAsia="fr-FR"/>
        </w:rPr>
        <w:t xml:space="preserve"> (2008), </w:t>
      </w:r>
      <w:r w:rsidRPr="00122604">
        <w:rPr>
          <w:rFonts w:ascii="Times New Roman" w:eastAsia="Times New Roman" w:hAnsi="Times New Roman" w:cs="Times New Roman"/>
          <w:lang w:val="en-US" w:eastAsia="fr-FR"/>
        </w:rPr>
        <w:t xml:space="preserve">the Equally-weighted Risk Contribution (ERC) portfolio developed by </w:t>
      </w:r>
      <w:r w:rsidRPr="00666A23">
        <w:rPr>
          <w:rFonts w:ascii="Times New Roman" w:eastAsia="Times New Roman" w:hAnsi="Times New Roman" w:cs="Times New Roman"/>
          <w:color w:val="00B0F0"/>
          <w:lang w:val="en-US" w:eastAsia="fr-FR"/>
        </w:rPr>
        <w:t xml:space="preserve">Maillard, Roncalli, and </w:t>
      </w:r>
      <w:proofErr w:type="spellStart"/>
      <w:r w:rsidRPr="00666A23">
        <w:rPr>
          <w:rFonts w:ascii="Times New Roman" w:eastAsia="Times New Roman" w:hAnsi="Times New Roman" w:cs="Times New Roman"/>
          <w:color w:val="00B0F0"/>
          <w:lang w:val="en-US" w:eastAsia="fr-FR"/>
        </w:rPr>
        <w:t>Teiletche</w:t>
      </w:r>
      <w:proofErr w:type="spellEnd"/>
      <w:r w:rsidRPr="00666A23">
        <w:rPr>
          <w:rFonts w:ascii="Times New Roman" w:eastAsia="Times New Roman" w:hAnsi="Times New Roman" w:cs="Times New Roman"/>
          <w:color w:val="00B0F0"/>
          <w:lang w:val="en-US" w:eastAsia="fr-FR"/>
        </w:rPr>
        <w:t xml:space="preserve"> (2009), </w:t>
      </w:r>
      <w:r w:rsidRPr="00122604">
        <w:rPr>
          <w:rFonts w:ascii="Times New Roman" w:eastAsia="Times New Roman" w:hAnsi="Times New Roman" w:cs="Times New Roman"/>
          <w:lang w:val="en-US" w:eastAsia="fr-FR"/>
        </w:rPr>
        <w:t>the Inverse Volatility Portfol</w:t>
      </w:r>
      <w:r w:rsidR="00666A23">
        <w:rPr>
          <w:rFonts w:ascii="Times New Roman" w:eastAsia="Times New Roman" w:hAnsi="Times New Roman" w:cs="Times New Roman"/>
          <w:lang w:val="en-US" w:eastAsia="fr-FR"/>
        </w:rPr>
        <w:t xml:space="preserve">io (IVP) proposed by Clarke, </w:t>
      </w:r>
      <w:r w:rsidR="00666A23" w:rsidRPr="00666A23">
        <w:rPr>
          <w:rFonts w:ascii="Times New Roman" w:eastAsia="Times New Roman" w:hAnsi="Times New Roman" w:cs="Times New Roman"/>
          <w:color w:val="00B0F0"/>
          <w:lang w:val="en-US" w:eastAsia="fr-FR"/>
        </w:rPr>
        <w:t>De</w:t>
      </w:r>
      <w:r w:rsidRPr="00666A23">
        <w:rPr>
          <w:rFonts w:ascii="Times New Roman" w:eastAsia="Times New Roman" w:hAnsi="Times New Roman" w:cs="Times New Roman"/>
          <w:color w:val="00B0F0"/>
          <w:lang w:val="en-US" w:eastAsia="fr-FR"/>
        </w:rPr>
        <w:t>Silva, and Thorley (2013)</w:t>
      </w:r>
      <w:r w:rsidRPr="00122604">
        <w:rPr>
          <w:rFonts w:ascii="Times New Roman" w:eastAsia="Times New Roman" w:hAnsi="Times New Roman" w:cs="Times New Roman"/>
          <w:lang w:val="en-US" w:eastAsia="fr-FR"/>
        </w:rPr>
        <w:t xml:space="preserve">, and the Maximum Decorrelation Portfolio (MDCP) developed by </w:t>
      </w:r>
      <w:r w:rsidRPr="00666A23">
        <w:rPr>
          <w:rFonts w:ascii="Times New Roman" w:eastAsia="Times New Roman" w:hAnsi="Times New Roman" w:cs="Times New Roman"/>
          <w:color w:val="00B0F0"/>
          <w:lang w:val="en-US" w:eastAsia="fr-FR"/>
        </w:rPr>
        <w:t>Christoffersen et al. (2010).</w:t>
      </w:r>
    </w:p>
    <w:p w14:paraId="1532A1E1" w14:textId="77777777" w:rsidR="00122604" w:rsidRPr="00122604" w:rsidRDefault="00122604" w:rsidP="00122604">
      <w:pPr>
        <w:spacing w:after="0" w:line="360" w:lineRule="auto"/>
        <w:jc w:val="both"/>
        <w:rPr>
          <w:rFonts w:ascii="Times New Roman" w:eastAsia="Times New Roman" w:hAnsi="Times New Roman" w:cs="Times New Roman"/>
          <w:lang w:val="en-US" w:eastAsia="fr-FR"/>
        </w:rPr>
      </w:pPr>
      <w:r w:rsidRPr="00122604">
        <w:rPr>
          <w:rFonts w:ascii="Times New Roman" w:eastAsia="Times New Roman" w:hAnsi="Times New Roman" w:cs="Times New Roman"/>
          <w:lang w:val="en-US" w:eastAsia="fr-FR"/>
        </w:rPr>
        <w:t>Empirical evidence has shown that ERC, MDP, IVP, and MDCP portfolios produce positive performances and tend to outperform naive diversification and investing in a risk-free asset. The comparison among these different portfolios demonstrates that the MDP produces the best performances during financial crises, such as the one triggered by the COVID-19 pandemic.</w:t>
      </w:r>
    </w:p>
    <w:p w14:paraId="5278F148" w14:textId="77777777" w:rsidR="00122604" w:rsidRPr="00122604" w:rsidRDefault="00122604" w:rsidP="00122604">
      <w:pPr>
        <w:spacing w:after="0" w:line="360" w:lineRule="auto"/>
        <w:jc w:val="both"/>
        <w:rPr>
          <w:rFonts w:ascii="Times New Roman" w:eastAsia="Times New Roman" w:hAnsi="Times New Roman" w:cs="Times New Roman"/>
          <w:lang w:val="en-US" w:eastAsia="fr-FR"/>
        </w:rPr>
      </w:pPr>
      <w:r w:rsidRPr="00122604">
        <w:rPr>
          <w:rFonts w:ascii="Times New Roman" w:eastAsia="Times New Roman" w:hAnsi="Times New Roman" w:cs="Times New Roman"/>
          <w:lang w:val="en-US" w:eastAsia="fr-FR"/>
        </w:rPr>
        <w:t>However, since systematic market risk is not amenable to diversification, all these models only promise to reduce or completely eliminate unsystematic risk and cannot guarantee complete protection against unfavorable price movements. An increasing number of investors have abandoned traditional investment methodologies in favor of risk-based methodologies, which allocate risk instead of capital and do not require the use of expected returns. Based on this approach, the most widely used portfolios are the equal risk contribution portfolio, the maximum diversification portfolio, the minimum variance portfolio, the maximum decorrelation portfolio, and the inverse volatility portfolio. Although these portfolios exhibit interesting properties, they are still subject to some concerns. In fact, we show that these portfolios are not sensitive to specification errors in the covariance matrix.</w:t>
      </w:r>
    </w:p>
    <w:p w14:paraId="04CD2802" w14:textId="0F854DC4" w:rsidR="00122604" w:rsidRDefault="00122604" w:rsidP="00122604">
      <w:pPr>
        <w:spacing w:after="0" w:line="360" w:lineRule="auto"/>
        <w:jc w:val="both"/>
        <w:rPr>
          <w:rFonts w:ascii="Times New Roman" w:eastAsia="Times New Roman" w:hAnsi="Times New Roman" w:cs="Times New Roman"/>
          <w:lang w:val="en-US" w:eastAsia="fr-FR"/>
        </w:rPr>
      </w:pPr>
      <w:r w:rsidRPr="00122604">
        <w:rPr>
          <w:rFonts w:ascii="Times New Roman" w:eastAsia="Times New Roman" w:hAnsi="Times New Roman" w:cs="Times New Roman"/>
          <w:lang w:val="en-US" w:eastAsia="fr-FR"/>
        </w:rPr>
        <w:t>Finally, portfolio managers must be aware that, as with the MVP, concerns persist for risk-based portfolios. Although these approaches address the shortcomings of the mean-variance model, they are still not able to protect investors against extreme risks. Indeed, a major lesson from financial theory is the decomposition of the total risk of an asset or portfolio into two components: one that is diversifiable and another that is systematic and market-related. While the aforementioned portfolio optimization models aim to eliminate diversifiable risk, they do not offer any protection against systematic risk. This limitation has given rise to a new research trend: portfolio insurance.</w:t>
      </w:r>
    </w:p>
    <w:p w14:paraId="1374FB7B" w14:textId="77777777" w:rsidR="00451A47" w:rsidRDefault="00451A47" w:rsidP="00122604">
      <w:pPr>
        <w:spacing w:after="0" w:line="360" w:lineRule="auto"/>
        <w:jc w:val="both"/>
        <w:rPr>
          <w:rFonts w:ascii="Times New Roman" w:eastAsia="Times New Roman" w:hAnsi="Times New Roman" w:cs="Times New Roman"/>
          <w:lang w:val="en-US" w:eastAsia="fr-FR"/>
        </w:rPr>
      </w:pPr>
    </w:p>
    <w:p w14:paraId="7EE6B46F" w14:textId="77777777" w:rsidR="00451A47" w:rsidRDefault="00451A47" w:rsidP="00122604">
      <w:pPr>
        <w:spacing w:after="0" w:line="360" w:lineRule="auto"/>
        <w:jc w:val="both"/>
        <w:rPr>
          <w:rFonts w:ascii="Times New Roman" w:eastAsia="Times New Roman" w:hAnsi="Times New Roman" w:cs="Times New Roman"/>
          <w:lang w:val="en-US" w:eastAsia="fr-FR"/>
        </w:rPr>
      </w:pPr>
    </w:p>
    <w:p w14:paraId="08051DE4" w14:textId="47586475" w:rsidR="00985BDC" w:rsidRDefault="00985BDC" w:rsidP="00122604">
      <w:pPr>
        <w:spacing w:after="0" w:line="360" w:lineRule="auto"/>
        <w:jc w:val="both"/>
        <w:rPr>
          <w:rFonts w:ascii="Times New Roman" w:eastAsia="Times New Roman" w:hAnsi="Times New Roman" w:cs="Times New Roman"/>
          <w:lang w:val="en-US" w:eastAsia="fr-FR"/>
        </w:rPr>
      </w:pPr>
    </w:p>
    <w:p w14:paraId="59408745" w14:textId="77777777" w:rsidR="00985BDC" w:rsidRPr="00907CEF" w:rsidRDefault="00985BDC" w:rsidP="00985BDC">
      <w:pPr>
        <w:rPr>
          <w:b/>
        </w:rPr>
      </w:pPr>
      <w:r w:rsidRPr="00907CEF">
        <w:rPr>
          <w:b/>
          <w:highlight w:val="yellow"/>
        </w:rPr>
        <w:t>Disclaimer (</w:t>
      </w:r>
      <w:proofErr w:type="spellStart"/>
      <w:r w:rsidRPr="00907CEF">
        <w:rPr>
          <w:b/>
          <w:highlight w:val="yellow"/>
        </w:rPr>
        <w:t>Artificial</w:t>
      </w:r>
      <w:proofErr w:type="spellEnd"/>
      <w:r w:rsidRPr="00907CEF">
        <w:rPr>
          <w:b/>
          <w:highlight w:val="yellow"/>
        </w:rPr>
        <w:t xml:space="preserve"> intelligence)</w:t>
      </w:r>
    </w:p>
    <w:p w14:paraId="55F10F5B" w14:textId="5B3999E6" w:rsidR="00985BDC" w:rsidRPr="001E1E51" w:rsidRDefault="00985BDC" w:rsidP="00985BDC">
      <w:proofErr w:type="spellStart"/>
      <w:proofErr w:type="gramStart"/>
      <w:r w:rsidRPr="001E1E51">
        <w:t>hereby</w:t>
      </w:r>
      <w:proofErr w:type="spellEnd"/>
      <w:proofErr w:type="gramEnd"/>
      <w:r w:rsidRPr="001E1E51">
        <w:t xml:space="preserve"> </w:t>
      </w:r>
      <w:proofErr w:type="spellStart"/>
      <w:r w:rsidRPr="001E1E51">
        <w:t>declare</w:t>
      </w:r>
      <w:proofErr w:type="spellEnd"/>
      <w:r w:rsidRPr="001E1E51">
        <w:t xml:space="preserve"> </w:t>
      </w:r>
      <w:proofErr w:type="spellStart"/>
      <w:r w:rsidRPr="001E1E51">
        <w:t>that</w:t>
      </w:r>
      <w:proofErr w:type="spellEnd"/>
      <w:r w:rsidRPr="001E1E51">
        <w:t xml:space="preserve"> NO </w:t>
      </w:r>
      <w:proofErr w:type="spellStart"/>
      <w:r w:rsidRPr="001E1E51">
        <w:t>generative</w:t>
      </w:r>
      <w:proofErr w:type="spellEnd"/>
      <w:r w:rsidRPr="001E1E51">
        <w:t xml:space="preserve"> AI technologies </w:t>
      </w:r>
      <w:proofErr w:type="spellStart"/>
      <w:r w:rsidRPr="001E1E51">
        <w:t>such</w:t>
      </w:r>
      <w:proofErr w:type="spellEnd"/>
      <w:r w:rsidRPr="001E1E51">
        <w:t xml:space="preserve"> as Large </w:t>
      </w:r>
      <w:proofErr w:type="spellStart"/>
      <w:r w:rsidRPr="001E1E51">
        <w:t>Language</w:t>
      </w:r>
      <w:proofErr w:type="spellEnd"/>
      <w:r w:rsidRPr="001E1E51">
        <w:t xml:space="preserve"> </w:t>
      </w:r>
      <w:proofErr w:type="spellStart"/>
      <w:r w:rsidRPr="001E1E51">
        <w:t>Models</w:t>
      </w:r>
      <w:proofErr w:type="spellEnd"/>
      <w:r w:rsidRPr="001E1E51">
        <w:t xml:space="preserve"> (</w:t>
      </w:r>
      <w:proofErr w:type="spellStart"/>
      <w:r w:rsidRPr="001E1E51">
        <w:t>ChatGPT</w:t>
      </w:r>
      <w:proofErr w:type="spellEnd"/>
      <w:r w:rsidRPr="001E1E51">
        <w:t xml:space="preserve">, COPILOT, etc.) and </w:t>
      </w:r>
      <w:proofErr w:type="spellStart"/>
      <w:r w:rsidRPr="001E1E51">
        <w:t>text</w:t>
      </w:r>
      <w:proofErr w:type="spellEnd"/>
      <w:r w:rsidRPr="001E1E51">
        <w:t xml:space="preserve">-to-image </w:t>
      </w:r>
      <w:proofErr w:type="spellStart"/>
      <w:r w:rsidRPr="001E1E51">
        <w:t>generators</w:t>
      </w:r>
      <w:proofErr w:type="spellEnd"/>
      <w:r w:rsidRPr="001E1E51">
        <w:t xml:space="preserve"> have been </w:t>
      </w:r>
      <w:proofErr w:type="spellStart"/>
      <w:r w:rsidRPr="001E1E51">
        <w:t>used</w:t>
      </w:r>
      <w:proofErr w:type="spellEnd"/>
      <w:r w:rsidRPr="001E1E51">
        <w:t xml:space="preserve"> </w:t>
      </w:r>
      <w:proofErr w:type="spellStart"/>
      <w:r w:rsidRPr="001E1E51">
        <w:t>during</w:t>
      </w:r>
      <w:proofErr w:type="spellEnd"/>
      <w:r w:rsidRPr="001E1E51">
        <w:t xml:space="preserve"> the </w:t>
      </w:r>
      <w:proofErr w:type="spellStart"/>
      <w:r w:rsidRPr="001E1E51">
        <w:t>writing</w:t>
      </w:r>
      <w:proofErr w:type="spellEnd"/>
      <w:r w:rsidRPr="001E1E51">
        <w:t xml:space="preserve"> or </w:t>
      </w:r>
      <w:proofErr w:type="spellStart"/>
      <w:r w:rsidRPr="001E1E51">
        <w:t>editing</w:t>
      </w:r>
      <w:proofErr w:type="spellEnd"/>
      <w:r w:rsidRPr="001E1E51">
        <w:t xml:space="preserve"> of </w:t>
      </w:r>
      <w:proofErr w:type="spellStart"/>
      <w:r w:rsidRPr="001E1E51">
        <w:t>this</w:t>
      </w:r>
      <w:proofErr w:type="spellEnd"/>
      <w:r w:rsidRPr="001E1E51">
        <w:t xml:space="preserve"> </w:t>
      </w:r>
      <w:proofErr w:type="spellStart"/>
      <w:r w:rsidRPr="001E1E51">
        <w:t>manuscript</w:t>
      </w:r>
      <w:proofErr w:type="spellEnd"/>
      <w:r w:rsidRPr="001E1E51">
        <w:t xml:space="preserve">. </w:t>
      </w:r>
    </w:p>
    <w:p w14:paraId="2512B1ED" w14:textId="77777777" w:rsidR="00985BDC" w:rsidRDefault="00985BDC" w:rsidP="00122604">
      <w:pPr>
        <w:spacing w:after="0" w:line="360" w:lineRule="auto"/>
        <w:jc w:val="both"/>
        <w:rPr>
          <w:rFonts w:ascii="Times New Roman" w:eastAsia="Times New Roman" w:hAnsi="Times New Roman" w:cs="Times New Roman"/>
          <w:lang w:val="en-US" w:eastAsia="fr-FR"/>
        </w:rPr>
      </w:pPr>
    </w:p>
    <w:p w14:paraId="4D8487D4" w14:textId="77777777" w:rsidR="00122604" w:rsidRDefault="00122604" w:rsidP="00122604">
      <w:pPr>
        <w:spacing w:after="0" w:line="360" w:lineRule="auto"/>
        <w:jc w:val="both"/>
        <w:rPr>
          <w:rFonts w:ascii="Times New Roman" w:eastAsia="Times New Roman" w:hAnsi="Times New Roman" w:cs="Times New Roman"/>
          <w:lang w:val="en-US" w:eastAsia="fr-FR"/>
        </w:rPr>
      </w:pPr>
    </w:p>
    <w:p w14:paraId="2D93D024" w14:textId="17758ED8" w:rsidR="00122604" w:rsidRDefault="00122604" w:rsidP="00122604">
      <w:pPr>
        <w:pStyle w:val="Heading3"/>
        <w:numPr>
          <w:ilvl w:val="0"/>
          <w:numId w:val="0"/>
        </w:numPr>
      </w:pPr>
      <w:r>
        <w:t>References</w:t>
      </w:r>
    </w:p>
    <w:p w14:paraId="1AA4B7B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Aktas</w:t>
      </w:r>
      <w:proofErr w:type="spellEnd"/>
      <w:r w:rsidRPr="00DD3229">
        <w:rPr>
          <w:rFonts w:ascii="Times New Roman" w:eastAsia="Times New Roman" w:hAnsi="Times New Roman" w:cs="Times New Roman"/>
          <w:lang w:val="en-US" w:eastAsia="fr-FR"/>
        </w:rPr>
        <w:t xml:space="preserve">, N., (2004). La finance </w:t>
      </w:r>
      <w:proofErr w:type="spellStart"/>
      <w:r w:rsidRPr="00DD3229">
        <w:rPr>
          <w:rFonts w:ascii="Times New Roman" w:eastAsia="Times New Roman" w:hAnsi="Times New Roman" w:cs="Times New Roman"/>
          <w:lang w:val="en-US" w:eastAsia="fr-FR"/>
        </w:rPr>
        <w:t>comportementale</w:t>
      </w:r>
      <w:proofErr w:type="spellEnd"/>
      <w:r w:rsidRPr="00DD3229">
        <w:rPr>
          <w:rFonts w:ascii="Times New Roman" w:eastAsia="Times New Roman" w:hAnsi="Times New Roman" w:cs="Times New Roman"/>
          <w:lang w:val="en-US" w:eastAsia="fr-FR"/>
        </w:rPr>
        <w:t xml:space="preserve">, un </w:t>
      </w:r>
      <w:proofErr w:type="spellStart"/>
      <w:r w:rsidRPr="00DD3229">
        <w:rPr>
          <w:rFonts w:ascii="Times New Roman" w:eastAsia="Times New Roman" w:hAnsi="Times New Roman" w:cs="Times New Roman"/>
          <w:lang w:val="en-US" w:eastAsia="fr-FR"/>
        </w:rPr>
        <w:t>état</w:t>
      </w:r>
      <w:proofErr w:type="spellEnd"/>
      <w:r w:rsidRPr="00DD3229">
        <w:rPr>
          <w:rFonts w:ascii="Times New Roman" w:eastAsia="Times New Roman" w:hAnsi="Times New Roman" w:cs="Times New Roman"/>
          <w:lang w:val="en-US" w:eastAsia="fr-FR"/>
        </w:rPr>
        <w:t xml:space="preserve"> des </w:t>
      </w:r>
      <w:proofErr w:type="spellStart"/>
      <w:r w:rsidRPr="00DD3229">
        <w:rPr>
          <w:rFonts w:ascii="Times New Roman" w:eastAsia="Times New Roman" w:hAnsi="Times New Roman" w:cs="Times New Roman"/>
          <w:lang w:val="en-US" w:eastAsia="fr-FR"/>
        </w:rPr>
        <w:t>lieux</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Reflets</w:t>
      </w:r>
      <w:proofErr w:type="spellEnd"/>
      <w:r w:rsidRPr="00DD3229">
        <w:rPr>
          <w:rFonts w:ascii="Times New Roman" w:eastAsia="Times New Roman" w:hAnsi="Times New Roman" w:cs="Times New Roman"/>
          <w:lang w:val="en-US" w:eastAsia="fr-FR"/>
        </w:rPr>
        <w:t xml:space="preserve"> et perspectives de la vie </w:t>
      </w:r>
      <w:proofErr w:type="spellStart"/>
      <w:r w:rsidRPr="00DD3229">
        <w:rPr>
          <w:rFonts w:ascii="Times New Roman" w:eastAsia="Times New Roman" w:hAnsi="Times New Roman" w:cs="Times New Roman"/>
          <w:lang w:val="en-US" w:eastAsia="fr-FR"/>
        </w:rPr>
        <w:t>économique</w:t>
      </w:r>
      <w:proofErr w:type="spellEnd"/>
      <w:r w:rsidRPr="00DD3229">
        <w:rPr>
          <w:rFonts w:ascii="Times New Roman" w:eastAsia="Times New Roman" w:hAnsi="Times New Roman" w:cs="Times New Roman"/>
          <w:lang w:val="en-US" w:eastAsia="fr-FR"/>
        </w:rPr>
        <w:t xml:space="preserve"> (XLIII), pp.19-33.</w:t>
      </w:r>
    </w:p>
    <w:p w14:paraId="3C27C72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Alexander (2001). Orthogonal GARCH. Mastering Risk 2, p 21–38</w:t>
      </w:r>
    </w:p>
    <w:p w14:paraId="5D0F484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 Alexander et </w:t>
      </w:r>
      <w:proofErr w:type="spellStart"/>
      <w:r w:rsidRPr="00DD3229">
        <w:rPr>
          <w:rFonts w:ascii="Times New Roman" w:eastAsia="Times New Roman" w:hAnsi="Times New Roman" w:cs="Times New Roman"/>
          <w:lang w:val="en-US" w:eastAsia="fr-FR"/>
        </w:rPr>
        <w:t>Chibumba</w:t>
      </w:r>
      <w:proofErr w:type="spellEnd"/>
      <w:r w:rsidRPr="00DD3229">
        <w:rPr>
          <w:rFonts w:ascii="Times New Roman" w:eastAsia="Times New Roman" w:hAnsi="Times New Roman" w:cs="Times New Roman"/>
          <w:lang w:val="en-US" w:eastAsia="fr-FR"/>
        </w:rPr>
        <w:t xml:space="preserve"> (1996). GO-GARCH: A Multivariate Generalized Orthogonal GARCH Model. Journal of Applied Econometrics, vol17, p 549-564.</w:t>
      </w:r>
    </w:p>
    <w:p w14:paraId="2E54BF5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Ardia, David, Guido </w:t>
      </w:r>
      <w:proofErr w:type="spellStart"/>
      <w:r w:rsidRPr="00DD3229">
        <w:rPr>
          <w:rFonts w:ascii="Times New Roman" w:eastAsia="Times New Roman" w:hAnsi="Times New Roman" w:cs="Times New Roman"/>
          <w:lang w:val="en-US" w:eastAsia="fr-FR"/>
        </w:rPr>
        <w:t>Bolliger</w:t>
      </w:r>
      <w:proofErr w:type="spellEnd"/>
      <w:r w:rsidRPr="00DD3229">
        <w:rPr>
          <w:rFonts w:ascii="Times New Roman" w:eastAsia="Times New Roman" w:hAnsi="Times New Roman" w:cs="Times New Roman"/>
          <w:lang w:val="en-US" w:eastAsia="fr-FR"/>
        </w:rPr>
        <w:t xml:space="preserve">, Kris </w:t>
      </w:r>
      <w:proofErr w:type="spellStart"/>
      <w:r w:rsidRPr="00DD3229">
        <w:rPr>
          <w:rFonts w:ascii="Times New Roman" w:eastAsia="Times New Roman" w:hAnsi="Times New Roman" w:cs="Times New Roman"/>
          <w:lang w:val="en-US" w:eastAsia="fr-FR"/>
        </w:rPr>
        <w:t>Boudt</w:t>
      </w:r>
      <w:proofErr w:type="spellEnd"/>
      <w:r w:rsidRPr="00DD3229">
        <w:rPr>
          <w:rFonts w:ascii="Times New Roman" w:eastAsia="Times New Roman" w:hAnsi="Times New Roman" w:cs="Times New Roman"/>
          <w:lang w:val="en-US" w:eastAsia="fr-FR"/>
        </w:rPr>
        <w:t>, and Jean Philippe Gagnon-Fleury. 2017. The Impact of Covariance Misspecification in Risk-Based Portfolios. Annals of Operations Research 254: 1–16.</w:t>
      </w:r>
    </w:p>
    <w:p w14:paraId="043CFD2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Ardia, D., &amp;</w:t>
      </w:r>
      <w:proofErr w:type="spellStart"/>
      <w:r w:rsidRPr="00DD3229">
        <w:rPr>
          <w:rFonts w:ascii="Times New Roman" w:eastAsia="Times New Roman" w:hAnsi="Times New Roman" w:cs="Times New Roman"/>
          <w:lang w:val="en-US" w:eastAsia="fr-FR"/>
        </w:rPr>
        <w:t>Boudt</w:t>
      </w:r>
      <w:proofErr w:type="spellEnd"/>
      <w:r w:rsidRPr="00DD3229">
        <w:rPr>
          <w:rFonts w:ascii="Times New Roman" w:eastAsia="Times New Roman" w:hAnsi="Times New Roman" w:cs="Times New Roman"/>
          <w:lang w:val="en-US" w:eastAsia="fr-FR"/>
        </w:rPr>
        <w:t>, K. (2015). Implied expected returns and the choice of a mean-variance efficient portfolio proxy. Journal of Portfolio Management, 41(4), 66–81.</w:t>
      </w:r>
    </w:p>
    <w:p w14:paraId="32C9139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Ardia, D., </w:t>
      </w:r>
      <w:proofErr w:type="spellStart"/>
      <w:r w:rsidRPr="00DD3229">
        <w:rPr>
          <w:rFonts w:ascii="Times New Roman" w:eastAsia="Times New Roman" w:hAnsi="Times New Roman" w:cs="Times New Roman"/>
          <w:lang w:val="en-US" w:eastAsia="fr-FR"/>
        </w:rPr>
        <w:t>Boudt</w:t>
      </w:r>
      <w:proofErr w:type="spellEnd"/>
      <w:r w:rsidRPr="00DD3229">
        <w:rPr>
          <w:rFonts w:ascii="Times New Roman" w:eastAsia="Times New Roman" w:hAnsi="Times New Roman" w:cs="Times New Roman"/>
          <w:lang w:val="en-US" w:eastAsia="fr-FR"/>
        </w:rPr>
        <w:t xml:space="preserve">, K., Gagnon-Fleury, J.-P. (2017). </w:t>
      </w:r>
      <w:proofErr w:type="spellStart"/>
      <w:r w:rsidRPr="00DD3229">
        <w:rPr>
          <w:rFonts w:ascii="Times New Roman" w:eastAsia="Times New Roman" w:hAnsi="Times New Roman" w:cs="Times New Roman"/>
          <w:lang w:val="en-US" w:eastAsia="fr-FR"/>
        </w:rPr>
        <w:t>RiskPortfolios</w:t>
      </w:r>
      <w:proofErr w:type="spellEnd"/>
      <w:r w:rsidRPr="00DD3229">
        <w:rPr>
          <w:rFonts w:ascii="Times New Roman" w:eastAsia="Times New Roman" w:hAnsi="Times New Roman" w:cs="Times New Roman"/>
          <w:lang w:val="en-US" w:eastAsia="fr-FR"/>
        </w:rPr>
        <w:t>: Computation of risk-based portfolios in R. Journal of Open-Source Software, 2(10).</w:t>
      </w:r>
    </w:p>
    <w:p w14:paraId="67007D50"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Arditti, F. (1967). Risk and the required return on equity. The Journal of Finance, Vol. 22, p 19-36. </w:t>
      </w:r>
    </w:p>
    <w:p w14:paraId="18D4458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Arditti, F. (1971). Skewness and Investor’s Decisions: A </w:t>
      </w:r>
      <w:proofErr w:type="spellStart"/>
      <w:r w:rsidRPr="00DD3229">
        <w:rPr>
          <w:rFonts w:ascii="Times New Roman" w:eastAsia="Times New Roman" w:hAnsi="Times New Roman" w:cs="Times New Roman"/>
          <w:lang w:val="en-US" w:eastAsia="fr-FR"/>
        </w:rPr>
        <w:t>Reply.The</w:t>
      </w:r>
      <w:proofErr w:type="spellEnd"/>
      <w:r w:rsidRPr="00DD3229">
        <w:rPr>
          <w:rFonts w:ascii="Times New Roman" w:eastAsia="Times New Roman" w:hAnsi="Times New Roman" w:cs="Times New Roman"/>
          <w:lang w:val="en-US" w:eastAsia="fr-FR"/>
        </w:rPr>
        <w:t xml:space="preserve"> Journal of Financial and Quantitative Analysis 10, p 173-176. </w:t>
      </w:r>
    </w:p>
    <w:p w14:paraId="227BE8E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Ball, R., et Kothari, S. (1989). Non stationary Expected returns: implications for tests of market efficiency and serial correlation in </w:t>
      </w:r>
      <w:proofErr w:type="spellStart"/>
      <w:proofErr w:type="gramStart"/>
      <w:r w:rsidRPr="00DD3229">
        <w:rPr>
          <w:rFonts w:ascii="Times New Roman" w:eastAsia="Times New Roman" w:hAnsi="Times New Roman" w:cs="Times New Roman"/>
          <w:lang w:val="en-US" w:eastAsia="fr-FR"/>
        </w:rPr>
        <w:t>returns.Journal</w:t>
      </w:r>
      <w:proofErr w:type="spellEnd"/>
      <w:proofErr w:type="gramEnd"/>
      <w:r w:rsidRPr="00DD3229">
        <w:rPr>
          <w:rFonts w:ascii="Times New Roman" w:eastAsia="Times New Roman" w:hAnsi="Times New Roman" w:cs="Times New Roman"/>
          <w:lang w:val="en-US" w:eastAsia="fr-FR"/>
        </w:rPr>
        <w:t xml:space="preserve"> of Financial Economics, p 51-74.</w:t>
      </w:r>
    </w:p>
    <w:p w14:paraId="06A24A0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Barone-</w:t>
      </w:r>
      <w:proofErr w:type="spellStart"/>
      <w:r w:rsidRPr="00DD3229">
        <w:rPr>
          <w:rFonts w:ascii="Times New Roman" w:eastAsia="Times New Roman" w:hAnsi="Times New Roman" w:cs="Times New Roman"/>
          <w:lang w:val="en-US" w:eastAsia="fr-FR"/>
        </w:rPr>
        <w:t>Adesi</w:t>
      </w:r>
      <w:proofErr w:type="spellEnd"/>
      <w:r w:rsidRPr="00DD3229">
        <w:rPr>
          <w:rFonts w:ascii="Times New Roman" w:eastAsia="Times New Roman" w:hAnsi="Times New Roman" w:cs="Times New Roman"/>
          <w:lang w:val="en-US" w:eastAsia="fr-FR"/>
        </w:rPr>
        <w:t xml:space="preserve">, G. (1985). Arbitrage Equilibrium with Skewed Asset Returns. Journal of Financial and Quantitative Analysis 20, p 299-311. </w:t>
      </w:r>
    </w:p>
    <w:p w14:paraId="1AFF725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Barrois,T</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(1834).</w:t>
      </w:r>
      <w:proofErr w:type="spellStart"/>
      <w:r w:rsidRPr="00DD3229">
        <w:rPr>
          <w:rFonts w:ascii="Times New Roman" w:eastAsia="Times New Roman" w:hAnsi="Times New Roman" w:cs="Times New Roman"/>
          <w:lang w:val="en-US" w:eastAsia="fr-FR"/>
        </w:rPr>
        <w:t>Essai</w:t>
      </w:r>
      <w:proofErr w:type="spellEnd"/>
      <w:r w:rsidRPr="00DD3229">
        <w:rPr>
          <w:rFonts w:ascii="Times New Roman" w:eastAsia="Times New Roman" w:hAnsi="Times New Roman" w:cs="Times New Roman"/>
          <w:lang w:val="en-US" w:eastAsia="fr-FR"/>
        </w:rPr>
        <w:t xml:space="preserve"> sur </w:t>
      </w:r>
      <w:proofErr w:type="spellStart"/>
      <w:r w:rsidRPr="00DD3229">
        <w:rPr>
          <w:rFonts w:ascii="Times New Roman" w:eastAsia="Times New Roman" w:hAnsi="Times New Roman" w:cs="Times New Roman"/>
          <w:lang w:val="en-US" w:eastAsia="fr-FR"/>
        </w:rPr>
        <w:t>l’application</w:t>
      </w:r>
      <w:proofErr w:type="spellEnd"/>
      <w:r w:rsidRPr="00DD3229">
        <w:rPr>
          <w:rFonts w:ascii="Times New Roman" w:eastAsia="Times New Roman" w:hAnsi="Times New Roman" w:cs="Times New Roman"/>
          <w:lang w:val="en-US" w:eastAsia="fr-FR"/>
        </w:rPr>
        <w:t xml:space="preserve"> du </w:t>
      </w:r>
      <w:proofErr w:type="spellStart"/>
      <w:r w:rsidRPr="00DD3229">
        <w:rPr>
          <w:rFonts w:ascii="Times New Roman" w:eastAsia="Times New Roman" w:hAnsi="Times New Roman" w:cs="Times New Roman"/>
          <w:lang w:val="en-US" w:eastAsia="fr-FR"/>
        </w:rPr>
        <w:t>calcul</w:t>
      </w:r>
      <w:proofErr w:type="spellEnd"/>
      <w:r w:rsidRPr="00DD3229">
        <w:rPr>
          <w:rFonts w:ascii="Times New Roman" w:eastAsia="Times New Roman" w:hAnsi="Times New Roman" w:cs="Times New Roman"/>
          <w:lang w:val="en-US" w:eastAsia="fr-FR"/>
        </w:rPr>
        <w:t xml:space="preserve"> des </w:t>
      </w:r>
      <w:proofErr w:type="spellStart"/>
      <w:r w:rsidRPr="00DD3229">
        <w:rPr>
          <w:rFonts w:ascii="Times New Roman" w:eastAsia="Times New Roman" w:hAnsi="Times New Roman" w:cs="Times New Roman"/>
          <w:lang w:val="en-US" w:eastAsia="fr-FR"/>
        </w:rPr>
        <w:t>probabilités</w:t>
      </w:r>
      <w:proofErr w:type="spellEnd"/>
      <w:r w:rsidRPr="00DD3229">
        <w:rPr>
          <w:rFonts w:ascii="Times New Roman" w:eastAsia="Times New Roman" w:hAnsi="Times New Roman" w:cs="Times New Roman"/>
          <w:lang w:val="en-US" w:eastAsia="fr-FR"/>
        </w:rPr>
        <w:t xml:space="preserve"> aux assurances </w:t>
      </w:r>
      <w:proofErr w:type="spellStart"/>
      <w:r w:rsidRPr="00DD3229">
        <w:rPr>
          <w:rFonts w:ascii="Times New Roman" w:eastAsia="Times New Roman" w:hAnsi="Times New Roman" w:cs="Times New Roman"/>
          <w:lang w:val="en-US" w:eastAsia="fr-FR"/>
        </w:rPr>
        <w:t>contre</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l’incendie</w:t>
      </w:r>
      <w:proofErr w:type="spellEnd"/>
      <w:r w:rsidRPr="00DD3229">
        <w:rPr>
          <w:rFonts w:ascii="Times New Roman" w:eastAsia="Times New Roman" w:hAnsi="Times New Roman" w:cs="Times New Roman"/>
          <w:lang w:val="en-US" w:eastAsia="fr-FR"/>
        </w:rPr>
        <w:t>. Lille.</w:t>
      </w:r>
    </w:p>
    <w:p w14:paraId="54D183F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Bekaert, G., et Wu, G. (2000). Asymmetric volatility and risk in equity markets. review of financial studies, p 1-42. </w:t>
      </w:r>
    </w:p>
    <w:p w14:paraId="04C05BD9" w14:textId="66EEAA85"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Bernoulli, D., (1738). Specimen </w:t>
      </w:r>
      <w:proofErr w:type="spellStart"/>
      <w:r w:rsidRPr="00DD3229">
        <w:rPr>
          <w:rFonts w:ascii="Times New Roman" w:eastAsia="Times New Roman" w:hAnsi="Times New Roman" w:cs="Times New Roman"/>
          <w:lang w:val="en-US" w:eastAsia="fr-FR"/>
        </w:rPr>
        <w:t>theoriae</w:t>
      </w:r>
      <w:proofErr w:type="spellEnd"/>
      <w:r w:rsidRPr="00DD3229">
        <w:rPr>
          <w:rFonts w:ascii="Times New Roman" w:eastAsia="Times New Roman" w:hAnsi="Times New Roman" w:cs="Times New Roman"/>
          <w:lang w:val="en-US" w:eastAsia="fr-FR"/>
        </w:rPr>
        <w:t xml:space="preserve"> novae de mensura </w:t>
      </w:r>
      <w:proofErr w:type="spellStart"/>
      <w:r w:rsidRPr="00DD3229">
        <w:rPr>
          <w:rFonts w:ascii="Times New Roman" w:eastAsia="Times New Roman" w:hAnsi="Times New Roman" w:cs="Times New Roman"/>
          <w:lang w:val="en-US" w:eastAsia="fr-FR"/>
        </w:rPr>
        <w:t>sortis</w:t>
      </w:r>
      <w:proofErr w:type="spellEnd"/>
      <w:r w:rsidRPr="00DD3229">
        <w:rPr>
          <w:rFonts w:ascii="Times New Roman" w:eastAsia="Times New Roman" w:hAnsi="Times New Roman" w:cs="Times New Roman"/>
          <w:lang w:val="en-US" w:eastAsia="fr-FR"/>
        </w:rPr>
        <w:t xml:space="preserve">, In </w:t>
      </w:r>
      <w:proofErr w:type="spellStart"/>
      <w:r w:rsidRPr="00DD3229">
        <w:rPr>
          <w:rFonts w:ascii="Times New Roman" w:eastAsia="Times New Roman" w:hAnsi="Times New Roman" w:cs="Times New Roman"/>
          <w:lang w:val="en-US" w:eastAsia="fr-FR"/>
        </w:rPr>
        <w:t>Commentarii</w:t>
      </w:r>
      <w:proofErr w:type="spellEnd"/>
      <w:r w:rsidR="005A6AFE">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Academiae</w:t>
      </w:r>
      <w:proofErr w:type="spellEnd"/>
      <w:r w:rsidR="005A6AFE">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Scientiarum</w:t>
      </w:r>
      <w:proofErr w:type="spellEnd"/>
      <w:r w:rsidR="005A6AFE">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Imperialis</w:t>
      </w:r>
      <w:proofErr w:type="spellEnd"/>
      <w:r w:rsidR="005A6AFE">
        <w:rPr>
          <w:rFonts w:ascii="Times New Roman" w:eastAsia="Times New Roman" w:hAnsi="Times New Roman" w:cs="Times New Roman"/>
          <w:lang w:val="en-US" w:eastAsia="fr-FR"/>
        </w:rPr>
        <w:t xml:space="preserve"> </w:t>
      </w:r>
      <w:proofErr w:type="spellStart"/>
      <w:proofErr w:type="gramStart"/>
      <w:r w:rsidRPr="00DD3229">
        <w:rPr>
          <w:rFonts w:ascii="Times New Roman" w:eastAsia="Times New Roman" w:hAnsi="Times New Roman" w:cs="Times New Roman"/>
          <w:lang w:val="en-US" w:eastAsia="fr-FR"/>
        </w:rPr>
        <w:t>Petropolitanae</w:t>
      </w:r>
      <w:proofErr w:type="spellEnd"/>
      <w:r w:rsidRPr="00DD3229">
        <w:rPr>
          <w:rFonts w:ascii="Times New Roman" w:eastAsia="Times New Roman" w:hAnsi="Times New Roman" w:cs="Times New Roman"/>
          <w:lang w:val="en-US" w:eastAsia="fr-FR"/>
        </w:rPr>
        <w:t xml:space="preserve"> .</w:t>
      </w:r>
      <w:proofErr w:type="gramEnd"/>
      <w:r w:rsidRPr="00DD3229">
        <w:rPr>
          <w:rFonts w:ascii="Times New Roman" w:eastAsia="Times New Roman" w:hAnsi="Times New Roman" w:cs="Times New Roman"/>
          <w:lang w:val="en-US" w:eastAsia="fr-FR"/>
        </w:rPr>
        <w:t>Vol. 7, pp. 175-192.</w:t>
      </w:r>
    </w:p>
    <w:p w14:paraId="6290416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Bertrand, P., &amp; Lapointe, V. (2015). Risk-based strategies: The social responsibility of investment universes does matter. Annals of Operations Research, 1–17.</w:t>
      </w:r>
    </w:p>
    <w:p w14:paraId="53295D9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Black, F., et Jones, R. (1987). Simplifying portfolio insurance. Journal of Portfolio </w:t>
      </w:r>
    </w:p>
    <w:p w14:paraId="74F82F8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Black, F., et </w:t>
      </w:r>
      <w:proofErr w:type="spellStart"/>
      <w:r w:rsidRPr="00DD3229">
        <w:rPr>
          <w:rFonts w:ascii="Times New Roman" w:eastAsia="Times New Roman" w:hAnsi="Times New Roman" w:cs="Times New Roman"/>
          <w:lang w:val="en-US" w:eastAsia="fr-FR"/>
        </w:rPr>
        <w:t>Litterman</w:t>
      </w:r>
      <w:proofErr w:type="spellEnd"/>
      <w:r w:rsidRPr="00DD3229">
        <w:rPr>
          <w:rFonts w:ascii="Times New Roman" w:eastAsia="Times New Roman" w:hAnsi="Times New Roman" w:cs="Times New Roman"/>
          <w:lang w:val="en-US" w:eastAsia="fr-FR"/>
        </w:rPr>
        <w:t>, R. (1992). Global Portfolio Optimization”, Financial Analysts Equity Risk. Journal of International Money and Finance 26: p 1239-1260.</w:t>
      </w:r>
    </w:p>
    <w:p w14:paraId="7044981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Bollerslev (1990) .A multivariate generalized ARCH approach to modeling risk premia in forward foreign exchange rate </w:t>
      </w:r>
      <w:proofErr w:type="spellStart"/>
      <w:r w:rsidRPr="00DD3229">
        <w:rPr>
          <w:rFonts w:ascii="Times New Roman" w:eastAsia="Times New Roman" w:hAnsi="Times New Roman" w:cs="Times New Roman"/>
          <w:lang w:val="en-US" w:eastAsia="fr-FR"/>
        </w:rPr>
        <w:t>markets.</w:t>
      </w:r>
      <w:hyperlink r:id="rId26" w:tooltip="Go to Journal of International Money and Finance on ScienceDirect" w:history="1">
        <w:r w:rsidRPr="00DD3229">
          <w:rPr>
            <w:rFonts w:ascii="Times New Roman" w:eastAsia="Times New Roman" w:hAnsi="Times New Roman" w:cs="Times New Roman"/>
            <w:lang w:val="en-US" w:eastAsia="fr-FR"/>
          </w:rPr>
          <w:t>Journal</w:t>
        </w:r>
        <w:proofErr w:type="spellEnd"/>
        <w:r w:rsidRPr="00DD3229">
          <w:rPr>
            <w:rFonts w:ascii="Times New Roman" w:eastAsia="Times New Roman" w:hAnsi="Times New Roman" w:cs="Times New Roman"/>
            <w:lang w:val="en-US" w:eastAsia="fr-FR"/>
          </w:rPr>
          <w:t xml:space="preserve"> of International Money and </w:t>
        </w:r>
        <w:proofErr w:type="spellStart"/>
        <w:r w:rsidRPr="00DD3229">
          <w:rPr>
            <w:rFonts w:ascii="Times New Roman" w:eastAsia="Times New Roman" w:hAnsi="Times New Roman" w:cs="Times New Roman"/>
            <w:lang w:val="en-US" w:eastAsia="fr-FR"/>
          </w:rPr>
          <w:t>Finance</w:t>
        </w:r>
      </w:hyperlink>
      <w:r w:rsidRPr="00DD3229">
        <w:rPr>
          <w:rFonts w:ascii="Times New Roman" w:eastAsia="Times New Roman" w:hAnsi="Times New Roman" w:cs="Times New Roman"/>
          <w:lang w:val="en-US" w:eastAsia="fr-FR"/>
        </w:rPr>
        <w:t>,p</w:t>
      </w:r>
      <w:proofErr w:type="spellEnd"/>
      <w:r w:rsidRPr="00DD3229">
        <w:rPr>
          <w:rFonts w:ascii="Times New Roman" w:eastAsia="Times New Roman" w:hAnsi="Times New Roman" w:cs="Times New Roman"/>
          <w:lang w:val="en-US" w:eastAsia="fr-FR"/>
        </w:rPr>
        <w:t xml:space="preserve"> 309-324.</w:t>
      </w:r>
    </w:p>
    <w:p w14:paraId="128CD91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Bollerslev, Chou et Kroner (1992) .ARCH modeling in finance: A review of the theory and empirical </w:t>
      </w:r>
      <w:proofErr w:type="spellStart"/>
      <w:r w:rsidRPr="00DD3229">
        <w:rPr>
          <w:rFonts w:ascii="Times New Roman" w:eastAsia="Times New Roman" w:hAnsi="Times New Roman" w:cs="Times New Roman"/>
          <w:lang w:val="en-US" w:eastAsia="fr-FR"/>
        </w:rPr>
        <w:t>evidence.</w:t>
      </w:r>
      <w:hyperlink r:id="rId27" w:tooltip="Go to Journal of Econometrics on ScienceDirect" w:history="1">
        <w:r w:rsidRPr="00DD3229">
          <w:rPr>
            <w:rFonts w:ascii="Times New Roman" w:eastAsia="Times New Roman" w:hAnsi="Times New Roman" w:cs="Times New Roman"/>
            <w:lang w:val="en-US" w:eastAsia="fr-FR"/>
          </w:rPr>
          <w:t>Journal</w:t>
        </w:r>
        <w:proofErr w:type="spellEnd"/>
        <w:r w:rsidRPr="00DD3229">
          <w:rPr>
            <w:rFonts w:ascii="Times New Roman" w:eastAsia="Times New Roman" w:hAnsi="Times New Roman" w:cs="Times New Roman"/>
            <w:lang w:val="en-US" w:eastAsia="fr-FR"/>
          </w:rPr>
          <w:t xml:space="preserve"> of Econometrics</w:t>
        </w:r>
      </w:hyperlink>
      <w:r w:rsidRPr="00DD3229">
        <w:rPr>
          <w:rFonts w:ascii="Times New Roman" w:eastAsia="Times New Roman" w:hAnsi="Times New Roman" w:cs="Times New Roman"/>
          <w:lang w:val="en-US" w:eastAsia="fr-FR"/>
        </w:rPr>
        <w:t xml:space="preserve"> .vol 52, p 5-59.</w:t>
      </w:r>
    </w:p>
    <w:p w14:paraId="4072377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Castellacci</w:t>
      </w:r>
      <w:proofErr w:type="spellEnd"/>
      <w:r w:rsidRPr="00DD3229">
        <w:rPr>
          <w:rFonts w:ascii="Times New Roman" w:eastAsia="Times New Roman" w:hAnsi="Times New Roman" w:cs="Times New Roman"/>
          <w:lang w:val="en-US" w:eastAsia="fr-FR"/>
        </w:rPr>
        <w:t xml:space="preserve">, G., et Siclari, M. (2003). The practice of Delta-Gamma </w:t>
      </w:r>
      <w:proofErr w:type="spellStart"/>
      <w:r w:rsidRPr="00DD3229">
        <w:rPr>
          <w:rFonts w:ascii="Times New Roman" w:eastAsia="Times New Roman" w:hAnsi="Times New Roman" w:cs="Times New Roman"/>
          <w:lang w:val="en-US" w:eastAsia="fr-FR"/>
        </w:rPr>
        <w:t>VaR</w:t>
      </w:r>
      <w:proofErr w:type="spellEnd"/>
      <w:r w:rsidRPr="00DD3229">
        <w:rPr>
          <w:rFonts w:ascii="Times New Roman" w:eastAsia="Times New Roman" w:hAnsi="Times New Roman" w:cs="Times New Roman"/>
          <w:lang w:val="en-US" w:eastAsia="fr-FR"/>
        </w:rPr>
        <w:t xml:space="preserve">: Implementing the quadratic portfolio </w:t>
      </w:r>
      <w:proofErr w:type="spellStart"/>
      <w:proofErr w:type="gramStart"/>
      <w:r w:rsidRPr="00DD3229">
        <w:rPr>
          <w:rFonts w:ascii="Times New Roman" w:eastAsia="Times New Roman" w:hAnsi="Times New Roman" w:cs="Times New Roman"/>
          <w:lang w:val="en-US" w:eastAsia="fr-FR"/>
        </w:rPr>
        <w:t>model.European</w:t>
      </w:r>
      <w:proofErr w:type="spellEnd"/>
      <w:proofErr w:type="gramEnd"/>
      <w:r w:rsidRPr="00DD3229">
        <w:rPr>
          <w:rFonts w:ascii="Times New Roman" w:eastAsia="Times New Roman" w:hAnsi="Times New Roman" w:cs="Times New Roman"/>
          <w:lang w:val="en-US" w:eastAsia="fr-FR"/>
        </w:rPr>
        <w:t xml:space="preserve"> Journal of Operational Research, 150, (2003), p 529. </w:t>
      </w:r>
    </w:p>
    <w:p w14:paraId="78C72C8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Chan, L., </w:t>
      </w:r>
      <w:proofErr w:type="spellStart"/>
      <w:r w:rsidRPr="00DD3229">
        <w:rPr>
          <w:rFonts w:ascii="Times New Roman" w:eastAsia="Times New Roman" w:hAnsi="Times New Roman" w:cs="Times New Roman"/>
          <w:lang w:val="en-US" w:eastAsia="fr-FR"/>
        </w:rPr>
        <w:t>Karceski</w:t>
      </w:r>
      <w:proofErr w:type="spellEnd"/>
      <w:r w:rsidRPr="00DD3229">
        <w:rPr>
          <w:rFonts w:ascii="Times New Roman" w:eastAsia="Times New Roman" w:hAnsi="Times New Roman" w:cs="Times New Roman"/>
          <w:lang w:val="en-US" w:eastAsia="fr-FR"/>
        </w:rPr>
        <w:t>, J., &amp;</w:t>
      </w:r>
      <w:proofErr w:type="spellStart"/>
      <w:r w:rsidRPr="00DD3229">
        <w:rPr>
          <w:rFonts w:ascii="Times New Roman" w:eastAsia="Times New Roman" w:hAnsi="Times New Roman" w:cs="Times New Roman"/>
          <w:lang w:val="en-US" w:eastAsia="fr-FR"/>
        </w:rPr>
        <w:t>Lakonishok</w:t>
      </w:r>
      <w:proofErr w:type="spellEnd"/>
      <w:r w:rsidRPr="00DD3229">
        <w:rPr>
          <w:rFonts w:ascii="Times New Roman" w:eastAsia="Times New Roman" w:hAnsi="Times New Roman" w:cs="Times New Roman"/>
          <w:lang w:val="en-US" w:eastAsia="fr-FR"/>
        </w:rPr>
        <w:t>, J. (1999). On portfolio optimization: Forecasting covariances and choosing the risk model. The Review of Financial Studies, 12(5), 937–974.</w:t>
      </w:r>
    </w:p>
    <w:p w14:paraId="0C03C50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Chang T.J., Meade N., Beasley J.E. et, </w:t>
      </w:r>
      <w:proofErr w:type="spellStart"/>
      <w:r w:rsidRPr="00DD3229">
        <w:rPr>
          <w:rFonts w:ascii="Times New Roman" w:eastAsia="Times New Roman" w:hAnsi="Times New Roman" w:cs="Times New Roman"/>
          <w:lang w:val="en-US" w:eastAsia="fr-FR"/>
        </w:rPr>
        <w:t>Sharaiha</w:t>
      </w:r>
      <w:proofErr w:type="spellEnd"/>
      <w:r w:rsidRPr="00DD3229">
        <w:rPr>
          <w:rFonts w:ascii="Times New Roman" w:eastAsia="Times New Roman" w:hAnsi="Times New Roman" w:cs="Times New Roman"/>
          <w:lang w:val="en-US" w:eastAsia="fr-FR"/>
        </w:rPr>
        <w:t xml:space="preserve"> Y.M., (2000). Heuristics for cardinality constrained portfolio optimization, Computers and Operations Research, Vol.27, pp. 1271-1302.</w:t>
      </w:r>
    </w:p>
    <w:p w14:paraId="07AB82B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Choueifaty,Y</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et </w:t>
      </w:r>
      <w:proofErr w:type="spellStart"/>
      <w:r w:rsidRPr="00DD3229">
        <w:rPr>
          <w:rFonts w:ascii="Times New Roman" w:eastAsia="Times New Roman" w:hAnsi="Times New Roman" w:cs="Times New Roman"/>
          <w:lang w:val="en-US" w:eastAsia="fr-FR"/>
        </w:rPr>
        <w:t>Coignard,Y</w:t>
      </w:r>
      <w:proofErr w:type="spellEnd"/>
      <w:r w:rsidRPr="00DD3229">
        <w:rPr>
          <w:rFonts w:ascii="Times New Roman" w:eastAsia="Times New Roman" w:hAnsi="Times New Roman" w:cs="Times New Roman"/>
          <w:lang w:val="en-US" w:eastAsia="fr-FR"/>
        </w:rPr>
        <w:t>.(2008).Toward maximum diversification. Journal of Portfolio Management 35(1), p 40-51.</w:t>
      </w:r>
    </w:p>
    <w:p w14:paraId="59C2EED6" w14:textId="77777777" w:rsidR="00AC6E43" w:rsidRPr="00DD3229" w:rsidRDefault="00AC6E43"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Christoffersen, P., Jacobs, K. and Mimouni, K. (2010) Volatility Dynamics for the S&amp;P500: Evidence from Realized Volatility, Daily Returns and Option Prices. Review of Financial Studies, 23, 3141-3189.</w:t>
      </w:r>
    </w:p>
    <w:p w14:paraId="26517CB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Clarke, De Silva et Thorley (2013). Risk Parity, Maximum </w:t>
      </w:r>
      <w:proofErr w:type="gramStart"/>
      <w:r w:rsidRPr="00DD3229">
        <w:rPr>
          <w:rFonts w:ascii="Times New Roman" w:eastAsia="Times New Roman" w:hAnsi="Times New Roman" w:cs="Times New Roman"/>
          <w:lang w:val="en-US" w:eastAsia="fr-FR"/>
        </w:rPr>
        <w:t>Diversification</w:t>
      </w:r>
      <w:r w:rsidR="00DD3229" w:rsidRPr="00DD3229">
        <w:rPr>
          <w:rFonts w:ascii="Times New Roman" w:eastAsia="Times New Roman" w:hAnsi="Times New Roman" w:cs="Times New Roman"/>
          <w:lang w:val="en-US" w:eastAsia="fr-FR"/>
        </w:rPr>
        <w:t xml:space="preserve"> </w:t>
      </w:r>
      <w:r w:rsidRPr="00DD3229">
        <w:rPr>
          <w:rFonts w:ascii="Times New Roman" w:eastAsia="Times New Roman" w:hAnsi="Times New Roman" w:cs="Times New Roman"/>
          <w:lang w:val="en-US" w:eastAsia="fr-FR"/>
        </w:rPr>
        <w:t>,and</w:t>
      </w:r>
      <w:proofErr w:type="gramEnd"/>
      <w:r w:rsidRPr="00DD3229">
        <w:rPr>
          <w:rFonts w:ascii="Times New Roman" w:eastAsia="Times New Roman" w:hAnsi="Times New Roman" w:cs="Times New Roman"/>
          <w:lang w:val="en-US" w:eastAsia="fr-FR"/>
        </w:rPr>
        <w:t xml:space="preserve"> Minimum Variance: An Analytic Perspective. The Journal of Portfolio Management, p 39-53.</w:t>
      </w:r>
    </w:p>
    <w:p w14:paraId="1F29F3FD" w14:textId="77777777" w:rsidR="00122604" w:rsidRPr="00DD3229" w:rsidRDefault="00122604" w:rsidP="00DD3229">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DeMiguel</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Garlappi</w:t>
      </w:r>
      <w:proofErr w:type="spellEnd"/>
      <w:r w:rsidRPr="00DD3229">
        <w:rPr>
          <w:rFonts w:ascii="Times New Roman" w:eastAsia="Times New Roman" w:hAnsi="Times New Roman" w:cs="Times New Roman"/>
          <w:lang w:val="en-US" w:eastAsia="fr-FR"/>
        </w:rPr>
        <w:t xml:space="preserve"> et Uppal (2007). Improving Performance by Constraining Portfolio Norms: A Generalized Approach to Portfolio </w:t>
      </w:r>
      <w:proofErr w:type="spellStart"/>
      <w:r w:rsidRPr="00DD3229">
        <w:rPr>
          <w:rFonts w:ascii="Times New Roman" w:eastAsia="Times New Roman" w:hAnsi="Times New Roman" w:cs="Times New Roman"/>
          <w:lang w:val="en-US" w:eastAsia="fr-FR"/>
        </w:rPr>
        <w:t>Optimization.</w:t>
      </w:r>
      <w:hyperlink r:id="rId28" w:history="1">
        <w:r w:rsidRPr="00DD3229">
          <w:rPr>
            <w:rFonts w:ascii="Times New Roman" w:eastAsia="Times New Roman" w:hAnsi="Times New Roman"/>
            <w:lang w:val="en-US" w:eastAsia="fr-FR"/>
          </w:rPr>
          <w:t>Management</w:t>
        </w:r>
        <w:proofErr w:type="spellEnd"/>
        <w:r w:rsidRPr="00DD3229">
          <w:rPr>
            <w:rFonts w:ascii="Times New Roman" w:eastAsia="Times New Roman" w:hAnsi="Times New Roman"/>
            <w:lang w:val="en-US" w:eastAsia="fr-FR"/>
          </w:rPr>
          <w:t xml:space="preserve"> Science</w:t>
        </w:r>
      </w:hyperlink>
      <w:r w:rsidRPr="00DD3229">
        <w:rPr>
          <w:rFonts w:ascii="Times New Roman" w:eastAsia="Times New Roman" w:hAnsi="Times New Roman" w:cs="Times New Roman"/>
          <w:lang w:val="en-US" w:eastAsia="fr-FR"/>
        </w:rPr>
        <w:t> , 55(5), p798-812</w:t>
      </w:r>
    </w:p>
    <w:p w14:paraId="2781E84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DeMiguel, Victor, Lorenzo, G., et Uppal, R. (2009). Optimal versus naive diversification: how inefficient is the portfolio strategy. Review of financial studies, 22, p 1915-1953.</w:t>
      </w:r>
    </w:p>
    <w:p w14:paraId="3DB8F4E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Dierkes, M., Erner, C., et </w:t>
      </w:r>
      <w:proofErr w:type="spellStart"/>
      <w:r w:rsidRPr="00DD3229">
        <w:rPr>
          <w:rFonts w:ascii="Times New Roman" w:eastAsia="Times New Roman" w:hAnsi="Times New Roman" w:cs="Times New Roman"/>
          <w:lang w:val="en-US" w:eastAsia="fr-FR"/>
        </w:rPr>
        <w:t>Zeisberger</w:t>
      </w:r>
      <w:proofErr w:type="spellEnd"/>
      <w:r w:rsidRPr="00DD3229">
        <w:rPr>
          <w:rFonts w:ascii="Times New Roman" w:eastAsia="Times New Roman" w:hAnsi="Times New Roman" w:cs="Times New Roman"/>
          <w:lang w:val="en-US" w:eastAsia="fr-FR"/>
        </w:rPr>
        <w:t xml:space="preserve">, S. (2010). Investment horizon and the attractiveness of investment strategies: A behavioral approach. Journal of Banking and Finance 34 (5), p 1032-1046. </w:t>
      </w:r>
    </w:p>
    <w:p w14:paraId="7B9877E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Dybvig, P. (1988). Distributional analysis of portfolio choice. The Journal of Business, 61(3), p 369-393. </w:t>
      </w:r>
    </w:p>
    <w:p w14:paraId="233D541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Engle et Kroner (1995). Multivariate Simultaneous Generalized </w:t>
      </w:r>
      <w:proofErr w:type="spellStart"/>
      <w:r w:rsidRPr="00DD3229">
        <w:rPr>
          <w:rFonts w:ascii="Times New Roman" w:eastAsia="Times New Roman" w:hAnsi="Times New Roman" w:cs="Times New Roman"/>
          <w:lang w:val="en-US" w:eastAsia="fr-FR"/>
        </w:rPr>
        <w:t>ARCH.</w:t>
      </w:r>
      <w:hyperlink r:id="rId29" w:history="1">
        <w:r w:rsidRPr="00DD3229">
          <w:rPr>
            <w:rFonts w:ascii="Times New Roman" w:eastAsia="Times New Roman" w:hAnsi="Times New Roman" w:cs="Times New Roman"/>
            <w:lang w:val="en-US" w:eastAsia="fr-FR"/>
          </w:rPr>
          <w:t>Econometric</w:t>
        </w:r>
        <w:proofErr w:type="spellEnd"/>
        <w:r w:rsidRPr="00DD3229">
          <w:rPr>
            <w:rFonts w:ascii="Times New Roman" w:eastAsia="Times New Roman" w:hAnsi="Times New Roman" w:cs="Times New Roman"/>
            <w:lang w:val="en-US" w:eastAsia="fr-FR"/>
          </w:rPr>
          <w:t xml:space="preserve"> Theory</w:t>
        </w:r>
      </w:hyperlink>
      <w:r w:rsidRPr="00DD3229">
        <w:rPr>
          <w:rFonts w:ascii="Times New Roman" w:eastAsia="Times New Roman" w:hAnsi="Times New Roman" w:cs="Times New Roman"/>
          <w:lang w:val="en-US" w:eastAsia="fr-FR"/>
        </w:rPr>
        <w:t> , </w:t>
      </w:r>
      <w:hyperlink r:id="rId30" w:history="1">
        <w:r w:rsidRPr="00DD3229">
          <w:rPr>
            <w:rFonts w:ascii="Times New Roman" w:eastAsia="Times New Roman" w:hAnsi="Times New Roman" w:cs="Times New Roman"/>
            <w:lang w:val="en-US" w:eastAsia="fr-FR"/>
          </w:rPr>
          <w:t>Vol 11</w:t>
        </w:r>
      </w:hyperlink>
      <w:r w:rsidRPr="00DD3229">
        <w:rPr>
          <w:rFonts w:ascii="Times New Roman" w:eastAsia="Times New Roman" w:hAnsi="Times New Roman" w:cs="Times New Roman"/>
          <w:lang w:val="en-US" w:eastAsia="fr-FR"/>
        </w:rPr>
        <w:t> , </w:t>
      </w:r>
      <w:hyperlink r:id="rId31" w:history="1">
        <w:r w:rsidRPr="00DD3229">
          <w:rPr>
            <w:rFonts w:ascii="Times New Roman" w:eastAsia="Times New Roman" w:hAnsi="Times New Roman" w:cs="Times New Roman"/>
            <w:lang w:val="en-US" w:eastAsia="fr-FR"/>
          </w:rPr>
          <w:t>Issue 1</w:t>
        </w:r>
      </w:hyperlink>
      <w:r w:rsidRPr="00DD3229">
        <w:rPr>
          <w:rFonts w:ascii="Times New Roman" w:eastAsia="Times New Roman" w:hAnsi="Times New Roman" w:cs="Times New Roman"/>
          <w:lang w:val="en-US" w:eastAsia="fr-FR"/>
        </w:rPr>
        <w:t> ,  pp. 122 - 150.</w:t>
      </w:r>
    </w:p>
    <w:p w14:paraId="02CF57B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Engle et Rothschild (1990) .Asset pricing with a factor-arch covariance structure: Empirical estimates for treasury </w:t>
      </w:r>
      <w:proofErr w:type="spellStart"/>
      <w:r w:rsidRPr="00DD3229">
        <w:rPr>
          <w:rFonts w:ascii="Times New Roman" w:eastAsia="Times New Roman" w:hAnsi="Times New Roman" w:cs="Times New Roman"/>
          <w:lang w:val="en-US" w:eastAsia="fr-FR"/>
        </w:rPr>
        <w:t>bills.</w:t>
      </w:r>
      <w:hyperlink r:id="rId32" w:tooltip="Go to Journal of Econometrics on ScienceDirect" w:history="1">
        <w:r w:rsidRPr="00DD3229">
          <w:rPr>
            <w:rFonts w:ascii="Times New Roman" w:eastAsia="Times New Roman" w:hAnsi="Times New Roman" w:cs="Times New Roman"/>
            <w:lang w:val="en-US" w:eastAsia="fr-FR"/>
          </w:rPr>
          <w:t>Journal</w:t>
        </w:r>
        <w:proofErr w:type="spellEnd"/>
        <w:r w:rsidRPr="00DD3229">
          <w:rPr>
            <w:rFonts w:ascii="Times New Roman" w:eastAsia="Times New Roman" w:hAnsi="Times New Roman" w:cs="Times New Roman"/>
            <w:lang w:val="en-US" w:eastAsia="fr-FR"/>
          </w:rPr>
          <w:t xml:space="preserve"> of Econometrics</w:t>
        </w:r>
      </w:hyperlink>
      <w:r w:rsidRPr="00DD3229">
        <w:rPr>
          <w:rFonts w:ascii="Times New Roman" w:eastAsia="Times New Roman" w:hAnsi="Times New Roman" w:cs="Times New Roman"/>
          <w:lang w:val="en-US" w:eastAsia="fr-FR"/>
        </w:rPr>
        <w:t xml:space="preserve"> .vol 45 ,p 213-237.</w:t>
      </w:r>
    </w:p>
    <w:p w14:paraId="6764AFC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Engle, R. (2000). The Econometrics of </w:t>
      </w:r>
      <w:proofErr w:type="spellStart"/>
      <w:r w:rsidRPr="00DD3229">
        <w:rPr>
          <w:rFonts w:ascii="Times New Roman" w:eastAsia="Times New Roman" w:hAnsi="Times New Roman" w:cs="Times New Roman"/>
          <w:lang w:val="en-US" w:eastAsia="fr-FR"/>
        </w:rPr>
        <w:t>Ulta</w:t>
      </w:r>
      <w:proofErr w:type="spellEnd"/>
      <w:r w:rsidRPr="00DD3229">
        <w:rPr>
          <w:rFonts w:ascii="Times New Roman" w:eastAsia="Times New Roman" w:hAnsi="Times New Roman" w:cs="Times New Roman"/>
          <w:lang w:val="en-US" w:eastAsia="fr-FR"/>
        </w:rPr>
        <w:t xml:space="preserve">-High Frequency </w:t>
      </w:r>
      <w:proofErr w:type="spellStart"/>
      <w:r w:rsidRPr="00DD3229">
        <w:rPr>
          <w:rFonts w:ascii="Times New Roman" w:eastAsia="Times New Roman" w:hAnsi="Times New Roman" w:cs="Times New Roman"/>
          <w:lang w:val="en-US" w:eastAsia="fr-FR"/>
        </w:rPr>
        <w:t>Data.Econometrica</w:t>
      </w:r>
      <w:proofErr w:type="spellEnd"/>
      <w:r w:rsidRPr="00DD3229">
        <w:rPr>
          <w:rFonts w:ascii="Times New Roman" w:eastAsia="Times New Roman" w:hAnsi="Times New Roman" w:cs="Times New Roman"/>
          <w:lang w:val="en-US" w:eastAsia="fr-FR"/>
        </w:rPr>
        <w:t xml:space="preserve">, 68, Issue 1, p 1-22. </w:t>
      </w:r>
    </w:p>
    <w:p w14:paraId="1CB8CDF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Engle, R. (2002). Dynamic conditional correlation: A simple class of multivariate generalized autoregressive conditional heteroskedasticity models. Journal of Business &amp; Economic Statistics, 20(3), 339–350.</w:t>
      </w:r>
    </w:p>
    <w:p w14:paraId="78C1AD8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Engle, R. F., &amp; Sheppard, K. (2001). Theoretical and empirical properties of dynamic conditional correlation multivariate GARCH. Tech. rep., National Bureau of Economic Research.</w:t>
      </w:r>
    </w:p>
    <w:p w14:paraId="392B147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Fama, E. (1970). Efficient Capital Markets: A Review of Theory and Empirical Work. Journal of Finance, 25 (2), p 383–417.</w:t>
      </w:r>
    </w:p>
    <w:p w14:paraId="44BD265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Fielitz, B., (1974</w:t>
      </w:r>
      <w:proofErr w:type="gramStart"/>
      <w:r w:rsidRPr="00DD3229">
        <w:rPr>
          <w:rFonts w:ascii="Times New Roman" w:eastAsia="Times New Roman" w:hAnsi="Times New Roman" w:cs="Times New Roman"/>
          <w:lang w:val="en-US" w:eastAsia="fr-FR"/>
        </w:rPr>
        <w:t>) .</w:t>
      </w:r>
      <w:proofErr w:type="gramEnd"/>
      <w:r w:rsidRPr="00DD3229">
        <w:rPr>
          <w:rFonts w:ascii="Times New Roman" w:eastAsia="Times New Roman" w:hAnsi="Times New Roman" w:cs="Times New Roman"/>
          <w:lang w:val="en-US" w:eastAsia="fr-FR"/>
        </w:rPr>
        <w:t xml:space="preserve"> Indirect Versus Direct Diversification. Financial Management, 3, p 54-62.</w:t>
      </w:r>
    </w:p>
    <w:p w14:paraId="2773F2C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Fisher,I</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(1930). Theory of interest. MacMillan, N.Y</w:t>
      </w:r>
    </w:p>
    <w:p w14:paraId="26349D3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Gaivoronski</w:t>
      </w:r>
      <w:proofErr w:type="spellEnd"/>
      <w:r w:rsidRPr="00DD3229">
        <w:rPr>
          <w:rFonts w:ascii="Times New Roman" w:eastAsia="Times New Roman" w:hAnsi="Times New Roman" w:cs="Times New Roman"/>
          <w:lang w:val="en-US" w:eastAsia="fr-FR"/>
        </w:rPr>
        <w:t>, A., et Pflug, G. (1999). Finding optimal portfolios with constraints on Value-</w:t>
      </w:r>
      <w:proofErr w:type="spellStart"/>
      <w:r w:rsidRPr="00DD3229">
        <w:rPr>
          <w:rFonts w:ascii="Times New Roman" w:eastAsia="Times New Roman" w:hAnsi="Times New Roman" w:cs="Times New Roman"/>
          <w:lang w:val="en-US" w:eastAsia="fr-FR"/>
        </w:rPr>
        <w:t>atRisk</w:t>
      </w:r>
      <w:proofErr w:type="spellEnd"/>
      <w:r w:rsidRPr="00DD3229">
        <w:rPr>
          <w:rFonts w:ascii="Times New Roman" w:eastAsia="Times New Roman" w:hAnsi="Times New Roman" w:cs="Times New Roman"/>
          <w:lang w:val="en-US" w:eastAsia="fr-FR"/>
        </w:rPr>
        <w:t xml:space="preserve">, in Green, B., Proceedings of the Third International Stockholm Seminar on Risk </w:t>
      </w:r>
      <w:proofErr w:type="spellStart"/>
      <w:r w:rsidRPr="00DD3229">
        <w:rPr>
          <w:rFonts w:ascii="Times New Roman" w:eastAsia="Times New Roman" w:hAnsi="Times New Roman" w:cs="Times New Roman"/>
          <w:lang w:val="en-US" w:eastAsia="fr-FR"/>
        </w:rPr>
        <w:t>Behaviour</w:t>
      </w:r>
      <w:proofErr w:type="spellEnd"/>
      <w:r w:rsidRPr="00DD3229">
        <w:rPr>
          <w:rFonts w:ascii="Times New Roman" w:eastAsia="Times New Roman" w:hAnsi="Times New Roman" w:cs="Times New Roman"/>
          <w:lang w:val="en-US" w:eastAsia="fr-FR"/>
        </w:rPr>
        <w:t xml:space="preserve"> and Risk Management. Stockholm University, p 83-88. </w:t>
      </w:r>
    </w:p>
    <w:p w14:paraId="4B8055A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Ghalanos</w:t>
      </w:r>
      <w:proofErr w:type="spellEnd"/>
      <w:r w:rsidRPr="00DD3229">
        <w:rPr>
          <w:rFonts w:ascii="Times New Roman" w:eastAsia="Times New Roman" w:hAnsi="Times New Roman" w:cs="Times New Roman"/>
          <w:lang w:val="en-US" w:eastAsia="fr-FR"/>
        </w:rPr>
        <w:t xml:space="preserve">, A. (2012). </w:t>
      </w:r>
      <w:proofErr w:type="spellStart"/>
      <w:r w:rsidRPr="00DD3229">
        <w:rPr>
          <w:rFonts w:ascii="Times New Roman" w:eastAsia="Times New Roman" w:hAnsi="Times New Roman" w:cs="Times New Roman"/>
          <w:lang w:val="en-US" w:eastAsia="fr-FR"/>
        </w:rPr>
        <w:t>rmgarch</w:t>
      </w:r>
      <w:proofErr w:type="spellEnd"/>
      <w:r w:rsidRPr="00DD3229">
        <w:rPr>
          <w:rFonts w:ascii="Times New Roman" w:eastAsia="Times New Roman" w:hAnsi="Times New Roman" w:cs="Times New Roman"/>
          <w:lang w:val="en-US" w:eastAsia="fr-FR"/>
        </w:rPr>
        <w:t xml:space="preserve">: Multivariate GARCH models. </w:t>
      </w:r>
    </w:p>
    <w:p w14:paraId="15626EC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Ghysels, E., Rubia, A., &amp;</w:t>
      </w:r>
      <w:proofErr w:type="spellStart"/>
      <w:r w:rsidRPr="00DD3229">
        <w:rPr>
          <w:rFonts w:ascii="Times New Roman" w:eastAsia="Times New Roman" w:hAnsi="Times New Roman" w:cs="Times New Roman"/>
          <w:lang w:val="en-US" w:eastAsia="fr-FR"/>
        </w:rPr>
        <w:t>Valkanov</w:t>
      </w:r>
      <w:proofErr w:type="spellEnd"/>
      <w:r w:rsidRPr="00DD3229">
        <w:rPr>
          <w:rFonts w:ascii="Times New Roman" w:eastAsia="Times New Roman" w:hAnsi="Times New Roman" w:cs="Times New Roman"/>
          <w:lang w:val="en-US" w:eastAsia="fr-FR"/>
        </w:rPr>
        <w:t>, R. (2009). Multi-period forecasts of volatility: Direct, iterated and mixed-data approaches. Working paper.</w:t>
      </w:r>
    </w:p>
    <w:p w14:paraId="7C40F8A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Hamza, F., et Janssen, J. (1995). Portfolio Optimization Model Using Asymmetric Risk Functions. Proceedings of the 5th International Actuarial Approach for Financial Risks, Brussels, Belgium, Vol, 3 bis, p 3-32.</w:t>
      </w:r>
    </w:p>
    <w:p w14:paraId="6390CEA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Harlow, W. (1991). Asset allocation in downside risk framework.  financial analysts journal p 28-40.</w:t>
      </w:r>
    </w:p>
    <w:p w14:paraId="4554B35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Hicks, J.R., (1935). A suggestion for simplifying the theory of money, Economica. </w:t>
      </w:r>
    </w:p>
    <w:p w14:paraId="5D71B05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Hicks,J.R</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(1939). Value and capital, Oxford University Press, 2 </w:t>
      </w:r>
      <w:proofErr w:type="spellStart"/>
      <w:r w:rsidRPr="00DD3229">
        <w:rPr>
          <w:rFonts w:ascii="Times New Roman" w:eastAsia="Times New Roman" w:hAnsi="Times New Roman" w:cs="Times New Roman"/>
          <w:lang w:val="en-US" w:eastAsia="fr-FR"/>
        </w:rPr>
        <w:t>èmeeditionJorion</w:t>
      </w:r>
      <w:proofErr w:type="spellEnd"/>
      <w:r w:rsidRPr="00DD3229">
        <w:rPr>
          <w:rFonts w:ascii="Times New Roman" w:eastAsia="Times New Roman" w:hAnsi="Times New Roman" w:cs="Times New Roman"/>
          <w:lang w:val="en-US" w:eastAsia="fr-FR"/>
        </w:rPr>
        <w:t>, P. (2001). Value at Risk, McGraw.</w:t>
      </w:r>
    </w:p>
    <w:p w14:paraId="6D86738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Jarrow, R., et Zhao, F. (2006), “Downside Loss Aversion and Portfolio Management”, Management Science, vol. 52, Issue 4, p 558-566.</w:t>
      </w:r>
    </w:p>
    <w:p w14:paraId="5A0B339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Jorion</w:t>
      </w:r>
      <w:proofErr w:type="spellEnd"/>
      <w:r w:rsidRPr="00DD3229">
        <w:rPr>
          <w:rFonts w:ascii="Times New Roman" w:eastAsia="Times New Roman" w:hAnsi="Times New Roman" w:cs="Times New Roman"/>
          <w:lang w:val="en-US" w:eastAsia="fr-FR"/>
        </w:rPr>
        <w:t xml:space="preserve"> (1998). Financial Risk Management Philippe </w:t>
      </w:r>
      <w:proofErr w:type="spellStart"/>
      <w:r w:rsidRPr="00DD3229">
        <w:rPr>
          <w:rFonts w:ascii="Times New Roman" w:eastAsia="Times New Roman" w:hAnsi="Times New Roman" w:cs="Times New Roman"/>
          <w:lang w:val="en-US" w:eastAsia="fr-FR"/>
        </w:rPr>
        <w:t>Jorion</w:t>
      </w:r>
      <w:proofErr w:type="spellEnd"/>
      <w:r w:rsidRPr="00DD3229">
        <w:rPr>
          <w:rFonts w:ascii="Times New Roman" w:eastAsia="Times New Roman" w:hAnsi="Times New Roman" w:cs="Times New Roman"/>
          <w:lang w:val="en-US" w:eastAsia="fr-FR"/>
        </w:rPr>
        <w:t xml:space="preserve"> 1 Financial Risk Management. ACADEMIA.</w:t>
      </w:r>
    </w:p>
    <w:p w14:paraId="7AC8477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Kane, A., (1982), “Skewness Preference and Portfolio Choice”, Journal of Financial and Quantitative Analysis, 17, (1982), p 15-25. </w:t>
      </w:r>
    </w:p>
    <w:p w14:paraId="706B290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Keating et Shadwick (2002). An Introduction to Omega. The Finance Development Centre.</w:t>
      </w:r>
    </w:p>
    <w:p w14:paraId="5A11C862" w14:textId="77777777" w:rsidR="00122604" w:rsidRPr="00DD3229" w:rsidRDefault="0031542F" w:rsidP="00122604">
      <w:pPr>
        <w:pStyle w:val="ListParagraph"/>
        <w:numPr>
          <w:ilvl w:val="0"/>
          <w:numId w:val="8"/>
        </w:numPr>
        <w:spacing w:before="120" w:line="480" w:lineRule="auto"/>
        <w:rPr>
          <w:rFonts w:ascii="Times New Roman" w:eastAsia="Times New Roman" w:hAnsi="Times New Roman" w:cs="Times New Roman"/>
          <w:lang w:val="en-US" w:eastAsia="fr-FR"/>
        </w:rPr>
      </w:pPr>
      <w:hyperlink r:id="rId33" w:history="1">
        <w:r w:rsidR="00122604" w:rsidRPr="00DD3229">
          <w:rPr>
            <w:rFonts w:ascii="Times New Roman" w:eastAsia="Times New Roman" w:hAnsi="Times New Roman" w:cs="Times New Roman"/>
            <w:lang w:val="en-US" w:eastAsia="fr-FR"/>
          </w:rPr>
          <w:t>Kei Nakagawa</w:t>
        </w:r>
      </w:hyperlink>
      <w:r w:rsidR="00122604" w:rsidRPr="00DD3229">
        <w:rPr>
          <w:rFonts w:ascii="Times New Roman" w:eastAsia="Times New Roman" w:hAnsi="Times New Roman" w:cs="Times New Roman"/>
          <w:lang w:val="en-US" w:eastAsia="fr-FR"/>
        </w:rPr>
        <w:t xml:space="preserve"> et al (2018). Risk-Based Portfolios with Large Dynamic Covariance </w:t>
      </w:r>
      <w:proofErr w:type="spellStart"/>
      <w:r w:rsidR="00122604" w:rsidRPr="00DD3229">
        <w:rPr>
          <w:rFonts w:ascii="Times New Roman" w:eastAsia="Times New Roman" w:hAnsi="Times New Roman" w:cs="Times New Roman"/>
          <w:lang w:val="en-US" w:eastAsia="fr-FR"/>
        </w:rPr>
        <w:t>Matrices.Journal</w:t>
      </w:r>
      <w:proofErr w:type="spellEnd"/>
      <w:r w:rsidR="00122604" w:rsidRPr="00DD3229">
        <w:rPr>
          <w:rFonts w:ascii="Times New Roman" w:eastAsia="Times New Roman" w:hAnsi="Times New Roman" w:cs="Times New Roman"/>
          <w:lang w:val="en-US" w:eastAsia="fr-FR"/>
        </w:rPr>
        <w:t xml:space="preserve"> Financial Stud, 6(2), 52.</w:t>
      </w:r>
    </w:p>
    <w:p w14:paraId="7741458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lastRenderedPageBreak/>
        <w:t>Keynes,J</w:t>
      </w:r>
      <w:proofErr w:type="spellEnd"/>
      <w:proofErr w:type="gramEnd"/>
      <w:r w:rsidRPr="00DD3229">
        <w:rPr>
          <w:rFonts w:ascii="Times New Roman" w:eastAsia="Times New Roman" w:hAnsi="Times New Roman" w:cs="Times New Roman"/>
          <w:lang w:val="en-US" w:eastAsia="fr-FR"/>
        </w:rPr>
        <w:t xml:space="preserve"> .M., (1936). </w:t>
      </w:r>
      <w:proofErr w:type="spellStart"/>
      <w:r w:rsidRPr="00DD3229">
        <w:rPr>
          <w:rFonts w:ascii="Times New Roman" w:eastAsia="Times New Roman" w:hAnsi="Times New Roman" w:cs="Times New Roman"/>
          <w:lang w:val="en-US" w:eastAsia="fr-FR"/>
        </w:rPr>
        <w:t>Thëorie</w:t>
      </w:r>
      <w:proofErr w:type="spellEnd"/>
      <w:r w:rsidRPr="00DD3229">
        <w:rPr>
          <w:rFonts w:ascii="Times New Roman" w:eastAsia="Times New Roman" w:hAnsi="Times New Roman" w:cs="Times New Roman"/>
          <w:lang w:val="en-US" w:eastAsia="fr-FR"/>
        </w:rPr>
        <w:t xml:space="preserve"> Générale de </w:t>
      </w:r>
      <w:proofErr w:type="spellStart"/>
      <w:r w:rsidRPr="00DD3229">
        <w:rPr>
          <w:rFonts w:ascii="Times New Roman" w:eastAsia="Times New Roman" w:hAnsi="Times New Roman" w:cs="Times New Roman"/>
          <w:lang w:val="en-US" w:eastAsia="fr-FR"/>
        </w:rPr>
        <w:t>l’Emploi</w:t>
      </w:r>
      <w:proofErr w:type="spellEnd"/>
      <w:r w:rsidRPr="00DD3229">
        <w:rPr>
          <w:rFonts w:ascii="Times New Roman" w:eastAsia="Times New Roman" w:hAnsi="Times New Roman" w:cs="Times New Roman"/>
          <w:lang w:val="en-US" w:eastAsia="fr-FR"/>
        </w:rPr>
        <w:t xml:space="preserve">, de </w:t>
      </w:r>
      <w:proofErr w:type="spellStart"/>
      <w:r w:rsidRPr="00DD3229">
        <w:rPr>
          <w:rFonts w:ascii="Times New Roman" w:eastAsia="Times New Roman" w:hAnsi="Times New Roman" w:cs="Times New Roman"/>
          <w:lang w:val="en-US" w:eastAsia="fr-FR"/>
        </w:rPr>
        <w:t>l’Intérêt</w:t>
      </w:r>
      <w:proofErr w:type="spellEnd"/>
      <w:r w:rsidRPr="00DD3229">
        <w:rPr>
          <w:rFonts w:ascii="Times New Roman" w:eastAsia="Times New Roman" w:hAnsi="Times New Roman" w:cs="Times New Roman"/>
          <w:lang w:val="en-US" w:eastAsia="fr-FR"/>
        </w:rPr>
        <w:t xml:space="preserve"> et de la </w:t>
      </w:r>
      <w:proofErr w:type="spellStart"/>
      <w:r w:rsidRPr="00DD3229">
        <w:rPr>
          <w:rFonts w:ascii="Times New Roman" w:eastAsia="Times New Roman" w:hAnsi="Times New Roman" w:cs="Times New Roman"/>
          <w:lang w:val="en-US" w:eastAsia="fr-FR"/>
        </w:rPr>
        <w:t>Monnaie</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Payot</w:t>
      </w:r>
      <w:proofErr w:type="spellEnd"/>
      <w:r w:rsidRPr="00DD3229">
        <w:rPr>
          <w:rFonts w:ascii="Times New Roman" w:eastAsia="Times New Roman" w:hAnsi="Times New Roman" w:cs="Times New Roman"/>
          <w:lang w:val="en-US" w:eastAsia="fr-FR"/>
        </w:rPr>
        <w:t xml:space="preserve">, Paris, 1968. </w:t>
      </w:r>
      <w:proofErr w:type="spellStart"/>
      <w:r w:rsidRPr="00DD3229">
        <w:rPr>
          <w:rFonts w:ascii="Times New Roman" w:eastAsia="Times New Roman" w:hAnsi="Times New Roman" w:cs="Times New Roman"/>
          <w:lang w:val="en-US" w:eastAsia="fr-FR"/>
        </w:rPr>
        <w:t>Ouvrage</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traduit</w:t>
      </w:r>
      <w:proofErr w:type="spellEnd"/>
      <w:r w:rsidRPr="00DD3229">
        <w:rPr>
          <w:rFonts w:ascii="Times New Roman" w:eastAsia="Times New Roman" w:hAnsi="Times New Roman" w:cs="Times New Roman"/>
          <w:lang w:val="en-US" w:eastAsia="fr-FR"/>
        </w:rPr>
        <w:t xml:space="preserve"> par J. de </w:t>
      </w:r>
      <w:proofErr w:type="spellStart"/>
      <w:r w:rsidRPr="00DD3229">
        <w:rPr>
          <w:rFonts w:ascii="Times New Roman" w:eastAsia="Times New Roman" w:hAnsi="Times New Roman" w:cs="Times New Roman"/>
          <w:lang w:val="en-US" w:eastAsia="fr-FR"/>
        </w:rPr>
        <w:t>Largentaye</w:t>
      </w:r>
      <w:proofErr w:type="spellEnd"/>
      <w:r w:rsidRPr="00DD3229">
        <w:rPr>
          <w:rFonts w:ascii="Times New Roman" w:eastAsia="Times New Roman" w:hAnsi="Times New Roman" w:cs="Times New Roman"/>
          <w:lang w:val="en-US" w:eastAsia="fr-FR"/>
        </w:rPr>
        <w:t xml:space="preserve"> et </w:t>
      </w:r>
      <w:proofErr w:type="spellStart"/>
      <w:r w:rsidRPr="00DD3229">
        <w:rPr>
          <w:rFonts w:ascii="Times New Roman" w:eastAsia="Times New Roman" w:hAnsi="Times New Roman" w:cs="Times New Roman"/>
          <w:lang w:val="en-US" w:eastAsia="fr-FR"/>
        </w:rPr>
        <w:t>publié</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en</w:t>
      </w:r>
      <w:proofErr w:type="spellEnd"/>
      <w:r w:rsidRPr="00DD3229">
        <w:rPr>
          <w:rFonts w:ascii="Times New Roman" w:eastAsia="Times New Roman" w:hAnsi="Times New Roman" w:cs="Times New Roman"/>
          <w:lang w:val="en-US" w:eastAsia="fr-FR"/>
        </w:rPr>
        <w:t xml:space="preserve"> France pour la première </w:t>
      </w:r>
      <w:proofErr w:type="spellStart"/>
      <w:r w:rsidRPr="00DD3229">
        <w:rPr>
          <w:rFonts w:ascii="Times New Roman" w:eastAsia="Times New Roman" w:hAnsi="Times New Roman" w:cs="Times New Roman"/>
          <w:lang w:val="en-US" w:eastAsia="fr-FR"/>
        </w:rPr>
        <w:t>fois</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en</w:t>
      </w:r>
      <w:proofErr w:type="spellEnd"/>
      <w:r w:rsidRPr="00DD3229">
        <w:rPr>
          <w:rFonts w:ascii="Times New Roman" w:eastAsia="Times New Roman" w:hAnsi="Times New Roman" w:cs="Times New Roman"/>
          <w:lang w:val="en-US" w:eastAsia="fr-FR"/>
        </w:rPr>
        <w:t xml:space="preserve"> 1939.</w:t>
      </w:r>
    </w:p>
    <w:p w14:paraId="1E14EB1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Kim, W. C., Kim, J. H., Ahn, S. H., &amp;Fabozzi, F. J. (2013). What do robust equity portfolio models really do? Annals of Operations Research, 205, 141–168.</w:t>
      </w:r>
    </w:p>
    <w:p w14:paraId="238AA67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Kolanovic</w:t>
      </w:r>
      <w:proofErr w:type="spellEnd"/>
      <w:r w:rsidRPr="00DD3229">
        <w:rPr>
          <w:rFonts w:ascii="Times New Roman" w:eastAsia="Times New Roman" w:hAnsi="Times New Roman" w:cs="Times New Roman"/>
          <w:lang w:val="en-US" w:eastAsia="fr-FR"/>
        </w:rPr>
        <w:t>, M., Kaplan, B., &amp; Mehra, A. (2015). Technical selling: How low can it push equities? J.P. Morgan market and volatility commentary note.</w:t>
      </w:r>
    </w:p>
    <w:p w14:paraId="192030E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Konno, H., et Yamazaki, H. (1991). Mean-Absolute Deviation Portfolio Optimization Model and ITS Applications to Tokyo Stock Market.  Management Science, Vol. 37, No. 5, p 519-531. </w:t>
      </w:r>
    </w:p>
    <w:p w14:paraId="03006DA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Konno, H., Shirakawa, H., et Yamazaki, H. (1993). A Mean-absolute Deviation skewness Portfolio Optimization Model. Annals of Operations Research, p 205-220.  </w:t>
      </w:r>
    </w:p>
    <w:p w14:paraId="427A61F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 Kroner et Ng (1998). Modeling Asymmetric </w:t>
      </w:r>
      <w:proofErr w:type="spellStart"/>
      <w:r w:rsidRPr="00DD3229">
        <w:rPr>
          <w:rFonts w:ascii="Times New Roman" w:eastAsia="Times New Roman" w:hAnsi="Times New Roman" w:cs="Times New Roman"/>
          <w:lang w:val="en-US" w:eastAsia="fr-FR"/>
        </w:rPr>
        <w:t>Comovements</w:t>
      </w:r>
      <w:proofErr w:type="spellEnd"/>
      <w:r w:rsidRPr="00DD3229">
        <w:rPr>
          <w:rFonts w:ascii="Times New Roman" w:eastAsia="Times New Roman" w:hAnsi="Times New Roman" w:cs="Times New Roman"/>
          <w:lang w:val="en-US" w:eastAsia="fr-FR"/>
        </w:rPr>
        <w:t xml:space="preserve"> of Asset Returns. The Review of Financial Studies, Vol 11, P 817–844.</w:t>
      </w:r>
    </w:p>
    <w:p w14:paraId="6C0C846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Le Sourd, V. et </w:t>
      </w:r>
      <w:proofErr w:type="spellStart"/>
      <w:r w:rsidRPr="00DD3229">
        <w:rPr>
          <w:rFonts w:ascii="Times New Roman" w:eastAsia="Times New Roman" w:hAnsi="Times New Roman" w:cs="Times New Roman"/>
          <w:lang w:val="en-US" w:eastAsia="fr-FR"/>
        </w:rPr>
        <w:t>Amenc</w:t>
      </w:r>
      <w:proofErr w:type="spellEnd"/>
      <w:r w:rsidRPr="00DD3229">
        <w:rPr>
          <w:rFonts w:ascii="Times New Roman" w:eastAsia="Times New Roman" w:hAnsi="Times New Roman" w:cs="Times New Roman"/>
          <w:lang w:val="en-US" w:eastAsia="fr-FR"/>
        </w:rPr>
        <w:t xml:space="preserve">, N., (2002). </w:t>
      </w:r>
      <w:proofErr w:type="spellStart"/>
      <w:r w:rsidRPr="00DD3229">
        <w:rPr>
          <w:rFonts w:ascii="Times New Roman" w:eastAsia="Times New Roman" w:hAnsi="Times New Roman" w:cs="Times New Roman"/>
          <w:lang w:val="en-US" w:eastAsia="fr-FR"/>
        </w:rPr>
        <w:t>Théorie</w:t>
      </w:r>
      <w:proofErr w:type="spellEnd"/>
      <w:r w:rsidRPr="00DD3229">
        <w:rPr>
          <w:rFonts w:ascii="Times New Roman" w:eastAsia="Times New Roman" w:hAnsi="Times New Roman" w:cs="Times New Roman"/>
          <w:lang w:val="en-US" w:eastAsia="fr-FR"/>
        </w:rPr>
        <w:t xml:space="preserve"> de </w:t>
      </w:r>
      <w:proofErr w:type="spellStart"/>
      <w:r w:rsidRPr="00DD3229">
        <w:rPr>
          <w:rFonts w:ascii="Times New Roman" w:eastAsia="Times New Roman" w:hAnsi="Times New Roman" w:cs="Times New Roman"/>
          <w:lang w:val="en-US" w:eastAsia="fr-FR"/>
        </w:rPr>
        <w:t>portefeuille</w:t>
      </w:r>
      <w:proofErr w:type="spellEnd"/>
      <w:r w:rsidRPr="00DD3229">
        <w:rPr>
          <w:rFonts w:ascii="Times New Roman" w:eastAsia="Times New Roman" w:hAnsi="Times New Roman" w:cs="Times New Roman"/>
          <w:lang w:val="en-US" w:eastAsia="fr-FR"/>
        </w:rPr>
        <w:t xml:space="preserve"> et </w:t>
      </w:r>
      <w:proofErr w:type="spellStart"/>
      <w:r w:rsidRPr="00DD3229">
        <w:rPr>
          <w:rFonts w:ascii="Times New Roman" w:eastAsia="Times New Roman" w:hAnsi="Times New Roman" w:cs="Times New Roman"/>
          <w:lang w:val="en-US" w:eastAsia="fr-FR"/>
        </w:rPr>
        <w:t>analyse</w:t>
      </w:r>
      <w:proofErr w:type="spellEnd"/>
      <w:r w:rsidRPr="00DD3229">
        <w:rPr>
          <w:rFonts w:ascii="Times New Roman" w:eastAsia="Times New Roman" w:hAnsi="Times New Roman" w:cs="Times New Roman"/>
          <w:lang w:val="en-US" w:eastAsia="fr-FR"/>
        </w:rPr>
        <w:t xml:space="preserve"> de </w:t>
      </w:r>
      <w:proofErr w:type="spellStart"/>
      <w:r w:rsidRPr="00DD3229">
        <w:rPr>
          <w:rFonts w:ascii="Times New Roman" w:eastAsia="Times New Roman" w:hAnsi="Times New Roman" w:cs="Times New Roman"/>
          <w:lang w:val="en-US" w:eastAsia="fr-FR"/>
        </w:rPr>
        <w:t>sa</w:t>
      </w:r>
      <w:proofErr w:type="spellEnd"/>
      <w:r w:rsidRPr="00DD3229">
        <w:rPr>
          <w:rFonts w:ascii="Times New Roman" w:eastAsia="Times New Roman" w:hAnsi="Times New Roman" w:cs="Times New Roman"/>
          <w:lang w:val="en-US" w:eastAsia="fr-FR"/>
        </w:rPr>
        <w:t xml:space="preserve"> performance, </w:t>
      </w:r>
      <w:proofErr w:type="spellStart"/>
      <w:r w:rsidRPr="00DD3229">
        <w:rPr>
          <w:rFonts w:ascii="Times New Roman" w:eastAsia="Times New Roman" w:hAnsi="Times New Roman" w:cs="Times New Roman"/>
          <w:lang w:val="en-US" w:eastAsia="fr-FR"/>
        </w:rPr>
        <w:t>édition</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Economica</w:t>
      </w:r>
      <w:proofErr w:type="spellEnd"/>
      <w:r w:rsidRPr="00DD3229">
        <w:rPr>
          <w:rFonts w:ascii="Times New Roman" w:eastAsia="Times New Roman" w:hAnsi="Times New Roman" w:cs="Times New Roman"/>
          <w:lang w:val="en-US" w:eastAsia="fr-FR"/>
        </w:rPr>
        <w:t>, Paris.</w:t>
      </w:r>
    </w:p>
    <w:p w14:paraId="3740BEE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Ledoit</w:t>
      </w:r>
      <w:proofErr w:type="spellEnd"/>
      <w:r w:rsidRPr="00DD3229">
        <w:rPr>
          <w:rFonts w:ascii="Times New Roman" w:eastAsia="Times New Roman" w:hAnsi="Times New Roman" w:cs="Times New Roman"/>
          <w:lang w:val="en-US" w:eastAsia="fr-FR"/>
        </w:rPr>
        <w:t>, O., &amp; Wolf, M. (2003). Improved estimation of the covariance matrix of stock returns with an application to portfolio selection. Journal of Empirical Finance, 10, 603–621.</w:t>
      </w:r>
    </w:p>
    <w:p w14:paraId="49E7BEF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Lee, W., et Rao, R. (1988). Mean Lower Partial Moment Valuation and Lognormally Distributed Returns. Management Science, p 446-453.</w:t>
      </w:r>
    </w:p>
    <w:p w14:paraId="5A96D66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Leote</w:t>
      </w:r>
      <w:proofErr w:type="spellEnd"/>
      <w:r w:rsidRPr="00DD3229">
        <w:rPr>
          <w:rFonts w:ascii="Times New Roman" w:eastAsia="Times New Roman" w:hAnsi="Times New Roman" w:cs="Times New Roman"/>
          <w:lang w:val="en-US" w:eastAsia="fr-FR"/>
        </w:rPr>
        <w:t xml:space="preserve"> De Carvalho, R., Lu, X., &amp; Moulin, P. (2012). </w:t>
      </w:r>
      <w:proofErr w:type="spellStart"/>
      <w:r w:rsidRPr="00DD3229">
        <w:rPr>
          <w:rFonts w:ascii="Times New Roman" w:eastAsia="Times New Roman" w:hAnsi="Times New Roman" w:cs="Times New Roman"/>
          <w:lang w:val="en-US" w:eastAsia="fr-FR"/>
        </w:rPr>
        <w:t>Demystifiying</w:t>
      </w:r>
      <w:proofErr w:type="spellEnd"/>
      <w:r w:rsidRPr="00DD3229">
        <w:rPr>
          <w:rFonts w:ascii="Times New Roman" w:eastAsia="Times New Roman" w:hAnsi="Times New Roman" w:cs="Times New Roman"/>
          <w:lang w:val="en-US" w:eastAsia="fr-FR"/>
        </w:rPr>
        <w:t xml:space="preserve"> equity risk-based strategies: A simple alpha plus beta description. Journal of Portfolio Management, 38, 56–70.</w:t>
      </w:r>
    </w:p>
    <w:p w14:paraId="67AC6690"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Li, X. Qin, Z. and Kar, S. Mean-variance-skewness model for portfolio selection with fuzzy returns. European Journal of Operational Research, 202, p 239-247. </w:t>
      </w:r>
    </w:p>
    <w:p w14:paraId="5BE79C2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 Lintner (1965). The Valuation of Risk Assets and the Selection of Risky Investments in Stock Portfolios and Capital </w:t>
      </w:r>
      <w:proofErr w:type="spellStart"/>
      <w:r w:rsidRPr="00DD3229">
        <w:rPr>
          <w:rFonts w:ascii="Times New Roman" w:eastAsia="Times New Roman" w:hAnsi="Times New Roman" w:cs="Times New Roman"/>
          <w:lang w:val="en-US" w:eastAsia="fr-FR"/>
        </w:rPr>
        <w:t>Budgets.The</w:t>
      </w:r>
      <w:proofErr w:type="spellEnd"/>
      <w:r w:rsidRPr="00DD3229">
        <w:rPr>
          <w:rFonts w:ascii="Times New Roman" w:eastAsia="Times New Roman" w:hAnsi="Times New Roman" w:cs="Times New Roman"/>
          <w:lang w:val="en-US" w:eastAsia="fr-FR"/>
        </w:rPr>
        <w:t xml:space="preserve"> Review of Economics and </w:t>
      </w:r>
      <w:proofErr w:type="spellStart"/>
      <w:r w:rsidRPr="00DD3229">
        <w:rPr>
          <w:rFonts w:ascii="Times New Roman" w:eastAsia="Times New Roman" w:hAnsi="Times New Roman" w:cs="Times New Roman"/>
          <w:lang w:val="en-US" w:eastAsia="fr-FR"/>
        </w:rPr>
        <w:t>Statistics.</w:t>
      </w:r>
      <w:hyperlink r:id="rId34" w:history="1">
        <w:r w:rsidRPr="00DD3229">
          <w:rPr>
            <w:rFonts w:ascii="Times New Roman" w:eastAsia="Times New Roman" w:hAnsi="Times New Roman"/>
            <w:lang w:val="en-US" w:eastAsia="fr-FR"/>
          </w:rPr>
          <w:t>Vol</w:t>
        </w:r>
        <w:proofErr w:type="spellEnd"/>
        <w:r w:rsidRPr="00DD3229">
          <w:rPr>
            <w:rFonts w:ascii="Times New Roman" w:eastAsia="Times New Roman" w:hAnsi="Times New Roman"/>
            <w:lang w:val="en-US" w:eastAsia="fr-FR"/>
          </w:rPr>
          <w:t>. 47</w:t>
        </w:r>
      </w:hyperlink>
      <w:r w:rsidRPr="00DD3229">
        <w:rPr>
          <w:rFonts w:ascii="Times New Roman" w:eastAsia="Times New Roman" w:hAnsi="Times New Roman" w:cs="Times New Roman"/>
          <w:lang w:val="en-US" w:eastAsia="fr-FR"/>
        </w:rPr>
        <w:t>, p. 13-37.</w:t>
      </w:r>
    </w:p>
    <w:p w14:paraId="5F5E1E9E"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Longin, F. et </w:t>
      </w:r>
      <w:proofErr w:type="spellStart"/>
      <w:r w:rsidRPr="00DD3229">
        <w:rPr>
          <w:rFonts w:ascii="Times New Roman" w:eastAsia="Times New Roman" w:hAnsi="Times New Roman" w:cs="Times New Roman"/>
          <w:lang w:val="en-US" w:eastAsia="fr-FR"/>
        </w:rPr>
        <w:t>Solnik</w:t>
      </w:r>
      <w:proofErr w:type="spellEnd"/>
      <w:r w:rsidRPr="00DD3229">
        <w:rPr>
          <w:rFonts w:ascii="Times New Roman" w:eastAsia="Times New Roman" w:hAnsi="Times New Roman" w:cs="Times New Roman"/>
          <w:lang w:val="en-US" w:eastAsia="fr-FR"/>
        </w:rPr>
        <w:t xml:space="preserve">, B. (2001). Extreme correlations in international Equity Markets. Journal of Finance, p 56, 649-676. </w:t>
      </w:r>
    </w:p>
    <w:p w14:paraId="38C971C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lastRenderedPageBreak/>
        <w:t>Lopéz</w:t>
      </w:r>
      <w:proofErr w:type="spellEnd"/>
      <w:r w:rsidRPr="00DD3229">
        <w:rPr>
          <w:rFonts w:ascii="Times New Roman" w:eastAsia="Times New Roman" w:hAnsi="Times New Roman" w:cs="Times New Roman"/>
          <w:lang w:val="en-US" w:eastAsia="fr-FR"/>
        </w:rPr>
        <w:t xml:space="preserve"> de Prado (2016). Building Diversified Portfolios that Outperform Out-of-</w:t>
      </w:r>
      <w:proofErr w:type="spellStart"/>
      <w:r w:rsidRPr="00DD3229">
        <w:rPr>
          <w:rFonts w:ascii="Times New Roman" w:eastAsia="Times New Roman" w:hAnsi="Times New Roman" w:cs="Times New Roman"/>
          <w:lang w:val="en-US" w:eastAsia="fr-FR"/>
        </w:rPr>
        <w:t>Sample.Journal</w:t>
      </w:r>
      <w:proofErr w:type="spellEnd"/>
      <w:r w:rsidRPr="00DD3229">
        <w:rPr>
          <w:rFonts w:ascii="Times New Roman" w:eastAsia="Times New Roman" w:hAnsi="Times New Roman" w:cs="Times New Roman"/>
          <w:lang w:val="en-US" w:eastAsia="fr-FR"/>
        </w:rPr>
        <w:t xml:space="preserve"> of Portfolio Management.</w:t>
      </w:r>
    </w:p>
    <w:p w14:paraId="231FE6F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Lucas, A. et Klaassen, P., (1998). Extreme returns, downside risk, and optimal asset allocation, Journal of Portfolio Management, Vol.25, pp.71–79.</w:t>
      </w:r>
    </w:p>
    <w:p w14:paraId="19EB961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Maillard, Roncalli et </w:t>
      </w:r>
      <w:proofErr w:type="spellStart"/>
      <w:r w:rsidRPr="00DD3229">
        <w:rPr>
          <w:rFonts w:ascii="Times New Roman" w:eastAsia="Times New Roman" w:hAnsi="Times New Roman" w:cs="Times New Roman"/>
          <w:lang w:val="en-US" w:eastAsia="fr-FR"/>
        </w:rPr>
        <w:t>Teiletche</w:t>
      </w:r>
      <w:proofErr w:type="spellEnd"/>
      <w:r w:rsidRPr="00DD3229">
        <w:rPr>
          <w:rFonts w:ascii="Times New Roman" w:eastAsia="Times New Roman" w:hAnsi="Times New Roman" w:cs="Times New Roman"/>
          <w:lang w:val="en-US" w:eastAsia="fr-FR"/>
        </w:rPr>
        <w:t xml:space="preserve"> (2008). Equally-weighted Risk contributions: a new method to build risk balanced diversified </w:t>
      </w:r>
      <w:proofErr w:type="spellStart"/>
      <w:proofErr w:type="gramStart"/>
      <w:r w:rsidRPr="00DD3229">
        <w:rPr>
          <w:rFonts w:ascii="Times New Roman" w:eastAsia="Times New Roman" w:hAnsi="Times New Roman" w:cs="Times New Roman"/>
          <w:lang w:val="en-US" w:eastAsia="fr-FR"/>
        </w:rPr>
        <w:t>portfolios.Financial</w:t>
      </w:r>
      <w:proofErr w:type="spellEnd"/>
      <w:proofErr w:type="gramEnd"/>
      <w:r w:rsidRPr="00DD3229">
        <w:rPr>
          <w:rFonts w:ascii="Times New Roman" w:eastAsia="Times New Roman" w:hAnsi="Times New Roman" w:cs="Times New Roman"/>
          <w:lang w:val="en-US" w:eastAsia="fr-FR"/>
        </w:rPr>
        <w:t xml:space="preserve"> Analysts Journal, vol 61, p. 83 - 99.</w:t>
      </w:r>
    </w:p>
    <w:p w14:paraId="7DEA2228"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Maillard, S., Roncalli, T, et </w:t>
      </w:r>
      <w:proofErr w:type="spellStart"/>
      <w:r w:rsidRPr="00DD3229">
        <w:rPr>
          <w:rFonts w:ascii="Times New Roman" w:eastAsia="Times New Roman" w:hAnsi="Times New Roman" w:cs="Times New Roman"/>
          <w:lang w:val="en-US" w:eastAsia="fr-FR"/>
        </w:rPr>
        <w:t>Teiletche</w:t>
      </w:r>
      <w:proofErr w:type="spellEnd"/>
      <w:r w:rsidRPr="00DD3229">
        <w:rPr>
          <w:rFonts w:ascii="Times New Roman" w:eastAsia="Times New Roman" w:hAnsi="Times New Roman" w:cs="Times New Roman"/>
          <w:lang w:val="en-US" w:eastAsia="fr-FR"/>
        </w:rPr>
        <w:t>, J. (2009). On the properties of equally-weighted risk contributions portfolios. Journal of Portfolio Management, 36, p 60-70.</w:t>
      </w:r>
    </w:p>
    <w:p w14:paraId="1A2D5A0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Malevergne,Y</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et </w:t>
      </w:r>
      <w:proofErr w:type="spellStart"/>
      <w:r w:rsidRPr="00DD3229">
        <w:rPr>
          <w:rFonts w:ascii="Times New Roman" w:eastAsia="Times New Roman" w:hAnsi="Times New Roman" w:cs="Times New Roman"/>
          <w:lang w:val="en-US" w:eastAsia="fr-FR"/>
        </w:rPr>
        <w:t>Sornette</w:t>
      </w:r>
      <w:proofErr w:type="spellEnd"/>
      <w:r w:rsidRPr="00DD3229">
        <w:rPr>
          <w:rFonts w:ascii="Times New Roman" w:eastAsia="Times New Roman" w:hAnsi="Times New Roman" w:cs="Times New Roman"/>
          <w:lang w:val="en-US" w:eastAsia="fr-FR"/>
        </w:rPr>
        <w:t xml:space="preserve">, D. (2005), “Higher moments portfolio theory, capitalizing on behavioral anomalies of stock markets”. Journal of Portfolio Management, 31, p 49 </w:t>
      </w:r>
    </w:p>
    <w:p w14:paraId="58E2D3C5" w14:textId="77777777" w:rsidR="00122604" w:rsidRPr="00DD3229" w:rsidRDefault="0031542F" w:rsidP="00122604">
      <w:pPr>
        <w:pStyle w:val="ListParagraph"/>
        <w:numPr>
          <w:ilvl w:val="0"/>
          <w:numId w:val="8"/>
        </w:numPr>
        <w:spacing w:before="120" w:line="480" w:lineRule="auto"/>
        <w:rPr>
          <w:rFonts w:ascii="Times New Roman" w:eastAsia="Times New Roman" w:hAnsi="Times New Roman" w:cs="Times New Roman"/>
          <w:lang w:val="en-US" w:eastAsia="fr-FR"/>
        </w:rPr>
      </w:pPr>
      <w:hyperlink r:id="rId35" w:history="1">
        <w:r w:rsidR="00122604" w:rsidRPr="00DD3229">
          <w:rPr>
            <w:rFonts w:ascii="Times New Roman" w:eastAsia="Times New Roman" w:hAnsi="Times New Roman" w:cs="Times New Roman"/>
            <w:lang w:val="en-US" w:eastAsia="fr-FR"/>
          </w:rPr>
          <w:t xml:space="preserve">Marco </w:t>
        </w:r>
        <w:proofErr w:type="spellStart"/>
        <w:r w:rsidR="00122604" w:rsidRPr="00DD3229">
          <w:rPr>
            <w:rFonts w:ascii="Times New Roman" w:eastAsia="Times New Roman" w:hAnsi="Times New Roman" w:cs="Times New Roman"/>
            <w:lang w:val="en-US" w:eastAsia="fr-FR"/>
          </w:rPr>
          <w:t>Neffelli</w:t>
        </w:r>
        <w:proofErr w:type="spellEnd"/>
      </w:hyperlink>
      <w:r w:rsidR="00122604" w:rsidRPr="00DD3229">
        <w:rPr>
          <w:rFonts w:ascii="Times New Roman" w:eastAsia="Times New Roman" w:hAnsi="Times New Roman" w:cs="Times New Roman"/>
          <w:lang w:val="en-US" w:eastAsia="fr-FR"/>
        </w:rPr>
        <w:t>(2018) .</w:t>
      </w:r>
      <w:hyperlink r:id="rId36" w:history="1">
        <w:r w:rsidR="00122604" w:rsidRPr="00DD3229">
          <w:rPr>
            <w:rFonts w:ascii="Times New Roman" w:eastAsia="Times New Roman" w:hAnsi="Times New Roman" w:cs="Times New Roman"/>
            <w:lang w:val="en-US" w:eastAsia="fr-FR"/>
          </w:rPr>
          <w:t>Target Matrix Estimators in Risk-Based Portfolios</w:t>
        </w:r>
      </w:hyperlink>
      <w:r w:rsidR="00122604" w:rsidRPr="00DD3229">
        <w:rPr>
          <w:rFonts w:ascii="Times New Roman" w:eastAsia="Times New Roman" w:hAnsi="Times New Roman" w:cs="Times New Roman"/>
          <w:lang w:val="en-US" w:eastAsia="fr-FR"/>
        </w:rPr>
        <w:t>.</w:t>
      </w:r>
      <w:r w:rsidR="00122604" w:rsidRPr="00DD3229">
        <w:rPr>
          <w:rFonts w:ascii="Times New Roman" w:eastAsia="Times New Roman" w:hAnsi="Times New Roman"/>
          <w:lang w:eastAsia="fr-FR"/>
        </w:rPr>
        <w:t>Risks</w:t>
      </w:r>
      <w:r w:rsidR="00122604" w:rsidRPr="00DD3229">
        <w:rPr>
          <w:rFonts w:ascii="Times New Roman" w:eastAsia="Times New Roman" w:hAnsi="Times New Roman" w:cs="Times New Roman"/>
          <w:lang w:val="en-US" w:eastAsia="fr-FR"/>
        </w:rPr>
        <w:t>, </w:t>
      </w:r>
      <w:r w:rsidR="00122604" w:rsidRPr="00DD3229">
        <w:rPr>
          <w:rFonts w:ascii="Times New Roman" w:eastAsia="Times New Roman" w:hAnsi="Times New Roman"/>
          <w:lang w:eastAsia="fr-FR"/>
        </w:rPr>
        <w:t>6</w:t>
      </w:r>
      <w:r w:rsidR="00122604" w:rsidRPr="00DD3229">
        <w:rPr>
          <w:rFonts w:ascii="Times New Roman" w:eastAsia="Times New Roman" w:hAnsi="Times New Roman" w:cs="Times New Roman"/>
          <w:lang w:val="en-US" w:eastAsia="fr-FR"/>
        </w:rPr>
        <w:t>(4), 125.</w:t>
      </w:r>
    </w:p>
    <w:p w14:paraId="10E30CA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Markowitz, H., (1952). Portfolio selection, The Journal of Finance, Vol 7, pp. 77- 91. 75.</w:t>
      </w:r>
    </w:p>
    <w:p w14:paraId="71682AB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Markowitz. H., (1959). Portfolio Selection: Efficient Diversification of Investments, John Wiley &amp; Sons, Inc., New York.</w:t>
      </w:r>
    </w:p>
    <w:p w14:paraId="443BB17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Marschak,J</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(1938). Money and the theory of finance, </w:t>
      </w:r>
      <w:proofErr w:type="spellStart"/>
      <w:r w:rsidRPr="00DD3229">
        <w:rPr>
          <w:rFonts w:ascii="Times New Roman" w:eastAsia="Times New Roman" w:hAnsi="Times New Roman" w:cs="Times New Roman"/>
          <w:lang w:val="en-US" w:eastAsia="fr-FR"/>
        </w:rPr>
        <w:t>Econometrica</w:t>
      </w:r>
      <w:proofErr w:type="spellEnd"/>
      <w:r w:rsidRPr="00DD3229">
        <w:rPr>
          <w:rFonts w:ascii="Times New Roman" w:eastAsia="Times New Roman" w:hAnsi="Times New Roman" w:cs="Times New Roman"/>
          <w:lang w:val="en-US" w:eastAsia="fr-FR"/>
        </w:rPr>
        <w:t>, pp: 311— 25.</w:t>
      </w:r>
    </w:p>
    <w:p w14:paraId="41139C7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Martellini</w:t>
      </w:r>
      <w:proofErr w:type="spellEnd"/>
      <w:r w:rsidRPr="00DD3229">
        <w:rPr>
          <w:rFonts w:ascii="Times New Roman" w:eastAsia="Times New Roman" w:hAnsi="Times New Roman" w:cs="Times New Roman"/>
          <w:lang w:val="en-US" w:eastAsia="fr-FR"/>
        </w:rPr>
        <w:t xml:space="preserve">, L. (2008). Toward the Design of Better Equity Benchmarks: Rehabilitating the Tangency Portfolio from Modern Portfolio Theory. Journal of Portfolio Management, 34, p 34-41. </w:t>
      </w:r>
    </w:p>
    <w:p w14:paraId="2866353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Merton, Robert C. 1980. On Estimating the Expected Return on the Market: An Exploratory Investigation. Topics in Catalysis 8: 323–61.</w:t>
      </w:r>
    </w:p>
    <w:p w14:paraId="7414F48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Merton, R.C, (1973). An Intertemporal Capital Asset Pricing </w:t>
      </w:r>
      <w:proofErr w:type="spellStart"/>
      <w:r w:rsidRPr="00DD3229">
        <w:rPr>
          <w:rFonts w:ascii="Times New Roman" w:eastAsia="Times New Roman" w:hAnsi="Times New Roman" w:cs="Times New Roman"/>
          <w:lang w:val="en-US" w:eastAsia="fr-FR"/>
        </w:rPr>
        <w:t>Model.Econometrica</w:t>
      </w:r>
      <w:proofErr w:type="spellEnd"/>
      <w:r w:rsidRPr="00DD3229">
        <w:rPr>
          <w:rFonts w:ascii="Times New Roman" w:eastAsia="Times New Roman" w:hAnsi="Times New Roman" w:cs="Times New Roman"/>
          <w:lang w:val="en-US" w:eastAsia="fr-FR"/>
        </w:rPr>
        <w:t xml:space="preserve">, Vol. 41, No. 5, p 867-887. </w:t>
      </w:r>
    </w:p>
    <w:p w14:paraId="62F57538"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Meucci, A. (2001). Common pitfalls in mean-variance asset allocation. Wilmott Magazine.</w:t>
      </w:r>
    </w:p>
    <w:p w14:paraId="7D9EDC8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Michaud (1989). The Markowitz Optimization Enigma: Is ‘Optimized’ </w:t>
      </w:r>
      <w:proofErr w:type="spellStart"/>
      <w:r w:rsidRPr="00DD3229">
        <w:rPr>
          <w:rFonts w:ascii="Times New Roman" w:eastAsia="Times New Roman" w:hAnsi="Times New Roman" w:cs="Times New Roman"/>
          <w:lang w:val="en-US" w:eastAsia="fr-FR"/>
        </w:rPr>
        <w:t>Optimal</w:t>
      </w:r>
      <w:proofErr w:type="gramStart"/>
      <w:r w:rsidRPr="00DD3229">
        <w:rPr>
          <w:rFonts w:ascii="Times New Roman" w:eastAsia="Times New Roman" w:hAnsi="Times New Roman" w:cs="Times New Roman"/>
          <w:lang w:val="en-US" w:eastAsia="fr-FR"/>
        </w:rPr>
        <w:t>?.Financial</w:t>
      </w:r>
      <w:proofErr w:type="spellEnd"/>
      <w:proofErr w:type="gramEnd"/>
      <w:r w:rsidRPr="00DD3229">
        <w:rPr>
          <w:rFonts w:ascii="Times New Roman" w:eastAsia="Times New Roman" w:hAnsi="Times New Roman" w:cs="Times New Roman"/>
          <w:lang w:val="en-US" w:eastAsia="fr-FR"/>
        </w:rPr>
        <w:t xml:space="preserve"> Analysts </w:t>
      </w:r>
      <w:proofErr w:type="spellStart"/>
      <w:r w:rsidRPr="00DD3229">
        <w:rPr>
          <w:rFonts w:ascii="Times New Roman" w:eastAsia="Times New Roman" w:hAnsi="Times New Roman" w:cs="Times New Roman"/>
          <w:lang w:val="en-US" w:eastAsia="fr-FR"/>
        </w:rPr>
        <w:t>Journal.p</w:t>
      </w:r>
      <w:proofErr w:type="spellEnd"/>
      <w:r w:rsidRPr="00DD3229">
        <w:rPr>
          <w:rFonts w:ascii="Times New Roman" w:eastAsia="Times New Roman" w:hAnsi="Times New Roman" w:cs="Times New Roman"/>
          <w:lang w:val="en-US" w:eastAsia="fr-FR"/>
        </w:rPr>
        <w:t xml:space="preserve"> 31-42</w:t>
      </w:r>
    </w:p>
    <w:p w14:paraId="52800D0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Mishkin (1996). Understanding Financial Crises: A Developing Country </w:t>
      </w:r>
      <w:proofErr w:type="spellStart"/>
      <w:r w:rsidRPr="00DD3229">
        <w:rPr>
          <w:rFonts w:ascii="Times New Roman" w:eastAsia="Times New Roman" w:hAnsi="Times New Roman" w:cs="Times New Roman"/>
          <w:lang w:val="en-US" w:eastAsia="fr-FR"/>
        </w:rPr>
        <w:t>Perspective.National</w:t>
      </w:r>
      <w:proofErr w:type="spellEnd"/>
      <w:r w:rsidRPr="00DD3229">
        <w:rPr>
          <w:rFonts w:ascii="Times New Roman" w:eastAsia="Times New Roman" w:hAnsi="Times New Roman" w:cs="Times New Roman"/>
          <w:lang w:val="en-US" w:eastAsia="fr-FR"/>
        </w:rPr>
        <w:t xml:space="preserve"> Bureau of Economic Research.</w:t>
      </w:r>
    </w:p>
    <w:p w14:paraId="1581811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lastRenderedPageBreak/>
        <w:t>Mitton,T</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et Vorkink, K. (2007). Equilibrium under diversification and the preference for skewness. Review of Financial Studies, 20:4, p 1255-1288. </w:t>
      </w:r>
    </w:p>
    <w:p w14:paraId="24413EB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Mossin (1966). Equilibrium in a Capital Asset </w:t>
      </w:r>
      <w:proofErr w:type="spellStart"/>
      <w:proofErr w:type="gramStart"/>
      <w:r w:rsidRPr="00DD3229">
        <w:rPr>
          <w:rFonts w:ascii="Times New Roman" w:eastAsia="Times New Roman" w:hAnsi="Times New Roman" w:cs="Times New Roman"/>
          <w:lang w:val="en-US" w:eastAsia="fr-FR"/>
        </w:rPr>
        <w:t>Market.Econometrica</w:t>
      </w:r>
      <w:proofErr w:type="spellEnd"/>
      <w:r w:rsidRPr="00DD3229">
        <w:rPr>
          <w:rFonts w:ascii="Times New Roman" w:eastAsia="Times New Roman" w:hAnsi="Times New Roman" w:cs="Times New Roman"/>
          <w:lang w:val="en-US" w:eastAsia="fr-FR"/>
        </w:rPr>
        <w:t xml:space="preserve"> .</w:t>
      </w:r>
      <w:proofErr w:type="gramEnd"/>
      <w:r>
        <w:fldChar w:fldCharType="begin"/>
      </w:r>
      <w:r>
        <w:instrText>HYPERLINK "https://www.jstor.org/stable/i332656"</w:instrText>
      </w:r>
      <w:r>
        <w:fldChar w:fldCharType="separate"/>
      </w:r>
      <w:r w:rsidRPr="00DD3229">
        <w:rPr>
          <w:rFonts w:ascii="Times New Roman" w:eastAsia="Times New Roman" w:hAnsi="Times New Roman"/>
          <w:lang w:val="en-US" w:eastAsia="fr-FR"/>
        </w:rPr>
        <w:t>Vol. 34,</w:t>
      </w:r>
      <w:r>
        <w:fldChar w:fldCharType="end"/>
      </w:r>
      <w:r w:rsidRPr="00DD3229">
        <w:rPr>
          <w:rFonts w:ascii="Times New Roman" w:eastAsia="Times New Roman" w:hAnsi="Times New Roman" w:cs="Times New Roman"/>
          <w:lang w:val="en-US" w:eastAsia="fr-FR"/>
        </w:rPr>
        <w:t xml:space="preserve"> pp. 768-783</w:t>
      </w:r>
    </w:p>
    <w:p w14:paraId="7610E97E" w14:textId="77777777" w:rsidR="00122604" w:rsidRPr="00DD3229" w:rsidRDefault="00DD3229"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Nanakorn</w:t>
      </w:r>
      <w:proofErr w:type="spellEnd"/>
      <w:r w:rsidRPr="00DD3229">
        <w:rPr>
          <w:rFonts w:ascii="Times New Roman" w:eastAsia="Times New Roman" w:hAnsi="Times New Roman" w:cs="Times New Roman"/>
          <w:lang w:val="en-US" w:eastAsia="fr-FR"/>
        </w:rPr>
        <w:t xml:space="preserve">, </w:t>
      </w:r>
      <w:proofErr w:type="gramStart"/>
      <w:r w:rsidRPr="00DD3229">
        <w:rPr>
          <w:rFonts w:ascii="Times New Roman" w:eastAsia="Times New Roman" w:hAnsi="Times New Roman" w:cs="Times New Roman"/>
          <w:lang w:val="en-US" w:eastAsia="fr-FR"/>
        </w:rPr>
        <w:t>N ,</w:t>
      </w:r>
      <w:proofErr w:type="gram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Palmgren</w:t>
      </w:r>
      <w:proofErr w:type="spellEnd"/>
      <w:r w:rsidRPr="00DD3229">
        <w:rPr>
          <w:rFonts w:ascii="Times New Roman" w:eastAsia="Times New Roman" w:hAnsi="Times New Roman" w:cs="Times New Roman"/>
          <w:lang w:val="en-US" w:eastAsia="fr-FR"/>
        </w:rPr>
        <w:t>, E</w:t>
      </w:r>
      <w:r w:rsidR="00122604" w:rsidRPr="00DD3229">
        <w:rPr>
          <w:rFonts w:ascii="Times New Roman" w:eastAsia="Times New Roman" w:hAnsi="Times New Roman" w:cs="Times New Roman"/>
          <w:lang w:val="en-US" w:eastAsia="fr-FR"/>
        </w:rPr>
        <w:t xml:space="preserve"> (2021). Hierarchical Clustering in Risk-Based Portfolio </w:t>
      </w:r>
      <w:proofErr w:type="spellStart"/>
      <w:proofErr w:type="gramStart"/>
      <w:r w:rsidR="00122604" w:rsidRPr="00DD3229">
        <w:rPr>
          <w:rFonts w:ascii="Times New Roman" w:eastAsia="Times New Roman" w:hAnsi="Times New Roman" w:cs="Times New Roman"/>
          <w:lang w:val="en-US" w:eastAsia="fr-FR"/>
        </w:rPr>
        <w:t>Construction.DIVA.p</w:t>
      </w:r>
      <w:proofErr w:type="spellEnd"/>
      <w:proofErr w:type="gramEnd"/>
      <w:r w:rsidR="00122604" w:rsidRPr="00DD3229">
        <w:rPr>
          <w:rFonts w:ascii="Times New Roman" w:eastAsia="Times New Roman" w:hAnsi="Times New Roman" w:cs="Times New Roman"/>
          <w:lang w:val="en-US" w:eastAsia="fr-FR"/>
        </w:rPr>
        <w:t xml:space="preserve"> 78</w:t>
      </w:r>
      <w:r w:rsidRPr="00DD3229">
        <w:rPr>
          <w:rFonts w:ascii="Times New Roman" w:eastAsia="Times New Roman" w:hAnsi="Times New Roman" w:cs="Times New Roman"/>
          <w:lang w:val="en-US" w:eastAsia="fr-FR"/>
        </w:rPr>
        <w:t>.</w:t>
      </w:r>
    </w:p>
    <w:p w14:paraId="01DA8B40"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Perold, A., et Sharpe, W. (1988). Dynamic strategies for asset </w:t>
      </w:r>
      <w:proofErr w:type="spellStart"/>
      <w:proofErr w:type="gramStart"/>
      <w:r w:rsidRPr="00DD3229">
        <w:rPr>
          <w:rFonts w:ascii="Times New Roman" w:eastAsia="Times New Roman" w:hAnsi="Times New Roman" w:cs="Times New Roman"/>
          <w:lang w:val="en-US" w:eastAsia="fr-FR"/>
        </w:rPr>
        <w:t>allocation.Financial</w:t>
      </w:r>
      <w:proofErr w:type="spellEnd"/>
      <w:proofErr w:type="gramEnd"/>
      <w:r w:rsidRPr="00DD3229">
        <w:rPr>
          <w:rFonts w:ascii="Times New Roman" w:eastAsia="Times New Roman" w:hAnsi="Times New Roman" w:cs="Times New Roman"/>
          <w:lang w:val="en-US" w:eastAsia="fr-FR"/>
        </w:rPr>
        <w:t xml:space="preserve"> Analysts Journal, p 16-27. </w:t>
      </w:r>
    </w:p>
    <w:p w14:paraId="381CCF1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Quirk, J., et </w:t>
      </w:r>
      <w:proofErr w:type="spellStart"/>
      <w:r w:rsidRPr="00DD3229">
        <w:rPr>
          <w:rFonts w:ascii="Times New Roman" w:eastAsia="Times New Roman" w:hAnsi="Times New Roman" w:cs="Times New Roman"/>
          <w:lang w:val="en-US" w:eastAsia="fr-FR"/>
        </w:rPr>
        <w:t>Saposnik</w:t>
      </w:r>
      <w:proofErr w:type="spellEnd"/>
      <w:r w:rsidRPr="00DD3229">
        <w:rPr>
          <w:rFonts w:ascii="Times New Roman" w:eastAsia="Times New Roman" w:hAnsi="Times New Roman" w:cs="Times New Roman"/>
          <w:lang w:val="en-US" w:eastAsia="fr-FR"/>
        </w:rPr>
        <w:t xml:space="preserve">, R. (1962). Admissibility and measurable utility </w:t>
      </w:r>
      <w:proofErr w:type="spellStart"/>
      <w:proofErr w:type="gramStart"/>
      <w:r w:rsidRPr="00DD3229">
        <w:rPr>
          <w:rFonts w:ascii="Times New Roman" w:eastAsia="Times New Roman" w:hAnsi="Times New Roman" w:cs="Times New Roman"/>
          <w:lang w:val="en-US" w:eastAsia="fr-FR"/>
        </w:rPr>
        <w:t>functions.Review</w:t>
      </w:r>
      <w:proofErr w:type="spellEnd"/>
      <w:proofErr w:type="gramEnd"/>
      <w:r w:rsidRPr="00DD3229">
        <w:rPr>
          <w:rFonts w:ascii="Times New Roman" w:eastAsia="Times New Roman" w:hAnsi="Times New Roman" w:cs="Times New Roman"/>
          <w:lang w:val="en-US" w:eastAsia="fr-FR"/>
        </w:rPr>
        <w:t xml:space="preserve"> of economic studies, p 29. </w:t>
      </w:r>
    </w:p>
    <w:p w14:paraId="4442ACE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R Core Team. (2015). R: A Language and Environment for Statistical Computing. R Foundation for Statistical Computing, Vienna, Austria. </w:t>
      </w:r>
      <w:hyperlink r:id="rId37" w:history="1">
        <w:r w:rsidRPr="00DD3229">
          <w:rPr>
            <w:rFonts w:ascii="Times New Roman" w:eastAsia="Times New Roman" w:hAnsi="Times New Roman" w:cs="Times New Roman"/>
            <w:lang w:val="en-US" w:eastAsia="fr-FR"/>
          </w:rPr>
          <w:t>http://www.R-project.org/</w:t>
        </w:r>
      </w:hyperlink>
      <w:r w:rsidRPr="00DD3229">
        <w:rPr>
          <w:rFonts w:ascii="Times New Roman" w:eastAsia="Times New Roman" w:hAnsi="Times New Roman" w:cs="Times New Roman"/>
          <w:lang w:val="en-US" w:eastAsia="fr-FR"/>
        </w:rPr>
        <w:t>.</w:t>
      </w:r>
    </w:p>
    <w:p w14:paraId="4CF1210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RiskMetrics</w:t>
      </w:r>
      <w:proofErr w:type="spellEnd"/>
      <w:r w:rsidRPr="00DD3229">
        <w:rPr>
          <w:rFonts w:ascii="Times New Roman" w:eastAsia="Times New Roman" w:hAnsi="Times New Roman" w:cs="Times New Roman"/>
          <w:lang w:val="en-US" w:eastAsia="fr-FR"/>
        </w:rPr>
        <w:t xml:space="preserve"> Group. (1996). </w:t>
      </w:r>
      <w:proofErr w:type="spellStart"/>
      <w:r w:rsidRPr="00DD3229">
        <w:rPr>
          <w:rFonts w:ascii="Times New Roman" w:eastAsia="Times New Roman" w:hAnsi="Times New Roman" w:cs="Times New Roman"/>
          <w:lang w:val="en-US" w:eastAsia="fr-FR"/>
        </w:rPr>
        <w:t>RiskMetrics</w:t>
      </w:r>
      <w:proofErr w:type="spellEnd"/>
      <w:r w:rsidRPr="00DD3229">
        <w:rPr>
          <w:rFonts w:ascii="Times New Roman" w:eastAsia="Times New Roman" w:hAnsi="Times New Roman" w:cs="Times New Roman"/>
          <w:lang w:val="en-US" w:eastAsia="fr-FR"/>
        </w:rPr>
        <w:t xml:space="preserve"> Technical Document. J. P. Morgan/Reuters, (4th ed.).</w:t>
      </w:r>
    </w:p>
    <w:p w14:paraId="598D832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Ross, S. A., (1976). The arbitrage theory of capital asset pricing, Journal of Economic Theory, Vol. 3, pp. 341-360</w:t>
      </w:r>
    </w:p>
    <w:p w14:paraId="24EC648D" w14:textId="77777777" w:rsidR="00122604" w:rsidRPr="00DD3229" w:rsidRDefault="0031542F" w:rsidP="00122604">
      <w:pPr>
        <w:pStyle w:val="ListParagraph"/>
        <w:numPr>
          <w:ilvl w:val="0"/>
          <w:numId w:val="8"/>
        </w:numPr>
        <w:spacing w:before="120" w:line="480" w:lineRule="auto"/>
        <w:rPr>
          <w:rFonts w:ascii="Times New Roman" w:eastAsia="Times New Roman" w:hAnsi="Times New Roman" w:cs="Times New Roman"/>
          <w:lang w:val="en-US" w:eastAsia="fr-FR"/>
        </w:rPr>
      </w:pPr>
      <w:hyperlink r:id="rId38" w:tooltip="View other papers by this author" w:history="1">
        <w:r w:rsidR="00122604" w:rsidRPr="00DD3229">
          <w:rPr>
            <w:rFonts w:ascii="Times New Roman" w:eastAsia="Times New Roman" w:hAnsi="Times New Roman" w:cs="Times New Roman"/>
            <w:lang w:val="en-US" w:eastAsia="fr-FR"/>
          </w:rPr>
          <w:t>Roy Kwon</w:t>
        </w:r>
      </w:hyperlink>
      <w:r w:rsidR="00122604" w:rsidRPr="00DD3229">
        <w:rPr>
          <w:rFonts w:ascii="Times New Roman" w:eastAsia="Times New Roman" w:hAnsi="Times New Roman" w:cs="Times New Roman"/>
          <w:lang w:val="en-US" w:eastAsia="fr-FR"/>
        </w:rPr>
        <w:t xml:space="preserve"> (2022). Covariance estimation for risk-based portfolio optimization: an integrated </w:t>
      </w:r>
      <w:proofErr w:type="spellStart"/>
      <w:proofErr w:type="gramStart"/>
      <w:r w:rsidR="00122604" w:rsidRPr="00DD3229">
        <w:rPr>
          <w:rFonts w:ascii="Times New Roman" w:eastAsia="Times New Roman" w:hAnsi="Times New Roman" w:cs="Times New Roman"/>
          <w:lang w:val="en-US" w:eastAsia="fr-FR"/>
        </w:rPr>
        <w:t>approach.Journal</w:t>
      </w:r>
      <w:proofErr w:type="spellEnd"/>
      <w:proofErr w:type="gramEnd"/>
      <w:r w:rsidR="00122604" w:rsidRPr="00DD3229">
        <w:rPr>
          <w:rFonts w:ascii="Times New Roman" w:eastAsia="Times New Roman" w:hAnsi="Times New Roman" w:cs="Times New Roman"/>
          <w:lang w:val="en-US" w:eastAsia="fr-FR"/>
        </w:rPr>
        <w:t xml:space="preserve"> of risk.vol24.p11-41.</w:t>
      </w:r>
    </w:p>
    <w:p w14:paraId="1BDA4DB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Rubinstein, M. (1973). A Mean-Variance Synthesis of Corporate Financial </w:t>
      </w:r>
      <w:proofErr w:type="spellStart"/>
      <w:r w:rsidRPr="00DD3229">
        <w:rPr>
          <w:rFonts w:ascii="Times New Roman" w:eastAsia="Times New Roman" w:hAnsi="Times New Roman" w:cs="Times New Roman"/>
          <w:lang w:val="en-US" w:eastAsia="fr-FR"/>
        </w:rPr>
        <w:t>Theory.Journal</w:t>
      </w:r>
      <w:proofErr w:type="spellEnd"/>
      <w:r w:rsidRPr="00DD3229">
        <w:rPr>
          <w:rFonts w:ascii="Times New Roman" w:eastAsia="Times New Roman" w:hAnsi="Times New Roman" w:cs="Times New Roman"/>
          <w:lang w:val="en-US" w:eastAsia="fr-FR"/>
        </w:rPr>
        <w:t xml:space="preserve"> of Finance 28, p 167-181. </w:t>
      </w:r>
    </w:p>
    <w:p w14:paraId="20E42CD0"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Rubinstein, M. (1973). The Fundamental Theorem of Parameter Preference Security </w:t>
      </w:r>
      <w:proofErr w:type="spellStart"/>
      <w:r w:rsidRPr="00DD3229">
        <w:rPr>
          <w:rFonts w:ascii="Times New Roman" w:eastAsia="Times New Roman" w:hAnsi="Times New Roman" w:cs="Times New Roman"/>
          <w:lang w:val="en-US" w:eastAsia="fr-FR"/>
        </w:rPr>
        <w:t>Valuation.Journal</w:t>
      </w:r>
      <w:proofErr w:type="spellEnd"/>
      <w:r w:rsidRPr="00DD3229">
        <w:rPr>
          <w:rFonts w:ascii="Times New Roman" w:eastAsia="Times New Roman" w:hAnsi="Times New Roman" w:cs="Times New Roman"/>
          <w:lang w:val="en-US" w:eastAsia="fr-FR"/>
        </w:rPr>
        <w:t xml:space="preserve"> of Financial and Quantitative Analysis, p 61-69. </w:t>
      </w:r>
    </w:p>
    <w:p w14:paraId="6C97FE6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Samuelson, P. (1970). Efficient Portfolio Selection for Pareto-Levy Investments. Journal of Financial and Quantitative Analysis, p 107-122. </w:t>
      </w:r>
    </w:p>
    <w:p w14:paraId="1E07A34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Scherer B. (2007). Portfolio Construction &amp; Risk Budgeting, </w:t>
      </w:r>
      <w:proofErr w:type="spellStart"/>
      <w:r w:rsidRPr="00DD3229">
        <w:rPr>
          <w:rFonts w:ascii="Times New Roman" w:eastAsia="Times New Roman" w:hAnsi="Times New Roman" w:cs="Times New Roman"/>
          <w:lang w:val="en-US" w:eastAsia="fr-FR"/>
        </w:rPr>
        <w:t>Riskbooks</w:t>
      </w:r>
      <w:proofErr w:type="spellEnd"/>
      <w:r w:rsidRPr="00DD3229">
        <w:rPr>
          <w:rFonts w:ascii="Times New Roman" w:eastAsia="Times New Roman" w:hAnsi="Times New Roman" w:cs="Times New Roman"/>
          <w:lang w:val="en-US" w:eastAsia="fr-FR"/>
        </w:rPr>
        <w:t xml:space="preserve">. Third Edition. </w:t>
      </w:r>
    </w:p>
    <w:p w14:paraId="260F264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Schewart</w:t>
      </w:r>
      <w:proofErr w:type="spellEnd"/>
      <w:r w:rsidRPr="00DD3229">
        <w:rPr>
          <w:rFonts w:ascii="Times New Roman" w:eastAsia="Times New Roman" w:hAnsi="Times New Roman" w:cs="Times New Roman"/>
          <w:lang w:val="en-US" w:eastAsia="fr-FR"/>
        </w:rPr>
        <w:t xml:space="preserve">, G. (1989). Why does stocks market volatility change over </w:t>
      </w:r>
      <w:proofErr w:type="spellStart"/>
      <w:proofErr w:type="gramStart"/>
      <w:r w:rsidRPr="00DD3229">
        <w:rPr>
          <w:rFonts w:ascii="Times New Roman" w:eastAsia="Times New Roman" w:hAnsi="Times New Roman" w:cs="Times New Roman"/>
          <w:lang w:val="en-US" w:eastAsia="fr-FR"/>
        </w:rPr>
        <w:t>time.Journal</w:t>
      </w:r>
      <w:proofErr w:type="spellEnd"/>
      <w:proofErr w:type="gramEnd"/>
      <w:r w:rsidRPr="00DD3229">
        <w:rPr>
          <w:rFonts w:ascii="Times New Roman" w:eastAsia="Times New Roman" w:hAnsi="Times New Roman" w:cs="Times New Roman"/>
          <w:lang w:val="en-US" w:eastAsia="fr-FR"/>
        </w:rPr>
        <w:t xml:space="preserve"> of Finance 44, p 1115-1153. </w:t>
      </w:r>
    </w:p>
    <w:p w14:paraId="2E3BF23E"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Schumann, E. (2013). Take-the-best in portfolio selection. Working paper. </w:t>
      </w:r>
      <w:hyperlink r:id="rId39" w:history="1">
        <w:r w:rsidRPr="00DD3229">
          <w:rPr>
            <w:rFonts w:ascii="Times New Roman" w:eastAsia="Times New Roman" w:hAnsi="Times New Roman" w:cs="Times New Roman"/>
            <w:lang w:val="en-US" w:eastAsia="fr-FR"/>
          </w:rPr>
          <w:t>https://ssrn.com/abstract=2214376</w:t>
        </w:r>
      </w:hyperlink>
      <w:r w:rsidRPr="00DD3229">
        <w:rPr>
          <w:rFonts w:ascii="Times New Roman" w:eastAsia="Times New Roman" w:hAnsi="Times New Roman" w:cs="Times New Roman"/>
          <w:lang w:val="en-US" w:eastAsia="fr-FR"/>
        </w:rPr>
        <w:t>.</w:t>
      </w:r>
    </w:p>
    <w:p w14:paraId="4CC911C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 xml:space="preserve">Scott, R., et Horvath, P. (1980). On the direction of preference for moments of higher order than variance. The Journal of Finance 35 (4), p 915-919. </w:t>
      </w:r>
    </w:p>
    <w:p w14:paraId="58BD118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Scutellà</w:t>
      </w:r>
      <w:proofErr w:type="spellEnd"/>
      <w:r w:rsidRPr="00DD3229">
        <w:rPr>
          <w:rFonts w:ascii="Times New Roman" w:eastAsia="Times New Roman" w:hAnsi="Times New Roman" w:cs="Times New Roman"/>
          <w:lang w:val="en-US" w:eastAsia="fr-FR"/>
        </w:rPr>
        <w:t>, M. G., &amp;Recchia, R. (2013). Robust portfolio asset allocation and risk measures. Annals of Operations Research, 204(1), 145–169.</w:t>
      </w:r>
    </w:p>
    <w:p w14:paraId="685583D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Sharpe, W. F. 1963. A simplified model for portfolio analysis. Management Science 9: 277–93</w:t>
      </w:r>
    </w:p>
    <w:p w14:paraId="33B094B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Sharpe, W.F., (1964). Capital asset prices: A theory of market equilibrium under conditions of risk, Journal of finance, Vol.14, pp.425-442.</w:t>
      </w:r>
    </w:p>
    <w:p w14:paraId="1847269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Simkowitz, M., et Beedles, W. (1978). Diversification in a three-moment </w:t>
      </w:r>
      <w:proofErr w:type="spellStart"/>
      <w:proofErr w:type="gramStart"/>
      <w:r w:rsidRPr="00DD3229">
        <w:rPr>
          <w:rFonts w:ascii="Times New Roman" w:eastAsia="Times New Roman" w:hAnsi="Times New Roman" w:cs="Times New Roman"/>
          <w:lang w:val="en-US" w:eastAsia="fr-FR"/>
        </w:rPr>
        <w:t>world.Journal</w:t>
      </w:r>
      <w:proofErr w:type="spellEnd"/>
      <w:proofErr w:type="gramEnd"/>
      <w:r w:rsidRPr="00DD3229">
        <w:rPr>
          <w:rFonts w:ascii="Times New Roman" w:eastAsia="Times New Roman" w:hAnsi="Times New Roman" w:cs="Times New Roman"/>
          <w:lang w:val="en-US" w:eastAsia="fr-FR"/>
        </w:rPr>
        <w:t xml:space="preserve"> of Financial and Quantitative Analysis 13(5), p 927-941. </w:t>
      </w:r>
    </w:p>
    <w:p w14:paraId="7CA092C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Singleton, J. et Wingender, J. (1986). Skewness preference in common stock returns. Journal of Financial and Quantitative Analysis, p 335–341.  </w:t>
      </w:r>
    </w:p>
    <w:p w14:paraId="372C866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Sortino et Price (1994). Performance Measurement in a Downside Risk </w:t>
      </w:r>
      <w:proofErr w:type="spellStart"/>
      <w:r w:rsidRPr="00DD3229">
        <w:rPr>
          <w:rFonts w:ascii="Times New Roman" w:eastAsia="Times New Roman" w:hAnsi="Times New Roman" w:cs="Times New Roman"/>
          <w:lang w:val="en-US" w:eastAsia="fr-FR"/>
        </w:rPr>
        <w:t>Framework.The</w:t>
      </w:r>
      <w:proofErr w:type="spellEnd"/>
      <w:r w:rsidRPr="00DD3229">
        <w:rPr>
          <w:rFonts w:ascii="Times New Roman" w:eastAsia="Times New Roman" w:hAnsi="Times New Roman" w:cs="Times New Roman"/>
          <w:lang w:val="en-US" w:eastAsia="fr-FR"/>
        </w:rPr>
        <w:t xml:space="preserve"> Journal of Investing,3 (3), 59-64</w:t>
      </w:r>
    </w:p>
    <w:p w14:paraId="422E209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Stoyanov, S. V., </w:t>
      </w:r>
      <w:proofErr w:type="spellStart"/>
      <w:r w:rsidRPr="00DD3229">
        <w:rPr>
          <w:rFonts w:ascii="Times New Roman" w:eastAsia="Times New Roman" w:hAnsi="Times New Roman" w:cs="Times New Roman"/>
          <w:lang w:val="en-US" w:eastAsia="fr-FR"/>
        </w:rPr>
        <w:t>Rachev</w:t>
      </w:r>
      <w:proofErr w:type="spellEnd"/>
      <w:r w:rsidRPr="00DD3229">
        <w:rPr>
          <w:rFonts w:ascii="Times New Roman" w:eastAsia="Times New Roman" w:hAnsi="Times New Roman" w:cs="Times New Roman"/>
          <w:lang w:val="en-US" w:eastAsia="fr-FR"/>
        </w:rPr>
        <w:t xml:space="preserve">, S. T., &amp; Fabozzi, F. J. (2013). Sensitivity of portfolio </w:t>
      </w:r>
      <w:proofErr w:type="spellStart"/>
      <w:r w:rsidRPr="00DD3229">
        <w:rPr>
          <w:rFonts w:ascii="Times New Roman" w:eastAsia="Times New Roman" w:hAnsi="Times New Roman" w:cs="Times New Roman"/>
          <w:lang w:val="en-US" w:eastAsia="fr-FR"/>
        </w:rPr>
        <w:t>VaR</w:t>
      </w:r>
      <w:proofErr w:type="spellEnd"/>
      <w:r w:rsidRPr="00DD3229">
        <w:rPr>
          <w:rFonts w:ascii="Times New Roman" w:eastAsia="Times New Roman" w:hAnsi="Times New Roman" w:cs="Times New Roman"/>
          <w:lang w:val="en-US" w:eastAsia="fr-FR"/>
        </w:rPr>
        <w:t xml:space="preserve"> and </w:t>
      </w:r>
      <w:proofErr w:type="spellStart"/>
      <w:r w:rsidRPr="00DD3229">
        <w:rPr>
          <w:rFonts w:ascii="Times New Roman" w:eastAsia="Times New Roman" w:hAnsi="Times New Roman" w:cs="Times New Roman"/>
          <w:lang w:val="en-US" w:eastAsia="fr-FR"/>
        </w:rPr>
        <w:t>CVaR</w:t>
      </w:r>
      <w:proofErr w:type="spellEnd"/>
      <w:r w:rsidRPr="00DD3229">
        <w:rPr>
          <w:rFonts w:ascii="Times New Roman" w:eastAsia="Times New Roman" w:hAnsi="Times New Roman" w:cs="Times New Roman"/>
          <w:lang w:val="en-US" w:eastAsia="fr-FR"/>
        </w:rPr>
        <w:t xml:space="preserve"> to portfolio return characteristics. Annals of Operations Research, 205(1), 169–187.</w:t>
      </w:r>
    </w:p>
    <w:p w14:paraId="7EA46F7B" w14:textId="77777777" w:rsidR="00122604" w:rsidRPr="00DD3229" w:rsidRDefault="0031542F" w:rsidP="00122604">
      <w:pPr>
        <w:pStyle w:val="ListParagraph"/>
        <w:numPr>
          <w:ilvl w:val="0"/>
          <w:numId w:val="8"/>
        </w:numPr>
        <w:spacing w:before="120" w:line="480" w:lineRule="auto"/>
        <w:rPr>
          <w:rFonts w:ascii="Times New Roman" w:eastAsia="Times New Roman" w:hAnsi="Times New Roman" w:cs="Times New Roman"/>
          <w:lang w:val="en-US" w:eastAsia="fr-FR"/>
        </w:rPr>
      </w:pPr>
      <w:hyperlink r:id="rId40" w:tooltip="View other papers by this author" w:history="1">
        <w:r w:rsidR="00122604" w:rsidRPr="00DD3229">
          <w:rPr>
            <w:rFonts w:ascii="Times New Roman" w:eastAsia="Times New Roman" w:hAnsi="Times New Roman" w:cs="Times New Roman"/>
            <w:lang w:val="en-US" w:eastAsia="fr-FR"/>
          </w:rPr>
          <w:t>Thierry Michel</w:t>
        </w:r>
      </w:hyperlink>
      <w:r w:rsidR="00122604" w:rsidRPr="00DD3229">
        <w:rPr>
          <w:rFonts w:ascii="Times New Roman" w:eastAsia="Times New Roman" w:hAnsi="Times New Roman" w:cs="Times New Roman"/>
          <w:lang w:val="en-US" w:eastAsia="fr-FR"/>
        </w:rPr>
        <w:t xml:space="preserve"> (2013). Generalized Risk-Based Investing.</w:t>
      </w:r>
    </w:p>
    <w:p w14:paraId="0555B7D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Tsé</w:t>
      </w:r>
      <w:proofErr w:type="spellEnd"/>
      <w:r w:rsidRPr="00DD3229">
        <w:rPr>
          <w:rFonts w:ascii="Times New Roman" w:eastAsia="Times New Roman" w:hAnsi="Times New Roman" w:cs="Times New Roman"/>
          <w:lang w:val="en-US" w:eastAsia="fr-FR"/>
        </w:rPr>
        <w:t xml:space="preserve"> (2000). A test for constant correlations in a multivariate GARCH </w:t>
      </w:r>
      <w:proofErr w:type="spellStart"/>
      <w:r w:rsidRPr="00DD3229">
        <w:rPr>
          <w:rFonts w:ascii="Times New Roman" w:eastAsia="Times New Roman" w:hAnsi="Times New Roman" w:cs="Times New Roman"/>
          <w:lang w:val="en-US" w:eastAsia="fr-FR"/>
        </w:rPr>
        <w:t>model.</w:t>
      </w:r>
      <w:hyperlink r:id="rId41" w:tooltip="Go to Journal of Econometrics on ScienceDirect" w:history="1">
        <w:r w:rsidRPr="00DD3229">
          <w:rPr>
            <w:rFonts w:ascii="Times New Roman" w:eastAsia="Times New Roman" w:hAnsi="Times New Roman"/>
            <w:lang w:val="en-US" w:eastAsia="fr-FR"/>
          </w:rPr>
          <w:t>Journal</w:t>
        </w:r>
        <w:proofErr w:type="spellEnd"/>
        <w:r w:rsidRPr="00DD3229">
          <w:rPr>
            <w:rFonts w:ascii="Times New Roman" w:eastAsia="Times New Roman" w:hAnsi="Times New Roman"/>
            <w:lang w:val="en-US" w:eastAsia="fr-FR"/>
          </w:rPr>
          <w:t xml:space="preserve"> of </w:t>
        </w:r>
        <w:proofErr w:type="spellStart"/>
        <w:r w:rsidRPr="00DD3229">
          <w:rPr>
            <w:rFonts w:ascii="Times New Roman" w:eastAsia="Times New Roman" w:hAnsi="Times New Roman"/>
            <w:lang w:val="en-US" w:eastAsia="fr-FR"/>
          </w:rPr>
          <w:t>Econometrics</w:t>
        </w:r>
      </w:hyperlink>
      <w:hyperlink r:id="rId42" w:tooltip="Go to table of contents for this volume/issue" w:history="1">
        <w:r w:rsidRPr="00DD3229">
          <w:rPr>
            <w:rFonts w:ascii="Times New Roman" w:eastAsia="Times New Roman" w:hAnsi="Times New Roman" w:cs="Times New Roman"/>
            <w:lang w:val="en-US" w:eastAsia="fr-FR"/>
          </w:rPr>
          <w:t>Vol</w:t>
        </w:r>
        <w:proofErr w:type="spellEnd"/>
        <w:r w:rsidRPr="00DD3229">
          <w:rPr>
            <w:rFonts w:ascii="Times New Roman" w:eastAsia="Times New Roman" w:hAnsi="Times New Roman" w:cs="Times New Roman"/>
            <w:lang w:val="en-US" w:eastAsia="fr-FR"/>
          </w:rPr>
          <w:t xml:space="preserve"> 98</w:t>
        </w:r>
      </w:hyperlink>
      <w:r w:rsidRPr="00DD3229">
        <w:rPr>
          <w:rFonts w:ascii="Times New Roman" w:eastAsia="Times New Roman" w:hAnsi="Times New Roman" w:cs="Times New Roman"/>
          <w:lang w:val="en-US" w:eastAsia="fr-FR"/>
        </w:rPr>
        <w:t>, Pages 107-127.</w:t>
      </w:r>
    </w:p>
    <w:p w14:paraId="447AC48B" w14:textId="77777777" w:rsidR="00CD1C5C" w:rsidRPr="00DD3229" w:rsidRDefault="00CD1C5C" w:rsidP="00CD1C5C">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Tse, Y., et Tsui, K., (2002). A multivariate generalized autoregressive conditional heteroscedasticity model with time-varying correlations. Journal of Business and Economic Statistics, vol. 20, pp. 351–362.</w:t>
      </w:r>
    </w:p>
    <w:p w14:paraId="34D2D1A1" w14:textId="77777777" w:rsidR="00CD1C5C" w:rsidRPr="00DD3229" w:rsidRDefault="00CD1C5C" w:rsidP="00CD1C5C">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Von Neumann, J. and O. Morgenstern (1947), Theory of games and economic </w:t>
      </w:r>
      <w:proofErr w:type="spellStart"/>
      <w:r w:rsidRPr="00DD3229">
        <w:rPr>
          <w:rFonts w:ascii="Times New Roman" w:eastAsia="Times New Roman" w:hAnsi="Times New Roman" w:cs="Times New Roman"/>
          <w:lang w:val="en-US" w:eastAsia="fr-FR"/>
        </w:rPr>
        <w:t>behaviour</w:t>
      </w:r>
      <w:proofErr w:type="spellEnd"/>
      <w:r w:rsidRPr="00DD3229">
        <w:rPr>
          <w:rFonts w:ascii="Times New Roman" w:eastAsia="Times New Roman" w:hAnsi="Times New Roman" w:cs="Times New Roman"/>
          <w:lang w:val="en-US" w:eastAsia="fr-FR"/>
        </w:rPr>
        <w:t>, Princeton University Press Olio Management, 34(4), p 40-51.</w:t>
      </w:r>
    </w:p>
    <w:p w14:paraId="16C0CBC2" w14:textId="77777777" w:rsidR="00CD1C5C" w:rsidRPr="00DD3229" w:rsidRDefault="00CD1C5C" w:rsidP="00CD1C5C">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Wai Lee (2011). Risk-Based Asset Allocation: A New Answer to an Old Question? The Journal of Portfolio Management, 37 (4) p11-28.</w:t>
      </w:r>
    </w:p>
    <w:p w14:paraId="7D5582C7" w14:textId="77777777" w:rsidR="001C4FAF" w:rsidRPr="00DD3229" w:rsidRDefault="00CD1C5C" w:rsidP="001C4FAF">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Wang, K. (2000). Nonparametric Tests of Conditional Mean-Variance Efficiency of Benchmark Portfolio. Journal of Empirical Finance Statistics, 9, 2, p 133-169. </w:t>
      </w:r>
    </w:p>
    <w:p w14:paraId="5486FA10" w14:textId="77777777" w:rsidR="001C4FAF" w:rsidRPr="00DD3229" w:rsidRDefault="001C4FAF" w:rsidP="001C4FAF">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lastRenderedPageBreak/>
        <w:t>Zakamulin</w:t>
      </w:r>
      <w:proofErr w:type="spellEnd"/>
      <w:r w:rsidRPr="00DD3229">
        <w:rPr>
          <w:rFonts w:ascii="Times New Roman" w:eastAsia="Times New Roman" w:hAnsi="Times New Roman" w:cs="Times New Roman"/>
          <w:lang w:val="en-US" w:eastAsia="fr-FR"/>
        </w:rPr>
        <w:t xml:space="preserve"> ,</w:t>
      </w:r>
      <w:proofErr w:type="gramEnd"/>
      <w:r w:rsidRPr="00DD3229">
        <w:rPr>
          <w:rFonts w:ascii="Times New Roman" w:eastAsia="Times New Roman" w:hAnsi="Times New Roman" w:cs="Times New Roman"/>
          <w:lang w:val="en-US" w:eastAsia="fr-FR"/>
        </w:rPr>
        <w:t xml:space="preserve"> V ( 2017 ) Revisiting the Profitability of Market Timing with Moving Averages . </w:t>
      </w:r>
      <w:hyperlink r:id="rId43" w:history="1">
        <w:r w:rsidRPr="00DD3229">
          <w:rPr>
            <w:rFonts w:ascii="Times New Roman" w:eastAsia="Times New Roman" w:hAnsi="Times New Roman" w:cs="Times New Roman"/>
            <w:lang w:val="en-US" w:eastAsia="fr-FR"/>
          </w:rPr>
          <w:t>International Review of Finance</w:t>
        </w:r>
      </w:hyperlink>
      <w:r w:rsidRPr="00DD3229">
        <w:rPr>
          <w:rFonts w:ascii="Times New Roman" w:eastAsia="Times New Roman" w:hAnsi="Times New Roman" w:cs="Times New Roman"/>
          <w:lang w:val="en-US" w:eastAsia="fr-FR"/>
        </w:rPr>
        <w:t xml:space="preserve"> , 18 (2</w:t>
      </w:r>
      <w:proofErr w:type="gramStart"/>
      <w:r w:rsidRPr="00DD3229">
        <w:rPr>
          <w:rFonts w:ascii="Times New Roman" w:eastAsia="Times New Roman" w:hAnsi="Times New Roman" w:cs="Times New Roman"/>
          <w:lang w:val="en-US" w:eastAsia="fr-FR"/>
        </w:rPr>
        <w:t>) ,p</w:t>
      </w:r>
      <w:proofErr w:type="gramEnd"/>
      <w:r w:rsidRPr="00DD3229">
        <w:rPr>
          <w:rFonts w:ascii="Times New Roman" w:eastAsia="Times New Roman" w:hAnsi="Times New Roman" w:cs="Times New Roman"/>
          <w:lang w:val="en-US" w:eastAsia="fr-FR"/>
        </w:rPr>
        <w:t xml:space="preserve"> 317-327.</w:t>
      </w:r>
    </w:p>
    <w:p w14:paraId="593415B2" w14:textId="77777777" w:rsidR="001C4FAF" w:rsidRPr="00DD3229" w:rsidRDefault="001C4FAF" w:rsidP="00DD3229">
      <w:pPr>
        <w:pStyle w:val="ListParagraph"/>
        <w:spacing w:before="120" w:line="480" w:lineRule="auto"/>
        <w:rPr>
          <w:lang w:val="en-US"/>
        </w:rPr>
      </w:pPr>
    </w:p>
    <w:p w14:paraId="3E313E5B" w14:textId="77777777" w:rsidR="00CD1C5C" w:rsidRPr="00CD1C5C" w:rsidRDefault="00CD1C5C" w:rsidP="00CD1C5C">
      <w:pPr>
        <w:spacing w:line="360" w:lineRule="auto"/>
        <w:rPr>
          <w:lang w:val="en-US"/>
        </w:rPr>
      </w:pPr>
    </w:p>
    <w:p w14:paraId="02320A18" w14:textId="77777777" w:rsidR="00CD1C5C" w:rsidRPr="00CD1C5C" w:rsidRDefault="00CD1C5C" w:rsidP="00CD1C5C">
      <w:pPr>
        <w:spacing w:line="360" w:lineRule="auto"/>
        <w:rPr>
          <w:lang w:val="en-US"/>
        </w:rPr>
      </w:pPr>
    </w:p>
    <w:p w14:paraId="54B9F6CF" w14:textId="77777777" w:rsidR="00CD1C5C" w:rsidRPr="00CD1C5C" w:rsidRDefault="00CD1C5C" w:rsidP="00CD1C5C">
      <w:pPr>
        <w:spacing w:line="360" w:lineRule="auto"/>
        <w:rPr>
          <w:lang w:val="en-US"/>
        </w:rPr>
      </w:pPr>
    </w:p>
    <w:p w14:paraId="7D3E56F6" w14:textId="77777777" w:rsidR="00122604" w:rsidRPr="00122604" w:rsidRDefault="00122604" w:rsidP="00122604">
      <w:pPr>
        <w:spacing w:after="0" w:line="360" w:lineRule="auto"/>
        <w:jc w:val="both"/>
        <w:rPr>
          <w:rFonts w:ascii="Times New Roman" w:eastAsia="Times New Roman" w:hAnsi="Times New Roman" w:cs="Times New Roman"/>
          <w:lang w:val="en-US" w:eastAsia="fr-FR"/>
        </w:rPr>
      </w:pPr>
    </w:p>
    <w:sectPr w:rsidR="00122604" w:rsidRPr="00122604">
      <w:headerReference w:type="even" r:id="rId44"/>
      <w:headerReference w:type="default" r:id="rId45"/>
      <w:footerReference w:type="default" r:id="rId46"/>
      <w:headerReference w:type="firs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B2916" w14:textId="77777777" w:rsidR="0031542F" w:rsidRDefault="0031542F" w:rsidP="004E2B96">
      <w:pPr>
        <w:spacing w:after="0" w:line="240" w:lineRule="auto"/>
      </w:pPr>
      <w:r>
        <w:separator/>
      </w:r>
    </w:p>
  </w:endnote>
  <w:endnote w:type="continuationSeparator" w:id="0">
    <w:p w14:paraId="502970A3" w14:textId="77777777" w:rsidR="0031542F" w:rsidRDefault="0031542F" w:rsidP="004E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245833"/>
      <w:docPartObj>
        <w:docPartGallery w:val="Page Numbers (Bottom of Page)"/>
        <w:docPartUnique/>
      </w:docPartObj>
    </w:sdtPr>
    <w:sdtEndPr/>
    <w:sdtContent>
      <w:p w14:paraId="0894231E" w14:textId="3ACD6715" w:rsidR="00F601C5" w:rsidRDefault="00F601C5">
        <w:pPr>
          <w:pStyle w:val="Footer"/>
          <w:jc w:val="center"/>
        </w:pPr>
        <w:r>
          <w:fldChar w:fldCharType="begin"/>
        </w:r>
        <w:r>
          <w:instrText>PAGE   \* MERGEFORMAT</w:instrText>
        </w:r>
        <w:r>
          <w:fldChar w:fldCharType="separate"/>
        </w:r>
        <w:r>
          <w:t>2</w:t>
        </w:r>
        <w:r>
          <w:fldChar w:fldCharType="end"/>
        </w:r>
      </w:p>
    </w:sdtContent>
  </w:sdt>
  <w:p w14:paraId="73A0778E" w14:textId="77777777" w:rsidR="001D56F4" w:rsidRDefault="001D5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AF138" w14:textId="77777777" w:rsidR="0031542F" w:rsidRDefault="0031542F" w:rsidP="004E2B96">
      <w:pPr>
        <w:spacing w:after="0" w:line="240" w:lineRule="auto"/>
      </w:pPr>
      <w:r>
        <w:separator/>
      </w:r>
    </w:p>
  </w:footnote>
  <w:footnote w:type="continuationSeparator" w:id="0">
    <w:p w14:paraId="07D11D4D" w14:textId="77777777" w:rsidR="0031542F" w:rsidRDefault="0031542F" w:rsidP="004E2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70C6" w14:textId="09D97C4F" w:rsidR="001D56F4" w:rsidRDefault="0031542F">
    <w:pPr>
      <w:pStyle w:val="Header"/>
    </w:pPr>
    <w:r>
      <w:rPr>
        <w:noProof/>
      </w:rPr>
      <w:pict w14:anchorId="79A35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4240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56E3" w14:textId="67F58577" w:rsidR="001D56F4" w:rsidRDefault="0031542F">
    <w:pPr>
      <w:pStyle w:val="Header"/>
    </w:pPr>
    <w:r>
      <w:rPr>
        <w:noProof/>
      </w:rPr>
      <w:pict w14:anchorId="5F15F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4240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4ACB" w14:textId="362ED22F" w:rsidR="001D56F4" w:rsidRDefault="0031542F">
    <w:pPr>
      <w:pStyle w:val="Header"/>
    </w:pPr>
    <w:r>
      <w:rPr>
        <w:noProof/>
      </w:rPr>
      <w:pict w14:anchorId="3D09A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4240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86037"/>
    <w:multiLevelType w:val="multilevel"/>
    <w:tmpl w:val="17486037"/>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2925AED"/>
    <w:multiLevelType w:val="multilevel"/>
    <w:tmpl w:val="1376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672BF"/>
    <w:multiLevelType w:val="multilevel"/>
    <w:tmpl w:val="371672BF"/>
    <w:lvl w:ilvl="0">
      <w:start w:val="1"/>
      <w:numFmt w:val="upperRoman"/>
      <w:pStyle w:val="Heading2"/>
      <w:lvlText w:val="%1."/>
      <w:lvlJc w:val="right"/>
      <w:pPr>
        <w:ind w:left="840" w:hanging="360"/>
      </w:p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3" w15:restartNumberingAfterBreak="0">
    <w:nsid w:val="3BC2355A"/>
    <w:multiLevelType w:val="multilevel"/>
    <w:tmpl w:val="E00C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145D1D"/>
    <w:multiLevelType w:val="multilevel"/>
    <w:tmpl w:val="FCE4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70669"/>
    <w:multiLevelType w:val="hybridMultilevel"/>
    <w:tmpl w:val="16366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60231E"/>
    <w:multiLevelType w:val="multilevel"/>
    <w:tmpl w:val="D70A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E605C"/>
    <w:multiLevelType w:val="multilevel"/>
    <w:tmpl w:val="0EB2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7B6D08"/>
    <w:multiLevelType w:val="multilevel"/>
    <w:tmpl w:val="707B6D08"/>
    <w:lvl w:ilvl="0">
      <w:start w:val="1"/>
      <w:numFmt w:val="decimal"/>
      <w:lvlText w:val="%1)"/>
      <w:lvlJc w:val="left"/>
      <w:pPr>
        <w:ind w:left="2203" w:hanging="360"/>
      </w:p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9" w15:restartNumberingAfterBreak="0">
    <w:nsid w:val="70A7117A"/>
    <w:multiLevelType w:val="multilevel"/>
    <w:tmpl w:val="57AE4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FAC356A"/>
    <w:multiLevelType w:val="multilevel"/>
    <w:tmpl w:val="D3724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10"/>
  </w:num>
  <w:num w:numId="4">
    <w:abstractNumId w:val="9"/>
  </w:num>
  <w:num w:numId="5">
    <w:abstractNumId w:val="4"/>
  </w:num>
  <w:num w:numId="6">
    <w:abstractNumId w:val="7"/>
  </w:num>
  <w:num w:numId="7">
    <w:abstractNumId w:val="1"/>
  </w:num>
  <w:num w:numId="8">
    <w:abstractNumId w:val="3"/>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YwNDW1sDQwB1KGlko6SsGpxcWZ+XkgBYa1AN8/7nosAAAA"/>
  </w:docVars>
  <w:rsids>
    <w:rsidRoot w:val="001C6E6A"/>
    <w:rsid w:val="00005D88"/>
    <w:rsid w:val="00091520"/>
    <w:rsid w:val="000953B1"/>
    <w:rsid w:val="000A6289"/>
    <w:rsid w:val="000D78A9"/>
    <w:rsid w:val="00105A84"/>
    <w:rsid w:val="00122604"/>
    <w:rsid w:val="00137BC9"/>
    <w:rsid w:val="00163FB6"/>
    <w:rsid w:val="001C4FAF"/>
    <w:rsid w:val="001C6E6A"/>
    <w:rsid w:val="001C6EE4"/>
    <w:rsid w:val="001C6EED"/>
    <w:rsid w:val="001D4091"/>
    <w:rsid w:val="001D56F4"/>
    <w:rsid w:val="001E1583"/>
    <w:rsid w:val="001E1E51"/>
    <w:rsid w:val="00213464"/>
    <w:rsid w:val="00230F6F"/>
    <w:rsid w:val="00261383"/>
    <w:rsid w:val="00283437"/>
    <w:rsid w:val="0029360D"/>
    <w:rsid w:val="002B172B"/>
    <w:rsid w:val="002D1B90"/>
    <w:rsid w:val="0031542F"/>
    <w:rsid w:val="00342A48"/>
    <w:rsid w:val="00390487"/>
    <w:rsid w:val="003A79F5"/>
    <w:rsid w:val="003C4D6D"/>
    <w:rsid w:val="00451A47"/>
    <w:rsid w:val="00475EF9"/>
    <w:rsid w:val="004D1506"/>
    <w:rsid w:val="004E2B96"/>
    <w:rsid w:val="004F3E43"/>
    <w:rsid w:val="004F4C98"/>
    <w:rsid w:val="0050343A"/>
    <w:rsid w:val="00507E46"/>
    <w:rsid w:val="00531C72"/>
    <w:rsid w:val="005827D7"/>
    <w:rsid w:val="00593C4E"/>
    <w:rsid w:val="00595B27"/>
    <w:rsid w:val="005A6AFE"/>
    <w:rsid w:val="005C77D4"/>
    <w:rsid w:val="005F2BB9"/>
    <w:rsid w:val="006035D9"/>
    <w:rsid w:val="00647660"/>
    <w:rsid w:val="00666A23"/>
    <w:rsid w:val="00695DA3"/>
    <w:rsid w:val="006E3EE9"/>
    <w:rsid w:val="007510AA"/>
    <w:rsid w:val="007522C6"/>
    <w:rsid w:val="007E32E9"/>
    <w:rsid w:val="00807411"/>
    <w:rsid w:val="00822454"/>
    <w:rsid w:val="00862D4B"/>
    <w:rsid w:val="00885BB1"/>
    <w:rsid w:val="00890F31"/>
    <w:rsid w:val="008A3A4C"/>
    <w:rsid w:val="008A416C"/>
    <w:rsid w:val="008B114F"/>
    <w:rsid w:val="008B3083"/>
    <w:rsid w:val="008D2A40"/>
    <w:rsid w:val="008D530B"/>
    <w:rsid w:val="008D76C2"/>
    <w:rsid w:val="00907CEF"/>
    <w:rsid w:val="00915558"/>
    <w:rsid w:val="00945A82"/>
    <w:rsid w:val="00985BDC"/>
    <w:rsid w:val="00995AC7"/>
    <w:rsid w:val="00A227C3"/>
    <w:rsid w:val="00A42C83"/>
    <w:rsid w:val="00A4400C"/>
    <w:rsid w:val="00AB2D9F"/>
    <w:rsid w:val="00AC12D9"/>
    <w:rsid w:val="00AC6E43"/>
    <w:rsid w:val="00B400C3"/>
    <w:rsid w:val="00B5216D"/>
    <w:rsid w:val="00B57CC4"/>
    <w:rsid w:val="00BA40F1"/>
    <w:rsid w:val="00BB0B49"/>
    <w:rsid w:val="00BD235B"/>
    <w:rsid w:val="00BF6C1B"/>
    <w:rsid w:val="00C7360F"/>
    <w:rsid w:val="00CD1C5C"/>
    <w:rsid w:val="00D12C6D"/>
    <w:rsid w:val="00D61B60"/>
    <w:rsid w:val="00DC4A4B"/>
    <w:rsid w:val="00DD3229"/>
    <w:rsid w:val="00DE222B"/>
    <w:rsid w:val="00DE64B7"/>
    <w:rsid w:val="00DF63EB"/>
    <w:rsid w:val="00ED2C2E"/>
    <w:rsid w:val="00EF4A4E"/>
    <w:rsid w:val="00EF4C9E"/>
    <w:rsid w:val="00F05705"/>
    <w:rsid w:val="00F11D79"/>
    <w:rsid w:val="00F26D3A"/>
    <w:rsid w:val="00F372F1"/>
    <w:rsid w:val="00F601C5"/>
    <w:rsid w:val="00F66512"/>
    <w:rsid w:val="00F86695"/>
    <w:rsid w:val="00FA1271"/>
    <w:rsid w:val="00FA5D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9AA2D9"/>
  <w15:docId w15:val="{CBB466FC-D5F9-4568-8CB5-D2283426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F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DC4A4B"/>
    <w:pPr>
      <w:numPr>
        <w:numId w:val="2"/>
      </w:numPr>
      <w:spacing w:after="0" w:line="360" w:lineRule="auto"/>
      <w:jc w:val="both"/>
      <w:outlineLvl w:val="1"/>
    </w:pPr>
    <w:rPr>
      <w:rFonts w:ascii="Times New Roman" w:eastAsiaTheme="minorEastAsia" w:hAnsi="Times New Roman" w:cs="Times New Roman"/>
      <w:b/>
      <w:iCs/>
      <w:sz w:val="24"/>
      <w:szCs w:val="24"/>
      <w:lang w:val="en-US" w:bidi="en-US"/>
    </w:rPr>
  </w:style>
  <w:style w:type="paragraph" w:styleId="Heading3">
    <w:name w:val="heading 3"/>
    <w:basedOn w:val="Heading2"/>
    <w:next w:val="Normal"/>
    <w:link w:val="Heading3Char"/>
    <w:uiPriority w:val="99"/>
    <w:qFormat/>
    <w:rsid w:val="00DC4A4B"/>
    <w:pPr>
      <w:spacing w:before="100" w:beforeAutospacing="1" w:after="100" w:afterAutospacing="1" w:line="240" w:lineRule="auto"/>
      <w:outlineLvl w:val="2"/>
    </w:pPr>
    <w:rPr>
      <w:rFonts w:eastAsia="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43"/>
    <w:rPr>
      <w:rFonts w:ascii="Tahoma" w:hAnsi="Tahoma" w:cs="Tahoma"/>
      <w:sz w:val="16"/>
      <w:szCs w:val="16"/>
    </w:rPr>
  </w:style>
  <w:style w:type="paragraph" w:styleId="ListParagraph">
    <w:name w:val="List Paragraph"/>
    <w:basedOn w:val="Normal"/>
    <w:uiPriority w:val="99"/>
    <w:qFormat/>
    <w:rsid w:val="006035D9"/>
    <w:pPr>
      <w:ind w:left="720"/>
      <w:contextualSpacing/>
    </w:pPr>
  </w:style>
  <w:style w:type="character" w:customStyle="1" w:styleId="Heading2Char">
    <w:name w:val="Heading 2 Char"/>
    <w:basedOn w:val="DefaultParagraphFont"/>
    <w:link w:val="Heading2"/>
    <w:uiPriority w:val="99"/>
    <w:rsid w:val="00DC4A4B"/>
    <w:rPr>
      <w:rFonts w:ascii="Times New Roman" w:eastAsiaTheme="minorEastAsia" w:hAnsi="Times New Roman" w:cs="Times New Roman"/>
      <w:b/>
      <w:iCs/>
      <w:sz w:val="24"/>
      <w:szCs w:val="24"/>
      <w:lang w:val="en-US" w:bidi="en-US"/>
    </w:rPr>
  </w:style>
  <w:style w:type="character" w:customStyle="1" w:styleId="Heading3Char">
    <w:name w:val="Heading 3 Char"/>
    <w:basedOn w:val="DefaultParagraphFont"/>
    <w:link w:val="Heading3"/>
    <w:uiPriority w:val="99"/>
    <w:qFormat/>
    <w:rsid w:val="00DC4A4B"/>
    <w:rPr>
      <w:rFonts w:ascii="Times New Roman" w:eastAsia="Times New Roman" w:hAnsi="Times New Roman" w:cs="Times New Roman"/>
      <w:b/>
      <w:bCs/>
      <w:iCs/>
      <w:sz w:val="27"/>
      <w:szCs w:val="27"/>
      <w:lang w:val="en-US" w:bidi="en-US"/>
    </w:rPr>
  </w:style>
  <w:style w:type="table" w:styleId="TableGrid">
    <w:name w:val="Table Grid"/>
    <w:basedOn w:val="TableNormal"/>
    <w:uiPriority w:val="59"/>
    <w:qFormat/>
    <w:rsid w:val="00DC4A4B"/>
    <w:pPr>
      <w:spacing w:after="0" w:line="240" w:lineRule="auto"/>
    </w:pPr>
    <w:rPr>
      <w:rFonts w:ascii="Times New Roman" w:eastAsia="SimSun" w:hAnsi="Times New Roman" w:cs="Times New Roman"/>
      <w:sz w:val="20"/>
      <w:szCs w:val="20"/>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F8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F86695"/>
    <w:rPr>
      <w:rFonts w:ascii="Courier New" w:eastAsia="Times New Roman" w:hAnsi="Courier New" w:cs="Courier New"/>
      <w:sz w:val="20"/>
      <w:szCs w:val="20"/>
      <w:lang w:eastAsia="fr-FR"/>
    </w:rPr>
  </w:style>
  <w:style w:type="character" w:customStyle="1" w:styleId="y2iqfc">
    <w:name w:val="y2iqfc"/>
    <w:basedOn w:val="DefaultParagraphFont"/>
    <w:rsid w:val="00F86695"/>
  </w:style>
  <w:style w:type="paragraph" w:styleId="Caption">
    <w:name w:val="caption"/>
    <w:basedOn w:val="Normal"/>
    <w:next w:val="Normal"/>
    <w:uiPriority w:val="99"/>
    <w:unhideWhenUsed/>
    <w:qFormat/>
    <w:rsid w:val="00695DA3"/>
    <w:pPr>
      <w:spacing w:line="240" w:lineRule="auto"/>
    </w:pPr>
    <w:rPr>
      <w:rFonts w:ascii="Times New Roman" w:eastAsiaTheme="minorEastAsia" w:hAnsi="Times New Roman"/>
      <w:b/>
      <w:bCs/>
      <w:iCs/>
      <w:color w:val="4F81BD" w:themeColor="accent1"/>
      <w:sz w:val="18"/>
      <w:szCs w:val="18"/>
      <w:lang w:val="en-US" w:bidi="en-US"/>
    </w:rPr>
  </w:style>
  <w:style w:type="paragraph" w:styleId="NormalWeb">
    <w:name w:val="Normal (Web)"/>
    <w:basedOn w:val="Normal"/>
    <w:uiPriority w:val="99"/>
    <w:unhideWhenUsed/>
    <w:rsid w:val="00BF6C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E2B96"/>
    <w:rPr>
      <w:b/>
      <w:bCs/>
    </w:rPr>
  </w:style>
  <w:style w:type="paragraph" w:styleId="Header">
    <w:name w:val="header"/>
    <w:basedOn w:val="Normal"/>
    <w:link w:val="HeaderChar"/>
    <w:uiPriority w:val="99"/>
    <w:unhideWhenUsed/>
    <w:rsid w:val="004E2B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2B96"/>
  </w:style>
  <w:style w:type="paragraph" w:styleId="Footer">
    <w:name w:val="footer"/>
    <w:basedOn w:val="Normal"/>
    <w:link w:val="FooterChar"/>
    <w:uiPriority w:val="99"/>
    <w:unhideWhenUsed/>
    <w:rsid w:val="004E2B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2B96"/>
  </w:style>
  <w:style w:type="table" w:customStyle="1" w:styleId="Trameclaire-Accent11">
    <w:name w:val="Trame claire - Accent 11"/>
    <w:basedOn w:val="TableNormal"/>
    <w:qFormat/>
    <w:rsid w:val="00F05705"/>
    <w:pPr>
      <w:spacing w:after="0" w:line="240" w:lineRule="auto"/>
    </w:pPr>
    <w:rPr>
      <w:rFonts w:ascii="Times New Roman" w:eastAsia="SimSun" w:hAnsi="Times New Roman" w:cs="Calibri" w:hint="eastAsia"/>
      <w:color w:val="365F91"/>
    </w:rPr>
    <w:tblPr>
      <w:tblBorders>
        <w:top w:val="single" w:sz="8" w:space="0" w:color="4F81BD"/>
        <w:bottom w:val="single" w:sz="8" w:space="0" w:color="4F81BD"/>
      </w:tblBorders>
      <w:tblCellMar>
        <w:left w:w="100" w:type="dxa"/>
        <w:right w:w="100" w:type="dxa"/>
      </w:tblCellMar>
    </w:tblPr>
    <w:tcPr>
      <w:tcBorders>
        <w:top w:val="single" w:sz="8" w:space="0" w:color="4F81BD"/>
        <w:left w:val="nil"/>
        <w:bottom w:val="single" w:sz="8" w:space="0" w:color="4F81BD"/>
        <w:right w:val="nil"/>
      </w:tcBorders>
    </w:tcPr>
    <w:tblStylePr w:type="firstRow">
      <w:pPr>
        <w:spacing w:before="0" w:beforeAutospacing="0" w:after="0" w:afterAutospacing="0" w:line="240" w:lineRule="auto"/>
      </w:pPr>
      <w:rPr>
        <w:b/>
        <w:bCs/>
      </w:rPr>
      <w:tblPr/>
      <w:tcPr>
        <w:tcBorders>
          <w:top w:val="single" w:sz="8" w:space="0" w:color="4F81BD"/>
          <w:left w:val="nil"/>
          <w:bottom w:val="single" w:sz="8" w:space="0" w:color="4F81BD"/>
          <w:right w:val="nil"/>
        </w:tcBorders>
      </w:tcPr>
    </w:tblStylePr>
    <w:tblStylePr w:type="lastRow">
      <w:pPr>
        <w:spacing w:before="0" w:beforeAutospacing="0" w:after="0" w:afterAutospacing="0" w:line="240" w:lineRule="auto"/>
      </w:pPr>
      <w:rPr>
        <w:b/>
        <w:bCs/>
      </w:rPr>
      <w:tblPr/>
      <w:tcPr>
        <w:tcBorders>
          <w:top w:val="single" w:sz="8" w:space="0" w:color="4F81BD"/>
          <w:left w:val="nil"/>
          <w:bottom w:val="single" w:sz="8" w:space="0" w:color="4F81BD"/>
          <w:right w:val="nil"/>
        </w:tcBorders>
      </w:tcPr>
    </w:tblStylePr>
    <w:tblStylePr w:type="firstCol">
      <w:rPr>
        <w:b/>
        <w:bCs/>
      </w:rPr>
    </w:tblStylePr>
    <w:tblStylePr w:type="lastCol">
      <w:rPr>
        <w:b/>
        <w:bCs/>
      </w:rPr>
    </w:tblStylePr>
    <w:tblStylePr w:type="band1Vert">
      <w:tblPr/>
      <w:tcPr>
        <w:tcBorders>
          <w:left w:val="nil"/>
          <w:right w:val="nil"/>
        </w:tcBorders>
        <w:shd w:val="clear" w:color="auto" w:fill="D3DFEE"/>
      </w:tcPr>
    </w:tblStylePr>
    <w:tblStylePr w:type="band1Horz">
      <w:tblPr/>
      <w:tcPr>
        <w:tcBorders>
          <w:left w:val="nil"/>
          <w:right w:val="nil"/>
        </w:tcBorders>
        <w:shd w:val="clear" w:color="auto" w:fill="D3DFEE"/>
      </w:tcPr>
    </w:tblStylePr>
  </w:style>
  <w:style w:type="character" w:customStyle="1" w:styleId="katex-mathml">
    <w:name w:val="katex-mathml"/>
    <w:basedOn w:val="DefaultParagraphFont"/>
    <w:rsid w:val="00005D88"/>
  </w:style>
  <w:style w:type="character" w:customStyle="1" w:styleId="mord">
    <w:name w:val="mord"/>
    <w:basedOn w:val="DefaultParagraphFont"/>
    <w:rsid w:val="00005D88"/>
  </w:style>
  <w:style w:type="character" w:customStyle="1" w:styleId="vlist-s">
    <w:name w:val="vlist-s"/>
    <w:basedOn w:val="DefaultParagraphFont"/>
    <w:rsid w:val="00005D88"/>
  </w:style>
  <w:style w:type="character" w:customStyle="1" w:styleId="mrel">
    <w:name w:val="mrel"/>
    <w:basedOn w:val="DefaultParagraphFont"/>
    <w:rsid w:val="00005D88"/>
  </w:style>
  <w:style w:type="character" w:customStyle="1" w:styleId="mbin">
    <w:name w:val="mbin"/>
    <w:basedOn w:val="DefaultParagraphFont"/>
    <w:rsid w:val="00005D88"/>
  </w:style>
  <w:style w:type="character" w:customStyle="1" w:styleId="mopen">
    <w:name w:val="mopen"/>
    <w:basedOn w:val="DefaultParagraphFont"/>
    <w:rsid w:val="00005D88"/>
  </w:style>
  <w:style w:type="character" w:customStyle="1" w:styleId="mclose">
    <w:name w:val="mclose"/>
    <w:basedOn w:val="DefaultParagraphFont"/>
    <w:rsid w:val="00005D88"/>
  </w:style>
  <w:style w:type="table" w:customStyle="1" w:styleId="Trameclaire-Accent13">
    <w:name w:val="Trame claire - Accent 13"/>
    <w:basedOn w:val="TableNormal"/>
    <w:qFormat/>
    <w:rsid w:val="0050343A"/>
    <w:pPr>
      <w:spacing w:after="0" w:line="240" w:lineRule="auto"/>
    </w:pPr>
    <w:rPr>
      <w:rFonts w:ascii="Calibri" w:eastAsia="SimSun" w:hAnsi="Calibri" w:cs="Calibri" w:hint="eastAsia"/>
      <w:color w:val="365F91"/>
    </w:rPr>
    <w:tblPr>
      <w:tblBorders>
        <w:top w:val="single" w:sz="8" w:space="0" w:color="4F81BD"/>
        <w:bottom w:val="single" w:sz="8" w:space="0" w:color="4F81BD"/>
      </w:tblBorders>
      <w:tblCellMar>
        <w:left w:w="100" w:type="dxa"/>
        <w:right w:w="100" w:type="dxa"/>
      </w:tblCellMar>
    </w:tblPr>
    <w:tcPr>
      <w:tcBorders>
        <w:top w:val="single" w:sz="8" w:space="0" w:color="4F81BD"/>
        <w:left w:val="nil"/>
        <w:bottom w:val="single" w:sz="8" w:space="0" w:color="4F81BD"/>
        <w:right w:val="nil"/>
      </w:tcBorders>
    </w:tcPr>
    <w:tblStylePr w:type="firstRow">
      <w:pPr>
        <w:spacing w:before="0" w:beforeAutospacing="0" w:after="0" w:afterAutospacing="0" w:line="240" w:lineRule="auto"/>
      </w:pPr>
      <w:rPr>
        <w:b/>
        <w:bCs/>
      </w:rPr>
      <w:tblPr/>
      <w:tcPr>
        <w:tcBorders>
          <w:top w:val="single" w:sz="8" w:space="0" w:color="4F81BD"/>
          <w:left w:val="nil"/>
          <w:bottom w:val="single" w:sz="8" w:space="0" w:color="4F81BD"/>
          <w:right w:val="nil"/>
        </w:tcBorders>
      </w:tcPr>
    </w:tblStylePr>
    <w:tblStylePr w:type="lastRow">
      <w:pPr>
        <w:spacing w:before="0" w:beforeAutospacing="0" w:after="0" w:afterAutospacing="0" w:line="240" w:lineRule="auto"/>
      </w:pPr>
      <w:rPr>
        <w:b/>
        <w:bCs/>
      </w:rPr>
      <w:tblPr/>
      <w:tcPr>
        <w:tcBorders>
          <w:top w:val="single" w:sz="8" w:space="0" w:color="4F81BD"/>
          <w:left w:val="nil"/>
          <w:bottom w:val="single" w:sz="8" w:space="0" w:color="4F81BD"/>
          <w:right w:val="nil"/>
        </w:tcBorders>
      </w:tcPr>
    </w:tblStylePr>
    <w:tblStylePr w:type="firstCol">
      <w:rPr>
        <w:b/>
        <w:bCs/>
      </w:rPr>
    </w:tblStylePr>
    <w:tblStylePr w:type="lastCol">
      <w:rPr>
        <w:b/>
        <w:bCs/>
      </w:rPr>
    </w:tblStylePr>
    <w:tblStylePr w:type="band1Vert">
      <w:tblPr/>
      <w:tcPr>
        <w:tcBorders>
          <w:left w:val="nil"/>
          <w:right w:val="nil"/>
        </w:tcBorders>
        <w:shd w:val="clear" w:color="auto" w:fill="D3DFEE"/>
      </w:tcPr>
    </w:tblStylePr>
    <w:tblStylePr w:type="band1Horz">
      <w:tblPr/>
      <w:tcPr>
        <w:tcBorders>
          <w:left w:val="nil"/>
          <w:right w:val="nil"/>
        </w:tcBorders>
        <w:shd w:val="clear" w:color="auto" w:fill="D3DFEE"/>
      </w:tcPr>
    </w:tblStylePr>
  </w:style>
  <w:style w:type="character" w:customStyle="1" w:styleId="line-clamp-1">
    <w:name w:val="line-clamp-1"/>
    <w:basedOn w:val="DefaultParagraphFont"/>
    <w:rsid w:val="00593C4E"/>
  </w:style>
  <w:style w:type="table" w:styleId="LightShading">
    <w:name w:val="Light Shading"/>
    <w:basedOn w:val="TableNormal"/>
    <w:uiPriority w:val="60"/>
    <w:rsid w:val="00F665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unhideWhenUsed/>
    <w:qFormat/>
    <w:rsid w:val="00122604"/>
    <w:rPr>
      <w:color w:val="0000FF"/>
      <w:u w:val="single"/>
    </w:rPr>
  </w:style>
  <w:style w:type="character" w:styleId="Emphasis">
    <w:name w:val="Emphasis"/>
    <w:uiPriority w:val="20"/>
    <w:qFormat/>
    <w:rsid w:val="00122604"/>
    <w:rPr>
      <w:i/>
      <w:iCs/>
    </w:rPr>
  </w:style>
  <w:style w:type="character" w:customStyle="1" w:styleId="Heading1Char">
    <w:name w:val="Heading 1 Char"/>
    <w:basedOn w:val="DefaultParagraphFont"/>
    <w:link w:val="Heading1"/>
    <w:uiPriority w:val="9"/>
    <w:rsid w:val="001C4FAF"/>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945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9694">
      <w:bodyDiv w:val="1"/>
      <w:marLeft w:val="0"/>
      <w:marRight w:val="0"/>
      <w:marTop w:val="0"/>
      <w:marBottom w:val="0"/>
      <w:divBdr>
        <w:top w:val="none" w:sz="0" w:space="0" w:color="auto"/>
        <w:left w:val="none" w:sz="0" w:space="0" w:color="auto"/>
        <w:bottom w:val="none" w:sz="0" w:space="0" w:color="auto"/>
        <w:right w:val="none" w:sz="0" w:space="0" w:color="auto"/>
      </w:divBdr>
    </w:div>
    <w:div w:id="115951177">
      <w:bodyDiv w:val="1"/>
      <w:marLeft w:val="0"/>
      <w:marRight w:val="0"/>
      <w:marTop w:val="0"/>
      <w:marBottom w:val="0"/>
      <w:divBdr>
        <w:top w:val="none" w:sz="0" w:space="0" w:color="auto"/>
        <w:left w:val="none" w:sz="0" w:space="0" w:color="auto"/>
        <w:bottom w:val="none" w:sz="0" w:space="0" w:color="auto"/>
        <w:right w:val="none" w:sz="0" w:space="0" w:color="auto"/>
      </w:divBdr>
    </w:div>
    <w:div w:id="131412945">
      <w:bodyDiv w:val="1"/>
      <w:marLeft w:val="0"/>
      <w:marRight w:val="0"/>
      <w:marTop w:val="0"/>
      <w:marBottom w:val="0"/>
      <w:divBdr>
        <w:top w:val="none" w:sz="0" w:space="0" w:color="auto"/>
        <w:left w:val="none" w:sz="0" w:space="0" w:color="auto"/>
        <w:bottom w:val="none" w:sz="0" w:space="0" w:color="auto"/>
        <w:right w:val="none" w:sz="0" w:space="0" w:color="auto"/>
      </w:divBdr>
    </w:div>
    <w:div w:id="148255546">
      <w:bodyDiv w:val="1"/>
      <w:marLeft w:val="0"/>
      <w:marRight w:val="0"/>
      <w:marTop w:val="0"/>
      <w:marBottom w:val="0"/>
      <w:divBdr>
        <w:top w:val="none" w:sz="0" w:space="0" w:color="auto"/>
        <w:left w:val="none" w:sz="0" w:space="0" w:color="auto"/>
        <w:bottom w:val="none" w:sz="0" w:space="0" w:color="auto"/>
        <w:right w:val="none" w:sz="0" w:space="0" w:color="auto"/>
      </w:divBdr>
    </w:div>
    <w:div w:id="178660023">
      <w:bodyDiv w:val="1"/>
      <w:marLeft w:val="0"/>
      <w:marRight w:val="0"/>
      <w:marTop w:val="0"/>
      <w:marBottom w:val="0"/>
      <w:divBdr>
        <w:top w:val="none" w:sz="0" w:space="0" w:color="auto"/>
        <w:left w:val="none" w:sz="0" w:space="0" w:color="auto"/>
        <w:bottom w:val="none" w:sz="0" w:space="0" w:color="auto"/>
        <w:right w:val="none" w:sz="0" w:space="0" w:color="auto"/>
      </w:divBdr>
    </w:div>
    <w:div w:id="353925476">
      <w:bodyDiv w:val="1"/>
      <w:marLeft w:val="0"/>
      <w:marRight w:val="0"/>
      <w:marTop w:val="0"/>
      <w:marBottom w:val="0"/>
      <w:divBdr>
        <w:top w:val="none" w:sz="0" w:space="0" w:color="auto"/>
        <w:left w:val="none" w:sz="0" w:space="0" w:color="auto"/>
        <w:bottom w:val="none" w:sz="0" w:space="0" w:color="auto"/>
        <w:right w:val="none" w:sz="0" w:space="0" w:color="auto"/>
      </w:divBdr>
      <w:divsChild>
        <w:div w:id="530999040">
          <w:marLeft w:val="0"/>
          <w:marRight w:val="0"/>
          <w:marTop w:val="0"/>
          <w:marBottom w:val="0"/>
          <w:divBdr>
            <w:top w:val="none" w:sz="0" w:space="0" w:color="auto"/>
            <w:left w:val="none" w:sz="0" w:space="0" w:color="auto"/>
            <w:bottom w:val="none" w:sz="0" w:space="0" w:color="auto"/>
            <w:right w:val="none" w:sz="0" w:space="0" w:color="auto"/>
          </w:divBdr>
          <w:divsChild>
            <w:div w:id="1074818473">
              <w:marLeft w:val="0"/>
              <w:marRight w:val="0"/>
              <w:marTop w:val="0"/>
              <w:marBottom w:val="0"/>
              <w:divBdr>
                <w:top w:val="none" w:sz="0" w:space="0" w:color="auto"/>
                <w:left w:val="none" w:sz="0" w:space="0" w:color="auto"/>
                <w:bottom w:val="none" w:sz="0" w:space="0" w:color="auto"/>
                <w:right w:val="none" w:sz="0" w:space="0" w:color="auto"/>
              </w:divBdr>
              <w:divsChild>
                <w:div w:id="233390997">
                  <w:marLeft w:val="0"/>
                  <w:marRight w:val="0"/>
                  <w:marTop w:val="0"/>
                  <w:marBottom w:val="0"/>
                  <w:divBdr>
                    <w:top w:val="none" w:sz="0" w:space="0" w:color="auto"/>
                    <w:left w:val="none" w:sz="0" w:space="0" w:color="auto"/>
                    <w:bottom w:val="none" w:sz="0" w:space="0" w:color="auto"/>
                    <w:right w:val="none" w:sz="0" w:space="0" w:color="auto"/>
                  </w:divBdr>
                  <w:divsChild>
                    <w:div w:id="74203875">
                      <w:marLeft w:val="0"/>
                      <w:marRight w:val="0"/>
                      <w:marTop w:val="0"/>
                      <w:marBottom w:val="0"/>
                      <w:divBdr>
                        <w:top w:val="none" w:sz="0" w:space="0" w:color="auto"/>
                        <w:left w:val="none" w:sz="0" w:space="0" w:color="auto"/>
                        <w:bottom w:val="none" w:sz="0" w:space="0" w:color="auto"/>
                        <w:right w:val="none" w:sz="0" w:space="0" w:color="auto"/>
                      </w:divBdr>
                      <w:divsChild>
                        <w:div w:id="625279780">
                          <w:marLeft w:val="0"/>
                          <w:marRight w:val="0"/>
                          <w:marTop w:val="0"/>
                          <w:marBottom w:val="0"/>
                          <w:divBdr>
                            <w:top w:val="none" w:sz="0" w:space="0" w:color="auto"/>
                            <w:left w:val="none" w:sz="0" w:space="0" w:color="auto"/>
                            <w:bottom w:val="none" w:sz="0" w:space="0" w:color="auto"/>
                            <w:right w:val="none" w:sz="0" w:space="0" w:color="auto"/>
                          </w:divBdr>
                          <w:divsChild>
                            <w:div w:id="1069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58722">
      <w:bodyDiv w:val="1"/>
      <w:marLeft w:val="0"/>
      <w:marRight w:val="0"/>
      <w:marTop w:val="0"/>
      <w:marBottom w:val="0"/>
      <w:divBdr>
        <w:top w:val="none" w:sz="0" w:space="0" w:color="auto"/>
        <w:left w:val="none" w:sz="0" w:space="0" w:color="auto"/>
        <w:bottom w:val="none" w:sz="0" w:space="0" w:color="auto"/>
        <w:right w:val="none" w:sz="0" w:space="0" w:color="auto"/>
      </w:divBdr>
    </w:div>
    <w:div w:id="436145563">
      <w:bodyDiv w:val="1"/>
      <w:marLeft w:val="0"/>
      <w:marRight w:val="0"/>
      <w:marTop w:val="0"/>
      <w:marBottom w:val="0"/>
      <w:divBdr>
        <w:top w:val="none" w:sz="0" w:space="0" w:color="auto"/>
        <w:left w:val="none" w:sz="0" w:space="0" w:color="auto"/>
        <w:bottom w:val="none" w:sz="0" w:space="0" w:color="auto"/>
        <w:right w:val="none" w:sz="0" w:space="0" w:color="auto"/>
      </w:divBdr>
    </w:div>
    <w:div w:id="457991644">
      <w:bodyDiv w:val="1"/>
      <w:marLeft w:val="0"/>
      <w:marRight w:val="0"/>
      <w:marTop w:val="0"/>
      <w:marBottom w:val="0"/>
      <w:divBdr>
        <w:top w:val="none" w:sz="0" w:space="0" w:color="auto"/>
        <w:left w:val="none" w:sz="0" w:space="0" w:color="auto"/>
        <w:bottom w:val="none" w:sz="0" w:space="0" w:color="auto"/>
        <w:right w:val="none" w:sz="0" w:space="0" w:color="auto"/>
      </w:divBdr>
    </w:div>
    <w:div w:id="526917655">
      <w:bodyDiv w:val="1"/>
      <w:marLeft w:val="0"/>
      <w:marRight w:val="0"/>
      <w:marTop w:val="0"/>
      <w:marBottom w:val="0"/>
      <w:divBdr>
        <w:top w:val="none" w:sz="0" w:space="0" w:color="auto"/>
        <w:left w:val="none" w:sz="0" w:space="0" w:color="auto"/>
        <w:bottom w:val="none" w:sz="0" w:space="0" w:color="auto"/>
        <w:right w:val="none" w:sz="0" w:space="0" w:color="auto"/>
      </w:divBdr>
    </w:div>
    <w:div w:id="550306781">
      <w:bodyDiv w:val="1"/>
      <w:marLeft w:val="0"/>
      <w:marRight w:val="0"/>
      <w:marTop w:val="0"/>
      <w:marBottom w:val="0"/>
      <w:divBdr>
        <w:top w:val="none" w:sz="0" w:space="0" w:color="auto"/>
        <w:left w:val="none" w:sz="0" w:space="0" w:color="auto"/>
        <w:bottom w:val="none" w:sz="0" w:space="0" w:color="auto"/>
        <w:right w:val="none" w:sz="0" w:space="0" w:color="auto"/>
      </w:divBdr>
    </w:div>
    <w:div w:id="552816559">
      <w:bodyDiv w:val="1"/>
      <w:marLeft w:val="0"/>
      <w:marRight w:val="0"/>
      <w:marTop w:val="0"/>
      <w:marBottom w:val="0"/>
      <w:divBdr>
        <w:top w:val="none" w:sz="0" w:space="0" w:color="auto"/>
        <w:left w:val="none" w:sz="0" w:space="0" w:color="auto"/>
        <w:bottom w:val="none" w:sz="0" w:space="0" w:color="auto"/>
        <w:right w:val="none" w:sz="0" w:space="0" w:color="auto"/>
      </w:divBdr>
    </w:div>
    <w:div w:id="855578270">
      <w:bodyDiv w:val="1"/>
      <w:marLeft w:val="0"/>
      <w:marRight w:val="0"/>
      <w:marTop w:val="0"/>
      <w:marBottom w:val="0"/>
      <w:divBdr>
        <w:top w:val="none" w:sz="0" w:space="0" w:color="auto"/>
        <w:left w:val="none" w:sz="0" w:space="0" w:color="auto"/>
        <w:bottom w:val="none" w:sz="0" w:space="0" w:color="auto"/>
        <w:right w:val="none" w:sz="0" w:space="0" w:color="auto"/>
      </w:divBdr>
    </w:div>
    <w:div w:id="875461857">
      <w:bodyDiv w:val="1"/>
      <w:marLeft w:val="0"/>
      <w:marRight w:val="0"/>
      <w:marTop w:val="0"/>
      <w:marBottom w:val="0"/>
      <w:divBdr>
        <w:top w:val="none" w:sz="0" w:space="0" w:color="auto"/>
        <w:left w:val="none" w:sz="0" w:space="0" w:color="auto"/>
        <w:bottom w:val="none" w:sz="0" w:space="0" w:color="auto"/>
        <w:right w:val="none" w:sz="0" w:space="0" w:color="auto"/>
      </w:divBdr>
    </w:div>
    <w:div w:id="990520782">
      <w:bodyDiv w:val="1"/>
      <w:marLeft w:val="0"/>
      <w:marRight w:val="0"/>
      <w:marTop w:val="0"/>
      <w:marBottom w:val="0"/>
      <w:divBdr>
        <w:top w:val="none" w:sz="0" w:space="0" w:color="auto"/>
        <w:left w:val="none" w:sz="0" w:space="0" w:color="auto"/>
        <w:bottom w:val="none" w:sz="0" w:space="0" w:color="auto"/>
        <w:right w:val="none" w:sz="0" w:space="0" w:color="auto"/>
      </w:divBdr>
      <w:divsChild>
        <w:div w:id="2031686165">
          <w:marLeft w:val="0"/>
          <w:marRight w:val="0"/>
          <w:marTop w:val="0"/>
          <w:marBottom w:val="0"/>
          <w:divBdr>
            <w:top w:val="none" w:sz="0" w:space="0" w:color="auto"/>
            <w:left w:val="none" w:sz="0" w:space="0" w:color="auto"/>
            <w:bottom w:val="none" w:sz="0" w:space="0" w:color="auto"/>
            <w:right w:val="none" w:sz="0" w:space="0" w:color="auto"/>
          </w:divBdr>
          <w:divsChild>
            <w:div w:id="517548565">
              <w:marLeft w:val="0"/>
              <w:marRight w:val="0"/>
              <w:marTop w:val="0"/>
              <w:marBottom w:val="0"/>
              <w:divBdr>
                <w:top w:val="none" w:sz="0" w:space="0" w:color="auto"/>
                <w:left w:val="none" w:sz="0" w:space="0" w:color="auto"/>
                <w:bottom w:val="none" w:sz="0" w:space="0" w:color="auto"/>
                <w:right w:val="none" w:sz="0" w:space="0" w:color="auto"/>
              </w:divBdr>
              <w:divsChild>
                <w:div w:id="122583753">
                  <w:marLeft w:val="0"/>
                  <w:marRight w:val="0"/>
                  <w:marTop w:val="0"/>
                  <w:marBottom w:val="0"/>
                  <w:divBdr>
                    <w:top w:val="none" w:sz="0" w:space="0" w:color="auto"/>
                    <w:left w:val="none" w:sz="0" w:space="0" w:color="auto"/>
                    <w:bottom w:val="none" w:sz="0" w:space="0" w:color="auto"/>
                    <w:right w:val="none" w:sz="0" w:space="0" w:color="auto"/>
                  </w:divBdr>
                  <w:divsChild>
                    <w:div w:id="1509910298">
                      <w:marLeft w:val="0"/>
                      <w:marRight w:val="0"/>
                      <w:marTop w:val="0"/>
                      <w:marBottom w:val="0"/>
                      <w:divBdr>
                        <w:top w:val="none" w:sz="0" w:space="0" w:color="auto"/>
                        <w:left w:val="none" w:sz="0" w:space="0" w:color="auto"/>
                        <w:bottom w:val="none" w:sz="0" w:space="0" w:color="auto"/>
                        <w:right w:val="none" w:sz="0" w:space="0" w:color="auto"/>
                      </w:divBdr>
                      <w:divsChild>
                        <w:div w:id="102850579">
                          <w:marLeft w:val="0"/>
                          <w:marRight w:val="0"/>
                          <w:marTop w:val="0"/>
                          <w:marBottom w:val="0"/>
                          <w:divBdr>
                            <w:top w:val="none" w:sz="0" w:space="0" w:color="auto"/>
                            <w:left w:val="none" w:sz="0" w:space="0" w:color="auto"/>
                            <w:bottom w:val="none" w:sz="0" w:space="0" w:color="auto"/>
                            <w:right w:val="none" w:sz="0" w:space="0" w:color="auto"/>
                          </w:divBdr>
                          <w:divsChild>
                            <w:div w:id="19341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91411">
      <w:bodyDiv w:val="1"/>
      <w:marLeft w:val="0"/>
      <w:marRight w:val="0"/>
      <w:marTop w:val="0"/>
      <w:marBottom w:val="0"/>
      <w:divBdr>
        <w:top w:val="none" w:sz="0" w:space="0" w:color="auto"/>
        <w:left w:val="none" w:sz="0" w:space="0" w:color="auto"/>
        <w:bottom w:val="none" w:sz="0" w:space="0" w:color="auto"/>
        <w:right w:val="none" w:sz="0" w:space="0" w:color="auto"/>
      </w:divBdr>
    </w:div>
    <w:div w:id="1039551049">
      <w:bodyDiv w:val="1"/>
      <w:marLeft w:val="0"/>
      <w:marRight w:val="0"/>
      <w:marTop w:val="0"/>
      <w:marBottom w:val="0"/>
      <w:divBdr>
        <w:top w:val="none" w:sz="0" w:space="0" w:color="auto"/>
        <w:left w:val="none" w:sz="0" w:space="0" w:color="auto"/>
        <w:bottom w:val="none" w:sz="0" w:space="0" w:color="auto"/>
        <w:right w:val="none" w:sz="0" w:space="0" w:color="auto"/>
      </w:divBdr>
    </w:div>
    <w:div w:id="1094939969">
      <w:bodyDiv w:val="1"/>
      <w:marLeft w:val="0"/>
      <w:marRight w:val="0"/>
      <w:marTop w:val="0"/>
      <w:marBottom w:val="0"/>
      <w:divBdr>
        <w:top w:val="none" w:sz="0" w:space="0" w:color="auto"/>
        <w:left w:val="none" w:sz="0" w:space="0" w:color="auto"/>
        <w:bottom w:val="none" w:sz="0" w:space="0" w:color="auto"/>
        <w:right w:val="none" w:sz="0" w:space="0" w:color="auto"/>
      </w:divBdr>
    </w:div>
    <w:div w:id="1121873790">
      <w:bodyDiv w:val="1"/>
      <w:marLeft w:val="0"/>
      <w:marRight w:val="0"/>
      <w:marTop w:val="0"/>
      <w:marBottom w:val="0"/>
      <w:divBdr>
        <w:top w:val="none" w:sz="0" w:space="0" w:color="auto"/>
        <w:left w:val="none" w:sz="0" w:space="0" w:color="auto"/>
        <w:bottom w:val="none" w:sz="0" w:space="0" w:color="auto"/>
        <w:right w:val="none" w:sz="0" w:space="0" w:color="auto"/>
      </w:divBdr>
    </w:div>
    <w:div w:id="1152676389">
      <w:bodyDiv w:val="1"/>
      <w:marLeft w:val="0"/>
      <w:marRight w:val="0"/>
      <w:marTop w:val="0"/>
      <w:marBottom w:val="0"/>
      <w:divBdr>
        <w:top w:val="none" w:sz="0" w:space="0" w:color="auto"/>
        <w:left w:val="none" w:sz="0" w:space="0" w:color="auto"/>
        <w:bottom w:val="none" w:sz="0" w:space="0" w:color="auto"/>
        <w:right w:val="none" w:sz="0" w:space="0" w:color="auto"/>
      </w:divBdr>
    </w:div>
    <w:div w:id="1198740431">
      <w:bodyDiv w:val="1"/>
      <w:marLeft w:val="0"/>
      <w:marRight w:val="0"/>
      <w:marTop w:val="0"/>
      <w:marBottom w:val="0"/>
      <w:divBdr>
        <w:top w:val="none" w:sz="0" w:space="0" w:color="auto"/>
        <w:left w:val="none" w:sz="0" w:space="0" w:color="auto"/>
        <w:bottom w:val="none" w:sz="0" w:space="0" w:color="auto"/>
        <w:right w:val="none" w:sz="0" w:space="0" w:color="auto"/>
      </w:divBdr>
    </w:div>
    <w:div w:id="1327436213">
      <w:bodyDiv w:val="1"/>
      <w:marLeft w:val="0"/>
      <w:marRight w:val="0"/>
      <w:marTop w:val="0"/>
      <w:marBottom w:val="0"/>
      <w:divBdr>
        <w:top w:val="none" w:sz="0" w:space="0" w:color="auto"/>
        <w:left w:val="none" w:sz="0" w:space="0" w:color="auto"/>
        <w:bottom w:val="none" w:sz="0" w:space="0" w:color="auto"/>
        <w:right w:val="none" w:sz="0" w:space="0" w:color="auto"/>
      </w:divBdr>
    </w:div>
    <w:div w:id="1336691951">
      <w:bodyDiv w:val="1"/>
      <w:marLeft w:val="0"/>
      <w:marRight w:val="0"/>
      <w:marTop w:val="0"/>
      <w:marBottom w:val="0"/>
      <w:divBdr>
        <w:top w:val="none" w:sz="0" w:space="0" w:color="auto"/>
        <w:left w:val="none" w:sz="0" w:space="0" w:color="auto"/>
        <w:bottom w:val="none" w:sz="0" w:space="0" w:color="auto"/>
        <w:right w:val="none" w:sz="0" w:space="0" w:color="auto"/>
      </w:divBdr>
    </w:div>
    <w:div w:id="1389498968">
      <w:bodyDiv w:val="1"/>
      <w:marLeft w:val="0"/>
      <w:marRight w:val="0"/>
      <w:marTop w:val="0"/>
      <w:marBottom w:val="0"/>
      <w:divBdr>
        <w:top w:val="none" w:sz="0" w:space="0" w:color="auto"/>
        <w:left w:val="none" w:sz="0" w:space="0" w:color="auto"/>
        <w:bottom w:val="none" w:sz="0" w:space="0" w:color="auto"/>
        <w:right w:val="none" w:sz="0" w:space="0" w:color="auto"/>
      </w:divBdr>
    </w:div>
    <w:div w:id="1416972393">
      <w:bodyDiv w:val="1"/>
      <w:marLeft w:val="0"/>
      <w:marRight w:val="0"/>
      <w:marTop w:val="0"/>
      <w:marBottom w:val="0"/>
      <w:divBdr>
        <w:top w:val="none" w:sz="0" w:space="0" w:color="auto"/>
        <w:left w:val="none" w:sz="0" w:space="0" w:color="auto"/>
        <w:bottom w:val="none" w:sz="0" w:space="0" w:color="auto"/>
        <w:right w:val="none" w:sz="0" w:space="0" w:color="auto"/>
      </w:divBdr>
    </w:div>
    <w:div w:id="1466459843">
      <w:bodyDiv w:val="1"/>
      <w:marLeft w:val="0"/>
      <w:marRight w:val="0"/>
      <w:marTop w:val="0"/>
      <w:marBottom w:val="0"/>
      <w:divBdr>
        <w:top w:val="none" w:sz="0" w:space="0" w:color="auto"/>
        <w:left w:val="none" w:sz="0" w:space="0" w:color="auto"/>
        <w:bottom w:val="none" w:sz="0" w:space="0" w:color="auto"/>
        <w:right w:val="none" w:sz="0" w:space="0" w:color="auto"/>
      </w:divBdr>
    </w:div>
    <w:div w:id="1528373542">
      <w:bodyDiv w:val="1"/>
      <w:marLeft w:val="0"/>
      <w:marRight w:val="0"/>
      <w:marTop w:val="0"/>
      <w:marBottom w:val="0"/>
      <w:divBdr>
        <w:top w:val="none" w:sz="0" w:space="0" w:color="auto"/>
        <w:left w:val="none" w:sz="0" w:space="0" w:color="auto"/>
        <w:bottom w:val="none" w:sz="0" w:space="0" w:color="auto"/>
        <w:right w:val="none" w:sz="0" w:space="0" w:color="auto"/>
      </w:divBdr>
    </w:div>
    <w:div w:id="1656566486">
      <w:bodyDiv w:val="1"/>
      <w:marLeft w:val="0"/>
      <w:marRight w:val="0"/>
      <w:marTop w:val="0"/>
      <w:marBottom w:val="0"/>
      <w:divBdr>
        <w:top w:val="none" w:sz="0" w:space="0" w:color="auto"/>
        <w:left w:val="none" w:sz="0" w:space="0" w:color="auto"/>
        <w:bottom w:val="none" w:sz="0" w:space="0" w:color="auto"/>
        <w:right w:val="none" w:sz="0" w:space="0" w:color="auto"/>
      </w:divBdr>
    </w:div>
    <w:div w:id="1714378745">
      <w:bodyDiv w:val="1"/>
      <w:marLeft w:val="0"/>
      <w:marRight w:val="0"/>
      <w:marTop w:val="0"/>
      <w:marBottom w:val="0"/>
      <w:divBdr>
        <w:top w:val="none" w:sz="0" w:space="0" w:color="auto"/>
        <w:left w:val="none" w:sz="0" w:space="0" w:color="auto"/>
        <w:bottom w:val="none" w:sz="0" w:space="0" w:color="auto"/>
        <w:right w:val="none" w:sz="0" w:space="0" w:color="auto"/>
      </w:divBdr>
    </w:div>
    <w:div w:id="1841579627">
      <w:bodyDiv w:val="1"/>
      <w:marLeft w:val="0"/>
      <w:marRight w:val="0"/>
      <w:marTop w:val="0"/>
      <w:marBottom w:val="0"/>
      <w:divBdr>
        <w:top w:val="none" w:sz="0" w:space="0" w:color="auto"/>
        <w:left w:val="none" w:sz="0" w:space="0" w:color="auto"/>
        <w:bottom w:val="none" w:sz="0" w:space="0" w:color="auto"/>
        <w:right w:val="none" w:sz="0" w:space="0" w:color="auto"/>
      </w:divBdr>
    </w:div>
    <w:div w:id="1845591067">
      <w:bodyDiv w:val="1"/>
      <w:marLeft w:val="0"/>
      <w:marRight w:val="0"/>
      <w:marTop w:val="0"/>
      <w:marBottom w:val="0"/>
      <w:divBdr>
        <w:top w:val="none" w:sz="0" w:space="0" w:color="auto"/>
        <w:left w:val="none" w:sz="0" w:space="0" w:color="auto"/>
        <w:bottom w:val="none" w:sz="0" w:space="0" w:color="auto"/>
        <w:right w:val="none" w:sz="0" w:space="0" w:color="auto"/>
      </w:divBdr>
    </w:div>
    <w:div w:id="193089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42799">
          <w:marLeft w:val="0"/>
          <w:marRight w:val="0"/>
          <w:marTop w:val="0"/>
          <w:marBottom w:val="0"/>
          <w:divBdr>
            <w:top w:val="none" w:sz="0" w:space="0" w:color="auto"/>
            <w:left w:val="none" w:sz="0" w:space="0" w:color="auto"/>
            <w:bottom w:val="none" w:sz="0" w:space="0" w:color="auto"/>
            <w:right w:val="none" w:sz="0" w:space="0" w:color="auto"/>
          </w:divBdr>
          <w:divsChild>
            <w:div w:id="1171917486">
              <w:marLeft w:val="0"/>
              <w:marRight w:val="0"/>
              <w:marTop w:val="0"/>
              <w:marBottom w:val="0"/>
              <w:divBdr>
                <w:top w:val="none" w:sz="0" w:space="0" w:color="auto"/>
                <w:left w:val="none" w:sz="0" w:space="0" w:color="auto"/>
                <w:bottom w:val="none" w:sz="0" w:space="0" w:color="auto"/>
                <w:right w:val="none" w:sz="0" w:space="0" w:color="auto"/>
              </w:divBdr>
              <w:divsChild>
                <w:div w:id="1687291990">
                  <w:marLeft w:val="0"/>
                  <w:marRight w:val="0"/>
                  <w:marTop w:val="0"/>
                  <w:marBottom w:val="0"/>
                  <w:divBdr>
                    <w:top w:val="none" w:sz="0" w:space="0" w:color="auto"/>
                    <w:left w:val="none" w:sz="0" w:space="0" w:color="auto"/>
                    <w:bottom w:val="none" w:sz="0" w:space="0" w:color="auto"/>
                    <w:right w:val="none" w:sz="0" w:space="0" w:color="auto"/>
                  </w:divBdr>
                  <w:divsChild>
                    <w:div w:id="6106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08993">
          <w:marLeft w:val="0"/>
          <w:marRight w:val="0"/>
          <w:marTop w:val="0"/>
          <w:marBottom w:val="0"/>
          <w:divBdr>
            <w:top w:val="none" w:sz="0" w:space="0" w:color="auto"/>
            <w:left w:val="none" w:sz="0" w:space="0" w:color="auto"/>
            <w:bottom w:val="none" w:sz="0" w:space="0" w:color="auto"/>
            <w:right w:val="none" w:sz="0" w:space="0" w:color="auto"/>
          </w:divBdr>
          <w:divsChild>
            <w:div w:id="1642687958">
              <w:marLeft w:val="0"/>
              <w:marRight w:val="0"/>
              <w:marTop w:val="0"/>
              <w:marBottom w:val="0"/>
              <w:divBdr>
                <w:top w:val="none" w:sz="0" w:space="0" w:color="auto"/>
                <w:left w:val="none" w:sz="0" w:space="0" w:color="auto"/>
                <w:bottom w:val="none" w:sz="0" w:space="0" w:color="auto"/>
                <w:right w:val="none" w:sz="0" w:space="0" w:color="auto"/>
              </w:divBdr>
              <w:divsChild>
                <w:div w:id="2024084507">
                  <w:marLeft w:val="0"/>
                  <w:marRight w:val="0"/>
                  <w:marTop w:val="0"/>
                  <w:marBottom w:val="0"/>
                  <w:divBdr>
                    <w:top w:val="none" w:sz="0" w:space="0" w:color="auto"/>
                    <w:left w:val="none" w:sz="0" w:space="0" w:color="auto"/>
                    <w:bottom w:val="none" w:sz="0" w:space="0" w:color="auto"/>
                    <w:right w:val="none" w:sz="0" w:space="0" w:color="auto"/>
                  </w:divBdr>
                  <w:divsChild>
                    <w:div w:id="4481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2168">
      <w:bodyDiv w:val="1"/>
      <w:marLeft w:val="0"/>
      <w:marRight w:val="0"/>
      <w:marTop w:val="0"/>
      <w:marBottom w:val="0"/>
      <w:divBdr>
        <w:top w:val="none" w:sz="0" w:space="0" w:color="auto"/>
        <w:left w:val="none" w:sz="0" w:space="0" w:color="auto"/>
        <w:bottom w:val="none" w:sz="0" w:space="0" w:color="auto"/>
        <w:right w:val="none" w:sz="0" w:space="0" w:color="auto"/>
      </w:divBdr>
    </w:div>
    <w:div w:id="2004163365">
      <w:bodyDiv w:val="1"/>
      <w:marLeft w:val="0"/>
      <w:marRight w:val="0"/>
      <w:marTop w:val="0"/>
      <w:marBottom w:val="0"/>
      <w:divBdr>
        <w:top w:val="none" w:sz="0" w:space="0" w:color="auto"/>
        <w:left w:val="none" w:sz="0" w:space="0" w:color="auto"/>
        <w:bottom w:val="none" w:sz="0" w:space="0" w:color="auto"/>
        <w:right w:val="none" w:sz="0" w:space="0" w:color="auto"/>
      </w:divBdr>
    </w:div>
    <w:div w:id="2026593934">
      <w:bodyDiv w:val="1"/>
      <w:marLeft w:val="0"/>
      <w:marRight w:val="0"/>
      <w:marTop w:val="0"/>
      <w:marBottom w:val="0"/>
      <w:divBdr>
        <w:top w:val="none" w:sz="0" w:space="0" w:color="auto"/>
        <w:left w:val="none" w:sz="0" w:space="0" w:color="auto"/>
        <w:bottom w:val="none" w:sz="0" w:space="0" w:color="auto"/>
        <w:right w:val="none" w:sz="0" w:space="0" w:color="auto"/>
      </w:divBdr>
    </w:div>
    <w:div w:id="2052073643">
      <w:bodyDiv w:val="1"/>
      <w:marLeft w:val="0"/>
      <w:marRight w:val="0"/>
      <w:marTop w:val="0"/>
      <w:marBottom w:val="0"/>
      <w:divBdr>
        <w:top w:val="none" w:sz="0" w:space="0" w:color="auto"/>
        <w:left w:val="none" w:sz="0" w:space="0" w:color="auto"/>
        <w:bottom w:val="none" w:sz="0" w:space="0" w:color="auto"/>
        <w:right w:val="none" w:sz="0" w:space="0" w:color="auto"/>
      </w:divBdr>
    </w:div>
    <w:div w:id="2088309688">
      <w:bodyDiv w:val="1"/>
      <w:marLeft w:val="0"/>
      <w:marRight w:val="0"/>
      <w:marTop w:val="0"/>
      <w:marBottom w:val="0"/>
      <w:divBdr>
        <w:top w:val="none" w:sz="0" w:space="0" w:color="auto"/>
        <w:left w:val="none" w:sz="0" w:space="0" w:color="auto"/>
        <w:bottom w:val="none" w:sz="0" w:space="0" w:color="auto"/>
        <w:right w:val="none" w:sz="0" w:space="0" w:color="auto"/>
      </w:divBdr>
    </w:div>
    <w:div w:id="2093309013">
      <w:bodyDiv w:val="1"/>
      <w:marLeft w:val="0"/>
      <w:marRight w:val="0"/>
      <w:marTop w:val="0"/>
      <w:marBottom w:val="0"/>
      <w:divBdr>
        <w:top w:val="none" w:sz="0" w:space="0" w:color="auto"/>
        <w:left w:val="none" w:sz="0" w:space="0" w:color="auto"/>
        <w:bottom w:val="none" w:sz="0" w:space="0" w:color="auto"/>
        <w:right w:val="none" w:sz="0" w:space="0" w:color="auto"/>
      </w:divBdr>
    </w:div>
    <w:div w:id="21451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hyperlink" Target="https://www.sciencedirect.com/journal/journal-of-international-money-and-finance" TargetMode="External"/><Relationship Id="rId39" Type="http://schemas.openxmlformats.org/officeDocument/2006/relationships/hyperlink" Target="https://ssrn.com/abstract=2214376" TargetMode="External"/><Relationship Id="rId21" Type="http://schemas.openxmlformats.org/officeDocument/2006/relationships/image" Target="media/image8.emf"/><Relationship Id="rId34" Type="http://schemas.openxmlformats.org/officeDocument/2006/relationships/hyperlink" Target="https://www.jstor.org/stable/i333068" TargetMode="External"/><Relationship Id="rId42" Type="http://schemas.openxmlformats.org/officeDocument/2006/relationships/hyperlink" Target="https://www.sciencedirect.com/journal/journal-of-econometrics/vol/98/issue/1" TargetMode="External"/><Relationship Id="rId47" Type="http://schemas.openxmlformats.org/officeDocument/2006/relationships/header" Target="head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hyperlink" Target="https://www.cambridge.org/core/journals/econometric-theory" TargetMode="External"/><Relationship Id="rId11" Type="http://schemas.openxmlformats.org/officeDocument/2006/relationships/image" Target="media/image3.emf"/><Relationship Id="rId24" Type="http://schemas.openxmlformats.org/officeDocument/2006/relationships/image" Target="media/image10.jpeg"/><Relationship Id="rId32" Type="http://schemas.openxmlformats.org/officeDocument/2006/relationships/hyperlink" Target="https://www.sciencedirect.com/journal/journal-of-econometrics" TargetMode="External"/><Relationship Id="rId37" Type="http://schemas.openxmlformats.org/officeDocument/2006/relationships/hyperlink" Target="http://www.r-project.org/" TargetMode="External"/><Relationship Id="rId40" Type="http://schemas.openxmlformats.org/officeDocument/2006/relationships/hyperlink" Target="https://papers.ssrn.com/sol3/cf_dev/AbsByAuth.cfm?per_id=564857"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png"/><Relationship Id="rId28" Type="http://schemas.openxmlformats.org/officeDocument/2006/relationships/hyperlink" Target="https://www.researchgate.net/journal/Management-Science-1526-5501" TargetMode="External"/><Relationship Id="rId36" Type="http://schemas.openxmlformats.org/officeDocument/2006/relationships/hyperlink" Target="https://www.researchgate.net/publication/328751085_Target_Matrix_Estimators_in_Risk-Based_Portfolios" TargetMode="External"/><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hyperlink" Target="https://www.cambridge.org/core/journals/econometric-theory/issue/7401266910883ECFB6A2EE0D145CEDB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yperlink" Target="https://www.sciencedirect.com/journal/journal-of-econometrics" TargetMode="External"/><Relationship Id="rId30" Type="http://schemas.openxmlformats.org/officeDocument/2006/relationships/hyperlink" Target="https://www.cambridge.org/core/journals/econometric-theory/volume/A76C072B816EC7B8B177D26BEAB7CDF2" TargetMode="External"/><Relationship Id="rId35" Type="http://schemas.openxmlformats.org/officeDocument/2006/relationships/hyperlink" Target="https://sciprofiles.com/profile/536498" TargetMode="External"/><Relationship Id="rId43" Type="http://schemas.openxmlformats.org/officeDocument/2006/relationships/hyperlink" Target="https://www.researchgate.net/journal/International-Review-of-Finance-1468-2443?_tp=eyJjb250ZXh0Ijp7ImZpcnN0UGFnZSI6InB1YmxpY2F0aW9uIiwicGFnZSI6InB1YmxpY2F0aW9uIiwicG9zaXRpb24iOiJwYWdlSGVhZGVyIn19" TargetMode="External"/><Relationship Id="rId48"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1.jpeg"/><Relationship Id="rId33" Type="http://schemas.openxmlformats.org/officeDocument/2006/relationships/hyperlink" Target="https://sciprofiles.com/profile/386255" TargetMode="External"/><Relationship Id="rId38" Type="http://schemas.openxmlformats.org/officeDocument/2006/relationships/hyperlink" Target="https://papers.ssrn.com/sol3/cf_dev/AbsByAuth.cfm?per_id=1849091" TargetMode="External"/><Relationship Id="rId46"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hyperlink" Target="https://www.sciencedirect.com/journal/journal-of-econometric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30</Pages>
  <Words>9824</Words>
  <Characters>55998</Characters>
  <Application>Microsoft Office Word</Application>
  <DocSecurity>0</DocSecurity>
  <Lines>466</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zied</dc:creator>
  <cp:lastModifiedBy>Editor-14</cp:lastModifiedBy>
  <cp:revision>7</cp:revision>
  <cp:lastPrinted>2024-08-15T22:07:00Z</cp:lastPrinted>
  <dcterms:created xsi:type="dcterms:W3CDTF">2025-02-18T22:02:00Z</dcterms:created>
  <dcterms:modified xsi:type="dcterms:W3CDTF">2025-02-22T04:47:00Z</dcterms:modified>
</cp:coreProperties>
</file>