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17A7" w14:textId="77777777" w:rsidR="00372B3C" w:rsidRPr="00372B3C" w:rsidRDefault="00372B3C" w:rsidP="00372B3C">
      <w:pPr>
        <w:spacing w:line="480" w:lineRule="auto"/>
        <w:jc w:val="center"/>
        <w:rPr>
          <w:rFonts w:ascii="Times New Roman" w:eastAsia="Times New Roman" w:hAnsi="Times New Roman" w:cs="Times New Roman"/>
          <w:b/>
          <w:bCs/>
          <w:i/>
          <w:iCs/>
          <w:sz w:val="24"/>
          <w:szCs w:val="24"/>
          <w:u w:val="single"/>
          <w:lang w:val="en-US"/>
        </w:rPr>
      </w:pPr>
      <w:r w:rsidRPr="00372B3C">
        <w:rPr>
          <w:rFonts w:ascii="Times New Roman" w:eastAsia="Times New Roman" w:hAnsi="Times New Roman" w:cs="Times New Roman"/>
          <w:b/>
          <w:bCs/>
          <w:i/>
          <w:iCs/>
          <w:sz w:val="24"/>
          <w:szCs w:val="24"/>
          <w:u w:val="single"/>
          <w:lang w:val="en-US"/>
        </w:rPr>
        <w:t>Original Research Article</w:t>
      </w:r>
    </w:p>
    <w:p w14:paraId="4C02F0AD" w14:textId="77777777" w:rsidR="008324D6" w:rsidRDefault="008324D6" w:rsidP="008324D6">
      <w:pPr>
        <w:spacing w:line="480" w:lineRule="auto"/>
        <w:jc w:val="center"/>
        <w:rPr>
          <w:rFonts w:ascii="Times New Roman" w:eastAsia="Times New Roman" w:hAnsi="Times New Roman" w:cs="Times New Roman"/>
          <w:b/>
          <w:sz w:val="24"/>
          <w:szCs w:val="24"/>
          <w:lang w:val="en-US"/>
        </w:rPr>
      </w:pPr>
    </w:p>
    <w:p w14:paraId="27D7F3FE" w14:textId="77777777" w:rsidR="008324D6" w:rsidRDefault="008324D6" w:rsidP="008324D6">
      <w:pPr>
        <w:spacing w:line="480" w:lineRule="auto"/>
        <w:jc w:val="center"/>
        <w:rPr>
          <w:rFonts w:ascii="Times New Roman" w:eastAsia="Times New Roman" w:hAnsi="Times New Roman" w:cs="Times New Roman"/>
          <w:b/>
          <w:sz w:val="24"/>
          <w:szCs w:val="24"/>
          <w:lang w:val="en-US"/>
        </w:rPr>
      </w:pPr>
      <w:r w:rsidRPr="009F7807">
        <w:rPr>
          <w:rFonts w:ascii="Times New Roman" w:eastAsia="Times New Roman" w:hAnsi="Times New Roman" w:cs="Times New Roman"/>
          <w:b/>
          <w:sz w:val="24"/>
          <w:szCs w:val="24"/>
          <w:lang w:val="en-US"/>
        </w:rPr>
        <w:t>Differential Gene Expression</w:t>
      </w:r>
      <w:r>
        <w:rPr>
          <w:rFonts w:ascii="Times New Roman" w:eastAsia="Times New Roman" w:hAnsi="Times New Roman" w:cs="Times New Roman"/>
          <w:b/>
          <w:sz w:val="24"/>
          <w:szCs w:val="24"/>
          <w:lang w:val="en-US"/>
        </w:rPr>
        <w:t xml:space="preserve"> </w:t>
      </w:r>
      <w:r w:rsidRPr="009F7807">
        <w:rPr>
          <w:rFonts w:ascii="Times New Roman" w:eastAsia="Times New Roman" w:hAnsi="Times New Roman" w:cs="Times New Roman"/>
          <w:b/>
          <w:sz w:val="24"/>
          <w:szCs w:val="24"/>
          <w:lang w:val="en-US"/>
        </w:rPr>
        <w:t>Analysis</w:t>
      </w:r>
      <w:r>
        <w:rPr>
          <w:rFonts w:ascii="Times New Roman" w:eastAsia="Times New Roman" w:hAnsi="Times New Roman" w:cs="Times New Roman"/>
          <w:b/>
          <w:sz w:val="24"/>
          <w:szCs w:val="24"/>
          <w:lang w:val="en-US"/>
        </w:rPr>
        <w:t xml:space="preserve"> and </w:t>
      </w:r>
      <w:r w:rsidRPr="009F7807">
        <w:rPr>
          <w:rFonts w:ascii="Times New Roman" w:eastAsia="Times New Roman" w:hAnsi="Times New Roman" w:cs="Times New Roman"/>
          <w:b/>
          <w:sz w:val="24"/>
          <w:szCs w:val="24"/>
          <w:lang w:val="en-US"/>
        </w:rPr>
        <w:t>Biomarker</w:t>
      </w:r>
      <w:r>
        <w:rPr>
          <w:rFonts w:ascii="Times New Roman" w:eastAsia="Times New Roman" w:hAnsi="Times New Roman" w:cs="Times New Roman"/>
          <w:b/>
          <w:sz w:val="24"/>
          <w:szCs w:val="24"/>
          <w:lang w:val="en-US"/>
        </w:rPr>
        <w:t xml:space="preserve"> Identification for </w:t>
      </w:r>
      <w:r w:rsidRPr="009F7807">
        <w:rPr>
          <w:rFonts w:ascii="Times New Roman" w:eastAsia="Times New Roman" w:hAnsi="Times New Roman" w:cs="Times New Roman"/>
          <w:b/>
          <w:sz w:val="24"/>
          <w:szCs w:val="24"/>
          <w:lang w:val="en-US"/>
        </w:rPr>
        <w:t xml:space="preserve">Colorectal Cancer </w:t>
      </w:r>
    </w:p>
    <w:p w14:paraId="0AEE4900" w14:textId="77777777" w:rsidR="008324D6" w:rsidRPr="00586EE4" w:rsidRDefault="008324D6" w:rsidP="008324D6">
      <w:pPr>
        <w:spacing w:line="480" w:lineRule="auto"/>
        <w:jc w:val="center"/>
        <w:rPr>
          <w:rFonts w:ascii="Times New Roman" w:eastAsia="Times New Roman" w:hAnsi="Times New Roman" w:cs="Times New Roman"/>
          <w:bCs/>
          <w:sz w:val="24"/>
          <w:szCs w:val="24"/>
          <w:lang w:val="en-US"/>
        </w:rPr>
      </w:pPr>
      <w:bookmarkStart w:id="0" w:name="_Hlk173266430"/>
    </w:p>
    <w:bookmarkEnd w:id="0"/>
    <w:p w14:paraId="5E6D6897" w14:textId="77777777" w:rsidR="008324D6" w:rsidRDefault="008324D6" w:rsidP="008324D6">
      <w:pPr>
        <w:spacing w:line="480" w:lineRule="auto"/>
        <w:jc w:val="center"/>
        <w:rPr>
          <w:rFonts w:ascii="Times New Roman" w:eastAsia="Times New Roman" w:hAnsi="Times New Roman" w:cs="Times New Roman"/>
          <w:sz w:val="24"/>
          <w:szCs w:val="24"/>
          <w:lang w:val="en-US"/>
        </w:rPr>
      </w:pPr>
    </w:p>
    <w:p w14:paraId="66E5D914" w14:textId="77777777" w:rsidR="008324D6" w:rsidRPr="00833865" w:rsidRDefault="008324D6" w:rsidP="008324D6">
      <w:pPr>
        <w:pStyle w:val="NoSpacing"/>
        <w:spacing w:line="480" w:lineRule="auto"/>
        <w:jc w:val="both"/>
        <w:rPr>
          <w:rFonts w:ascii="Times New Roman" w:hAnsi="Times New Roman" w:cs="Times New Roman"/>
          <w:b/>
          <w:sz w:val="24"/>
          <w:szCs w:val="24"/>
        </w:rPr>
      </w:pPr>
      <w:r w:rsidRPr="00833865">
        <w:rPr>
          <w:rFonts w:ascii="Times New Roman" w:hAnsi="Times New Roman" w:cs="Times New Roman"/>
          <w:b/>
          <w:sz w:val="24"/>
          <w:szCs w:val="24"/>
        </w:rPr>
        <w:t>Abstract</w:t>
      </w:r>
    </w:p>
    <w:p w14:paraId="7F8A029B" w14:textId="0F782837" w:rsidR="0098256C" w:rsidRDefault="0098256C" w:rsidP="00BE4050">
      <w:pPr>
        <w:spacing w:line="480" w:lineRule="auto"/>
        <w:jc w:val="both"/>
        <w:rPr>
          <w:rFonts w:ascii="Times New Roman" w:hAnsi="Times New Roman" w:cs="Times New Roman"/>
          <w:b/>
          <w:sz w:val="24"/>
          <w:szCs w:val="24"/>
        </w:rPr>
      </w:pPr>
      <w:r w:rsidRPr="0079583C">
        <w:rPr>
          <w:rFonts w:ascii="Times New Roman" w:hAnsi="Times New Roman" w:cs="Times New Roman"/>
          <w:b/>
          <w:sz w:val="24"/>
          <w:szCs w:val="24"/>
          <w:highlight w:val="yellow"/>
        </w:rPr>
        <w:t xml:space="preserve">Background: </w:t>
      </w:r>
      <w:r w:rsidRPr="0079583C">
        <w:rPr>
          <w:rFonts w:ascii="Times New Roman" w:eastAsia="Times New Roman" w:hAnsi="Times New Roman" w:cs="Times New Roman"/>
          <w:sz w:val="24"/>
          <w:szCs w:val="24"/>
          <w:highlight w:val="yellow"/>
        </w:rPr>
        <w:t>Colorectal cancer is a multifaceted disease with complex molecular mechanisms influencing its onset and progression. CRC has been observed to exhibit familial clustering patterns since the early 1900s. Like the majority of cancers, colorectal cancer can develop as a result of mutations in specific genes.</w:t>
      </w:r>
      <w:r w:rsidRPr="000244B0">
        <w:rPr>
          <w:rFonts w:ascii="Times New Roman" w:eastAsia="Times New Roman" w:hAnsi="Times New Roman" w:cs="Times New Roman"/>
          <w:sz w:val="24"/>
          <w:szCs w:val="24"/>
        </w:rPr>
        <w:t xml:space="preserve"> </w:t>
      </w:r>
    </w:p>
    <w:p w14:paraId="1AC5B06E" w14:textId="5A6A6A3C" w:rsidR="00D442A6" w:rsidRPr="00E16736" w:rsidRDefault="00D442A6" w:rsidP="00BE4050">
      <w:pPr>
        <w:spacing w:line="480" w:lineRule="auto"/>
        <w:jc w:val="both"/>
        <w:rPr>
          <w:rFonts w:ascii="Times New Roman" w:hAnsi="Times New Roman" w:cs="Times New Roman"/>
          <w:sz w:val="24"/>
          <w:szCs w:val="24"/>
        </w:rPr>
      </w:pPr>
      <w:r w:rsidRPr="003C559A">
        <w:rPr>
          <w:rFonts w:ascii="Times New Roman" w:hAnsi="Times New Roman" w:cs="Times New Roman"/>
          <w:b/>
          <w:sz w:val="24"/>
          <w:szCs w:val="24"/>
        </w:rPr>
        <w:t>Aim:</w:t>
      </w:r>
      <w:r w:rsidRPr="00E16736">
        <w:rPr>
          <w:rFonts w:ascii="Times New Roman" w:hAnsi="Times New Roman" w:cs="Times New Roman"/>
          <w:sz w:val="24"/>
          <w:szCs w:val="24"/>
        </w:rPr>
        <w:t xml:space="preserve"> </w:t>
      </w:r>
      <w:r w:rsidR="00E82CCD" w:rsidRPr="0079583C">
        <w:rPr>
          <w:rFonts w:ascii="Times New Roman" w:hAnsi="Times New Roman" w:cs="Times New Roman"/>
          <w:sz w:val="24"/>
          <w:szCs w:val="24"/>
          <w:highlight w:val="yellow"/>
        </w:rPr>
        <w:t>The study aims t</w:t>
      </w:r>
      <w:r w:rsidRPr="0079583C">
        <w:rPr>
          <w:rFonts w:ascii="Times New Roman" w:hAnsi="Times New Roman" w:cs="Times New Roman"/>
          <w:sz w:val="24"/>
          <w:szCs w:val="24"/>
          <w:highlight w:val="yellow"/>
        </w:rPr>
        <w:t>o</w:t>
      </w:r>
      <w:r w:rsidRPr="00E16736">
        <w:rPr>
          <w:rFonts w:ascii="Times New Roman" w:hAnsi="Times New Roman" w:cs="Times New Roman"/>
          <w:sz w:val="24"/>
          <w:szCs w:val="24"/>
        </w:rPr>
        <w:t xml:space="preserve"> identify target biomarkers for colorectal cancer.</w:t>
      </w:r>
    </w:p>
    <w:p w14:paraId="768D7069" w14:textId="02507795" w:rsidR="00D442A6" w:rsidRPr="00D442A6" w:rsidRDefault="00D442A6" w:rsidP="00BE4050">
      <w:pPr>
        <w:spacing w:line="480" w:lineRule="auto"/>
        <w:jc w:val="both"/>
        <w:rPr>
          <w:rFonts w:ascii="Times New Roman" w:eastAsia="Times New Roman" w:hAnsi="Times New Roman" w:cs="Times New Roman"/>
          <w:sz w:val="24"/>
          <w:szCs w:val="24"/>
        </w:rPr>
      </w:pPr>
      <w:r w:rsidRPr="003C559A">
        <w:rPr>
          <w:rFonts w:ascii="Times New Roman" w:hAnsi="Times New Roman" w:cs="Times New Roman"/>
          <w:b/>
          <w:sz w:val="24"/>
          <w:szCs w:val="24"/>
        </w:rPr>
        <w:t>Methodology:</w:t>
      </w:r>
      <w:r w:rsidRPr="00D442A6">
        <w:rPr>
          <w:rFonts w:ascii="Times New Roman" w:hAnsi="Times New Roman" w:cs="Times New Roman"/>
          <w:sz w:val="24"/>
          <w:szCs w:val="24"/>
        </w:rPr>
        <w:t xml:space="preserve"> </w:t>
      </w:r>
      <w:r w:rsidR="00E82CCD">
        <w:rPr>
          <w:rFonts w:ascii="Times New Roman" w:hAnsi="Times New Roman" w:cs="Times New Roman"/>
          <w:sz w:val="24"/>
          <w:szCs w:val="24"/>
        </w:rPr>
        <w:t xml:space="preserve">In this study, </w:t>
      </w:r>
      <w:r w:rsidR="00E82CCD">
        <w:rPr>
          <w:rFonts w:ascii="Times New Roman" w:eastAsia="Times New Roman" w:hAnsi="Times New Roman" w:cs="Times New Roman"/>
          <w:sz w:val="24"/>
          <w:szCs w:val="24"/>
        </w:rPr>
        <w:t>a</w:t>
      </w:r>
      <w:r w:rsidR="00E82CCD" w:rsidRPr="00E16736">
        <w:rPr>
          <w:rFonts w:ascii="Times New Roman" w:eastAsia="Times New Roman" w:hAnsi="Times New Roman" w:cs="Times New Roman"/>
          <w:sz w:val="24"/>
          <w:szCs w:val="24"/>
        </w:rPr>
        <w:t xml:space="preserve">n </w:t>
      </w:r>
      <w:r w:rsidR="00E82CCD" w:rsidRPr="00E16736">
        <w:rPr>
          <w:rFonts w:ascii="Times New Roman" w:eastAsia="Times New Roman" w:hAnsi="Times New Roman" w:cs="Times New Roman"/>
          <w:sz w:val="24"/>
          <w:szCs w:val="24"/>
          <w:highlight w:val="white"/>
        </w:rPr>
        <w:t xml:space="preserve">integrated approach </w:t>
      </w:r>
      <w:r w:rsidR="00E82CCD">
        <w:rPr>
          <w:rFonts w:ascii="Times New Roman" w:eastAsia="Times New Roman" w:hAnsi="Times New Roman" w:cs="Times New Roman"/>
          <w:sz w:val="24"/>
          <w:szCs w:val="24"/>
          <w:highlight w:val="white"/>
        </w:rPr>
        <w:t xml:space="preserve">was undertaken </w:t>
      </w:r>
      <w:r w:rsidR="00E82CCD" w:rsidRPr="00E16736">
        <w:rPr>
          <w:rFonts w:ascii="Times New Roman" w:eastAsia="Times New Roman" w:hAnsi="Times New Roman" w:cs="Times New Roman"/>
          <w:sz w:val="24"/>
          <w:szCs w:val="24"/>
          <w:highlight w:val="white"/>
        </w:rPr>
        <w:t>to elucidate the gene expression patterns and molecular interactions associated with colorectal cancer (CRC) progression.</w:t>
      </w:r>
      <w:r w:rsidR="00E82CCD">
        <w:rPr>
          <w:rFonts w:ascii="Times New Roman" w:eastAsia="Times New Roman" w:hAnsi="Times New Roman" w:cs="Times New Roman"/>
          <w:sz w:val="24"/>
          <w:szCs w:val="24"/>
        </w:rPr>
        <w:t xml:space="preserve"> The study was conducted at the </w:t>
      </w:r>
      <w:r w:rsidR="00E82CCD" w:rsidRPr="00E16736">
        <w:rPr>
          <w:rFonts w:ascii="Times New Roman" w:hAnsi="Times New Roman" w:cs="Times New Roman"/>
          <w:sz w:val="24"/>
          <w:szCs w:val="24"/>
        </w:rPr>
        <w:t>Department of Bioinformatics, Stella Maris College, Chennai, Tamil</w:t>
      </w:r>
      <w:r w:rsidR="00E82CCD">
        <w:rPr>
          <w:rFonts w:ascii="Times New Roman" w:hAnsi="Times New Roman" w:cs="Times New Roman"/>
          <w:sz w:val="24"/>
          <w:szCs w:val="24"/>
        </w:rPr>
        <w:t xml:space="preserve"> </w:t>
      </w:r>
      <w:r w:rsidR="00E82CCD" w:rsidRPr="00E16736">
        <w:rPr>
          <w:rFonts w:ascii="Times New Roman" w:hAnsi="Times New Roman" w:cs="Times New Roman"/>
          <w:sz w:val="24"/>
          <w:szCs w:val="24"/>
        </w:rPr>
        <w:t>Nadu, India. Between November 2023 and March 2024.</w:t>
      </w:r>
      <w:r w:rsidR="009A4F56">
        <w:rPr>
          <w:rFonts w:ascii="Times New Roman" w:hAnsi="Times New Roman" w:cs="Times New Roman"/>
          <w:sz w:val="24"/>
          <w:szCs w:val="24"/>
        </w:rPr>
        <w:t xml:space="preserve"> </w:t>
      </w:r>
      <w:r w:rsidRPr="00D442A6">
        <w:rPr>
          <w:rFonts w:ascii="Times New Roman" w:hAnsi="Times New Roman" w:cs="Times New Roman"/>
          <w:sz w:val="24"/>
          <w:szCs w:val="24"/>
        </w:rPr>
        <w:t xml:space="preserve">Differential </w:t>
      </w:r>
      <w:r w:rsidRPr="00D442A6">
        <w:rPr>
          <w:rFonts w:ascii="Times New Roman" w:eastAsia="Times New Roman" w:hAnsi="Times New Roman" w:cs="Times New Roman"/>
          <w:sz w:val="24"/>
          <w:szCs w:val="24"/>
          <w:highlight w:val="white"/>
        </w:rPr>
        <w:t xml:space="preserve">Gene expression </w:t>
      </w:r>
      <w:r w:rsidRPr="00D442A6">
        <w:rPr>
          <w:rFonts w:ascii="Times New Roman" w:eastAsia="Times New Roman" w:hAnsi="Times New Roman" w:cs="Times New Roman"/>
          <w:sz w:val="24"/>
          <w:szCs w:val="24"/>
        </w:rPr>
        <w:t xml:space="preserve">analysis was carried out </w:t>
      </w:r>
      <w:r w:rsidRPr="00D442A6">
        <w:rPr>
          <w:rFonts w:ascii="Times New Roman" w:eastAsia="Times New Roman" w:hAnsi="Times New Roman" w:cs="Times New Roman"/>
          <w:sz w:val="24"/>
          <w:szCs w:val="24"/>
          <w:highlight w:val="white"/>
        </w:rPr>
        <w:t>across different stages of colon adenocarcinoma.</w:t>
      </w:r>
      <w:r w:rsidRPr="00D442A6">
        <w:rPr>
          <w:rFonts w:ascii="Times New Roman" w:eastAsia="Times New Roman" w:hAnsi="Times New Roman" w:cs="Times New Roman"/>
          <w:sz w:val="24"/>
          <w:szCs w:val="24"/>
        </w:rPr>
        <w:t xml:space="preserve"> This was followed by Gene ontology analysis, Pathway enrichment analysis, Protein interaction network analysis, Biomarker screening and Molecular Docking. </w:t>
      </w:r>
    </w:p>
    <w:p w14:paraId="2B1E642E" w14:textId="77777777" w:rsidR="00D442A6" w:rsidRPr="00E16736" w:rsidRDefault="00D442A6" w:rsidP="00BE4050">
      <w:pPr>
        <w:spacing w:line="480" w:lineRule="auto"/>
        <w:jc w:val="both"/>
        <w:rPr>
          <w:rFonts w:ascii="Times New Roman" w:eastAsia="Times New Roman" w:hAnsi="Times New Roman" w:cs="Times New Roman"/>
          <w:sz w:val="24"/>
          <w:szCs w:val="24"/>
          <w:highlight w:val="white"/>
        </w:rPr>
      </w:pPr>
      <w:r w:rsidRPr="003C559A">
        <w:rPr>
          <w:rFonts w:ascii="Times New Roman" w:hAnsi="Times New Roman" w:cs="Times New Roman"/>
          <w:b/>
          <w:sz w:val="24"/>
          <w:szCs w:val="24"/>
        </w:rPr>
        <w:t>Results:</w:t>
      </w:r>
      <w:r w:rsidRPr="00E16736">
        <w:rPr>
          <w:rFonts w:ascii="Times New Roman" w:hAnsi="Times New Roman" w:cs="Times New Roman"/>
          <w:sz w:val="24"/>
          <w:szCs w:val="24"/>
        </w:rPr>
        <w:t xml:space="preserve"> </w:t>
      </w:r>
      <w:r w:rsidRPr="00E16736">
        <w:rPr>
          <w:rFonts w:ascii="Times New Roman" w:eastAsia="Times New Roman" w:hAnsi="Times New Roman" w:cs="Times New Roman"/>
          <w:sz w:val="24"/>
          <w:szCs w:val="24"/>
          <w:highlight w:val="white"/>
        </w:rPr>
        <w:t xml:space="preserve">Gene expression profiling revealed differential expression of key genes (CXCL1, CXCL2, CXCL3, COL1A1, COL1A2) across different stages of colon adenocarcinoma. Notably, early-stage samples exhibited elevated expression of CXCL genes, while MMP1 and MMP3 were upregulated in advanced stages. Gene Ontology analysis highlighted enrichment in processes related to extracellular matrix organization and proteolysis. Prognostic biomarkers, </w:t>
      </w:r>
      <w:r w:rsidRPr="00E16736">
        <w:rPr>
          <w:rFonts w:ascii="Times New Roman" w:eastAsia="Times New Roman" w:hAnsi="Times New Roman" w:cs="Times New Roman"/>
          <w:sz w:val="24"/>
          <w:szCs w:val="24"/>
          <w:highlight w:val="white"/>
        </w:rPr>
        <w:lastRenderedPageBreak/>
        <w:t xml:space="preserve">neurotransmitters, neuropeptides, and intracellular signaling pathways were identified for the CRC survival prediction. Protein-protein interaction network analysis identified key modules, unveiling protein clusters for further investigation. Molecular docking analysis targeting CRC-associated proteins CXCL2 and CXCL3 identified potential therapeutic compounds with high affinity, including Isorhamnetin, Kaempferol, Jaranol, Curcumin, Epigallocatechingallate, Hesperidin, Resveratrol, Liquiritin, and Baicalin. </w:t>
      </w:r>
    </w:p>
    <w:p w14:paraId="47F61240" w14:textId="77777777" w:rsidR="008324D6" w:rsidRPr="00D442A6" w:rsidRDefault="00D442A6" w:rsidP="00BE4050">
      <w:pPr>
        <w:spacing w:line="480" w:lineRule="auto"/>
        <w:jc w:val="both"/>
        <w:rPr>
          <w:rFonts w:ascii="Times New Roman" w:hAnsi="Times New Roman" w:cs="Times New Roman"/>
          <w:sz w:val="24"/>
          <w:szCs w:val="24"/>
        </w:rPr>
      </w:pPr>
      <w:r w:rsidRPr="003C559A">
        <w:rPr>
          <w:rFonts w:ascii="Times New Roman" w:eastAsia="Times New Roman" w:hAnsi="Times New Roman" w:cs="Times New Roman"/>
          <w:b/>
          <w:sz w:val="24"/>
          <w:szCs w:val="24"/>
          <w:highlight w:val="white"/>
        </w:rPr>
        <w:t>Conclusion:</w:t>
      </w:r>
      <w:r w:rsidRPr="00E16736">
        <w:rPr>
          <w:rFonts w:ascii="Times New Roman" w:eastAsia="Times New Roman" w:hAnsi="Times New Roman" w:cs="Times New Roman"/>
          <w:sz w:val="24"/>
          <w:szCs w:val="24"/>
          <w:highlight w:val="white"/>
        </w:rPr>
        <w:t xml:space="preserve"> This comprehensive analysis provided valuable insights into the molecular landscape of CRC, identifying potential therapeutic targets and prognostic markers for precision medicine strategies in CRC management.</w:t>
      </w:r>
    </w:p>
    <w:p w14:paraId="4626FD69" w14:textId="77777777" w:rsidR="008324D6" w:rsidRPr="00D01553" w:rsidRDefault="008324D6" w:rsidP="00CE77FE">
      <w:pPr>
        <w:pStyle w:val="NoSpacing"/>
        <w:spacing w:line="480" w:lineRule="auto"/>
        <w:jc w:val="both"/>
        <w:rPr>
          <w:rFonts w:ascii="Times New Roman" w:hAnsi="Times New Roman" w:cs="Times New Roman"/>
          <w:bCs/>
          <w:sz w:val="24"/>
          <w:szCs w:val="24"/>
        </w:rPr>
      </w:pPr>
      <w:r w:rsidRPr="00833865">
        <w:rPr>
          <w:rFonts w:ascii="Times New Roman" w:hAnsi="Times New Roman" w:cs="Times New Roman"/>
          <w:b/>
          <w:sz w:val="24"/>
          <w:szCs w:val="24"/>
        </w:rPr>
        <w:t xml:space="preserve">Keywords: </w:t>
      </w:r>
      <w:r w:rsidRPr="00D01553">
        <w:rPr>
          <w:rFonts w:ascii="Times New Roman" w:hAnsi="Times New Roman" w:cs="Times New Roman"/>
          <w:bCs/>
          <w:sz w:val="24"/>
          <w:szCs w:val="24"/>
        </w:rPr>
        <w:t>Colorectal cancer, Prognostic biomarkers, Differential gen</w:t>
      </w:r>
      <w:r w:rsidR="00D01553">
        <w:rPr>
          <w:rFonts w:ascii="Times New Roman" w:hAnsi="Times New Roman" w:cs="Times New Roman"/>
          <w:bCs/>
          <w:sz w:val="24"/>
          <w:szCs w:val="24"/>
        </w:rPr>
        <w:t>e expression, Molecu</w:t>
      </w:r>
      <w:r w:rsidR="007B776D">
        <w:rPr>
          <w:rFonts w:ascii="Times New Roman" w:hAnsi="Times New Roman" w:cs="Times New Roman"/>
          <w:bCs/>
          <w:sz w:val="24"/>
          <w:szCs w:val="24"/>
        </w:rPr>
        <w:t xml:space="preserve">lar Docking, Precision medicine. </w:t>
      </w:r>
    </w:p>
    <w:p w14:paraId="64DEA960" w14:textId="77777777" w:rsidR="00481961" w:rsidRPr="00481961" w:rsidRDefault="00481961" w:rsidP="00481961">
      <w:pPr>
        <w:spacing w:line="480" w:lineRule="auto"/>
        <w:rPr>
          <w:rFonts w:ascii="Times New Roman" w:eastAsia="Times New Roman" w:hAnsi="Times New Roman" w:cs="Times New Roman"/>
          <w:color w:val="0D0D0D"/>
          <w:sz w:val="24"/>
          <w:szCs w:val="24"/>
        </w:rPr>
      </w:pPr>
    </w:p>
    <w:p w14:paraId="4D14A4B6" w14:textId="0576DD53" w:rsidR="00313EF8" w:rsidRPr="009D4F65" w:rsidRDefault="00313EF8" w:rsidP="00481961">
      <w:pPr>
        <w:spacing w:line="480" w:lineRule="auto"/>
        <w:jc w:val="both"/>
        <w:rPr>
          <w:rFonts w:ascii="Times New Roman" w:eastAsia="Times New Roman" w:hAnsi="Times New Roman" w:cs="Times New Roman"/>
          <w:b/>
          <w:sz w:val="24"/>
          <w:szCs w:val="24"/>
        </w:rPr>
      </w:pPr>
      <w:r w:rsidRPr="009D4F65">
        <w:rPr>
          <w:rFonts w:ascii="Times New Roman" w:eastAsia="Times New Roman" w:hAnsi="Times New Roman" w:cs="Times New Roman"/>
          <w:b/>
          <w:sz w:val="24"/>
          <w:szCs w:val="24"/>
        </w:rPr>
        <w:t>1.</w:t>
      </w:r>
      <w:r w:rsidR="009A4AF6">
        <w:rPr>
          <w:rFonts w:ascii="Times New Roman" w:eastAsia="Times New Roman" w:hAnsi="Times New Roman" w:cs="Times New Roman"/>
          <w:b/>
          <w:sz w:val="24"/>
          <w:szCs w:val="24"/>
        </w:rPr>
        <w:t xml:space="preserve"> </w:t>
      </w:r>
      <w:r w:rsidRPr="009D4F65">
        <w:rPr>
          <w:rFonts w:ascii="Times New Roman" w:eastAsia="Times New Roman" w:hAnsi="Times New Roman" w:cs="Times New Roman"/>
          <w:b/>
          <w:sz w:val="24"/>
          <w:szCs w:val="24"/>
        </w:rPr>
        <w:t xml:space="preserve">Introduction </w:t>
      </w:r>
    </w:p>
    <w:p w14:paraId="77C02C9B" w14:textId="0BE68C55" w:rsidR="008C20A0" w:rsidRPr="0079583C" w:rsidRDefault="00B9419B" w:rsidP="008C20A0">
      <w:pPr>
        <w:spacing w:line="480" w:lineRule="auto"/>
        <w:jc w:val="both"/>
        <w:rPr>
          <w:rFonts w:ascii="Times New Roman" w:eastAsia="Times New Roman" w:hAnsi="Times New Roman" w:cs="Times New Roman"/>
          <w:bCs/>
          <w:sz w:val="24"/>
          <w:szCs w:val="24"/>
          <w:highlight w:val="yellow"/>
          <w:lang w:val="en-US"/>
        </w:rPr>
      </w:pPr>
      <w:r w:rsidRPr="0079583C">
        <w:rPr>
          <w:rFonts w:ascii="Times New Roman" w:eastAsia="Times New Roman" w:hAnsi="Times New Roman" w:cs="Times New Roman"/>
          <w:sz w:val="24"/>
          <w:szCs w:val="24"/>
          <w:highlight w:val="yellow"/>
        </w:rPr>
        <w:t>Colorectal cancer (CRC) is classified as one of the most prevalent cancer types worldwide, with high morbidity and mortality rates. Patients of CRC have been shown to express a detectable cytokine in serum which contributes to cancer pathogenesis (</w:t>
      </w:r>
      <w:r w:rsidR="00991542" w:rsidRPr="0079583C">
        <w:rPr>
          <w:rFonts w:ascii="Times New Roman" w:hAnsi="Times New Roman" w:cs="Times New Roman"/>
          <w:sz w:val="24"/>
          <w:szCs w:val="24"/>
          <w:highlight w:val="yellow"/>
          <w:lang w:val="en-GB"/>
        </w:rPr>
        <w:t>Hamad et al., 2021</w:t>
      </w:r>
      <w:r w:rsidRPr="0079583C">
        <w:rPr>
          <w:rFonts w:ascii="Times New Roman" w:eastAsia="Times New Roman" w:hAnsi="Times New Roman" w:cs="Times New Roman"/>
          <w:sz w:val="24"/>
          <w:szCs w:val="24"/>
          <w:highlight w:val="yellow"/>
        </w:rPr>
        <w:t>).</w:t>
      </w:r>
      <w:r w:rsidRPr="00B9419B">
        <w:rPr>
          <w:rFonts w:ascii="Times New Roman" w:eastAsia="Times New Roman" w:hAnsi="Times New Roman" w:cs="Times New Roman"/>
          <w:sz w:val="24"/>
          <w:szCs w:val="24"/>
        </w:rPr>
        <w:t> </w:t>
      </w:r>
      <w:r w:rsidR="00517FA8" w:rsidRPr="000244B0">
        <w:rPr>
          <w:rFonts w:ascii="Times New Roman" w:eastAsia="Times New Roman" w:hAnsi="Times New Roman" w:cs="Times New Roman"/>
          <w:sz w:val="24"/>
          <w:szCs w:val="24"/>
        </w:rPr>
        <w:t xml:space="preserve">Colorectal cancer is a multifaceted disease with complex molecular mechanisms influencing its onset and progression. CRC has been observed to exhibit familial clustering patterns since the early 1900s. Like the majority of cancers, colorectal cancer can develop as a result of mutations in specific genes. Oncogenes, tumor suppressor genes, and genes involved in DNA repair pathways might all possess these modifications. Colorectal carcinomas can be classified as sporadic, hereditary, or familial based on where the mutation originated. Sporadic tumors, which are about 70% of all colorectal cancers, are malignancies caused by point mutations. Because multiple genes might be </w:t>
      </w:r>
      <w:r w:rsidR="00517FA8" w:rsidRPr="000244B0">
        <w:rPr>
          <w:rFonts w:ascii="Times New Roman" w:eastAsia="Times New Roman" w:hAnsi="Times New Roman" w:cs="Times New Roman"/>
          <w:sz w:val="24"/>
          <w:szCs w:val="24"/>
        </w:rPr>
        <w:lastRenderedPageBreak/>
        <w:t xml:space="preserve">targeted by mutations, the molecular pathophysiology of sporadic cancer is different (Lynch and de la Chapelle, 2003). </w:t>
      </w:r>
      <w:r w:rsidR="008C20A0" w:rsidRPr="0079583C">
        <w:rPr>
          <w:rFonts w:ascii="Times New Roman" w:eastAsia="Times New Roman" w:hAnsi="Times New Roman" w:cs="Times New Roman"/>
          <w:bCs/>
          <w:sz w:val="24"/>
          <w:szCs w:val="24"/>
          <w:highlight w:val="yellow"/>
          <w:lang w:val="en-US"/>
        </w:rPr>
        <w:t>In 2020, according to GLOBOCAN, colorectal cancer ranked third in the number of new cancer cases reported worldwide, with 1,931,590 cases (10%), and second in the number of fatalities associated with malignancies, with 935,173 deaths (9.4%). The geographic</w:t>
      </w:r>
    </w:p>
    <w:p w14:paraId="4A09B6CB" w14:textId="113C98F2" w:rsidR="008C20A0" w:rsidRPr="0079583C" w:rsidRDefault="008C20A0" w:rsidP="008C20A0">
      <w:pPr>
        <w:spacing w:line="480" w:lineRule="auto"/>
        <w:jc w:val="both"/>
        <w:rPr>
          <w:rFonts w:ascii="Times New Roman" w:eastAsia="Times New Roman" w:hAnsi="Times New Roman" w:cs="Times New Roman"/>
          <w:bCs/>
          <w:sz w:val="24"/>
          <w:szCs w:val="24"/>
          <w:lang w:val="en-US"/>
        </w:rPr>
      </w:pPr>
      <w:r w:rsidRPr="0079583C">
        <w:rPr>
          <w:rFonts w:ascii="Times New Roman" w:eastAsia="Times New Roman" w:hAnsi="Times New Roman" w:cs="Times New Roman"/>
          <w:bCs/>
          <w:sz w:val="24"/>
          <w:szCs w:val="24"/>
          <w:highlight w:val="yellow"/>
          <w:lang w:val="en-US"/>
        </w:rPr>
        <w:t>variation in incidence and mortality rates is closely related to the distribution of risk factors for this cancer. A total of 54.2% of colorectal cancer fatalities occurred in Asia, 26.2% in Europe, 7.4% in Latin America and the Caribbean, 6.8% in North America, and 4.8% in Africa (</w:t>
      </w:r>
      <w:r w:rsidR="002F3774" w:rsidRPr="0079583C">
        <w:rPr>
          <w:rFonts w:ascii="Times New Roman" w:hAnsi="Times New Roman" w:cs="Times New Roman"/>
          <w:sz w:val="24"/>
          <w:szCs w:val="24"/>
          <w:highlight w:val="yellow"/>
          <w:lang w:val="en-US"/>
        </w:rPr>
        <w:t>Ionescu et al., 2023</w:t>
      </w:r>
      <w:r w:rsidRPr="0079583C">
        <w:rPr>
          <w:rFonts w:ascii="Times New Roman" w:eastAsia="Times New Roman" w:hAnsi="Times New Roman" w:cs="Times New Roman"/>
          <w:bCs/>
          <w:sz w:val="24"/>
          <w:szCs w:val="24"/>
          <w:highlight w:val="yellow"/>
          <w:lang w:val="en-US"/>
        </w:rPr>
        <w:t>).</w:t>
      </w:r>
    </w:p>
    <w:p w14:paraId="2BFFB5FB" w14:textId="71B67484" w:rsidR="00517FA8" w:rsidRDefault="00517FA8" w:rsidP="00517FA8">
      <w:pPr>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Less than five percent of cases of colorectal cancers belong to the hereditary type. These malignancies are brought on by hereditary mutations that inevitably lead to the growth of cancer cells. Familial colorectal cancer is a condition where there is a higher chance of the disease developing within a family, especially among first-degree relatives (Johns and Houlston, 2001). Patients with ulcerative colitis have a 3.7% increased risk of acquiring colorectal cancer, and those with Crohn's disease have a 2.5% increased risk (Eaden et al 2001). Colorectal cancer claims the lives of over a million people worldwide, annihilating over half a million. In Europe, CRC ranked third among aggressive cancer types in both men and women (Seigal et al, 2013). With thousands of new cases and fatalities expected in the upcoming years, the current prospects are not that promising (Marmol et al, 2017). It is therefore extremely important to understand the progressive mechanism of this disease and to find new solutions to treat the patients.</w:t>
      </w:r>
    </w:p>
    <w:p w14:paraId="0BF52C30" w14:textId="115D81A2" w:rsidR="00517FA8" w:rsidRPr="00517FA8" w:rsidRDefault="00517FA8" w:rsidP="00517FA8">
      <w:pPr>
        <w:spacing w:line="480" w:lineRule="auto"/>
        <w:jc w:val="both"/>
        <w:rPr>
          <w:rFonts w:ascii="Times New Roman" w:eastAsia="Times New Roman" w:hAnsi="Times New Roman" w:cs="Times New Roman"/>
          <w:b/>
          <w:sz w:val="24"/>
          <w:szCs w:val="24"/>
        </w:rPr>
      </w:pPr>
      <w:r w:rsidRPr="000244B0">
        <w:rPr>
          <w:rFonts w:ascii="Times New Roman" w:eastAsia="Times New Roman" w:hAnsi="Times New Roman" w:cs="Times New Roman"/>
          <w:sz w:val="24"/>
          <w:szCs w:val="24"/>
        </w:rPr>
        <w:t xml:space="preserve">Tests leveraging gene expression profiling and biomarker identifications are growing progressively more common these days. These techniques help in examining the expression of genes in samples of tumor and normal tissue, as well as samples from various disease stages. Various findings from this field of research helped in developing novel therapeutics in oncology </w:t>
      </w:r>
      <w:r w:rsidRPr="000244B0">
        <w:rPr>
          <w:rFonts w:ascii="Times New Roman" w:eastAsia="Times New Roman" w:hAnsi="Times New Roman" w:cs="Times New Roman"/>
          <w:sz w:val="24"/>
          <w:szCs w:val="24"/>
        </w:rPr>
        <w:lastRenderedPageBreak/>
        <w:t xml:space="preserve">(Boland and Lynch, 2013). </w:t>
      </w:r>
      <w:r w:rsidR="001C5294" w:rsidRPr="0079583C">
        <w:rPr>
          <w:rFonts w:ascii="Times New Roman" w:eastAsia="Times New Roman" w:hAnsi="Times New Roman" w:cs="Times New Roman"/>
          <w:sz w:val="24"/>
          <w:szCs w:val="24"/>
          <w:highlight w:val="yellow"/>
        </w:rPr>
        <w:t xml:space="preserve">Significant progress has been achieved in the treatment of colorectal cancer patients during the last 20 years. There are currently numerous treatments available for the first-line treatment of mCRC. Sophisticated molecular technologies have been developed to reveal novel prognostic and predictive biomarkers for colorectal cancer. The development of next-generation sequencing and whole-exome sequencing, which are strong new tools for the discovery of predictive molecular biomarkers to facilitate the delivery of customized treatment, has resulted in tremendous breakthroughs in DNA sequencing technology in recent years </w:t>
      </w:r>
      <w:r w:rsidR="004662B0">
        <w:rPr>
          <w:rFonts w:ascii="Times New Roman" w:eastAsia="Times New Roman" w:hAnsi="Times New Roman" w:cs="Times New Roman"/>
          <w:sz w:val="24"/>
          <w:szCs w:val="24"/>
          <w:highlight w:val="yellow"/>
        </w:rPr>
        <w:t xml:space="preserve"> </w:t>
      </w:r>
      <w:r w:rsidR="001C5294" w:rsidRPr="0079583C">
        <w:rPr>
          <w:rFonts w:ascii="Times New Roman" w:eastAsia="Times New Roman" w:hAnsi="Times New Roman" w:cs="Times New Roman"/>
          <w:sz w:val="24"/>
          <w:szCs w:val="24"/>
          <w:highlight w:val="yellow"/>
        </w:rPr>
        <w:t>(</w:t>
      </w:r>
      <w:r w:rsidR="009A4AF6" w:rsidRPr="009A4AF6">
        <w:rPr>
          <w:rFonts w:ascii="Times New Roman" w:eastAsia="Times New Roman" w:hAnsi="Times New Roman" w:cs="Times New Roman"/>
          <w:sz w:val="24"/>
          <w:szCs w:val="24"/>
          <w:highlight w:val="yellow"/>
        </w:rPr>
        <w:t>Leowattana</w:t>
      </w:r>
      <w:r w:rsidR="009A4AF6">
        <w:rPr>
          <w:rFonts w:ascii="Times New Roman" w:eastAsia="Times New Roman" w:hAnsi="Times New Roman" w:cs="Times New Roman"/>
          <w:sz w:val="24"/>
          <w:szCs w:val="24"/>
          <w:highlight w:val="yellow"/>
        </w:rPr>
        <w:t xml:space="preserve"> et al., 2023</w:t>
      </w:r>
      <w:r w:rsidR="00155619">
        <w:rPr>
          <w:rFonts w:ascii="Times New Roman" w:eastAsia="Times New Roman" w:hAnsi="Times New Roman" w:cs="Times New Roman"/>
          <w:sz w:val="24"/>
          <w:szCs w:val="24"/>
          <w:highlight w:val="yellow"/>
        </w:rPr>
        <w:t xml:space="preserve">; </w:t>
      </w:r>
      <w:r w:rsidR="000512A0" w:rsidRPr="000512A0">
        <w:rPr>
          <w:rFonts w:ascii="Times New Roman" w:eastAsia="Times New Roman" w:hAnsi="Times New Roman" w:cs="Times New Roman"/>
          <w:sz w:val="24"/>
          <w:szCs w:val="24"/>
          <w:highlight w:val="yellow"/>
        </w:rPr>
        <w:t>Cervantes</w:t>
      </w:r>
      <w:r w:rsidR="000512A0">
        <w:rPr>
          <w:rFonts w:ascii="Times New Roman" w:eastAsia="Times New Roman" w:hAnsi="Times New Roman" w:cs="Times New Roman"/>
          <w:sz w:val="24"/>
          <w:szCs w:val="24"/>
          <w:highlight w:val="yellow"/>
        </w:rPr>
        <w:t xml:space="preserve"> et al., 2023</w:t>
      </w:r>
      <w:r w:rsidR="001C5294" w:rsidRPr="0079583C">
        <w:rPr>
          <w:rFonts w:ascii="Times New Roman" w:eastAsia="Times New Roman" w:hAnsi="Times New Roman" w:cs="Times New Roman"/>
          <w:sz w:val="24"/>
          <w:szCs w:val="24"/>
          <w:highlight w:val="yellow"/>
        </w:rPr>
        <w:t>).</w:t>
      </w:r>
      <w:r w:rsidR="001C5294">
        <w:rPr>
          <w:rFonts w:ascii="Times New Roman" w:eastAsia="Times New Roman" w:hAnsi="Times New Roman" w:cs="Times New Roman"/>
          <w:sz w:val="24"/>
          <w:szCs w:val="24"/>
        </w:rPr>
        <w:t xml:space="preserve"> </w:t>
      </w:r>
      <w:r w:rsidRPr="000244B0">
        <w:rPr>
          <w:rFonts w:ascii="Times New Roman" w:eastAsia="Times New Roman" w:hAnsi="Times New Roman" w:cs="Times New Roman"/>
          <w:sz w:val="24"/>
          <w:szCs w:val="24"/>
        </w:rPr>
        <w:t xml:space="preserve">These comparative studies are considered to be a valuable source of information concerning the disease prognosis and the most effective course of action for individual patients (Bertucci et al., 2004). The identification of critical genetic or epigenetic changes in carcinogenesis, tumor growth, metastasis, and recurrence, as well as promising cancer biomarkers for diagnosis, prognosis, and treatment prediction, have been made easier by significant advances in microarray and high-throughput sequencing technologies. Integrated bioinformatics analysis, a comprehensive strategy to increase sample size, unify cross-platform standardization of expression profiles, and eliminate invalid raw data, has been widely adopted to identify </w:t>
      </w:r>
      <w:r w:rsidR="00481961">
        <w:rPr>
          <w:rFonts w:ascii="Times New Roman" w:eastAsia="Times New Roman" w:hAnsi="Times New Roman" w:cs="Times New Roman"/>
          <w:sz w:val="24"/>
          <w:szCs w:val="24"/>
        </w:rPr>
        <w:t>DEGs (Differentially Expressed G</w:t>
      </w:r>
      <w:r w:rsidR="00481961" w:rsidRPr="000244B0">
        <w:rPr>
          <w:rFonts w:ascii="Times New Roman" w:eastAsia="Times New Roman" w:hAnsi="Times New Roman" w:cs="Times New Roman"/>
          <w:sz w:val="24"/>
          <w:szCs w:val="24"/>
        </w:rPr>
        <w:t>enes</w:t>
      </w:r>
      <w:r w:rsidR="00481961">
        <w:rPr>
          <w:rFonts w:ascii="Times New Roman" w:eastAsia="Times New Roman" w:hAnsi="Times New Roman" w:cs="Times New Roman"/>
          <w:sz w:val="24"/>
          <w:szCs w:val="24"/>
        </w:rPr>
        <w:t>)</w:t>
      </w:r>
      <w:r w:rsidRPr="000244B0">
        <w:rPr>
          <w:rFonts w:ascii="Times New Roman" w:eastAsia="Times New Roman" w:hAnsi="Times New Roman" w:cs="Times New Roman"/>
          <w:sz w:val="24"/>
          <w:szCs w:val="24"/>
        </w:rPr>
        <w:t xml:space="preserve"> at mRNA and non-coding RNA level in </w:t>
      </w:r>
      <w:r w:rsidR="00481961">
        <w:rPr>
          <w:rFonts w:ascii="Times New Roman" w:eastAsia="Times New Roman" w:hAnsi="Times New Roman" w:cs="Times New Roman"/>
          <w:sz w:val="24"/>
          <w:szCs w:val="24"/>
        </w:rPr>
        <w:t>CRC</w:t>
      </w:r>
      <w:r w:rsidRPr="000244B0">
        <w:rPr>
          <w:rFonts w:ascii="Times New Roman" w:eastAsia="Times New Roman" w:hAnsi="Times New Roman" w:cs="Times New Roman"/>
          <w:sz w:val="24"/>
          <w:szCs w:val="24"/>
        </w:rPr>
        <w:t xml:space="preserve"> to overcome the limitations and obtain convincing results (Lech et al.,</w:t>
      </w:r>
      <w:r w:rsidR="00BE4050">
        <w:rPr>
          <w:rFonts w:ascii="Times New Roman" w:eastAsia="Times New Roman" w:hAnsi="Times New Roman" w:cs="Times New Roman"/>
          <w:sz w:val="24"/>
          <w:szCs w:val="24"/>
        </w:rPr>
        <w:t xml:space="preserve"> </w:t>
      </w:r>
      <w:r w:rsidRPr="000244B0">
        <w:rPr>
          <w:rFonts w:ascii="Times New Roman" w:eastAsia="Times New Roman" w:hAnsi="Times New Roman" w:cs="Times New Roman"/>
          <w:sz w:val="24"/>
          <w:szCs w:val="24"/>
        </w:rPr>
        <w:t>2014).</w:t>
      </w:r>
    </w:p>
    <w:p w14:paraId="57ACE449" w14:textId="77777777" w:rsidR="00926076" w:rsidRDefault="00517FA8" w:rsidP="00BE4050">
      <w:pPr>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 xml:space="preserve">This study endeavors to dive into the intricate molecular landscape of CRC, employing a multifaceted approach merging bioinformatics analyses and computational tools. Through this comprehensive investigation, the study aims to achieve several key objectives: Firstly, it seeks to elucidate the gene expression patterns and molecular interactions pivotal in CRC development, to identify novel therapeutic targets and prognostic biomarkers. Furthermore, it endeavors to unravel the enriched Gene Ontology categories related to upregulated and downregulated </w:t>
      </w:r>
      <w:r w:rsidR="00481961">
        <w:rPr>
          <w:rFonts w:ascii="Times New Roman" w:eastAsia="Times New Roman" w:hAnsi="Times New Roman" w:cs="Times New Roman"/>
          <w:sz w:val="24"/>
          <w:szCs w:val="24"/>
        </w:rPr>
        <w:t>DEGs</w:t>
      </w:r>
      <w:r w:rsidRPr="000244B0">
        <w:rPr>
          <w:rFonts w:ascii="Times New Roman" w:eastAsia="Times New Roman" w:hAnsi="Times New Roman" w:cs="Times New Roman"/>
          <w:sz w:val="24"/>
          <w:szCs w:val="24"/>
        </w:rPr>
        <w:t xml:space="preserve"> in CRC, </w:t>
      </w:r>
      <w:r w:rsidRPr="000244B0">
        <w:rPr>
          <w:rFonts w:ascii="Times New Roman" w:eastAsia="Times New Roman" w:hAnsi="Times New Roman" w:cs="Times New Roman"/>
          <w:sz w:val="24"/>
          <w:szCs w:val="24"/>
        </w:rPr>
        <w:lastRenderedPageBreak/>
        <w:t>thereby shedding light on the biological processes, molecular functions, and cellular components implicated in CRC pathogenesis. The study focuses on the identification of prognostic biomarkers crucial for predicting CRC survival outcomes. Through the exploration of protein-protein interaction networks, it aims to unveil key modules and signaling pathways intricately involved in CRC progression. By combining computational analyses, molecular docking and bioinformatics approaches, this study aspires to offer valuable insights into the molecular landscape of CRC. Ultimately, these insights are intended to contribute to the advancement of precision medicine strategies for more effective CRC management to improve patient outcomes and quality of life.</w:t>
      </w:r>
    </w:p>
    <w:p w14:paraId="1EBE9CDD" w14:textId="77777777" w:rsidR="00313EF8" w:rsidRDefault="00E87483" w:rsidP="00E87483">
      <w:pPr>
        <w:spacing w:line="480" w:lineRule="auto"/>
        <w:rPr>
          <w:rFonts w:ascii="Times New Roman" w:eastAsia="Times New Roman" w:hAnsi="Times New Roman" w:cs="Times New Roman"/>
          <w:b/>
          <w:sz w:val="24"/>
          <w:szCs w:val="24"/>
        </w:rPr>
      </w:pPr>
      <w:r w:rsidRPr="009D4F65">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Materials</w:t>
      </w:r>
      <w:r w:rsidRPr="009D4F65">
        <w:rPr>
          <w:rFonts w:ascii="Times New Roman" w:eastAsia="Times New Roman" w:hAnsi="Times New Roman" w:cs="Times New Roman"/>
          <w:b/>
          <w:sz w:val="24"/>
          <w:szCs w:val="24"/>
        </w:rPr>
        <w:t xml:space="preserve"> and Method</w:t>
      </w:r>
      <w:r>
        <w:rPr>
          <w:rFonts w:ascii="Times New Roman" w:eastAsia="Times New Roman" w:hAnsi="Times New Roman" w:cs="Times New Roman"/>
          <w:b/>
          <w:sz w:val="24"/>
          <w:szCs w:val="24"/>
        </w:rPr>
        <w:t>s</w:t>
      </w:r>
    </w:p>
    <w:p w14:paraId="119483AF" w14:textId="77777777" w:rsidR="00E87483" w:rsidRPr="000244B0" w:rsidRDefault="00E87483" w:rsidP="00E87483">
      <w:pPr>
        <w:widowControl w:val="0"/>
        <w:spacing w:before="240" w:after="240" w:line="480" w:lineRule="auto"/>
        <w:jc w:val="center"/>
        <w:rPr>
          <w:rFonts w:ascii="Times New Roman" w:eastAsia="Times New Roman" w:hAnsi="Times New Roman" w:cs="Times New Roman"/>
          <w:b/>
          <w:sz w:val="24"/>
          <w:szCs w:val="24"/>
        </w:rPr>
      </w:pPr>
      <w:r w:rsidRPr="000244B0">
        <w:rPr>
          <w:rFonts w:ascii="Times New Roman" w:eastAsia="Times New Roman" w:hAnsi="Times New Roman" w:cs="Times New Roman"/>
          <w:b/>
          <w:noProof/>
          <w:sz w:val="24"/>
          <w:szCs w:val="24"/>
          <w:lang w:val="en-US"/>
        </w:rPr>
        <w:drawing>
          <wp:inline distT="114300" distB="114300" distL="114300" distR="114300" wp14:anchorId="6AA2AA8B" wp14:editId="7D7598B8">
            <wp:extent cx="3657600" cy="2324100"/>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8"/>
                    <a:srcRect b="8117"/>
                    <a:stretch>
                      <a:fillRect/>
                    </a:stretch>
                  </pic:blipFill>
                  <pic:spPr>
                    <a:xfrm>
                      <a:off x="0" y="0"/>
                      <a:ext cx="3657600" cy="2324100"/>
                    </a:xfrm>
                    <a:prstGeom prst="rect">
                      <a:avLst/>
                    </a:prstGeom>
                    <a:ln/>
                  </pic:spPr>
                </pic:pic>
              </a:graphicData>
            </a:graphic>
          </wp:inline>
        </w:drawing>
      </w:r>
    </w:p>
    <w:p w14:paraId="098C894C" w14:textId="77777777" w:rsidR="00E87483" w:rsidRPr="000244B0" w:rsidRDefault="00E87483" w:rsidP="00E87483">
      <w:pPr>
        <w:widowControl w:val="0"/>
        <w:spacing w:before="240" w:after="240" w:line="480" w:lineRule="auto"/>
        <w:jc w:val="center"/>
        <w:rPr>
          <w:rFonts w:ascii="Times New Roman" w:eastAsia="Times New Roman" w:hAnsi="Times New Roman" w:cs="Times New Roman"/>
          <w:b/>
          <w:sz w:val="24"/>
          <w:szCs w:val="24"/>
        </w:rPr>
      </w:pPr>
      <w:r w:rsidRPr="000244B0">
        <w:rPr>
          <w:rFonts w:ascii="Times New Roman" w:eastAsia="Times New Roman" w:hAnsi="Times New Roman" w:cs="Times New Roman"/>
          <w:sz w:val="24"/>
          <w:szCs w:val="24"/>
        </w:rPr>
        <w:t xml:space="preserve">Figure 1: </w:t>
      </w:r>
      <w:r w:rsidR="00135256">
        <w:rPr>
          <w:rFonts w:ascii="Times New Roman" w:eastAsia="Times New Roman" w:hAnsi="Times New Roman" w:cs="Times New Roman"/>
          <w:sz w:val="24"/>
          <w:szCs w:val="24"/>
        </w:rPr>
        <w:t>Workflow of the study</w:t>
      </w:r>
    </w:p>
    <w:p w14:paraId="6F7BEF57" w14:textId="77777777" w:rsidR="00E87483" w:rsidRPr="00E87483" w:rsidRDefault="00E73814" w:rsidP="00E87483">
      <w:pPr>
        <w:widowControl w:val="0"/>
        <w:spacing w:before="240" w:after="240" w:line="480" w:lineRule="auto"/>
        <w:jc w:val="both"/>
        <w:rPr>
          <w:rFonts w:ascii="Times New Roman" w:eastAsia="Times New Roman" w:hAnsi="Times New Roman" w:cs="Times New Roman"/>
          <w:b/>
          <w:sz w:val="24"/>
          <w:szCs w:val="24"/>
        </w:rPr>
      </w:pPr>
      <w:r w:rsidRPr="009D4F65">
        <w:rPr>
          <w:rFonts w:ascii="Times New Roman" w:eastAsia="Times New Roman" w:hAnsi="Times New Roman" w:cs="Times New Roman"/>
          <w:b/>
          <w:color w:val="000000"/>
          <w:sz w:val="24"/>
          <w:szCs w:val="24"/>
        </w:rPr>
        <w:t xml:space="preserve">2.1. </w:t>
      </w:r>
      <w:r w:rsidR="00E87483" w:rsidRPr="00E87483">
        <w:rPr>
          <w:rFonts w:ascii="Times New Roman" w:eastAsia="Times New Roman" w:hAnsi="Times New Roman" w:cs="Times New Roman"/>
          <w:b/>
          <w:sz w:val="24"/>
          <w:szCs w:val="24"/>
        </w:rPr>
        <w:t>Data Collection</w:t>
      </w:r>
    </w:p>
    <w:p w14:paraId="0099C86E" w14:textId="32E18D92" w:rsidR="00E87483" w:rsidRPr="000244B0" w:rsidRDefault="00E87483" w:rsidP="00E87483">
      <w:pPr>
        <w:spacing w:line="480" w:lineRule="auto"/>
        <w:jc w:val="both"/>
        <w:rPr>
          <w:rFonts w:ascii="Times New Roman" w:eastAsia="Times New Roman" w:hAnsi="Times New Roman" w:cs="Times New Roman"/>
          <w:i/>
          <w:sz w:val="24"/>
          <w:szCs w:val="24"/>
        </w:rPr>
      </w:pPr>
      <w:r w:rsidRPr="000244B0">
        <w:rPr>
          <w:rFonts w:ascii="Times New Roman" w:eastAsia="Times New Roman" w:hAnsi="Times New Roman" w:cs="Times New Roman"/>
          <w:sz w:val="24"/>
          <w:szCs w:val="24"/>
        </w:rPr>
        <w:t xml:space="preserve">The microarray datasets GSE20916 and GSE14526 were retrieved from GEO </w:t>
      </w:r>
      <w:r w:rsidR="00E55898">
        <w:rPr>
          <w:rFonts w:ascii="Times New Roman" w:eastAsia="Times New Roman" w:hAnsi="Times New Roman" w:cs="Times New Roman"/>
          <w:sz w:val="24"/>
          <w:szCs w:val="24"/>
        </w:rPr>
        <w:t xml:space="preserve">(Gene Expression Omnibus) </w:t>
      </w:r>
      <w:r w:rsidRPr="000244B0">
        <w:rPr>
          <w:rFonts w:ascii="Times New Roman" w:eastAsia="Times New Roman" w:hAnsi="Times New Roman" w:cs="Times New Roman"/>
          <w:sz w:val="24"/>
          <w:szCs w:val="24"/>
        </w:rPr>
        <w:t xml:space="preserve">database. Both datasets are based on the Affymetrix GPL570 platform (Affymetrix Human Genome U133 Plus2.0 Array). On the other hand, the GSE184093 dataset </w:t>
      </w:r>
      <w:r w:rsidR="0057476D" w:rsidRPr="0079583C">
        <w:rPr>
          <w:rFonts w:ascii="Times New Roman" w:eastAsia="Times New Roman" w:hAnsi="Times New Roman" w:cs="Times New Roman"/>
          <w:sz w:val="24"/>
          <w:szCs w:val="24"/>
          <w:highlight w:val="yellow"/>
        </w:rPr>
        <w:t>is</w:t>
      </w:r>
      <w:r w:rsidR="0057476D" w:rsidRPr="000244B0">
        <w:rPr>
          <w:rFonts w:ascii="Times New Roman" w:eastAsia="Times New Roman" w:hAnsi="Times New Roman" w:cs="Times New Roman"/>
          <w:sz w:val="24"/>
          <w:szCs w:val="24"/>
        </w:rPr>
        <w:t xml:space="preserve"> </w:t>
      </w:r>
      <w:r w:rsidRPr="000244B0">
        <w:rPr>
          <w:rFonts w:ascii="Times New Roman" w:eastAsia="Times New Roman" w:hAnsi="Times New Roman" w:cs="Times New Roman"/>
          <w:sz w:val="24"/>
          <w:szCs w:val="24"/>
        </w:rPr>
        <w:t xml:space="preserve">from the Agilent GPL20115 platform. Collectively, these datasets encompass a total of 55 normal samples </w:t>
      </w:r>
      <w:r w:rsidRPr="000244B0">
        <w:rPr>
          <w:rFonts w:ascii="Times New Roman" w:eastAsia="Times New Roman" w:hAnsi="Times New Roman" w:cs="Times New Roman"/>
          <w:sz w:val="24"/>
          <w:szCs w:val="24"/>
        </w:rPr>
        <w:lastRenderedPageBreak/>
        <w:t>and 131 primary colorectal cancer samples, providing a diverse set of data for studying gene expression patterns and potential biomarkers associated with CRC (</w:t>
      </w:r>
      <w:r w:rsidRPr="000244B0">
        <w:rPr>
          <w:rFonts w:ascii="Times New Roman" w:eastAsia="Times New Roman" w:hAnsi="Times New Roman" w:cs="Times New Roman"/>
          <w:sz w:val="24"/>
          <w:szCs w:val="24"/>
          <w:highlight w:val="white"/>
        </w:rPr>
        <w:t>Diboun I et al.,2006).</w:t>
      </w:r>
    </w:p>
    <w:p w14:paraId="26AAE620" w14:textId="77777777" w:rsidR="00E87483" w:rsidRPr="00E87483" w:rsidRDefault="00E73814" w:rsidP="00E87483">
      <w:pPr>
        <w:spacing w:line="48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rPr>
        <w:t>2.2</w:t>
      </w:r>
      <w:r w:rsidRPr="009D4F65">
        <w:rPr>
          <w:rFonts w:ascii="Times New Roman" w:eastAsia="Times New Roman" w:hAnsi="Times New Roman" w:cs="Times New Roman"/>
          <w:b/>
          <w:color w:val="000000"/>
          <w:sz w:val="24"/>
          <w:szCs w:val="24"/>
        </w:rPr>
        <w:t xml:space="preserve">. </w:t>
      </w:r>
      <w:r w:rsidR="00E87483" w:rsidRPr="00E87483">
        <w:rPr>
          <w:rFonts w:ascii="Times New Roman" w:eastAsia="Times New Roman" w:hAnsi="Times New Roman" w:cs="Times New Roman"/>
          <w:b/>
          <w:sz w:val="24"/>
          <w:szCs w:val="24"/>
          <w:highlight w:val="white"/>
        </w:rPr>
        <w:t>Identification of DEGs</w:t>
      </w:r>
    </w:p>
    <w:p w14:paraId="054B1C04" w14:textId="1200EC04" w:rsidR="00E87483" w:rsidRPr="000244B0" w:rsidRDefault="00E87483" w:rsidP="00E87483">
      <w:pPr>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Differential gene expression analysis was done using </w:t>
      </w:r>
      <w:r w:rsidR="0057476D" w:rsidRPr="0079583C">
        <w:rPr>
          <w:rFonts w:ascii="Times New Roman" w:eastAsia="Times New Roman" w:hAnsi="Times New Roman" w:cs="Times New Roman"/>
          <w:sz w:val="24"/>
          <w:szCs w:val="24"/>
          <w:highlight w:val="yellow"/>
        </w:rPr>
        <w:t>the</w:t>
      </w:r>
      <w:r w:rsidR="0057476D">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sz w:val="24"/>
          <w:szCs w:val="24"/>
          <w:highlight w:val="white"/>
        </w:rPr>
        <w:t>Limma package in R software. Log2 transformation threshold of &gt; 2 for upregulated genes and &lt; 2 for downregulated genes was applied with a P-value cut off &lt;0.05 for the identification of statistically significant genes. A table of top significant genes, based on the defined statistical criteria</w:t>
      </w:r>
      <w:r w:rsidR="0057476D">
        <w:rPr>
          <w:rFonts w:ascii="Times New Roman" w:eastAsia="Times New Roman" w:hAnsi="Times New Roman" w:cs="Times New Roman"/>
          <w:sz w:val="24"/>
          <w:szCs w:val="24"/>
          <w:highlight w:val="white"/>
        </w:rPr>
        <w:t>,</w:t>
      </w:r>
      <w:r w:rsidRPr="000244B0">
        <w:rPr>
          <w:rFonts w:ascii="Times New Roman" w:eastAsia="Times New Roman" w:hAnsi="Times New Roman" w:cs="Times New Roman"/>
          <w:sz w:val="24"/>
          <w:szCs w:val="24"/>
          <w:highlight w:val="white"/>
        </w:rPr>
        <w:t xml:space="preserve"> highlighting the most relevant differentially expressed genes in the dataset was generated. The R software generated volcano plots highlighting all significant DEGs. Using the Morpheus online tool (</w:t>
      </w:r>
      <w:hyperlink r:id="rId9" w:history="1">
        <w:r w:rsidRPr="000244B0">
          <w:rPr>
            <w:rStyle w:val="Hyperlink"/>
            <w:rFonts w:ascii="Times New Roman" w:eastAsia="Times New Roman" w:hAnsi="Times New Roman" w:cs="Times New Roman"/>
            <w:sz w:val="24"/>
            <w:szCs w:val="24"/>
            <w:highlight w:val="white"/>
          </w:rPr>
          <w:t>https://software.broadinstitute.org/morpheus/</w:t>
        </w:r>
      </w:hyperlink>
      <w:r w:rsidRPr="000244B0">
        <w:rPr>
          <w:rFonts w:ascii="Times New Roman" w:eastAsia="Times New Roman" w:hAnsi="Times New Roman" w:cs="Times New Roman"/>
          <w:sz w:val="24"/>
          <w:szCs w:val="24"/>
          <w:highlight w:val="white"/>
        </w:rPr>
        <w:t xml:space="preserve">), heatmaps were generated highlighting the expressions of </w:t>
      </w:r>
      <w:r w:rsidR="0057476D" w:rsidRPr="0079583C">
        <w:rPr>
          <w:rFonts w:ascii="Times New Roman" w:eastAsia="Times New Roman" w:hAnsi="Times New Roman" w:cs="Times New Roman"/>
          <w:sz w:val="24"/>
          <w:szCs w:val="24"/>
          <w:highlight w:val="yellow"/>
        </w:rPr>
        <w:t>the</w:t>
      </w:r>
      <w:r w:rsidR="0057476D">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sz w:val="24"/>
          <w:szCs w:val="24"/>
          <w:highlight w:val="white"/>
        </w:rPr>
        <w:t xml:space="preserve">top 10 upregulated and </w:t>
      </w:r>
      <w:r w:rsidR="00D77E22" w:rsidRPr="0079583C">
        <w:rPr>
          <w:rFonts w:ascii="Times New Roman" w:eastAsia="Times New Roman" w:hAnsi="Times New Roman" w:cs="Times New Roman"/>
          <w:sz w:val="24"/>
          <w:szCs w:val="24"/>
          <w:highlight w:val="yellow"/>
        </w:rPr>
        <w:t>downregulated</w:t>
      </w:r>
      <w:r w:rsidRPr="000244B0">
        <w:rPr>
          <w:rFonts w:ascii="Times New Roman" w:eastAsia="Times New Roman" w:hAnsi="Times New Roman" w:cs="Times New Roman"/>
          <w:sz w:val="24"/>
          <w:szCs w:val="24"/>
          <w:highlight w:val="white"/>
        </w:rPr>
        <w:t xml:space="preserve"> DEGs.</w:t>
      </w:r>
    </w:p>
    <w:p w14:paraId="2D7E81E2" w14:textId="486AFDFD" w:rsidR="00E87483" w:rsidRPr="00E87483" w:rsidRDefault="00E73814" w:rsidP="00E8748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2.3</w:t>
      </w:r>
      <w:r w:rsidRPr="009D4F65">
        <w:rPr>
          <w:rFonts w:ascii="Times New Roman" w:eastAsia="Times New Roman" w:hAnsi="Times New Roman" w:cs="Times New Roman"/>
          <w:b/>
          <w:color w:val="000000"/>
          <w:sz w:val="24"/>
          <w:szCs w:val="24"/>
        </w:rPr>
        <w:t xml:space="preserve">. </w:t>
      </w:r>
      <w:r w:rsidR="00E87483" w:rsidRPr="00E87483">
        <w:rPr>
          <w:rFonts w:ascii="Times New Roman" w:eastAsia="Times New Roman" w:hAnsi="Times New Roman" w:cs="Times New Roman"/>
          <w:b/>
          <w:sz w:val="24"/>
          <w:szCs w:val="24"/>
        </w:rPr>
        <w:t xml:space="preserve">GO and pathway enrichment analysis for </w:t>
      </w:r>
      <w:r w:rsidR="00E87483" w:rsidRPr="0079583C">
        <w:rPr>
          <w:rFonts w:ascii="Times New Roman" w:eastAsia="Times New Roman" w:hAnsi="Times New Roman" w:cs="Times New Roman"/>
          <w:b/>
          <w:sz w:val="24"/>
          <w:szCs w:val="24"/>
          <w:highlight w:val="yellow"/>
        </w:rPr>
        <w:t>DEGs</w:t>
      </w:r>
    </w:p>
    <w:p w14:paraId="694994AD" w14:textId="77777777" w:rsidR="00E87483" w:rsidRPr="000244B0" w:rsidRDefault="00E87483" w:rsidP="00E87483">
      <w:pPr>
        <w:spacing w:line="480" w:lineRule="auto"/>
        <w:jc w:val="both"/>
        <w:rPr>
          <w:rFonts w:ascii="Times New Roman" w:eastAsia="Times New Roman" w:hAnsi="Times New Roman" w:cs="Times New Roman"/>
          <w:iCs/>
          <w:sz w:val="24"/>
          <w:szCs w:val="24"/>
        </w:rPr>
      </w:pPr>
      <w:r w:rsidRPr="000244B0">
        <w:rPr>
          <w:rFonts w:ascii="Times New Roman" w:eastAsia="Times New Roman" w:hAnsi="Times New Roman" w:cs="Times New Roman"/>
          <w:sz w:val="24"/>
          <w:szCs w:val="24"/>
          <w:highlight w:val="white"/>
        </w:rPr>
        <w:t xml:space="preserve">The </w:t>
      </w:r>
      <w:r w:rsidR="00481961">
        <w:rPr>
          <w:rFonts w:ascii="Times New Roman" w:eastAsia="Times New Roman" w:hAnsi="Times New Roman" w:cs="Times New Roman"/>
          <w:sz w:val="24"/>
          <w:szCs w:val="24"/>
          <w:highlight w:val="white"/>
        </w:rPr>
        <w:t>DAVID</w:t>
      </w:r>
      <w:r w:rsidRPr="000244B0">
        <w:rPr>
          <w:rFonts w:ascii="Times New Roman" w:eastAsia="Times New Roman" w:hAnsi="Times New Roman" w:cs="Times New Roman"/>
          <w:sz w:val="24"/>
          <w:szCs w:val="24"/>
          <w:highlight w:val="white"/>
        </w:rPr>
        <w:t xml:space="preserve"> </w:t>
      </w:r>
      <w:r w:rsidR="00481961">
        <w:rPr>
          <w:rFonts w:ascii="Times New Roman" w:eastAsia="Times New Roman" w:hAnsi="Times New Roman" w:cs="Times New Roman"/>
          <w:sz w:val="24"/>
          <w:szCs w:val="24"/>
          <w:highlight w:val="white"/>
        </w:rPr>
        <w:t>(</w:t>
      </w:r>
      <w:r w:rsidR="00481961" w:rsidRPr="000244B0">
        <w:rPr>
          <w:rFonts w:ascii="Times New Roman" w:eastAsia="Times New Roman" w:hAnsi="Times New Roman" w:cs="Times New Roman"/>
          <w:sz w:val="24"/>
          <w:szCs w:val="24"/>
          <w:highlight w:val="white"/>
        </w:rPr>
        <w:t>Database for Annotation, Visualiza</w:t>
      </w:r>
      <w:r w:rsidR="00E55898">
        <w:rPr>
          <w:rFonts w:ascii="Times New Roman" w:eastAsia="Times New Roman" w:hAnsi="Times New Roman" w:cs="Times New Roman"/>
          <w:sz w:val="24"/>
          <w:szCs w:val="24"/>
          <w:highlight w:val="white"/>
        </w:rPr>
        <w:t>tion, and Integrated Discovery</w:t>
      </w:r>
      <w:r w:rsidR="00481961">
        <w:rPr>
          <w:rFonts w:ascii="Times New Roman" w:eastAsia="Times New Roman" w:hAnsi="Times New Roman" w:cs="Times New Roman"/>
          <w:sz w:val="24"/>
          <w:szCs w:val="24"/>
          <w:highlight w:val="white"/>
        </w:rPr>
        <w:t>)</w:t>
      </w:r>
      <w:r w:rsidR="00E55898">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sz w:val="24"/>
          <w:szCs w:val="24"/>
          <w:highlight w:val="white"/>
        </w:rPr>
        <w:t>provides comprehensive functional annotation tools that help analyze the biological meaning behind large lists of genes (</w:t>
      </w:r>
      <w:hyperlink r:id="rId10">
        <w:r w:rsidRPr="000244B0">
          <w:rPr>
            <w:rFonts w:ascii="Times New Roman" w:eastAsia="Times New Roman" w:hAnsi="Times New Roman" w:cs="Times New Roman"/>
            <w:color w:val="1155CC"/>
            <w:sz w:val="24"/>
            <w:szCs w:val="24"/>
            <w:highlight w:val="white"/>
            <w:u w:val="single"/>
          </w:rPr>
          <w:t>https://david.ncifcrf.gov/</w:t>
        </w:r>
      </w:hyperlink>
      <w:r w:rsidRPr="000244B0">
        <w:rPr>
          <w:rFonts w:ascii="Times New Roman" w:eastAsia="Times New Roman" w:hAnsi="Times New Roman" w:cs="Times New Roman"/>
          <w:sz w:val="24"/>
          <w:szCs w:val="24"/>
          <w:highlight w:val="white"/>
        </w:rPr>
        <w:t>).</w:t>
      </w:r>
      <w:r w:rsidRPr="000244B0">
        <w:rPr>
          <w:rFonts w:ascii="Times New Roman" w:eastAsia="Times New Roman" w:hAnsi="Times New Roman" w:cs="Times New Roman"/>
          <w:sz w:val="24"/>
          <w:szCs w:val="24"/>
        </w:rPr>
        <w:t xml:space="preserve"> </w:t>
      </w:r>
      <w:r w:rsidRPr="000244B0">
        <w:rPr>
          <w:rFonts w:ascii="Times New Roman" w:eastAsia="Times New Roman" w:hAnsi="Times New Roman" w:cs="Times New Roman"/>
          <w:sz w:val="24"/>
          <w:szCs w:val="24"/>
          <w:highlight w:val="white"/>
        </w:rPr>
        <w:t xml:space="preserve">The list of DEGs, along with the gene identifiers such as Entrez Gene IDs or gene symbols and the appropriate organism were uploaded for </w:t>
      </w:r>
      <w:r w:rsidR="00E55898" w:rsidRPr="000244B0">
        <w:rPr>
          <w:rFonts w:ascii="Times New Roman" w:eastAsia="Times New Roman" w:hAnsi="Times New Roman" w:cs="Times New Roman"/>
          <w:sz w:val="24"/>
          <w:szCs w:val="24"/>
          <w:highlight w:val="white"/>
        </w:rPr>
        <w:t>GO</w:t>
      </w:r>
      <w:r w:rsidR="00E55898">
        <w:rPr>
          <w:rFonts w:ascii="Times New Roman" w:eastAsia="Times New Roman" w:hAnsi="Times New Roman" w:cs="Times New Roman"/>
          <w:sz w:val="24"/>
          <w:szCs w:val="24"/>
          <w:highlight w:val="white"/>
        </w:rPr>
        <w:t xml:space="preserve"> (Gene Ontology) - functional annotation</w:t>
      </w:r>
      <w:r w:rsidRPr="000244B0">
        <w:rPr>
          <w:rFonts w:ascii="Times New Roman" w:eastAsia="Times New Roman" w:hAnsi="Times New Roman" w:cs="Times New Roman"/>
          <w:sz w:val="24"/>
          <w:szCs w:val="24"/>
          <w:highlight w:val="white"/>
        </w:rPr>
        <w:t xml:space="preserve"> and KEGG </w:t>
      </w:r>
      <w:r w:rsidR="00E55898">
        <w:rPr>
          <w:rFonts w:ascii="Times New Roman" w:eastAsia="Times New Roman" w:hAnsi="Times New Roman" w:cs="Times New Roman"/>
          <w:sz w:val="24"/>
          <w:szCs w:val="24"/>
          <w:highlight w:val="white"/>
        </w:rPr>
        <w:t>(</w:t>
      </w:r>
      <w:r w:rsidR="00E55898">
        <w:rPr>
          <w:rFonts w:ascii="Times New Roman" w:eastAsia="Times New Roman" w:hAnsi="Times New Roman" w:cs="Times New Roman"/>
          <w:sz w:val="24"/>
          <w:szCs w:val="24"/>
        </w:rPr>
        <w:t>Kyoto Encyclopedia of Genes and Genomes</w:t>
      </w:r>
      <w:r w:rsidR="00E55898">
        <w:rPr>
          <w:rFonts w:ascii="Times New Roman" w:eastAsia="Times New Roman" w:hAnsi="Times New Roman" w:cs="Times New Roman"/>
          <w:sz w:val="24"/>
          <w:szCs w:val="24"/>
          <w:highlight w:val="white"/>
        </w:rPr>
        <w:t>) - pathway enrichment</w:t>
      </w:r>
      <w:r w:rsidRPr="000244B0">
        <w:rPr>
          <w:rFonts w:ascii="Times New Roman" w:eastAsia="Times New Roman" w:hAnsi="Times New Roman" w:cs="Times New Roman"/>
          <w:sz w:val="24"/>
          <w:szCs w:val="24"/>
          <w:highlight w:val="white"/>
        </w:rPr>
        <w:t xml:space="preserve"> analysis (Ashburner et al., 2000). Terms/pathways with P-values &lt;0.05 were considered statistically significant. For interpretation, DAVID provided graphs and tables summarizing the enriched terms and pathways (Gene Ontology Consortium, 2006).</w:t>
      </w:r>
    </w:p>
    <w:p w14:paraId="46D9A3AD" w14:textId="77777777" w:rsidR="00E87483" w:rsidRPr="00E87483" w:rsidRDefault="00E73814" w:rsidP="00E87483">
      <w:pPr>
        <w:spacing w:line="48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color w:val="000000"/>
          <w:sz w:val="24"/>
          <w:szCs w:val="24"/>
        </w:rPr>
        <w:t>2.4</w:t>
      </w:r>
      <w:r w:rsidRPr="009D4F65">
        <w:rPr>
          <w:rFonts w:ascii="Times New Roman" w:eastAsia="Times New Roman" w:hAnsi="Times New Roman" w:cs="Times New Roman"/>
          <w:b/>
          <w:color w:val="000000"/>
          <w:sz w:val="24"/>
          <w:szCs w:val="24"/>
        </w:rPr>
        <w:t xml:space="preserve">. </w:t>
      </w:r>
      <w:r w:rsidR="00E87483" w:rsidRPr="00E87483">
        <w:rPr>
          <w:rFonts w:ascii="Times New Roman" w:eastAsia="Times New Roman" w:hAnsi="Times New Roman" w:cs="Times New Roman"/>
          <w:b/>
          <w:bCs/>
          <w:iCs/>
          <w:sz w:val="24"/>
          <w:szCs w:val="24"/>
        </w:rPr>
        <w:t xml:space="preserve">Integration of protein-protein interaction (PPI) network </w:t>
      </w:r>
    </w:p>
    <w:p w14:paraId="2668F885" w14:textId="77777777" w:rsidR="00E73814" w:rsidRDefault="00E87483" w:rsidP="00E87483">
      <w:pPr>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 xml:space="preserve">STRING is a database of known and predicted protein-protein interactions, including direct (physical) and indirect (functional) associations derived from computational prediction, </w:t>
      </w:r>
      <w:r w:rsidRPr="000244B0">
        <w:rPr>
          <w:rFonts w:ascii="Times New Roman" w:eastAsia="Times New Roman" w:hAnsi="Times New Roman" w:cs="Times New Roman"/>
          <w:sz w:val="24"/>
          <w:szCs w:val="24"/>
        </w:rPr>
        <w:lastRenderedPageBreak/>
        <w:t xml:space="preserve">knowledge transfer between organisms, and aggregated interactions from primary databases </w:t>
      </w:r>
      <w:r w:rsidRPr="000244B0">
        <w:rPr>
          <w:rFonts w:ascii="Times New Roman" w:eastAsia="Times New Roman" w:hAnsi="Times New Roman" w:cs="Times New Roman"/>
          <w:sz w:val="24"/>
          <w:szCs w:val="24"/>
          <w:highlight w:val="white"/>
        </w:rPr>
        <w:t>(</w:t>
      </w:r>
      <w:hyperlink r:id="rId11">
        <w:r w:rsidRPr="000244B0">
          <w:rPr>
            <w:rFonts w:ascii="Times New Roman" w:eastAsia="Times New Roman" w:hAnsi="Times New Roman" w:cs="Times New Roman"/>
            <w:sz w:val="24"/>
            <w:szCs w:val="24"/>
            <w:highlight w:val="white"/>
            <w:u w:val="single"/>
          </w:rPr>
          <w:t>https://string-db.org/</w:t>
        </w:r>
      </w:hyperlink>
      <w:r w:rsidRPr="000244B0">
        <w:rPr>
          <w:rFonts w:ascii="Times New Roman" w:eastAsia="Times New Roman" w:hAnsi="Times New Roman" w:cs="Times New Roman"/>
          <w:sz w:val="24"/>
          <w:szCs w:val="24"/>
          <w:highlight w:val="white"/>
        </w:rPr>
        <w:t>).</w:t>
      </w:r>
      <w:r w:rsidRPr="000244B0">
        <w:rPr>
          <w:rFonts w:ascii="Times New Roman" w:eastAsia="Times New Roman" w:hAnsi="Times New Roman" w:cs="Times New Roman"/>
          <w:sz w:val="24"/>
          <w:szCs w:val="24"/>
        </w:rPr>
        <w:t xml:space="preserve"> The significant upregulated and all downregulated DEGs were uploaded along with recognized gene identifiers. Interaction parameters included only those with experimentally validated combined scores &gt; 0.4. A network was constructed from these interactions, representing the associations among the encoded proteins. This network was then imported to Cytoscape, </w:t>
      </w:r>
      <w:r w:rsidRPr="000244B0">
        <w:rPr>
          <w:rFonts w:ascii="Times New Roman" w:eastAsia="Times New Roman" w:hAnsi="Times New Roman" w:cs="Times New Roman"/>
          <w:sz w:val="24"/>
          <w:szCs w:val="24"/>
          <w:highlight w:val="white"/>
        </w:rPr>
        <w:t>an open access tool which helps in visualizing molecular interaction networks and integration with gene expression profiles (Franceschini A et al., 2013).</w:t>
      </w:r>
      <w:r w:rsidRPr="000244B0">
        <w:rPr>
          <w:rFonts w:ascii="Times New Roman" w:eastAsia="Times New Roman" w:hAnsi="Times New Roman" w:cs="Times New Roman"/>
          <w:sz w:val="24"/>
          <w:szCs w:val="24"/>
        </w:rPr>
        <w:t xml:space="preserve"> The densely connected regions (primary modules) were identified using the </w:t>
      </w:r>
      <w:r w:rsidR="00E55898">
        <w:rPr>
          <w:rFonts w:ascii="Times New Roman" w:eastAsia="Times New Roman" w:hAnsi="Times New Roman" w:cs="Times New Roman"/>
          <w:sz w:val="24"/>
          <w:szCs w:val="24"/>
        </w:rPr>
        <w:t>MCODE</w:t>
      </w:r>
      <w:r w:rsidRPr="000244B0">
        <w:rPr>
          <w:rFonts w:ascii="Times New Roman" w:eastAsia="Times New Roman" w:hAnsi="Times New Roman" w:cs="Times New Roman"/>
          <w:sz w:val="24"/>
          <w:szCs w:val="24"/>
        </w:rPr>
        <w:t xml:space="preserve"> </w:t>
      </w:r>
      <w:r w:rsidR="00E55898">
        <w:rPr>
          <w:rFonts w:ascii="Times New Roman" w:eastAsia="Times New Roman" w:hAnsi="Times New Roman" w:cs="Times New Roman"/>
          <w:sz w:val="24"/>
          <w:szCs w:val="24"/>
        </w:rPr>
        <w:t>(</w:t>
      </w:r>
      <w:r w:rsidR="00E55898" w:rsidRPr="000244B0">
        <w:rPr>
          <w:rFonts w:ascii="Times New Roman" w:eastAsia="Times New Roman" w:hAnsi="Times New Roman" w:cs="Times New Roman"/>
          <w:sz w:val="24"/>
          <w:szCs w:val="24"/>
        </w:rPr>
        <w:t xml:space="preserve">Molecular Complex </w:t>
      </w:r>
      <w:r w:rsidR="00E55898">
        <w:rPr>
          <w:rFonts w:ascii="Times New Roman" w:eastAsia="Times New Roman" w:hAnsi="Times New Roman" w:cs="Times New Roman"/>
          <w:sz w:val="24"/>
          <w:szCs w:val="24"/>
        </w:rPr>
        <w:t xml:space="preserve">Detection) </w:t>
      </w:r>
      <w:r w:rsidRPr="000244B0">
        <w:rPr>
          <w:rFonts w:ascii="Times New Roman" w:eastAsia="Times New Roman" w:hAnsi="Times New Roman" w:cs="Times New Roman"/>
          <w:sz w:val="24"/>
          <w:szCs w:val="24"/>
        </w:rPr>
        <w:t xml:space="preserve">plugin with default parameters. Functional annotation (GO) and pathway analysis (KEGG) of DEGs within these modules were performed using DAVID with P-value &lt;0.05. </w:t>
      </w:r>
    </w:p>
    <w:p w14:paraId="2412C389" w14:textId="77777777" w:rsidR="00E87483" w:rsidRPr="000244B0" w:rsidRDefault="00E73814" w:rsidP="00E87483">
      <w:pPr>
        <w:spacing w:line="48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
          <w:color w:val="000000"/>
          <w:sz w:val="24"/>
          <w:szCs w:val="24"/>
        </w:rPr>
        <w:t>2.5</w:t>
      </w:r>
      <w:r w:rsidRPr="009D4F65">
        <w:rPr>
          <w:rFonts w:ascii="Times New Roman" w:eastAsia="Times New Roman" w:hAnsi="Times New Roman" w:cs="Times New Roman"/>
          <w:b/>
          <w:color w:val="000000"/>
          <w:sz w:val="24"/>
          <w:szCs w:val="24"/>
        </w:rPr>
        <w:t xml:space="preserve">. </w:t>
      </w:r>
      <w:r w:rsidR="00E87483" w:rsidRPr="00E87483">
        <w:rPr>
          <w:rFonts w:ascii="Times New Roman" w:eastAsia="Times New Roman" w:hAnsi="Times New Roman" w:cs="Times New Roman"/>
          <w:b/>
          <w:bCs/>
          <w:iCs/>
          <w:sz w:val="24"/>
          <w:szCs w:val="24"/>
        </w:rPr>
        <w:t>Identification of biomarkers</w:t>
      </w:r>
    </w:p>
    <w:p w14:paraId="7EE4219A" w14:textId="77777777" w:rsidR="00E87483" w:rsidRPr="000244B0" w:rsidRDefault="00E55898" w:rsidP="00E87483">
      <w:pPr>
        <w:spacing w:line="48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t>TCGA</w:t>
      </w:r>
      <w:r w:rsidR="00E87483" w:rsidRPr="000244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244B0">
        <w:rPr>
          <w:rFonts w:ascii="Times New Roman" w:eastAsia="Times New Roman" w:hAnsi="Times New Roman" w:cs="Times New Roman"/>
          <w:sz w:val="24"/>
          <w:szCs w:val="24"/>
        </w:rPr>
        <w:t>The Cancer Genome Atlas</w:t>
      </w:r>
      <w:r>
        <w:rPr>
          <w:rFonts w:ascii="Times New Roman" w:eastAsia="Times New Roman" w:hAnsi="Times New Roman" w:cs="Times New Roman"/>
          <w:sz w:val="24"/>
          <w:szCs w:val="24"/>
        </w:rPr>
        <w:t xml:space="preserve">) </w:t>
      </w:r>
      <w:r w:rsidR="00E87483" w:rsidRPr="000244B0">
        <w:rPr>
          <w:rFonts w:ascii="Times New Roman" w:eastAsia="Times New Roman" w:hAnsi="Times New Roman" w:cs="Times New Roman"/>
          <w:sz w:val="24"/>
          <w:szCs w:val="24"/>
        </w:rPr>
        <w:t xml:space="preserve">was the primary data source for this analysis. By comparing gene expression levels between tumor and normal samples, differentially expressed genes in colorectal cancer were identified. The identified DEGs were then uploaded to UALCAN, </w:t>
      </w:r>
      <w:r w:rsidR="00E87483" w:rsidRPr="000244B0">
        <w:rPr>
          <w:rFonts w:ascii="Times New Roman" w:eastAsia="Times New Roman" w:hAnsi="Times New Roman" w:cs="Times New Roman"/>
          <w:sz w:val="24"/>
          <w:szCs w:val="24"/>
          <w:highlight w:val="white"/>
        </w:rPr>
        <w:t>an interactive web source for analyzing cancer OMICS data, providing access to publicly available data, identi</w:t>
      </w:r>
      <w:r w:rsidR="00E73814">
        <w:rPr>
          <w:rFonts w:ascii="Times New Roman" w:eastAsia="Times New Roman" w:hAnsi="Times New Roman" w:cs="Times New Roman"/>
          <w:sz w:val="24"/>
          <w:szCs w:val="24"/>
          <w:highlight w:val="white"/>
        </w:rPr>
        <w:t xml:space="preserve">fying biomarkers, performing in </w:t>
      </w:r>
      <w:r w:rsidR="00E87483" w:rsidRPr="000244B0">
        <w:rPr>
          <w:rFonts w:ascii="Times New Roman" w:eastAsia="Times New Roman" w:hAnsi="Times New Roman" w:cs="Times New Roman"/>
          <w:sz w:val="24"/>
          <w:szCs w:val="24"/>
          <w:highlight w:val="white"/>
        </w:rPr>
        <w:t>silico validation, and offering various analyses including gene expression profiles and patient survival information(</w:t>
      </w:r>
      <w:hyperlink r:id="rId12">
        <w:r w:rsidR="00E87483" w:rsidRPr="000244B0">
          <w:rPr>
            <w:rFonts w:ascii="Times New Roman" w:eastAsia="Times New Roman" w:hAnsi="Times New Roman" w:cs="Times New Roman"/>
            <w:color w:val="0070C0"/>
            <w:sz w:val="24"/>
            <w:szCs w:val="24"/>
            <w:highlight w:val="white"/>
            <w:u w:val="single"/>
          </w:rPr>
          <w:t>https://ualcan.path.uab.edu/</w:t>
        </w:r>
      </w:hyperlink>
      <w:r w:rsidR="00E87483" w:rsidRPr="000244B0">
        <w:rPr>
          <w:rFonts w:ascii="Times New Roman" w:eastAsia="Times New Roman" w:hAnsi="Times New Roman" w:cs="Times New Roman"/>
          <w:sz w:val="24"/>
          <w:szCs w:val="24"/>
          <w:highlight w:val="white"/>
        </w:rPr>
        <w:t xml:space="preserve">) </w:t>
      </w:r>
      <w:r w:rsidR="00E87483" w:rsidRPr="000244B0">
        <w:rPr>
          <w:rFonts w:ascii="Times New Roman" w:eastAsia="Times New Roman" w:hAnsi="Times New Roman" w:cs="Times New Roman"/>
          <w:sz w:val="24"/>
          <w:szCs w:val="24"/>
        </w:rPr>
        <w:t xml:space="preserve"> (</w:t>
      </w:r>
      <w:r w:rsidR="00E87483" w:rsidRPr="000244B0">
        <w:rPr>
          <w:rFonts w:ascii="Times New Roman" w:eastAsia="Times New Roman" w:hAnsi="Times New Roman" w:cs="Times New Roman"/>
          <w:sz w:val="24"/>
          <w:szCs w:val="24"/>
          <w:highlight w:val="white"/>
        </w:rPr>
        <w:t>Chandrashekar D et al.,2017).</w:t>
      </w:r>
      <w:r w:rsidR="00E87483" w:rsidRPr="000244B0">
        <w:rPr>
          <w:rFonts w:ascii="Times New Roman" w:eastAsia="Times New Roman" w:hAnsi="Times New Roman" w:cs="Times New Roman"/>
          <w:sz w:val="24"/>
          <w:szCs w:val="24"/>
        </w:rPr>
        <w:t xml:space="preserve"> Statistical analysis was done on UALCAN, with a threshold of P&lt; 0.05 to identify potential differences in gene expression and prognosis. In addition, factors such as the sex of the individual that might play a crucial role in the disease prognosis were considered and those genes that lacked sufficient data were excluded (Liu et al., 2020).</w:t>
      </w:r>
    </w:p>
    <w:p w14:paraId="10EA120D" w14:textId="77777777" w:rsidR="00E87483" w:rsidRPr="00E87483" w:rsidRDefault="00E73814" w:rsidP="00E87483">
      <w:pPr>
        <w:spacing w:line="48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color w:val="000000"/>
          <w:sz w:val="24"/>
          <w:szCs w:val="24"/>
        </w:rPr>
        <w:t>2.6</w:t>
      </w:r>
      <w:r w:rsidRPr="009D4F65">
        <w:rPr>
          <w:rFonts w:ascii="Times New Roman" w:eastAsia="Times New Roman" w:hAnsi="Times New Roman" w:cs="Times New Roman"/>
          <w:b/>
          <w:color w:val="000000"/>
          <w:sz w:val="24"/>
          <w:szCs w:val="24"/>
        </w:rPr>
        <w:t xml:space="preserve">. </w:t>
      </w:r>
      <w:r w:rsidR="00E87483" w:rsidRPr="00E87483">
        <w:rPr>
          <w:rFonts w:ascii="Times New Roman" w:eastAsia="Times New Roman" w:hAnsi="Times New Roman" w:cs="Times New Roman"/>
          <w:b/>
          <w:bCs/>
          <w:iCs/>
          <w:sz w:val="24"/>
          <w:szCs w:val="24"/>
        </w:rPr>
        <w:t>Molecular Docking</w:t>
      </w:r>
    </w:p>
    <w:p w14:paraId="7EC32EFF" w14:textId="4B9EB704" w:rsidR="00E87483" w:rsidRDefault="00E87483" w:rsidP="004E6E78">
      <w:pPr>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highlight w:val="white"/>
        </w:rPr>
        <w:lastRenderedPageBreak/>
        <w:t>BIOVIA Discovery Studio provides in silico techniques like molecular mechanics and free energy calculations, aiding in the discovery of small and large-molecule therapeutics. It offers tools for computational chemists and structural biologists to engineer novel bio</w:t>
      </w:r>
      <w:r w:rsidR="00E73814">
        <w:rPr>
          <w:rFonts w:ascii="Times New Roman" w:eastAsia="Times New Roman" w:hAnsi="Times New Roman" w:cs="Times New Roman"/>
          <w:sz w:val="24"/>
          <w:szCs w:val="24"/>
          <w:highlight w:val="white"/>
        </w:rPr>
        <w:t>-</w:t>
      </w:r>
      <w:r w:rsidRPr="000244B0">
        <w:rPr>
          <w:rFonts w:ascii="Times New Roman" w:eastAsia="Times New Roman" w:hAnsi="Times New Roman" w:cs="Times New Roman"/>
          <w:sz w:val="24"/>
          <w:szCs w:val="24"/>
          <w:highlight w:val="white"/>
        </w:rPr>
        <w:t>therapeutics and small-molecule drugs.</w:t>
      </w:r>
      <w:r w:rsidRPr="000244B0">
        <w:rPr>
          <w:rFonts w:ascii="Times New Roman" w:eastAsia="Times New Roman" w:hAnsi="Times New Roman" w:cs="Times New Roman"/>
          <w:bCs/>
          <w:i/>
          <w:iCs/>
          <w:sz w:val="24"/>
          <w:szCs w:val="24"/>
        </w:rPr>
        <w:t xml:space="preserve"> </w:t>
      </w:r>
      <w:r w:rsidRPr="000244B0">
        <w:rPr>
          <w:rFonts w:ascii="Times New Roman" w:eastAsia="Times New Roman" w:hAnsi="Times New Roman" w:cs="Times New Roman"/>
          <w:sz w:val="24"/>
          <w:szCs w:val="24"/>
        </w:rPr>
        <w:t>Totally, 23 bioactive compounds were identified from the traditional Chinese medicine SJZD for molecular docking (</w:t>
      </w:r>
      <w:r w:rsidRPr="000244B0">
        <w:rPr>
          <w:rFonts w:ascii="Times New Roman" w:eastAsia="Times New Roman" w:hAnsi="Times New Roman" w:cs="Times New Roman"/>
          <w:sz w:val="24"/>
          <w:szCs w:val="24"/>
          <w:highlight w:val="white"/>
        </w:rPr>
        <w:t>Shang et al., 2023)</w:t>
      </w:r>
      <w:r w:rsidRPr="000244B0">
        <w:rPr>
          <w:rFonts w:ascii="Times New Roman" w:eastAsia="Times New Roman" w:hAnsi="Times New Roman" w:cs="Times New Roman"/>
          <w:sz w:val="24"/>
          <w:szCs w:val="24"/>
        </w:rPr>
        <w:t xml:space="preserve">. The 3D structures of these ligands were retrieved from the PubChem database. The protein targets 6WZJ and 6WZK selected from literature review were retrieved from the Protein Data Bank (PDB) and were subjected to molecular docking using Discovery studio. Docking was performed for each ligand-protein pair using the LibDock algorithm and the best pose for the interactions </w:t>
      </w:r>
      <w:r w:rsidR="001B72FF" w:rsidRPr="0079583C">
        <w:rPr>
          <w:rFonts w:ascii="Times New Roman" w:eastAsia="Times New Roman" w:hAnsi="Times New Roman" w:cs="Times New Roman"/>
          <w:sz w:val="24"/>
          <w:szCs w:val="24"/>
          <w:highlight w:val="yellow"/>
        </w:rPr>
        <w:t>was</w:t>
      </w:r>
      <w:r w:rsidR="001B72FF" w:rsidRPr="000244B0">
        <w:rPr>
          <w:rFonts w:ascii="Times New Roman" w:eastAsia="Times New Roman" w:hAnsi="Times New Roman" w:cs="Times New Roman"/>
          <w:sz w:val="24"/>
          <w:szCs w:val="24"/>
        </w:rPr>
        <w:t xml:space="preserve"> </w:t>
      </w:r>
      <w:r w:rsidRPr="000244B0">
        <w:rPr>
          <w:rFonts w:ascii="Times New Roman" w:eastAsia="Times New Roman" w:hAnsi="Times New Roman" w:cs="Times New Roman"/>
          <w:sz w:val="24"/>
          <w:szCs w:val="24"/>
        </w:rPr>
        <w:t>assessed. The binding modes and potential interactions between ligands and target proteins were visualized. The ligands with high docking scores and favorable binding interactions were shortlisted.</w:t>
      </w:r>
    </w:p>
    <w:p w14:paraId="20EEE845" w14:textId="26A14F63" w:rsidR="00E73814" w:rsidRPr="00833865" w:rsidRDefault="00E73814" w:rsidP="00E73814">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3.</w:t>
      </w:r>
      <w:r w:rsidR="001B72FF">
        <w:rPr>
          <w:rFonts w:ascii="Times New Roman" w:hAnsi="Times New Roman" w:cs="Times New Roman"/>
          <w:b/>
          <w:sz w:val="24"/>
          <w:szCs w:val="24"/>
        </w:rPr>
        <w:t xml:space="preserve"> </w:t>
      </w:r>
      <w:r w:rsidRPr="00833865">
        <w:rPr>
          <w:rFonts w:ascii="Times New Roman" w:hAnsi="Times New Roman" w:cs="Times New Roman"/>
          <w:b/>
          <w:sz w:val="24"/>
          <w:szCs w:val="24"/>
        </w:rPr>
        <w:t xml:space="preserve">Results </w:t>
      </w:r>
    </w:p>
    <w:p w14:paraId="08516DD2" w14:textId="77777777" w:rsidR="00E73814" w:rsidRPr="00E73814" w:rsidRDefault="00E73814" w:rsidP="00E73814">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Pr="00E73814">
        <w:rPr>
          <w:rFonts w:ascii="Times New Roman" w:hAnsi="Times New Roman" w:cs="Times New Roman"/>
          <w:b/>
          <w:bCs/>
          <w:sz w:val="24"/>
          <w:szCs w:val="24"/>
        </w:rPr>
        <w:t>Identification of DEGs</w:t>
      </w:r>
    </w:p>
    <w:p w14:paraId="36EEC118" w14:textId="2E79FF24" w:rsidR="00E73814" w:rsidRDefault="00E73814" w:rsidP="004E6E78">
      <w:pPr>
        <w:pStyle w:val="NoSpacing"/>
        <w:spacing w:line="480" w:lineRule="auto"/>
        <w:jc w:val="both"/>
        <w:rPr>
          <w:rFonts w:ascii="Times New Roman" w:hAnsi="Times New Roman" w:cs="Times New Roman"/>
          <w:bCs/>
          <w:sz w:val="24"/>
          <w:szCs w:val="24"/>
        </w:rPr>
      </w:pPr>
      <w:r w:rsidRPr="00833865">
        <w:rPr>
          <w:rFonts w:ascii="Times New Roman" w:hAnsi="Times New Roman" w:cs="Times New Roman"/>
          <w:bCs/>
          <w:sz w:val="24"/>
          <w:szCs w:val="24"/>
        </w:rPr>
        <w:t xml:space="preserve">A total of 131 primary CRC samples and 55 normal samples were utilized for the analysis. The analysis revealed 309 upregulated genes and 234 downregulated genes in tumor samples as compared to normal samples. A volcano plot representing all DEGs was created using R software, providing a comprehensive overview of the gene expression changes between CRC and normal samples. Additionally, heatmaps were generated for the top 10 upregulated and downregulated DEGs, respectively, using the Morpheus online tool </w:t>
      </w:r>
      <w:r w:rsidRPr="00224767">
        <w:rPr>
          <w:rFonts w:ascii="Times New Roman" w:hAnsi="Times New Roman" w:cs="Times New Roman"/>
          <w:bCs/>
          <w:sz w:val="24"/>
          <w:szCs w:val="24"/>
        </w:rPr>
        <w:t>(Figure</w:t>
      </w:r>
      <w:r w:rsidR="00787807">
        <w:rPr>
          <w:rFonts w:ascii="Times New Roman" w:hAnsi="Times New Roman" w:cs="Times New Roman"/>
          <w:bCs/>
          <w:sz w:val="24"/>
          <w:szCs w:val="24"/>
        </w:rPr>
        <w:t xml:space="preserve"> </w:t>
      </w:r>
      <w:r w:rsidRPr="00224767">
        <w:rPr>
          <w:rFonts w:ascii="Times New Roman" w:hAnsi="Times New Roman" w:cs="Times New Roman"/>
          <w:bCs/>
          <w:sz w:val="24"/>
          <w:szCs w:val="24"/>
        </w:rPr>
        <w:t>2 and 3</w:t>
      </w:r>
      <w:r w:rsidRPr="00833865">
        <w:rPr>
          <w:rFonts w:ascii="Times New Roman" w:hAnsi="Times New Roman" w:cs="Times New Roman"/>
          <w:bCs/>
          <w:sz w:val="24"/>
          <w:szCs w:val="24"/>
        </w:rPr>
        <w:t xml:space="preserve">). Mean-Difference (MD) plot was generated in R for the DEGs where, the points above the line indicate genes that are upregulated in the condition plotted on the y-axis compared to the condition on the x-axis, while points below the line represent genes that are downregulated </w:t>
      </w:r>
      <w:r w:rsidR="00077205">
        <w:rPr>
          <w:rFonts w:ascii="Times New Roman" w:hAnsi="Times New Roman" w:cs="Times New Roman"/>
          <w:bCs/>
          <w:sz w:val="24"/>
          <w:szCs w:val="24"/>
        </w:rPr>
        <w:t>(Figure</w:t>
      </w:r>
      <w:r w:rsidR="008E764E">
        <w:rPr>
          <w:rFonts w:ascii="Times New Roman" w:hAnsi="Times New Roman" w:cs="Times New Roman"/>
          <w:bCs/>
          <w:sz w:val="24"/>
          <w:szCs w:val="24"/>
        </w:rPr>
        <w:t xml:space="preserve"> </w:t>
      </w:r>
      <w:r w:rsidRPr="00CD426A">
        <w:rPr>
          <w:rFonts w:ascii="Times New Roman" w:hAnsi="Times New Roman" w:cs="Times New Roman"/>
          <w:bCs/>
          <w:sz w:val="24"/>
          <w:szCs w:val="24"/>
        </w:rPr>
        <w:t>4</w:t>
      </w:r>
      <w:r w:rsidRPr="00833865">
        <w:rPr>
          <w:rFonts w:ascii="Times New Roman" w:hAnsi="Times New Roman" w:cs="Times New Roman"/>
          <w:bCs/>
          <w:sz w:val="24"/>
          <w:szCs w:val="24"/>
        </w:rPr>
        <w:t xml:space="preserve">). </w:t>
      </w:r>
      <w:r w:rsidR="00B26358" w:rsidRPr="0079583C">
        <w:rPr>
          <w:rFonts w:ascii="Times New Roman" w:hAnsi="Times New Roman" w:cs="Times New Roman"/>
          <w:bCs/>
          <w:sz w:val="24"/>
          <w:szCs w:val="24"/>
          <w:highlight w:val="yellow"/>
        </w:rPr>
        <w:t>A</w:t>
      </w:r>
      <w:r w:rsidR="00B26358">
        <w:rPr>
          <w:rFonts w:ascii="Times New Roman" w:hAnsi="Times New Roman" w:cs="Times New Roman"/>
          <w:bCs/>
          <w:sz w:val="24"/>
          <w:szCs w:val="24"/>
        </w:rPr>
        <w:t xml:space="preserve"> box</w:t>
      </w:r>
      <w:r w:rsidR="00B26358" w:rsidRPr="00833865">
        <w:rPr>
          <w:rFonts w:ascii="Times New Roman" w:hAnsi="Times New Roman" w:cs="Times New Roman"/>
          <w:bCs/>
          <w:sz w:val="24"/>
          <w:szCs w:val="24"/>
        </w:rPr>
        <w:t xml:space="preserve"> </w:t>
      </w:r>
      <w:r w:rsidRPr="00833865">
        <w:rPr>
          <w:rFonts w:ascii="Times New Roman" w:hAnsi="Times New Roman" w:cs="Times New Roman"/>
          <w:bCs/>
          <w:sz w:val="24"/>
          <w:szCs w:val="24"/>
        </w:rPr>
        <w:t xml:space="preserve">plot displays distribution of data and its central tendency. Longer boxes indicate more </w:t>
      </w:r>
      <w:r w:rsidR="008E764E" w:rsidRPr="0079583C">
        <w:rPr>
          <w:rFonts w:ascii="Times New Roman" w:hAnsi="Times New Roman" w:cs="Times New Roman"/>
          <w:bCs/>
          <w:sz w:val="24"/>
          <w:szCs w:val="24"/>
          <w:highlight w:val="yellow"/>
        </w:rPr>
        <w:t>outspread</w:t>
      </w:r>
      <w:r w:rsidRPr="00833865">
        <w:rPr>
          <w:rFonts w:ascii="Times New Roman" w:hAnsi="Times New Roman" w:cs="Times New Roman"/>
          <w:bCs/>
          <w:sz w:val="24"/>
          <w:szCs w:val="24"/>
        </w:rPr>
        <w:t xml:space="preserve"> data, while </w:t>
      </w:r>
      <w:r w:rsidRPr="00833865">
        <w:rPr>
          <w:rFonts w:ascii="Times New Roman" w:hAnsi="Times New Roman" w:cs="Times New Roman"/>
          <w:bCs/>
          <w:sz w:val="24"/>
          <w:szCs w:val="24"/>
        </w:rPr>
        <w:lastRenderedPageBreak/>
        <w:t>shorter boxes indicate more clustered data (</w:t>
      </w:r>
      <w:r w:rsidR="00077205">
        <w:rPr>
          <w:rFonts w:ascii="Times New Roman" w:hAnsi="Times New Roman" w:cs="Times New Roman"/>
          <w:bCs/>
          <w:sz w:val="24"/>
          <w:szCs w:val="24"/>
        </w:rPr>
        <w:t>Figure</w:t>
      </w:r>
      <w:r w:rsidR="008E764E">
        <w:rPr>
          <w:rFonts w:ascii="Times New Roman" w:hAnsi="Times New Roman" w:cs="Times New Roman"/>
          <w:bCs/>
          <w:sz w:val="24"/>
          <w:szCs w:val="24"/>
        </w:rPr>
        <w:t xml:space="preserve"> </w:t>
      </w:r>
      <w:r w:rsidR="00077205" w:rsidRPr="00077205">
        <w:rPr>
          <w:rFonts w:ascii="Times New Roman" w:hAnsi="Times New Roman" w:cs="Times New Roman"/>
          <w:bCs/>
          <w:sz w:val="24"/>
          <w:szCs w:val="24"/>
        </w:rPr>
        <w:t>5</w:t>
      </w:r>
      <w:r w:rsidRPr="00833865">
        <w:rPr>
          <w:rFonts w:ascii="Times New Roman" w:hAnsi="Times New Roman" w:cs="Times New Roman"/>
          <w:bCs/>
          <w:sz w:val="24"/>
          <w:szCs w:val="24"/>
        </w:rPr>
        <w:t xml:space="preserve">). </w:t>
      </w:r>
      <w:r w:rsidR="008E764E" w:rsidRPr="0079583C">
        <w:rPr>
          <w:rFonts w:ascii="Times New Roman" w:hAnsi="Times New Roman" w:cs="Times New Roman"/>
          <w:bCs/>
          <w:sz w:val="24"/>
          <w:szCs w:val="24"/>
          <w:highlight w:val="yellow"/>
        </w:rPr>
        <w:t>The</w:t>
      </w:r>
      <w:r w:rsidR="008E764E">
        <w:rPr>
          <w:rFonts w:ascii="Times New Roman" w:hAnsi="Times New Roman" w:cs="Times New Roman"/>
          <w:bCs/>
          <w:sz w:val="24"/>
          <w:szCs w:val="24"/>
        </w:rPr>
        <w:t xml:space="preserve"> e</w:t>
      </w:r>
      <w:r w:rsidRPr="00833865">
        <w:rPr>
          <w:rFonts w:ascii="Times New Roman" w:hAnsi="Times New Roman" w:cs="Times New Roman"/>
          <w:bCs/>
          <w:sz w:val="24"/>
          <w:szCs w:val="24"/>
        </w:rPr>
        <w:t xml:space="preserve">xpression density plot shows the expression level of a gene in two groups (control, test). This plot is plotted against </w:t>
      </w:r>
      <w:r w:rsidR="008E764E" w:rsidRPr="0079583C">
        <w:rPr>
          <w:rFonts w:ascii="Times New Roman" w:hAnsi="Times New Roman" w:cs="Times New Roman"/>
          <w:bCs/>
          <w:sz w:val="24"/>
          <w:szCs w:val="24"/>
          <w:highlight w:val="yellow"/>
        </w:rPr>
        <w:t>the</w:t>
      </w:r>
      <w:r w:rsidR="008E764E">
        <w:rPr>
          <w:rFonts w:ascii="Times New Roman" w:hAnsi="Times New Roman" w:cs="Times New Roman"/>
          <w:bCs/>
          <w:sz w:val="24"/>
          <w:szCs w:val="24"/>
        </w:rPr>
        <w:t xml:space="preserve"> </w:t>
      </w:r>
      <w:r w:rsidRPr="00833865">
        <w:rPr>
          <w:rFonts w:ascii="Times New Roman" w:hAnsi="Times New Roman" w:cs="Times New Roman"/>
          <w:bCs/>
          <w:sz w:val="24"/>
          <w:szCs w:val="24"/>
        </w:rPr>
        <w:t>density and intensity of the gene. The spread of the curve indicates how dispersed the data points are. A wider curve suggests greater variability, while a narrower curve suggests less variability. Concentration of the curve in a specific region indicates where most of the data points lie (</w:t>
      </w:r>
      <w:r w:rsidR="00077205" w:rsidRPr="00077205">
        <w:rPr>
          <w:rFonts w:ascii="Times New Roman" w:hAnsi="Times New Roman" w:cs="Times New Roman"/>
          <w:bCs/>
          <w:sz w:val="24"/>
          <w:szCs w:val="24"/>
        </w:rPr>
        <w:t>Figure</w:t>
      </w:r>
      <w:r w:rsidR="008E764E">
        <w:rPr>
          <w:rFonts w:ascii="Times New Roman" w:hAnsi="Times New Roman" w:cs="Times New Roman"/>
          <w:bCs/>
          <w:sz w:val="24"/>
          <w:szCs w:val="24"/>
        </w:rPr>
        <w:t xml:space="preserve"> </w:t>
      </w:r>
      <w:r w:rsidR="00077205" w:rsidRPr="00077205">
        <w:rPr>
          <w:rFonts w:ascii="Times New Roman" w:hAnsi="Times New Roman" w:cs="Times New Roman"/>
          <w:bCs/>
          <w:sz w:val="24"/>
          <w:szCs w:val="24"/>
        </w:rPr>
        <w:t>6</w:t>
      </w:r>
      <w:r w:rsidRPr="00833865">
        <w:rPr>
          <w:rFonts w:ascii="Times New Roman" w:hAnsi="Times New Roman" w:cs="Times New Roman"/>
          <w:bCs/>
          <w:sz w:val="24"/>
          <w:szCs w:val="24"/>
        </w:rPr>
        <w:t xml:space="preserve">). </w:t>
      </w:r>
      <w:r w:rsidR="008E764E" w:rsidRPr="0079583C">
        <w:rPr>
          <w:rFonts w:ascii="Times New Roman" w:hAnsi="Times New Roman" w:cs="Times New Roman"/>
          <w:bCs/>
          <w:sz w:val="24"/>
          <w:szCs w:val="24"/>
          <w:highlight w:val="yellow"/>
        </w:rPr>
        <w:t>The</w:t>
      </w:r>
      <w:r w:rsidR="008E764E">
        <w:rPr>
          <w:rFonts w:ascii="Times New Roman" w:hAnsi="Times New Roman" w:cs="Times New Roman"/>
          <w:bCs/>
          <w:sz w:val="24"/>
          <w:szCs w:val="24"/>
        </w:rPr>
        <w:t xml:space="preserve"> </w:t>
      </w:r>
      <w:r w:rsidRPr="00833865">
        <w:rPr>
          <w:rFonts w:ascii="Times New Roman" w:hAnsi="Times New Roman" w:cs="Times New Roman"/>
          <w:bCs/>
          <w:sz w:val="24"/>
          <w:szCs w:val="24"/>
        </w:rPr>
        <w:t xml:space="preserve">Histogram plot represents the density, which indicates how many genes have a p-adj value within a certain range. The plot tails off towards both 0.0 and 1.0, indicating that there are fewer genes with very low or very high p-adj values </w:t>
      </w:r>
      <w:r w:rsidRPr="00077205">
        <w:rPr>
          <w:rFonts w:ascii="Times New Roman" w:hAnsi="Times New Roman" w:cs="Times New Roman"/>
          <w:bCs/>
          <w:sz w:val="24"/>
          <w:szCs w:val="24"/>
        </w:rPr>
        <w:t>(</w:t>
      </w:r>
      <w:r w:rsidR="00077205" w:rsidRPr="00077205">
        <w:rPr>
          <w:rFonts w:ascii="Times New Roman" w:hAnsi="Times New Roman" w:cs="Times New Roman"/>
          <w:bCs/>
          <w:sz w:val="24"/>
          <w:szCs w:val="24"/>
        </w:rPr>
        <w:t>Figure</w:t>
      </w:r>
      <w:r w:rsidR="00AB2568">
        <w:rPr>
          <w:rFonts w:ascii="Times New Roman" w:hAnsi="Times New Roman" w:cs="Times New Roman"/>
          <w:bCs/>
          <w:sz w:val="24"/>
          <w:szCs w:val="24"/>
        </w:rPr>
        <w:t xml:space="preserve"> </w:t>
      </w:r>
      <w:r w:rsidR="00077205" w:rsidRPr="00077205">
        <w:rPr>
          <w:rFonts w:ascii="Times New Roman" w:hAnsi="Times New Roman" w:cs="Times New Roman"/>
          <w:bCs/>
          <w:sz w:val="24"/>
          <w:szCs w:val="24"/>
        </w:rPr>
        <w:t>7</w:t>
      </w:r>
      <w:r w:rsidRPr="00833865">
        <w:rPr>
          <w:rFonts w:ascii="Times New Roman" w:hAnsi="Times New Roman" w:cs="Times New Roman"/>
          <w:bCs/>
          <w:sz w:val="24"/>
          <w:szCs w:val="24"/>
        </w:rPr>
        <w:t>). t-statistic quantile plot shows the percentile of t-statistic distribution. The points in this plot align closely with a diagonal line</w:t>
      </w:r>
      <w:r w:rsidR="00AB2568">
        <w:rPr>
          <w:rFonts w:ascii="Times New Roman" w:hAnsi="Times New Roman" w:cs="Times New Roman"/>
          <w:bCs/>
          <w:sz w:val="24"/>
          <w:szCs w:val="24"/>
        </w:rPr>
        <w:t>,</w:t>
      </w:r>
      <w:r w:rsidRPr="00833865">
        <w:rPr>
          <w:rFonts w:ascii="Times New Roman" w:hAnsi="Times New Roman" w:cs="Times New Roman"/>
          <w:bCs/>
          <w:sz w:val="24"/>
          <w:szCs w:val="24"/>
        </w:rPr>
        <w:t xml:space="preserve"> which indicates </w:t>
      </w:r>
      <w:r w:rsidR="00AB2568" w:rsidRPr="0079583C">
        <w:rPr>
          <w:rFonts w:ascii="Times New Roman" w:hAnsi="Times New Roman" w:cs="Times New Roman"/>
          <w:bCs/>
          <w:sz w:val="24"/>
          <w:szCs w:val="24"/>
          <w:highlight w:val="yellow"/>
        </w:rPr>
        <w:t>the</w:t>
      </w:r>
      <w:r w:rsidR="00AB2568">
        <w:rPr>
          <w:rFonts w:ascii="Times New Roman" w:hAnsi="Times New Roman" w:cs="Times New Roman"/>
          <w:bCs/>
          <w:sz w:val="24"/>
          <w:szCs w:val="24"/>
        </w:rPr>
        <w:t xml:space="preserve"> </w:t>
      </w:r>
      <w:r w:rsidRPr="00833865">
        <w:rPr>
          <w:rFonts w:ascii="Times New Roman" w:hAnsi="Times New Roman" w:cs="Times New Roman"/>
          <w:bCs/>
          <w:sz w:val="24"/>
          <w:szCs w:val="24"/>
        </w:rPr>
        <w:t xml:space="preserve">t-statistic distribution closely matches the theoretical distribution </w:t>
      </w:r>
      <w:r w:rsidR="00077205">
        <w:rPr>
          <w:rFonts w:ascii="Times New Roman" w:hAnsi="Times New Roman" w:cs="Times New Roman"/>
          <w:bCs/>
          <w:sz w:val="24"/>
          <w:szCs w:val="24"/>
        </w:rPr>
        <w:t>(Figure</w:t>
      </w:r>
      <w:r w:rsidR="00AB2568">
        <w:rPr>
          <w:rFonts w:ascii="Times New Roman" w:hAnsi="Times New Roman" w:cs="Times New Roman"/>
          <w:bCs/>
          <w:sz w:val="24"/>
          <w:szCs w:val="24"/>
        </w:rPr>
        <w:t xml:space="preserve"> </w:t>
      </w:r>
      <w:r w:rsidR="00077205" w:rsidRPr="00077205">
        <w:rPr>
          <w:rFonts w:ascii="Times New Roman" w:hAnsi="Times New Roman" w:cs="Times New Roman"/>
          <w:bCs/>
          <w:sz w:val="24"/>
          <w:szCs w:val="24"/>
        </w:rPr>
        <w:t>8</w:t>
      </w:r>
      <w:r w:rsidRPr="00833865">
        <w:rPr>
          <w:rFonts w:ascii="Times New Roman" w:hAnsi="Times New Roman" w:cs="Times New Roman"/>
          <w:bCs/>
          <w:sz w:val="24"/>
          <w:szCs w:val="24"/>
        </w:rPr>
        <w:t>).</w:t>
      </w:r>
    </w:p>
    <w:p w14:paraId="00728B37" w14:textId="77777777" w:rsidR="00224767" w:rsidRDefault="00224767" w:rsidP="00224767">
      <w:pPr>
        <w:pStyle w:val="NoSpacing"/>
        <w:spacing w:line="480" w:lineRule="auto"/>
        <w:jc w:val="center"/>
        <w:rPr>
          <w:rFonts w:ascii="Times New Roman" w:hAnsi="Times New Roman" w:cs="Times New Roman"/>
          <w:bCs/>
          <w:sz w:val="24"/>
          <w:szCs w:val="24"/>
        </w:rPr>
      </w:pPr>
      <w:r w:rsidRPr="000244B0">
        <w:rPr>
          <w:rFonts w:ascii="Times New Roman" w:eastAsia="Times New Roman" w:hAnsi="Times New Roman" w:cs="Times New Roman"/>
          <w:noProof/>
          <w:sz w:val="24"/>
          <w:szCs w:val="24"/>
          <w:lang w:val="en-US"/>
        </w:rPr>
        <w:drawing>
          <wp:inline distT="114300" distB="114300" distL="114300" distR="114300" wp14:anchorId="2370BF36" wp14:editId="3764318A">
            <wp:extent cx="4648200" cy="2209800"/>
            <wp:effectExtent l="19050" t="19050" r="19050" b="19050"/>
            <wp:docPr id="1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3"/>
                    <a:srcRect/>
                    <a:stretch>
                      <a:fillRect/>
                    </a:stretch>
                  </pic:blipFill>
                  <pic:spPr>
                    <a:xfrm>
                      <a:off x="0" y="0"/>
                      <a:ext cx="4641694" cy="2206707"/>
                    </a:xfrm>
                    <a:prstGeom prst="rect">
                      <a:avLst/>
                    </a:prstGeom>
                    <a:ln w="12700">
                      <a:solidFill>
                        <a:srgbClr val="000000"/>
                      </a:solidFill>
                      <a:prstDash val="solid"/>
                    </a:ln>
                  </pic:spPr>
                </pic:pic>
              </a:graphicData>
            </a:graphic>
          </wp:inline>
        </w:drawing>
      </w:r>
    </w:p>
    <w:p w14:paraId="45537A1F" w14:textId="77777777" w:rsidR="00224767" w:rsidRDefault="00077205" w:rsidP="00224767">
      <w:pPr>
        <w:pStyle w:val="NoSpacing"/>
        <w:spacing w:line="480" w:lineRule="auto"/>
        <w:jc w:val="center"/>
        <w:rPr>
          <w:rFonts w:ascii="Times New Roman" w:hAnsi="Times New Roman" w:cs="Times New Roman"/>
          <w:bCs/>
          <w:sz w:val="24"/>
          <w:szCs w:val="24"/>
        </w:rPr>
      </w:pPr>
      <w:r>
        <w:rPr>
          <w:rFonts w:ascii="Times New Roman" w:eastAsia="Times New Roman" w:hAnsi="Times New Roman" w:cs="Times New Roman"/>
          <w:sz w:val="24"/>
          <w:szCs w:val="24"/>
        </w:rPr>
        <w:t xml:space="preserve">Figure </w:t>
      </w:r>
      <w:r w:rsidR="00224767" w:rsidRPr="000244B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224767" w:rsidRPr="000244B0">
        <w:rPr>
          <w:rFonts w:ascii="Times New Roman" w:eastAsia="Times New Roman" w:hAnsi="Times New Roman" w:cs="Times New Roman"/>
          <w:sz w:val="24"/>
          <w:szCs w:val="24"/>
        </w:rPr>
        <w:t xml:space="preserve"> Heatmap of top 10 upregulated </w:t>
      </w:r>
      <w:r w:rsidR="00224767">
        <w:rPr>
          <w:rFonts w:ascii="Times New Roman" w:eastAsia="Times New Roman" w:hAnsi="Times New Roman" w:cs="Times New Roman"/>
          <w:sz w:val="24"/>
          <w:szCs w:val="24"/>
        </w:rPr>
        <w:t xml:space="preserve">and </w:t>
      </w:r>
      <w:r w:rsidR="00224767" w:rsidRPr="000244B0">
        <w:rPr>
          <w:rFonts w:ascii="Times New Roman" w:eastAsia="Times New Roman" w:hAnsi="Times New Roman" w:cs="Times New Roman"/>
          <w:sz w:val="24"/>
          <w:szCs w:val="24"/>
        </w:rPr>
        <w:t xml:space="preserve">downregulated </w:t>
      </w:r>
      <w:r w:rsidR="00224767">
        <w:rPr>
          <w:rFonts w:ascii="Times New Roman" w:eastAsia="Times New Roman" w:hAnsi="Times New Roman" w:cs="Times New Roman"/>
          <w:sz w:val="24"/>
          <w:szCs w:val="24"/>
        </w:rPr>
        <w:t>genes</w:t>
      </w:r>
      <w:r w:rsidR="00224767" w:rsidRPr="000244B0">
        <w:rPr>
          <w:rFonts w:ascii="Times New Roman" w:eastAsia="Times New Roman" w:hAnsi="Times New Roman" w:cs="Times New Roman"/>
          <w:sz w:val="24"/>
          <w:szCs w:val="24"/>
        </w:rPr>
        <w:t xml:space="preserve"> </w:t>
      </w:r>
      <w:r w:rsidR="00224767">
        <w:rPr>
          <w:rFonts w:ascii="Times New Roman" w:eastAsia="Times New Roman" w:hAnsi="Times New Roman" w:cs="Times New Roman"/>
          <w:sz w:val="24"/>
          <w:szCs w:val="24"/>
        </w:rPr>
        <w:t>in</w:t>
      </w:r>
      <w:r w:rsidR="00224767" w:rsidRPr="000244B0">
        <w:rPr>
          <w:rFonts w:ascii="Times New Roman" w:eastAsia="Times New Roman" w:hAnsi="Times New Roman" w:cs="Times New Roman"/>
          <w:sz w:val="24"/>
          <w:szCs w:val="24"/>
        </w:rPr>
        <w:t xml:space="preserve"> GSE20916.</w:t>
      </w:r>
    </w:p>
    <w:p w14:paraId="2E80D97F" w14:textId="77777777" w:rsidR="00224767" w:rsidRDefault="00224767" w:rsidP="00224767">
      <w:pPr>
        <w:pStyle w:val="NoSpacing"/>
        <w:spacing w:line="480" w:lineRule="auto"/>
        <w:jc w:val="center"/>
        <w:rPr>
          <w:rFonts w:ascii="Times New Roman" w:hAnsi="Times New Roman" w:cs="Times New Roman"/>
          <w:bCs/>
          <w:sz w:val="24"/>
          <w:szCs w:val="24"/>
        </w:rPr>
      </w:pPr>
      <w:r w:rsidRPr="000244B0">
        <w:rPr>
          <w:rFonts w:ascii="Times New Roman" w:eastAsia="Times New Roman" w:hAnsi="Times New Roman" w:cs="Times New Roman"/>
          <w:noProof/>
          <w:sz w:val="24"/>
          <w:szCs w:val="24"/>
          <w:lang w:val="en-US"/>
        </w:rPr>
        <w:lastRenderedPageBreak/>
        <w:drawing>
          <wp:inline distT="114300" distB="114300" distL="114300" distR="114300" wp14:anchorId="19CD5A72" wp14:editId="76137CAF">
            <wp:extent cx="4676775" cy="2114550"/>
            <wp:effectExtent l="19050" t="19050" r="28575" b="19050"/>
            <wp:docPr id="13"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4"/>
                    <a:srcRect/>
                    <a:stretch>
                      <a:fillRect/>
                    </a:stretch>
                  </pic:blipFill>
                  <pic:spPr>
                    <a:xfrm>
                      <a:off x="0" y="0"/>
                      <a:ext cx="4677049" cy="2114674"/>
                    </a:xfrm>
                    <a:prstGeom prst="rect">
                      <a:avLst/>
                    </a:prstGeom>
                    <a:ln w="12700">
                      <a:solidFill>
                        <a:srgbClr val="000000"/>
                      </a:solidFill>
                      <a:prstDash val="solid"/>
                    </a:ln>
                  </pic:spPr>
                </pic:pic>
              </a:graphicData>
            </a:graphic>
          </wp:inline>
        </w:drawing>
      </w:r>
    </w:p>
    <w:p w14:paraId="2024A119" w14:textId="193DD435" w:rsidR="00224767" w:rsidRPr="000244B0" w:rsidRDefault="00077205" w:rsidP="0022476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w:t>
      </w:r>
      <w:r w:rsidR="00224767" w:rsidRPr="000244B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224767" w:rsidRPr="000244B0">
        <w:rPr>
          <w:rFonts w:ascii="Times New Roman" w:eastAsia="Times New Roman" w:hAnsi="Times New Roman" w:cs="Times New Roman"/>
          <w:sz w:val="24"/>
          <w:szCs w:val="24"/>
        </w:rPr>
        <w:t xml:space="preserve">Heatmap of top 10 upregulated </w:t>
      </w:r>
      <w:r w:rsidR="00224767">
        <w:rPr>
          <w:rFonts w:ascii="Times New Roman" w:eastAsia="Times New Roman" w:hAnsi="Times New Roman" w:cs="Times New Roman"/>
          <w:sz w:val="24"/>
          <w:szCs w:val="24"/>
        </w:rPr>
        <w:t xml:space="preserve">and </w:t>
      </w:r>
      <w:r w:rsidR="00224767" w:rsidRPr="000244B0">
        <w:rPr>
          <w:rFonts w:ascii="Times New Roman" w:eastAsia="Times New Roman" w:hAnsi="Times New Roman" w:cs="Times New Roman"/>
          <w:sz w:val="24"/>
          <w:szCs w:val="24"/>
        </w:rPr>
        <w:t xml:space="preserve">downregulated </w:t>
      </w:r>
      <w:r w:rsidR="00224767">
        <w:rPr>
          <w:rFonts w:ascii="Times New Roman" w:eastAsia="Times New Roman" w:hAnsi="Times New Roman" w:cs="Times New Roman"/>
          <w:sz w:val="24"/>
          <w:szCs w:val="24"/>
        </w:rPr>
        <w:t>genes in</w:t>
      </w:r>
      <w:r w:rsidR="00224767" w:rsidRPr="000244B0">
        <w:rPr>
          <w:rFonts w:ascii="Times New Roman" w:eastAsia="Times New Roman" w:hAnsi="Times New Roman" w:cs="Times New Roman"/>
          <w:sz w:val="24"/>
          <w:szCs w:val="24"/>
        </w:rPr>
        <w:t xml:space="preserve"> GSE184093</w:t>
      </w:r>
    </w:p>
    <w:p w14:paraId="38450C42" w14:textId="77777777" w:rsidR="00CD426A" w:rsidRDefault="00CD426A" w:rsidP="00CD426A">
      <w:pPr>
        <w:pStyle w:val="NormalWeb"/>
        <w:jc w:val="center"/>
      </w:pPr>
      <w:r>
        <w:rPr>
          <w:noProof/>
        </w:rPr>
        <w:drawing>
          <wp:inline distT="0" distB="0" distL="0" distR="0" wp14:anchorId="64A34B65" wp14:editId="67904B6A">
            <wp:extent cx="4656416" cy="2333625"/>
            <wp:effectExtent l="0" t="0" r="0" b="0"/>
            <wp:docPr id="14" name="Picture 14" descr="C:\Users\welcome\Downloads\1739442396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elcome\Downloads\17394423961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0540" cy="2395831"/>
                    </a:xfrm>
                    <a:prstGeom prst="rect">
                      <a:avLst/>
                    </a:prstGeom>
                    <a:noFill/>
                    <a:ln>
                      <a:noFill/>
                    </a:ln>
                  </pic:spPr>
                </pic:pic>
              </a:graphicData>
            </a:graphic>
          </wp:inline>
        </w:drawing>
      </w:r>
    </w:p>
    <w:p w14:paraId="4BF40117" w14:textId="77777777" w:rsidR="00224767" w:rsidRDefault="00077205" w:rsidP="00224767">
      <w:pPr>
        <w:pStyle w:val="NoSpacing"/>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w:t>
      </w:r>
      <w:r w:rsidR="00CD426A" w:rsidRPr="000244B0">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CD426A" w:rsidRPr="000244B0">
        <w:rPr>
          <w:rFonts w:ascii="Times New Roman" w:eastAsia="Times New Roman" w:hAnsi="Times New Roman" w:cs="Times New Roman"/>
          <w:sz w:val="24"/>
          <w:szCs w:val="24"/>
        </w:rPr>
        <w:t xml:space="preserve"> Mean-Difference for the DEGs present in GSE20916</w:t>
      </w:r>
      <w:r w:rsidR="00CD426A">
        <w:rPr>
          <w:rFonts w:ascii="Times New Roman" w:eastAsia="Times New Roman" w:hAnsi="Times New Roman" w:cs="Times New Roman"/>
          <w:sz w:val="24"/>
          <w:szCs w:val="24"/>
        </w:rPr>
        <w:t xml:space="preserve"> and </w:t>
      </w:r>
      <w:r w:rsidR="00CD426A" w:rsidRPr="000244B0">
        <w:rPr>
          <w:rFonts w:ascii="Times New Roman" w:eastAsia="Times New Roman" w:hAnsi="Times New Roman" w:cs="Times New Roman"/>
          <w:sz w:val="24"/>
          <w:szCs w:val="24"/>
        </w:rPr>
        <w:t>GSE184093</w:t>
      </w:r>
    </w:p>
    <w:p w14:paraId="6ADAA346" w14:textId="77777777" w:rsidR="00BF2CF2" w:rsidRDefault="00BF2CF2" w:rsidP="00BF2CF2">
      <w:pPr>
        <w:pStyle w:val="NormalWeb"/>
        <w:jc w:val="center"/>
      </w:pPr>
      <w:r>
        <w:rPr>
          <w:noProof/>
        </w:rPr>
        <w:drawing>
          <wp:inline distT="0" distB="0" distL="0" distR="0" wp14:anchorId="25AA06AA" wp14:editId="06CE637B">
            <wp:extent cx="4951158" cy="2334694"/>
            <wp:effectExtent l="0" t="0" r="1905" b="8890"/>
            <wp:docPr id="15" name="Picture 15" descr="C:\Users\welcome\Downloads\1739443434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elcome\Downloads\173944343425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5100472" cy="2405102"/>
                    </a:xfrm>
                    <a:prstGeom prst="rect">
                      <a:avLst/>
                    </a:prstGeom>
                    <a:noFill/>
                    <a:ln>
                      <a:noFill/>
                    </a:ln>
                  </pic:spPr>
                </pic:pic>
              </a:graphicData>
            </a:graphic>
          </wp:inline>
        </w:drawing>
      </w:r>
    </w:p>
    <w:p w14:paraId="60B69F0D" w14:textId="77777777" w:rsidR="00BF2CF2" w:rsidRDefault="00077205" w:rsidP="00224767">
      <w:pPr>
        <w:pStyle w:val="NoSpacing"/>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5.</w:t>
      </w:r>
      <w:r w:rsidR="00BF2CF2" w:rsidRPr="000244B0">
        <w:rPr>
          <w:rFonts w:ascii="Times New Roman" w:eastAsia="Times New Roman" w:hAnsi="Times New Roman" w:cs="Times New Roman"/>
          <w:sz w:val="24"/>
          <w:szCs w:val="24"/>
        </w:rPr>
        <w:t xml:space="preserve"> Box plot displaying distribution of data and its central tendency for GSE20916</w:t>
      </w:r>
      <w:r w:rsidR="00BF2CF2">
        <w:rPr>
          <w:rFonts w:ascii="Times New Roman" w:eastAsia="Times New Roman" w:hAnsi="Times New Roman" w:cs="Times New Roman"/>
          <w:sz w:val="24"/>
          <w:szCs w:val="24"/>
        </w:rPr>
        <w:t xml:space="preserve"> and </w:t>
      </w:r>
      <w:r w:rsidR="00BF2CF2" w:rsidRPr="000244B0">
        <w:rPr>
          <w:rFonts w:ascii="Times New Roman" w:eastAsia="Times New Roman" w:hAnsi="Times New Roman" w:cs="Times New Roman"/>
          <w:sz w:val="24"/>
          <w:szCs w:val="24"/>
        </w:rPr>
        <w:t>GSE184093</w:t>
      </w:r>
    </w:p>
    <w:p w14:paraId="5900A1D8" w14:textId="77777777" w:rsidR="00077205" w:rsidRDefault="00077205" w:rsidP="00077205">
      <w:pPr>
        <w:pStyle w:val="NormalWeb"/>
        <w:jc w:val="center"/>
      </w:pPr>
      <w:r>
        <w:rPr>
          <w:noProof/>
        </w:rPr>
        <w:drawing>
          <wp:inline distT="0" distB="0" distL="0" distR="0" wp14:anchorId="36CB103E" wp14:editId="273AFAF5">
            <wp:extent cx="5553075" cy="2410414"/>
            <wp:effectExtent l="0" t="0" r="0" b="9525"/>
            <wp:docPr id="16" name="Picture 16" descr="C:\Users\welcome\Downloads\1739443434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elcome\Downloads\173944343423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5441" cy="2502596"/>
                    </a:xfrm>
                    <a:prstGeom prst="rect">
                      <a:avLst/>
                    </a:prstGeom>
                    <a:noFill/>
                    <a:ln>
                      <a:noFill/>
                    </a:ln>
                  </pic:spPr>
                </pic:pic>
              </a:graphicData>
            </a:graphic>
          </wp:inline>
        </w:drawing>
      </w:r>
    </w:p>
    <w:p w14:paraId="084DB96F" w14:textId="77777777" w:rsidR="00077205" w:rsidRDefault="00077205" w:rsidP="00077205">
      <w:pPr>
        <w:pStyle w:val="NoSpacing"/>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6.</w:t>
      </w:r>
      <w:r w:rsidRPr="000244B0">
        <w:rPr>
          <w:rFonts w:ascii="Times New Roman" w:eastAsia="Times New Roman" w:hAnsi="Times New Roman" w:cs="Times New Roman"/>
          <w:sz w:val="24"/>
          <w:szCs w:val="24"/>
        </w:rPr>
        <w:t xml:space="preserve"> Expression density plot for GSE20916</w:t>
      </w:r>
      <w:r>
        <w:rPr>
          <w:rFonts w:ascii="Times New Roman" w:eastAsia="Times New Roman" w:hAnsi="Times New Roman" w:cs="Times New Roman"/>
          <w:sz w:val="24"/>
          <w:szCs w:val="24"/>
        </w:rPr>
        <w:t xml:space="preserve"> and </w:t>
      </w:r>
      <w:r w:rsidRPr="000244B0">
        <w:rPr>
          <w:rFonts w:ascii="Times New Roman" w:eastAsia="Times New Roman" w:hAnsi="Times New Roman" w:cs="Times New Roman"/>
          <w:sz w:val="24"/>
          <w:szCs w:val="24"/>
        </w:rPr>
        <w:t>GSE184093</w:t>
      </w:r>
    </w:p>
    <w:p w14:paraId="28CF8243" w14:textId="77777777" w:rsidR="00077205" w:rsidRDefault="00077205" w:rsidP="00077205">
      <w:pPr>
        <w:pStyle w:val="NormalWeb"/>
        <w:jc w:val="center"/>
      </w:pPr>
      <w:r>
        <w:rPr>
          <w:noProof/>
        </w:rPr>
        <w:drawing>
          <wp:inline distT="0" distB="0" distL="0" distR="0" wp14:anchorId="1CBA5A14" wp14:editId="341E7946">
            <wp:extent cx="5667375" cy="2485322"/>
            <wp:effectExtent l="0" t="0" r="0" b="0"/>
            <wp:docPr id="18" name="Picture 18" descr="C:\Users\welcome\Downloads\1739443434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elcome\Downloads\173944343421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65173" cy="2572063"/>
                    </a:xfrm>
                    <a:prstGeom prst="rect">
                      <a:avLst/>
                    </a:prstGeom>
                    <a:noFill/>
                    <a:ln>
                      <a:noFill/>
                    </a:ln>
                  </pic:spPr>
                </pic:pic>
              </a:graphicData>
            </a:graphic>
          </wp:inline>
        </w:drawing>
      </w:r>
    </w:p>
    <w:p w14:paraId="3BC4FAE3" w14:textId="77777777" w:rsidR="00077205" w:rsidRDefault="00077205" w:rsidP="00224767">
      <w:pPr>
        <w:pStyle w:val="NoSpacing"/>
        <w:spacing w:line="480" w:lineRule="auto"/>
        <w:jc w:val="center"/>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Figure</w:t>
      </w:r>
      <w:r>
        <w:rPr>
          <w:rFonts w:ascii="Times New Roman" w:eastAsia="Times New Roman" w:hAnsi="Times New Roman" w:cs="Times New Roman"/>
          <w:sz w:val="24"/>
          <w:szCs w:val="24"/>
        </w:rPr>
        <w:t xml:space="preserve"> 7.</w:t>
      </w:r>
      <w:r w:rsidRPr="000244B0">
        <w:rPr>
          <w:rFonts w:ascii="Times New Roman" w:eastAsia="Times New Roman" w:hAnsi="Times New Roman" w:cs="Times New Roman"/>
          <w:sz w:val="24"/>
          <w:szCs w:val="24"/>
        </w:rPr>
        <w:t xml:space="preserve"> Histogram of p-value distribution for GSE20916</w:t>
      </w:r>
      <w:r>
        <w:rPr>
          <w:rFonts w:ascii="Times New Roman" w:eastAsia="Times New Roman" w:hAnsi="Times New Roman" w:cs="Times New Roman"/>
          <w:sz w:val="24"/>
          <w:szCs w:val="24"/>
        </w:rPr>
        <w:t xml:space="preserve"> and </w:t>
      </w:r>
      <w:r w:rsidRPr="000244B0">
        <w:rPr>
          <w:rFonts w:ascii="Times New Roman" w:eastAsia="Times New Roman" w:hAnsi="Times New Roman" w:cs="Times New Roman"/>
          <w:sz w:val="24"/>
          <w:szCs w:val="24"/>
        </w:rPr>
        <w:t>GSE184093</w:t>
      </w:r>
    </w:p>
    <w:p w14:paraId="0ED9B94C" w14:textId="77777777" w:rsidR="00077205" w:rsidRDefault="00077205" w:rsidP="00077205">
      <w:pPr>
        <w:pStyle w:val="NormalWeb"/>
        <w:jc w:val="center"/>
      </w:pPr>
      <w:r>
        <w:rPr>
          <w:noProof/>
        </w:rPr>
        <w:lastRenderedPageBreak/>
        <w:drawing>
          <wp:inline distT="0" distB="0" distL="0" distR="0" wp14:anchorId="101F3B43" wp14:editId="19314219">
            <wp:extent cx="5959510" cy="2486025"/>
            <wp:effectExtent l="0" t="0" r="3175" b="0"/>
            <wp:docPr id="21" name="Picture 21" descr="C:\Users\welcome\Downloads\1739443434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elcome\Downloads\173944343420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6150749" cy="2565801"/>
                    </a:xfrm>
                    <a:prstGeom prst="rect">
                      <a:avLst/>
                    </a:prstGeom>
                    <a:noFill/>
                    <a:ln>
                      <a:noFill/>
                    </a:ln>
                  </pic:spPr>
                </pic:pic>
              </a:graphicData>
            </a:graphic>
          </wp:inline>
        </w:drawing>
      </w:r>
    </w:p>
    <w:p w14:paraId="51A6627D" w14:textId="7402BDB5" w:rsidR="00077205" w:rsidRPr="00833865" w:rsidRDefault="00077205" w:rsidP="00224767">
      <w:pPr>
        <w:pStyle w:val="NoSpacing"/>
        <w:spacing w:line="480" w:lineRule="auto"/>
        <w:jc w:val="center"/>
        <w:rPr>
          <w:rFonts w:ascii="Times New Roman" w:hAnsi="Times New Roman" w:cs="Times New Roman"/>
          <w:bCs/>
          <w:sz w:val="24"/>
          <w:szCs w:val="24"/>
        </w:rPr>
      </w:pPr>
      <w:r w:rsidRPr="000244B0">
        <w:rPr>
          <w:rFonts w:ascii="Times New Roman" w:eastAsia="Times New Roman" w:hAnsi="Times New Roman" w:cs="Times New Roman"/>
          <w:sz w:val="24"/>
          <w:szCs w:val="24"/>
        </w:rPr>
        <w:t>Figure</w:t>
      </w:r>
      <w:r>
        <w:rPr>
          <w:rFonts w:ascii="Times New Roman" w:eastAsia="Times New Roman" w:hAnsi="Times New Roman" w:cs="Times New Roman"/>
          <w:sz w:val="24"/>
          <w:szCs w:val="24"/>
        </w:rPr>
        <w:t xml:space="preserve"> 8.</w:t>
      </w:r>
      <w:r w:rsidRPr="000244B0">
        <w:rPr>
          <w:rFonts w:ascii="Times New Roman" w:eastAsia="Times New Roman" w:hAnsi="Times New Roman" w:cs="Times New Roman"/>
          <w:sz w:val="24"/>
          <w:szCs w:val="24"/>
        </w:rPr>
        <w:t xml:space="preserve"> t-statistic quantile plots for GSE20916</w:t>
      </w:r>
      <w:r>
        <w:rPr>
          <w:rFonts w:ascii="Times New Roman" w:eastAsia="Times New Roman" w:hAnsi="Times New Roman" w:cs="Times New Roman"/>
          <w:sz w:val="24"/>
          <w:szCs w:val="24"/>
        </w:rPr>
        <w:t xml:space="preserve"> and </w:t>
      </w:r>
      <w:r w:rsidRPr="000244B0">
        <w:rPr>
          <w:rFonts w:ascii="Times New Roman" w:eastAsia="Times New Roman" w:hAnsi="Times New Roman" w:cs="Times New Roman"/>
          <w:sz w:val="24"/>
          <w:szCs w:val="24"/>
        </w:rPr>
        <w:t>GSE184093</w:t>
      </w:r>
    </w:p>
    <w:p w14:paraId="771D32FE" w14:textId="77777777" w:rsidR="00E73814" w:rsidRPr="00E73814" w:rsidRDefault="00E73814" w:rsidP="00E73814">
      <w:pPr>
        <w:pStyle w:val="NoSpacing"/>
        <w:spacing w:line="480" w:lineRule="auto"/>
        <w:rPr>
          <w:rFonts w:ascii="Times New Roman" w:hAnsi="Times New Roman" w:cs="Times New Roman"/>
          <w:b/>
          <w:sz w:val="24"/>
          <w:szCs w:val="24"/>
        </w:rPr>
      </w:pPr>
      <w:r>
        <w:rPr>
          <w:rFonts w:ascii="Times New Roman" w:hAnsi="Times New Roman" w:cs="Times New Roman"/>
          <w:b/>
          <w:iCs/>
          <w:sz w:val="24"/>
          <w:szCs w:val="24"/>
        </w:rPr>
        <w:t xml:space="preserve">3.2. </w:t>
      </w:r>
      <w:r w:rsidRPr="00E73814">
        <w:rPr>
          <w:rFonts w:ascii="Times New Roman" w:hAnsi="Times New Roman" w:cs="Times New Roman"/>
          <w:b/>
          <w:iCs/>
          <w:sz w:val="24"/>
          <w:szCs w:val="24"/>
        </w:rPr>
        <w:t>GO term enrichment analysis</w:t>
      </w:r>
    </w:p>
    <w:p w14:paraId="363A3575" w14:textId="77777777" w:rsidR="00E73814" w:rsidRPr="00833865" w:rsidRDefault="00E73814" w:rsidP="004E6E78">
      <w:pPr>
        <w:pStyle w:val="NoSpacing"/>
        <w:spacing w:line="480" w:lineRule="auto"/>
        <w:jc w:val="both"/>
        <w:rPr>
          <w:rFonts w:ascii="Times New Roman" w:hAnsi="Times New Roman" w:cs="Times New Roman"/>
          <w:bCs/>
          <w:sz w:val="24"/>
          <w:szCs w:val="24"/>
        </w:rPr>
      </w:pPr>
      <w:r w:rsidRPr="00833865">
        <w:rPr>
          <w:rFonts w:ascii="Times New Roman" w:hAnsi="Times New Roman" w:cs="Times New Roman"/>
          <w:bCs/>
          <w:sz w:val="24"/>
          <w:szCs w:val="24"/>
        </w:rPr>
        <w:t xml:space="preserve">The analysis identified significant enrichment in specific Gene Ontology (GO) categories for both upregulated and downregulated differentially expressed genes (DEGs). Upregulated and downregulated DEGs significantly enriched in </w:t>
      </w:r>
      <w:r w:rsidRPr="00833865">
        <w:rPr>
          <w:rFonts w:ascii="Times New Roman" w:hAnsi="Times New Roman" w:cs="Times New Roman"/>
          <w:bCs/>
          <w:iCs/>
          <w:sz w:val="24"/>
          <w:szCs w:val="24"/>
        </w:rPr>
        <w:t xml:space="preserve">Biological </w:t>
      </w:r>
      <w:r>
        <w:rPr>
          <w:rFonts w:ascii="Times New Roman" w:hAnsi="Times New Roman" w:cs="Times New Roman"/>
          <w:bCs/>
          <w:iCs/>
          <w:sz w:val="24"/>
          <w:szCs w:val="24"/>
        </w:rPr>
        <w:t>P</w:t>
      </w:r>
      <w:r w:rsidRPr="00833865">
        <w:rPr>
          <w:rFonts w:ascii="Times New Roman" w:hAnsi="Times New Roman" w:cs="Times New Roman"/>
          <w:bCs/>
          <w:iCs/>
          <w:sz w:val="24"/>
          <w:szCs w:val="24"/>
        </w:rPr>
        <w:t>rocesses</w:t>
      </w:r>
      <w:r w:rsidRPr="00833865">
        <w:rPr>
          <w:rFonts w:ascii="Times New Roman" w:hAnsi="Times New Roman" w:cs="Times New Roman"/>
          <w:bCs/>
          <w:sz w:val="24"/>
          <w:szCs w:val="24"/>
        </w:rPr>
        <w:t xml:space="preserve"> (BP) including Collagen breakdown (catabolism), extracellular matrix organization and assembly, response to various stimuli (lipopolysaccharide, UV-A radiation, beta-amyloid), promoting type I interferon signaling, and protein complex formation. As for </w:t>
      </w:r>
      <w:r w:rsidRPr="00833865">
        <w:rPr>
          <w:rFonts w:ascii="Times New Roman" w:hAnsi="Times New Roman" w:cs="Times New Roman"/>
          <w:bCs/>
          <w:iCs/>
          <w:sz w:val="24"/>
          <w:szCs w:val="24"/>
        </w:rPr>
        <w:t>Molecular functions</w:t>
      </w:r>
      <w:r w:rsidRPr="00833865">
        <w:rPr>
          <w:rFonts w:ascii="Times New Roman" w:hAnsi="Times New Roman" w:cs="Times New Roman"/>
          <w:bCs/>
          <w:sz w:val="24"/>
          <w:szCs w:val="24"/>
        </w:rPr>
        <w:t xml:space="preserve"> (MF), the DEGs were enriched in Serine and metalloprotease activity (protein breakdown), extracellular matrix structural components, and zinc ion binding. With regards to </w:t>
      </w:r>
      <w:r w:rsidRPr="00833865">
        <w:rPr>
          <w:rFonts w:ascii="Times New Roman" w:hAnsi="Times New Roman" w:cs="Times New Roman"/>
          <w:bCs/>
          <w:iCs/>
          <w:sz w:val="24"/>
          <w:szCs w:val="24"/>
        </w:rPr>
        <w:t>Cellular components</w:t>
      </w:r>
      <w:r w:rsidRPr="00833865">
        <w:rPr>
          <w:rFonts w:ascii="Times New Roman" w:hAnsi="Times New Roman" w:cs="Times New Roman"/>
          <w:bCs/>
          <w:sz w:val="24"/>
          <w:szCs w:val="24"/>
        </w:rPr>
        <w:t xml:space="preserve"> (CC), the DEGs were enriched in Extracellular matrix, exosomes (membrane-bound vesicles), cell surface, collagen trimmers, and Golgi lumen (protein processing compartment).</w:t>
      </w:r>
    </w:p>
    <w:p w14:paraId="722194A7" w14:textId="77777777" w:rsidR="00E73814" w:rsidRPr="00E73814" w:rsidRDefault="00E73814" w:rsidP="00E73814">
      <w:pPr>
        <w:pStyle w:val="NoSpacing"/>
        <w:spacing w:line="480" w:lineRule="auto"/>
        <w:rPr>
          <w:rFonts w:ascii="Times New Roman" w:hAnsi="Times New Roman" w:cs="Times New Roman"/>
          <w:b/>
          <w:bCs/>
          <w:iCs/>
          <w:sz w:val="24"/>
          <w:szCs w:val="24"/>
        </w:rPr>
      </w:pPr>
      <w:r>
        <w:rPr>
          <w:rFonts w:ascii="Times New Roman" w:hAnsi="Times New Roman" w:cs="Times New Roman"/>
          <w:b/>
          <w:bCs/>
          <w:iCs/>
          <w:sz w:val="24"/>
          <w:szCs w:val="24"/>
        </w:rPr>
        <w:t xml:space="preserve">3.3. </w:t>
      </w:r>
      <w:r w:rsidRPr="00E73814">
        <w:rPr>
          <w:rFonts w:ascii="Times New Roman" w:hAnsi="Times New Roman" w:cs="Times New Roman"/>
          <w:b/>
          <w:bCs/>
          <w:iCs/>
          <w:sz w:val="24"/>
          <w:szCs w:val="24"/>
        </w:rPr>
        <w:t>KEGG pathway analysis</w:t>
      </w:r>
    </w:p>
    <w:p w14:paraId="0D50D1FE" w14:textId="77777777" w:rsidR="00E73814" w:rsidRPr="00833865" w:rsidRDefault="00E73814" w:rsidP="004E6E78">
      <w:pPr>
        <w:pStyle w:val="NoSpacing"/>
        <w:spacing w:line="480" w:lineRule="auto"/>
        <w:jc w:val="both"/>
        <w:rPr>
          <w:rFonts w:ascii="Times New Roman" w:hAnsi="Times New Roman" w:cs="Times New Roman"/>
          <w:bCs/>
          <w:sz w:val="24"/>
          <w:szCs w:val="24"/>
        </w:rPr>
      </w:pPr>
      <w:r w:rsidRPr="00833865">
        <w:rPr>
          <w:rFonts w:ascii="Times New Roman" w:hAnsi="Times New Roman" w:cs="Times New Roman"/>
          <w:bCs/>
          <w:sz w:val="24"/>
          <w:szCs w:val="24"/>
        </w:rPr>
        <w:t xml:space="preserve">Upregulated and downregulated DEGs Enriched Pathways: Cell adhesion molecules, Salivary secretion, Calcium signaling pathway, Platelet activation, IL-17 signaling pathway, Neuroactive ligand-receptor interaction, Lipid metabolism: Atherosclerosis, Biosynthesis of cofactors, Viral </w:t>
      </w:r>
      <w:r w:rsidRPr="00833865">
        <w:rPr>
          <w:rFonts w:ascii="Times New Roman" w:hAnsi="Times New Roman" w:cs="Times New Roman"/>
          <w:bCs/>
          <w:sz w:val="24"/>
          <w:szCs w:val="24"/>
        </w:rPr>
        <w:lastRenderedPageBreak/>
        <w:t xml:space="preserve">protein interaction with cytokine and cytokine receptor, Amoebiasis, NF-kappa B signaling pathway, Insulin resistance in colorectal cancer. Upregulated DEGs were found to be associated with pathways involved in cell signaling, immune response, lipid metabolism, and cellular adhesion, which could indicate alterations in these processes in the analyzed dataset. </w:t>
      </w:r>
    </w:p>
    <w:p w14:paraId="7094B28B" w14:textId="77777777" w:rsidR="00E73814" w:rsidRPr="00E73814" w:rsidRDefault="00E73814" w:rsidP="00E73814">
      <w:pPr>
        <w:pStyle w:val="NoSpacing"/>
        <w:spacing w:line="480" w:lineRule="auto"/>
        <w:rPr>
          <w:rFonts w:ascii="Times New Roman" w:hAnsi="Times New Roman" w:cs="Times New Roman"/>
          <w:b/>
          <w:bCs/>
          <w:sz w:val="24"/>
          <w:szCs w:val="24"/>
        </w:rPr>
      </w:pPr>
      <w:r>
        <w:rPr>
          <w:rFonts w:ascii="Times New Roman" w:hAnsi="Times New Roman" w:cs="Times New Roman"/>
          <w:b/>
          <w:bCs/>
          <w:iCs/>
          <w:sz w:val="24"/>
          <w:szCs w:val="24"/>
        </w:rPr>
        <w:t xml:space="preserve">3.4. </w:t>
      </w:r>
      <w:r w:rsidRPr="00E73814">
        <w:rPr>
          <w:rFonts w:ascii="Times New Roman" w:hAnsi="Times New Roman" w:cs="Times New Roman"/>
          <w:b/>
          <w:bCs/>
          <w:iCs/>
          <w:sz w:val="24"/>
          <w:szCs w:val="24"/>
        </w:rPr>
        <w:t>Module screening from the PPI network</w:t>
      </w:r>
    </w:p>
    <w:p w14:paraId="13928452" w14:textId="0A05E83D" w:rsidR="00E73814" w:rsidRDefault="00E73814" w:rsidP="004E6E78">
      <w:pPr>
        <w:pStyle w:val="NoSpacing"/>
        <w:spacing w:line="480" w:lineRule="auto"/>
        <w:jc w:val="both"/>
        <w:rPr>
          <w:rFonts w:ascii="Times New Roman" w:hAnsi="Times New Roman" w:cs="Times New Roman"/>
          <w:bCs/>
          <w:sz w:val="24"/>
          <w:szCs w:val="24"/>
        </w:rPr>
      </w:pPr>
      <w:r w:rsidRPr="00833865">
        <w:rPr>
          <w:rFonts w:ascii="Times New Roman" w:hAnsi="Times New Roman" w:cs="Times New Roman"/>
          <w:bCs/>
          <w:sz w:val="24"/>
          <w:szCs w:val="24"/>
        </w:rPr>
        <w:t xml:space="preserve">The protein-protein interaction (PPI) network was constructed using STRING database and Cytoscape software was used in visualizing and analyzing complex networks. A total of 137 nodes and 500 edges were analyzed, </w:t>
      </w:r>
      <w:r w:rsidR="00A73367" w:rsidRPr="0079583C">
        <w:rPr>
          <w:rFonts w:ascii="Times New Roman" w:hAnsi="Times New Roman" w:cs="Times New Roman"/>
          <w:bCs/>
          <w:sz w:val="24"/>
          <w:szCs w:val="24"/>
          <w:highlight w:val="yellow"/>
        </w:rPr>
        <w:t>and</w:t>
      </w:r>
      <w:r w:rsidR="00A73367" w:rsidRPr="00833865">
        <w:rPr>
          <w:rFonts w:ascii="Times New Roman" w:hAnsi="Times New Roman" w:cs="Times New Roman"/>
          <w:bCs/>
          <w:sz w:val="24"/>
          <w:szCs w:val="24"/>
        </w:rPr>
        <w:t xml:space="preserve"> </w:t>
      </w:r>
      <w:r w:rsidRPr="00833865">
        <w:rPr>
          <w:rFonts w:ascii="Times New Roman" w:hAnsi="Times New Roman" w:cs="Times New Roman"/>
          <w:bCs/>
          <w:sz w:val="24"/>
          <w:szCs w:val="24"/>
        </w:rPr>
        <w:t>then utilized to identify modules or clusters within the PPI network. The Molecular Complex Detection (MCODE) plugin in Cytoscape was used for this purpose. Top Sub-Networks: The PPI sub-networks, representing modules of interacting proteins, were analyzed. In this case, the top three sub-networks were selected for further investigation (</w:t>
      </w:r>
      <w:r w:rsidR="00077205">
        <w:rPr>
          <w:rFonts w:ascii="Times New Roman" w:eastAsia="Times New Roman" w:hAnsi="Times New Roman" w:cs="Times New Roman"/>
          <w:sz w:val="24"/>
          <w:szCs w:val="24"/>
          <w:highlight w:val="white"/>
        </w:rPr>
        <w:t>Figure</w:t>
      </w:r>
      <w:r w:rsidR="00A73367">
        <w:rPr>
          <w:rFonts w:ascii="Times New Roman" w:eastAsia="Times New Roman" w:hAnsi="Times New Roman" w:cs="Times New Roman"/>
          <w:sz w:val="24"/>
          <w:szCs w:val="24"/>
          <w:highlight w:val="white"/>
        </w:rPr>
        <w:t xml:space="preserve"> </w:t>
      </w:r>
      <w:r w:rsidR="00077205" w:rsidRPr="00077205">
        <w:rPr>
          <w:rFonts w:ascii="Times New Roman" w:eastAsia="Times New Roman" w:hAnsi="Times New Roman" w:cs="Times New Roman"/>
          <w:sz w:val="24"/>
          <w:szCs w:val="24"/>
          <w:highlight w:val="white"/>
        </w:rPr>
        <w:t>9</w:t>
      </w:r>
      <w:r w:rsidRPr="00833865">
        <w:rPr>
          <w:rFonts w:ascii="Times New Roman" w:hAnsi="Times New Roman" w:cs="Times New Roman"/>
          <w:bCs/>
          <w:sz w:val="24"/>
          <w:szCs w:val="24"/>
        </w:rPr>
        <w:t>). There were 12 genes involved in sub-network 1, 11 genes involved in sub-network 2 and 7 genes involved in sub-network 3.</w:t>
      </w:r>
      <w:r w:rsidRPr="00833865">
        <w:rPr>
          <w:rFonts w:ascii="Times New Roman" w:hAnsi="Times New Roman" w:cs="Times New Roman"/>
          <w:bCs/>
          <w:i/>
          <w:iCs/>
          <w:sz w:val="24"/>
          <w:szCs w:val="24"/>
        </w:rPr>
        <w:t xml:space="preserve"> </w:t>
      </w:r>
      <w:r w:rsidRPr="00833865">
        <w:rPr>
          <w:rFonts w:ascii="Times New Roman" w:hAnsi="Times New Roman" w:cs="Times New Roman"/>
          <w:bCs/>
          <w:sz w:val="24"/>
          <w:szCs w:val="24"/>
        </w:rPr>
        <w:t xml:space="preserve">GO and KEGG pathway analyses were conducted separately for genes within the top-scored sub-networks. </w:t>
      </w:r>
    </w:p>
    <w:p w14:paraId="76EB0126" w14:textId="77777777" w:rsidR="001D39A3" w:rsidRPr="001D39A3" w:rsidRDefault="001D39A3" w:rsidP="001D39A3">
      <w:pPr>
        <w:pStyle w:val="NormalWeb"/>
        <w:jc w:val="center"/>
      </w:pPr>
      <w:r>
        <w:rPr>
          <w:noProof/>
        </w:rPr>
        <w:drawing>
          <wp:inline distT="0" distB="0" distL="0" distR="0" wp14:anchorId="11C17ADF" wp14:editId="469382EB">
            <wp:extent cx="6038850" cy="1720215"/>
            <wp:effectExtent l="0" t="0" r="0" b="0"/>
            <wp:docPr id="12" name="Picture 12" descr="C:\Users\welcome\Downloads\1739441527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ownloads\173944152736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75342" cy="1730610"/>
                    </a:xfrm>
                    <a:prstGeom prst="rect">
                      <a:avLst/>
                    </a:prstGeom>
                    <a:noFill/>
                    <a:ln>
                      <a:noFill/>
                    </a:ln>
                  </pic:spPr>
                </pic:pic>
              </a:graphicData>
            </a:graphic>
          </wp:inline>
        </w:drawing>
      </w:r>
    </w:p>
    <w:p w14:paraId="3097F3F6" w14:textId="77777777" w:rsidR="009C4633" w:rsidRDefault="00077205" w:rsidP="001D39A3">
      <w:pPr>
        <w:pStyle w:val="NoSpacing"/>
        <w:spacing w:line="480" w:lineRule="auto"/>
        <w:jc w:val="center"/>
        <w:rPr>
          <w:rFonts w:ascii="Times New Roman" w:hAnsi="Times New Roman" w:cs="Times New Roman"/>
          <w:bCs/>
          <w:sz w:val="24"/>
          <w:szCs w:val="24"/>
        </w:rPr>
      </w:pPr>
      <w:r w:rsidRPr="00077205">
        <w:rPr>
          <w:rFonts w:ascii="Times New Roman" w:eastAsia="Times New Roman" w:hAnsi="Times New Roman" w:cs="Times New Roman"/>
          <w:sz w:val="24"/>
          <w:szCs w:val="24"/>
          <w:highlight w:val="white"/>
        </w:rPr>
        <w:t>Figure 9</w:t>
      </w:r>
      <w:r w:rsidRPr="0079583C">
        <w:rPr>
          <w:rFonts w:ascii="Times New Roman" w:eastAsia="Times New Roman" w:hAnsi="Times New Roman" w:cs="Times New Roman"/>
          <w:sz w:val="24"/>
          <w:szCs w:val="24"/>
          <w:highlight w:val="white"/>
        </w:rPr>
        <w:t>.</w:t>
      </w:r>
      <w:r w:rsidR="001D39A3" w:rsidRPr="000244B0">
        <w:rPr>
          <w:rFonts w:ascii="Times New Roman" w:eastAsia="Times New Roman" w:hAnsi="Times New Roman" w:cs="Times New Roman"/>
          <w:color w:val="0D0D0D"/>
          <w:sz w:val="24"/>
          <w:szCs w:val="24"/>
          <w:highlight w:val="white"/>
        </w:rPr>
        <w:t xml:space="preserve"> Top 3 primary modules of PPI sub-network by plug-in MCODE in Cytoscape software</w:t>
      </w:r>
    </w:p>
    <w:p w14:paraId="5076E03C" w14:textId="77777777" w:rsidR="00E73814" w:rsidRPr="00E73814" w:rsidRDefault="00E73814" w:rsidP="004E6E78">
      <w:pPr>
        <w:pStyle w:val="NoSpacing"/>
        <w:spacing w:line="480" w:lineRule="auto"/>
        <w:jc w:val="both"/>
        <w:rPr>
          <w:rFonts w:ascii="Times New Roman" w:hAnsi="Times New Roman" w:cs="Times New Roman"/>
          <w:b/>
          <w:bCs/>
          <w:sz w:val="24"/>
          <w:szCs w:val="24"/>
        </w:rPr>
      </w:pPr>
      <w:r>
        <w:rPr>
          <w:rFonts w:ascii="Times New Roman" w:hAnsi="Times New Roman" w:cs="Times New Roman"/>
          <w:b/>
          <w:bCs/>
          <w:iCs/>
          <w:sz w:val="24"/>
          <w:szCs w:val="24"/>
        </w:rPr>
        <w:t xml:space="preserve">3.5. </w:t>
      </w:r>
      <w:r w:rsidRPr="00E73814">
        <w:rPr>
          <w:rFonts w:ascii="Times New Roman" w:hAnsi="Times New Roman" w:cs="Times New Roman"/>
          <w:b/>
          <w:bCs/>
          <w:iCs/>
          <w:sz w:val="24"/>
          <w:szCs w:val="24"/>
        </w:rPr>
        <w:t>Hub Gene Identification</w:t>
      </w:r>
    </w:p>
    <w:p w14:paraId="7B853CA7" w14:textId="77777777" w:rsidR="00E73814" w:rsidRPr="00833865" w:rsidRDefault="00E73814" w:rsidP="004E6E78">
      <w:pPr>
        <w:pStyle w:val="NoSpacing"/>
        <w:spacing w:line="480" w:lineRule="auto"/>
        <w:jc w:val="both"/>
        <w:rPr>
          <w:rFonts w:ascii="Times New Roman" w:hAnsi="Times New Roman" w:cs="Times New Roman"/>
          <w:bCs/>
          <w:sz w:val="24"/>
          <w:szCs w:val="24"/>
        </w:rPr>
      </w:pPr>
      <w:r w:rsidRPr="00833865">
        <w:rPr>
          <w:rFonts w:ascii="Times New Roman" w:hAnsi="Times New Roman" w:cs="Times New Roman"/>
          <w:bCs/>
          <w:sz w:val="24"/>
          <w:szCs w:val="24"/>
        </w:rPr>
        <w:t xml:space="preserve">Hub genes are highly connected genes within a network and often play crucial roles in cellular processes. In this study, the top 9 hub genes were identified using STRING software, which </w:t>
      </w:r>
      <w:r w:rsidRPr="00833865">
        <w:rPr>
          <w:rFonts w:ascii="Times New Roman" w:hAnsi="Times New Roman" w:cs="Times New Roman"/>
          <w:bCs/>
          <w:sz w:val="24"/>
          <w:szCs w:val="24"/>
        </w:rPr>
        <w:lastRenderedPageBreak/>
        <w:t>integrates information from various sources to predict protein-protein interactions and prioritize hub genes based on their connectivity within the network, the top hub genes were CXCL3, CXCL2, CXCL1, COL1A2, COL1A1, PLAU, MMP1, MMP3 and AGT. All the hub genes were found to be upregulated.</w:t>
      </w:r>
    </w:p>
    <w:p w14:paraId="4174D139" w14:textId="77777777" w:rsidR="00E73814" w:rsidRPr="00E73814" w:rsidRDefault="00E73814" w:rsidP="004E6E78">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Pr="00E73814">
        <w:rPr>
          <w:rFonts w:ascii="Times New Roman" w:hAnsi="Times New Roman" w:cs="Times New Roman"/>
          <w:b/>
          <w:bCs/>
          <w:sz w:val="24"/>
          <w:szCs w:val="24"/>
        </w:rPr>
        <w:t>Identification of biomarkers</w:t>
      </w:r>
    </w:p>
    <w:p w14:paraId="398B499B" w14:textId="1FAB17C5" w:rsidR="00E73814" w:rsidRDefault="00E73814" w:rsidP="004E6E78">
      <w:pPr>
        <w:pStyle w:val="NoSpacing"/>
        <w:spacing w:line="480" w:lineRule="auto"/>
        <w:jc w:val="both"/>
        <w:rPr>
          <w:rFonts w:ascii="Times New Roman" w:hAnsi="Times New Roman" w:cs="Times New Roman"/>
          <w:bCs/>
          <w:sz w:val="24"/>
          <w:szCs w:val="24"/>
        </w:rPr>
      </w:pPr>
      <w:r w:rsidRPr="00833865">
        <w:rPr>
          <w:rFonts w:ascii="Times New Roman" w:hAnsi="Times New Roman" w:cs="Times New Roman"/>
          <w:bCs/>
          <w:sz w:val="24"/>
          <w:szCs w:val="24"/>
        </w:rPr>
        <w:t>CXCL2 and CXCL3 were the top two genes identified as prognostic biomarkers. These genes were related to colorectal cancer survival (</w:t>
      </w:r>
      <w:r w:rsidR="00526A5B" w:rsidRPr="00526A5B">
        <w:rPr>
          <w:rFonts w:ascii="Times New Roman" w:hAnsi="Times New Roman" w:cs="Times New Roman"/>
          <w:bCs/>
          <w:sz w:val="24"/>
          <w:szCs w:val="24"/>
        </w:rPr>
        <w:t>Figures</w:t>
      </w:r>
      <w:r w:rsidR="00AB60A3">
        <w:rPr>
          <w:rFonts w:ascii="Times New Roman" w:hAnsi="Times New Roman" w:cs="Times New Roman"/>
          <w:bCs/>
          <w:sz w:val="24"/>
          <w:szCs w:val="24"/>
        </w:rPr>
        <w:t xml:space="preserve"> </w:t>
      </w:r>
      <w:r w:rsidR="00526A5B" w:rsidRPr="00526A5B">
        <w:rPr>
          <w:rFonts w:ascii="Times New Roman" w:hAnsi="Times New Roman" w:cs="Times New Roman"/>
          <w:bCs/>
          <w:sz w:val="24"/>
          <w:szCs w:val="24"/>
        </w:rPr>
        <w:t>10</w:t>
      </w:r>
      <w:r w:rsidR="003C5268">
        <w:rPr>
          <w:rFonts w:ascii="Times New Roman" w:hAnsi="Times New Roman" w:cs="Times New Roman"/>
          <w:bCs/>
          <w:sz w:val="24"/>
          <w:szCs w:val="24"/>
        </w:rPr>
        <w:t>, 11</w:t>
      </w:r>
      <w:r w:rsidRPr="00833865">
        <w:rPr>
          <w:rFonts w:ascii="Times New Roman" w:hAnsi="Times New Roman" w:cs="Times New Roman"/>
          <w:bCs/>
          <w:sz w:val="24"/>
          <w:szCs w:val="24"/>
        </w:rPr>
        <w:t xml:space="preserve">). Additionally, CXCL1, COL1A1, COL1A2 and PLAU genes were identified to be affected by the sex.     </w:t>
      </w:r>
    </w:p>
    <w:p w14:paraId="2F93873E" w14:textId="77777777" w:rsidR="00526A5B" w:rsidRDefault="00526A5B" w:rsidP="00526A5B">
      <w:pPr>
        <w:pStyle w:val="NormalWeb"/>
        <w:jc w:val="center"/>
      </w:pPr>
      <w:r>
        <w:rPr>
          <w:noProof/>
        </w:rPr>
        <w:drawing>
          <wp:inline distT="0" distB="0" distL="0" distR="0" wp14:anchorId="24125D45" wp14:editId="6F90E91E">
            <wp:extent cx="5638800" cy="2824480"/>
            <wp:effectExtent l="0" t="0" r="0" b="0"/>
            <wp:docPr id="22" name="Picture 22" descr="C:\Users\welcome\Downloads\1739443434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elcome\Downloads\173944343418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52382" cy="2831283"/>
                    </a:xfrm>
                    <a:prstGeom prst="rect">
                      <a:avLst/>
                    </a:prstGeom>
                    <a:noFill/>
                    <a:ln>
                      <a:noFill/>
                    </a:ln>
                  </pic:spPr>
                </pic:pic>
              </a:graphicData>
            </a:graphic>
          </wp:inline>
        </w:drawing>
      </w:r>
    </w:p>
    <w:p w14:paraId="49B81763" w14:textId="77777777" w:rsidR="00526A5B" w:rsidRDefault="00526A5B" w:rsidP="00D80AE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center"/>
        <w:rPr>
          <w:rFonts w:ascii="Times New Roman" w:eastAsia="Times New Roman" w:hAnsi="Times New Roman" w:cs="Times New Roman"/>
          <w:color w:val="0D0D0D"/>
          <w:sz w:val="24"/>
          <w:szCs w:val="24"/>
        </w:rPr>
      </w:pPr>
      <w:r>
        <w:rPr>
          <w:rFonts w:ascii="Times New Roman" w:eastAsia="Times New Roman" w:hAnsi="Times New Roman" w:cs="Times New Roman"/>
          <w:sz w:val="24"/>
          <w:szCs w:val="24"/>
        </w:rPr>
        <w:t>Figure 10.</w:t>
      </w:r>
      <w:r w:rsidRPr="000244B0">
        <w:rPr>
          <w:rFonts w:ascii="Times New Roman" w:eastAsia="Times New Roman" w:hAnsi="Times New Roman" w:cs="Times New Roman"/>
          <w:sz w:val="24"/>
          <w:szCs w:val="24"/>
        </w:rPr>
        <w:t xml:space="preserve"> </w:t>
      </w:r>
      <w:r w:rsidRPr="000244B0">
        <w:rPr>
          <w:rFonts w:ascii="Times New Roman" w:eastAsia="Times New Roman" w:hAnsi="Times New Roman" w:cs="Times New Roman"/>
          <w:color w:val="0D0D0D"/>
          <w:sz w:val="24"/>
          <w:szCs w:val="24"/>
        </w:rPr>
        <w:t xml:space="preserve">Effect of CXCL2 </w:t>
      </w:r>
      <w:r>
        <w:rPr>
          <w:rFonts w:ascii="Times New Roman" w:eastAsia="Times New Roman" w:hAnsi="Times New Roman" w:cs="Times New Roman"/>
          <w:color w:val="0D0D0D"/>
          <w:sz w:val="24"/>
          <w:szCs w:val="24"/>
        </w:rPr>
        <w:t xml:space="preserve">and </w:t>
      </w:r>
      <w:r w:rsidRPr="000244B0">
        <w:rPr>
          <w:rFonts w:ascii="Times New Roman" w:eastAsia="Times New Roman" w:hAnsi="Times New Roman" w:cs="Times New Roman"/>
          <w:color w:val="0D0D0D"/>
          <w:sz w:val="24"/>
          <w:szCs w:val="24"/>
        </w:rPr>
        <w:t>CXCL3</w:t>
      </w:r>
      <w:r>
        <w:rPr>
          <w:rFonts w:ascii="Times New Roman" w:eastAsia="Times New Roman" w:hAnsi="Times New Roman" w:cs="Times New Roman"/>
          <w:color w:val="0D0D0D"/>
          <w:sz w:val="24"/>
          <w:szCs w:val="24"/>
        </w:rPr>
        <w:t xml:space="preserve"> </w:t>
      </w:r>
      <w:r w:rsidRPr="000244B0">
        <w:rPr>
          <w:rFonts w:ascii="Times New Roman" w:eastAsia="Times New Roman" w:hAnsi="Times New Roman" w:cs="Times New Roman"/>
          <w:color w:val="0D0D0D"/>
          <w:sz w:val="24"/>
          <w:szCs w:val="24"/>
        </w:rPr>
        <w:t>expression level on CRC survival.</w:t>
      </w:r>
    </w:p>
    <w:p w14:paraId="3665FDD8" w14:textId="77777777" w:rsidR="003C5268" w:rsidRDefault="003C5268" w:rsidP="00D80AE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center"/>
        <w:rPr>
          <w:rFonts w:ascii="Times New Roman" w:eastAsia="Times New Roman" w:hAnsi="Times New Roman" w:cs="Times New Roman"/>
          <w:color w:val="0D0D0D"/>
          <w:sz w:val="24"/>
          <w:szCs w:val="24"/>
        </w:rPr>
      </w:pPr>
      <w:r w:rsidRPr="000244B0">
        <w:rPr>
          <w:rFonts w:ascii="Times New Roman" w:eastAsia="Times New Roman" w:hAnsi="Times New Roman" w:cs="Times New Roman"/>
          <w:noProof/>
          <w:color w:val="0D0D0D"/>
          <w:sz w:val="24"/>
          <w:szCs w:val="24"/>
          <w:lang w:val="en-US"/>
        </w:rPr>
        <w:lastRenderedPageBreak/>
        <w:drawing>
          <wp:inline distT="114300" distB="114300" distL="114300" distR="114300" wp14:anchorId="254C27ED" wp14:editId="75A464AB">
            <wp:extent cx="5495925" cy="2732726"/>
            <wp:effectExtent l="19050" t="19050" r="9525" b="10795"/>
            <wp:docPr id="33"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2"/>
                    <a:srcRect/>
                    <a:stretch>
                      <a:fillRect/>
                    </a:stretch>
                  </pic:blipFill>
                  <pic:spPr>
                    <a:xfrm>
                      <a:off x="0" y="0"/>
                      <a:ext cx="5488779" cy="2729173"/>
                    </a:xfrm>
                    <a:prstGeom prst="rect">
                      <a:avLst/>
                    </a:prstGeom>
                    <a:ln w="12700">
                      <a:solidFill>
                        <a:srgbClr val="000000"/>
                      </a:solidFill>
                      <a:prstDash val="solid"/>
                    </a:ln>
                  </pic:spPr>
                </pic:pic>
              </a:graphicData>
            </a:graphic>
          </wp:inline>
        </w:drawing>
      </w:r>
    </w:p>
    <w:p w14:paraId="01C808E3" w14:textId="77777777" w:rsidR="003C5268" w:rsidRPr="00D80AE7" w:rsidRDefault="003C5268" w:rsidP="00D80AE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360" w:lineRule="auto"/>
        <w:jc w:val="center"/>
        <w:rPr>
          <w:rFonts w:ascii="Times New Roman" w:eastAsia="Times New Roman" w:hAnsi="Times New Roman" w:cs="Times New Roman"/>
          <w:color w:val="0D0D0D"/>
          <w:sz w:val="24"/>
          <w:szCs w:val="24"/>
        </w:rPr>
      </w:pPr>
      <w:r>
        <w:rPr>
          <w:rFonts w:ascii="Times New Roman" w:eastAsia="Times New Roman" w:hAnsi="Times New Roman" w:cs="Times New Roman"/>
          <w:sz w:val="24"/>
          <w:szCs w:val="24"/>
        </w:rPr>
        <w:t>Figure 11.</w:t>
      </w:r>
      <w:r w:rsidRPr="000244B0">
        <w:rPr>
          <w:rFonts w:ascii="Times New Roman" w:eastAsia="Times New Roman" w:hAnsi="Times New Roman" w:cs="Times New Roman"/>
          <w:sz w:val="24"/>
          <w:szCs w:val="24"/>
        </w:rPr>
        <w:t xml:space="preserve"> </w:t>
      </w:r>
      <w:r w:rsidRPr="000244B0">
        <w:rPr>
          <w:rFonts w:ascii="Times New Roman" w:eastAsia="Times New Roman" w:hAnsi="Times New Roman" w:cs="Times New Roman"/>
          <w:color w:val="1F1F1F"/>
          <w:sz w:val="24"/>
          <w:szCs w:val="24"/>
        </w:rPr>
        <w:t>The expression pattern of identified genes in colon adenocarcinoma</w:t>
      </w:r>
    </w:p>
    <w:p w14:paraId="72098F87" w14:textId="77777777" w:rsidR="00E73814" w:rsidRPr="00E73814" w:rsidRDefault="00E73814" w:rsidP="00E73814">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3.7. </w:t>
      </w:r>
      <w:r w:rsidRPr="00E73814">
        <w:rPr>
          <w:rFonts w:ascii="Times New Roman" w:hAnsi="Times New Roman" w:cs="Times New Roman"/>
          <w:b/>
          <w:bCs/>
          <w:sz w:val="24"/>
          <w:szCs w:val="24"/>
        </w:rPr>
        <w:t>Molecular Docking</w:t>
      </w:r>
    </w:p>
    <w:p w14:paraId="73D42E8B" w14:textId="728457E8" w:rsidR="00E73814" w:rsidRDefault="00E73814" w:rsidP="004E6E78">
      <w:pPr>
        <w:pStyle w:val="NoSpacing"/>
        <w:spacing w:line="480" w:lineRule="auto"/>
        <w:jc w:val="both"/>
        <w:rPr>
          <w:rFonts w:ascii="Times New Roman" w:hAnsi="Times New Roman" w:cs="Times New Roman"/>
          <w:bCs/>
          <w:sz w:val="24"/>
          <w:szCs w:val="24"/>
        </w:rPr>
      </w:pPr>
      <w:r w:rsidRPr="00833865">
        <w:rPr>
          <w:rFonts w:ascii="Times New Roman" w:hAnsi="Times New Roman" w:cs="Times New Roman"/>
          <w:bCs/>
          <w:sz w:val="24"/>
          <w:szCs w:val="24"/>
        </w:rPr>
        <w:t>In accordance with this study, the CRC target genes CXCL2 (PDB id: 6wzj) AND CXCL3 (PDB id: 6wzk) were included.  The PDB database contained the protein crystal structures that corresponded to the targets. The Grid box size and location of the protein binding pockets were predicted using LibDock. Following the loading of target proteins and bioactive compounds into Discovery Studio, the LibDock score was used to determine the affinity value of the optimal binding postures (</w:t>
      </w:r>
      <w:r w:rsidR="001F32E0">
        <w:rPr>
          <w:rFonts w:ascii="Times New Roman" w:hAnsi="Times New Roman" w:cs="Times New Roman"/>
          <w:bCs/>
          <w:sz w:val="24"/>
          <w:szCs w:val="24"/>
        </w:rPr>
        <w:t>Table 1</w:t>
      </w:r>
      <w:r w:rsidRPr="00833865">
        <w:rPr>
          <w:rFonts w:ascii="Times New Roman" w:hAnsi="Times New Roman" w:cs="Times New Roman"/>
          <w:bCs/>
          <w:sz w:val="24"/>
          <w:szCs w:val="24"/>
        </w:rPr>
        <w:t>). Target protein affinity showed an</w:t>
      </w:r>
      <w:r w:rsidRPr="00833865">
        <w:rPr>
          <w:rFonts w:ascii="Times New Roman" w:hAnsi="Times New Roman" w:cs="Times New Roman"/>
          <w:b/>
          <w:sz w:val="24"/>
          <w:szCs w:val="24"/>
        </w:rPr>
        <w:t xml:space="preserve"> </w:t>
      </w:r>
      <w:r w:rsidRPr="00833865">
        <w:rPr>
          <w:rFonts w:ascii="Times New Roman" w:hAnsi="Times New Roman" w:cs="Times New Roman"/>
          <w:bCs/>
          <w:sz w:val="24"/>
          <w:szCs w:val="24"/>
        </w:rPr>
        <w:t>average value of 106.820 kcal/mol.</w:t>
      </w:r>
      <w:r w:rsidRPr="00833865">
        <w:rPr>
          <w:rFonts w:ascii="Times New Roman" w:hAnsi="Times New Roman" w:cs="Times New Roman"/>
          <w:b/>
          <w:sz w:val="24"/>
          <w:szCs w:val="24"/>
        </w:rPr>
        <w:t xml:space="preserve"> </w:t>
      </w:r>
      <w:r w:rsidRPr="00833865">
        <w:rPr>
          <w:rFonts w:ascii="Times New Roman" w:hAnsi="Times New Roman" w:cs="Times New Roman"/>
          <w:bCs/>
          <w:sz w:val="24"/>
          <w:szCs w:val="24"/>
        </w:rPr>
        <w:t>Therefore, the therapeutic benefit of SJZD for CRC treatment has been confirmed at the molecular docking level. The top 5 affinity absolute value complexes were</w:t>
      </w:r>
      <w:r w:rsidR="007F1857">
        <w:rPr>
          <w:rFonts w:ascii="Times New Roman" w:hAnsi="Times New Roman" w:cs="Times New Roman"/>
          <w:bCs/>
          <w:sz w:val="24"/>
          <w:szCs w:val="24"/>
        </w:rPr>
        <w:t xml:space="preserve">: </w:t>
      </w:r>
      <w:r w:rsidRPr="00833865">
        <w:rPr>
          <w:rFonts w:ascii="Times New Roman" w:hAnsi="Times New Roman" w:cs="Times New Roman"/>
          <w:bCs/>
          <w:sz w:val="24"/>
          <w:szCs w:val="24"/>
        </w:rPr>
        <w:t xml:space="preserve">Epigallocatechingallate, Jaranol, </w:t>
      </w:r>
      <w:r w:rsidR="007F1857" w:rsidRPr="00833865">
        <w:rPr>
          <w:rFonts w:ascii="Times New Roman" w:hAnsi="Times New Roman" w:cs="Times New Roman"/>
          <w:bCs/>
          <w:sz w:val="24"/>
          <w:szCs w:val="24"/>
        </w:rPr>
        <w:t>Resveratrol</w:t>
      </w:r>
      <w:r w:rsidR="007F1857">
        <w:rPr>
          <w:rFonts w:ascii="Times New Roman" w:hAnsi="Times New Roman" w:cs="Times New Roman"/>
          <w:bCs/>
          <w:sz w:val="24"/>
          <w:szCs w:val="24"/>
        </w:rPr>
        <w:t xml:space="preserve">, </w:t>
      </w:r>
      <w:r w:rsidR="007F1857" w:rsidRPr="00833865">
        <w:rPr>
          <w:rFonts w:ascii="Times New Roman" w:hAnsi="Times New Roman" w:cs="Times New Roman"/>
          <w:bCs/>
          <w:sz w:val="24"/>
          <w:szCs w:val="24"/>
        </w:rPr>
        <w:t>Kaempferol</w:t>
      </w:r>
      <w:r w:rsidR="007F1857">
        <w:rPr>
          <w:rFonts w:ascii="Times New Roman" w:hAnsi="Times New Roman" w:cs="Times New Roman"/>
          <w:bCs/>
          <w:sz w:val="24"/>
          <w:szCs w:val="24"/>
        </w:rPr>
        <w:t xml:space="preserve"> </w:t>
      </w:r>
      <w:r w:rsidR="007F1857" w:rsidRPr="00833865">
        <w:rPr>
          <w:rFonts w:ascii="Times New Roman" w:hAnsi="Times New Roman" w:cs="Times New Roman"/>
          <w:bCs/>
          <w:sz w:val="24"/>
          <w:szCs w:val="24"/>
        </w:rPr>
        <w:t>and</w:t>
      </w:r>
      <w:r w:rsidR="007F1857">
        <w:rPr>
          <w:rFonts w:ascii="Times New Roman" w:hAnsi="Times New Roman" w:cs="Times New Roman"/>
          <w:bCs/>
          <w:sz w:val="24"/>
          <w:szCs w:val="24"/>
        </w:rPr>
        <w:t xml:space="preserve"> Hesperidin</w:t>
      </w:r>
      <w:r w:rsidRPr="00833865">
        <w:rPr>
          <w:rFonts w:ascii="Times New Roman" w:hAnsi="Times New Roman" w:cs="Times New Roman"/>
          <w:bCs/>
          <w:sz w:val="24"/>
          <w:szCs w:val="24"/>
        </w:rPr>
        <w:t>.</w:t>
      </w:r>
    </w:p>
    <w:p w14:paraId="2E0A8F0C" w14:textId="77777777" w:rsidR="006224C3" w:rsidRPr="009C4633" w:rsidRDefault="001F32E0" w:rsidP="009C4633">
      <w:pPr>
        <w:pStyle w:val="NoSpacing"/>
        <w:spacing w:line="48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Table 1.</w:t>
      </w:r>
      <w:r w:rsidR="006224C3" w:rsidRPr="009C4633">
        <w:rPr>
          <w:rFonts w:ascii="Times New Roman" w:eastAsia="Times New Roman" w:hAnsi="Times New Roman" w:cs="Times New Roman"/>
          <w:b/>
          <w:sz w:val="24"/>
          <w:szCs w:val="24"/>
        </w:rPr>
        <w:t xml:space="preserve"> Molecular </w:t>
      </w:r>
      <w:r w:rsidR="006224C3" w:rsidRPr="009C4633">
        <w:rPr>
          <w:rFonts w:ascii="Times New Roman" w:eastAsia="Times New Roman" w:hAnsi="Times New Roman" w:cs="Times New Roman"/>
          <w:b/>
          <w:sz w:val="24"/>
          <w:szCs w:val="24"/>
          <w:highlight w:val="white"/>
        </w:rPr>
        <w:t>Docking scores</w:t>
      </w:r>
    </w:p>
    <w:tbl>
      <w:tblPr>
        <w:tblW w:w="85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0"/>
        <w:gridCol w:w="4250"/>
        <w:gridCol w:w="1410"/>
      </w:tblGrid>
      <w:tr w:rsidR="004425E6" w:rsidRPr="000244B0" w14:paraId="705AAB70" w14:textId="77777777" w:rsidTr="004425E6">
        <w:trPr>
          <w:trHeight w:val="1007"/>
          <w:jc w:val="center"/>
        </w:trPr>
        <w:tc>
          <w:tcPr>
            <w:tcW w:w="2890" w:type="dxa"/>
            <w:shd w:val="clear" w:color="auto" w:fill="auto"/>
            <w:tcMar>
              <w:top w:w="100" w:type="dxa"/>
              <w:left w:w="100" w:type="dxa"/>
              <w:bottom w:w="100" w:type="dxa"/>
              <w:right w:w="100" w:type="dxa"/>
            </w:tcMar>
          </w:tcPr>
          <w:p w14:paraId="661E7F45" w14:textId="77777777" w:rsidR="004425E6" w:rsidRPr="004425E6" w:rsidRDefault="00952066" w:rsidP="00952066">
            <w:pPr>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of the </w:t>
            </w:r>
            <w:r w:rsidR="004425E6" w:rsidRPr="004425E6">
              <w:rPr>
                <w:rFonts w:ascii="Times New Roman" w:eastAsia="Times New Roman" w:hAnsi="Times New Roman" w:cs="Times New Roman"/>
                <w:b/>
                <w:sz w:val="24"/>
                <w:szCs w:val="24"/>
              </w:rPr>
              <w:t xml:space="preserve">Compounds </w:t>
            </w:r>
          </w:p>
        </w:tc>
        <w:tc>
          <w:tcPr>
            <w:tcW w:w="4250" w:type="dxa"/>
            <w:shd w:val="clear" w:color="auto" w:fill="auto"/>
            <w:tcMar>
              <w:top w:w="100" w:type="dxa"/>
              <w:left w:w="100" w:type="dxa"/>
              <w:bottom w:w="100" w:type="dxa"/>
              <w:right w:w="100" w:type="dxa"/>
            </w:tcMar>
          </w:tcPr>
          <w:p w14:paraId="3B0577F2" w14:textId="77777777" w:rsidR="004425E6" w:rsidRPr="004425E6" w:rsidRDefault="004425E6" w:rsidP="009C4633">
            <w:pPr>
              <w:widowControl w:val="0"/>
              <w:spacing w:line="480" w:lineRule="auto"/>
              <w:jc w:val="center"/>
              <w:rPr>
                <w:rFonts w:ascii="Times New Roman" w:eastAsia="Times New Roman" w:hAnsi="Times New Roman" w:cs="Times New Roman"/>
                <w:b/>
                <w:sz w:val="24"/>
                <w:szCs w:val="24"/>
              </w:rPr>
            </w:pPr>
            <w:r w:rsidRPr="004425E6">
              <w:rPr>
                <w:rFonts w:ascii="Times New Roman" w:eastAsia="Times New Roman" w:hAnsi="Times New Roman" w:cs="Times New Roman"/>
                <w:b/>
                <w:sz w:val="24"/>
                <w:szCs w:val="24"/>
              </w:rPr>
              <w:t>Target protein</w:t>
            </w:r>
          </w:p>
        </w:tc>
        <w:tc>
          <w:tcPr>
            <w:tcW w:w="1410" w:type="dxa"/>
            <w:tcBorders>
              <w:bottom w:val="single" w:sz="6" w:space="0" w:color="000000"/>
            </w:tcBorders>
            <w:shd w:val="clear" w:color="auto" w:fill="auto"/>
            <w:tcMar>
              <w:top w:w="100" w:type="dxa"/>
              <w:left w:w="100" w:type="dxa"/>
              <w:bottom w:w="100" w:type="dxa"/>
              <w:right w:w="100" w:type="dxa"/>
            </w:tcMar>
          </w:tcPr>
          <w:p w14:paraId="5BD75EBF" w14:textId="77777777" w:rsidR="004425E6" w:rsidRPr="004425E6" w:rsidRDefault="004425E6" w:rsidP="00952066">
            <w:pPr>
              <w:widowControl w:val="0"/>
              <w:spacing w:line="480" w:lineRule="auto"/>
              <w:jc w:val="center"/>
              <w:rPr>
                <w:rFonts w:ascii="Times New Roman" w:eastAsia="Times New Roman" w:hAnsi="Times New Roman" w:cs="Times New Roman"/>
                <w:b/>
                <w:sz w:val="24"/>
                <w:szCs w:val="24"/>
              </w:rPr>
            </w:pPr>
            <w:r w:rsidRPr="004425E6">
              <w:rPr>
                <w:rFonts w:ascii="Times New Roman" w:eastAsia="Times New Roman" w:hAnsi="Times New Roman" w:cs="Times New Roman"/>
                <w:b/>
                <w:sz w:val="24"/>
                <w:szCs w:val="24"/>
              </w:rPr>
              <w:t xml:space="preserve">LibDock score </w:t>
            </w:r>
            <w:r w:rsidR="00952066" w:rsidRPr="004425E6">
              <w:rPr>
                <w:rFonts w:ascii="Times New Roman" w:eastAsia="Times New Roman" w:hAnsi="Times New Roman" w:cs="Times New Roman"/>
                <w:b/>
                <w:sz w:val="24"/>
                <w:szCs w:val="24"/>
              </w:rPr>
              <w:lastRenderedPageBreak/>
              <w:t>(Kcal/mol)</w:t>
            </w:r>
          </w:p>
        </w:tc>
      </w:tr>
      <w:tr w:rsidR="004425E6" w:rsidRPr="000244B0" w14:paraId="49569CC1" w14:textId="77777777" w:rsidTr="004425E6">
        <w:trPr>
          <w:trHeight w:val="870"/>
          <w:jc w:val="center"/>
        </w:trPr>
        <w:tc>
          <w:tcPr>
            <w:tcW w:w="2890" w:type="dxa"/>
            <w:shd w:val="clear" w:color="auto" w:fill="auto"/>
            <w:tcMar>
              <w:top w:w="100" w:type="dxa"/>
              <w:left w:w="100" w:type="dxa"/>
              <w:bottom w:w="100" w:type="dxa"/>
              <w:right w:w="100" w:type="dxa"/>
            </w:tcMar>
          </w:tcPr>
          <w:p w14:paraId="616FD0A9"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hyperlink r:id="rId23">
              <w:r w:rsidRPr="000244B0">
                <w:rPr>
                  <w:rFonts w:ascii="Times New Roman" w:eastAsia="Times New Roman" w:hAnsi="Times New Roman" w:cs="Times New Roman"/>
                  <w:sz w:val="24"/>
                  <w:szCs w:val="24"/>
                  <w:highlight w:val="white"/>
                </w:rPr>
                <w:t>Baicalin</w:t>
              </w:r>
            </w:hyperlink>
            <w:r w:rsidRPr="000244B0">
              <w:rPr>
                <w:rFonts w:ascii="Times New Roman" w:eastAsia="Times New Roman" w:hAnsi="Times New Roman" w:cs="Times New Roman"/>
                <w:sz w:val="24"/>
                <w:szCs w:val="24"/>
              </w:rPr>
              <w:t xml:space="preserve"> </w:t>
            </w:r>
          </w:p>
          <w:p w14:paraId="19A4CFAB"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62BF98A7"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p>
          <w:p w14:paraId="6B502E16"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C-X-C motif chemokine ligand 2(CXCL2)</w:t>
            </w:r>
            <w:r w:rsidRPr="000244B0">
              <w:rPr>
                <w:rFonts w:ascii="Times New Roman" w:eastAsia="Times New Roman" w:hAnsi="Times New Roman" w:cs="Times New Roman"/>
                <w:sz w:val="24"/>
                <w:szCs w:val="24"/>
                <w:highlight w:val="white"/>
              </w:rPr>
              <w:t xml:space="preserve"> </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04DFA6"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104.745</w:t>
            </w:r>
          </w:p>
          <w:p w14:paraId="1C04E59C"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02E9405B"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0C714981" w14:textId="77777777" w:rsidTr="004425E6">
        <w:trPr>
          <w:trHeight w:val="1410"/>
          <w:jc w:val="center"/>
        </w:trPr>
        <w:tc>
          <w:tcPr>
            <w:tcW w:w="2890" w:type="dxa"/>
            <w:shd w:val="clear" w:color="auto" w:fill="auto"/>
            <w:tcMar>
              <w:top w:w="100" w:type="dxa"/>
              <w:left w:w="100" w:type="dxa"/>
              <w:bottom w:w="100" w:type="dxa"/>
              <w:right w:w="100" w:type="dxa"/>
            </w:tcMar>
          </w:tcPr>
          <w:p w14:paraId="1AC86CB6"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hyperlink r:id="rId24">
              <w:r w:rsidRPr="000244B0">
                <w:rPr>
                  <w:rFonts w:ascii="Times New Roman" w:eastAsia="Times New Roman" w:hAnsi="Times New Roman" w:cs="Times New Roman"/>
                  <w:sz w:val="24"/>
                  <w:szCs w:val="24"/>
                  <w:highlight w:val="white"/>
                </w:rPr>
                <w:t>Curcumin</w:t>
              </w:r>
            </w:hyperlink>
            <w:r w:rsidRPr="000244B0">
              <w:rPr>
                <w:rFonts w:ascii="Times New Roman" w:eastAsia="Times New Roman" w:hAnsi="Times New Roman" w:cs="Times New Roman"/>
                <w:sz w:val="24"/>
                <w:szCs w:val="24"/>
              </w:rPr>
              <w:t xml:space="preserve"> </w:t>
            </w:r>
          </w:p>
          <w:p w14:paraId="15FF4F5F"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7E94AD66"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 </w:t>
            </w:r>
          </w:p>
          <w:p w14:paraId="28CD239C"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rPr>
              <w:t>C-X-C motif chemokine ligand 2(CXCL2)</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DBCD65"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88.2583</w:t>
            </w:r>
          </w:p>
          <w:p w14:paraId="6B637E98"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62FC846E"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39C6D211" w14:textId="77777777" w:rsidTr="004425E6">
        <w:trPr>
          <w:trHeight w:val="870"/>
          <w:jc w:val="center"/>
        </w:trPr>
        <w:tc>
          <w:tcPr>
            <w:tcW w:w="2890" w:type="dxa"/>
            <w:shd w:val="clear" w:color="auto" w:fill="auto"/>
            <w:tcMar>
              <w:top w:w="100" w:type="dxa"/>
              <w:left w:w="100" w:type="dxa"/>
              <w:bottom w:w="100" w:type="dxa"/>
              <w:right w:w="100" w:type="dxa"/>
            </w:tcMar>
          </w:tcPr>
          <w:p w14:paraId="711D8FA9"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hyperlink r:id="rId25">
              <w:r w:rsidRPr="000244B0">
                <w:rPr>
                  <w:rFonts w:ascii="Times New Roman" w:eastAsia="Times New Roman" w:hAnsi="Times New Roman" w:cs="Times New Roman"/>
                  <w:sz w:val="24"/>
                  <w:szCs w:val="24"/>
                  <w:highlight w:val="white"/>
                </w:rPr>
                <w:t>(-)-Epigallocatechin gallate</w:t>
              </w:r>
              <w:r w:rsidR="00952066">
                <w:rPr>
                  <w:rFonts w:ascii="Times New Roman" w:eastAsia="Times New Roman" w:hAnsi="Times New Roman" w:cs="Times New Roman"/>
                  <w:sz w:val="24"/>
                  <w:szCs w:val="24"/>
                  <w:highlight w:val="white"/>
                </w:rPr>
                <w:t xml:space="preserve">   </w:t>
              </w:r>
            </w:hyperlink>
          </w:p>
          <w:p w14:paraId="161D3045"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78D193DD"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1B228C75"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C-X-C motif chemokine ligand 2(CXCL2)</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73320F"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131.228</w:t>
            </w:r>
          </w:p>
          <w:p w14:paraId="39541CDA"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6AE3A1E6"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04E3DA91" w14:textId="77777777" w:rsidTr="009C4633">
        <w:trPr>
          <w:trHeight w:val="1437"/>
          <w:jc w:val="center"/>
        </w:trPr>
        <w:tc>
          <w:tcPr>
            <w:tcW w:w="2890" w:type="dxa"/>
            <w:shd w:val="clear" w:color="auto" w:fill="auto"/>
            <w:tcMar>
              <w:top w:w="100" w:type="dxa"/>
              <w:left w:w="100" w:type="dxa"/>
              <w:bottom w:w="100" w:type="dxa"/>
              <w:right w:w="100" w:type="dxa"/>
            </w:tcMar>
          </w:tcPr>
          <w:p w14:paraId="1B75A407" w14:textId="77777777" w:rsidR="004425E6" w:rsidRPr="000244B0" w:rsidRDefault="004425E6" w:rsidP="009C4633">
            <w:pPr>
              <w:widowControl w:val="0"/>
              <w:shd w:val="clear" w:color="auto" w:fill="FFFFFF"/>
              <w:spacing w:line="480" w:lineRule="auto"/>
              <w:jc w:val="both"/>
              <w:rPr>
                <w:rFonts w:ascii="Times New Roman" w:eastAsia="Times New Roman" w:hAnsi="Times New Roman" w:cs="Times New Roman"/>
                <w:sz w:val="24"/>
                <w:szCs w:val="24"/>
                <w:highlight w:val="white"/>
              </w:rPr>
            </w:pPr>
            <w:hyperlink r:id="rId26">
              <w:r w:rsidRPr="000244B0">
                <w:rPr>
                  <w:rFonts w:ascii="Times New Roman" w:eastAsia="Times New Roman" w:hAnsi="Times New Roman" w:cs="Times New Roman"/>
                  <w:sz w:val="24"/>
                  <w:szCs w:val="24"/>
                </w:rPr>
                <w:t>Jaranol</w:t>
              </w:r>
            </w:hyperlink>
          </w:p>
          <w:p w14:paraId="0B226FD2" w14:textId="77777777" w:rsidR="004425E6" w:rsidRPr="000244B0" w:rsidRDefault="004425E6" w:rsidP="009C4633">
            <w:pPr>
              <w:widowControl w:val="0"/>
              <w:shd w:val="clear" w:color="auto" w:fill="FFFFFF"/>
              <w:spacing w:line="480" w:lineRule="auto"/>
              <w:jc w:val="both"/>
              <w:rPr>
                <w:rFonts w:ascii="Times New Roman" w:eastAsia="Times New Roman" w:hAnsi="Times New Roman" w:cs="Times New Roman"/>
                <w:sz w:val="24"/>
                <w:szCs w:val="24"/>
                <w:highlight w:val="white"/>
              </w:rPr>
            </w:pPr>
          </w:p>
          <w:p w14:paraId="43288582" w14:textId="77777777" w:rsidR="004425E6" w:rsidRPr="000244B0" w:rsidRDefault="004425E6" w:rsidP="009C4633">
            <w:pPr>
              <w:widowControl w:val="0"/>
              <w:shd w:val="clear" w:color="auto" w:fill="FFFFFF"/>
              <w:spacing w:line="480" w:lineRule="auto"/>
              <w:jc w:val="both"/>
              <w:rPr>
                <w:rFonts w:ascii="Times New Roman" w:eastAsia="Times New Roman" w:hAnsi="Times New Roman" w:cs="Times New Roman"/>
                <w:sz w:val="24"/>
                <w:szCs w:val="24"/>
              </w:rPr>
            </w:pPr>
          </w:p>
          <w:p w14:paraId="0496AB3D"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p>
        </w:tc>
        <w:tc>
          <w:tcPr>
            <w:tcW w:w="4250" w:type="dxa"/>
            <w:shd w:val="clear" w:color="auto" w:fill="auto"/>
            <w:tcMar>
              <w:top w:w="100" w:type="dxa"/>
              <w:left w:w="100" w:type="dxa"/>
              <w:bottom w:w="100" w:type="dxa"/>
              <w:right w:w="100" w:type="dxa"/>
            </w:tcMar>
          </w:tcPr>
          <w:p w14:paraId="233402ED"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1D6107AE"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C-X-C motif chemokine ligand 2(CXCL2)</w:t>
            </w:r>
          </w:p>
        </w:tc>
        <w:tc>
          <w:tcPr>
            <w:tcW w:w="1410" w:type="dxa"/>
            <w:tcBorders>
              <w:top w:val="single" w:sz="6" w:space="0" w:color="000000"/>
              <w:bottom w:val="single" w:sz="6" w:space="0" w:color="000000"/>
            </w:tcBorders>
            <w:shd w:val="clear" w:color="auto" w:fill="auto"/>
            <w:tcMar>
              <w:top w:w="100" w:type="dxa"/>
              <w:left w:w="100" w:type="dxa"/>
              <w:bottom w:w="100" w:type="dxa"/>
              <w:right w:w="100" w:type="dxa"/>
            </w:tcMar>
          </w:tcPr>
          <w:p w14:paraId="2E705FED"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122.068</w:t>
            </w:r>
          </w:p>
          <w:p w14:paraId="281CC60A"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72E63749"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759CE5EA" w14:textId="77777777" w:rsidTr="004425E6">
        <w:trPr>
          <w:trHeight w:val="549"/>
          <w:jc w:val="center"/>
        </w:trPr>
        <w:tc>
          <w:tcPr>
            <w:tcW w:w="2890" w:type="dxa"/>
            <w:shd w:val="clear" w:color="auto" w:fill="auto"/>
            <w:tcMar>
              <w:top w:w="100" w:type="dxa"/>
              <w:left w:w="100" w:type="dxa"/>
              <w:bottom w:w="100" w:type="dxa"/>
              <w:right w:w="100" w:type="dxa"/>
            </w:tcMar>
          </w:tcPr>
          <w:p w14:paraId="3444A7A5"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hyperlink r:id="rId27">
              <w:r w:rsidRPr="000244B0">
                <w:rPr>
                  <w:rFonts w:ascii="Times New Roman" w:eastAsia="Times New Roman" w:hAnsi="Times New Roman" w:cs="Times New Roman"/>
                  <w:sz w:val="24"/>
                  <w:szCs w:val="24"/>
                  <w:highlight w:val="white"/>
                </w:rPr>
                <w:t>Hesperidin</w:t>
              </w:r>
            </w:hyperlink>
          </w:p>
          <w:p w14:paraId="48E03CE8"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5D8D738F"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 </w:t>
            </w:r>
          </w:p>
          <w:p w14:paraId="169728A4"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rPr>
              <w:t>C-X-C motif chemokine ligand 2(CXCL2)</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FEE070"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106.068</w:t>
            </w:r>
          </w:p>
          <w:p w14:paraId="2FF4FFC1"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65046B7F"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6B5B3C01" w14:textId="77777777" w:rsidTr="004425E6">
        <w:trPr>
          <w:trHeight w:val="870"/>
          <w:jc w:val="center"/>
        </w:trPr>
        <w:tc>
          <w:tcPr>
            <w:tcW w:w="2890" w:type="dxa"/>
            <w:shd w:val="clear" w:color="auto" w:fill="auto"/>
            <w:tcMar>
              <w:top w:w="100" w:type="dxa"/>
              <w:left w:w="100" w:type="dxa"/>
              <w:bottom w:w="100" w:type="dxa"/>
              <w:right w:w="100" w:type="dxa"/>
            </w:tcMar>
          </w:tcPr>
          <w:p w14:paraId="1F2D28BD"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hyperlink r:id="rId28">
              <w:r w:rsidRPr="000244B0">
                <w:rPr>
                  <w:rFonts w:ascii="Times New Roman" w:eastAsia="Times New Roman" w:hAnsi="Times New Roman" w:cs="Times New Roman"/>
                  <w:sz w:val="24"/>
                  <w:szCs w:val="24"/>
                  <w:highlight w:val="white"/>
                </w:rPr>
                <w:t>Liquiritin</w:t>
              </w:r>
            </w:hyperlink>
            <w:r w:rsidRPr="000244B0">
              <w:rPr>
                <w:rFonts w:ascii="Times New Roman" w:eastAsia="Times New Roman" w:hAnsi="Times New Roman" w:cs="Times New Roman"/>
                <w:sz w:val="24"/>
                <w:szCs w:val="24"/>
              </w:rPr>
              <w:t xml:space="preserve"> </w:t>
            </w:r>
          </w:p>
          <w:p w14:paraId="22808F56"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3907A451"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 </w:t>
            </w:r>
          </w:p>
          <w:p w14:paraId="75379B9A"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rPr>
              <w:t>C-X-C motif chemokine ligand 3(CXCL3)</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595D86"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99.3404</w:t>
            </w:r>
          </w:p>
          <w:p w14:paraId="0C65E42E"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3BEF6DFC"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6C0293AD" w14:textId="77777777" w:rsidTr="004425E6">
        <w:trPr>
          <w:trHeight w:val="672"/>
          <w:jc w:val="center"/>
        </w:trPr>
        <w:tc>
          <w:tcPr>
            <w:tcW w:w="2890" w:type="dxa"/>
            <w:shd w:val="clear" w:color="auto" w:fill="auto"/>
            <w:tcMar>
              <w:top w:w="100" w:type="dxa"/>
              <w:left w:w="100" w:type="dxa"/>
              <w:bottom w:w="100" w:type="dxa"/>
              <w:right w:w="100" w:type="dxa"/>
            </w:tcMar>
          </w:tcPr>
          <w:p w14:paraId="2619DBF0"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hyperlink r:id="rId29">
              <w:r w:rsidRPr="000244B0">
                <w:rPr>
                  <w:rFonts w:ascii="Times New Roman" w:eastAsia="Times New Roman" w:hAnsi="Times New Roman" w:cs="Times New Roman"/>
                  <w:sz w:val="24"/>
                  <w:szCs w:val="24"/>
                  <w:highlight w:val="white"/>
                </w:rPr>
                <w:t>Kaempferol</w:t>
              </w:r>
            </w:hyperlink>
            <w:r w:rsidRPr="000244B0">
              <w:rPr>
                <w:rFonts w:ascii="Times New Roman" w:eastAsia="Times New Roman" w:hAnsi="Times New Roman" w:cs="Times New Roman"/>
                <w:sz w:val="24"/>
                <w:szCs w:val="24"/>
              </w:rPr>
              <w:t xml:space="preserve"> </w:t>
            </w:r>
          </w:p>
          <w:p w14:paraId="49175D7B"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206A029D"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 </w:t>
            </w:r>
          </w:p>
          <w:p w14:paraId="1DF30D17"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rPr>
              <w:t>C-X-C motif chemokine ligand 3(CXCL3)</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49ECD9"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111.722</w:t>
            </w:r>
          </w:p>
          <w:p w14:paraId="7F0FEADD"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20B21CAB"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51E12DC6" w14:textId="77777777" w:rsidTr="004425E6">
        <w:trPr>
          <w:trHeight w:val="843"/>
          <w:jc w:val="center"/>
        </w:trPr>
        <w:tc>
          <w:tcPr>
            <w:tcW w:w="2890" w:type="dxa"/>
            <w:shd w:val="clear" w:color="auto" w:fill="auto"/>
            <w:tcMar>
              <w:top w:w="100" w:type="dxa"/>
              <w:left w:w="100" w:type="dxa"/>
              <w:bottom w:w="100" w:type="dxa"/>
              <w:right w:w="100" w:type="dxa"/>
            </w:tcMar>
          </w:tcPr>
          <w:p w14:paraId="39E83F98"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hyperlink r:id="rId30">
              <w:r w:rsidRPr="000244B0">
                <w:rPr>
                  <w:rFonts w:ascii="Times New Roman" w:eastAsia="Times New Roman" w:hAnsi="Times New Roman" w:cs="Times New Roman"/>
                  <w:sz w:val="24"/>
                  <w:szCs w:val="24"/>
                  <w:highlight w:val="white"/>
                </w:rPr>
                <w:t>Isorhamnetin</w:t>
              </w:r>
            </w:hyperlink>
            <w:r w:rsidRPr="000244B0">
              <w:rPr>
                <w:rFonts w:ascii="Times New Roman" w:eastAsia="Times New Roman" w:hAnsi="Times New Roman" w:cs="Times New Roman"/>
                <w:sz w:val="24"/>
                <w:szCs w:val="24"/>
              </w:rPr>
              <w:t xml:space="preserve"> </w:t>
            </w:r>
          </w:p>
          <w:p w14:paraId="1DDC8BDA"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30EDF7AC"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 </w:t>
            </w:r>
          </w:p>
          <w:p w14:paraId="34435448"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C-X-C motif chemokine ligand 3(CXCL3)</w:t>
            </w:r>
            <w:r w:rsidRPr="000244B0">
              <w:rPr>
                <w:rFonts w:ascii="Times New Roman" w:eastAsia="Times New Roman" w:hAnsi="Times New Roman" w:cs="Times New Roman"/>
                <w:sz w:val="24"/>
                <w:szCs w:val="24"/>
                <w:highlight w:val="white"/>
              </w:rPr>
              <w:t xml:space="preserve"> </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051CFC"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81.8974</w:t>
            </w:r>
          </w:p>
          <w:p w14:paraId="5D35A651"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6E3A6929"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r w:rsidR="004425E6" w:rsidRPr="000244B0" w14:paraId="57550F11" w14:textId="77777777" w:rsidTr="004425E6">
        <w:trPr>
          <w:trHeight w:val="807"/>
          <w:jc w:val="center"/>
        </w:trPr>
        <w:tc>
          <w:tcPr>
            <w:tcW w:w="2890" w:type="dxa"/>
            <w:shd w:val="clear" w:color="auto" w:fill="auto"/>
            <w:tcMar>
              <w:top w:w="100" w:type="dxa"/>
              <w:left w:w="100" w:type="dxa"/>
              <w:bottom w:w="100" w:type="dxa"/>
              <w:right w:w="100" w:type="dxa"/>
            </w:tcMar>
          </w:tcPr>
          <w:p w14:paraId="46A5E3B7"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hyperlink r:id="rId31">
              <w:r w:rsidRPr="000244B0">
                <w:rPr>
                  <w:rFonts w:ascii="Times New Roman" w:eastAsia="Times New Roman" w:hAnsi="Times New Roman" w:cs="Times New Roman"/>
                  <w:sz w:val="24"/>
                  <w:szCs w:val="24"/>
                  <w:highlight w:val="white"/>
                </w:rPr>
                <w:t>Resveratrol</w:t>
              </w:r>
            </w:hyperlink>
            <w:r w:rsidRPr="000244B0">
              <w:rPr>
                <w:rFonts w:ascii="Times New Roman" w:eastAsia="Times New Roman" w:hAnsi="Times New Roman" w:cs="Times New Roman"/>
                <w:sz w:val="24"/>
                <w:szCs w:val="24"/>
              </w:rPr>
              <w:t xml:space="preserve"> </w:t>
            </w:r>
          </w:p>
          <w:p w14:paraId="651DB4B3"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4250" w:type="dxa"/>
            <w:shd w:val="clear" w:color="auto" w:fill="auto"/>
            <w:tcMar>
              <w:top w:w="100" w:type="dxa"/>
              <w:left w:w="100" w:type="dxa"/>
              <w:bottom w:w="100" w:type="dxa"/>
              <w:right w:w="100" w:type="dxa"/>
            </w:tcMar>
          </w:tcPr>
          <w:p w14:paraId="3FAA3355"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7F802AD4"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C-X-C motif chemokine ligand 3(CXCL3)</w:t>
            </w:r>
          </w:p>
          <w:p w14:paraId="72F7F6E1"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c>
          <w:tcPr>
            <w:tcW w:w="1410" w:type="dxa"/>
            <w:tcBorders>
              <w:top w:val="single" w:sz="6" w:space="0" w:color="000000"/>
            </w:tcBorders>
            <w:shd w:val="clear" w:color="auto" w:fill="auto"/>
            <w:tcMar>
              <w:top w:w="100" w:type="dxa"/>
              <w:left w:w="100" w:type="dxa"/>
              <w:bottom w:w="100" w:type="dxa"/>
              <w:right w:w="100" w:type="dxa"/>
            </w:tcMar>
          </w:tcPr>
          <w:p w14:paraId="2DC71D49"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116.063</w:t>
            </w:r>
          </w:p>
          <w:p w14:paraId="4ABB43A0"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p w14:paraId="0D1E1D41" w14:textId="77777777" w:rsidR="004425E6" w:rsidRPr="000244B0" w:rsidRDefault="004425E6" w:rsidP="009C4633">
            <w:pPr>
              <w:widowControl w:val="0"/>
              <w:spacing w:line="480" w:lineRule="auto"/>
              <w:jc w:val="both"/>
              <w:rPr>
                <w:rFonts w:ascii="Times New Roman" w:eastAsia="Times New Roman" w:hAnsi="Times New Roman" w:cs="Times New Roman"/>
                <w:sz w:val="24"/>
                <w:szCs w:val="24"/>
              </w:rPr>
            </w:pPr>
          </w:p>
        </w:tc>
      </w:tr>
    </w:tbl>
    <w:p w14:paraId="752FF1D0" w14:textId="77777777" w:rsidR="00273577" w:rsidRPr="00833865" w:rsidRDefault="00273577" w:rsidP="009C4633">
      <w:pPr>
        <w:pStyle w:val="NoSpacing"/>
        <w:spacing w:line="480" w:lineRule="auto"/>
        <w:rPr>
          <w:rFonts w:ascii="Times New Roman" w:hAnsi="Times New Roman" w:cs="Times New Roman"/>
          <w:b/>
          <w:sz w:val="24"/>
          <w:szCs w:val="24"/>
        </w:rPr>
      </w:pPr>
    </w:p>
    <w:p w14:paraId="4B5CB551" w14:textId="01BBAF78" w:rsidR="00E73814" w:rsidRDefault="00E73814" w:rsidP="004E6E78">
      <w:pPr>
        <w:pStyle w:val="NoSpacing"/>
        <w:spacing w:line="480" w:lineRule="auto"/>
        <w:jc w:val="both"/>
        <w:rPr>
          <w:rFonts w:ascii="Times New Roman" w:hAnsi="Times New Roman" w:cs="Times New Roman"/>
          <w:bCs/>
          <w:sz w:val="24"/>
          <w:szCs w:val="24"/>
        </w:rPr>
      </w:pPr>
      <w:r w:rsidRPr="00833865">
        <w:rPr>
          <w:rFonts w:ascii="Times New Roman" w:hAnsi="Times New Roman" w:cs="Times New Roman"/>
          <w:bCs/>
          <w:sz w:val="24"/>
          <w:szCs w:val="24"/>
        </w:rPr>
        <w:t xml:space="preserve">EGCG has shown better interaction affinity </w:t>
      </w:r>
      <w:r w:rsidR="00E02961">
        <w:rPr>
          <w:rFonts w:ascii="Times New Roman" w:hAnsi="Times New Roman" w:cs="Times New Roman"/>
          <w:bCs/>
          <w:sz w:val="24"/>
          <w:szCs w:val="24"/>
        </w:rPr>
        <w:t>(</w:t>
      </w:r>
      <w:r w:rsidR="00E02961">
        <w:rPr>
          <w:rFonts w:ascii="Times New Roman" w:eastAsia="Times New Roman" w:hAnsi="Times New Roman" w:cs="Times New Roman"/>
          <w:sz w:val="24"/>
          <w:szCs w:val="24"/>
        </w:rPr>
        <w:t>Figure</w:t>
      </w:r>
      <w:r w:rsidR="00E07789">
        <w:rPr>
          <w:rFonts w:ascii="Times New Roman" w:eastAsia="Times New Roman" w:hAnsi="Times New Roman" w:cs="Times New Roman"/>
          <w:sz w:val="24"/>
          <w:szCs w:val="24"/>
        </w:rPr>
        <w:t xml:space="preserve"> </w:t>
      </w:r>
      <w:r w:rsidR="00E02961">
        <w:rPr>
          <w:rFonts w:ascii="Times New Roman" w:eastAsia="Times New Roman" w:hAnsi="Times New Roman" w:cs="Times New Roman"/>
          <w:sz w:val="24"/>
          <w:szCs w:val="24"/>
        </w:rPr>
        <w:t xml:space="preserve">12) </w:t>
      </w:r>
      <w:r w:rsidRPr="00833865">
        <w:rPr>
          <w:rFonts w:ascii="Times New Roman" w:hAnsi="Times New Roman" w:cs="Times New Roman"/>
          <w:bCs/>
          <w:sz w:val="24"/>
          <w:szCs w:val="24"/>
        </w:rPr>
        <w:t>for the CXCL2 analog and formed the hydrogen bond with valine165 (distance= 2.97) and Van der Waals interaction with valine165, serine166 and threonine164 amino acids. EGCG is a catechin found in green tea known for its antioxidant and anticancer properties. It has been studied for its potential benefits in cancer prevention and treatment due to its ability to modulate various signaling pathways.</w:t>
      </w:r>
    </w:p>
    <w:p w14:paraId="3EA4CEE6" w14:textId="77777777" w:rsidR="00E61565" w:rsidRDefault="00E61565" w:rsidP="00E61565">
      <w:pPr>
        <w:pStyle w:val="NoSpacing"/>
        <w:spacing w:line="480" w:lineRule="auto"/>
        <w:jc w:val="center"/>
        <w:rPr>
          <w:rFonts w:ascii="Times New Roman" w:hAnsi="Times New Roman" w:cs="Times New Roman"/>
          <w:bCs/>
          <w:sz w:val="24"/>
          <w:szCs w:val="24"/>
        </w:rPr>
      </w:pPr>
      <w:r w:rsidRPr="000244B0">
        <w:rPr>
          <w:rFonts w:ascii="Times New Roman" w:eastAsia="Times New Roman" w:hAnsi="Times New Roman" w:cs="Times New Roman"/>
          <w:noProof/>
          <w:sz w:val="24"/>
          <w:szCs w:val="24"/>
          <w:lang w:val="en-US"/>
        </w:rPr>
        <w:lastRenderedPageBreak/>
        <w:drawing>
          <wp:inline distT="114300" distB="114300" distL="114300" distR="114300" wp14:anchorId="3EB6EF74" wp14:editId="0B0D0E62">
            <wp:extent cx="4448175" cy="2819400"/>
            <wp:effectExtent l="0" t="0" r="9525" b="0"/>
            <wp:docPr id="2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2"/>
                    <a:srcRect/>
                    <a:stretch>
                      <a:fillRect/>
                    </a:stretch>
                  </pic:blipFill>
                  <pic:spPr>
                    <a:xfrm>
                      <a:off x="0" y="0"/>
                      <a:ext cx="4448175" cy="2819400"/>
                    </a:xfrm>
                    <a:prstGeom prst="rect">
                      <a:avLst/>
                    </a:prstGeom>
                    <a:ln/>
                  </pic:spPr>
                </pic:pic>
              </a:graphicData>
            </a:graphic>
          </wp:inline>
        </w:drawing>
      </w:r>
    </w:p>
    <w:p w14:paraId="53A22BAA" w14:textId="77777777" w:rsidR="00952066" w:rsidRPr="000244B0" w:rsidRDefault="00952066" w:rsidP="00952066">
      <w:pPr>
        <w:widowControl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12.</w:t>
      </w:r>
      <w:r w:rsidRPr="000244B0">
        <w:rPr>
          <w:rFonts w:ascii="Times New Roman" w:eastAsia="Times New Roman" w:hAnsi="Times New Roman" w:cs="Times New Roman"/>
          <w:sz w:val="24"/>
          <w:szCs w:val="24"/>
        </w:rPr>
        <w:t xml:space="preserve"> </w:t>
      </w:r>
      <w:hyperlink r:id="rId33">
        <w:r>
          <w:rPr>
            <w:rFonts w:ascii="Times New Roman" w:eastAsia="Times New Roman" w:hAnsi="Times New Roman" w:cs="Times New Roman"/>
            <w:sz w:val="24"/>
            <w:szCs w:val="24"/>
            <w:highlight w:val="white"/>
          </w:rPr>
          <w:t xml:space="preserve">Epigallocatechin </w:t>
        </w:r>
        <w:r w:rsidR="00C11A5D">
          <w:rPr>
            <w:rFonts w:ascii="Times New Roman" w:eastAsia="Times New Roman" w:hAnsi="Times New Roman" w:cs="Times New Roman"/>
            <w:sz w:val="24"/>
            <w:szCs w:val="24"/>
            <w:highlight w:val="white"/>
          </w:rPr>
          <w:t>gallate</w:t>
        </w:r>
      </w:hyperlink>
      <w:r>
        <w:rPr>
          <w:rFonts w:ascii="Times New Roman" w:eastAsia="Times New Roman" w:hAnsi="Times New Roman" w:cs="Times New Roman"/>
          <w:sz w:val="24"/>
          <w:szCs w:val="24"/>
        </w:rPr>
        <w:t xml:space="preserve"> showing highest Docking score of </w:t>
      </w:r>
      <w:r w:rsidRPr="000244B0">
        <w:rPr>
          <w:rFonts w:ascii="Times New Roman" w:eastAsia="Times New Roman" w:hAnsi="Times New Roman" w:cs="Times New Roman"/>
          <w:sz w:val="24"/>
          <w:szCs w:val="24"/>
        </w:rPr>
        <w:t>131.228</w:t>
      </w:r>
      <w:r>
        <w:rPr>
          <w:rFonts w:ascii="Times New Roman" w:eastAsia="Times New Roman" w:hAnsi="Times New Roman" w:cs="Times New Roman"/>
          <w:sz w:val="24"/>
          <w:szCs w:val="24"/>
        </w:rPr>
        <w:t xml:space="preserve"> Kcal/mol</w:t>
      </w:r>
    </w:p>
    <w:p w14:paraId="0F71F7FF" w14:textId="77777777" w:rsidR="00E73814" w:rsidRPr="00833865" w:rsidRDefault="00E73814" w:rsidP="004E6E78">
      <w:pPr>
        <w:pStyle w:val="NoSpacing"/>
        <w:spacing w:line="480" w:lineRule="auto"/>
        <w:jc w:val="both"/>
        <w:rPr>
          <w:rFonts w:ascii="Times New Roman" w:hAnsi="Times New Roman" w:cs="Times New Roman"/>
          <w:bCs/>
          <w:sz w:val="24"/>
          <w:szCs w:val="24"/>
        </w:rPr>
      </w:pPr>
      <w:r w:rsidRPr="00833865">
        <w:rPr>
          <w:rFonts w:ascii="Times New Roman" w:hAnsi="Times New Roman" w:cs="Times New Roman"/>
          <w:bCs/>
          <w:sz w:val="24"/>
          <w:szCs w:val="24"/>
        </w:rPr>
        <w:t>Kaempferol has shown the better interaction affinity for the CXCL3 analog and formed the hydrogen bond with threonine164 (distance= 2.99) and Van der Waals interaction with valine165, serine166 and lysine214 amino acids. Kaempferol is a flavonoid present in various plants and fruits with antioxidant, anti-inflammatory, and anticancer properties. It has been investigated for its potential role in cancer prevention and treatment due to its effects on signaling pathways.</w:t>
      </w:r>
    </w:p>
    <w:p w14:paraId="22439FF2" w14:textId="1D6318A8" w:rsidR="00273577" w:rsidRPr="000244B0" w:rsidRDefault="00273577" w:rsidP="00273577">
      <w:pPr>
        <w:tabs>
          <w:tab w:val="left" w:pos="360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07789">
        <w:rPr>
          <w:rFonts w:ascii="Times New Roman" w:eastAsia="Times New Roman" w:hAnsi="Times New Roman" w:cs="Times New Roman"/>
          <w:b/>
          <w:sz w:val="24"/>
          <w:szCs w:val="24"/>
        </w:rPr>
        <w:t xml:space="preserve"> </w:t>
      </w:r>
      <w:r w:rsidRPr="000244B0">
        <w:rPr>
          <w:rFonts w:ascii="Times New Roman" w:eastAsia="Times New Roman" w:hAnsi="Times New Roman" w:cs="Times New Roman"/>
          <w:b/>
          <w:sz w:val="24"/>
          <w:szCs w:val="24"/>
        </w:rPr>
        <w:t>Discussion</w:t>
      </w:r>
      <w:r w:rsidRPr="000244B0">
        <w:rPr>
          <w:rFonts w:ascii="Times New Roman" w:eastAsia="Times New Roman" w:hAnsi="Times New Roman" w:cs="Times New Roman"/>
          <w:b/>
          <w:sz w:val="24"/>
          <w:szCs w:val="24"/>
        </w:rPr>
        <w:tab/>
      </w:r>
    </w:p>
    <w:p w14:paraId="175BC422" w14:textId="77777777" w:rsidR="00273577" w:rsidRPr="000244B0" w:rsidRDefault="00273577" w:rsidP="00273577">
      <w:pPr>
        <w:spacing w:after="160"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 xml:space="preserve">The comprehensive analysis conducted in this study aimed to explore the gene expression profiles associated with colorectal cancer (CRC) and identify potential prognostic biomarkers. Through differential gene expression analysis, a total of 309 upregulated genes and 234 downregulated genes were identified in CRC samples compared to normal samples. The GO term enrichment analysis revealed significant biological processes, molecular functions, and cellular components that are dysregulated in CRC. Specifically, genes involved in collagen breakdown, extracellular matrix organization, and response to various stimuli were found to be significantly enriched among the differentially expressed genes. The top Hub genes </w:t>
      </w:r>
      <w:r w:rsidRPr="000244B0">
        <w:rPr>
          <w:rFonts w:ascii="Times New Roman" w:eastAsia="Times New Roman" w:hAnsi="Times New Roman" w:cs="Times New Roman"/>
          <w:color w:val="0D0D0D"/>
          <w:sz w:val="24"/>
          <w:szCs w:val="24"/>
          <w:highlight w:val="white"/>
        </w:rPr>
        <w:t xml:space="preserve">CXCL3, CXCL2, CXCL1, COL1A2, </w:t>
      </w:r>
      <w:r w:rsidRPr="000244B0">
        <w:rPr>
          <w:rFonts w:ascii="Times New Roman" w:eastAsia="Times New Roman" w:hAnsi="Times New Roman" w:cs="Times New Roman"/>
          <w:color w:val="0D0D0D"/>
          <w:sz w:val="24"/>
          <w:szCs w:val="24"/>
          <w:highlight w:val="white"/>
        </w:rPr>
        <w:lastRenderedPageBreak/>
        <w:t>COL1A1, PLAU, MMP1, MMP3 and AGT were identified.</w:t>
      </w:r>
      <w:r w:rsidRPr="000244B0">
        <w:rPr>
          <w:rFonts w:ascii="Times New Roman" w:eastAsia="Times New Roman" w:hAnsi="Times New Roman" w:cs="Times New Roman"/>
          <w:sz w:val="24"/>
          <w:szCs w:val="24"/>
        </w:rPr>
        <w:t xml:space="preserve"> These findings suggest alterations in key cellular processes and signaling pathways in CRC pathogenesis.</w:t>
      </w:r>
    </w:p>
    <w:p w14:paraId="36800F30" w14:textId="77777777" w:rsidR="00273577" w:rsidRDefault="00273577" w:rsidP="00273577">
      <w:pPr>
        <w:spacing w:after="160" w:line="480" w:lineRule="auto"/>
        <w:jc w:val="both"/>
        <w:rPr>
          <w:rFonts w:ascii="Times New Roman" w:eastAsia="Times New Roman" w:hAnsi="Times New Roman" w:cs="Times New Roman"/>
          <w:sz w:val="24"/>
          <w:szCs w:val="24"/>
        </w:rPr>
      </w:pPr>
      <w:r w:rsidRPr="000244B0">
        <w:rPr>
          <w:rFonts w:ascii="Times New Roman" w:eastAsia="Times New Roman" w:hAnsi="Times New Roman" w:cs="Times New Roman"/>
          <w:sz w:val="24"/>
          <w:szCs w:val="24"/>
        </w:rPr>
        <w:t>Moreover, the KEGG pathway analysis highlighted important pathways associated with CRC development, including cell adhesion molecules, calcium signaling pathways, and lipid metabolism. The upregulated DEGs were primarily associated with cell signaling, immune response, and cellular adhesion pathways, indicating potential dysregulation in essential biological mechanisms contributing to CRC progression and the prognostic biomarkers CXCL2 and CXCL3 were identified. The molecular docking analysis identified potential therapeutic compounds for CRC treatment, with compounds such as EGCG, Jaranol and Kaempferol showing promising affinity for target proteins associated with CRC. These findings suggest the potential utility of these compounds as candidates for further investigation in CRC treatment strategies.</w:t>
      </w:r>
    </w:p>
    <w:p w14:paraId="69D37F2C" w14:textId="74EBEFA8" w:rsidR="0042460C" w:rsidRPr="0042460C" w:rsidRDefault="0042460C" w:rsidP="00273577">
      <w:pPr>
        <w:spacing w:after="160" w:line="480" w:lineRule="auto"/>
        <w:jc w:val="both"/>
        <w:rPr>
          <w:rFonts w:ascii="Times New Roman" w:eastAsia="Times New Roman" w:hAnsi="Times New Roman" w:cs="Times New Roman"/>
          <w:b/>
          <w:sz w:val="24"/>
          <w:szCs w:val="24"/>
        </w:rPr>
      </w:pPr>
      <w:r w:rsidRPr="0042460C">
        <w:rPr>
          <w:rFonts w:ascii="Times New Roman" w:eastAsia="Times New Roman" w:hAnsi="Times New Roman" w:cs="Times New Roman"/>
          <w:b/>
          <w:sz w:val="24"/>
          <w:szCs w:val="24"/>
        </w:rPr>
        <w:t>5.</w:t>
      </w:r>
      <w:r w:rsidR="00FA2F12">
        <w:rPr>
          <w:rFonts w:ascii="Times New Roman" w:eastAsia="Times New Roman" w:hAnsi="Times New Roman" w:cs="Times New Roman"/>
          <w:b/>
          <w:sz w:val="24"/>
          <w:szCs w:val="24"/>
        </w:rPr>
        <w:t xml:space="preserve"> </w:t>
      </w:r>
      <w:r w:rsidRPr="0042460C">
        <w:rPr>
          <w:rFonts w:ascii="Times New Roman" w:eastAsia="Times New Roman" w:hAnsi="Times New Roman" w:cs="Times New Roman"/>
          <w:b/>
          <w:sz w:val="24"/>
          <w:szCs w:val="24"/>
        </w:rPr>
        <w:t>Conclusion</w:t>
      </w:r>
    </w:p>
    <w:p w14:paraId="71C2B9E9" w14:textId="77777777" w:rsidR="00273577" w:rsidRDefault="00E963E0" w:rsidP="00273577">
      <w:pPr>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73577" w:rsidRPr="000244B0">
        <w:rPr>
          <w:rFonts w:ascii="Times New Roman" w:eastAsia="Times New Roman" w:hAnsi="Times New Roman" w:cs="Times New Roman"/>
          <w:sz w:val="24"/>
          <w:szCs w:val="24"/>
        </w:rPr>
        <w:t xml:space="preserve">his study contributes to the understanding of CRC pathogenesis and offers potential avenues for personalized medicine and targeted therapy in CRC management. Future research should focus on experimentally validating the functional roles of identified prognostic biomarkers in CRC pathogenesis and disease progression. Functional studies can provide crucial mechanistic insights into how these biomarkers influence tumor biology and impact patient outcomes. Developing biomarker panels that encompass a range of molecular signatures, including gene expression profiles, protein levels, and genetic mutations, can improve the accuracy of prognostic assessments and enable personalized treatment strategies for CRC patients (Van Cutsem E et al., 2010). </w:t>
      </w:r>
    </w:p>
    <w:p w14:paraId="3AF4C824" w14:textId="77777777" w:rsidR="00AC46E5" w:rsidRDefault="00AC46E5" w:rsidP="00AC46E5">
      <w:pPr>
        <w:spacing w:line="480" w:lineRule="auto"/>
        <w:jc w:val="both"/>
        <w:rPr>
          <w:rFonts w:ascii="Times New Roman" w:eastAsia="Times New Roman" w:hAnsi="Times New Roman" w:cs="Times New Roman"/>
          <w:b/>
          <w:sz w:val="24"/>
          <w:szCs w:val="24"/>
        </w:rPr>
      </w:pPr>
      <w:r w:rsidRPr="00E8743F">
        <w:rPr>
          <w:rFonts w:ascii="Times New Roman" w:eastAsia="Times New Roman" w:hAnsi="Times New Roman" w:cs="Times New Roman"/>
          <w:b/>
          <w:sz w:val="24"/>
          <w:szCs w:val="24"/>
          <w:highlight w:val="white"/>
        </w:rPr>
        <w:t>Abbreviations</w:t>
      </w:r>
    </w:p>
    <w:p w14:paraId="5BAED083"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CRC - colorectal cancer</w:t>
      </w:r>
    </w:p>
    <w:p w14:paraId="5C821DB6"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DEGs - Differentially Expressed Genes </w:t>
      </w:r>
    </w:p>
    <w:p w14:paraId="06BAAD15"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EGCG</w:t>
      </w:r>
      <w:r>
        <w:rPr>
          <w:rFonts w:ascii="Times New Roman" w:eastAsia="Times New Roman" w:hAnsi="Times New Roman" w:cs="Times New Roman"/>
          <w:sz w:val="24"/>
          <w:szCs w:val="24"/>
        </w:rPr>
        <w:t xml:space="preserve"> - </w:t>
      </w:r>
      <w:r>
        <w:rPr>
          <w:rFonts w:ascii="Times New Roman" w:hAnsi="Times New Roman" w:cs="Times New Roman"/>
          <w:sz w:val="24"/>
          <w:szCs w:val="24"/>
          <w:highlight w:val="white"/>
        </w:rPr>
        <w:t>Epigallocatechin</w:t>
      </w:r>
      <w:r w:rsidRPr="00E8743F">
        <w:rPr>
          <w:rFonts w:ascii="Times New Roman" w:hAnsi="Times New Roman" w:cs="Times New Roman"/>
          <w:sz w:val="24"/>
          <w:szCs w:val="24"/>
          <w:highlight w:val="white"/>
        </w:rPr>
        <w:t>gallate</w:t>
      </w:r>
      <w:r>
        <w:rPr>
          <w:rFonts w:ascii="Times New Roman" w:eastAsia="Times New Roman" w:hAnsi="Times New Roman" w:cs="Times New Roman"/>
          <w:sz w:val="24"/>
          <w:szCs w:val="24"/>
        </w:rPr>
        <w:t xml:space="preserve"> </w:t>
      </w:r>
    </w:p>
    <w:p w14:paraId="428EA990"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DAVID - Database for Annotation, Visualization, and Integrated Discovery </w:t>
      </w:r>
    </w:p>
    <w:p w14:paraId="760BD638"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KEGG – Kyoto Encyclopedia of Genes and Genomes</w:t>
      </w:r>
    </w:p>
    <w:p w14:paraId="3F262B8A"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 – Gene Ontology</w:t>
      </w:r>
    </w:p>
    <w:p w14:paraId="36611717"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 – Gene Expression Omnibus</w:t>
      </w:r>
    </w:p>
    <w:p w14:paraId="45BF8B8C"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GSE – Genomic Spatial Event database</w:t>
      </w:r>
    </w:p>
    <w:p w14:paraId="60594A8E"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TCGA - The Cancer Genome Atlas</w:t>
      </w:r>
    </w:p>
    <w:p w14:paraId="5C8E1B7A" w14:textId="77777777" w:rsidR="00AC46E5" w:rsidRDefault="00AC46E5" w:rsidP="00AC46E5">
      <w:pPr>
        <w:spacing w:line="480" w:lineRule="auto"/>
        <w:rPr>
          <w:rFonts w:ascii="Times New Roman" w:eastAsia="Times New Roman" w:hAnsi="Times New Roman" w:cs="Times New Roman"/>
          <w:bCs/>
          <w:iCs/>
          <w:sz w:val="24"/>
          <w:szCs w:val="24"/>
        </w:rPr>
      </w:pPr>
      <w:r w:rsidRPr="00E8743F">
        <w:rPr>
          <w:rFonts w:ascii="Times New Roman" w:eastAsia="Times New Roman" w:hAnsi="Times New Roman" w:cs="Times New Roman"/>
          <w:bCs/>
          <w:iCs/>
          <w:sz w:val="24"/>
          <w:szCs w:val="24"/>
        </w:rPr>
        <w:t>PPI</w:t>
      </w:r>
      <w:r>
        <w:rPr>
          <w:rFonts w:ascii="Times New Roman" w:eastAsia="Times New Roman" w:hAnsi="Times New Roman" w:cs="Times New Roman"/>
          <w:bCs/>
          <w:iCs/>
          <w:sz w:val="24"/>
          <w:szCs w:val="24"/>
        </w:rPr>
        <w:t xml:space="preserve"> - protein-protein interaction </w:t>
      </w:r>
    </w:p>
    <w:p w14:paraId="52C0F4C1" w14:textId="77777777" w:rsidR="00AC46E5" w:rsidRDefault="00AC46E5" w:rsidP="00AC46E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PDB - Protein Data Bank </w:t>
      </w:r>
    </w:p>
    <w:p w14:paraId="4F7A7D5C" w14:textId="77777777" w:rsidR="00AC46E5" w:rsidRDefault="00AC46E5" w:rsidP="00AC46E5">
      <w:pPr>
        <w:spacing w:line="480"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MCODE - Molecular Complex Detection </w:t>
      </w:r>
    </w:p>
    <w:p w14:paraId="57F7F464" w14:textId="77777777" w:rsidR="00DE2886" w:rsidRPr="00DE2886" w:rsidRDefault="00DE2886" w:rsidP="00DE2886">
      <w:pPr>
        <w:spacing w:after="200"/>
        <w:rPr>
          <w:rFonts w:ascii="Calibri" w:eastAsia="Calibri" w:hAnsi="Calibri" w:cs="Times New Roman"/>
          <w:kern w:val="2"/>
          <w:highlight w:val="yellow"/>
          <w:lang w:val="en-US"/>
        </w:rPr>
      </w:pPr>
      <w:bookmarkStart w:id="1" w:name="_Hlk180402183"/>
      <w:r w:rsidRPr="00DE2886">
        <w:rPr>
          <w:rFonts w:ascii="Calibri" w:eastAsia="Calibri" w:hAnsi="Calibri" w:cs="Times New Roman"/>
          <w:kern w:val="2"/>
          <w:highlight w:val="yellow"/>
          <w:lang w:val="en-US"/>
        </w:rPr>
        <w:t>Disclaimer (Artificial intelligence)</w:t>
      </w:r>
    </w:p>
    <w:p w14:paraId="5E677898" w14:textId="77777777" w:rsidR="00DE2886" w:rsidRPr="00DE2886" w:rsidRDefault="00DE2886" w:rsidP="00DE2886">
      <w:pPr>
        <w:spacing w:after="200"/>
        <w:rPr>
          <w:rFonts w:ascii="Calibri" w:eastAsia="Calibri" w:hAnsi="Calibri" w:cs="Times New Roman"/>
          <w:kern w:val="2"/>
          <w:highlight w:val="yellow"/>
          <w:lang w:val="en-US"/>
        </w:rPr>
      </w:pPr>
      <w:r w:rsidRPr="00DE2886">
        <w:rPr>
          <w:rFonts w:ascii="Calibri" w:eastAsia="Calibri" w:hAnsi="Calibri" w:cs="Times New Roman"/>
          <w:kern w:val="2"/>
          <w:highlight w:val="yellow"/>
          <w:lang w:val="en-US"/>
        </w:rPr>
        <w:t xml:space="preserve">Option 1: </w:t>
      </w:r>
    </w:p>
    <w:p w14:paraId="428A3802" w14:textId="77777777" w:rsidR="00DE2886" w:rsidRPr="00DE2886" w:rsidRDefault="00DE2886" w:rsidP="00DE2886">
      <w:pPr>
        <w:spacing w:after="200"/>
        <w:rPr>
          <w:rFonts w:ascii="Calibri" w:eastAsia="Calibri" w:hAnsi="Calibri" w:cs="Times New Roman"/>
          <w:kern w:val="2"/>
          <w:highlight w:val="yellow"/>
          <w:lang w:val="en-US"/>
        </w:rPr>
      </w:pPr>
      <w:r w:rsidRPr="00DE2886">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B9387EE" w14:textId="77777777" w:rsidR="00DE2886" w:rsidRPr="00DE2886" w:rsidRDefault="00DE2886" w:rsidP="00DE2886">
      <w:pPr>
        <w:spacing w:after="200"/>
        <w:rPr>
          <w:rFonts w:ascii="Calibri" w:eastAsia="Calibri" w:hAnsi="Calibri" w:cs="Times New Roman"/>
          <w:kern w:val="2"/>
          <w:highlight w:val="yellow"/>
          <w:lang w:val="en-US"/>
        </w:rPr>
      </w:pPr>
      <w:r w:rsidRPr="00DE2886">
        <w:rPr>
          <w:rFonts w:ascii="Calibri" w:eastAsia="Calibri" w:hAnsi="Calibri" w:cs="Times New Roman"/>
          <w:kern w:val="2"/>
          <w:highlight w:val="yellow"/>
          <w:lang w:val="en-US"/>
        </w:rPr>
        <w:t xml:space="preserve">Option 2: </w:t>
      </w:r>
    </w:p>
    <w:p w14:paraId="75D2A22E" w14:textId="77777777" w:rsidR="00DE2886" w:rsidRPr="00DE2886" w:rsidRDefault="00DE2886" w:rsidP="00DE2886">
      <w:pPr>
        <w:spacing w:after="200"/>
        <w:rPr>
          <w:rFonts w:ascii="Calibri" w:eastAsia="Calibri" w:hAnsi="Calibri" w:cs="Times New Roman"/>
          <w:kern w:val="2"/>
          <w:highlight w:val="yellow"/>
          <w:lang w:val="en-US"/>
        </w:rPr>
      </w:pPr>
      <w:r w:rsidRPr="00DE2886">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A4AE0E" w14:textId="77777777" w:rsidR="00DE2886" w:rsidRPr="00DE2886" w:rsidRDefault="00DE2886" w:rsidP="00DE2886">
      <w:pPr>
        <w:spacing w:after="200"/>
        <w:rPr>
          <w:rFonts w:ascii="Calibri" w:eastAsia="Calibri" w:hAnsi="Calibri" w:cs="Times New Roman"/>
          <w:kern w:val="2"/>
          <w:highlight w:val="yellow"/>
          <w:lang w:val="en-US"/>
        </w:rPr>
      </w:pPr>
      <w:r w:rsidRPr="00DE2886">
        <w:rPr>
          <w:rFonts w:ascii="Calibri" w:eastAsia="Calibri" w:hAnsi="Calibri" w:cs="Times New Roman"/>
          <w:kern w:val="2"/>
          <w:highlight w:val="yellow"/>
          <w:lang w:val="en-US"/>
        </w:rPr>
        <w:t>Details of the AI usage are given below:</w:t>
      </w:r>
    </w:p>
    <w:p w14:paraId="44B625EE" w14:textId="77777777" w:rsidR="00DE2886" w:rsidRPr="00DE2886" w:rsidRDefault="00DE2886" w:rsidP="00DE2886">
      <w:pPr>
        <w:spacing w:after="200"/>
        <w:rPr>
          <w:rFonts w:ascii="Calibri" w:eastAsia="Calibri" w:hAnsi="Calibri" w:cs="Times New Roman"/>
          <w:kern w:val="2"/>
          <w:highlight w:val="yellow"/>
          <w:lang w:val="en-US"/>
        </w:rPr>
      </w:pPr>
      <w:r w:rsidRPr="00DE2886">
        <w:rPr>
          <w:rFonts w:ascii="Calibri" w:eastAsia="Calibri" w:hAnsi="Calibri" w:cs="Times New Roman"/>
          <w:kern w:val="2"/>
          <w:highlight w:val="yellow"/>
          <w:lang w:val="en-US"/>
        </w:rPr>
        <w:t>1.</w:t>
      </w:r>
    </w:p>
    <w:p w14:paraId="1AD9E2F2" w14:textId="77777777" w:rsidR="00DE2886" w:rsidRPr="00DE2886" w:rsidRDefault="00DE2886" w:rsidP="00DE2886">
      <w:pPr>
        <w:spacing w:after="200"/>
        <w:rPr>
          <w:rFonts w:ascii="Calibri" w:eastAsia="Calibri" w:hAnsi="Calibri" w:cs="Times New Roman"/>
          <w:kern w:val="2"/>
          <w:highlight w:val="yellow"/>
          <w:lang w:val="en-US"/>
        </w:rPr>
      </w:pPr>
      <w:r w:rsidRPr="00DE2886">
        <w:rPr>
          <w:rFonts w:ascii="Calibri" w:eastAsia="Calibri" w:hAnsi="Calibri" w:cs="Times New Roman"/>
          <w:kern w:val="2"/>
          <w:highlight w:val="yellow"/>
          <w:lang w:val="en-US"/>
        </w:rPr>
        <w:t>2.</w:t>
      </w:r>
    </w:p>
    <w:p w14:paraId="33E41C55" w14:textId="77777777" w:rsidR="00DE2886" w:rsidRPr="00DE2886" w:rsidRDefault="00DE2886" w:rsidP="00DE2886">
      <w:pPr>
        <w:spacing w:after="200"/>
        <w:rPr>
          <w:rFonts w:ascii="Calibri" w:eastAsia="Calibri" w:hAnsi="Calibri" w:cs="Times New Roman"/>
          <w:kern w:val="2"/>
          <w:lang w:val="en-US"/>
        </w:rPr>
      </w:pPr>
      <w:r w:rsidRPr="00DE2886">
        <w:rPr>
          <w:rFonts w:ascii="Calibri" w:eastAsia="Calibri" w:hAnsi="Calibri" w:cs="Times New Roman"/>
          <w:kern w:val="2"/>
          <w:highlight w:val="yellow"/>
          <w:lang w:val="en-US"/>
        </w:rPr>
        <w:t>3.</w:t>
      </w:r>
    </w:p>
    <w:bookmarkEnd w:id="1"/>
    <w:p w14:paraId="113BB754" w14:textId="77777777" w:rsidR="00AC46E5" w:rsidRPr="000244B0" w:rsidRDefault="00AC46E5" w:rsidP="00273577">
      <w:pPr>
        <w:spacing w:after="160" w:line="480" w:lineRule="auto"/>
        <w:jc w:val="both"/>
        <w:rPr>
          <w:rFonts w:ascii="Times New Roman" w:eastAsia="Times New Roman" w:hAnsi="Times New Roman" w:cs="Times New Roman"/>
          <w:sz w:val="24"/>
          <w:szCs w:val="24"/>
        </w:rPr>
      </w:pPr>
    </w:p>
    <w:p w14:paraId="5663144F" w14:textId="77777777" w:rsidR="00D0364A" w:rsidRPr="000244B0" w:rsidRDefault="0042460C" w:rsidP="00D0364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lastRenderedPageBreak/>
        <w:t>6</w:t>
      </w:r>
      <w:r w:rsidR="00D0364A" w:rsidRPr="000244B0">
        <w:rPr>
          <w:rFonts w:ascii="Times New Roman" w:eastAsia="Times New Roman" w:hAnsi="Times New Roman" w:cs="Times New Roman"/>
          <w:b/>
          <w:sz w:val="24"/>
          <w:szCs w:val="24"/>
          <w:highlight w:val="white"/>
        </w:rPr>
        <w:t>.R</w:t>
      </w:r>
      <w:r w:rsidR="00D0364A">
        <w:rPr>
          <w:rFonts w:ascii="Times New Roman" w:eastAsia="Times New Roman" w:hAnsi="Times New Roman" w:cs="Times New Roman"/>
          <w:b/>
          <w:sz w:val="24"/>
          <w:szCs w:val="24"/>
          <w:highlight w:val="white"/>
        </w:rPr>
        <w:t>eferences</w:t>
      </w:r>
      <w:r w:rsidR="00D0364A" w:rsidRPr="000244B0">
        <w:rPr>
          <w:rFonts w:ascii="Times New Roman" w:eastAsia="Times New Roman" w:hAnsi="Times New Roman" w:cs="Times New Roman"/>
          <w:b/>
          <w:sz w:val="24"/>
          <w:szCs w:val="24"/>
          <w:highlight w:val="white"/>
        </w:rPr>
        <w:br/>
      </w:r>
    </w:p>
    <w:p w14:paraId="320EED7F"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Ashburner, M., Ball, C. A., Blake, J. A., Botstein, D., Butler, H., Cherry, J. M., Davis, A. P., Dolinski, K., Dwight, S. S., Eppig, J. T., Harris, M. A., Hill, D. P., Issel-Tarver, L., Kasarskis, A., Lewis, S., Matese, J. C., Richardson, J. E., Ringwald, M., Rubin, G. M., &amp; Sherlock, G. (2000). Gene ontology: tool for the unification of biology. The Gene Ontology Consortium. </w:t>
      </w:r>
      <w:r w:rsidRPr="000244B0">
        <w:rPr>
          <w:rFonts w:ascii="Times New Roman" w:eastAsia="Times New Roman" w:hAnsi="Times New Roman" w:cs="Times New Roman"/>
          <w:i/>
          <w:sz w:val="24"/>
          <w:szCs w:val="24"/>
          <w:highlight w:val="white"/>
        </w:rPr>
        <w:t>Nature genetics</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25</w:t>
      </w:r>
      <w:r w:rsidRPr="000244B0">
        <w:rPr>
          <w:rFonts w:ascii="Times New Roman" w:eastAsia="Times New Roman" w:hAnsi="Times New Roman" w:cs="Times New Roman"/>
          <w:sz w:val="24"/>
          <w:szCs w:val="24"/>
          <w:highlight w:val="white"/>
        </w:rPr>
        <w:t>(1), 25–29.</w:t>
      </w:r>
      <w:hyperlink r:id="rId34">
        <w:r w:rsidRPr="000244B0">
          <w:rPr>
            <w:rFonts w:ascii="Times New Roman" w:eastAsia="Times New Roman" w:hAnsi="Times New Roman" w:cs="Times New Roman"/>
            <w:sz w:val="24"/>
            <w:szCs w:val="24"/>
            <w:highlight w:val="white"/>
          </w:rPr>
          <w:t xml:space="preserve"> </w:t>
        </w:r>
      </w:hyperlink>
      <w:hyperlink r:id="rId35">
        <w:r w:rsidRPr="000244B0">
          <w:rPr>
            <w:rFonts w:ascii="Times New Roman" w:eastAsia="Times New Roman" w:hAnsi="Times New Roman" w:cs="Times New Roman"/>
            <w:sz w:val="24"/>
            <w:szCs w:val="24"/>
            <w:highlight w:val="white"/>
            <w:u w:val="single"/>
          </w:rPr>
          <w:t>https://doi.org/10.1038/75556</w:t>
        </w:r>
      </w:hyperlink>
    </w:p>
    <w:p w14:paraId="01B9EFF7"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Bertucci, F., Salas, S., Eysteries, S., Nasser, V., Finetti, P., Ginestier, C., Charafe-Jauffret, E., Loriod, B., Bachelart, L., Montfort, J., Victorero, G., Viret, F., Ollendorff, V., Fert, V., Giovannini, M., Delpero, J. R., Nguyen, C., Viens, P., Monges, G., Birnbaum, D., … Houlgatte, R. (2004). Gene expression profiling of colon cancer by DNA microarrays and correlation with histoclinical parameters. </w:t>
      </w:r>
      <w:r w:rsidRPr="000244B0">
        <w:rPr>
          <w:rFonts w:ascii="Times New Roman" w:eastAsia="Times New Roman" w:hAnsi="Times New Roman" w:cs="Times New Roman"/>
          <w:i/>
          <w:sz w:val="24"/>
          <w:szCs w:val="24"/>
          <w:highlight w:val="white"/>
        </w:rPr>
        <w:t>Oncogene</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23</w:t>
      </w:r>
      <w:r w:rsidRPr="000244B0">
        <w:rPr>
          <w:rFonts w:ascii="Times New Roman" w:eastAsia="Times New Roman" w:hAnsi="Times New Roman" w:cs="Times New Roman"/>
          <w:sz w:val="24"/>
          <w:szCs w:val="24"/>
          <w:highlight w:val="white"/>
        </w:rPr>
        <w:t>(7), 1377–1391.</w:t>
      </w:r>
      <w:hyperlink r:id="rId36">
        <w:r w:rsidRPr="000244B0">
          <w:rPr>
            <w:rFonts w:ascii="Times New Roman" w:eastAsia="Times New Roman" w:hAnsi="Times New Roman" w:cs="Times New Roman"/>
            <w:sz w:val="24"/>
            <w:szCs w:val="24"/>
            <w:highlight w:val="white"/>
          </w:rPr>
          <w:t xml:space="preserve"> </w:t>
        </w:r>
      </w:hyperlink>
      <w:hyperlink r:id="rId37">
        <w:r w:rsidRPr="000244B0">
          <w:rPr>
            <w:rFonts w:ascii="Times New Roman" w:eastAsia="Times New Roman" w:hAnsi="Times New Roman" w:cs="Times New Roman"/>
            <w:sz w:val="24"/>
            <w:szCs w:val="24"/>
            <w:highlight w:val="white"/>
            <w:u w:val="single"/>
          </w:rPr>
          <w:t>https://doi.org/10.1038/sj.onc.1207262</w:t>
        </w:r>
      </w:hyperlink>
    </w:p>
    <w:p w14:paraId="55378D81"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Boland, C. R., &amp; Lynch, H. T. (2013). The history of Lynch syndrome. </w:t>
      </w:r>
      <w:r w:rsidRPr="000244B0">
        <w:rPr>
          <w:rFonts w:ascii="Times New Roman" w:eastAsia="Times New Roman" w:hAnsi="Times New Roman" w:cs="Times New Roman"/>
          <w:i/>
          <w:sz w:val="24"/>
          <w:szCs w:val="24"/>
          <w:highlight w:val="white"/>
        </w:rPr>
        <w:t>Familial cancer</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12</w:t>
      </w:r>
      <w:r w:rsidRPr="000244B0">
        <w:rPr>
          <w:rFonts w:ascii="Times New Roman" w:eastAsia="Times New Roman" w:hAnsi="Times New Roman" w:cs="Times New Roman"/>
          <w:sz w:val="24"/>
          <w:szCs w:val="24"/>
          <w:highlight w:val="white"/>
        </w:rPr>
        <w:t>(2), 145–157. https://doi.org/10.1007/s10689-013-9637-8</w:t>
      </w:r>
    </w:p>
    <w:p w14:paraId="4F3C5F3D"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Chandrashekar, D. S., Bashel, B., Balasubramanya, S. A. H., Creighton, C. J., Ponce-Rodriguez, I., Chakravarthi, B. V. S. K., &amp; Varambally, S. (2017). UALCAN: A Portal for Facilitating Tumor Subgroup Gene Expression and Survival Analyses. </w:t>
      </w:r>
      <w:r w:rsidRPr="000244B0">
        <w:rPr>
          <w:rFonts w:ascii="Times New Roman" w:eastAsia="Times New Roman" w:hAnsi="Times New Roman" w:cs="Times New Roman"/>
          <w:i/>
          <w:sz w:val="24"/>
          <w:szCs w:val="24"/>
          <w:highlight w:val="white"/>
        </w:rPr>
        <w:t>Neoplasia (New York, N.Y.)</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19</w:t>
      </w:r>
      <w:r w:rsidRPr="000244B0">
        <w:rPr>
          <w:rFonts w:ascii="Times New Roman" w:eastAsia="Times New Roman" w:hAnsi="Times New Roman" w:cs="Times New Roman"/>
          <w:sz w:val="24"/>
          <w:szCs w:val="24"/>
          <w:highlight w:val="white"/>
        </w:rPr>
        <w:t>(8), 649–658.</w:t>
      </w:r>
      <w:hyperlink r:id="rId38">
        <w:r w:rsidRPr="000244B0">
          <w:rPr>
            <w:rFonts w:ascii="Times New Roman" w:eastAsia="Times New Roman" w:hAnsi="Times New Roman" w:cs="Times New Roman"/>
            <w:sz w:val="24"/>
            <w:szCs w:val="24"/>
            <w:highlight w:val="white"/>
          </w:rPr>
          <w:t xml:space="preserve"> </w:t>
        </w:r>
      </w:hyperlink>
      <w:hyperlink r:id="rId39">
        <w:r w:rsidRPr="000244B0">
          <w:rPr>
            <w:rFonts w:ascii="Times New Roman" w:eastAsia="Times New Roman" w:hAnsi="Times New Roman" w:cs="Times New Roman"/>
            <w:sz w:val="24"/>
            <w:szCs w:val="24"/>
            <w:highlight w:val="white"/>
            <w:u w:val="single"/>
          </w:rPr>
          <w:t>https://doi.org/10.1016/j.neo.2017.05.002</w:t>
        </w:r>
      </w:hyperlink>
    </w:p>
    <w:p w14:paraId="5A1E7BAE"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DE2886">
        <w:rPr>
          <w:rFonts w:ascii="Times New Roman" w:eastAsia="Times New Roman" w:hAnsi="Times New Roman" w:cs="Times New Roman"/>
          <w:sz w:val="24"/>
          <w:szCs w:val="24"/>
          <w:highlight w:val="white"/>
          <w:lang w:val="de-DE"/>
        </w:rPr>
        <w:t xml:space="preserve">Diboun, I., Wernisch, L., Orengo, C. A., &amp; Koltzenburg, M. (2006). </w:t>
      </w:r>
      <w:r w:rsidRPr="000244B0">
        <w:rPr>
          <w:rFonts w:ascii="Times New Roman" w:eastAsia="Times New Roman" w:hAnsi="Times New Roman" w:cs="Times New Roman"/>
          <w:sz w:val="24"/>
          <w:szCs w:val="24"/>
          <w:highlight w:val="white"/>
        </w:rPr>
        <w:t xml:space="preserve">Microarray analysis after RNA amplification can detect pronounced differences in gene expression using limma. </w:t>
      </w:r>
      <w:r w:rsidRPr="000244B0">
        <w:rPr>
          <w:rFonts w:ascii="Times New Roman" w:eastAsia="Times New Roman" w:hAnsi="Times New Roman" w:cs="Times New Roman"/>
          <w:i/>
          <w:sz w:val="24"/>
          <w:szCs w:val="24"/>
          <w:highlight w:val="white"/>
        </w:rPr>
        <w:t>BMC genomics</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7</w:t>
      </w:r>
      <w:r w:rsidRPr="000244B0">
        <w:rPr>
          <w:rFonts w:ascii="Times New Roman" w:eastAsia="Times New Roman" w:hAnsi="Times New Roman" w:cs="Times New Roman"/>
          <w:sz w:val="24"/>
          <w:szCs w:val="24"/>
          <w:highlight w:val="white"/>
        </w:rPr>
        <w:t>, 252.</w:t>
      </w:r>
      <w:hyperlink r:id="rId40">
        <w:r w:rsidRPr="000244B0">
          <w:rPr>
            <w:rFonts w:ascii="Times New Roman" w:eastAsia="Times New Roman" w:hAnsi="Times New Roman" w:cs="Times New Roman"/>
            <w:sz w:val="24"/>
            <w:szCs w:val="24"/>
            <w:highlight w:val="white"/>
          </w:rPr>
          <w:t xml:space="preserve"> </w:t>
        </w:r>
      </w:hyperlink>
      <w:hyperlink r:id="rId41">
        <w:r w:rsidRPr="000244B0">
          <w:rPr>
            <w:rFonts w:ascii="Times New Roman" w:eastAsia="Times New Roman" w:hAnsi="Times New Roman" w:cs="Times New Roman"/>
            <w:sz w:val="24"/>
            <w:szCs w:val="24"/>
            <w:highlight w:val="white"/>
            <w:u w:val="single"/>
          </w:rPr>
          <w:t>https://doi.org/10.1186/1471-2164-7-252</w:t>
        </w:r>
      </w:hyperlink>
    </w:p>
    <w:p w14:paraId="5E7B97DA"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Eaden, J. A., Abrams, K. R., &amp; Mayberry, J. F. (2001). The risk of colorectal cancer in ulcerative colitis: a meta-analysis. </w:t>
      </w:r>
      <w:r w:rsidRPr="000244B0">
        <w:rPr>
          <w:rFonts w:ascii="Times New Roman" w:eastAsia="Times New Roman" w:hAnsi="Times New Roman" w:cs="Times New Roman"/>
          <w:i/>
          <w:sz w:val="24"/>
          <w:szCs w:val="24"/>
          <w:highlight w:val="white"/>
        </w:rPr>
        <w:t>Gut</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48</w:t>
      </w:r>
      <w:r w:rsidRPr="000244B0">
        <w:rPr>
          <w:rFonts w:ascii="Times New Roman" w:eastAsia="Times New Roman" w:hAnsi="Times New Roman" w:cs="Times New Roman"/>
          <w:sz w:val="24"/>
          <w:szCs w:val="24"/>
          <w:highlight w:val="white"/>
        </w:rPr>
        <w:t>(4), 526–535.</w:t>
      </w:r>
      <w:hyperlink r:id="rId42">
        <w:r w:rsidRPr="000244B0">
          <w:rPr>
            <w:rFonts w:ascii="Times New Roman" w:eastAsia="Times New Roman" w:hAnsi="Times New Roman" w:cs="Times New Roman"/>
            <w:sz w:val="24"/>
            <w:szCs w:val="24"/>
            <w:highlight w:val="white"/>
          </w:rPr>
          <w:t xml:space="preserve"> </w:t>
        </w:r>
      </w:hyperlink>
      <w:hyperlink r:id="rId43">
        <w:r w:rsidRPr="000244B0">
          <w:rPr>
            <w:rFonts w:ascii="Times New Roman" w:eastAsia="Times New Roman" w:hAnsi="Times New Roman" w:cs="Times New Roman"/>
            <w:sz w:val="24"/>
            <w:szCs w:val="24"/>
            <w:highlight w:val="white"/>
            <w:u w:val="single"/>
          </w:rPr>
          <w:t>https://doi.org/10.1136/gut.48.4.526</w:t>
        </w:r>
      </w:hyperlink>
    </w:p>
    <w:p w14:paraId="467D77A3"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DE2886">
        <w:rPr>
          <w:rFonts w:ascii="Times New Roman" w:eastAsia="Times New Roman" w:hAnsi="Times New Roman" w:cs="Times New Roman"/>
          <w:sz w:val="24"/>
          <w:szCs w:val="24"/>
          <w:highlight w:val="white"/>
          <w:lang w:val="de-DE"/>
        </w:rPr>
        <w:t xml:space="preserve">Fearon, E. R., &amp; Vogelstein, B. (1990). </w:t>
      </w:r>
      <w:r w:rsidRPr="000244B0">
        <w:rPr>
          <w:rFonts w:ascii="Times New Roman" w:eastAsia="Times New Roman" w:hAnsi="Times New Roman" w:cs="Times New Roman"/>
          <w:sz w:val="24"/>
          <w:szCs w:val="24"/>
          <w:highlight w:val="white"/>
        </w:rPr>
        <w:t xml:space="preserve">A genetic model for colorectal tumorigenesis. </w:t>
      </w:r>
      <w:r w:rsidRPr="000244B0">
        <w:rPr>
          <w:rFonts w:ascii="Times New Roman" w:eastAsia="Times New Roman" w:hAnsi="Times New Roman" w:cs="Times New Roman"/>
          <w:i/>
          <w:sz w:val="24"/>
          <w:szCs w:val="24"/>
          <w:highlight w:val="white"/>
        </w:rPr>
        <w:t>Cell</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61</w:t>
      </w:r>
      <w:r w:rsidRPr="000244B0">
        <w:rPr>
          <w:rFonts w:ascii="Times New Roman" w:eastAsia="Times New Roman" w:hAnsi="Times New Roman" w:cs="Times New Roman"/>
          <w:sz w:val="24"/>
          <w:szCs w:val="24"/>
          <w:highlight w:val="white"/>
        </w:rPr>
        <w:t>(5), 759–767.</w:t>
      </w:r>
      <w:hyperlink r:id="rId44">
        <w:r w:rsidRPr="000244B0">
          <w:rPr>
            <w:rFonts w:ascii="Times New Roman" w:eastAsia="Times New Roman" w:hAnsi="Times New Roman" w:cs="Times New Roman"/>
            <w:sz w:val="24"/>
            <w:szCs w:val="24"/>
            <w:highlight w:val="white"/>
          </w:rPr>
          <w:t xml:space="preserve"> </w:t>
        </w:r>
      </w:hyperlink>
      <w:hyperlink r:id="rId45">
        <w:r w:rsidRPr="000244B0">
          <w:rPr>
            <w:rFonts w:ascii="Times New Roman" w:eastAsia="Times New Roman" w:hAnsi="Times New Roman" w:cs="Times New Roman"/>
            <w:sz w:val="24"/>
            <w:szCs w:val="24"/>
            <w:highlight w:val="white"/>
            <w:u w:val="single"/>
          </w:rPr>
          <w:t>https://doi.org/10.1016/0092-8674(90)90186-i</w:t>
        </w:r>
      </w:hyperlink>
    </w:p>
    <w:p w14:paraId="56638234"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DE2886">
        <w:rPr>
          <w:rFonts w:ascii="Times New Roman" w:eastAsia="Times New Roman" w:hAnsi="Times New Roman" w:cs="Times New Roman"/>
          <w:sz w:val="24"/>
          <w:szCs w:val="24"/>
          <w:highlight w:val="white"/>
          <w:lang w:val="de-DE"/>
        </w:rPr>
        <w:t xml:space="preserve">Franceschini, A., Szklarczyk, D., Frankild, S., Kuhn, M., Simonovic, M., Roth, A., Lin, J., Minguez, P., Bork, P., von Mering, C., &amp; Jensen, L. J. (2013). </w:t>
      </w:r>
      <w:r w:rsidRPr="000244B0">
        <w:rPr>
          <w:rFonts w:ascii="Times New Roman" w:eastAsia="Times New Roman" w:hAnsi="Times New Roman" w:cs="Times New Roman"/>
          <w:sz w:val="24"/>
          <w:szCs w:val="24"/>
          <w:highlight w:val="white"/>
        </w:rPr>
        <w:t xml:space="preserve">STRING v9.1: protein-protein interaction networks, with increased coverage and integration. </w:t>
      </w:r>
      <w:r w:rsidRPr="000244B0">
        <w:rPr>
          <w:rFonts w:ascii="Times New Roman" w:eastAsia="Times New Roman" w:hAnsi="Times New Roman" w:cs="Times New Roman"/>
          <w:i/>
          <w:sz w:val="24"/>
          <w:szCs w:val="24"/>
          <w:highlight w:val="white"/>
        </w:rPr>
        <w:t>Nucleic acids research</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41</w:t>
      </w:r>
      <w:r w:rsidRPr="000244B0">
        <w:rPr>
          <w:rFonts w:ascii="Times New Roman" w:eastAsia="Times New Roman" w:hAnsi="Times New Roman" w:cs="Times New Roman"/>
          <w:sz w:val="24"/>
          <w:szCs w:val="24"/>
          <w:highlight w:val="white"/>
        </w:rPr>
        <w:t>(Database issue), D808–D815.</w:t>
      </w:r>
      <w:hyperlink r:id="rId46">
        <w:r w:rsidRPr="000244B0">
          <w:rPr>
            <w:rFonts w:ascii="Times New Roman" w:eastAsia="Times New Roman" w:hAnsi="Times New Roman" w:cs="Times New Roman"/>
            <w:sz w:val="24"/>
            <w:szCs w:val="24"/>
            <w:highlight w:val="white"/>
          </w:rPr>
          <w:t xml:space="preserve"> </w:t>
        </w:r>
      </w:hyperlink>
      <w:hyperlink r:id="rId47">
        <w:r w:rsidRPr="000244B0">
          <w:rPr>
            <w:rFonts w:ascii="Times New Roman" w:eastAsia="Times New Roman" w:hAnsi="Times New Roman" w:cs="Times New Roman"/>
            <w:sz w:val="24"/>
            <w:szCs w:val="24"/>
            <w:highlight w:val="white"/>
            <w:u w:val="single"/>
          </w:rPr>
          <w:t>https://doi.org/10.1093/nar/gks1094</w:t>
        </w:r>
      </w:hyperlink>
    </w:p>
    <w:p w14:paraId="4286E480"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lastRenderedPageBreak/>
        <w:t xml:space="preserve">Gene Ontology Consortium (2006). The Gene Ontology (GO) project in 2006. </w:t>
      </w:r>
      <w:r w:rsidRPr="000244B0">
        <w:rPr>
          <w:rFonts w:ascii="Times New Roman" w:eastAsia="Times New Roman" w:hAnsi="Times New Roman" w:cs="Times New Roman"/>
          <w:i/>
          <w:sz w:val="24"/>
          <w:szCs w:val="24"/>
          <w:highlight w:val="white"/>
        </w:rPr>
        <w:t>Nucleic acids research</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34</w:t>
      </w:r>
      <w:r w:rsidRPr="000244B0">
        <w:rPr>
          <w:rFonts w:ascii="Times New Roman" w:eastAsia="Times New Roman" w:hAnsi="Times New Roman" w:cs="Times New Roman"/>
          <w:sz w:val="24"/>
          <w:szCs w:val="24"/>
          <w:highlight w:val="white"/>
        </w:rPr>
        <w:t>(Database issue), D322–D326.</w:t>
      </w:r>
      <w:hyperlink r:id="rId48">
        <w:r w:rsidRPr="000244B0">
          <w:rPr>
            <w:rFonts w:ascii="Times New Roman" w:eastAsia="Times New Roman" w:hAnsi="Times New Roman" w:cs="Times New Roman"/>
            <w:sz w:val="24"/>
            <w:szCs w:val="24"/>
            <w:highlight w:val="white"/>
          </w:rPr>
          <w:t xml:space="preserve"> </w:t>
        </w:r>
      </w:hyperlink>
      <w:hyperlink r:id="rId49">
        <w:r w:rsidRPr="000244B0">
          <w:rPr>
            <w:rFonts w:ascii="Times New Roman" w:eastAsia="Times New Roman" w:hAnsi="Times New Roman" w:cs="Times New Roman"/>
            <w:sz w:val="24"/>
            <w:szCs w:val="24"/>
            <w:highlight w:val="white"/>
            <w:u w:val="single"/>
          </w:rPr>
          <w:t>https://doi.org/10.1093/nar/gkj021</w:t>
        </w:r>
      </w:hyperlink>
    </w:p>
    <w:p w14:paraId="4BF8D3A6"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Johns, L. E., &amp; Houlston, R. S. (2001). A systematic review and meta-analysis of familial colorectal cancer risk. </w:t>
      </w:r>
      <w:r w:rsidRPr="000244B0">
        <w:rPr>
          <w:rFonts w:ascii="Times New Roman" w:eastAsia="Times New Roman" w:hAnsi="Times New Roman" w:cs="Times New Roman"/>
          <w:i/>
          <w:sz w:val="24"/>
          <w:szCs w:val="24"/>
          <w:highlight w:val="white"/>
        </w:rPr>
        <w:t>The American journal of gastroenterology</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96</w:t>
      </w:r>
      <w:r w:rsidRPr="000244B0">
        <w:rPr>
          <w:rFonts w:ascii="Times New Roman" w:eastAsia="Times New Roman" w:hAnsi="Times New Roman" w:cs="Times New Roman"/>
          <w:sz w:val="24"/>
          <w:szCs w:val="24"/>
          <w:highlight w:val="white"/>
        </w:rPr>
        <w:t>(10), 2992–3003.</w:t>
      </w:r>
      <w:hyperlink r:id="rId50">
        <w:r w:rsidRPr="000244B0">
          <w:rPr>
            <w:rFonts w:ascii="Times New Roman" w:eastAsia="Times New Roman" w:hAnsi="Times New Roman" w:cs="Times New Roman"/>
            <w:sz w:val="24"/>
            <w:szCs w:val="24"/>
            <w:highlight w:val="white"/>
          </w:rPr>
          <w:t xml:space="preserve"> </w:t>
        </w:r>
      </w:hyperlink>
      <w:hyperlink r:id="rId51">
        <w:r w:rsidRPr="000244B0">
          <w:rPr>
            <w:rFonts w:ascii="Times New Roman" w:eastAsia="Times New Roman" w:hAnsi="Times New Roman" w:cs="Times New Roman"/>
            <w:sz w:val="24"/>
            <w:szCs w:val="24"/>
            <w:highlight w:val="white"/>
            <w:u w:val="single"/>
          </w:rPr>
          <w:t>https://doi.org/10.1111/j.1572-0241.2001.04677.x</w:t>
        </w:r>
      </w:hyperlink>
    </w:p>
    <w:p w14:paraId="23DC5648"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DE2886">
        <w:rPr>
          <w:rFonts w:ascii="Times New Roman" w:eastAsia="Times New Roman" w:hAnsi="Times New Roman" w:cs="Times New Roman"/>
          <w:sz w:val="24"/>
          <w:szCs w:val="24"/>
          <w:highlight w:val="white"/>
          <w:lang w:val="de-DE"/>
        </w:rPr>
        <w:t xml:space="preserve">Lech, G., Slotwinski, R., &amp; Krasnodebski, I. W. (2014). </w:t>
      </w:r>
      <w:r w:rsidRPr="000244B0">
        <w:rPr>
          <w:rFonts w:ascii="Times New Roman" w:eastAsia="Times New Roman" w:hAnsi="Times New Roman" w:cs="Times New Roman"/>
          <w:sz w:val="24"/>
          <w:szCs w:val="24"/>
          <w:highlight w:val="white"/>
        </w:rPr>
        <w:t xml:space="preserve">The role of tumor markers and biomarkers in colorectal cancer. </w:t>
      </w:r>
      <w:r w:rsidRPr="000244B0">
        <w:rPr>
          <w:rFonts w:ascii="Times New Roman" w:eastAsia="Times New Roman" w:hAnsi="Times New Roman" w:cs="Times New Roman"/>
          <w:i/>
          <w:sz w:val="24"/>
          <w:szCs w:val="24"/>
          <w:highlight w:val="white"/>
        </w:rPr>
        <w:t>Neoplasma</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61</w:t>
      </w:r>
      <w:r w:rsidRPr="000244B0">
        <w:rPr>
          <w:rFonts w:ascii="Times New Roman" w:eastAsia="Times New Roman" w:hAnsi="Times New Roman" w:cs="Times New Roman"/>
          <w:sz w:val="24"/>
          <w:szCs w:val="24"/>
          <w:highlight w:val="white"/>
        </w:rPr>
        <w:t>(1), 1–8.</w:t>
      </w:r>
    </w:p>
    <w:p w14:paraId="56E6CCDD"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Liu, X., Bing, Z., Wu, J., Zhang, J., Zhou, W., Ni, M., Meng, Z., Liu, S., Tian, J., Zhang, X., Li, Y., Jia, S., &amp; Guo, S. (2020). Integrative Gene Expression Profiling Analysis to Investigate Potential Prognostic Biomarkers for Colorectal Cancer. </w:t>
      </w:r>
      <w:r w:rsidRPr="000244B0">
        <w:rPr>
          <w:rFonts w:ascii="Times New Roman" w:eastAsia="Times New Roman" w:hAnsi="Times New Roman" w:cs="Times New Roman"/>
          <w:i/>
          <w:sz w:val="24"/>
          <w:szCs w:val="24"/>
          <w:highlight w:val="white"/>
        </w:rPr>
        <w:t>Medical science monitor : international medical journal of experimental and clinical research</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26</w:t>
      </w:r>
      <w:r w:rsidRPr="000244B0">
        <w:rPr>
          <w:rFonts w:ascii="Times New Roman" w:eastAsia="Times New Roman" w:hAnsi="Times New Roman" w:cs="Times New Roman"/>
          <w:sz w:val="24"/>
          <w:szCs w:val="24"/>
          <w:highlight w:val="white"/>
        </w:rPr>
        <w:t>, e918906.</w:t>
      </w:r>
      <w:hyperlink r:id="rId52">
        <w:r w:rsidRPr="000244B0">
          <w:rPr>
            <w:rFonts w:ascii="Times New Roman" w:eastAsia="Times New Roman" w:hAnsi="Times New Roman" w:cs="Times New Roman"/>
            <w:sz w:val="24"/>
            <w:szCs w:val="24"/>
            <w:highlight w:val="white"/>
          </w:rPr>
          <w:t xml:space="preserve"> </w:t>
        </w:r>
      </w:hyperlink>
      <w:hyperlink r:id="rId53">
        <w:r w:rsidRPr="000244B0">
          <w:rPr>
            <w:rFonts w:ascii="Times New Roman" w:eastAsia="Times New Roman" w:hAnsi="Times New Roman" w:cs="Times New Roman"/>
            <w:sz w:val="24"/>
            <w:szCs w:val="24"/>
            <w:highlight w:val="white"/>
            <w:u w:val="single"/>
          </w:rPr>
          <w:t>https://doi.org/10.12659/MSM.918906</w:t>
        </w:r>
      </w:hyperlink>
    </w:p>
    <w:p w14:paraId="6F4E29C7"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79583C">
        <w:rPr>
          <w:rFonts w:ascii="Times New Roman" w:eastAsia="Times New Roman" w:hAnsi="Times New Roman" w:cs="Times New Roman"/>
          <w:sz w:val="24"/>
          <w:szCs w:val="24"/>
          <w:highlight w:val="white"/>
          <w:lang w:val="es-US"/>
        </w:rPr>
        <w:t xml:space="preserve">Lynch, H. T., &amp; de la Chapelle, A. (2003). </w:t>
      </w:r>
      <w:r w:rsidRPr="000244B0">
        <w:rPr>
          <w:rFonts w:ascii="Times New Roman" w:eastAsia="Times New Roman" w:hAnsi="Times New Roman" w:cs="Times New Roman"/>
          <w:sz w:val="24"/>
          <w:szCs w:val="24"/>
          <w:highlight w:val="white"/>
        </w:rPr>
        <w:t xml:space="preserve">Hereditary colorectal cancer. </w:t>
      </w:r>
      <w:r w:rsidRPr="000244B0">
        <w:rPr>
          <w:rFonts w:ascii="Times New Roman" w:eastAsia="Times New Roman" w:hAnsi="Times New Roman" w:cs="Times New Roman"/>
          <w:i/>
          <w:sz w:val="24"/>
          <w:szCs w:val="24"/>
          <w:highlight w:val="white"/>
        </w:rPr>
        <w:t>The New England journal of medicine</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348</w:t>
      </w:r>
      <w:r w:rsidRPr="000244B0">
        <w:rPr>
          <w:rFonts w:ascii="Times New Roman" w:eastAsia="Times New Roman" w:hAnsi="Times New Roman" w:cs="Times New Roman"/>
          <w:sz w:val="24"/>
          <w:szCs w:val="24"/>
          <w:highlight w:val="white"/>
        </w:rPr>
        <w:t>(10), 919–932.</w:t>
      </w:r>
      <w:hyperlink r:id="rId54">
        <w:r w:rsidRPr="000244B0">
          <w:rPr>
            <w:rFonts w:ascii="Times New Roman" w:eastAsia="Times New Roman" w:hAnsi="Times New Roman" w:cs="Times New Roman"/>
            <w:sz w:val="24"/>
            <w:szCs w:val="24"/>
            <w:highlight w:val="white"/>
          </w:rPr>
          <w:t xml:space="preserve"> </w:t>
        </w:r>
      </w:hyperlink>
      <w:hyperlink r:id="rId55">
        <w:r w:rsidRPr="000244B0">
          <w:rPr>
            <w:rFonts w:ascii="Times New Roman" w:eastAsia="Times New Roman" w:hAnsi="Times New Roman" w:cs="Times New Roman"/>
            <w:sz w:val="24"/>
            <w:szCs w:val="24"/>
            <w:highlight w:val="white"/>
            <w:u w:val="single"/>
          </w:rPr>
          <w:t>https://doi.org/10.1056/NEJMra012242</w:t>
        </w:r>
      </w:hyperlink>
    </w:p>
    <w:p w14:paraId="24A59BEC"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79583C">
        <w:rPr>
          <w:rFonts w:ascii="Times New Roman" w:eastAsia="Times New Roman" w:hAnsi="Times New Roman" w:cs="Times New Roman"/>
          <w:sz w:val="24"/>
          <w:szCs w:val="24"/>
          <w:highlight w:val="white"/>
          <w:lang w:val="es-US"/>
        </w:rPr>
        <w:t xml:space="preserve">Mármol, I., Sánchez-de-Diego, C., Pradilla Dieste, A., Cerrada, E., &amp; Rodriguez Yoldi, M. J. (2017). </w:t>
      </w:r>
      <w:r w:rsidRPr="000244B0">
        <w:rPr>
          <w:rFonts w:ascii="Times New Roman" w:eastAsia="Times New Roman" w:hAnsi="Times New Roman" w:cs="Times New Roman"/>
          <w:sz w:val="24"/>
          <w:szCs w:val="24"/>
          <w:highlight w:val="white"/>
        </w:rPr>
        <w:t xml:space="preserve">Colorectal Carcinoma: A General Overview and Future Perspectives in Colorectal Cancer. </w:t>
      </w:r>
      <w:r w:rsidRPr="000244B0">
        <w:rPr>
          <w:rFonts w:ascii="Times New Roman" w:eastAsia="Times New Roman" w:hAnsi="Times New Roman" w:cs="Times New Roman"/>
          <w:i/>
          <w:sz w:val="24"/>
          <w:szCs w:val="24"/>
          <w:highlight w:val="white"/>
        </w:rPr>
        <w:t>International journal of molecular sciences</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18</w:t>
      </w:r>
      <w:r w:rsidRPr="000244B0">
        <w:rPr>
          <w:rFonts w:ascii="Times New Roman" w:eastAsia="Times New Roman" w:hAnsi="Times New Roman" w:cs="Times New Roman"/>
          <w:sz w:val="24"/>
          <w:szCs w:val="24"/>
          <w:highlight w:val="white"/>
        </w:rPr>
        <w:t>(1), 197.</w:t>
      </w:r>
      <w:hyperlink r:id="rId56">
        <w:r w:rsidRPr="000244B0">
          <w:rPr>
            <w:rFonts w:ascii="Times New Roman" w:eastAsia="Times New Roman" w:hAnsi="Times New Roman" w:cs="Times New Roman"/>
            <w:sz w:val="24"/>
            <w:szCs w:val="24"/>
            <w:highlight w:val="white"/>
          </w:rPr>
          <w:t xml:space="preserve"> </w:t>
        </w:r>
      </w:hyperlink>
      <w:hyperlink r:id="rId57">
        <w:r w:rsidRPr="000244B0">
          <w:rPr>
            <w:rFonts w:ascii="Times New Roman" w:eastAsia="Times New Roman" w:hAnsi="Times New Roman" w:cs="Times New Roman"/>
            <w:sz w:val="24"/>
            <w:szCs w:val="24"/>
            <w:highlight w:val="white"/>
            <w:u w:val="single"/>
          </w:rPr>
          <w:t>https://doi.org/10.3390/ijms18010197</w:t>
        </w:r>
      </w:hyperlink>
    </w:p>
    <w:p w14:paraId="005B847B"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DE2886">
        <w:rPr>
          <w:rFonts w:ascii="Times New Roman" w:eastAsia="Times New Roman" w:hAnsi="Times New Roman" w:cs="Times New Roman"/>
          <w:sz w:val="24"/>
          <w:szCs w:val="24"/>
          <w:highlight w:val="white"/>
          <w:lang w:val="de-DE"/>
        </w:rPr>
        <w:t xml:space="preserve">Siegel, R., Naishadham, D., &amp; Jemal, A. (2013). </w:t>
      </w:r>
      <w:r w:rsidRPr="000244B0">
        <w:rPr>
          <w:rFonts w:ascii="Times New Roman" w:eastAsia="Times New Roman" w:hAnsi="Times New Roman" w:cs="Times New Roman"/>
          <w:sz w:val="24"/>
          <w:szCs w:val="24"/>
          <w:highlight w:val="white"/>
        </w:rPr>
        <w:t xml:space="preserve">Cancer statistics, 2013. </w:t>
      </w:r>
      <w:r w:rsidRPr="000244B0">
        <w:rPr>
          <w:rFonts w:ascii="Times New Roman" w:eastAsia="Times New Roman" w:hAnsi="Times New Roman" w:cs="Times New Roman"/>
          <w:i/>
          <w:sz w:val="24"/>
          <w:szCs w:val="24"/>
          <w:highlight w:val="white"/>
        </w:rPr>
        <w:t>CA: a cancer journal for clinicians</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63</w:t>
      </w:r>
      <w:r w:rsidRPr="000244B0">
        <w:rPr>
          <w:rFonts w:ascii="Times New Roman" w:eastAsia="Times New Roman" w:hAnsi="Times New Roman" w:cs="Times New Roman"/>
          <w:sz w:val="24"/>
          <w:szCs w:val="24"/>
          <w:highlight w:val="white"/>
        </w:rPr>
        <w:t>(1), 11–30.</w:t>
      </w:r>
      <w:hyperlink r:id="rId58">
        <w:r w:rsidRPr="000244B0">
          <w:rPr>
            <w:rFonts w:ascii="Times New Roman" w:eastAsia="Times New Roman" w:hAnsi="Times New Roman" w:cs="Times New Roman"/>
            <w:sz w:val="24"/>
            <w:szCs w:val="24"/>
            <w:highlight w:val="white"/>
          </w:rPr>
          <w:t xml:space="preserve"> </w:t>
        </w:r>
      </w:hyperlink>
      <w:hyperlink r:id="rId59">
        <w:r w:rsidRPr="000244B0">
          <w:rPr>
            <w:rFonts w:ascii="Times New Roman" w:eastAsia="Times New Roman" w:hAnsi="Times New Roman" w:cs="Times New Roman"/>
            <w:sz w:val="24"/>
            <w:szCs w:val="24"/>
            <w:highlight w:val="white"/>
            <w:u w:val="single"/>
          </w:rPr>
          <w:t>https://doi.org/10.3322/caac.21166</w:t>
        </w:r>
      </w:hyperlink>
    </w:p>
    <w:p w14:paraId="51F60AB2" w14:textId="77777777" w:rsidR="00D0364A" w:rsidRPr="000244B0"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DE2886">
        <w:rPr>
          <w:rFonts w:ascii="Times New Roman" w:eastAsia="Times New Roman" w:hAnsi="Times New Roman" w:cs="Times New Roman"/>
          <w:sz w:val="24"/>
          <w:szCs w:val="24"/>
          <w:highlight w:val="white"/>
          <w:lang w:val="de-DE"/>
        </w:rPr>
        <w:t xml:space="preserve">Stoffel, E. M., &amp; Kastrinos, F. (2014). </w:t>
      </w:r>
      <w:r w:rsidRPr="000244B0">
        <w:rPr>
          <w:rFonts w:ascii="Times New Roman" w:eastAsia="Times New Roman" w:hAnsi="Times New Roman" w:cs="Times New Roman"/>
          <w:sz w:val="24"/>
          <w:szCs w:val="24"/>
          <w:highlight w:val="white"/>
        </w:rPr>
        <w:t xml:space="preserve">Familial colorectal cancer, beyond Lynch </w:t>
      </w:r>
    </w:p>
    <w:p w14:paraId="6705285A" w14:textId="1C9C2BAE" w:rsidR="00D0364A" w:rsidRDefault="00D0364A"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0244B0">
        <w:rPr>
          <w:rFonts w:ascii="Times New Roman" w:eastAsia="Times New Roman" w:hAnsi="Times New Roman" w:cs="Times New Roman"/>
          <w:sz w:val="24"/>
          <w:szCs w:val="24"/>
          <w:highlight w:val="white"/>
        </w:rPr>
        <w:t xml:space="preserve">Van Cutsem, E., Cervantes, A., Nordlinger, B., Arnold, D., &amp; ESMO Guidelines Working Group (2014). Metastatic colorectal cancer: ESMO Clinical Practice Guidelines for diagnosis, treatment and follow-up. </w:t>
      </w:r>
      <w:r w:rsidRPr="000244B0">
        <w:rPr>
          <w:rFonts w:ascii="Times New Roman" w:eastAsia="Times New Roman" w:hAnsi="Times New Roman" w:cs="Times New Roman"/>
          <w:i/>
          <w:sz w:val="24"/>
          <w:szCs w:val="24"/>
          <w:highlight w:val="white"/>
        </w:rPr>
        <w:t>Annals of oncology : official journal of the European Society for Medical Oncology</w:t>
      </w:r>
      <w:r w:rsidRPr="000244B0">
        <w:rPr>
          <w:rFonts w:ascii="Times New Roman" w:eastAsia="Times New Roman" w:hAnsi="Times New Roman" w:cs="Times New Roman"/>
          <w:sz w:val="24"/>
          <w:szCs w:val="24"/>
          <w:highlight w:val="white"/>
        </w:rPr>
        <w:t xml:space="preserve">, </w:t>
      </w:r>
      <w:r w:rsidRPr="000244B0">
        <w:rPr>
          <w:rFonts w:ascii="Times New Roman" w:eastAsia="Times New Roman" w:hAnsi="Times New Roman" w:cs="Times New Roman"/>
          <w:i/>
          <w:sz w:val="24"/>
          <w:szCs w:val="24"/>
          <w:highlight w:val="white"/>
        </w:rPr>
        <w:t>25 Suppl 3</w:t>
      </w:r>
      <w:r w:rsidRPr="000244B0">
        <w:rPr>
          <w:rFonts w:ascii="Times New Roman" w:eastAsia="Times New Roman" w:hAnsi="Times New Roman" w:cs="Times New Roman"/>
          <w:sz w:val="24"/>
          <w:szCs w:val="24"/>
          <w:highlight w:val="white"/>
        </w:rPr>
        <w:t xml:space="preserve">, iii1–iii9. </w:t>
      </w:r>
      <w:hyperlink r:id="rId60" w:history="1">
        <w:r w:rsidR="00B9419B" w:rsidRPr="008A7149">
          <w:rPr>
            <w:rStyle w:val="Hyperlink"/>
            <w:rFonts w:ascii="Times New Roman" w:eastAsia="Times New Roman" w:hAnsi="Times New Roman" w:cs="Times New Roman"/>
            <w:sz w:val="24"/>
            <w:szCs w:val="24"/>
            <w:highlight w:val="white"/>
          </w:rPr>
          <w:t>https://doi.org/10.1093/annonc/mdu260</w:t>
        </w:r>
      </w:hyperlink>
    </w:p>
    <w:p w14:paraId="74BFB3AE" w14:textId="7B670304" w:rsidR="00DF211E" w:rsidRPr="0079583C" w:rsidRDefault="00DF211E"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yellow"/>
        </w:rPr>
      </w:pPr>
      <w:r w:rsidRPr="0079583C">
        <w:rPr>
          <w:rFonts w:ascii="Times New Roman" w:eastAsia="Times New Roman" w:hAnsi="Times New Roman" w:cs="Times New Roman"/>
          <w:sz w:val="24"/>
          <w:szCs w:val="24"/>
          <w:highlight w:val="yellow"/>
          <w:lang w:val="es-US"/>
        </w:rPr>
        <w:t xml:space="preserve">Hamad, R. S., Shnawa, B. H., &amp; Al-Ali, S. J. (2021). </w:t>
      </w:r>
      <w:r w:rsidRPr="00DF211E">
        <w:rPr>
          <w:rFonts w:ascii="Times New Roman" w:eastAsia="Times New Roman" w:hAnsi="Times New Roman" w:cs="Times New Roman"/>
          <w:sz w:val="24"/>
          <w:szCs w:val="24"/>
          <w:highlight w:val="yellow"/>
        </w:rPr>
        <w:t>Correlation between IL-10 as Cancer Biomarker and Demographic Characteristics of Colorectal Cancer Patients. </w:t>
      </w:r>
      <w:r w:rsidRPr="00DF211E">
        <w:rPr>
          <w:rFonts w:ascii="Times New Roman" w:eastAsia="Times New Roman" w:hAnsi="Times New Roman" w:cs="Times New Roman"/>
          <w:i/>
          <w:iCs/>
          <w:sz w:val="24"/>
          <w:szCs w:val="24"/>
          <w:highlight w:val="yellow"/>
        </w:rPr>
        <w:t>Journal of Pharmaceutical Research International</w:t>
      </w:r>
      <w:r w:rsidRPr="00DF211E">
        <w:rPr>
          <w:rFonts w:ascii="Times New Roman" w:eastAsia="Times New Roman" w:hAnsi="Times New Roman" w:cs="Times New Roman"/>
          <w:sz w:val="24"/>
          <w:szCs w:val="24"/>
          <w:highlight w:val="yellow"/>
        </w:rPr>
        <w:t>, </w:t>
      </w:r>
      <w:r w:rsidRPr="00DF211E">
        <w:rPr>
          <w:rFonts w:ascii="Times New Roman" w:eastAsia="Times New Roman" w:hAnsi="Times New Roman" w:cs="Times New Roman"/>
          <w:i/>
          <w:iCs/>
          <w:sz w:val="24"/>
          <w:szCs w:val="24"/>
          <w:highlight w:val="yellow"/>
        </w:rPr>
        <w:t>33</w:t>
      </w:r>
      <w:r w:rsidRPr="00DF211E">
        <w:rPr>
          <w:rFonts w:ascii="Times New Roman" w:eastAsia="Times New Roman" w:hAnsi="Times New Roman" w:cs="Times New Roman"/>
          <w:sz w:val="24"/>
          <w:szCs w:val="24"/>
          <w:highlight w:val="yellow"/>
        </w:rPr>
        <w:t>(26B), 1–10.</w:t>
      </w:r>
    </w:p>
    <w:p w14:paraId="335581FA" w14:textId="6B714DB9" w:rsidR="00B9419B" w:rsidRPr="0079583C" w:rsidRDefault="002F3774"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yellow"/>
        </w:rPr>
      </w:pPr>
      <w:r w:rsidRPr="0079583C">
        <w:rPr>
          <w:sz w:val="20"/>
          <w:szCs w:val="20"/>
          <w:highlight w:val="yellow"/>
          <w:lang w:val="es-US"/>
        </w:rPr>
        <w:t xml:space="preserve">Ionescu, V. A., Gheorghe, G., Bacalbasa, N., Chiotoroiu, A. L., &amp; Diaconu, C. (2023). </w:t>
      </w:r>
      <w:r w:rsidRPr="0079583C">
        <w:rPr>
          <w:sz w:val="20"/>
          <w:szCs w:val="20"/>
          <w:highlight w:val="yellow"/>
        </w:rPr>
        <w:t>Colorectal cancer: from risk factors to oncogenesis. </w:t>
      </w:r>
      <w:r w:rsidRPr="0079583C">
        <w:rPr>
          <w:i/>
          <w:iCs/>
          <w:sz w:val="20"/>
          <w:szCs w:val="20"/>
          <w:highlight w:val="yellow"/>
        </w:rPr>
        <w:t>Medicina</w:t>
      </w:r>
      <w:r w:rsidRPr="0079583C">
        <w:rPr>
          <w:sz w:val="20"/>
          <w:szCs w:val="20"/>
          <w:highlight w:val="yellow"/>
        </w:rPr>
        <w:t>, </w:t>
      </w:r>
      <w:r w:rsidRPr="0079583C">
        <w:rPr>
          <w:i/>
          <w:iCs/>
          <w:sz w:val="20"/>
          <w:szCs w:val="20"/>
          <w:highlight w:val="yellow"/>
        </w:rPr>
        <w:t>59</w:t>
      </w:r>
      <w:r w:rsidRPr="0079583C">
        <w:rPr>
          <w:sz w:val="20"/>
          <w:szCs w:val="20"/>
          <w:highlight w:val="yellow"/>
        </w:rPr>
        <w:t>(9), 1646.</w:t>
      </w:r>
    </w:p>
    <w:p w14:paraId="68A696F6" w14:textId="69BDA48A" w:rsidR="009A4AF6" w:rsidRDefault="009A4AF6"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yellow"/>
        </w:rPr>
      </w:pPr>
      <w:r w:rsidRPr="009A4AF6">
        <w:rPr>
          <w:rFonts w:ascii="Times New Roman" w:eastAsia="Times New Roman" w:hAnsi="Times New Roman" w:cs="Times New Roman"/>
          <w:sz w:val="24"/>
          <w:szCs w:val="24"/>
          <w:highlight w:val="yellow"/>
        </w:rPr>
        <w:lastRenderedPageBreak/>
        <w:t>Leowattana, W., Leowattana, P., &amp; Leowattana, T. (2023). Systemic treatment for metastatic colorectal cancer. </w:t>
      </w:r>
      <w:r w:rsidRPr="009A4AF6">
        <w:rPr>
          <w:rFonts w:ascii="Times New Roman" w:eastAsia="Times New Roman" w:hAnsi="Times New Roman" w:cs="Times New Roman"/>
          <w:i/>
          <w:iCs/>
          <w:sz w:val="24"/>
          <w:szCs w:val="24"/>
          <w:highlight w:val="yellow"/>
        </w:rPr>
        <w:t>World journal of gastroenterology</w:t>
      </w:r>
      <w:r w:rsidRPr="009A4AF6">
        <w:rPr>
          <w:rFonts w:ascii="Times New Roman" w:eastAsia="Times New Roman" w:hAnsi="Times New Roman" w:cs="Times New Roman"/>
          <w:sz w:val="24"/>
          <w:szCs w:val="24"/>
          <w:highlight w:val="yellow"/>
        </w:rPr>
        <w:t>, </w:t>
      </w:r>
      <w:r w:rsidRPr="009A4AF6">
        <w:rPr>
          <w:rFonts w:ascii="Times New Roman" w:eastAsia="Times New Roman" w:hAnsi="Times New Roman" w:cs="Times New Roman"/>
          <w:i/>
          <w:iCs/>
          <w:sz w:val="24"/>
          <w:szCs w:val="24"/>
          <w:highlight w:val="yellow"/>
        </w:rPr>
        <w:t>29</w:t>
      </w:r>
      <w:r w:rsidRPr="009A4AF6">
        <w:rPr>
          <w:rFonts w:ascii="Times New Roman" w:eastAsia="Times New Roman" w:hAnsi="Times New Roman" w:cs="Times New Roman"/>
          <w:sz w:val="24"/>
          <w:szCs w:val="24"/>
          <w:highlight w:val="yellow"/>
        </w:rPr>
        <w:t>(10), 1569.</w:t>
      </w:r>
    </w:p>
    <w:p w14:paraId="1E2ED26E" w14:textId="0A237DFC" w:rsidR="000512A0" w:rsidRPr="0079583C" w:rsidRDefault="000512A0" w:rsidP="00D0364A">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yellow"/>
        </w:rPr>
      </w:pPr>
      <w:r w:rsidRPr="000512A0">
        <w:rPr>
          <w:rFonts w:ascii="Times New Roman" w:eastAsia="Times New Roman" w:hAnsi="Times New Roman" w:cs="Times New Roman"/>
          <w:sz w:val="24"/>
          <w:szCs w:val="24"/>
          <w:highlight w:val="yellow"/>
        </w:rPr>
        <w:t>Cervantes, A., Adam, R., Roselló, S., Arnold, D., Normanno, N., Taïeb, J., ... &amp; Martinelli, E. (2023). Metastatic colorectal cancer: ESMO Clinical Practice Guideline for diagnosis, treatment and follow-up</w:t>
      </w:r>
      <w:r w:rsidRPr="000512A0">
        <w:rPr>
          <w:rFonts w:ascii="Segoe UI Symbol" w:eastAsia="Times New Roman" w:hAnsi="Segoe UI Symbol" w:cs="Segoe UI Symbol"/>
          <w:sz w:val="24"/>
          <w:szCs w:val="24"/>
          <w:highlight w:val="yellow"/>
        </w:rPr>
        <w:t>☆</w:t>
      </w:r>
      <w:r w:rsidRPr="000512A0">
        <w:rPr>
          <w:rFonts w:ascii="Times New Roman" w:eastAsia="Times New Roman" w:hAnsi="Times New Roman" w:cs="Times New Roman"/>
          <w:sz w:val="24"/>
          <w:szCs w:val="24"/>
          <w:highlight w:val="yellow"/>
        </w:rPr>
        <w:t>. </w:t>
      </w:r>
      <w:r w:rsidRPr="000512A0">
        <w:rPr>
          <w:rFonts w:ascii="Times New Roman" w:eastAsia="Times New Roman" w:hAnsi="Times New Roman" w:cs="Times New Roman"/>
          <w:i/>
          <w:iCs/>
          <w:sz w:val="24"/>
          <w:szCs w:val="24"/>
          <w:highlight w:val="yellow"/>
        </w:rPr>
        <w:t>Annals of Oncology</w:t>
      </w:r>
      <w:r w:rsidRPr="000512A0">
        <w:rPr>
          <w:rFonts w:ascii="Times New Roman" w:eastAsia="Times New Roman" w:hAnsi="Times New Roman" w:cs="Times New Roman"/>
          <w:sz w:val="24"/>
          <w:szCs w:val="24"/>
          <w:highlight w:val="yellow"/>
        </w:rPr>
        <w:t>, </w:t>
      </w:r>
      <w:r w:rsidRPr="000512A0">
        <w:rPr>
          <w:rFonts w:ascii="Times New Roman" w:eastAsia="Times New Roman" w:hAnsi="Times New Roman" w:cs="Times New Roman"/>
          <w:i/>
          <w:iCs/>
          <w:sz w:val="24"/>
          <w:szCs w:val="24"/>
          <w:highlight w:val="yellow"/>
        </w:rPr>
        <w:t>34</w:t>
      </w:r>
      <w:r w:rsidRPr="000512A0">
        <w:rPr>
          <w:rFonts w:ascii="Times New Roman" w:eastAsia="Times New Roman" w:hAnsi="Times New Roman" w:cs="Times New Roman"/>
          <w:sz w:val="24"/>
          <w:szCs w:val="24"/>
          <w:highlight w:val="yellow"/>
        </w:rPr>
        <w:t>(1), 10-32.</w:t>
      </w:r>
    </w:p>
    <w:p w14:paraId="4BE9FD2E" w14:textId="77777777" w:rsidR="00E73814" w:rsidRDefault="00E73814" w:rsidP="00E87483">
      <w:pPr>
        <w:spacing w:line="480" w:lineRule="auto"/>
      </w:pPr>
    </w:p>
    <w:sectPr w:rsidR="00E73814">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3D6A" w14:textId="77777777" w:rsidR="004C3BC1" w:rsidRDefault="004C3BC1" w:rsidP="00CB27A5">
      <w:pPr>
        <w:spacing w:line="240" w:lineRule="auto"/>
      </w:pPr>
      <w:r>
        <w:separator/>
      </w:r>
    </w:p>
  </w:endnote>
  <w:endnote w:type="continuationSeparator" w:id="0">
    <w:p w14:paraId="6F61BD96" w14:textId="77777777" w:rsidR="004C3BC1" w:rsidRDefault="004C3BC1" w:rsidP="00CB2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047A" w14:textId="77777777" w:rsidR="00CB27A5" w:rsidRDefault="00CB2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E5C1" w14:textId="77777777" w:rsidR="00CB27A5" w:rsidRDefault="00CB2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5942" w14:textId="77777777" w:rsidR="00CB27A5" w:rsidRDefault="00CB2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AA7C" w14:textId="77777777" w:rsidR="004C3BC1" w:rsidRDefault="004C3BC1" w:rsidP="00CB27A5">
      <w:pPr>
        <w:spacing w:line="240" w:lineRule="auto"/>
      </w:pPr>
      <w:r>
        <w:separator/>
      </w:r>
    </w:p>
  </w:footnote>
  <w:footnote w:type="continuationSeparator" w:id="0">
    <w:p w14:paraId="196675BB" w14:textId="77777777" w:rsidR="004C3BC1" w:rsidRDefault="004C3BC1" w:rsidP="00CB27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4DBC" w14:textId="7ECD99A6" w:rsidR="00CB27A5" w:rsidRDefault="00000000">
    <w:pPr>
      <w:pStyle w:val="Header"/>
    </w:pPr>
    <w:r>
      <w:rPr>
        <w:noProof/>
      </w:rPr>
      <w:pict w14:anchorId="55A03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33985"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3A1D" w14:textId="11DCCE61" w:rsidR="00CB27A5" w:rsidRDefault="00000000">
    <w:pPr>
      <w:pStyle w:val="Header"/>
    </w:pPr>
    <w:r>
      <w:rPr>
        <w:noProof/>
      </w:rPr>
      <w:pict w14:anchorId="24CAC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33986"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B7FB" w14:textId="6B99965E" w:rsidR="00CB27A5" w:rsidRDefault="00000000">
    <w:pPr>
      <w:pStyle w:val="Header"/>
    </w:pPr>
    <w:r>
      <w:rPr>
        <w:noProof/>
      </w:rPr>
      <w:pict w14:anchorId="626C3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33984"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910AE"/>
    <w:multiLevelType w:val="multilevel"/>
    <w:tmpl w:val="2D1A9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5547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xAxJG5oaGRhZGBko6SsGpxcWZ+XkgBca1AJZy4bksAAAA"/>
  </w:docVars>
  <w:rsids>
    <w:rsidRoot w:val="009774E8"/>
    <w:rsid w:val="000512A0"/>
    <w:rsid w:val="00077205"/>
    <w:rsid w:val="000E0E15"/>
    <w:rsid w:val="001002E3"/>
    <w:rsid w:val="00124A1D"/>
    <w:rsid w:val="001350A7"/>
    <w:rsid w:val="00135256"/>
    <w:rsid w:val="00142DD9"/>
    <w:rsid w:val="00155619"/>
    <w:rsid w:val="00162802"/>
    <w:rsid w:val="001B72FF"/>
    <w:rsid w:val="001C5294"/>
    <w:rsid w:val="001D39A3"/>
    <w:rsid w:val="001F32E0"/>
    <w:rsid w:val="00224767"/>
    <w:rsid w:val="0024491B"/>
    <w:rsid w:val="00273577"/>
    <w:rsid w:val="002852AC"/>
    <w:rsid w:val="002F3774"/>
    <w:rsid w:val="00313EF8"/>
    <w:rsid w:val="00372B3C"/>
    <w:rsid w:val="003C5268"/>
    <w:rsid w:val="003C559A"/>
    <w:rsid w:val="0042460C"/>
    <w:rsid w:val="00434068"/>
    <w:rsid w:val="004425E6"/>
    <w:rsid w:val="004662B0"/>
    <w:rsid w:val="00481961"/>
    <w:rsid w:val="004C3BC1"/>
    <w:rsid w:val="004E6E78"/>
    <w:rsid w:val="00507EC0"/>
    <w:rsid w:val="00517FA8"/>
    <w:rsid w:val="00526A5B"/>
    <w:rsid w:val="005559A8"/>
    <w:rsid w:val="0057476D"/>
    <w:rsid w:val="006224C3"/>
    <w:rsid w:val="00674925"/>
    <w:rsid w:val="00686363"/>
    <w:rsid w:val="006E7542"/>
    <w:rsid w:val="00772CD9"/>
    <w:rsid w:val="00787807"/>
    <w:rsid w:val="00794A54"/>
    <w:rsid w:val="0079583C"/>
    <w:rsid w:val="007B64EB"/>
    <w:rsid w:val="007B776D"/>
    <w:rsid w:val="007F1857"/>
    <w:rsid w:val="008324D6"/>
    <w:rsid w:val="008C20A0"/>
    <w:rsid w:val="008E764E"/>
    <w:rsid w:val="00917897"/>
    <w:rsid w:val="00926076"/>
    <w:rsid w:val="00952066"/>
    <w:rsid w:val="009666F6"/>
    <w:rsid w:val="009774E8"/>
    <w:rsid w:val="0098256C"/>
    <w:rsid w:val="00991542"/>
    <w:rsid w:val="009A4AF6"/>
    <w:rsid w:val="009A4F56"/>
    <w:rsid w:val="009C4633"/>
    <w:rsid w:val="009D35A1"/>
    <w:rsid w:val="00A73367"/>
    <w:rsid w:val="00A85DD7"/>
    <w:rsid w:val="00AB2568"/>
    <w:rsid w:val="00AB60A3"/>
    <w:rsid w:val="00AC46E5"/>
    <w:rsid w:val="00B26358"/>
    <w:rsid w:val="00B40E38"/>
    <w:rsid w:val="00B779C5"/>
    <w:rsid w:val="00B9419B"/>
    <w:rsid w:val="00BB1DE4"/>
    <w:rsid w:val="00BE4050"/>
    <w:rsid w:val="00BF2CF2"/>
    <w:rsid w:val="00BF7117"/>
    <w:rsid w:val="00C058CD"/>
    <w:rsid w:val="00C11A5D"/>
    <w:rsid w:val="00CB27A5"/>
    <w:rsid w:val="00CD426A"/>
    <w:rsid w:val="00CE77FE"/>
    <w:rsid w:val="00D01553"/>
    <w:rsid w:val="00D0364A"/>
    <w:rsid w:val="00D20C88"/>
    <w:rsid w:val="00D442A6"/>
    <w:rsid w:val="00D77E22"/>
    <w:rsid w:val="00D80AE7"/>
    <w:rsid w:val="00DE2886"/>
    <w:rsid w:val="00DF211E"/>
    <w:rsid w:val="00E02961"/>
    <w:rsid w:val="00E07789"/>
    <w:rsid w:val="00E244A3"/>
    <w:rsid w:val="00E2573A"/>
    <w:rsid w:val="00E55898"/>
    <w:rsid w:val="00E61565"/>
    <w:rsid w:val="00E73814"/>
    <w:rsid w:val="00E82CCD"/>
    <w:rsid w:val="00E87483"/>
    <w:rsid w:val="00E963E0"/>
    <w:rsid w:val="00E97F03"/>
    <w:rsid w:val="00F45293"/>
    <w:rsid w:val="00F629F5"/>
    <w:rsid w:val="00FA2F12"/>
    <w:rsid w:val="00FB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11CE1"/>
  <w15:chartTrackingRefBased/>
  <w15:docId w15:val="{069E51EB-0468-4E66-A396-DF733207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24D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24D6"/>
    <w:pPr>
      <w:spacing w:after="0" w:line="240" w:lineRule="auto"/>
    </w:pPr>
    <w:rPr>
      <w:rFonts w:ascii="Arial" w:eastAsia="Arial" w:hAnsi="Arial" w:cs="Arial"/>
      <w:lang w:val="en"/>
    </w:rPr>
  </w:style>
  <w:style w:type="character" w:styleId="Hyperlink">
    <w:name w:val="Hyperlink"/>
    <w:basedOn w:val="DefaultParagraphFont"/>
    <w:uiPriority w:val="99"/>
    <w:unhideWhenUsed/>
    <w:rsid w:val="00E87483"/>
    <w:rPr>
      <w:color w:val="0563C1" w:themeColor="hyperlink"/>
      <w:u w:val="single"/>
    </w:rPr>
  </w:style>
  <w:style w:type="paragraph" w:styleId="NormalWeb">
    <w:name w:val="Normal (Web)"/>
    <w:basedOn w:val="Normal"/>
    <w:uiPriority w:val="99"/>
    <w:unhideWhenUsed/>
    <w:rsid w:val="001D39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B27A5"/>
    <w:pPr>
      <w:tabs>
        <w:tab w:val="center" w:pos="4680"/>
        <w:tab w:val="right" w:pos="9360"/>
      </w:tabs>
      <w:spacing w:line="240" w:lineRule="auto"/>
    </w:pPr>
  </w:style>
  <w:style w:type="character" w:customStyle="1" w:styleId="HeaderChar">
    <w:name w:val="Header Char"/>
    <w:basedOn w:val="DefaultParagraphFont"/>
    <w:link w:val="Header"/>
    <w:uiPriority w:val="99"/>
    <w:rsid w:val="00CB27A5"/>
    <w:rPr>
      <w:rFonts w:ascii="Arial" w:eastAsia="Arial" w:hAnsi="Arial" w:cs="Arial"/>
      <w:lang w:val="en"/>
    </w:rPr>
  </w:style>
  <w:style w:type="paragraph" w:styleId="Footer">
    <w:name w:val="footer"/>
    <w:basedOn w:val="Normal"/>
    <w:link w:val="FooterChar"/>
    <w:uiPriority w:val="99"/>
    <w:unhideWhenUsed/>
    <w:rsid w:val="00CB27A5"/>
    <w:pPr>
      <w:tabs>
        <w:tab w:val="center" w:pos="4680"/>
        <w:tab w:val="right" w:pos="9360"/>
      </w:tabs>
      <w:spacing w:line="240" w:lineRule="auto"/>
    </w:pPr>
  </w:style>
  <w:style w:type="character" w:customStyle="1" w:styleId="FooterChar">
    <w:name w:val="Footer Char"/>
    <w:basedOn w:val="DefaultParagraphFont"/>
    <w:link w:val="Footer"/>
    <w:uiPriority w:val="99"/>
    <w:rsid w:val="00CB27A5"/>
    <w:rPr>
      <w:rFonts w:ascii="Arial" w:eastAsia="Arial" w:hAnsi="Arial" w:cs="Arial"/>
      <w:lang w:val="en"/>
    </w:rPr>
  </w:style>
  <w:style w:type="paragraph" w:styleId="Revision">
    <w:name w:val="Revision"/>
    <w:hidden/>
    <w:uiPriority w:val="99"/>
    <w:semiHidden/>
    <w:rsid w:val="00B9419B"/>
    <w:pPr>
      <w:spacing w:after="0" w:line="240" w:lineRule="auto"/>
    </w:pPr>
    <w:rPr>
      <w:rFonts w:ascii="Arial" w:eastAsia="Arial" w:hAnsi="Arial" w:cs="Arial"/>
      <w:lang w:val="en"/>
    </w:rPr>
  </w:style>
  <w:style w:type="character" w:styleId="UnresolvedMention">
    <w:name w:val="Unresolved Mention"/>
    <w:basedOn w:val="DefaultParagraphFont"/>
    <w:uiPriority w:val="99"/>
    <w:semiHidden/>
    <w:unhideWhenUsed/>
    <w:rsid w:val="00B9419B"/>
    <w:rPr>
      <w:color w:val="605E5C"/>
      <w:shd w:val="clear" w:color="auto" w:fill="E1DFDD"/>
    </w:rPr>
  </w:style>
  <w:style w:type="paragraph" w:styleId="ListParagraph">
    <w:name w:val="List Paragraph"/>
    <w:basedOn w:val="Normal"/>
    <w:uiPriority w:val="34"/>
    <w:qFormat/>
    <w:rsid w:val="009A4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3673">
      <w:bodyDiv w:val="1"/>
      <w:marLeft w:val="0"/>
      <w:marRight w:val="0"/>
      <w:marTop w:val="0"/>
      <w:marBottom w:val="0"/>
      <w:divBdr>
        <w:top w:val="none" w:sz="0" w:space="0" w:color="auto"/>
        <w:left w:val="none" w:sz="0" w:space="0" w:color="auto"/>
        <w:bottom w:val="none" w:sz="0" w:space="0" w:color="auto"/>
        <w:right w:val="none" w:sz="0" w:space="0" w:color="auto"/>
      </w:divBdr>
    </w:div>
    <w:div w:id="256141045">
      <w:bodyDiv w:val="1"/>
      <w:marLeft w:val="0"/>
      <w:marRight w:val="0"/>
      <w:marTop w:val="0"/>
      <w:marBottom w:val="0"/>
      <w:divBdr>
        <w:top w:val="none" w:sz="0" w:space="0" w:color="auto"/>
        <w:left w:val="none" w:sz="0" w:space="0" w:color="auto"/>
        <w:bottom w:val="none" w:sz="0" w:space="0" w:color="auto"/>
        <w:right w:val="none" w:sz="0" w:space="0" w:color="auto"/>
      </w:divBdr>
    </w:div>
    <w:div w:id="853032557">
      <w:bodyDiv w:val="1"/>
      <w:marLeft w:val="0"/>
      <w:marRight w:val="0"/>
      <w:marTop w:val="0"/>
      <w:marBottom w:val="0"/>
      <w:divBdr>
        <w:top w:val="none" w:sz="0" w:space="0" w:color="auto"/>
        <w:left w:val="none" w:sz="0" w:space="0" w:color="auto"/>
        <w:bottom w:val="none" w:sz="0" w:space="0" w:color="auto"/>
        <w:right w:val="none" w:sz="0" w:space="0" w:color="auto"/>
      </w:divBdr>
    </w:div>
    <w:div w:id="1663973341">
      <w:bodyDiv w:val="1"/>
      <w:marLeft w:val="0"/>
      <w:marRight w:val="0"/>
      <w:marTop w:val="0"/>
      <w:marBottom w:val="0"/>
      <w:divBdr>
        <w:top w:val="none" w:sz="0" w:space="0" w:color="auto"/>
        <w:left w:val="none" w:sz="0" w:space="0" w:color="auto"/>
        <w:bottom w:val="none" w:sz="0" w:space="0" w:color="auto"/>
        <w:right w:val="none" w:sz="0" w:space="0" w:color="auto"/>
      </w:divBdr>
    </w:div>
    <w:div w:id="1876581681">
      <w:bodyDiv w:val="1"/>
      <w:marLeft w:val="0"/>
      <w:marRight w:val="0"/>
      <w:marTop w:val="0"/>
      <w:marBottom w:val="0"/>
      <w:divBdr>
        <w:top w:val="none" w:sz="0" w:space="0" w:color="auto"/>
        <w:left w:val="none" w:sz="0" w:space="0" w:color="auto"/>
        <w:bottom w:val="none" w:sz="0" w:space="0" w:color="auto"/>
        <w:right w:val="none" w:sz="0" w:space="0" w:color="auto"/>
      </w:divBdr>
    </w:div>
    <w:div w:id="1964069191">
      <w:bodyDiv w:val="1"/>
      <w:marLeft w:val="0"/>
      <w:marRight w:val="0"/>
      <w:marTop w:val="0"/>
      <w:marBottom w:val="0"/>
      <w:divBdr>
        <w:top w:val="none" w:sz="0" w:space="0" w:color="auto"/>
        <w:left w:val="none" w:sz="0" w:space="0" w:color="auto"/>
        <w:bottom w:val="none" w:sz="0" w:space="0" w:color="auto"/>
        <w:right w:val="none" w:sz="0" w:space="0" w:color="auto"/>
      </w:divBdr>
    </w:div>
    <w:div w:id="21191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hyperlink" Target="https://pubchem.ncbi.nlm.nih.gov/compound/5318869" TargetMode="External"/><Relationship Id="rId39" Type="http://schemas.openxmlformats.org/officeDocument/2006/relationships/hyperlink" Target="https://doi.org/10.1016/j.neo.2017.05.002" TargetMode="External"/><Relationship Id="rId21" Type="http://schemas.openxmlformats.org/officeDocument/2006/relationships/image" Target="media/image10.jpeg"/><Relationship Id="rId34" Type="http://schemas.openxmlformats.org/officeDocument/2006/relationships/hyperlink" Target="https://doi.org/10.1038/75556" TargetMode="External"/><Relationship Id="rId42" Type="http://schemas.openxmlformats.org/officeDocument/2006/relationships/hyperlink" Target="https://doi.org/10.1136/gut.48.4.526" TargetMode="External"/><Relationship Id="rId47" Type="http://schemas.openxmlformats.org/officeDocument/2006/relationships/hyperlink" Target="https://doi.org/10.1093/nar/gks1094" TargetMode="External"/><Relationship Id="rId50" Type="http://schemas.openxmlformats.org/officeDocument/2006/relationships/hyperlink" Target="https://doi.org/10.1111/j.1572-0241.2001.04677.x" TargetMode="External"/><Relationship Id="rId55" Type="http://schemas.openxmlformats.org/officeDocument/2006/relationships/hyperlink" Target="https://doi.org/10.1056/NEJMra012242"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hyperlink" Target="https://pubchem.ncbi.nlm.nih.gov/compound/52808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ing-db.org/" TargetMode="External"/><Relationship Id="rId24" Type="http://schemas.openxmlformats.org/officeDocument/2006/relationships/hyperlink" Target="https://pubchem.ncbi.nlm.nih.gov/compound/969516" TargetMode="External"/><Relationship Id="rId32" Type="http://schemas.openxmlformats.org/officeDocument/2006/relationships/image" Target="media/image12.png"/><Relationship Id="rId37" Type="http://schemas.openxmlformats.org/officeDocument/2006/relationships/hyperlink" Target="https://doi.org/10.1038/sj.onc.1207262" TargetMode="External"/><Relationship Id="rId40" Type="http://schemas.openxmlformats.org/officeDocument/2006/relationships/hyperlink" Target="https://doi.org/10.1186/1471-2164-7-252" TargetMode="External"/><Relationship Id="rId45" Type="http://schemas.openxmlformats.org/officeDocument/2006/relationships/hyperlink" Target="https://doi.org/10.1016/0092-8674(90)90186-i" TargetMode="External"/><Relationship Id="rId53" Type="http://schemas.openxmlformats.org/officeDocument/2006/relationships/hyperlink" Target="https://doi.org/10.12659/MSM.918906" TargetMode="External"/><Relationship Id="rId58" Type="http://schemas.openxmlformats.org/officeDocument/2006/relationships/hyperlink" Target="https://doi.org/10.3322/caac.21166"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pubchem.ncbi.nlm.nih.gov/compound/64982" TargetMode="External"/><Relationship Id="rId28" Type="http://schemas.openxmlformats.org/officeDocument/2006/relationships/hyperlink" Target="https://pubchem.ncbi.nlm.nih.gov/compound/503737" TargetMode="External"/><Relationship Id="rId36" Type="http://schemas.openxmlformats.org/officeDocument/2006/relationships/hyperlink" Target="https://doi.org/10.1038/sj.onc.1207262" TargetMode="External"/><Relationship Id="rId49" Type="http://schemas.openxmlformats.org/officeDocument/2006/relationships/hyperlink" Target="https://doi.org/10.1093/nar/gkj021" TargetMode="External"/><Relationship Id="rId57" Type="http://schemas.openxmlformats.org/officeDocument/2006/relationships/hyperlink" Target="https://doi.org/10.3390/ijms18010197" TargetMode="External"/><Relationship Id="rId61" Type="http://schemas.openxmlformats.org/officeDocument/2006/relationships/header" Target="header1.xml"/><Relationship Id="rId10" Type="http://schemas.openxmlformats.org/officeDocument/2006/relationships/hyperlink" Target="https://david.ncifcrf.gov/" TargetMode="External"/><Relationship Id="rId19" Type="http://schemas.openxmlformats.org/officeDocument/2006/relationships/image" Target="media/image8.jpeg"/><Relationship Id="rId31" Type="http://schemas.openxmlformats.org/officeDocument/2006/relationships/hyperlink" Target="https://pubchem.ncbi.nlm.nih.gov/compound/445154" TargetMode="External"/><Relationship Id="rId44" Type="http://schemas.openxmlformats.org/officeDocument/2006/relationships/hyperlink" Target="https://doi.org/10.1016/0092-8674(90)90186-i" TargetMode="External"/><Relationship Id="rId52" Type="http://schemas.openxmlformats.org/officeDocument/2006/relationships/hyperlink" Target="https://doi.org/10.12659/MSM.918906" TargetMode="External"/><Relationship Id="rId60" Type="http://schemas.openxmlformats.org/officeDocument/2006/relationships/hyperlink" Target="https://doi.org/10.1093/annonc/mdu260"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oftware.broadinstitute.org/morpheus/"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pubchem.ncbi.nlm.nih.gov/compound/10621" TargetMode="External"/><Relationship Id="rId30" Type="http://schemas.openxmlformats.org/officeDocument/2006/relationships/hyperlink" Target="https://pubchem.ncbi.nlm.nih.gov/compound/5281654" TargetMode="External"/><Relationship Id="rId35" Type="http://schemas.openxmlformats.org/officeDocument/2006/relationships/hyperlink" Target="https://doi.org/10.1038/75556" TargetMode="External"/><Relationship Id="rId43" Type="http://schemas.openxmlformats.org/officeDocument/2006/relationships/hyperlink" Target="https://doi.org/10.1136/gut.48.4.526" TargetMode="External"/><Relationship Id="rId48" Type="http://schemas.openxmlformats.org/officeDocument/2006/relationships/hyperlink" Target="https://doi.org/10.1093/nar/gkj021" TargetMode="External"/><Relationship Id="rId56" Type="http://schemas.openxmlformats.org/officeDocument/2006/relationships/hyperlink" Target="https://doi.org/10.3390/ijms18010197" TargetMode="External"/><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doi.org/10.1111/j.1572-0241.2001.04677.x" TargetMode="External"/><Relationship Id="rId3" Type="http://schemas.openxmlformats.org/officeDocument/2006/relationships/styles" Target="styles.xml"/><Relationship Id="rId12" Type="http://schemas.openxmlformats.org/officeDocument/2006/relationships/hyperlink" Target="https://ualcan.path.uab.edu/" TargetMode="External"/><Relationship Id="rId17" Type="http://schemas.openxmlformats.org/officeDocument/2006/relationships/image" Target="media/image6.jpeg"/><Relationship Id="rId25" Type="http://schemas.openxmlformats.org/officeDocument/2006/relationships/hyperlink" Target="https://pubchem.ncbi.nlm.nih.gov/compound/65064" TargetMode="External"/><Relationship Id="rId33" Type="http://schemas.openxmlformats.org/officeDocument/2006/relationships/hyperlink" Target="https://pubchem.ncbi.nlm.nih.gov/compound/65064" TargetMode="External"/><Relationship Id="rId38" Type="http://schemas.openxmlformats.org/officeDocument/2006/relationships/hyperlink" Target="https://doi.org/10.1016/j.neo.2017.05.002" TargetMode="External"/><Relationship Id="rId46" Type="http://schemas.openxmlformats.org/officeDocument/2006/relationships/hyperlink" Target="https://doi.org/10.1093/nar/gks1094" TargetMode="External"/><Relationship Id="rId59" Type="http://schemas.openxmlformats.org/officeDocument/2006/relationships/hyperlink" Target="https://doi.org/10.3322/caac.21166" TargetMode="External"/><Relationship Id="rId67" Type="http://schemas.openxmlformats.org/officeDocument/2006/relationships/fontTable" Target="fontTable.xml"/><Relationship Id="rId20" Type="http://schemas.openxmlformats.org/officeDocument/2006/relationships/image" Target="media/image9.jpeg"/><Relationship Id="rId41" Type="http://schemas.openxmlformats.org/officeDocument/2006/relationships/hyperlink" Target="https://doi.org/10.1186/1471-2164-7-252" TargetMode="External"/><Relationship Id="rId54" Type="http://schemas.openxmlformats.org/officeDocument/2006/relationships/hyperlink" Target="https://doi.org/10.1056/NEJMra012242" TargetMode="External"/><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F9306-3AA9-4524-887E-1027AF3C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23</Pages>
  <Words>4623</Words>
  <Characters>28529</Characters>
  <Application>Microsoft Office Word</Application>
  <DocSecurity>0</DocSecurity>
  <Lines>509</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Editor-17</cp:lastModifiedBy>
  <cp:revision>81</cp:revision>
  <dcterms:created xsi:type="dcterms:W3CDTF">2025-02-13T09:18:00Z</dcterms:created>
  <dcterms:modified xsi:type="dcterms:W3CDTF">2025-03-03T09:15:00Z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7fc8a5e5124986661e5c61148148b1861d24760410c4213832f7b38c029981cb</vt:lpwstr>
  </property>
</Properties>
</file>