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6EC6B" w14:textId="32AB6B01" w:rsidR="008F3281" w:rsidRPr="008F3281" w:rsidRDefault="008F3281" w:rsidP="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highlight w:val="yellow"/>
        </w:rPr>
      </w:pPr>
      <w:r w:rsidRPr="008F3281">
        <w:rPr>
          <w:rFonts w:ascii="Times New Roman" w:hAnsi="Times New Roman" w:cs="Times New Roman"/>
          <w:b/>
          <w:bCs/>
          <w:highlight w:val="yellow"/>
        </w:rPr>
        <w:t>ECONOMIC ANALYSIS OF GREEN MUSTARD (</w:t>
      </w:r>
      <w:r w:rsidRPr="008F3281">
        <w:rPr>
          <w:rFonts w:ascii="Times New Roman" w:hAnsi="Times New Roman" w:cs="Times New Roman"/>
          <w:b/>
          <w:bCs/>
          <w:i/>
          <w:iCs/>
          <w:highlight w:val="yellow"/>
        </w:rPr>
        <w:t>Brassica juncea</w:t>
      </w:r>
      <w:r w:rsidRPr="008F3281">
        <w:rPr>
          <w:rFonts w:ascii="Times New Roman" w:hAnsi="Times New Roman" w:cs="Times New Roman"/>
          <w:b/>
          <w:bCs/>
          <w:highlight w:val="yellow"/>
        </w:rPr>
        <w:t xml:space="preserve"> L.) FARMING </w:t>
      </w:r>
    </w:p>
    <w:p w14:paraId="569EE81F" w14:textId="3A20B3FC" w:rsidR="008F3281" w:rsidRPr="008F3281" w:rsidRDefault="008F3281" w:rsidP="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8F3281">
        <w:rPr>
          <w:rFonts w:ascii="Times New Roman" w:hAnsi="Times New Roman" w:cs="Times New Roman"/>
          <w:b/>
          <w:bCs/>
          <w:highlight w:val="yellow"/>
        </w:rPr>
        <w:t>IN BUKIT BIRU</w:t>
      </w:r>
      <w:r w:rsidR="00BF36F6">
        <w:rPr>
          <w:rFonts w:ascii="Times New Roman" w:hAnsi="Times New Roman" w:cs="Times New Roman"/>
          <w:b/>
          <w:bCs/>
          <w:highlight w:val="yellow"/>
        </w:rPr>
        <w:t xml:space="preserve"> VILLAGE</w:t>
      </w:r>
      <w:r w:rsidRPr="008F3281">
        <w:rPr>
          <w:rFonts w:ascii="Times New Roman" w:hAnsi="Times New Roman" w:cs="Times New Roman"/>
          <w:b/>
          <w:bCs/>
          <w:highlight w:val="yellow"/>
        </w:rPr>
        <w:t xml:space="preserve">, </w:t>
      </w:r>
      <w:r w:rsidR="00BF36F6" w:rsidRPr="00BF36F6">
        <w:rPr>
          <w:rStyle w:val="y2iqfc"/>
          <w:rFonts w:ascii="Times New Roman" w:hAnsi="Times New Roman" w:cs="Times New Roman"/>
          <w:b/>
          <w:bCs/>
          <w:highlight w:val="yellow"/>
          <w:lang w:val="en"/>
        </w:rPr>
        <w:t>TENGGARONG DISTRICT</w:t>
      </w:r>
      <w:r w:rsidR="00BF36F6">
        <w:rPr>
          <w:rStyle w:val="y2iqfc"/>
          <w:rFonts w:ascii="Times New Roman" w:hAnsi="Times New Roman" w:cs="Times New Roman"/>
          <w:b/>
          <w:bCs/>
          <w:highlight w:val="yellow"/>
          <w:lang w:val="en"/>
        </w:rPr>
        <w:t>,</w:t>
      </w:r>
      <w:r w:rsidR="00BF36F6" w:rsidRPr="00587118">
        <w:rPr>
          <w:rStyle w:val="y2iqfc"/>
          <w:rFonts w:ascii="Times New Roman" w:hAnsi="Times New Roman" w:cs="Times New Roman"/>
          <w:highlight w:val="yellow"/>
          <w:lang w:val="en"/>
        </w:rPr>
        <w:t xml:space="preserve"> </w:t>
      </w:r>
      <w:r w:rsidRPr="008F3281">
        <w:rPr>
          <w:rFonts w:ascii="Times New Roman" w:hAnsi="Times New Roman" w:cs="Times New Roman"/>
          <w:b/>
          <w:bCs/>
          <w:highlight w:val="yellow"/>
        </w:rPr>
        <w:t>INDONESIA</w:t>
      </w:r>
    </w:p>
    <w:p w14:paraId="4B87FC94" w14:textId="77777777" w:rsidR="00D52C80" w:rsidRPr="005D4CE9" w:rsidRDefault="00D52C80" w:rsidP="005D4CE9">
      <w:pPr>
        <w:jc w:val="both"/>
        <w:rPr>
          <w:rFonts w:ascii="Times New Roman" w:hAnsi="Times New Roman" w:cs="Times New Roman"/>
        </w:rPr>
      </w:pPr>
    </w:p>
    <w:p w14:paraId="012FDA74" w14:textId="77777777" w:rsidR="005D4CE9" w:rsidRPr="007D5852" w:rsidRDefault="005D4CE9" w:rsidP="005D4CE9">
      <w:pPr>
        <w:pStyle w:val="HTMLPreformatted"/>
        <w:jc w:val="both"/>
        <w:rPr>
          <w:rStyle w:val="y2iqfc"/>
          <w:rFonts w:ascii="Times New Roman" w:eastAsiaTheme="majorEastAsia" w:hAnsi="Times New Roman" w:cs="Times New Roman"/>
          <w:b/>
          <w:bCs/>
          <w:sz w:val="22"/>
          <w:szCs w:val="22"/>
          <w:lang w:val="en"/>
        </w:rPr>
      </w:pPr>
      <w:r w:rsidRPr="007D5852">
        <w:rPr>
          <w:rStyle w:val="y2iqfc"/>
          <w:rFonts w:ascii="Times New Roman" w:eastAsiaTheme="majorEastAsia" w:hAnsi="Times New Roman" w:cs="Times New Roman"/>
          <w:b/>
          <w:bCs/>
          <w:sz w:val="22"/>
          <w:szCs w:val="22"/>
          <w:lang w:val="en"/>
        </w:rPr>
        <w:t>ABSTRACT</w:t>
      </w:r>
    </w:p>
    <w:p w14:paraId="09D78667" w14:textId="295FA39B" w:rsidR="008F3281" w:rsidRPr="008F3281" w:rsidRDefault="008F3281" w:rsidP="008F3281">
      <w:pPr>
        <w:pStyle w:val="HTMLPreformatted"/>
        <w:jc w:val="both"/>
        <w:rPr>
          <w:rFonts w:ascii="Times New Roman" w:hAnsi="Times New Roman" w:cs="Times New Roman"/>
          <w:sz w:val="22"/>
          <w:szCs w:val="22"/>
        </w:rPr>
      </w:pPr>
      <w:r w:rsidRPr="00587118">
        <w:rPr>
          <w:rStyle w:val="y2iqfc"/>
          <w:rFonts w:ascii="Times New Roman" w:eastAsiaTheme="majorEastAsia" w:hAnsi="Times New Roman" w:cs="Times New Roman"/>
          <w:sz w:val="22"/>
          <w:szCs w:val="22"/>
          <w:highlight w:val="yellow"/>
          <w:lang w:val="en"/>
        </w:rPr>
        <w:t>Green mustard (</w:t>
      </w:r>
      <w:r w:rsidRPr="00587118">
        <w:rPr>
          <w:rStyle w:val="y2iqfc"/>
          <w:rFonts w:ascii="Times New Roman" w:eastAsiaTheme="majorEastAsia" w:hAnsi="Times New Roman" w:cs="Times New Roman"/>
          <w:i/>
          <w:iCs/>
          <w:sz w:val="22"/>
          <w:szCs w:val="22"/>
          <w:highlight w:val="yellow"/>
          <w:lang w:val="en"/>
        </w:rPr>
        <w:t>Brassica juncea</w:t>
      </w:r>
      <w:r w:rsidRPr="00587118">
        <w:rPr>
          <w:rStyle w:val="y2iqfc"/>
          <w:rFonts w:ascii="Times New Roman" w:eastAsiaTheme="majorEastAsia" w:hAnsi="Times New Roman" w:cs="Times New Roman"/>
          <w:sz w:val="22"/>
          <w:szCs w:val="22"/>
          <w:highlight w:val="yellow"/>
          <w:lang w:val="en"/>
        </w:rPr>
        <w:t xml:space="preserve"> L.) is a leaf vegetable that is popular with all levels of society because it contains many nutrients and is also affordable.  This plant has great prospects for development because it is quite profitable and its cultivation is relatively easy. The aim of the research is to analyze the amount of income obtained by vegetable farmers' associations from green mustard farming and to find out whether the mustard green business being operated in Bukit Biru Village, Tenggarong District, Kutai Kartanegara Regency is profitable or not. This research was carried out from December 2022 to February 2023 in the Bukit Biru Village area, Tenggarong District, Kutai Kartanegara Regency. Sampling used a saturated sampling technique with 18 respondents as samples. The results of the research show that the income obtained by mustard green farmers is IDR 3</w:t>
      </w:r>
      <w:r w:rsidR="00916E48">
        <w:rPr>
          <w:rStyle w:val="y2iqfc"/>
          <w:rFonts w:ascii="Times New Roman" w:eastAsiaTheme="majorEastAsia" w:hAnsi="Times New Roman" w:cs="Times New Roman"/>
          <w:sz w:val="22"/>
          <w:szCs w:val="22"/>
          <w:highlight w:val="yellow"/>
          <w:lang w:val="en"/>
        </w:rPr>
        <w:t>.</w:t>
      </w:r>
      <w:r w:rsidRPr="00587118">
        <w:rPr>
          <w:rStyle w:val="y2iqfc"/>
          <w:rFonts w:ascii="Times New Roman" w:eastAsiaTheme="majorEastAsia" w:hAnsi="Times New Roman" w:cs="Times New Roman"/>
          <w:sz w:val="22"/>
          <w:szCs w:val="22"/>
          <w:highlight w:val="yellow"/>
          <w:lang w:val="en"/>
        </w:rPr>
        <w:t>951</w:t>
      </w:r>
      <w:r w:rsidR="00916E48">
        <w:rPr>
          <w:rStyle w:val="y2iqfc"/>
          <w:rFonts w:ascii="Times New Roman" w:eastAsiaTheme="majorEastAsia" w:hAnsi="Times New Roman" w:cs="Times New Roman"/>
          <w:sz w:val="22"/>
          <w:szCs w:val="22"/>
          <w:highlight w:val="yellow"/>
          <w:lang w:val="en"/>
        </w:rPr>
        <w:t>.</w:t>
      </w:r>
      <w:r w:rsidRPr="00587118">
        <w:rPr>
          <w:rStyle w:val="y2iqfc"/>
          <w:rFonts w:ascii="Times New Roman" w:eastAsiaTheme="majorEastAsia" w:hAnsi="Times New Roman" w:cs="Times New Roman"/>
          <w:sz w:val="22"/>
          <w:szCs w:val="22"/>
          <w:highlight w:val="yellow"/>
          <w:lang w:val="en"/>
        </w:rPr>
        <w:t>111 and the amount of income is IDR. 2</w:t>
      </w:r>
      <w:r w:rsidR="00916E48">
        <w:rPr>
          <w:rStyle w:val="y2iqfc"/>
          <w:rFonts w:ascii="Times New Roman" w:eastAsiaTheme="majorEastAsia" w:hAnsi="Times New Roman" w:cs="Times New Roman"/>
          <w:sz w:val="22"/>
          <w:szCs w:val="22"/>
          <w:highlight w:val="yellow"/>
          <w:lang w:val="en"/>
        </w:rPr>
        <w:t>.</w:t>
      </w:r>
      <w:r w:rsidRPr="00587118">
        <w:rPr>
          <w:rStyle w:val="y2iqfc"/>
          <w:rFonts w:ascii="Times New Roman" w:eastAsiaTheme="majorEastAsia" w:hAnsi="Times New Roman" w:cs="Times New Roman"/>
          <w:sz w:val="22"/>
          <w:szCs w:val="22"/>
          <w:highlight w:val="yellow"/>
          <w:lang w:val="en"/>
        </w:rPr>
        <w:t>764</w:t>
      </w:r>
      <w:r w:rsidR="00916E48">
        <w:rPr>
          <w:rStyle w:val="y2iqfc"/>
          <w:rFonts w:ascii="Times New Roman" w:eastAsiaTheme="majorEastAsia" w:hAnsi="Times New Roman" w:cs="Times New Roman"/>
          <w:sz w:val="22"/>
          <w:szCs w:val="22"/>
          <w:highlight w:val="yellow"/>
          <w:lang w:val="en"/>
        </w:rPr>
        <w:t>.</w:t>
      </w:r>
      <w:r w:rsidRPr="00587118">
        <w:rPr>
          <w:rStyle w:val="y2iqfc"/>
          <w:rFonts w:ascii="Times New Roman" w:eastAsiaTheme="majorEastAsia" w:hAnsi="Times New Roman" w:cs="Times New Roman"/>
          <w:sz w:val="22"/>
          <w:szCs w:val="22"/>
          <w:highlight w:val="yellow"/>
          <w:lang w:val="en"/>
        </w:rPr>
        <w:t xml:space="preserve">164 per </w:t>
      </w:r>
      <w:r w:rsidR="00916E48">
        <w:rPr>
          <w:rStyle w:val="y2iqfc"/>
          <w:rFonts w:ascii="Times New Roman" w:eastAsiaTheme="majorEastAsia" w:hAnsi="Times New Roman" w:cs="Times New Roman"/>
          <w:sz w:val="22"/>
          <w:szCs w:val="22"/>
          <w:highlight w:val="yellow"/>
          <w:lang w:val="en"/>
        </w:rPr>
        <w:t xml:space="preserve">planting </w:t>
      </w:r>
      <w:r w:rsidRPr="00587118">
        <w:rPr>
          <w:rStyle w:val="y2iqfc"/>
          <w:rFonts w:ascii="Times New Roman" w:eastAsiaTheme="majorEastAsia" w:hAnsi="Times New Roman" w:cs="Times New Roman"/>
          <w:sz w:val="22"/>
          <w:szCs w:val="22"/>
          <w:highlight w:val="yellow"/>
          <w:lang w:val="en"/>
        </w:rPr>
        <w:t>season. The R/C value is IDR 3.33, which means that every IDR 1 spent provides IDR 3.33 in revenue, so the green mustard farming business in Bukit Biru Village, Tenggarong District, Kutai Kartanegara Regency is profitable to cultivate as a side business to increase farmers' income</w:t>
      </w:r>
      <w:r w:rsidRPr="008F3281">
        <w:rPr>
          <w:rStyle w:val="y2iqfc"/>
          <w:rFonts w:ascii="Times New Roman" w:eastAsiaTheme="majorEastAsia" w:hAnsi="Times New Roman" w:cs="Times New Roman"/>
          <w:sz w:val="22"/>
          <w:szCs w:val="22"/>
          <w:lang w:val="en"/>
        </w:rPr>
        <w:t>.</w:t>
      </w:r>
    </w:p>
    <w:p w14:paraId="05B67720" w14:textId="77777777" w:rsidR="008F3281" w:rsidRPr="008F3281" w:rsidRDefault="008F3281" w:rsidP="008F3281">
      <w:pPr>
        <w:pStyle w:val="HTMLPreformatted"/>
        <w:jc w:val="both"/>
        <w:rPr>
          <w:rStyle w:val="y2iqfc"/>
          <w:rFonts w:ascii="Times New Roman" w:eastAsiaTheme="majorEastAsia" w:hAnsi="Times New Roman" w:cs="Times New Roman"/>
          <w:sz w:val="22"/>
          <w:szCs w:val="22"/>
          <w:lang w:val="en"/>
        </w:rPr>
      </w:pPr>
    </w:p>
    <w:p w14:paraId="7D21E3BE" w14:textId="4D66F880" w:rsidR="005D4CE9" w:rsidRPr="005D4CE9" w:rsidRDefault="005D4CE9" w:rsidP="005D4CE9">
      <w:pPr>
        <w:pStyle w:val="HTMLPreformatted"/>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Keywords: </w:t>
      </w:r>
      <w:r w:rsidR="00E95E1D">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 xml:space="preserve">Income, </w:t>
      </w:r>
      <w:r w:rsidR="005256DE">
        <w:rPr>
          <w:rStyle w:val="y2iqfc"/>
          <w:rFonts w:ascii="Times New Roman" w:eastAsiaTheme="majorEastAsia" w:hAnsi="Times New Roman" w:cs="Times New Roman"/>
          <w:sz w:val="22"/>
          <w:szCs w:val="22"/>
          <w:lang w:val="en"/>
        </w:rPr>
        <w:t>Farming</w:t>
      </w:r>
      <w:r w:rsidRPr="005D4CE9">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Green </w:t>
      </w:r>
      <w:r w:rsidRPr="005D4CE9">
        <w:rPr>
          <w:rStyle w:val="y2iqfc"/>
          <w:rFonts w:ascii="Times New Roman" w:eastAsiaTheme="majorEastAsia" w:hAnsi="Times New Roman" w:cs="Times New Roman"/>
          <w:sz w:val="22"/>
          <w:szCs w:val="22"/>
          <w:lang w:val="en"/>
        </w:rPr>
        <w:t>Mustard Plants</w:t>
      </w:r>
    </w:p>
    <w:p w14:paraId="23DC3689" w14:textId="182AFD6A" w:rsidR="005D4CE9" w:rsidRPr="005D4CE9" w:rsidRDefault="005D4CE9" w:rsidP="005D4CE9">
      <w:pPr>
        <w:pStyle w:val="HTMLPreformatted"/>
        <w:ind w:firstLine="567"/>
        <w:jc w:val="both"/>
        <w:rPr>
          <w:rFonts w:ascii="Times New Roman" w:hAnsi="Times New Roman" w:cs="Times New Roman"/>
          <w:sz w:val="22"/>
          <w:szCs w:val="22"/>
        </w:rPr>
      </w:pPr>
    </w:p>
    <w:p w14:paraId="74427F40" w14:textId="226CFE25" w:rsidR="005D4CE9" w:rsidRPr="00A740CC" w:rsidRDefault="005D4CE9" w:rsidP="00A740CC">
      <w:pPr>
        <w:pStyle w:val="HTMLPreformatted"/>
        <w:numPr>
          <w:ilvl w:val="0"/>
          <w:numId w:val="3"/>
        </w:numPr>
        <w:ind w:left="284" w:hanging="284"/>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INTRODUCTION</w:t>
      </w:r>
    </w:p>
    <w:p w14:paraId="3618A16D" w14:textId="6F8A506F" w:rsidR="005D4CE9" w:rsidRPr="008F3281" w:rsidRDefault="008F3281" w:rsidP="00A82F98">
      <w:pPr>
        <w:pStyle w:val="HTMLPreformatted"/>
        <w:ind w:firstLine="567"/>
        <w:jc w:val="both"/>
        <w:rPr>
          <w:rStyle w:val="y2iqfc"/>
          <w:rFonts w:ascii="Times New Roman" w:hAnsi="Times New Roman" w:cs="Times New Roman"/>
          <w:sz w:val="22"/>
          <w:szCs w:val="22"/>
        </w:rPr>
      </w:pPr>
      <w:r w:rsidRPr="008F3281">
        <w:rPr>
          <w:rStyle w:val="y2iqfc"/>
          <w:rFonts w:ascii="Times New Roman" w:eastAsiaTheme="majorEastAsia" w:hAnsi="Times New Roman" w:cs="Times New Roman"/>
          <w:sz w:val="22"/>
          <w:szCs w:val="22"/>
          <w:lang w:val="en"/>
        </w:rPr>
        <w:t xml:space="preserve">The horticulture sub-sector is one of the agricultural sectors that can contribute to the national economy. In general, this sub-sector is divided into groups of vegetable plants, medicinal plants, ornamental plants and fruit [1]. Vegetables are one of the basic human needs and contribute 27% of the need for food crops, as for their role as a source of health, as stated in the 1991 Nutrition Seminar and 1997 </w:t>
      </w:r>
      <w:r w:rsidRPr="008F3281">
        <w:rPr>
          <w:rStyle w:val="y2iqfc"/>
          <w:rFonts w:ascii="Times New Roman" w:eastAsiaTheme="majorEastAsia" w:hAnsi="Times New Roman" w:cs="Times New Roman"/>
          <w:sz w:val="22"/>
          <w:szCs w:val="22"/>
          <w:highlight w:val="yellow"/>
          <w:lang w:val="en"/>
        </w:rPr>
        <w:t xml:space="preserve">National Development Planning Agency </w:t>
      </w:r>
      <w:proofErr w:type="gramStart"/>
      <w:r w:rsidRPr="008F3281">
        <w:rPr>
          <w:rStyle w:val="y2iqfc"/>
          <w:rFonts w:ascii="Times New Roman" w:eastAsiaTheme="majorEastAsia" w:hAnsi="Times New Roman" w:cs="Times New Roman"/>
          <w:sz w:val="22"/>
          <w:szCs w:val="22"/>
          <w:highlight w:val="yellow"/>
          <w:lang w:val="en"/>
        </w:rPr>
        <w:t>On</w:t>
      </w:r>
      <w:proofErr w:type="gramEnd"/>
      <w:r w:rsidRPr="008F3281">
        <w:rPr>
          <w:rStyle w:val="y2iqfc"/>
          <w:rFonts w:ascii="Times New Roman" w:eastAsiaTheme="majorEastAsia" w:hAnsi="Times New Roman" w:cs="Times New Roman"/>
          <w:sz w:val="22"/>
          <w:szCs w:val="22"/>
          <w:highlight w:val="yellow"/>
          <w:lang w:val="en"/>
        </w:rPr>
        <w:t xml:space="preserve"> Food Workshop</w:t>
      </w:r>
      <w:r w:rsidRPr="008F3281">
        <w:rPr>
          <w:rStyle w:val="y2iqfc"/>
          <w:rFonts w:ascii="Times New Roman" w:eastAsiaTheme="majorEastAsia" w:hAnsi="Times New Roman" w:cs="Times New Roman"/>
          <w:sz w:val="22"/>
          <w:szCs w:val="22"/>
          <w:lang w:val="en"/>
        </w:rPr>
        <w:t xml:space="preserve"> that "Every individual is recommended to consume a minimum of 150 grams of wet vegetables every day according to FAO recommendations" [2]. Therefore, vegetable commodity farming has good market prospects. Farming businesses that are run can play a role in maintaining environmental comfort, horticulture can accelerate the alleviation of farmer poverty by creating jobs and encouraging investment in rural areas [3].</w:t>
      </w:r>
      <w:r w:rsidR="00A82F98">
        <w:rPr>
          <w:rStyle w:val="y2iqfc"/>
          <w:rFonts w:ascii="Times New Roman" w:eastAsiaTheme="majorEastAsia" w:hAnsi="Times New Roman" w:cs="Times New Roman"/>
          <w:sz w:val="22"/>
          <w:szCs w:val="22"/>
          <w:lang w:val="en"/>
        </w:rPr>
        <w:t xml:space="preserve">  </w:t>
      </w:r>
    </w:p>
    <w:p w14:paraId="69F5B114" w14:textId="4B4BF75D" w:rsidR="005D4CE9" w:rsidRPr="005D4CE9" w:rsidRDefault="005D4CE9" w:rsidP="005D4CE9">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Green mustard is a leaf vegetable that is popular with all levels of society because it contains many nutrients and also has an affordable price ranging from </w:t>
      </w:r>
      <w:r w:rsidR="00916E48">
        <w:rPr>
          <w:rStyle w:val="y2iqfc"/>
          <w:rFonts w:ascii="Times New Roman" w:eastAsiaTheme="majorEastAsia" w:hAnsi="Times New Roman" w:cs="Times New Roman"/>
          <w:sz w:val="22"/>
          <w:szCs w:val="22"/>
          <w:lang w:val="en"/>
        </w:rPr>
        <w:t>IDR</w:t>
      </w:r>
      <w:r w:rsidRPr="005D4CE9">
        <w:rPr>
          <w:rStyle w:val="y2iqfc"/>
          <w:rFonts w:ascii="Times New Roman" w:eastAsiaTheme="majorEastAsia" w:hAnsi="Times New Roman" w:cs="Times New Roman"/>
          <w:sz w:val="22"/>
          <w:szCs w:val="22"/>
          <w:lang w:val="en"/>
        </w:rPr>
        <w:t>. 5</w:t>
      </w:r>
      <w:r w:rsidR="00916E48">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000</w:t>
      </w:r>
      <w:r w:rsidR="00916E48">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 xml:space="preserve"> 10</w:t>
      </w:r>
      <w:r w:rsidR="00916E48">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000 per bunch. Some people believe that mustard greens can work as a blood cleanser, so people with kidney disease are advised to consume lots of mustard greens to improve kidney function.</w:t>
      </w:r>
    </w:p>
    <w:p w14:paraId="37333F56" w14:textId="160C96CA" w:rsidR="005D4CE9" w:rsidRPr="005D4CE9" w:rsidRDefault="005D4CE9" w:rsidP="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lang w:val="en"/>
        </w:rPr>
        <w:t>Green m</w:t>
      </w:r>
      <w:r w:rsidRPr="005D4CE9">
        <w:rPr>
          <w:rFonts w:ascii="Times New Roman" w:eastAsia="Times New Roman" w:hAnsi="Times New Roman" w:cs="Times New Roman"/>
          <w:lang w:val="en"/>
        </w:rPr>
        <w:t>ustard production in Indonesia over the last 3 years has increased each period, namely in 2019 as much as 652</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727 tons, in 2020 as much as 667</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 xml:space="preserve">473 tons, </w:t>
      </w:r>
      <w:r w:rsidR="00873F7F">
        <w:rPr>
          <w:rFonts w:ascii="Times New Roman" w:eastAsia="Times New Roman" w:hAnsi="Times New Roman" w:cs="Times New Roman"/>
          <w:lang w:val="en"/>
        </w:rPr>
        <w:t xml:space="preserve">and </w:t>
      </w:r>
      <w:r w:rsidRPr="005D4CE9">
        <w:rPr>
          <w:rFonts w:ascii="Times New Roman" w:eastAsia="Times New Roman" w:hAnsi="Times New Roman" w:cs="Times New Roman"/>
          <w:lang w:val="en"/>
        </w:rPr>
        <w:t>in 2021 as much as 727</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467 tons [4]. Based on the area of ​​mustard harvested land in 2021, it was 69</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239 ha, in 2020 it was 63</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464 ha and in 2019 it was 60</w:t>
      </w:r>
      <w:r w:rsidR="00916E48">
        <w:rPr>
          <w:rFonts w:ascii="Times New Roman" w:eastAsia="Times New Roman" w:hAnsi="Times New Roman" w:cs="Times New Roman"/>
          <w:lang w:val="en"/>
        </w:rPr>
        <w:t>.</w:t>
      </w:r>
      <w:r w:rsidRPr="005D4CE9">
        <w:rPr>
          <w:rFonts w:ascii="Times New Roman" w:eastAsia="Times New Roman" w:hAnsi="Times New Roman" w:cs="Times New Roman"/>
          <w:lang w:val="en"/>
        </w:rPr>
        <w:t xml:space="preserve">871 ha [5], so it can be concluded that each period the area of ​​harvested land has increased. This indicates that </w:t>
      </w:r>
      <w:r w:rsidR="00873F7F">
        <w:rPr>
          <w:rFonts w:ascii="Times New Roman" w:eastAsia="Times New Roman" w:hAnsi="Times New Roman" w:cs="Times New Roman"/>
          <w:lang w:val="en"/>
        </w:rPr>
        <w:t xml:space="preserve">green </w:t>
      </w:r>
      <w:r w:rsidRPr="005D4CE9">
        <w:rPr>
          <w:rFonts w:ascii="Times New Roman" w:eastAsia="Times New Roman" w:hAnsi="Times New Roman" w:cs="Times New Roman"/>
          <w:lang w:val="en"/>
        </w:rPr>
        <w:t>mustard farming has the opportunity to be developed because it has good cultivation prospects.</w:t>
      </w:r>
    </w:p>
    <w:p w14:paraId="5D3108C0" w14:textId="6240A60A" w:rsidR="005D4CE9" w:rsidRPr="005D4CE9" w:rsidRDefault="005D4CE9" w:rsidP="005D4CE9">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In the East Kalimantan Province region in 2021, the mustard harvest land area is 1</w:t>
      </w:r>
      <w:r w:rsidR="00916E48">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142.28 ha with a total mustard production of 6</w:t>
      </w:r>
      <w:r w:rsidR="00916E48">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914.63 tons which is divided into 10 districts/cities including Paser has a land area of ​​46 ha with a total production of 94 tons, West Kutai has a land area of ​​125 ha with a total production of 82.10 tons, Kutai Kartanegara has a land area of ​​320.06 ha with a total production 1</w:t>
      </w:r>
      <w:r w:rsidR="00916E48">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108.08 tons, East Kutai has a land area of ​​105.19 ha with a total production of 198.20 tons, Berau has a land area of ​​169.11 ha with a total production of 1</w:t>
      </w:r>
      <w:r w:rsidR="00916E48">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061.93 tons, Penajam Paser Utara has a land area of ​​74.77 ha with a total production of 199.72 tons, Mahakam Ulu has a land area of ​​5.30 ha with a total production of 1.01 tons, Balikpapan has a land area of ​​179.25 ha with a total production of 3,583 tons, Samarinda has a land area of ​​73.60 ha with a total production of 494.09 tons, and Bontang has a land area of ​​44 ha with a total production of 92.50 ha. Thus, it can be seen that Kutai Kartanegara Regency is in the first position which has the largest land area and total production is in the second highest position after </w:t>
      </w:r>
      <w:r w:rsidRPr="005D4CE9">
        <w:rPr>
          <w:rStyle w:val="y2iqfc"/>
          <w:rFonts w:ascii="Times New Roman" w:eastAsiaTheme="majorEastAsia" w:hAnsi="Times New Roman" w:cs="Times New Roman"/>
          <w:sz w:val="22"/>
          <w:szCs w:val="22"/>
          <w:lang w:val="en"/>
        </w:rPr>
        <w:lastRenderedPageBreak/>
        <w:t>Balikpapan City. Therefore, green mustard farming in Kutai Kartanegara Regency has good market prospects for development [6].</w:t>
      </w:r>
    </w:p>
    <w:p w14:paraId="7862D3F6" w14:textId="0DD73DE4"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Bukit Biru sub-district is one of the sub-districts in Tenggarong District, Kutai Kartanegara Regency which cultivates many vegetable crops, one of which is mustard greens. At this location</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there are 22 farmer groups consisting of 2 groups of women farmers and 2 groups of horticultural farmers. The area of ​​land owned is around 10 h</w:t>
      </w:r>
      <w:r w:rsidR="004D6E96">
        <w:rPr>
          <w:rStyle w:val="y2iqfc"/>
          <w:rFonts w:ascii="Times New Roman" w:eastAsiaTheme="majorEastAsia" w:hAnsi="Times New Roman" w:cs="Times New Roman"/>
          <w:sz w:val="22"/>
          <w:szCs w:val="22"/>
          <w:lang w:val="en"/>
        </w:rPr>
        <w:t>a</w:t>
      </w:r>
      <w:r w:rsidRPr="005D4CE9">
        <w:rPr>
          <w:rStyle w:val="y2iqfc"/>
          <w:rFonts w:ascii="Times New Roman" w:eastAsiaTheme="majorEastAsia" w:hAnsi="Times New Roman" w:cs="Times New Roman"/>
          <w:sz w:val="22"/>
          <w:szCs w:val="22"/>
          <w:lang w:val="en"/>
        </w:rPr>
        <w:t xml:space="preserve"> with mustard farming covering an area of ​​6 ha and the rest planted with secondary crops. One of the horticultural farmer groups is the </w:t>
      </w:r>
      <w:r w:rsidR="00873F7F">
        <w:rPr>
          <w:rStyle w:val="y2iqfc"/>
          <w:rFonts w:ascii="Times New Roman" w:eastAsiaTheme="majorEastAsia" w:hAnsi="Times New Roman" w:cs="Times New Roman"/>
          <w:sz w:val="22"/>
          <w:szCs w:val="22"/>
          <w:lang w:val="en"/>
        </w:rPr>
        <w:t>Vegetable Farmers A</w:t>
      </w:r>
      <w:r w:rsidRPr="005D4CE9">
        <w:rPr>
          <w:rStyle w:val="y2iqfc"/>
          <w:rFonts w:ascii="Times New Roman" w:eastAsiaTheme="majorEastAsia" w:hAnsi="Times New Roman" w:cs="Times New Roman"/>
          <w:sz w:val="22"/>
          <w:szCs w:val="22"/>
          <w:lang w:val="en"/>
        </w:rPr>
        <w:t>ssociation which was founded on January 24</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2013. This farmer group runs a green mustard vegetable farming business. While farming is running, farmers' awareness of recording and monitoring income from green mustard farming is still very minimal. </w:t>
      </w:r>
    </w:p>
    <w:p w14:paraId="026A6CD2" w14:textId="06E373F5"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 xml:space="preserve">The </w:t>
      </w:r>
      <w:r w:rsidR="00873F7F">
        <w:rPr>
          <w:rStyle w:val="y2iqfc"/>
          <w:rFonts w:ascii="Times New Roman" w:eastAsiaTheme="majorEastAsia" w:hAnsi="Times New Roman" w:cs="Times New Roman"/>
          <w:sz w:val="22"/>
          <w:szCs w:val="22"/>
          <w:lang w:val="en"/>
        </w:rPr>
        <w:t>research aim</w:t>
      </w:r>
      <w:r w:rsidRPr="005D4CE9">
        <w:rPr>
          <w:rStyle w:val="y2iqfc"/>
          <w:rFonts w:ascii="Times New Roman" w:eastAsiaTheme="majorEastAsia" w:hAnsi="Times New Roman" w:cs="Times New Roman"/>
          <w:sz w:val="22"/>
          <w:szCs w:val="22"/>
          <w:lang w:val="en"/>
        </w:rPr>
        <w:t>s to find out the amount of income earned by vegetable farmers' associations from green mustard farming and to find out whether or not the mustard green business is profitable or not in Bukit Biru Village, Tenggarong District, Kutai Kartanegara Regency.</w:t>
      </w:r>
    </w:p>
    <w:p w14:paraId="47DD6FDB" w14:textId="77777777"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p>
    <w:p w14:paraId="15190DEA" w14:textId="4A4017CF"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2. RESEARCH METHODS</w:t>
      </w:r>
    </w:p>
    <w:p w14:paraId="54C1B0A0" w14:textId="7B99E8B2"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 xml:space="preserve">2.1. Time and Place </w:t>
      </w:r>
    </w:p>
    <w:p w14:paraId="441193DE" w14:textId="34468537" w:rsidR="005D4CE9" w:rsidRPr="00A740CC" w:rsidRDefault="005D4CE9" w:rsidP="00A740CC">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This research was carried out for 3 months starting from December 2022 to February 2023 and was located in Dusun Bangun Rejo RT. 20 Bukit Biru Village, Tenggarong District, Kutai Kartanegara Regency.</w:t>
      </w:r>
    </w:p>
    <w:p w14:paraId="5B27A025" w14:textId="06957004"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 xml:space="preserve">2.2. Data Types and Sources </w:t>
      </w:r>
    </w:p>
    <w:p w14:paraId="41937C29" w14:textId="384F10D4" w:rsidR="00587118" w:rsidRPr="00587118" w:rsidRDefault="005D4CE9" w:rsidP="00587118">
      <w:pPr>
        <w:pStyle w:val="HTMLPreformatted"/>
        <w:jc w:val="both"/>
        <w:rPr>
          <w:rFonts w:ascii="Times New Roman" w:hAnsi="Times New Roman" w:cs="Times New Roman"/>
          <w:sz w:val="22"/>
          <w:szCs w:val="22"/>
        </w:rPr>
      </w:pPr>
      <w:r w:rsidRPr="00587118">
        <w:rPr>
          <w:rStyle w:val="y2iqfc"/>
          <w:rFonts w:ascii="Times New Roman" w:eastAsiaTheme="majorEastAsia" w:hAnsi="Times New Roman" w:cs="Times New Roman"/>
          <w:sz w:val="22"/>
          <w:szCs w:val="22"/>
          <w:lang w:val="en"/>
        </w:rPr>
        <w:t xml:space="preserve">The data collection methods that will be used in this research are primary data and secondary data. Primary data is data obtained directly or </w:t>
      </w:r>
      <w:r w:rsidR="00873F7F" w:rsidRPr="00587118">
        <w:rPr>
          <w:rStyle w:val="y2iqfc"/>
          <w:rFonts w:ascii="Times New Roman" w:eastAsiaTheme="majorEastAsia" w:hAnsi="Times New Roman" w:cs="Times New Roman"/>
          <w:sz w:val="22"/>
          <w:szCs w:val="22"/>
          <w:lang w:val="en"/>
        </w:rPr>
        <w:t xml:space="preserve">through </w:t>
      </w:r>
      <w:r w:rsidRPr="00587118">
        <w:rPr>
          <w:rStyle w:val="y2iqfc"/>
          <w:rFonts w:ascii="Times New Roman" w:eastAsiaTheme="majorEastAsia" w:hAnsi="Times New Roman" w:cs="Times New Roman"/>
          <w:sz w:val="22"/>
          <w:szCs w:val="22"/>
          <w:lang w:val="en"/>
        </w:rPr>
        <w:t>fieldwork research in the field obtained through observations, direct interviews with farmers, and questionnaires as a data source. The questionnaire given to farmers is in the form of structured questions including data on land area, farmers' education level, farming experience, production costs</w:t>
      </w:r>
      <w:r w:rsidR="00873F7F" w:rsidRPr="00587118">
        <w:rPr>
          <w:rStyle w:val="y2iqfc"/>
          <w:rFonts w:ascii="Times New Roman" w:eastAsiaTheme="majorEastAsia" w:hAnsi="Times New Roman" w:cs="Times New Roman"/>
          <w:sz w:val="22"/>
          <w:szCs w:val="22"/>
          <w:lang w:val="en"/>
        </w:rPr>
        <w:t>,</w:t>
      </w:r>
      <w:r w:rsidRPr="00587118">
        <w:rPr>
          <w:rStyle w:val="y2iqfc"/>
          <w:rFonts w:ascii="Times New Roman" w:eastAsiaTheme="majorEastAsia" w:hAnsi="Times New Roman" w:cs="Times New Roman"/>
          <w:sz w:val="22"/>
          <w:szCs w:val="22"/>
          <w:lang w:val="en"/>
        </w:rPr>
        <w:t xml:space="preserve"> and income. Secondary data is data obtained indirectly or </w:t>
      </w:r>
      <w:r w:rsidR="00873F7F" w:rsidRPr="00587118">
        <w:rPr>
          <w:rStyle w:val="y2iqfc"/>
          <w:rFonts w:ascii="Times New Roman" w:eastAsiaTheme="majorEastAsia" w:hAnsi="Times New Roman" w:cs="Times New Roman"/>
          <w:sz w:val="22"/>
          <w:szCs w:val="22"/>
          <w:lang w:val="en"/>
        </w:rPr>
        <w:t xml:space="preserve">through </w:t>
      </w:r>
      <w:r w:rsidRPr="00587118">
        <w:rPr>
          <w:rStyle w:val="y2iqfc"/>
          <w:rFonts w:ascii="Times New Roman" w:eastAsiaTheme="majorEastAsia" w:hAnsi="Times New Roman" w:cs="Times New Roman"/>
          <w:sz w:val="22"/>
          <w:szCs w:val="22"/>
          <w:lang w:val="en"/>
        </w:rPr>
        <w:t xml:space="preserve">library research by researchers, namely through articles, journals, </w:t>
      </w:r>
      <w:r w:rsidR="00873F7F" w:rsidRPr="00587118">
        <w:rPr>
          <w:rStyle w:val="y2iqfc"/>
          <w:rFonts w:ascii="Times New Roman" w:eastAsiaTheme="majorEastAsia" w:hAnsi="Times New Roman" w:cs="Times New Roman"/>
          <w:sz w:val="22"/>
          <w:szCs w:val="22"/>
          <w:lang w:val="en"/>
        </w:rPr>
        <w:t xml:space="preserve">and </w:t>
      </w:r>
      <w:r w:rsidRPr="00587118">
        <w:rPr>
          <w:rStyle w:val="y2iqfc"/>
          <w:rFonts w:ascii="Times New Roman" w:eastAsiaTheme="majorEastAsia" w:hAnsi="Times New Roman" w:cs="Times New Roman"/>
          <w:sz w:val="22"/>
          <w:szCs w:val="22"/>
          <w:lang w:val="en"/>
        </w:rPr>
        <w:t xml:space="preserve">literature studies from related agencies. </w:t>
      </w:r>
      <w:r w:rsidR="00587118" w:rsidRPr="00587118">
        <w:rPr>
          <w:rStyle w:val="y2iqfc"/>
          <w:rFonts w:ascii="Times New Roman" w:eastAsiaTheme="majorEastAsia" w:hAnsi="Times New Roman" w:cs="Times New Roman"/>
          <w:sz w:val="22"/>
          <w:szCs w:val="22"/>
          <w:highlight w:val="yellow"/>
          <w:lang w:val="en"/>
        </w:rPr>
        <w:t>Sampling in this study used a saturated sampling technique with 18 farmers as respondents according to the number of farmers cultivating green mustard.  Saturated sampling is a sampling technique by using all members of the population as samples if the number of farmers is less than 30 people [7].</w:t>
      </w:r>
    </w:p>
    <w:p w14:paraId="1322C8E6" w14:textId="520EFC92" w:rsidR="005D4CE9" w:rsidRPr="005D4CE9" w:rsidRDefault="005D4CE9" w:rsidP="00587118">
      <w:pPr>
        <w:pStyle w:val="HTMLPreformatted"/>
        <w:jc w:val="both"/>
        <w:rPr>
          <w:rStyle w:val="y2iqfc"/>
          <w:rFonts w:ascii="Times New Roman" w:eastAsiaTheme="majorEastAsia" w:hAnsi="Times New Roman" w:cs="Times New Roman"/>
          <w:b/>
          <w:bCs/>
          <w:sz w:val="22"/>
          <w:szCs w:val="22"/>
          <w:lang w:val="en"/>
        </w:rPr>
      </w:pPr>
      <w:r w:rsidRPr="005D4CE9">
        <w:rPr>
          <w:rStyle w:val="y2iqfc"/>
          <w:rFonts w:ascii="Times New Roman" w:eastAsiaTheme="majorEastAsia" w:hAnsi="Times New Roman" w:cs="Times New Roman"/>
          <w:b/>
          <w:bCs/>
          <w:sz w:val="22"/>
          <w:szCs w:val="22"/>
          <w:lang w:val="en"/>
        </w:rPr>
        <w:t xml:space="preserve">2.3. Definition of Variables and Their Measurement </w:t>
      </w:r>
    </w:p>
    <w:p w14:paraId="3881D1D5" w14:textId="77777777"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To get a clearer understanding of what will be researched according to the concept put forward, operationally it can be described as follows:</w:t>
      </w:r>
    </w:p>
    <w:p w14:paraId="675BADA5" w14:textId="65E3127C" w:rsidR="005D4CE9" w:rsidRPr="005D4CE9" w:rsidRDefault="005D4CE9" w:rsidP="005D4CE9">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1. The production costs that will be taken into account in this research are the costs incurred during one planting season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which include:</w:t>
      </w:r>
    </w:p>
    <w:p w14:paraId="432187E8" w14:textId="33AF01BC" w:rsidR="005D4CE9" w:rsidRPr="005D4CE9" w:rsidRDefault="005D4CE9" w:rsidP="005D4CE9">
      <w:pPr>
        <w:pStyle w:val="HTMLPreformatted"/>
        <w:ind w:left="567" w:hanging="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a) The costs of production facilities are in the form of seed costs, fertilizer costs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finally pesticide costs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xml:space="preserve">), </w:t>
      </w:r>
    </w:p>
    <w:p w14:paraId="78679782" w14:textId="54758D6A" w:rsidR="005D4CE9" w:rsidRPr="00605A08" w:rsidRDefault="005D4CE9" w:rsidP="00605A08">
      <w:pPr>
        <w:pStyle w:val="HTMLPreformatted"/>
        <w:ind w:left="567" w:hanging="567"/>
        <w:jc w:val="both"/>
        <w:rPr>
          <w:rStyle w:val="y2iqfc"/>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 xml:space="preserve">b) Labor costs can be calculated based on the wage system that applies at the research location based </w:t>
      </w:r>
      <w:r w:rsidRPr="00605A08">
        <w:rPr>
          <w:rStyle w:val="y2iqfc"/>
          <w:rFonts w:ascii="Times New Roman" w:eastAsiaTheme="majorEastAsia" w:hAnsi="Times New Roman" w:cs="Times New Roman"/>
          <w:sz w:val="22"/>
          <w:szCs w:val="22"/>
          <w:lang w:val="en"/>
        </w:rPr>
        <w:t xml:space="preserve">on </w:t>
      </w:r>
      <w:r w:rsidR="00605A08" w:rsidRPr="00605A08">
        <w:rPr>
          <w:rStyle w:val="y2iqfc"/>
          <w:rFonts w:ascii="Times New Roman" w:eastAsiaTheme="majorEastAsia" w:hAnsi="Times New Roman" w:cs="Times New Roman"/>
          <w:sz w:val="22"/>
          <w:szCs w:val="22"/>
          <w:lang w:val="en"/>
        </w:rPr>
        <w:t>working day</w:t>
      </w:r>
      <w:r w:rsidR="00605A08" w:rsidRPr="00605A08">
        <w:rPr>
          <w:rFonts w:ascii="Times New Roman" w:hAnsi="Times New Roman" w:cs="Times New Roman"/>
          <w:sz w:val="22"/>
          <w:szCs w:val="22"/>
        </w:rPr>
        <w:t xml:space="preserve"> </w:t>
      </w:r>
      <w:r w:rsidRPr="00605A08">
        <w:rPr>
          <w:rStyle w:val="y2iqfc"/>
          <w:rFonts w:ascii="Times New Roman" w:eastAsiaTheme="majorEastAsia" w:hAnsi="Times New Roman" w:cs="Times New Roman"/>
          <w:sz w:val="22"/>
          <w:szCs w:val="22"/>
          <w:lang w:val="en"/>
        </w:rPr>
        <w:t>(IDR planting season</w:t>
      </w:r>
      <w:r w:rsidRPr="00605A08">
        <w:rPr>
          <w:rStyle w:val="y2iqfc"/>
          <w:rFonts w:ascii="Times New Roman" w:eastAsiaTheme="majorEastAsia" w:hAnsi="Times New Roman" w:cs="Times New Roman"/>
          <w:sz w:val="22"/>
          <w:szCs w:val="22"/>
          <w:vertAlign w:val="superscript"/>
          <w:lang w:val="en"/>
        </w:rPr>
        <w:t>-1</w:t>
      </w:r>
      <w:r w:rsidRPr="00605A08">
        <w:rPr>
          <w:rStyle w:val="y2iqfc"/>
          <w:rFonts w:ascii="Times New Roman" w:eastAsiaTheme="majorEastAsia" w:hAnsi="Times New Roman" w:cs="Times New Roman"/>
          <w:sz w:val="22"/>
          <w:szCs w:val="22"/>
          <w:lang w:val="en"/>
        </w:rPr>
        <w:t xml:space="preserve">), </w:t>
      </w:r>
    </w:p>
    <w:p w14:paraId="392C5A53" w14:textId="66B76787" w:rsidR="005D4CE9" w:rsidRPr="005D4CE9" w:rsidRDefault="005D4CE9" w:rsidP="00605A08">
      <w:pPr>
        <w:pStyle w:val="HTMLPreformatted"/>
        <w:ind w:left="567" w:hanging="283"/>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c) Depreciation costs for agricultural equipment, namely costs obtained by calculating the purchase price multiplied by the number of tools and divided by the technical life of the tools such as machetes, sp</w:t>
      </w:r>
      <w:r w:rsidR="00873F7F">
        <w:rPr>
          <w:rStyle w:val="y2iqfc"/>
          <w:rFonts w:ascii="Times New Roman" w:eastAsiaTheme="majorEastAsia" w:hAnsi="Times New Roman" w:cs="Times New Roman"/>
          <w:sz w:val="22"/>
          <w:szCs w:val="22"/>
          <w:lang w:val="en"/>
        </w:rPr>
        <w:t>r</w:t>
      </w:r>
      <w:r w:rsidRPr="005D4CE9">
        <w:rPr>
          <w:rStyle w:val="y2iqfc"/>
          <w:rFonts w:ascii="Times New Roman" w:eastAsiaTheme="majorEastAsia" w:hAnsi="Times New Roman" w:cs="Times New Roman"/>
          <w:sz w:val="22"/>
          <w:szCs w:val="22"/>
          <w:lang w:val="en"/>
        </w:rPr>
        <w:t>ayers, hoes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sickles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xml:space="preserve">), </w:t>
      </w:r>
    </w:p>
    <w:p w14:paraId="759204FB" w14:textId="3B220417" w:rsidR="005D4CE9" w:rsidRPr="005D4CE9" w:rsidRDefault="005D4CE9" w:rsidP="005D4CE9">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2. Farming income is the result of production which is then multiplied by the selling price obtained from the farming business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w:t>
      </w:r>
    </w:p>
    <w:p w14:paraId="7DD6016C" w14:textId="7724EEBC" w:rsidR="005D4CE9" w:rsidRPr="005D4CE9" w:rsidRDefault="005D4CE9" w:rsidP="00605A08">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3. Farming income is the difference between revenue and minus production costs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w:t>
      </w:r>
    </w:p>
    <w:p w14:paraId="16019056" w14:textId="05905B08" w:rsidR="005D4CE9" w:rsidRPr="005D4CE9" w:rsidRDefault="005D4CE9" w:rsidP="005D4CE9">
      <w:pPr>
        <w:pStyle w:val="HTMLPreformatted"/>
        <w:ind w:left="284" w:hanging="284"/>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4. </w:t>
      </w:r>
      <w:r w:rsidR="00873F7F">
        <w:rPr>
          <w:rStyle w:val="y2iqfc"/>
          <w:rFonts w:ascii="Times New Roman" w:eastAsiaTheme="majorEastAsia" w:hAnsi="Times New Roman" w:cs="Times New Roman"/>
          <w:sz w:val="22"/>
          <w:szCs w:val="22"/>
          <w:lang w:val="en"/>
        </w:rPr>
        <w:t xml:space="preserve">The </w:t>
      </w:r>
      <w:r w:rsidRPr="005D4CE9">
        <w:rPr>
          <w:rStyle w:val="y2iqfc"/>
          <w:rFonts w:ascii="Times New Roman" w:eastAsiaTheme="majorEastAsia" w:hAnsi="Times New Roman" w:cs="Times New Roman"/>
          <w:sz w:val="22"/>
          <w:szCs w:val="22"/>
          <w:lang w:val="en"/>
        </w:rPr>
        <w:t xml:space="preserve">R/C Ratio is a comparison between total revenue and total costs which states the value of revenue for every </w:t>
      </w:r>
      <w:r>
        <w:rPr>
          <w:rStyle w:val="y2iqfc"/>
          <w:rFonts w:ascii="Times New Roman" w:eastAsiaTheme="majorEastAsia" w:hAnsi="Times New Roman" w:cs="Times New Roman"/>
          <w:sz w:val="22"/>
          <w:szCs w:val="22"/>
          <w:lang w:val="en"/>
        </w:rPr>
        <w:t>IDR</w:t>
      </w:r>
      <w:r w:rsidRPr="005D4CE9">
        <w:rPr>
          <w:rStyle w:val="y2iqfc"/>
          <w:rFonts w:ascii="Times New Roman" w:eastAsiaTheme="majorEastAsia" w:hAnsi="Times New Roman" w:cs="Times New Roman"/>
          <w:sz w:val="22"/>
          <w:szCs w:val="22"/>
          <w:lang w:val="en"/>
        </w:rPr>
        <w:t xml:space="preserve"> spent.</w:t>
      </w:r>
    </w:p>
    <w:p w14:paraId="580D9398" w14:textId="77777777" w:rsidR="005D4CE9" w:rsidRDefault="005D4CE9" w:rsidP="005F08CA">
      <w:pPr>
        <w:pStyle w:val="HTMLPreformatted"/>
        <w:jc w:val="both"/>
        <w:rPr>
          <w:rFonts w:ascii="Times New Roman" w:hAnsi="Times New Roman" w:cs="Times New Roman"/>
          <w:sz w:val="22"/>
          <w:szCs w:val="22"/>
        </w:rPr>
      </w:pPr>
    </w:p>
    <w:p w14:paraId="1FF10B44" w14:textId="77777777" w:rsidR="00587118" w:rsidRDefault="00587118" w:rsidP="005F08CA">
      <w:pPr>
        <w:pStyle w:val="HTMLPreformatted"/>
        <w:jc w:val="both"/>
        <w:rPr>
          <w:rFonts w:ascii="Times New Roman" w:hAnsi="Times New Roman" w:cs="Times New Roman"/>
          <w:sz w:val="22"/>
          <w:szCs w:val="22"/>
        </w:rPr>
      </w:pPr>
    </w:p>
    <w:p w14:paraId="18D653C7" w14:textId="77777777" w:rsidR="00587118" w:rsidRDefault="00587118" w:rsidP="005F08CA">
      <w:pPr>
        <w:pStyle w:val="HTMLPreformatted"/>
        <w:jc w:val="both"/>
        <w:rPr>
          <w:rFonts w:ascii="Times New Roman" w:hAnsi="Times New Roman" w:cs="Times New Roman"/>
          <w:sz w:val="22"/>
          <w:szCs w:val="22"/>
        </w:rPr>
      </w:pPr>
    </w:p>
    <w:p w14:paraId="22C8278B" w14:textId="4C23FBD5" w:rsidR="005F08CA" w:rsidRPr="00A740CC" w:rsidRDefault="005F08CA" w:rsidP="005F08CA">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lastRenderedPageBreak/>
        <w:t xml:space="preserve">2.4. Data Processing Methods </w:t>
      </w:r>
    </w:p>
    <w:p w14:paraId="73A1BCDC" w14:textId="12BA39A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2.4.1 </w:t>
      </w:r>
      <w:r w:rsidRPr="005F08CA">
        <w:rPr>
          <w:rStyle w:val="y2iqfc"/>
          <w:rFonts w:ascii="Times New Roman" w:eastAsiaTheme="majorEastAsia" w:hAnsi="Times New Roman" w:cs="Times New Roman"/>
          <w:sz w:val="22"/>
          <w:szCs w:val="22"/>
          <w:lang w:val="en"/>
        </w:rPr>
        <w:t>Total cost</w:t>
      </w:r>
    </w:p>
    <w:p w14:paraId="1ED73B0F" w14:textId="56315E01"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The production process that has been carried out incurs </w:t>
      </w:r>
      <w:r w:rsidR="00873F7F">
        <w:rPr>
          <w:rStyle w:val="y2iqfc"/>
          <w:rFonts w:ascii="Times New Roman" w:eastAsiaTheme="majorEastAsia" w:hAnsi="Times New Roman" w:cs="Times New Roman"/>
          <w:sz w:val="22"/>
          <w:szCs w:val="22"/>
          <w:lang w:val="en"/>
        </w:rPr>
        <w:t>several</w:t>
      </w:r>
      <w:r w:rsidRPr="005F08CA">
        <w:rPr>
          <w:rStyle w:val="y2iqfc"/>
          <w:rFonts w:ascii="Times New Roman" w:eastAsiaTheme="majorEastAsia" w:hAnsi="Times New Roman" w:cs="Times New Roman"/>
          <w:sz w:val="22"/>
          <w:szCs w:val="22"/>
          <w:lang w:val="en"/>
        </w:rPr>
        <w:t xml:space="preserve"> costs that are sacrificed. The total amount of fees charged can be calculated using the following formula [8].</w:t>
      </w:r>
    </w:p>
    <w:p w14:paraId="42018118" w14:textId="77777777"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TC = TFC + TVC</w:t>
      </w:r>
    </w:p>
    <w:p w14:paraId="7B5F68A4" w14:textId="3DB3A7F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roofErr w:type="gramStart"/>
      <w:r w:rsidRPr="005F08CA">
        <w:rPr>
          <w:rStyle w:val="y2iqfc"/>
          <w:rFonts w:ascii="Times New Roman" w:eastAsiaTheme="majorEastAsia" w:hAnsi="Times New Roman" w:cs="Times New Roman"/>
          <w:sz w:val="22"/>
          <w:szCs w:val="22"/>
          <w:lang w:val="en"/>
        </w:rPr>
        <w:t>Information :</w:t>
      </w:r>
      <w:proofErr w:type="gramEnd"/>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TC = Total Cost</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TFC = Total Fixed Cost</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TVC = Total Variable Cost </w:t>
      </w:r>
    </w:p>
    <w:p w14:paraId="46AE61D5" w14:textId="77777777" w:rsidR="00605A08" w:rsidRDefault="00605A08" w:rsidP="005F08CA">
      <w:pPr>
        <w:pStyle w:val="HTMLPreformatted"/>
        <w:jc w:val="both"/>
        <w:rPr>
          <w:rStyle w:val="y2iqfc"/>
          <w:rFonts w:ascii="Times New Roman" w:eastAsiaTheme="majorEastAsia" w:hAnsi="Times New Roman" w:cs="Times New Roman"/>
          <w:sz w:val="22"/>
          <w:szCs w:val="22"/>
          <w:lang w:val="en"/>
        </w:rPr>
      </w:pPr>
    </w:p>
    <w:p w14:paraId="237B230B" w14:textId="250B89B3" w:rsid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2.4.2 Total Revenue</w:t>
      </w:r>
    </w:p>
    <w:p w14:paraId="163E58DC" w14:textId="3EF03736"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The total revenue obtained from the sale of certain goods multiplied by the selling price. The amount of revenue is influenced by production results so increasing farmers' production results can increase the amount of revenue received. Total revenue can be formulated as follows [9].</w:t>
      </w:r>
    </w:p>
    <w:p w14:paraId="70E3BE5E" w14:textId="33010ECF"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TR = </w:t>
      </w:r>
      <w:proofErr w:type="gramStart"/>
      <w:r w:rsidRPr="005F08CA">
        <w:rPr>
          <w:rStyle w:val="y2iqfc"/>
          <w:rFonts w:ascii="Times New Roman" w:eastAsiaTheme="majorEastAsia" w:hAnsi="Times New Roman" w:cs="Times New Roman"/>
          <w:sz w:val="22"/>
          <w:szCs w:val="22"/>
          <w:lang w:val="en"/>
        </w:rPr>
        <w:t>P .Q</w:t>
      </w:r>
      <w:proofErr w:type="gramEnd"/>
    </w:p>
    <w:p w14:paraId="3F694F77" w14:textId="573FEB03" w:rsidR="005F08CA" w:rsidRPr="005F08CA" w:rsidRDefault="005F08CA" w:rsidP="005F08CA">
      <w:pPr>
        <w:pStyle w:val="HTMLPreformatted"/>
        <w:jc w:val="both"/>
        <w:rPr>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Information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TR = Total Revanue</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 P = Product Price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Q = Quantity </w:t>
      </w:r>
      <w:r>
        <w:rPr>
          <w:rStyle w:val="y2iqfc"/>
          <w:rFonts w:ascii="Times New Roman" w:eastAsiaTheme="majorEastAsia" w:hAnsi="Times New Roman" w:cs="Times New Roman"/>
          <w:sz w:val="22"/>
          <w:szCs w:val="22"/>
          <w:lang w:val="en"/>
        </w:rPr>
        <w:t>or</w:t>
      </w:r>
      <w:r w:rsidRPr="005F08CA">
        <w:rPr>
          <w:rStyle w:val="y2iqfc"/>
          <w:rFonts w:ascii="Times New Roman" w:eastAsiaTheme="majorEastAsia" w:hAnsi="Times New Roman" w:cs="Times New Roman"/>
          <w:sz w:val="22"/>
          <w:szCs w:val="22"/>
          <w:lang w:val="en"/>
        </w:rPr>
        <w:t xml:space="preserve"> Production Amount</w:t>
      </w:r>
    </w:p>
    <w:p w14:paraId="01A11284" w14:textId="77777777" w:rsidR="005F08CA" w:rsidRDefault="005F08CA" w:rsidP="005F08CA">
      <w:pPr>
        <w:pStyle w:val="HTMLPreformatted"/>
        <w:jc w:val="both"/>
        <w:rPr>
          <w:rFonts w:ascii="Times New Roman" w:hAnsi="Times New Roman" w:cs="Times New Roman"/>
          <w:sz w:val="22"/>
          <w:szCs w:val="22"/>
        </w:rPr>
      </w:pPr>
    </w:p>
    <w:p w14:paraId="124BF26B" w14:textId="09B4B99D"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2.4.3. </w:t>
      </w:r>
      <w:r w:rsidRPr="005F08CA">
        <w:rPr>
          <w:rStyle w:val="y2iqfc"/>
          <w:rFonts w:ascii="Times New Roman" w:eastAsiaTheme="majorEastAsia" w:hAnsi="Times New Roman" w:cs="Times New Roman"/>
          <w:sz w:val="22"/>
          <w:szCs w:val="22"/>
          <w:lang w:val="en"/>
        </w:rPr>
        <w:t xml:space="preserve">Income </w:t>
      </w:r>
    </w:p>
    <w:p w14:paraId="069FAC58" w14:textId="77777777"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Income or profit is obtained from total receipts minus total costs. Says that to find out farmer income, you can use the following formula [10].</w:t>
      </w:r>
    </w:p>
    <w:p w14:paraId="36A36BA9"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 = TR-TC</w:t>
      </w:r>
    </w:p>
    <w:p w14:paraId="06C539EB" w14:textId="6FDBAA46"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Information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I = Income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TR = Total Revenue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TC = Total Cost</w:t>
      </w:r>
    </w:p>
    <w:p w14:paraId="574BAECB"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
    <w:p w14:paraId="0D7D8FB5" w14:textId="4C4C3BFE"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2.4.4. </w:t>
      </w:r>
      <w:r w:rsidRPr="005F08CA">
        <w:rPr>
          <w:rStyle w:val="y2iqfc"/>
          <w:rFonts w:ascii="Times New Roman" w:eastAsiaTheme="majorEastAsia" w:hAnsi="Times New Roman" w:cs="Times New Roman"/>
          <w:sz w:val="22"/>
          <w:szCs w:val="22"/>
          <w:lang w:val="en"/>
        </w:rPr>
        <w:t>R/C Ratio</w:t>
      </w:r>
    </w:p>
    <w:p w14:paraId="24FEC868" w14:textId="7A0253A6"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To be able to determine the progress and feasibility of the business, the R/C Ratio calculation can be used, which is the ratio of revenue to costs incurred in the farming business being carried out. </w:t>
      </w:r>
      <w:r w:rsidR="00873F7F">
        <w:rPr>
          <w:rStyle w:val="y2iqfc"/>
          <w:rFonts w:ascii="Times New Roman" w:eastAsiaTheme="majorEastAsia" w:hAnsi="Times New Roman" w:cs="Times New Roman"/>
          <w:sz w:val="22"/>
          <w:szCs w:val="22"/>
          <w:lang w:val="en"/>
        </w:rPr>
        <w:t>T</w:t>
      </w:r>
      <w:r w:rsidRPr="005F08CA">
        <w:rPr>
          <w:rStyle w:val="y2iqfc"/>
          <w:rFonts w:ascii="Times New Roman" w:eastAsiaTheme="majorEastAsia" w:hAnsi="Times New Roman" w:cs="Times New Roman"/>
          <w:sz w:val="22"/>
          <w:szCs w:val="22"/>
          <w:lang w:val="en"/>
        </w:rPr>
        <w:t xml:space="preserve">he R/C Ratio formula </w:t>
      </w:r>
      <w:r w:rsidR="00873F7F">
        <w:rPr>
          <w:rStyle w:val="y2iqfc"/>
          <w:rFonts w:ascii="Times New Roman" w:eastAsiaTheme="majorEastAsia" w:hAnsi="Times New Roman" w:cs="Times New Roman"/>
          <w:sz w:val="22"/>
          <w:szCs w:val="22"/>
          <w:lang w:val="en"/>
        </w:rPr>
        <w:t xml:space="preserve">is </w:t>
      </w:r>
      <w:r w:rsidRPr="005F08CA">
        <w:rPr>
          <w:rStyle w:val="y2iqfc"/>
          <w:rFonts w:ascii="Times New Roman" w:eastAsiaTheme="majorEastAsia" w:hAnsi="Times New Roman" w:cs="Times New Roman"/>
          <w:sz w:val="22"/>
          <w:szCs w:val="22"/>
          <w:lang w:val="en"/>
        </w:rPr>
        <w:t>as follows [1</w:t>
      </w:r>
      <w:r w:rsidR="00AF6AC8">
        <w:rPr>
          <w:rStyle w:val="y2iqfc"/>
          <w:rFonts w:ascii="Times New Roman" w:eastAsiaTheme="majorEastAsia" w:hAnsi="Times New Roman" w:cs="Times New Roman"/>
          <w:sz w:val="22"/>
          <w:szCs w:val="22"/>
          <w:lang w:val="en"/>
        </w:rPr>
        <w:t>1</w:t>
      </w:r>
      <w:r w:rsidRPr="005F08CA">
        <w:rPr>
          <w:rStyle w:val="y2iqfc"/>
          <w:rFonts w:ascii="Times New Roman" w:eastAsiaTheme="majorEastAsia" w:hAnsi="Times New Roman" w:cs="Times New Roman"/>
          <w:sz w:val="22"/>
          <w:szCs w:val="22"/>
          <w:lang w:val="en"/>
        </w:rPr>
        <w:t>].</w:t>
      </w:r>
    </w:p>
    <w:p w14:paraId="5D5AF35B" w14:textId="77777777"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TR/TC</w:t>
      </w:r>
    </w:p>
    <w:p w14:paraId="0536BF08"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Information : </w:t>
      </w:r>
    </w:p>
    <w:p w14:paraId="204B48A3" w14:textId="18A29D2B" w:rsidR="005F08CA" w:rsidRPr="005F08CA" w:rsidRDefault="005F08CA" w:rsidP="005F08CA">
      <w:pPr>
        <w:pStyle w:val="HTMLPreformatted"/>
        <w:numPr>
          <w:ilvl w:val="0"/>
          <w:numId w:val="1"/>
        </w:numPr>
        <w:ind w:left="284" w:hanging="284"/>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&gt; 1, stating that the business that has been carried out has resulted in a profit</w:t>
      </w:r>
    </w:p>
    <w:p w14:paraId="6DE81BBE" w14:textId="77777777" w:rsidR="005F08CA" w:rsidRDefault="005F08CA" w:rsidP="005F08CA">
      <w:pPr>
        <w:pStyle w:val="HTMLPreformatted"/>
        <w:numPr>
          <w:ilvl w:val="0"/>
          <w:numId w:val="1"/>
        </w:numPr>
        <w:ind w:left="284" w:hanging="284"/>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 1, stating that the business that has been carried out is neither profitable nor detrimental (break-even point).</w:t>
      </w:r>
    </w:p>
    <w:p w14:paraId="217C61EA" w14:textId="6D87E7F8" w:rsidR="005F08CA" w:rsidRPr="005F08CA" w:rsidRDefault="005F08CA" w:rsidP="005F08CA">
      <w:pPr>
        <w:pStyle w:val="HTMLPreformatted"/>
        <w:numPr>
          <w:ilvl w:val="0"/>
          <w:numId w:val="1"/>
        </w:numPr>
        <w:ind w:left="284" w:hanging="284"/>
        <w:jc w:val="both"/>
        <w:rPr>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&lt; 1, states that the business that has been carried out does not produce a profit</w:t>
      </w:r>
    </w:p>
    <w:p w14:paraId="0104D72D" w14:textId="77777777" w:rsidR="005F08CA" w:rsidRDefault="005F08CA" w:rsidP="005F08CA">
      <w:pPr>
        <w:pStyle w:val="HTMLPreformatted"/>
        <w:ind w:left="284" w:hanging="284"/>
        <w:jc w:val="both"/>
        <w:rPr>
          <w:rFonts w:ascii="Times New Roman" w:hAnsi="Times New Roman" w:cs="Times New Roman"/>
          <w:sz w:val="22"/>
          <w:szCs w:val="22"/>
        </w:rPr>
      </w:pPr>
    </w:p>
    <w:p w14:paraId="34E9CF5C" w14:textId="0BABD876" w:rsidR="00C91A75" w:rsidRPr="00A740CC"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
        </w:rPr>
      </w:pPr>
      <w:r w:rsidRPr="00A740CC">
        <w:rPr>
          <w:rFonts w:ascii="Times New Roman" w:eastAsia="Times New Roman" w:hAnsi="Times New Roman" w:cs="Times New Roman"/>
          <w:b/>
          <w:bCs/>
          <w:lang w:val="en"/>
        </w:rPr>
        <w:t xml:space="preserve">3. RESULT AND DISCUSSION </w:t>
      </w:r>
    </w:p>
    <w:p w14:paraId="455FF086" w14:textId="356A3EBB"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
        </w:rPr>
      </w:pPr>
      <w:r w:rsidRPr="00C91A75">
        <w:rPr>
          <w:rFonts w:ascii="Times New Roman" w:eastAsia="Times New Roman" w:hAnsi="Times New Roman" w:cs="Times New Roman"/>
          <w:b/>
          <w:bCs/>
          <w:lang w:val="en"/>
        </w:rPr>
        <w:t>3.1. Characteristics based on respondent's age</w:t>
      </w:r>
    </w:p>
    <w:p w14:paraId="0C9B2B6A" w14:textId="27DC6A04"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
        </w:rPr>
      </w:pPr>
      <w:r w:rsidRPr="00C91A75">
        <w:rPr>
          <w:rFonts w:ascii="Times New Roman" w:eastAsia="Times New Roman" w:hAnsi="Times New Roman" w:cs="Times New Roman"/>
          <w:lang w:val="en"/>
        </w:rPr>
        <w:tab/>
        <w:t>Respondent characteristics based on age are presented in Table 1.</w:t>
      </w:r>
    </w:p>
    <w:p w14:paraId="30BD9789" w14:textId="1D59B81D"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
        </w:rPr>
      </w:pPr>
      <w:r w:rsidRPr="00C91A75">
        <w:rPr>
          <w:rFonts w:ascii="Times New Roman" w:eastAsia="Times New Roman" w:hAnsi="Times New Roman" w:cs="Times New Roman"/>
          <w:lang w:val="en"/>
        </w:rPr>
        <w:t>Table 1. Characteristics of Respondents Based on Age</w:t>
      </w:r>
    </w:p>
    <w:tbl>
      <w:tblPr>
        <w:tblStyle w:val="TableGrid"/>
        <w:tblW w:w="964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3304"/>
        <w:gridCol w:w="3548"/>
        <w:gridCol w:w="2268"/>
      </w:tblGrid>
      <w:tr w:rsidR="00C91A75" w:rsidRPr="00E817CB" w14:paraId="472EFB0E" w14:textId="77777777" w:rsidTr="00B471D0">
        <w:tc>
          <w:tcPr>
            <w:tcW w:w="524" w:type="dxa"/>
            <w:tcBorders>
              <w:bottom w:val="single" w:sz="4" w:space="0" w:color="auto"/>
            </w:tcBorders>
          </w:tcPr>
          <w:p w14:paraId="746B22D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3304" w:type="dxa"/>
            <w:tcBorders>
              <w:bottom w:val="single" w:sz="4" w:space="0" w:color="auto"/>
            </w:tcBorders>
          </w:tcPr>
          <w:p w14:paraId="4D242AD5" w14:textId="1A56BC0E" w:rsidR="00C91A75" w:rsidRPr="00461E8D" w:rsidRDefault="00605A08" w:rsidP="00605A08">
            <w:pPr>
              <w:pStyle w:val="HTMLPreformatted"/>
              <w:rPr>
                <w:rFonts w:ascii="Times New Roman" w:hAnsi="Times New Roman" w:cs="Times New Roman"/>
                <w:bCs/>
              </w:rPr>
            </w:pPr>
            <w:r w:rsidRPr="00461E8D">
              <w:rPr>
                <w:rStyle w:val="y2iqfc"/>
                <w:rFonts w:ascii="Times New Roman" w:eastAsiaTheme="majorEastAsia" w:hAnsi="Times New Roman" w:cs="Times New Roman"/>
                <w:bCs/>
                <w:lang w:val="en"/>
              </w:rPr>
              <w:t>Age (Years)</w:t>
            </w:r>
          </w:p>
        </w:tc>
        <w:tc>
          <w:tcPr>
            <w:tcW w:w="3548" w:type="dxa"/>
            <w:tcBorders>
              <w:bottom w:val="single" w:sz="4" w:space="0" w:color="auto"/>
            </w:tcBorders>
          </w:tcPr>
          <w:p w14:paraId="7F8C051E" w14:textId="30318666" w:rsidR="00C91A75" w:rsidRPr="00605A08" w:rsidRDefault="00605A08"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w:t>
            </w:r>
            <w:r w:rsidRPr="00605A08">
              <w:rPr>
                <w:rFonts w:ascii="Times New Roman" w:eastAsia="SimSun" w:hAnsi="Times New Roman" w:cs="Times New Roman"/>
                <w:bCs/>
                <w:color w:val="000000" w:themeColor="text1"/>
              </w:rPr>
              <w:t>umber</w:t>
            </w:r>
            <w:r w:rsidR="00C91A75"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p</w:t>
            </w:r>
            <w:r w:rsidRPr="00605A08">
              <w:rPr>
                <w:rFonts w:ascii="Times New Roman" w:eastAsia="SimSun" w:hAnsi="Times New Roman" w:cs="Times New Roman"/>
                <w:bCs/>
                <w:color w:val="000000" w:themeColor="text1"/>
              </w:rPr>
              <w:t>eople</w:t>
            </w:r>
            <w:r w:rsidR="00C91A75" w:rsidRPr="00605A08">
              <w:rPr>
                <w:rFonts w:ascii="Times New Roman" w:eastAsia="SimSun" w:hAnsi="Times New Roman" w:cs="Times New Roman"/>
                <w:bCs/>
                <w:color w:val="000000" w:themeColor="text1"/>
                <w:sz w:val="22"/>
                <w:szCs w:val="22"/>
              </w:rPr>
              <w:t>)</w:t>
            </w:r>
          </w:p>
        </w:tc>
        <w:tc>
          <w:tcPr>
            <w:tcW w:w="2268" w:type="dxa"/>
            <w:tcBorders>
              <w:bottom w:val="single" w:sz="4" w:space="0" w:color="auto"/>
            </w:tcBorders>
          </w:tcPr>
          <w:p w14:paraId="39AD44A3" w14:textId="25F883C6"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Per</w:t>
            </w:r>
            <w:r w:rsidR="00605A08" w:rsidRPr="00605A08">
              <w:rPr>
                <w:rFonts w:ascii="Times New Roman" w:eastAsia="SimSun" w:hAnsi="Times New Roman" w:cs="Times New Roman"/>
                <w:bCs/>
                <w:color w:val="000000" w:themeColor="text1"/>
                <w:sz w:val="22"/>
                <w:szCs w:val="22"/>
              </w:rPr>
              <w:t>c</w:t>
            </w:r>
            <w:r w:rsidRPr="00605A08">
              <w:rPr>
                <w:rFonts w:ascii="Times New Roman" w:eastAsia="SimSun" w:hAnsi="Times New Roman" w:cs="Times New Roman"/>
                <w:bCs/>
                <w:color w:val="000000" w:themeColor="text1"/>
                <w:sz w:val="22"/>
                <w:szCs w:val="22"/>
              </w:rPr>
              <w:t>enta</w:t>
            </w:r>
            <w:r w:rsidR="00605A08" w:rsidRPr="00605A08">
              <w:rPr>
                <w:rFonts w:ascii="Times New Roman" w:eastAsia="SimSun" w:hAnsi="Times New Roman" w:cs="Times New Roman"/>
                <w:bCs/>
                <w:color w:val="000000" w:themeColor="text1"/>
                <w:sz w:val="22"/>
                <w:szCs w:val="22"/>
              </w:rPr>
              <w:t>g</w:t>
            </w:r>
            <w:r w:rsidRPr="00605A08">
              <w:rPr>
                <w:rFonts w:ascii="Times New Roman" w:eastAsia="SimSun" w:hAnsi="Times New Roman" w:cs="Times New Roman"/>
                <w:bCs/>
                <w:color w:val="000000" w:themeColor="text1"/>
                <w:sz w:val="22"/>
                <w:szCs w:val="22"/>
              </w:rPr>
              <w:t>e (%)</w:t>
            </w:r>
          </w:p>
        </w:tc>
      </w:tr>
      <w:tr w:rsidR="00C91A75" w:rsidRPr="00E817CB" w14:paraId="6405F2BA" w14:textId="77777777" w:rsidTr="00B471D0">
        <w:tc>
          <w:tcPr>
            <w:tcW w:w="524" w:type="dxa"/>
            <w:tcBorders>
              <w:top w:val="single" w:sz="4" w:space="0" w:color="auto"/>
              <w:bottom w:val="nil"/>
            </w:tcBorders>
          </w:tcPr>
          <w:p w14:paraId="706219C1"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3304" w:type="dxa"/>
            <w:tcBorders>
              <w:top w:val="single" w:sz="4" w:space="0" w:color="auto"/>
              <w:bottom w:val="nil"/>
            </w:tcBorders>
          </w:tcPr>
          <w:p w14:paraId="7E8300DD"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41 – 50</w:t>
            </w:r>
          </w:p>
        </w:tc>
        <w:tc>
          <w:tcPr>
            <w:tcW w:w="3548" w:type="dxa"/>
            <w:tcBorders>
              <w:top w:val="single" w:sz="4" w:space="0" w:color="auto"/>
              <w:bottom w:val="nil"/>
            </w:tcBorders>
          </w:tcPr>
          <w:p w14:paraId="02C512F4"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w:t>
            </w:r>
          </w:p>
        </w:tc>
        <w:tc>
          <w:tcPr>
            <w:tcW w:w="2268" w:type="dxa"/>
            <w:tcBorders>
              <w:top w:val="single" w:sz="4" w:space="0" w:color="auto"/>
              <w:bottom w:val="nil"/>
            </w:tcBorders>
          </w:tcPr>
          <w:p w14:paraId="5D74C712" w14:textId="6064F7B9"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55</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5</w:t>
            </w:r>
          </w:p>
        </w:tc>
      </w:tr>
      <w:tr w:rsidR="00C91A75" w:rsidRPr="00E817CB" w14:paraId="728D57F0" w14:textId="77777777" w:rsidTr="00B471D0">
        <w:tc>
          <w:tcPr>
            <w:tcW w:w="524" w:type="dxa"/>
            <w:tcBorders>
              <w:top w:val="nil"/>
              <w:bottom w:val="nil"/>
            </w:tcBorders>
          </w:tcPr>
          <w:p w14:paraId="533DBDB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3304" w:type="dxa"/>
            <w:tcBorders>
              <w:top w:val="nil"/>
              <w:bottom w:val="nil"/>
            </w:tcBorders>
          </w:tcPr>
          <w:p w14:paraId="02A3B76D"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51 – 60</w:t>
            </w:r>
          </w:p>
        </w:tc>
        <w:tc>
          <w:tcPr>
            <w:tcW w:w="3548" w:type="dxa"/>
            <w:tcBorders>
              <w:top w:val="nil"/>
              <w:bottom w:val="nil"/>
            </w:tcBorders>
          </w:tcPr>
          <w:p w14:paraId="5DC08EF0"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w:t>
            </w:r>
          </w:p>
        </w:tc>
        <w:tc>
          <w:tcPr>
            <w:tcW w:w="2268" w:type="dxa"/>
            <w:tcBorders>
              <w:top w:val="nil"/>
              <w:bottom w:val="nil"/>
            </w:tcBorders>
          </w:tcPr>
          <w:p w14:paraId="3F386BD3" w14:textId="028F44E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27</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8</w:t>
            </w:r>
          </w:p>
        </w:tc>
      </w:tr>
      <w:tr w:rsidR="00C91A75" w:rsidRPr="00E817CB" w14:paraId="5E85CDD5" w14:textId="77777777" w:rsidTr="00B471D0">
        <w:tc>
          <w:tcPr>
            <w:tcW w:w="524" w:type="dxa"/>
            <w:tcBorders>
              <w:top w:val="nil"/>
              <w:bottom w:val="single" w:sz="4" w:space="0" w:color="auto"/>
            </w:tcBorders>
          </w:tcPr>
          <w:p w14:paraId="33738DAC"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3304" w:type="dxa"/>
            <w:tcBorders>
              <w:top w:val="nil"/>
              <w:bottom w:val="single" w:sz="4" w:space="0" w:color="auto"/>
            </w:tcBorders>
          </w:tcPr>
          <w:p w14:paraId="730EC02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61 – 70</w:t>
            </w:r>
          </w:p>
        </w:tc>
        <w:tc>
          <w:tcPr>
            <w:tcW w:w="3548" w:type="dxa"/>
            <w:tcBorders>
              <w:top w:val="nil"/>
              <w:bottom w:val="single" w:sz="4" w:space="0" w:color="auto"/>
            </w:tcBorders>
          </w:tcPr>
          <w:p w14:paraId="17EE4248"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268" w:type="dxa"/>
            <w:tcBorders>
              <w:top w:val="nil"/>
              <w:bottom w:val="single" w:sz="4" w:space="0" w:color="auto"/>
            </w:tcBorders>
          </w:tcPr>
          <w:p w14:paraId="2A717AEE" w14:textId="076CC990"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7</w:t>
            </w:r>
          </w:p>
        </w:tc>
      </w:tr>
      <w:tr w:rsidR="00C91A75" w:rsidRPr="00E817CB" w14:paraId="5FF22DDD" w14:textId="77777777" w:rsidTr="00B471D0">
        <w:tc>
          <w:tcPr>
            <w:tcW w:w="3828" w:type="dxa"/>
            <w:gridSpan w:val="2"/>
            <w:tcBorders>
              <w:top w:val="single" w:sz="4" w:space="0" w:color="auto"/>
            </w:tcBorders>
          </w:tcPr>
          <w:p w14:paraId="4E364842" w14:textId="510CA9FA" w:rsidR="00C91A75" w:rsidRPr="00605A08" w:rsidRDefault="00605A08" w:rsidP="00B471D0">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p>
        </w:tc>
        <w:tc>
          <w:tcPr>
            <w:tcW w:w="3548" w:type="dxa"/>
            <w:tcBorders>
              <w:top w:val="single" w:sz="4" w:space="0" w:color="auto"/>
            </w:tcBorders>
          </w:tcPr>
          <w:p w14:paraId="137EEAB0"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18</w:t>
            </w:r>
          </w:p>
        </w:tc>
        <w:tc>
          <w:tcPr>
            <w:tcW w:w="2268" w:type="dxa"/>
            <w:tcBorders>
              <w:top w:val="single" w:sz="4" w:space="0" w:color="auto"/>
            </w:tcBorders>
          </w:tcPr>
          <w:p w14:paraId="06FE2C32"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100</w:t>
            </w:r>
          </w:p>
        </w:tc>
      </w:tr>
    </w:tbl>
    <w:p w14:paraId="20F7B6B8" w14:textId="01CE1521" w:rsidR="00C91A75" w:rsidRPr="007D5852" w:rsidRDefault="00C91A75" w:rsidP="00C91A75">
      <w:pPr>
        <w:pStyle w:val="HTMLPreformatted"/>
        <w:rPr>
          <w:rFonts w:ascii="Times New Roman" w:hAnsi="Times New Roman" w:cs="Times New Roman"/>
          <w:sz w:val="22"/>
          <w:szCs w:val="22"/>
        </w:rPr>
      </w:pPr>
      <w:r w:rsidRPr="007D5852">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2D7B38C7" w14:textId="77777777" w:rsidR="00C91A75" w:rsidRDefault="00C91A75" w:rsidP="00C91A75">
      <w:pPr>
        <w:pStyle w:val="HTMLPreformatted"/>
        <w:jc w:val="both"/>
        <w:rPr>
          <w:rStyle w:val="y2iqfc"/>
          <w:rFonts w:ascii="Times New Roman" w:eastAsiaTheme="majorEastAsia" w:hAnsi="Times New Roman" w:cs="Times New Roman"/>
          <w:sz w:val="22"/>
          <w:szCs w:val="22"/>
          <w:lang w:val="en"/>
        </w:rPr>
      </w:pPr>
    </w:p>
    <w:p w14:paraId="510836DD" w14:textId="14C039EF"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Greens m</w:t>
      </w:r>
      <w:r w:rsidRPr="00C91A75">
        <w:rPr>
          <w:rStyle w:val="y2iqfc"/>
          <w:rFonts w:ascii="Times New Roman" w:eastAsiaTheme="majorEastAsia" w:hAnsi="Times New Roman" w:cs="Times New Roman"/>
          <w:sz w:val="22"/>
          <w:szCs w:val="22"/>
          <w:lang w:val="en"/>
        </w:rPr>
        <w:t xml:space="preserve">ustard farming activities: number and percentage of farmer respondents based on age characteristics in Bukit Biru Village, Tenggarong District. In Table 1, it is known that the age of the mustard farmer respondents was 10 people aged 41-50 years with a percentage of 55.5%, 5 people aged 51-60 years with a percentage of 27.8%, 3 people aged 61-70 years with a percentage of 16.7%. </w:t>
      </w:r>
    </w:p>
    <w:p w14:paraId="0A306179" w14:textId="77777777" w:rsidR="00605A08" w:rsidRDefault="00605A08" w:rsidP="00C91A75">
      <w:pPr>
        <w:pStyle w:val="HTMLPreformatted"/>
        <w:jc w:val="both"/>
        <w:rPr>
          <w:rStyle w:val="y2iqfc"/>
          <w:rFonts w:ascii="Times New Roman" w:eastAsiaTheme="majorEastAsia" w:hAnsi="Times New Roman" w:cs="Times New Roman"/>
          <w:sz w:val="22"/>
          <w:szCs w:val="22"/>
          <w:lang w:val="en"/>
        </w:rPr>
      </w:pPr>
    </w:p>
    <w:p w14:paraId="39098AC9" w14:textId="77777777" w:rsidR="00AF6AC8" w:rsidRDefault="00AF6AC8" w:rsidP="00C91A75">
      <w:pPr>
        <w:pStyle w:val="HTMLPreformatted"/>
        <w:jc w:val="both"/>
        <w:rPr>
          <w:rStyle w:val="y2iqfc"/>
          <w:rFonts w:ascii="Times New Roman" w:eastAsiaTheme="majorEastAsia" w:hAnsi="Times New Roman" w:cs="Times New Roman"/>
          <w:sz w:val="22"/>
          <w:szCs w:val="22"/>
          <w:lang w:val="en"/>
        </w:rPr>
      </w:pPr>
    </w:p>
    <w:p w14:paraId="2166F936" w14:textId="77777777" w:rsidR="00AF6AC8" w:rsidRDefault="00AF6AC8" w:rsidP="00C91A75">
      <w:pPr>
        <w:pStyle w:val="HTMLPreformatted"/>
        <w:jc w:val="both"/>
        <w:rPr>
          <w:rStyle w:val="y2iqfc"/>
          <w:rFonts w:ascii="Times New Roman" w:eastAsiaTheme="majorEastAsia" w:hAnsi="Times New Roman" w:cs="Times New Roman"/>
          <w:sz w:val="22"/>
          <w:szCs w:val="22"/>
          <w:lang w:val="en"/>
        </w:rPr>
      </w:pPr>
    </w:p>
    <w:p w14:paraId="11CFE377" w14:textId="77777777" w:rsidR="00AF6AC8" w:rsidRDefault="00AF6AC8" w:rsidP="00C91A75">
      <w:pPr>
        <w:pStyle w:val="HTMLPreformatted"/>
        <w:jc w:val="both"/>
        <w:rPr>
          <w:rStyle w:val="y2iqfc"/>
          <w:rFonts w:ascii="Times New Roman" w:eastAsiaTheme="majorEastAsia" w:hAnsi="Times New Roman" w:cs="Times New Roman"/>
          <w:sz w:val="22"/>
          <w:szCs w:val="22"/>
          <w:lang w:val="en"/>
        </w:rPr>
      </w:pPr>
    </w:p>
    <w:p w14:paraId="5502891A" w14:textId="77777777" w:rsidR="00AF6AC8" w:rsidRDefault="00AF6AC8" w:rsidP="00C91A75">
      <w:pPr>
        <w:pStyle w:val="HTMLPreformatted"/>
        <w:jc w:val="both"/>
        <w:rPr>
          <w:rStyle w:val="y2iqfc"/>
          <w:rFonts w:ascii="Times New Roman" w:eastAsiaTheme="majorEastAsia" w:hAnsi="Times New Roman" w:cs="Times New Roman"/>
          <w:sz w:val="22"/>
          <w:szCs w:val="22"/>
          <w:lang w:val="en"/>
        </w:rPr>
      </w:pPr>
    </w:p>
    <w:p w14:paraId="432D923A" w14:textId="6DE1CADD"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lastRenderedPageBreak/>
        <w:t>3.</w:t>
      </w:r>
      <w:r w:rsidRPr="00C91A75">
        <w:rPr>
          <w:rStyle w:val="y2iqfc"/>
          <w:rFonts w:ascii="Times New Roman" w:eastAsiaTheme="majorEastAsia" w:hAnsi="Times New Roman" w:cs="Times New Roman"/>
          <w:sz w:val="22"/>
          <w:szCs w:val="22"/>
          <w:lang w:val="en"/>
        </w:rPr>
        <w:t xml:space="preserve">2. </w:t>
      </w:r>
      <w:r>
        <w:rPr>
          <w:rStyle w:val="y2iqfc"/>
          <w:rFonts w:ascii="Times New Roman" w:eastAsiaTheme="majorEastAsia" w:hAnsi="Times New Roman" w:cs="Times New Roman"/>
          <w:sz w:val="22"/>
          <w:szCs w:val="22"/>
          <w:lang w:val="en"/>
        </w:rPr>
        <w:t xml:space="preserve"> </w:t>
      </w:r>
      <w:r w:rsidRPr="00C91A75">
        <w:rPr>
          <w:rStyle w:val="y2iqfc"/>
          <w:rFonts w:ascii="Times New Roman" w:eastAsiaTheme="majorEastAsia" w:hAnsi="Times New Roman" w:cs="Times New Roman"/>
          <w:sz w:val="22"/>
          <w:szCs w:val="22"/>
          <w:lang w:val="en"/>
        </w:rPr>
        <w:t xml:space="preserve">Characteristics based on </w:t>
      </w:r>
      <w:r>
        <w:rPr>
          <w:rStyle w:val="y2iqfc"/>
          <w:rFonts w:ascii="Times New Roman" w:eastAsiaTheme="majorEastAsia" w:hAnsi="Times New Roman" w:cs="Times New Roman"/>
          <w:sz w:val="22"/>
          <w:szCs w:val="22"/>
          <w:lang w:val="en"/>
        </w:rPr>
        <w:t>E</w:t>
      </w:r>
      <w:r w:rsidRPr="00C91A75">
        <w:rPr>
          <w:rStyle w:val="y2iqfc"/>
          <w:rFonts w:ascii="Times New Roman" w:eastAsiaTheme="majorEastAsia" w:hAnsi="Times New Roman" w:cs="Times New Roman"/>
          <w:sz w:val="22"/>
          <w:szCs w:val="22"/>
          <w:lang w:val="en"/>
        </w:rPr>
        <w:t xml:space="preserve">ducation </w:t>
      </w:r>
      <w:r>
        <w:rPr>
          <w:rStyle w:val="y2iqfc"/>
          <w:rFonts w:ascii="Times New Roman" w:eastAsiaTheme="majorEastAsia" w:hAnsi="Times New Roman" w:cs="Times New Roman"/>
          <w:sz w:val="22"/>
          <w:szCs w:val="22"/>
          <w:lang w:val="en"/>
        </w:rPr>
        <w:t>L</w:t>
      </w:r>
      <w:r w:rsidRPr="00C91A75">
        <w:rPr>
          <w:rStyle w:val="y2iqfc"/>
          <w:rFonts w:ascii="Times New Roman" w:eastAsiaTheme="majorEastAsia" w:hAnsi="Times New Roman" w:cs="Times New Roman"/>
          <w:sz w:val="22"/>
          <w:szCs w:val="22"/>
          <w:lang w:val="en"/>
        </w:rPr>
        <w:t>evel</w:t>
      </w:r>
    </w:p>
    <w:p w14:paraId="7D403E61" w14:textId="5D52846F" w:rsidR="00C16067" w:rsidRPr="00AF6AC8" w:rsidRDefault="00C91A75" w:rsidP="00AF6AC8">
      <w:pPr>
        <w:pStyle w:val="HTMLPreformatted"/>
        <w:ind w:firstLine="567"/>
        <w:jc w:val="both"/>
        <w:rPr>
          <w:rStyle w:val="y2iqfc"/>
          <w:rFonts w:ascii="Times New Roman" w:eastAsiaTheme="majorEastAsia" w:hAnsi="Times New Roman" w:cs="Times New Roman"/>
          <w:sz w:val="22"/>
          <w:szCs w:val="22"/>
          <w:lang w:val="en"/>
        </w:rPr>
      </w:pPr>
      <w:r w:rsidRPr="00C91A75">
        <w:rPr>
          <w:rFonts w:ascii="Times New Roman" w:hAnsi="Times New Roman" w:cs="Times New Roman"/>
          <w:sz w:val="22"/>
          <w:szCs w:val="22"/>
          <w:lang w:val="en"/>
        </w:rPr>
        <w:t>Respondent characteristics based on education level are presented in Table 2.</w:t>
      </w:r>
    </w:p>
    <w:p w14:paraId="176AF8EA" w14:textId="4EED3612" w:rsidR="00C91A75" w:rsidRPr="00C91A75" w:rsidRDefault="00C91A75" w:rsidP="00C91A75">
      <w:pPr>
        <w:pStyle w:val="HTMLPreformatted"/>
        <w:jc w:val="both"/>
        <w:rPr>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Table 2. Characteristics of Respondents Based on Education Level</w:t>
      </w:r>
    </w:p>
    <w:tbl>
      <w:tblPr>
        <w:tblStyle w:val="TableGrid"/>
        <w:tblW w:w="9639" w:type="dxa"/>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3443"/>
        <w:gridCol w:w="2814"/>
        <w:gridCol w:w="2441"/>
      </w:tblGrid>
      <w:tr w:rsidR="00C91A75" w:rsidRPr="00E817CB" w14:paraId="113951DD" w14:textId="77777777" w:rsidTr="00B471D0">
        <w:trPr>
          <w:trHeight w:val="494"/>
          <w:jc w:val="right"/>
        </w:trPr>
        <w:tc>
          <w:tcPr>
            <w:tcW w:w="509" w:type="dxa"/>
            <w:tcBorders>
              <w:bottom w:val="single" w:sz="4" w:space="0" w:color="auto"/>
            </w:tcBorders>
            <w:vAlign w:val="center"/>
          </w:tcPr>
          <w:p w14:paraId="7DDBF19C" w14:textId="77777777" w:rsidR="00C91A75" w:rsidRPr="00605A08" w:rsidRDefault="00C91A75" w:rsidP="00605A08">
            <w:pPr>
              <w:pStyle w:val="ListParagraph"/>
              <w:tabs>
                <w:tab w:val="left" w:pos="425"/>
              </w:tabs>
              <w:ind w:left="455"/>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3602" w:type="dxa"/>
            <w:tcBorders>
              <w:bottom w:val="single" w:sz="4" w:space="0" w:color="auto"/>
            </w:tcBorders>
            <w:vAlign w:val="center"/>
          </w:tcPr>
          <w:p w14:paraId="79D0EE3F" w14:textId="26A4D3F5" w:rsidR="00C91A75" w:rsidRPr="00605A08" w:rsidRDefault="00605A08" w:rsidP="00605A08">
            <w:pPr>
              <w:pStyle w:val="ListParagraph"/>
              <w:tabs>
                <w:tab w:val="left" w:pos="425"/>
              </w:tabs>
              <w:ind w:left="455"/>
              <w:jc w:val="left"/>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Education Level</w:t>
            </w:r>
          </w:p>
        </w:tc>
        <w:tc>
          <w:tcPr>
            <w:tcW w:w="2977" w:type="dxa"/>
            <w:tcBorders>
              <w:bottom w:val="single" w:sz="4" w:space="0" w:color="auto"/>
            </w:tcBorders>
            <w:vAlign w:val="center"/>
          </w:tcPr>
          <w:p w14:paraId="5F50DB66" w14:textId="3F415113" w:rsidR="00C91A75" w:rsidRPr="00605A08" w:rsidRDefault="00605A08"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r w:rsidR="00C91A75"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people</w:t>
            </w:r>
            <w:r w:rsidR="00C91A75" w:rsidRPr="00605A08">
              <w:rPr>
                <w:rFonts w:ascii="Times New Roman" w:eastAsia="SimSun" w:hAnsi="Times New Roman" w:cs="Times New Roman"/>
                <w:bCs/>
                <w:color w:val="000000" w:themeColor="text1"/>
                <w:sz w:val="22"/>
                <w:szCs w:val="22"/>
              </w:rPr>
              <w:t>)</w:t>
            </w:r>
          </w:p>
        </w:tc>
        <w:tc>
          <w:tcPr>
            <w:tcW w:w="2551" w:type="dxa"/>
            <w:tcBorders>
              <w:bottom w:val="single" w:sz="4" w:space="0" w:color="auto"/>
            </w:tcBorders>
            <w:vAlign w:val="center"/>
          </w:tcPr>
          <w:p w14:paraId="3BFDC347" w14:textId="5FCB3A1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Per</w:t>
            </w:r>
            <w:r w:rsidR="00605A08" w:rsidRPr="00605A08">
              <w:rPr>
                <w:rFonts w:ascii="Times New Roman" w:eastAsia="SimSun" w:hAnsi="Times New Roman" w:cs="Times New Roman"/>
                <w:bCs/>
                <w:color w:val="000000" w:themeColor="text1"/>
                <w:sz w:val="22"/>
                <w:szCs w:val="22"/>
              </w:rPr>
              <w:t>c</w:t>
            </w:r>
            <w:r w:rsidRPr="00605A08">
              <w:rPr>
                <w:rFonts w:ascii="Times New Roman" w:eastAsia="SimSun" w:hAnsi="Times New Roman" w:cs="Times New Roman"/>
                <w:bCs/>
                <w:color w:val="000000" w:themeColor="text1"/>
                <w:sz w:val="22"/>
                <w:szCs w:val="22"/>
              </w:rPr>
              <w:t>enta</w:t>
            </w:r>
            <w:r w:rsidR="00605A08" w:rsidRPr="00605A08">
              <w:rPr>
                <w:rFonts w:ascii="Times New Roman" w:eastAsia="SimSun" w:hAnsi="Times New Roman" w:cs="Times New Roman"/>
                <w:bCs/>
                <w:color w:val="000000" w:themeColor="text1"/>
                <w:sz w:val="22"/>
                <w:szCs w:val="22"/>
              </w:rPr>
              <w:t>g</w:t>
            </w:r>
            <w:r w:rsidRPr="00605A08">
              <w:rPr>
                <w:rFonts w:ascii="Times New Roman" w:eastAsia="SimSun" w:hAnsi="Times New Roman" w:cs="Times New Roman"/>
                <w:bCs/>
                <w:color w:val="000000" w:themeColor="text1"/>
                <w:sz w:val="22"/>
                <w:szCs w:val="22"/>
              </w:rPr>
              <w:t>e (%)</w:t>
            </w:r>
          </w:p>
        </w:tc>
      </w:tr>
      <w:tr w:rsidR="00C91A75" w:rsidRPr="00E817CB" w14:paraId="1AEA9B72" w14:textId="77777777" w:rsidTr="00B471D0">
        <w:trPr>
          <w:jc w:val="right"/>
        </w:trPr>
        <w:tc>
          <w:tcPr>
            <w:tcW w:w="509" w:type="dxa"/>
            <w:tcBorders>
              <w:top w:val="single" w:sz="4" w:space="0" w:color="auto"/>
              <w:bottom w:val="nil"/>
            </w:tcBorders>
          </w:tcPr>
          <w:p w14:paraId="5F06414F"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3602" w:type="dxa"/>
            <w:tcBorders>
              <w:top w:val="single" w:sz="4" w:space="0" w:color="auto"/>
              <w:bottom w:val="nil"/>
            </w:tcBorders>
          </w:tcPr>
          <w:p w14:paraId="0E044C1E"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Tidak bersekolah</w:t>
            </w:r>
          </w:p>
        </w:tc>
        <w:tc>
          <w:tcPr>
            <w:tcW w:w="2977" w:type="dxa"/>
            <w:tcBorders>
              <w:top w:val="single" w:sz="4" w:space="0" w:color="auto"/>
              <w:bottom w:val="nil"/>
            </w:tcBorders>
          </w:tcPr>
          <w:p w14:paraId="55E8DB4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551" w:type="dxa"/>
            <w:tcBorders>
              <w:top w:val="single" w:sz="4" w:space="0" w:color="auto"/>
              <w:bottom w:val="nil"/>
            </w:tcBorders>
          </w:tcPr>
          <w:p w14:paraId="6130744D" w14:textId="134EE0EB"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7</w:t>
            </w:r>
          </w:p>
        </w:tc>
      </w:tr>
      <w:tr w:rsidR="00C91A75" w:rsidRPr="00E817CB" w14:paraId="3C40EA0E" w14:textId="77777777" w:rsidTr="00B471D0">
        <w:trPr>
          <w:jc w:val="right"/>
        </w:trPr>
        <w:tc>
          <w:tcPr>
            <w:tcW w:w="509" w:type="dxa"/>
            <w:tcBorders>
              <w:top w:val="nil"/>
              <w:bottom w:val="nil"/>
            </w:tcBorders>
          </w:tcPr>
          <w:p w14:paraId="355A265A"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3602" w:type="dxa"/>
            <w:tcBorders>
              <w:top w:val="nil"/>
              <w:bottom w:val="nil"/>
            </w:tcBorders>
          </w:tcPr>
          <w:p w14:paraId="5E7E1E8A"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SD</w:t>
            </w:r>
          </w:p>
        </w:tc>
        <w:tc>
          <w:tcPr>
            <w:tcW w:w="2977" w:type="dxa"/>
            <w:tcBorders>
              <w:top w:val="nil"/>
              <w:bottom w:val="nil"/>
            </w:tcBorders>
          </w:tcPr>
          <w:p w14:paraId="276677CA"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551" w:type="dxa"/>
            <w:tcBorders>
              <w:top w:val="nil"/>
              <w:bottom w:val="nil"/>
            </w:tcBorders>
          </w:tcPr>
          <w:p w14:paraId="210E4A30" w14:textId="1F6AF84E"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7</w:t>
            </w:r>
          </w:p>
        </w:tc>
      </w:tr>
      <w:tr w:rsidR="00C91A75" w:rsidRPr="00E817CB" w14:paraId="77CF66A0" w14:textId="77777777" w:rsidTr="00B471D0">
        <w:trPr>
          <w:jc w:val="right"/>
        </w:trPr>
        <w:tc>
          <w:tcPr>
            <w:tcW w:w="509" w:type="dxa"/>
            <w:tcBorders>
              <w:top w:val="nil"/>
              <w:bottom w:val="nil"/>
            </w:tcBorders>
          </w:tcPr>
          <w:p w14:paraId="215FF407"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3</w:t>
            </w:r>
          </w:p>
        </w:tc>
        <w:tc>
          <w:tcPr>
            <w:tcW w:w="3602" w:type="dxa"/>
            <w:tcBorders>
              <w:top w:val="nil"/>
              <w:bottom w:val="nil"/>
            </w:tcBorders>
          </w:tcPr>
          <w:p w14:paraId="79217B5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SMP</w:t>
            </w:r>
          </w:p>
        </w:tc>
        <w:tc>
          <w:tcPr>
            <w:tcW w:w="2977" w:type="dxa"/>
            <w:tcBorders>
              <w:top w:val="nil"/>
              <w:bottom w:val="nil"/>
            </w:tcBorders>
          </w:tcPr>
          <w:p w14:paraId="1484DD45"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9</w:t>
            </w:r>
          </w:p>
        </w:tc>
        <w:tc>
          <w:tcPr>
            <w:tcW w:w="2551" w:type="dxa"/>
            <w:tcBorders>
              <w:top w:val="nil"/>
              <w:bottom w:val="nil"/>
            </w:tcBorders>
          </w:tcPr>
          <w:p w14:paraId="482969DF" w14:textId="3F303C54"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50</w:t>
            </w:r>
            <w:r w:rsidR="00C16067">
              <w:rPr>
                <w:rFonts w:ascii="Times New Roman" w:eastAsia="SimSun" w:hAnsi="Times New Roman" w:cs="Times New Roman"/>
                <w:bCs/>
                <w:color w:val="000000" w:themeColor="text1"/>
                <w:sz w:val="22"/>
                <w:szCs w:val="22"/>
              </w:rPr>
              <w:t>.0</w:t>
            </w:r>
          </w:p>
        </w:tc>
      </w:tr>
      <w:tr w:rsidR="00C91A75" w:rsidRPr="00E817CB" w14:paraId="40681F0D" w14:textId="77777777" w:rsidTr="00B471D0">
        <w:trPr>
          <w:jc w:val="right"/>
        </w:trPr>
        <w:tc>
          <w:tcPr>
            <w:tcW w:w="509" w:type="dxa"/>
            <w:tcBorders>
              <w:top w:val="nil"/>
              <w:bottom w:val="nil"/>
            </w:tcBorders>
          </w:tcPr>
          <w:p w14:paraId="6AA1076D"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4</w:t>
            </w:r>
          </w:p>
        </w:tc>
        <w:tc>
          <w:tcPr>
            <w:tcW w:w="3602" w:type="dxa"/>
            <w:tcBorders>
              <w:top w:val="nil"/>
              <w:bottom w:val="nil"/>
            </w:tcBorders>
          </w:tcPr>
          <w:p w14:paraId="3EA6D1D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SMA</w:t>
            </w:r>
          </w:p>
        </w:tc>
        <w:tc>
          <w:tcPr>
            <w:tcW w:w="2977" w:type="dxa"/>
            <w:tcBorders>
              <w:top w:val="nil"/>
              <w:bottom w:val="nil"/>
            </w:tcBorders>
          </w:tcPr>
          <w:p w14:paraId="20CC040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2551" w:type="dxa"/>
            <w:tcBorders>
              <w:top w:val="nil"/>
              <w:bottom w:val="nil"/>
            </w:tcBorders>
          </w:tcPr>
          <w:p w14:paraId="4DC2ACB3" w14:textId="35D8AF9B"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w:t>
            </w:r>
            <w:r w:rsidR="00C16067">
              <w:rPr>
                <w:rFonts w:ascii="Times New Roman" w:eastAsia="SimSun" w:hAnsi="Times New Roman" w:cs="Times New Roman"/>
                <w:bCs/>
                <w:color w:val="000000" w:themeColor="text1"/>
                <w:sz w:val="22"/>
                <w:szCs w:val="22"/>
              </w:rPr>
              <w:t>.</w:t>
            </w:r>
            <w:r w:rsidRPr="00605A08">
              <w:rPr>
                <w:rFonts w:ascii="Times New Roman" w:eastAsia="SimSun" w:hAnsi="Times New Roman" w:cs="Times New Roman"/>
                <w:bCs/>
                <w:color w:val="000000" w:themeColor="text1"/>
                <w:sz w:val="22"/>
                <w:szCs w:val="22"/>
              </w:rPr>
              <w:t>5</w:t>
            </w:r>
          </w:p>
        </w:tc>
      </w:tr>
      <w:tr w:rsidR="00C91A75" w:rsidRPr="00E817CB" w14:paraId="70E96990" w14:textId="77777777" w:rsidTr="00B471D0">
        <w:trPr>
          <w:jc w:val="right"/>
        </w:trPr>
        <w:tc>
          <w:tcPr>
            <w:tcW w:w="509" w:type="dxa"/>
            <w:tcBorders>
              <w:top w:val="nil"/>
              <w:bottom w:val="single" w:sz="4" w:space="0" w:color="auto"/>
            </w:tcBorders>
          </w:tcPr>
          <w:p w14:paraId="757C0F42"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5</w:t>
            </w:r>
          </w:p>
        </w:tc>
        <w:tc>
          <w:tcPr>
            <w:tcW w:w="3602" w:type="dxa"/>
            <w:tcBorders>
              <w:top w:val="nil"/>
              <w:bottom w:val="single" w:sz="4" w:space="0" w:color="auto"/>
            </w:tcBorders>
          </w:tcPr>
          <w:p w14:paraId="3362598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S1</w:t>
            </w:r>
          </w:p>
        </w:tc>
        <w:tc>
          <w:tcPr>
            <w:tcW w:w="2977" w:type="dxa"/>
            <w:tcBorders>
              <w:top w:val="nil"/>
              <w:bottom w:val="single" w:sz="4" w:space="0" w:color="auto"/>
            </w:tcBorders>
          </w:tcPr>
          <w:p w14:paraId="5F106D86"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2551" w:type="dxa"/>
            <w:tcBorders>
              <w:top w:val="nil"/>
              <w:bottom w:val="single" w:sz="4" w:space="0" w:color="auto"/>
            </w:tcBorders>
          </w:tcPr>
          <w:p w14:paraId="14468859"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11.1</w:t>
            </w:r>
          </w:p>
        </w:tc>
      </w:tr>
      <w:tr w:rsidR="00C91A75" w:rsidRPr="00E817CB" w14:paraId="6BF7F71A" w14:textId="77777777" w:rsidTr="00B471D0">
        <w:trPr>
          <w:jc w:val="right"/>
        </w:trPr>
        <w:tc>
          <w:tcPr>
            <w:tcW w:w="4111" w:type="dxa"/>
            <w:gridSpan w:val="2"/>
            <w:tcBorders>
              <w:top w:val="single" w:sz="4" w:space="0" w:color="auto"/>
            </w:tcBorders>
          </w:tcPr>
          <w:p w14:paraId="4583B219" w14:textId="3D8436C5" w:rsidR="00C91A75" w:rsidRPr="00605A08" w:rsidRDefault="00605A08" w:rsidP="00605A08">
            <w:pPr>
              <w:pStyle w:val="ListParagraph"/>
              <w:tabs>
                <w:tab w:val="left" w:pos="425"/>
              </w:tabs>
              <w:ind w:left="455"/>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p>
        </w:tc>
        <w:tc>
          <w:tcPr>
            <w:tcW w:w="2977" w:type="dxa"/>
            <w:tcBorders>
              <w:top w:val="single" w:sz="4" w:space="0" w:color="auto"/>
            </w:tcBorders>
          </w:tcPr>
          <w:p w14:paraId="68543B6D"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18</w:t>
            </w:r>
          </w:p>
        </w:tc>
        <w:tc>
          <w:tcPr>
            <w:tcW w:w="2551" w:type="dxa"/>
            <w:tcBorders>
              <w:top w:val="single" w:sz="4" w:space="0" w:color="auto"/>
            </w:tcBorders>
          </w:tcPr>
          <w:p w14:paraId="0278B658"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100</w:t>
            </w:r>
          </w:p>
        </w:tc>
      </w:tr>
    </w:tbl>
    <w:p w14:paraId="5868C62C" w14:textId="77777777" w:rsidR="00C91A75" w:rsidRPr="00C91A75" w:rsidRDefault="00C91A75" w:rsidP="00C91A75">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D9D524B" w14:textId="77777777" w:rsidR="00C91A75" w:rsidRPr="00C91A75" w:rsidRDefault="00C91A75" w:rsidP="00C91A75">
      <w:pPr>
        <w:pStyle w:val="HTMLPreformatted"/>
        <w:jc w:val="both"/>
        <w:rPr>
          <w:rFonts w:ascii="Times New Roman" w:hAnsi="Times New Roman" w:cs="Times New Roman"/>
          <w:sz w:val="22"/>
          <w:szCs w:val="22"/>
        </w:rPr>
      </w:pPr>
    </w:p>
    <w:p w14:paraId="7D059B6A" w14:textId="4AAE30E5"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Education is an important factor for farmers in accepting and implementing new technology, in addition to the abilities and skills of the farmers themselves. In </w:t>
      </w:r>
      <w:r w:rsidR="001B3AC0">
        <w:rPr>
          <w:rStyle w:val="y2iqfc"/>
          <w:rFonts w:ascii="Times New Roman" w:eastAsiaTheme="majorEastAsia" w:hAnsi="Times New Roman" w:cs="Times New Roman"/>
          <w:sz w:val="22"/>
          <w:szCs w:val="22"/>
          <w:lang w:val="en"/>
        </w:rPr>
        <w:t>T</w:t>
      </w:r>
      <w:r w:rsidRPr="00C91A75">
        <w:rPr>
          <w:rStyle w:val="y2iqfc"/>
          <w:rFonts w:ascii="Times New Roman" w:eastAsiaTheme="majorEastAsia" w:hAnsi="Times New Roman" w:cs="Times New Roman"/>
          <w:sz w:val="22"/>
          <w:szCs w:val="22"/>
          <w:lang w:val="en"/>
        </w:rPr>
        <w:t>able 2 it is known that the education level of farmers is at school level with 3 people with a percentage of 16.7%, elementary school (SD) level with 3 people with a percentage of 16.7%, junior high school (SMP) with 9 people with a percentage of 50%, high school (SMA) with 1 person with a percentage of 5.5% and Strata 1 (S1) with 2 people with a percentage of 11.1%.</w:t>
      </w:r>
    </w:p>
    <w:p w14:paraId="5B28390D"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p>
    <w:p w14:paraId="31219831" w14:textId="11A1AA4C"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3.</w:t>
      </w:r>
      <w:r>
        <w:rPr>
          <w:rStyle w:val="y2iqfc"/>
          <w:rFonts w:ascii="Times New Roman" w:eastAsiaTheme="majorEastAsia" w:hAnsi="Times New Roman" w:cs="Times New Roman"/>
          <w:sz w:val="22"/>
          <w:szCs w:val="22"/>
          <w:lang w:val="en"/>
        </w:rPr>
        <w:t>3</w:t>
      </w:r>
      <w:r w:rsidRPr="00C91A75">
        <w:rPr>
          <w:rStyle w:val="y2iqfc"/>
          <w:rFonts w:ascii="Times New Roman" w:eastAsiaTheme="majorEastAsia" w:hAnsi="Times New Roman" w:cs="Times New Roman"/>
          <w:sz w:val="22"/>
          <w:szCs w:val="22"/>
          <w:lang w:val="en"/>
        </w:rPr>
        <w:t xml:space="preserve"> Characteristics based on gender</w:t>
      </w:r>
    </w:p>
    <w:p w14:paraId="70D85BED" w14:textId="0941C283" w:rsidR="00C91A75" w:rsidRPr="00C91A75" w:rsidRDefault="00C91A75" w:rsidP="00C91A75">
      <w:pPr>
        <w:pStyle w:val="HTMLPreformatted"/>
        <w:ind w:firstLine="567"/>
        <w:jc w:val="both"/>
        <w:rPr>
          <w:rFonts w:ascii="Times New Roman" w:hAnsi="Times New Roman" w:cs="Times New Roman"/>
          <w:sz w:val="22"/>
          <w:szCs w:val="22"/>
        </w:rPr>
      </w:pPr>
      <w:r w:rsidRPr="00C91A75">
        <w:rPr>
          <w:rStyle w:val="y2iqfc"/>
          <w:rFonts w:ascii="Times New Roman" w:eastAsiaTheme="majorEastAsia" w:hAnsi="Times New Roman" w:cs="Times New Roman"/>
          <w:sz w:val="22"/>
          <w:szCs w:val="22"/>
          <w:lang w:val="en"/>
        </w:rPr>
        <w:t xml:space="preserve">In this research, </w:t>
      </w:r>
      <w:r>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 xml:space="preserve">mustard farming farmers examined a sample of 18 farmers where only male farmers were in this group of </w:t>
      </w:r>
      <w:r w:rsidR="00A740CC">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 xml:space="preserve">mustard farmers. All members of the mustard farming association consist of only male farmers. This is because only men mustard farmers </w:t>
      </w:r>
      <w:r w:rsidR="001B3AC0">
        <w:rPr>
          <w:rStyle w:val="y2iqfc"/>
          <w:rFonts w:ascii="Times New Roman" w:eastAsiaTheme="majorEastAsia" w:hAnsi="Times New Roman" w:cs="Times New Roman"/>
          <w:sz w:val="22"/>
          <w:szCs w:val="22"/>
          <w:lang w:val="en"/>
        </w:rPr>
        <w:t>decide</w:t>
      </w:r>
      <w:r w:rsidRPr="00C91A75">
        <w:rPr>
          <w:rStyle w:val="y2iqfc"/>
          <w:rFonts w:ascii="Times New Roman" w:eastAsiaTheme="majorEastAsia" w:hAnsi="Times New Roman" w:cs="Times New Roman"/>
          <w:sz w:val="22"/>
          <w:szCs w:val="22"/>
          <w:lang w:val="en"/>
        </w:rPr>
        <w:t xml:space="preserve"> to do this work, women only act as additional staff to manage the mustard farming business when the men need the help of their wives or children to farm.</w:t>
      </w:r>
    </w:p>
    <w:p w14:paraId="1E629B82" w14:textId="5DF13076" w:rsidR="00C91A75" w:rsidRDefault="00C91A75" w:rsidP="00C91A75">
      <w:pPr>
        <w:spacing w:after="0" w:line="240" w:lineRule="auto"/>
        <w:jc w:val="both"/>
        <w:rPr>
          <w:rFonts w:ascii="Times New Roman" w:eastAsia="Times New Roman" w:hAnsi="Times New Roman" w:cs="Times New Roman"/>
        </w:rPr>
      </w:pPr>
    </w:p>
    <w:p w14:paraId="4E4D0CDF" w14:textId="50C8786D" w:rsidR="00C91A75" w:rsidRPr="00C91A75" w:rsidRDefault="00C91A75" w:rsidP="00C91A75">
      <w:pPr>
        <w:pStyle w:val="HTMLPreformatted"/>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3.4. Characteristics Based on Land Area</w:t>
      </w:r>
    </w:p>
    <w:p w14:paraId="40E65764" w14:textId="389F8B1B" w:rsidR="00C91A75" w:rsidRPr="00C91A75" w:rsidRDefault="00C91A75" w:rsidP="00C91A75">
      <w:pPr>
        <w:pStyle w:val="HTMLPreformatted"/>
        <w:ind w:firstLine="567"/>
        <w:rPr>
          <w:rStyle w:val="y2iqfc"/>
          <w:rFonts w:ascii="Times New Roman" w:eastAsiaTheme="majorEastAsia" w:hAnsi="Times New Roman" w:cs="Times New Roman"/>
          <w:sz w:val="22"/>
          <w:szCs w:val="22"/>
          <w:lang w:val="en"/>
        </w:rPr>
      </w:pPr>
      <w:r w:rsidRPr="00C91A75">
        <w:rPr>
          <w:rFonts w:ascii="Times New Roman" w:hAnsi="Times New Roman" w:cs="Times New Roman"/>
          <w:sz w:val="22"/>
          <w:szCs w:val="22"/>
          <w:lang w:val="en"/>
        </w:rPr>
        <w:t>Respondent characteristics based on land area are presented in Table 3.</w:t>
      </w:r>
    </w:p>
    <w:p w14:paraId="61206A8E" w14:textId="276511AA" w:rsidR="00C91A75" w:rsidRPr="00C91A75" w:rsidRDefault="00C91A75" w:rsidP="00C91A75">
      <w:pPr>
        <w:pStyle w:val="HTMLPreformatted"/>
        <w:rPr>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Table 3. Characteristics of Respondents Based on Land Area</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2783"/>
        <w:gridCol w:w="2835"/>
        <w:gridCol w:w="2976"/>
      </w:tblGrid>
      <w:tr w:rsidR="00605A08" w:rsidRPr="00E817CB" w14:paraId="573E7DC0" w14:textId="77777777" w:rsidTr="001C4296">
        <w:tc>
          <w:tcPr>
            <w:tcW w:w="1040" w:type="dxa"/>
            <w:tcBorders>
              <w:bottom w:val="single" w:sz="4" w:space="0" w:color="auto"/>
            </w:tcBorders>
          </w:tcPr>
          <w:p w14:paraId="33A4ABF8"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2783" w:type="dxa"/>
            <w:tcBorders>
              <w:bottom w:val="single" w:sz="4" w:space="0" w:color="auto"/>
            </w:tcBorders>
          </w:tcPr>
          <w:p w14:paraId="4F660F87" w14:textId="35F27D39"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Land Area (ha)</w:t>
            </w:r>
          </w:p>
        </w:tc>
        <w:tc>
          <w:tcPr>
            <w:tcW w:w="2835" w:type="dxa"/>
            <w:tcBorders>
              <w:bottom w:val="single" w:sz="4" w:space="0" w:color="auto"/>
            </w:tcBorders>
            <w:vAlign w:val="center"/>
          </w:tcPr>
          <w:p w14:paraId="196E7DFE" w14:textId="4BF7DFCF"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Number (people)</w:t>
            </w:r>
          </w:p>
        </w:tc>
        <w:tc>
          <w:tcPr>
            <w:tcW w:w="2976" w:type="dxa"/>
            <w:tcBorders>
              <w:bottom w:val="single" w:sz="4" w:space="0" w:color="auto"/>
            </w:tcBorders>
            <w:vAlign w:val="center"/>
          </w:tcPr>
          <w:p w14:paraId="3EE44BD8" w14:textId="03DDA55C"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Percentage (%)</w:t>
            </w:r>
          </w:p>
        </w:tc>
      </w:tr>
      <w:tr w:rsidR="00C91A75" w:rsidRPr="00E817CB" w14:paraId="7ADAE72B" w14:textId="77777777" w:rsidTr="00B471D0">
        <w:tc>
          <w:tcPr>
            <w:tcW w:w="1040" w:type="dxa"/>
            <w:tcBorders>
              <w:top w:val="single" w:sz="4" w:space="0" w:color="auto"/>
              <w:bottom w:val="nil"/>
            </w:tcBorders>
          </w:tcPr>
          <w:p w14:paraId="136B1841"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2783" w:type="dxa"/>
            <w:tcBorders>
              <w:top w:val="single" w:sz="4" w:space="0" w:color="auto"/>
              <w:bottom w:val="nil"/>
            </w:tcBorders>
          </w:tcPr>
          <w:p w14:paraId="0E8E1F80"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0,50</w:t>
            </w:r>
          </w:p>
        </w:tc>
        <w:tc>
          <w:tcPr>
            <w:tcW w:w="2835" w:type="dxa"/>
            <w:tcBorders>
              <w:top w:val="single" w:sz="4" w:space="0" w:color="auto"/>
              <w:bottom w:val="nil"/>
            </w:tcBorders>
          </w:tcPr>
          <w:p w14:paraId="7D5B3994"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9</w:t>
            </w:r>
          </w:p>
        </w:tc>
        <w:tc>
          <w:tcPr>
            <w:tcW w:w="2976" w:type="dxa"/>
            <w:tcBorders>
              <w:top w:val="single" w:sz="4" w:space="0" w:color="auto"/>
              <w:bottom w:val="nil"/>
            </w:tcBorders>
          </w:tcPr>
          <w:p w14:paraId="2FBCD8EE" w14:textId="1FB17A10"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50</w:t>
            </w:r>
            <w:r w:rsidR="00C16067">
              <w:rPr>
                <w:rFonts w:ascii="Times New Roman" w:eastAsia="SimSun" w:hAnsi="Times New Roman" w:cs="Times New Roman"/>
                <w:color w:val="000000" w:themeColor="text1"/>
                <w:sz w:val="22"/>
                <w:szCs w:val="22"/>
              </w:rPr>
              <w:t>.</w:t>
            </w:r>
            <w:r w:rsidRPr="00605A08">
              <w:rPr>
                <w:rFonts w:ascii="Times New Roman" w:eastAsia="SimSun" w:hAnsi="Times New Roman" w:cs="Times New Roman"/>
                <w:color w:val="000000" w:themeColor="text1"/>
                <w:sz w:val="22"/>
                <w:szCs w:val="22"/>
              </w:rPr>
              <w:t>0</w:t>
            </w:r>
          </w:p>
        </w:tc>
      </w:tr>
      <w:tr w:rsidR="00C91A75" w:rsidRPr="00E817CB" w14:paraId="341060AD" w14:textId="77777777" w:rsidTr="00B471D0">
        <w:tc>
          <w:tcPr>
            <w:tcW w:w="1040" w:type="dxa"/>
            <w:tcBorders>
              <w:top w:val="nil"/>
              <w:bottom w:val="nil"/>
            </w:tcBorders>
          </w:tcPr>
          <w:p w14:paraId="3AE34C1D"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2783" w:type="dxa"/>
            <w:tcBorders>
              <w:top w:val="nil"/>
              <w:bottom w:val="nil"/>
            </w:tcBorders>
          </w:tcPr>
          <w:p w14:paraId="3CEBD92A"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0,75</w:t>
            </w:r>
          </w:p>
        </w:tc>
        <w:tc>
          <w:tcPr>
            <w:tcW w:w="2835" w:type="dxa"/>
            <w:tcBorders>
              <w:top w:val="nil"/>
              <w:bottom w:val="nil"/>
            </w:tcBorders>
          </w:tcPr>
          <w:p w14:paraId="3EF6F7ED"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6</w:t>
            </w:r>
          </w:p>
        </w:tc>
        <w:tc>
          <w:tcPr>
            <w:tcW w:w="2976" w:type="dxa"/>
            <w:tcBorders>
              <w:top w:val="nil"/>
              <w:bottom w:val="nil"/>
            </w:tcBorders>
          </w:tcPr>
          <w:p w14:paraId="23920682" w14:textId="1DCB9B03"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33</w:t>
            </w:r>
            <w:r w:rsidR="00C16067">
              <w:rPr>
                <w:rFonts w:ascii="Times New Roman" w:eastAsia="SimSun" w:hAnsi="Times New Roman" w:cs="Times New Roman"/>
                <w:color w:val="000000" w:themeColor="text1"/>
                <w:sz w:val="22"/>
                <w:szCs w:val="22"/>
              </w:rPr>
              <w:t>.</w:t>
            </w:r>
            <w:r w:rsidRPr="00605A08">
              <w:rPr>
                <w:rFonts w:ascii="Times New Roman" w:eastAsia="SimSun" w:hAnsi="Times New Roman" w:cs="Times New Roman"/>
                <w:color w:val="000000" w:themeColor="text1"/>
                <w:sz w:val="22"/>
                <w:szCs w:val="22"/>
              </w:rPr>
              <w:t>3</w:t>
            </w:r>
          </w:p>
        </w:tc>
      </w:tr>
      <w:tr w:rsidR="00C91A75" w:rsidRPr="00E817CB" w14:paraId="24A6A578" w14:textId="77777777" w:rsidTr="00B471D0">
        <w:tc>
          <w:tcPr>
            <w:tcW w:w="1040" w:type="dxa"/>
            <w:tcBorders>
              <w:top w:val="nil"/>
              <w:bottom w:val="single" w:sz="4" w:space="0" w:color="auto"/>
            </w:tcBorders>
          </w:tcPr>
          <w:p w14:paraId="73599035"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w:t>
            </w:r>
          </w:p>
        </w:tc>
        <w:tc>
          <w:tcPr>
            <w:tcW w:w="2783" w:type="dxa"/>
            <w:tcBorders>
              <w:top w:val="nil"/>
              <w:bottom w:val="single" w:sz="4" w:space="0" w:color="auto"/>
            </w:tcBorders>
          </w:tcPr>
          <w:p w14:paraId="4DFE2668"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w:t>
            </w:r>
          </w:p>
        </w:tc>
        <w:tc>
          <w:tcPr>
            <w:tcW w:w="2835" w:type="dxa"/>
            <w:tcBorders>
              <w:top w:val="nil"/>
              <w:bottom w:val="single" w:sz="4" w:space="0" w:color="auto"/>
            </w:tcBorders>
          </w:tcPr>
          <w:p w14:paraId="2A144604"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w:t>
            </w:r>
          </w:p>
        </w:tc>
        <w:tc>
          <w:tcPr>
            <w:tcW w:w="2976" w:type="dxa"/>
            <w:tcBorders>
              <w:top w:val="nil"/>
              <w:bottom w:val="single" w:sz="4" w:space="0" w:color="auto"/>
            </w:tcBorders>
          </w:tcPr>
          <w:p w14:paraId="66CEBFF2" w14:textId="41206796"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16</w:t>
            </w:r>
            <w:r w:rsidR="00C16067">
              <w:rPr>
                <w:rFonts w:ascii="Times New Roman" w:eastAsia="SimSun" w:hAnsi="Times New Roman" w:cs="Times New Roman"/>
                <w:color w:val="000000" w:themeColor="text1"/>
                <w:sz w:val="22"/>
                <w:szCs w:val="22"/>
              </w:rPr>
              <w:t>.</w:t>
            </w:r>
            <w:r w:rsidRPr="00605A08">
              <w:rPr>
                <w:rFonts w:ascii="Times New Roman" w:eastAsia="SimSun" w:hAnsi="Times New Roman" w:cs="Times New Roman"/>
                <w:color w:val="000000" w:themeColor="text1"/>
                <w:sz w:val="22"/>
                <w:szCs w:val="22"/>
              </w:rPr>
              <w:t>7</w:t>
            </w:r>
          </w:p>
        </w:tc>
      </w:tr>
      <w:tr w:rsidR="00C91A75" w:rsidRPr="00E817CB" w14:paraId="29FEB394" w14:textId="77777777" w:rsidTr="00B471D0">
        <w:tc>
          <w:tcPr>
            <w:tcW w:w="1040" w:type="dxa"/>
            <w:tcBorders>
              <w:top w:val="single" w:sz="4" w:space="0" w:color="auto"/>
            </w:tcBorders>
          </w:tcPr>
          <w:p w14:paraId="2826BE6B" w14:textId="14FC3456" w:rsidR="00C91A75" w:rsidRPr="00605A08" w:rsidRDefault="00605A08" w:rsidP="00B471D0">
            <w:pPr>
              <w:tabs>
                <w:tab w:val="left" w:pos="425"/>
              </w:tabs>
              <w:rPr>
                <w:rFonts w:ascii="Times New Roman" w:eastAsia="SimSun" w:hAnsi="Times New Roman" w:cs="Times New Roman"/>
                <w:color w:val="000000" w:themeColor="text1"/>
                <w:sz w:val="22"/>
                <w:szCs w:val="22"/>
              </w:rPr>
            </w:pPr>
            <w:r>
              <w:rPr>
                <w:rFonts w:ascii="Times New Roman" w:eastAsia="SimSun" w:hAnsi="Times New Roman" w:cs="Times New Roman"/>
                <w:color w:val="000000" w:themeColor="text1"/>
                <w:sz w:val="22"/>
                <w:szCs w:val="22"/>
              </w:rPr>
              <w:t>Number</w:t>
            </w:r>
          </w:p>
        </w:tc>
        <w:tc>
          <w:tcPr>
            <w:tcW w:w="2783" w:type="dxa"/>
            <w:tcBorders>
              <w:top w:val="single" w:sz="4" w:space="0" w:color="auto"/>
            </w:tcBorders>
          </w:tcPr>
          <w:p w14:paraId="7163CFD5"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12</w:t>
            </w:r>
          </w:p>
        </w:tc>
        <w:tc>
          <w:tcPr>
            <w:tcW w:w="2835" w:type="dxa"/>
            <w:tcBorders>
              <w:top w:val="single" w:sz="4" w:space="0" w:color="auto"/>
            </w:tcBorders>
          </w:tcPr>
          <w:p w14:paraId="1D290ABA"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18</w:t>
            </w:r>
          </w:p>
        </w:tc>
        <w:tc>
          <w:tcPr>
            <w:tcW w:w="2976" w:type="dxa"/>
            <w:tcBorders>
              <w:top w:val="single" w:sz="4" w:space="0" w:color="auto"/>
            </w:tcBorders>
          </w:tcPr>
          <w:p w14:paraId="4A8D4E39"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w:t>
            </w:r>
          </w:p>
        </w:tc>
      </w:tr>
    </w:tbl>
    <w:p w14:paraId="2121D457" w14:textId="77777777" w:rsidR="00C91A75" w:rsidRPr="00C91A75" w:rsidRDefault="00C91A75" w:rsidP="00C91A75">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4CC6A8C" w14:textId="77777777" w:rsidR="00C91A75" w:rsidRDefault="00C91A75" w:rsidP="00C91A75">
      <w:pPr>
        <w:pStyle w:val="HTMLPreformatted"/>
      </w:pPr>
    </w:p>
    <w:p w14:paraId="08649701" w14:textId="3ACFC7B9"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Based on Table 3, the average farmer's land area is divided into 3, namely 0.5 ha, 0.75 ha</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1 ha, where 9 respondents have a land area of ​​0.5 ha with a percentage of 50%, 6 people have a land area of ​​0.75 ha with a percentage of 33.3% and the last 3 people have a land area of ​​1 ha with a percentage of 16.7%. The area of ​​land owned is not large because the land area is owned by himself and his own farming business in his yard grows </w:t>
      </w:r>
      <w:r w:rsidR="00A740CC">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mustard. The area of ​​land will influence the amount of production cultivated and the welfare that farmers will obtain.</w:t>
      </w:r>
    </w:p>
    <w:p w14:paraId="1601B8AA" w14:textId="77777777" w:rsidR="00C91A75" w:rsidRDefault="00C91A75" w:rsidP="00C91A75">
      <w:pPr>
        <w:pStyle w:val="HTMLPreformatted"/>
        <w:jc w:val="both"/>
        <w:rPr>
          <w:rStyle w:val="y2iqfc"/>
          <w:rFonts w:ascii="Times New Roman" w:eastAsiaTheme="majorEastAsia" w:hAnsi="Times New Roman" w:cs="Times New Roman"/>
          <w:sz w:val="22"/>
          <w:szCs w:val="22"/>
          <w:lang w:val="en"/>
        </w:rPr>
      </w:pPr>
    </w:p>
    <w:p w14:paraId="39FB012D" w14:textId="77777777" w:rsidR="00605A08" w:rsidRPr="00C91A75" w:rsidRDefault="00605A08" w:rsidP="00C91A75">
      <w:pPr>
        <w:pStyle w:val="HTMLPreformatted"/>
        <w:jc w:val="both"/>
        <w:rPr>
          <w:rStyle w:val="y2iqfc"/>
          <w:rFonts w:ascii="Times New Roman" w:eastAsiaTheme="majorEastAsia" w:hAnsi="Times New Roman" w:cs="Times New Roman"/>
          <w:sz w:val="22"/>
          <w:szCs w:val="22"/>
          <w:lang w:val="en"/>
        </w:rPr>
      </w:pPr>
    </w:p>
    <w:p w14:paraId="5C41557F" w14:textId="241FC90B" w:rsidR="00C91A75" w:rsidRPr="00C91A75" w:rsidRDefault="00C91A75" w:rsidP="00C91A75">
      <w:pPr>
        <w:pStyle w:val="HTMLPreformatted"/>
        <w:jc w:val="both"/>
        <w:rPr>
          <w:rStyle w:val="y2iqfc"/>
          <w:rFonts w:ascii="Times New Roman" w:eastAsiaTheme="majorEastAsia" w:hAnsi="Times New Roman" w:cs="Times New Roman"/>
          <w:b/>
          <w:bCs/>
          <w:sz w:val="22"/>
          <w:szCs w:val="22"/>
          <w:lang w:val="en"/>
        </w:rPr>
      </w:pPr>
      <w:r w:rsidRPr="00C91A75">
        <w:rPr>
          <w:rStyle w:val="y2iqfc"/>
          <w:rFonts w:ascii="Times New Roman" w:eastAsiaTheme="majorEastAsia" w:hAnsi="Times New Roman" w:cs="Times New Roman"/>
          <w:b/>
          <w:bCs/>
          <w:sz w:val="22"/>
          <w:szCs w:val="22"/>
          <w:lang w:val="en"/>
        </w:rPr>
        <w:t>3.5. Cost Analysis</w:t>
      </w:r>
    </w:p>
    <w:p w14:paraId="771E5D1A" w14:textId="502DDD85" w:rsidR="00C91A75" w:rsidRPr="00C91A75" w:rsidRDefault="00C91A75" w:rsidP="00C91A75">
      <w:pPr>
        <w:pStyle w:val="HTMLPreformatted"/>
        <w:ind w:firstLine="567"/>
        <w:jc w:val="both"/>
        <w:rPr>
          <w:rFonts w:ascii="Times New Roman" w:hAnsi="Times New Roman" w:cs="Times New Roman"/>
          <w:sz w:val="22"/>
          <w:szCs w:val="22"/>
        </w:rPr>
      </w:pPr>
      <w:r w:rsidRPr="00C91A75">
        <w:rPr>
          <w:rStyle w:val="y2iqfc"/>
          <w:rFonts w:ascii="Times New Roman" w:eastAsiaTheme="majorEastAsia" w:hAnsi="Times New Roman" w:cs="Times New Roman"/>
          <w:sz w:val="22"/>
          <w:szCs w:val="22"/>
          <w:lang w:val="en"/>
        </w:rPr>
        <w:t>Costs are all expenses expressed in money that are needed to produce a product in a production process.  The description of the research data relates to the costs incurred by respondent farmers in farming activities which include fixed costs (taxes and depreciation of equipment) and variable costs (seeds, fertilizer, pesticides, labor</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equipment) with the following details:</w:t>
      </w:r>
    </w:p>
    <w:p w14:paraId="27C96A82" w14:textId="77777777" w:rsidR="001F3D8B" w:rsidRDefault="001F3D8B" w:rsidP="00C91A75">
      <w:pPr>
        <w:pStyle w:val="HTMLPreformatted"/>
        <w:jc w:val="both"/>
        <w:rPr>
          <w:rFonts w:ascii="Times New Roman" w:hAnsi="Times New Roman" w:cs="Times New Roman"/>
          <w:sz w:val="22"/>
          <w:szCs w:val="22"/>
        </w:rPr>
      </w:pPr>
    </w:p>
    <w:p w14:paraId="1AB54AA4" w14:textId="77777777" w:rsidR="00C16067" w:rsidRDefault="00C16067" w:rsidP="00C91A75">
      <w:pPr>
        <w:pStyle w:val="HTMLPreformatted"/>
        <w:jc w:val="both"/>
        <w:rPr>
          <w:rFonts w:ascii="Times New Roman" w:hAnsi="Times New Roman" w:cs="Times New Roman"/>
          <w:sz w:val="22"/>
          <w:szCs w:val="22"/>
        </w:rPr>
      </w:pPr>
    </w:p>
    <w:p w14:paraId="0ADF98ED" w14:textId="77777777" w:rsidR="00C16067" w:rsidRDefault="00C16067" w:rsidP="00C91A75">
      <w:pPr>
        <w:pStyle w:val="HTMLPreformatted"/>
        <w:jc w:val="both"/>
        <w:rPr>
          <w:rFonts w:ascii="Times New Roman" w:hAnsi="Times New Roman" w:cs="Times New Roman"/>
          <w:sz w:val="22"/>
          <w:szCs w:val="22"/>
        </w:rPr>
      </w:pPr>
    </w:p>
    <w:p w14:paraId="2E6F8B9B" w14:textId="214E90A3" w:rsidR="00C91A75" w:rsidRPr="00605A08" w:rsidRDefault="001F3D8B" w:rsidP="00C91A75">
      <w:pPr>
        <w:pStyle w:val="HTMLPreformatted"/>
        <w:jc w:val="both"/>
        <w:rPr>
          <w:rStyle w:val="y2iqfc"/>
          <w:rFonts w:ascii="Times New Roman" w:eastAsiaTheme="majorEastAsia" w:hAnsi="Times New Roman" w:cs="Times New Roman"/>
          <w:b/>
          <w:bCs/>
          <w:sz w:val="22"/>
          <w:szCs w:val="22"/>
          <w:lang w:val="en"/>
        </w:rPr>
      </w:pPr>
      <w:r w:rsidRPr="00605A08">
        <w:rPr>
          <w:rFonts w:ascii="Times New Roman" w:hAnsi="Times New Roman" w:cs="Times New Roman"/>
          <w:b/>
          <w:bCs/>
          <w:sz w:val="22"/>
          <w:szCs w:val="22"/>
        </w:rPr>
        <w:t>3.5</w:t>
      </w:r>
      <w:r w:rsidR="00C91A75" w:rsidRPr="00605A08">
        <w:rPr>
          <w:rFonts w:ascii="Times New Roman" w:hAnsi="Times New Roman" w:cs="Times New Roman"/>
          <w:b/>
          <w:bCs/>
          <w:sz w:val="22"/>
          <w:szCs w:val="22"/>
        </w:rPr>
        <w:t>.</w:t>
      </w:r>
      <w:r w:rsidRPr="00605A08">
        <w:rPr>
          <w:rFonts w:ascii="Times New Roman" w:hAnsi="Times New Roman" w:cs="Times New Roman"/>
          <w:b/>
          <w:bCs/>
          <w:sz w:val="22"/>
          <w:szCs w:val="22"/>
        </w:rPr>
        <w:t>1</w:t>
      </w:r>
      <w:r w:rsidR="00C91A75" w:rsidRPr="00605A08">
        <w:rPr>
          <w:rFonts w:ascii="Times New Roman" w:hAnsi="Times New Roman" w:cs="Times New Roman"/>
          <w:b/>
          <w:bCs/>
          <w:sz w:val="22"/>
          <w:szCs w:val="22"/>
        </w:rPr>
        <w:t xml:space="preserve">. </w:t>
      </w:r>
      <w:r w:rsidR="00C91A75" w:rsidRPr="00605A08">
        <w:rPr>
          <w:rStyle w:val="y2iqfc"/>
          <w:rFonts w:ascii="Times New Roman" w:eastAsiaTheme="majorEastAsia" w:hAnsi="Times New Roman" w:cs="Times New Roman"/>
          <w:b/>
          <w:bCs/>
          <w:sz w:val="22"/>
          <w:szCs w:val="22"/>
          <w:lang w:val="en"/>
        </w:rPr>
        <w:t>Fixed Costs</w:t>
      </w:r>
    </w:p>
    <w:p w14:paraId="084B8E5B"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ab/>
        <w:t xml:space="preserve">Fixed costs are costs that are not used up in one planting and continue to be incurred even if the production obtained is large or small. The cost does not depend on the size of the production costs obtained, which include fixed costs, namely taxes and depreciation of equipment. </w:t>
      </w:r>
    </w:p>
    <w:p w14:paraId="55A0F2C1" w14:textId="701712A6"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a) Land </w:t>
      </w:r>
      <w:r w:rsidR="00605A08">
        <w:rPr>
          <w:rStyle w:val="y2iqfc"/>
          <w:rFonts w:ascii="Times New Roman" w:eastAsiaTheme="majorEastAsia" w:hAnsi="Times New Roman" w:cs="Times New Roman"/>
          <w:sz w:val="22"/>
          <w:szCs w:val="22"/>
          <w:lang w:val="en"/>
        </w:rPr>
        <w:t>t</w:t>
      </w:r>
      <w:r w:rsidRPr="00C91A75">
        <w:rPr>
          <w:rStyle w:val="y2iqfc"/>
          <w:rFonts w:ascii="Times New Roman" w:eastAsiaTheme="majorEastAsia" w:hAnsi="Times New Roman" w:cs="Times New Roman"/>
          <w:sz w:val="22"/>
          <w:szCs w:val="22"/>
          <w:lang w:val="en"/>
        </w:rPr>
        <w:t>ax</w:t>
      </w:r>
    </w:p>
    <w:p w14:paraId="1A8DAAB6"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ab/>
        <w:t>The cost of land tax in Bukit Biru Village varies depending on the size of the area owned by farmers, based on research conducted, the average area of ​​land planted with mustard greens is 1,900 m2, where the annual tax costs are IDR 501,108 or the average monthly tax payment for farmers in Bukit Biru Village is IDR 41,759. Depreciation costs are always the same from year to year. Meanwhile, tax fees will change according to government regulations.</w:t>
      </w:r>
    </w:p>
    <w:p w14:paraId="47DABE5D" w14:textId="6381653C"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b) Equipment </w:t>
      </w:r>
      <w:r w:rsidR="00605A08">
        <w:rPr>
          <w:rStyle w:val="y2iqfc"/>
          <w:rFonts w:ascii="Times New Roman" w:eastAsiaTheme="majorEastAsia" w:hAnsi="Times New Roman" w:cs="Times New Roman"/>
          <w:sz w:val="22"/>
          <w:szCs w:val="22"/>
          <w:lang w:val="en"/>
        </w:rPr>
        <w:t>d</w:t>
      </w:r>
      <w:r w:rsidRPr="00C91A75">
        <w:rPr>
          <w:rStyle w:val="y2iqfc"/>
          <w:rFonts w:ascii="Times New Roman" w:eastAsiaTheme="majorEastAsia" w:hAnsi="Times New Roman" w:cs="Times New Roman"/>
          <w:sz w:val="22"/>
          <w:szCs w:val="22"/>
          <w:lang w:val="en"/>
        </w:rPr>
        <w:t>epreciation</w:t>
      </w:r>
    </w:p>
    <w:p w14:paraId="2DC5E31B" w14:textId="164E5DAC" w:rsidR="00C91A75" w:rsidRPr="00C16067" w:rsidRDefault="00C91A75" w:rsidP="00C16067">
      <w:pPr>
        <w:pStyle w:val="HTMLPreformatted"/>
        <w:rPr>
          <w:rStyle w:val="y2iqfc"/>
        </w:rPr>
      </w:pPr>
      <w:r w:rsidRPr="00C91A75">
        <w:rPr>
          <w:rStyle w:val="y2iqfc"/>
          <w:rFonts w:ascii="Times New Roman" w:eastAsiaTheme="majorEastAsia" w:hAnsi="Times New Roman" w:cs="Times New Roman"/>
          <w:sz w:val="22"/>
          <w:szCs w:val="22"/>
          <w:lang w:val="en"/>
        </w:rPr>
        <w:tab/>
        <w:t xml:space="preserve">The depreciation cost of tools is calculated based on the ownership of each mustard farmer. In this study, the depreciation value to be calculated is the depreciation of tools in the form of hoes, sickles, </w:t>
      </w:r>
      <w:r w:rsidR="00C16067" w:rsidRPr="00C16067">
        <w:rPr>
          <w:rStyle w:val="y2iqfc"/>
          <w:rFonts w:ascii="Times New Roman" w:eastAsiaTheme="majorEastAsia" w:hAnsi="Times New Roman" w:cs="Times New Roman"/>
          <w:sz w:val="22"/>
          <w:szCs w:val="22"/>
          <w:highlight w:val="yellow"/>
          <w:lang w:val="en"/>
        </w:rPr>
        <w:t>plant watering tool</w:t>
      </w:r>
      <w:r w:rsidRPr="00C16067">
        <w:rPr>
          <w:rStyle w:val="y2iqfc"/>
          <w:rFonts w:ascii="Times New Roman" w:eastAsiaTheme="majorEastAsia" w:hAnsi="Times New Roman" w:cs="Times New Roman"/>
          <w:sz w:val="22"/>
          <w:szCs w:val="22"/>
          <w:highlight w:val="yellow"/>
          <w:lang w:val="en"/>
        </w:rPr>
        <w:t>,</w:t>
      </w:r>
      <w:r w:rsidRPr="00C91A75">
        <w:rPr>
          <w:rStyle w:val="y2iqfc"/>
          <w:rFonts w:ascii="Times New Roman" w:eastAsiaTheme="majorEastAsia" w:hAnsi="Times New Roman" w:cs="Times New Roman"/>
          <w:sz w:val="22"/>
          <w:szCs w:val="22"/>
          <w:lang w:val="en"/>
        </w:rPr>
        <w:t xml:space="preserve"> buckets</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sprayers. The average economic life of the equipment used by respondents is 2 to 5 years and the average cost for depreciation of the equipment itself is IDR 176,000. For more details, it is presented in Table </w:t>
      </w:r>
      <w:r w:rsidR="001F3D8B">
        <w:rPr>
          <w:rStyle w:val="y2iqfc"/>
          <w:rFonts w:ascii="Times New Roman" w:eastAsiaTheme="majorEastAsia" w:hAnsi="Times New Roman" w:cs="Times New Roman"/>
          <w:sz w:val="22"/>
          <w:szCs w:val="22"/>
          <w:lang w:val="en"/>
        </w:rPr>
        <w:t>4</w:t>
      </w:r>
      <w:r w:rsidRPr="00C91A75">
        <w:rPr>
          <w:rStyle w:val="y2iqfc"/>
          <w:rFonts w:ascii="Times New Roman" w:eastAsiaTheme="majorEastAsia" w:hAnsi="Times New Roman" w:cs="Times New Roman"/>
          <w:sz w:val="22"/>
          <w:szCs w:val="22"/>
          <w:lang w:val="en"/>
        </w:rPr>
        <w:t xml:space="preserve"> below. </w:t>
      </w:r>
    </w:p>
    <w:p w14:paraId="03EF8390" w14:textId="702401D9" w:rsidR="001F3D8B" w:rsidRPr="001F3D8B" w:rsidRDefault="001F3D8B" w:rsidP="001F3D8B">
      <w:pPr>
        <w:pStyle w:val="HTMLPreformatted"/>
      </w:pPr>
      <w:r w:rsidRPr="00605A08">
        <w:rPr>
          <w:rFonts w:ascii="Times New Roman" w:eastAsia="SimSun" w:hAnsi="Times New Roman" w:cs="Times New Roman"/>
          <w:color w:val="000000" w:themeColor="text1"/>
          <w:sz w:val="22"/>
          <w:szCs w:val="22"/>
        </w:rPr>
        <w:t>Table 4.</w:t>
      </w:r>
      <w:r w:rsidRPr="00183812">
        <w:rPr>
          <w:rFonts w:ascii="Times New Roman" w:eastAsia="SimSun" w:hAnsi="Times New Roman" w:cs="Times New Roman"/>
          <w:color w:val="000000" w:themeColor="text1"/>
          <w:sz w:val="22"/>
          <w:szCs w:val="22"/>
        </w:rPr>
        <w:t xml:space="preserve"> </w:t>
      </w:r>
      <w:r w:rsidRPr="001F3D8B">
        <w:rPr>
          <w:rStyle w:val="y2iqfc"/>
          <w:rFonts w:ascii="Times New Roman" w:eastAsiaTheme="majorEastAsia" w:hAnsi="Times New Roman" w:cs="Times New Roman"/>
          <w:sz w:val="22"/>
          <w:szCs w:val="22"/>
          <w:lang w:val="en"/>
        </w:rPr>
        <w:t>Amount of Fixed Costs in Green Mustard Farming in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466"/>
        <w:gridCol w:w="5670"/>
      </w:tblGrid>
      <w:tr w:rsidR="001F3D8B" w:rsidRPr="00E817CB" w14:paraId="01825154" w14:textId="77777777" w:rsidTr="008746A0">
        <w:tc>
          <w:tcPr>
            <w:tcW w:w="498" w:type="dxa"/>
            <w:tcBorders>
              <w:bottom w:val="single" w:sz="4" w:space="0" w:color="auto"/>
            </w:tcBorders>
          </w:tcPr>
          <w:p w14:paraId="1696E90E"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3466" w:type="dxa"/>
            <w:tcBorders>
              <w:bottom w:val="single" w:sz="4" w:space="0" w:color="auto"/>
            </w:tcBorders>
          </w:tcPr>
          <w:p w14:paraId="36778B57" w14:textId="1E5FEC4F"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Cost Type</w:t>
            </w:r>
          </w:p>
        </w:tc>
        <w:tc>
          <w:tcPr>
            <w:tcW w:w="5670" w:type="dxa"/>
            <w:tcBorders>
              <w:bottom w:val="single" w:sz="4" w:space="0" w:color="auto"/>
            </w:tcBorders>
          </w:tcPr>
          <w:p w14:paraId="23294680" w14:textId="46F2A996" w:rsidR="001F3D8B" w:rsidRPr="00605A08"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Average Value</w:t>
            </w:r>
            <w:r w:rsidR="001F3D8B" w:rsidRPr="00605A08">
              <w:rPr>
                <w:rFonts w:ascii="Times New Roman" w:eastAsia="SimSun" w:hAnsi="Times New Roman" w:cs="Times New Roman"/>
                <w:color w:val="000000" w:themeColor="text1"/>
                <w:sz w:val="22"/>
                <w:szCs w:val="22"/>
              </w:rPr>
              <w:t xml:space="preserve"> (</w:t>
            </w:r>
            <w:r w:rsidRPr="00605A08">
              <w:rPr>
                <w:rFonts w:ascii="Times New Roman" w:eastAsia="SimSun" w:hAnsi="Times New Roman" w:cs="Times New Roman"/>
                <w:color w:val="000000" w:themeColor="text1"/>
                <w:sz w:val="22"/>
                <w:szCs w:val="22"/>
              </w:rPr>
              <w:t>IDR</w:t>
            </w:r>
            <w:r w:rsidR="001F3D8B" w:rsidRPr="00605A08">
              <w:rPr>
                <w:rFonts w:ascii="Times New Roman" w:eastAsia="SimSun" w:hAnsi="Times New Roman" w:cs="Times New Roman"/>
                <w:color w:val="000000" w:themeColor="text1"/>
                <w:sz w:val="22"/>
                <w:szCs w:val="22"/>
              </w:rPr>
              <w:t>)</w:t>
            </w:r>
          </w:p>
        </w:tc>
      </w:tr>
      <w:tr w:rsidR="001F3D8B" w:rsidRPr="00E817CB" w14:paraId="2F31E066" w14:textId="77777777" w:rsidTr="008746A0">
        <w:tc>
          <w:tcPr>
            <w:tcW w:w="498" w:type="dxa"/>
            <w:tcBorders>
              <w:top w:val="single" w:sz="4" w:space="0" w:color="auto"/>
              <w:bottom w:val="nil"/>
            </w:tcBorders>
          </w:tcPr>
          <w:p w14:paraId="7F76B929"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3466" w:type="dxa"/>
            <w:tcBorders>
              <w:top w:val="single" w:sz="4" w:space="0" w:color="auto"/>
              <w:bottom w:val="nil"/>
            </w:tcBorders>
          </w:tcPr>
          <w:p w14:paraId="08AA5C33" w14:textId="5FF22079"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 xml:space="preserve">Land tax </w:t>
            </w:r>
            <w:r w:rsidR="001F3D8B" w:rsidRPr="00605A08">
              <w:rPr>
                <w:rFonts w:ascii="Times New Roman" w:eastAsia="SimSun" w:hAnsi="Times New Roman" w:cs="Times New Roman"/>
                <w:color w:val="000000" w:themeColor="text1"/>
                <w:sz w:val="22"/>
                <w:szCs w:val="22"/>
              </w:rPr>
              <w:t xml:space="preserve">per </w:t>
            </w:r>
            <w:r w:rsidRPr="00605A08">
              <w:rPr>
                <w:rFonts w:ascii="Times New Roman" w:eastAsia="SimSun" w:hAnsi="Times New Roman" w:cs="Times New Roman"/>
                <w:color w:val="000000" w:themeColor="text1"/>
                <w:sz w:val="22"/>
                <w:szCs w:val="22"/>
              </w:rPr>
              <w:t>year</w:t>
            </w:r>
          </w:p>
        </w:tc>
        <w:tc>
          <w:tcPr>
            <w:tcW w:w="5670" w:type="dxa"/>
            <w:tcBorders>
              <w:top w:val="single" w:sz="4" w:space="0" w:color="auto"/>
              <w:bottom w:val="nil"/>
            </w:tcBorders>
          </w:tcPr>
          <w:p w14:paraId="0A9FCAC0"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41.759</w:t>
            </w:r>
          </w:p>
        </w:tc>
      </w:tr>
      <w:tr w:rsidR="001F3D8B" w:rsidRPr="00E817CB" w14:paraId="74D6AB82" w14:textId="77777777" w:rsidTr="008746A0">
        <w:tc>
          <w:tcPr>
            <w:tcW w:w="498" w:type="dxa"/>
            <w:tcBorders>
              <w:top w:val="nil"/>
              <w:bottom w:val="single" w:sz="4" w:space="0" w:color="auto"/>
            </w:tcBorders>
          </w:tcPr>
          <w:p w14:paraId="277A68D2"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3466" w:type="dxa"/>
            <w:tcBorders>
              <w:top w:val="nil"/>
              <w:bottom w:val="single" w:sz="4" w:space="0" w:color="auto"/>
            </w:tcBorders>
            <w:vAlign w:val="bottom"/>
          </w:tcPr>
          <w:p w14:paraId="1E1409DF" w14:textId="0464BC24"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eastAsiaTheme="majorEastAsia" w:hAnsi="Times New Roman" w:cs="Times New Roman"/>
                <w:sz w:val="22"/>
                <w:szCs w:val="22"/>
                <w:lang w:val="en"/>
              </w:rPr>
              <w:t>Equipment depreciation</w:t>
            </w:r>
          </w:p>
        </w:tc>
        <w:tc>
          <w:tcPr>
            <w:tcW w:w="5670" w:type="dxa"/>
            <w:tcBorders>
              <w:top w:val="nil"/>
              <w:bottom w:val="single" w:sz="4" w:space="0" w:color="auto"/>
            </w:tcBorders>
          </w:tcPr>
          <w:p w14:paraId="01CB71BA"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58.666</w:t>
            </w:r>
          </w:p>
        </w:tc>
      </w:tr>
      <w:tr w:rsidR="001F3D8B" w:rsidRPr="00E817CB" w14:paraId="415A2328" w14:textId="77777777" w:rsidTr="008746A0">
        <w:trPr>
          <w:trHeight w:val="161"/>
        </w:trPr>
        <w:tc>
          <w:tcPr>
            <w:tcW w:w="3964" w:type="dxa"/>
            <w:gridSpan w:val="2"/>
            <w:tcBorders>
              <w:top w:val="single" w:sz="4" w:space="0" w:color="auto"/>
            </w:tcBorders>
          </w:tcPr>
          <w:p w14:paraId="6A7E8A3F" w14:textId="3155E1CA" w:rsidR="001F3D8B" w:rsidRPr="00605A08" w:rsidRDefault="00605A08" w:rsidP="00605A08">
            <w:pPr>
              <w:pStyle w:val="HTMLPreformatted"/>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Total Average Fixed Costs</w:t>
            </w:r>
          </w:p>
        </w:tc>
        <w:tc>
          <w:tcPr>
            <w:tcW w:w="5670" w:type="dxa"/>
            <w:tcBorders>
              <w:top w:val="single" w:sz="4" w:space="0" w:color="auto"/>
            </w:tcBorders>
          </w:tcPr>
          <w:p w14:paraId="138A7293"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100.425</w:t>
            </w:r>
          </w:p>
        </w:tc>
      </w:tr>
    </w:tbl>
    <w:p w14:paraId="05C1B6AD" w14:textId="77777777" w:rsidR="001F3D8B" w:rsidRPr="00C91A75" w:rsidRDefault="001F3D8B" w:rsidP="001F3D8B">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389AD3D" w14:textId="77777777" w:rsidR="001F3D8B" w:rsidRDefault="001F3D8B" w:rsidP="001F3D8B">
      <w:pPr>
        <w:pStyle w:val="HTMLPreformatted"/>
      </w:pPr>
    </w:p>
    <w:p w14:paraId="31DF065B" w14:textId="024EECE3"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In Table 4, it is shown that the recapitulation of depreciation tax costs each month is IDR 41,759 and the recapitulation of equipment depreciation is IDR 58,666 per farmer. The depreciation costs are costs obtained from reducing the initial value with the final value divided by the time of use multiplied by the number of tools owned by each farmer, while the tax calculation is obtained from the land per year divided by the period of one planting. So the total fixed costs are IDR 100,425.</w:t>
      </w:r>
    </w:p>
    <w:p w14:paraId="1A141BEB" w14:textId="77777777" w:rsidR="00605A08" w:rsidRDefault="00605A08" w:rsidP="001F3D8B">
      <w:pPr>
        <w:pStyle w:val="HTMLPreformatted"/>
        <w:jc w:val="both"/>
        <w:rPr>
          <w:rStyle w:val="y2iqfc"/>
          <w:rFonts w:ascii="Times New Roman" w:eastAsiaTheme="majorEastAsia" w:hAnsi="Times New Roman" w:cs="Times New Roman"/>
          <w:sz w:val="22"/>
          <w:szCs w:val="22"/>
          <w:lang w:val="en"/>
        </w:rPr>
      </w:pPr>
    </w:p>
    <w:p w14:paraId="5403AF05" w14:textId="5679CF57"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2. Variable Costs</w:t>
      </w:r>
    </w:p>
    <w:p w14:paraId="2C5E241D" w14:textId="09CDDB11"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Variable costs are all costs incurred by respondent farmers for purchasing seeds, fertilizer, pesticides</w:t>
      </w:r>
      <w:r w:rsidR="001B3AC0">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 and labor costs whose costs change. 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5</w:t>
      </w:r>
      <w:r w:rsidRPr="001F3D8B">
        <w:rPr>
          <w:rStyle w:val="y2iqfc"/>
          <w:rFonts w:ascii="Times New Roman" w:eastAsiaTheme="majorEastAsia" w:hAnsi="Times New Roman" w:cs="Times New Roman"/>
          <w:sz w:val="22"/>
          <w:szCs w:val="22"/>
          <w:lang w:val="en"/>
        </w:rPr>
        <w:t xml:space="preserve"> below.</w:t>
      </w:r>
    </w:p>
    <w:p w14:paraId="1F9ADA03" w14:textId="3D559AD2" w:rsidR="001F3D8B" w:rsidRPr="001F3D8B" w:rsidRDefault="001F3D8B" w:rsidP="00A740CC">
      <w:pPr>
        <w:pStyle w:val="HTMLPreformatted"/>
        <w:ind w:left="851" w:hanging="851"/>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5</w:t>
      </w:r>
      <w:r w:rsidRPr="001F3D8B">
        <w:rPr>
          <w:rStyle w:val="y2iqfc"/>
          <w:rFonts w:ascii="Times New Roman" w:eastAsiaTheme="majorEastAsia" w:hAnsi="Times New Roman" w:cs="Times New Roman"/>
          <w:sz w:val="22"/>
          <w:szCs w:val="22"/>
          <w:lang w:val="en"/>
        </w:rPr>
        <w:t>. Recapitalization of Respondent Farmers' Non-Fixed Costs in Mustard Farming in Bukit Biru Subdistrict</w:t>
      </w:r>
    </w:p>
    <w:tbl>
      <w:tblPr>
        <w:tblStyle w:val="TableGrid"/>
        <w:tblW w:w="9384" w:type="dxa"/>
        <w:tblInd w:w="2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424"/>
        <w:gridCol w:w="3713"/>
        <w:gridCol w:w="2762"/>
      </w:tblGrid>
      <w:tr w:rsidR="001F3D8B" w:rsidRPr="00213D22" w14:paraId="3D15929D" w14:textId="77777777" w:rsidTr="00605A08">
        <w:trPr>
          <w:trHeight w:val="545"/>
        </w:trPr>
        <w:tc>
          <w:tcPr>
            <w:tcW w:w="485" w:type="dxa"/>
            <w:tcBorders>
              <w:bottom w:val="single" w:sz="4" w:space="0" w:color="auto"/>
            </w:tcBorders>
            <w:vAlign w:val="center"/>
          </w:tcPr>
          <w:p w14:paraId="12AA59B1"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2424" w:type="dxa"/>
            <w:tcBorders>
              <w:bottom w:val="single" w:sz="4" w:space="0" w:color="auto"/>
            </w:tcBorders>
            <w:vAlign w:val="center"/>
          </w:tcPr>
          <w:p w14:paraId="2C3FA269" w14:textId="1EAE6ECC" w:rsidR="001F3D8B" w:rsidRPr="00605A08"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Cost Type</w:t>
            </w:r>
          </w:p>
        </w:tc>
        <w:tc>
          <w:tcPr>
            <w:tcW w:w="3713" w:type="dxa"/>
            <w:tcBorders>
              <w:bottom w:val="single" w:sz="4" w:space="0" w:color="auto"/>
            </w:tcBorders>
            <w:vAlign w:val="center"/>
          </w:tcPr>
          <w:p w14:paraId="2D7E577E" w14:textId="77777777" w:rsidR="00605A08" w:rsidRDefault="00605A08" w:rsidP="00605A08">
            <w:pPr>
              <w:pStyle w:val="HTMLPreformatted"/>
              <w:jc w:val="center"/>
              <w:rPr>
                <w:rStyle w:val="y2iqfc"/>
                <w:rFonts w:ascii="Times New Roman" w:eastAsiaTheme="majorEastAsia" w:hAnsi="Times New Roman" w:cs="Times New Roman"/>
                <w:sz w:val="22"/>
                <w:szCs w:val="22"/>
                <w:lang w:val="en"/>
              </w:rPr>
            </w:pPr>
            <w:r w:rsidRPr="00605A08">
              <w:rPr>
                <w:rStyle w:val="y2iqfc"/>
                <w:rFonts w:ascii="Times New Roman" w:eastAsiaTheme="majorEastAsia" w:hAnsi="Times New Roman" w:cs="Times New Roman"/>
                <w:sz w:val="22"/>
                <w:szCs w:val="22"/>
                <w:lang w:val="en"/>
              </w:rPr>
              <w:t>Total Overall Price</w:t>
            </w:r>
            <w:r>
              <w:rPr>
                <w:rStyle w:val="y2iqfc"/>
                <w:rFonts w:ascii="Times New Roman" w:eastAsiaTheme="majorEastAsia" w:hAnsi="Times New Roman" w:cs="Times New Roman"/>
                <w:sz w:val="22"/>
                <w:szCs w:val="22"/>
                <w:lang w:val="en"/>
              </w:rPr>
              <w:t xml:space="preserve"> </w:t>
            </w:r>
          </w:p>
          <w:p w14:paraId="20465815" w14:textId="584D6DE9" w:rsidR="001F3D8B" w:rsidRPr="00605A08" w:rsidRDefault="00605A08" w:rsidP="00605A08">
            <w:pPr>
              <w:pStyle w:val="HTMLPreformatted"/>
              <w:jc w:val="center"/>
              <w:rPr>
                <w:rFonts w:ascii="Times New Roman" w:hAnsi="Times New Roman" w:cs="Times New Roman"/>
                <w:sz w:val="22"/>
                <w:szCs w:val="22"/>
              </w:rPr>
            </w:pPr>
            <w:r w:rsidRPr="00605A08">
              <w:rPr>
                <w:rFonts w:ascii="Times New Roman" w:eastAsia="SimSun" w:hAnsi="Times New Roman" w:cs="Times New Roman"/>
                <w:color w:val="000000" w:themeColor="text1"/>
                <w:sz w:val="22"/>
                <w:szCs w:val="22"/>
              </w:rPr>
              <w:t>(IDR)</w:t>
            </w:r>
          </w:p>
        </w:tc>
        <w:tc>
          <w:tcPr>
            <w:tcW w:w="2762" w:type="dxa"/>
            <w:tcBorders>
              <w:bottom w:val="single" w:sz="4" w:space="0" w:color="auto"/>
            </w:tcBorders>
            <w:vAlign w:val="center"/>
          </w:tcPr>
          <w:p w14:paraId="45ADF179" w14:textId="4133CDF9" w:rsidR="001F3D8B" w:rsidRPr="00461E8D" w:rsidRDefault="00605A08" w:rsidP="00461E8D">
            <w:pPr>
              <w:pStyle w:val="HTMLPreformatted"/>
              <w:jc w:val="center"/>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Average Value  of Farmers (IDR)</w:t>
            </w:r>
          </w:p>
        </w:tc>
      </w:tr>
      <w:tr w:rsidR="00605A08" w:rsidRPr="00E817CB" w14:paraId="0DBDA69C" w14:textId="77777777" w:rsidTr="00605A08">
        <w:trPr>
          <w:trHeight w:val="407"/>
        </w:trPr>
        <w:tc>
          <w:tcPr>
            <w:tcW w:w="485" w:type="dxa"/>
            <w:tcBorders>
              <w:top w:val="single" w:sz="4" w:space="0" w:color="auto"/>
              <w:bottom w:val="nil"/>
            </w:tcBorders>
            <w:vAlign w:val="center"/>
          </w:tcPr>
          <w:p w14:paraId="7FA65AD6"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2424" w:type="dxa"/>
            <w:tcBorders>
              <w:top w:val="single" w:sz="4" w:space="0" w:color="auto"/>
              <w:bottom w:val="nil"/>
            </w:tcBorders>
          </w:tcPr>
          <w:p w14:paraId="2BF7C0B9" w14:textId="368FA080"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Seed</w:t>
            </w:r>
          </w:p>
        </w:tc>
        <w:tc>
          <w:tcPr>
            <w:tcW w:w="3713" w:type="dxa"/>
            <w:tcBorders>
              <w:top w:val="single" w:sz="4" w:space="0" w:color="auto"/>
              <w:bottom w:val="nil"/>
            </w:tcBorders>
            <w:vAlign w:val="center"/>
          </w:tcPr>
          <w:p w14:paraId="5AA95225"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1.850.000</w:t>
            </w:r>
          </w:p>
        </w:tc>
        <w:tc>
          <w:tcPr>
            <w:tcW w:w="2762" w:type="dxa"/>
            <w:tcBorders>
              <w:top w:val="single" w:sz="4" w:space="0" w:color="auto"/>
              <w:bottom w:val="nil"/>
            </w:tcBorders>
            <w:vAlign w:val="center"/>
          </w:tcPr>
          <w:p w14:paraId="2CC14696"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231.250</w:t>
            </w:r>
          </w:p>
        </w:tc>
      </w:tr>
      <w:tr w:rsidR="00605A08" w:rsidRPr="00E817CB" w14:paraId="77BE560D" w14:textId="77777777" w:rsidTr="00605A08">
        <w:trPr>
          <w:trHeight w:val="413"/>
        </w:trPr>
        <w:tc>
          <w:tcPr>
            <w:tcW w:w="485" w:type="dxa"/>
            <w:tcBorders>
              <w:top w:val="nil"/>
              <w:bottom w:val="nil"/>
            </w:tcBorders>
          </w:tcPr>
          <w:p w14:paraId="3FAD7867"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2424" w:type="dxa"/>
            <w:tcBorders>
              <w:top w:val="nil"/>
              <w:bottom w:val="nil"/>
            </w:tcBorders>
          </w:tcPr>
          <w:p w14:paraId="7CF0D710" w14:textId="770520F2"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Fertilizer</w:t>
            </w:r>
          </w:p>
        </w:tc>
        <w:tc>
          <w:tcPr>
            <w:tcW w:w="3713" w:type="dxa"/>
            <w:tcBorders>
              <w:top w:val="nil"/>
              <w:bottom w:val="nil"/>
            </w:tcBorders>
            <w:vAlign w:val="center"/>
          </w:tcPr>
          <w:p w14:paraId="3E77843D"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2.071.108</w:t>
            </w:r>
          </w:p>
        </w:tc>
        <w:tc>
          <w:tcPr>
            <w:tcW w:w="2762" w:type="dxa"/>
            <w:tcBorders>
              <w:top w:val="nil"/>
              <w:bottom w:val="nil"/>
            </w:tcBorders>
            <w:vAlign w:val="center"/>
          </w:tcPr>
          <w:p w14:paraId="0A18E2B8"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258.888</w:t>
            </w:r>
          </w:p>
        </w:tc>
      </w:tr>
      <w:tr w:rsidR="00605A08" w:rsidRPr="00E817CB" w14:paraId="15A5DAF1" w14:textId="77777777" w:rsidTr="00605A08">
        <w:trPr>
          <w:trHeight w:val="420"/>
        </w:trPr>
        <w:tc>
          <w:tcPr>
            <w:tcW w:w="485" w:type="dxa"/>
            <w:tcBorders>
              <w:top w:val="nil"/>
              <w:bottom w:val="nil"/>
            </w:tcBorders>
          </w:tcPr>
          <w:p w14:paraId="5BF82D2D"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3</w:t>
            </w:r>
          </w:p>
        </w:tc>
        <w:tc>
          <w:tcPr>
            <w:tcW w:w="2424" w:type="dxa"/>
            <w:tcBorders>
              <w:top w:val="nil"/>
              <w:bottom w:val="nil"/>
            </w:tcBorders>
          </w:tcPr>
          <w:p w14:paraId="5AEA0C4F" w14:textId="6805A106"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Pesticide</w:t>
            </w:r>
          </w:p>
        </w:tc>
        <w:tc>
          <w:tcPr>
            <w:tcW w:w="3713" w:type="dxa"/>
            <w:tcBorders>
              <w:top w:val="nil"/>
              <w:bottom w:val="nil"/>
            </w:tcBorders>
            <w:vAlign w:val="center"/>
          </w:tcPr>
          <w:p w14:paraId="5FE7214B"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571.071</w:t>
            </w:r>
          </w:p>
        </w:tc>
        <w:tc>
          <w:tcPr>
            <w:tcW w:w="2762" w:type="dxa"/>
            <w:tcBorders>
              <w:top w:val="nil"/>
              <w:bottom w:val="nil"/>
            </w:tcBorders>
            <w:vAlign w:val="center"/>
          </w:tcPr>
          <w:p w14:paraId="40F517FB"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71.384</w:t>
            </w:r>
          </w:p>
        </w:tc>
      </w:tr>
      <w:tr w:rsidR="00605A08" w:rsidRPr="00E817CB" w14:paraId="1BB8E66E" w14:textId="77777777" w:rsidTr="00605A08">
        <w:trPr>
          <w:trHeight w:val="412"/>
        </w:trPr>
        <w:tc>
          <w:tcPr>
            <w:tcW w:w="485" w:type="dxa"/>
            <w:tcBorders>
              <w:top w:val="nil"/>
              <w:bottom w:val="single" w:sz="4" w:space="0" w:color="auto"/>
            </w:tcBorders>
          </w:tcPr>
          <w:p w14:paraId="16CD1277"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4</w:t>
            </w:r>
          </w:p>
        </w:tc>
        <w:tc>
          <w:tcPr>
            <w:tcW w:w="2424" w:type="dxa"/>
            <w:tcBorders>
              <w:top w:val="nil"/>
              <w:bottom w:val="single" w:sz="4" w:space="0" w:color="auto"/>
            </w:tcBorders>
          </w:tcPr>
          <w:p w14:paraId="544A1A93" w14:textId="6DC34FC0"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Labor costs</w:t>
            </w:r>
          </w:p>
        </w:tc>
        <w:tc>
          <w:tcPr>
            <w:tcW w:w="3713" w:type="dxa"/>
            <w:tcBorders>
              <w:top w:val="nil"/>
              <w:bottom w:val="single" w:sz="4" w:space="0" w:color="auto"/>
            </w:tcBorders>
            <w:vAlign w:val="center"/>
          </w:tcPr>
          <w:p w14:paraId="39EA4DD9"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4.200.000</w:t>
            </w:r>
          </w:p>
        </w:tc>
        <w:tc>
          <w:tcPr>
            <w:tcW w:w="2762" w:type="dxa"/>
            <w:tcBorders>
              <w:top w:val="nil"/>
              <w:bottom w:val="single" w:sz="4" w:space="0" w:color="auto"/>
            </w:tcBorders>
            <w:vAlign w:val="center"/>
          </w:tcPr>
          <w:p w14:paraId="6CB94C81"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525.000</w:t>
            </w:r>
          </w:p>
        </w:tc>
      </w:tr>
      <w:tr w:rsidR="001F3D8B" w:rsidRPr="00E817CB" w14:paraId="4403CE62" w14:textId="77777777" w:rsidTr="00605A08">
        <w:tc>
          <w:tcPr>
            <w:tcW w:w="2909" w:type="dxa"/>
            <w:gridSpan w:val="2"/>
            <w:tcBorders>
              <w:top w:val="single" w:sz="4" w:space="0" w:color="auto"/>
            </w:tcBorders>
          </w:tcPr>
          <w:p w14:paraId="1F6CBD4A"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Total</w:t>
            </w:r>
          </w:p>
        </w:tc>
        <w:tc>
          <w:tcPr>
            <w:tcW w:w="3713" w:type="dxa"/>
            <w:tcBorders>
              <w:top w:val="single" w:sz="4" w:space="0" w:color="auto"/>
            </w:tcBorders>
            <w:vAlign w:val="center"/>
          </w:tcPr>
          <w:p w14:paraId="29A6839F"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8.692.179</w:t>
            </w:r>
          </w:p>
        </w:tc>
        <w:tc>
          <w:tcPr>
            <w:tcW w:w="2762" w:type="dxa"/>
            <w:tcBorders>
              <w:top w:val="single" w:sz="4" w:space="0" w:color="auto"/>
            </w:tcBorders>
            <w:vAlign w:val="center"/>
          </w:tcPr>
          <w:p w14:paraId="74142607"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1.086.522</w:t>
            </w:r>
          </w:p>
        </w:tc>
      </w:tr>
    </w:tbl>
    <w:p w14:paraId="04F74C11" w14:textId="433786E9"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1E2DED43" w14:textId="669462F0" w:rsidR="001F3D8B" w:rsidRPr="001F3D8B" w:rsidRDefault="001F3D8B" w:rsidP="001B3AC0">
      <w:pPr>
        <w:pStyle w:val="HTMLPreformatted"/>
        <w:ind w:firstLine="567"/>
        <w:jc w:val="both"/>
        <w:rPr>
          <w:rStyle w:val="y2iqfc"/>
          <w:rFonts w:ascii="Times New Roman" w:eastAsiaTheme="majorEastAsia" w:hAnsi="Times New Roman" w:cs="Times New Roman"/>
          <w:sz w:val="22"/>
          <w:szCs w:val="22"/>
          <w:lang w:val="en"/>
        </w:rPr>
      </w:pPr>
      <w:r w:rsidRPr="00C16067">
        <w:rPr>
          <w:rStyle w:val="y2iqfc"/>
          <w:rFonts w:ascii="Times New Roman" w:eastAsiaTheme="majorEastAsia" w:hAnsi="Times New Roman" w:cs="Times New Roman"/>
          <w:sz w:val="22"/>
          <w:szCs w:val="22"/>
          <w:highlight w:val="yellow"/>
          <w:lang w:val="en"/>
        </w:rPr>
        <w:t>Table 5 shows that the average non-fixed cost of mustard rice farming in Bukit Biru Village is IDR 1</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086</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 xml:space="preserve">522. </w:t>
      </w:r>
      <w:r w:rsidR="00A740CC" w:rsidRPr="00C16067">
        <w:rPr>
          <w:rStyle w:val="y2iqfc"/>
          <w:rFonts w:ascii="Times New Roman" w:eastAsiaTheme="majorEastAsia" w:hAnsi="Times New Roman" w:cs="Times New Roman"/>
          <w:sz w:val="22"/>
          <w:szCs w:val="22"/>
          <w:highlight w:val="yellow"/>
          <w:lang w:val="en"/>
        </w:rPr>
        <w:t>Green m</w:t>
      </w:r>
      <w:r w:rsidRPr="00C16067">
        <w:rPr>
          <w:rStyle w:val="y2iqfc"/>
          <w:rFonts w:ascii="Times New Roman" w:eastAsiaTheme="majorEastAsia" w:hAnsi="Times New Roman" w:cs="Times New Roman"/>
          <w:sz w:val="22"/>
          <w:szCs w:val="22"/>
          <w:highlight w:val="yellow"/>
          <w:lang w:val="en"/>
        </w:rPr>
        <w:t xml:space="preserve">ustard farmers spend </w:t>
      </w:r>
      <w:r w:rsidR="00C16067" w:rsidRPr="00C16067">
        <w:rPr>
          <w:rStyle w:val="y2iqfc"/>
          <w:rFonts w:ascii="Times New Roman" w:eastAsiaTheme="majorEastAsia" w:hAnsi="Times New Roman" w:cs="Times New Roman"/>
          <w:sz w:val="22"/>
          <w:szCs w:val="22"/>
          <w:highlight w:val="yellow"/>
          <w:lang w:val="en"/>
        </w:rPr>
        <w:t xml:space="preserve">IDR </w:t>
      </w:r>
      <w:r w:rsidRPr="00C16067">
        <w:rPr>
          <w:rStyle w:val="y2iqfc"/>
          <w:rFonts w:ascii="Times New Roman" w:eastAsiaTheme="majorEastAsia" w:hAnsi="Times New Roman" w:cs="Times New Roman"/>
          <w:sz w:val="22"/>
          <w:szCs w:val="22"/>
          <w:highlight w:val="yellow"/>
          <w:lang w:val="en"/>
        </w:rPr>
        <w:t>231</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250 per planting for mustard seeds, 258</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 xml:space="preserve">888 for organic and non-organic fertilization, </w:t>
      </w:r>
      <w:r w:rsidR="00C16067" w:rsidRPr="00C16067">
        <w:rPr>
          <w:rStyle w:val="y2iqfc"/>
          <w:rFonts w:ascii="Times New Roman" w:eastAsiaTheme="majorEastAsia" w:hAnsi="Times New Roman" w:cs="Times New Roman"/>
          <w:sz w:val="22"/>
          <w:szCs w:val="22"/>
          <w:highlight w:val="yellow"/>
          <w:lang w:val="en"/>
        </w:rPr>
        <w:t xml:space="preserve">IDR </w:t>
      </w:r>
      <w:r w:rsidRPr="00C16067">
        <w:rPr>
          <w:rStyle w:val="y2iqfc"/>
          <w:rFonts w:ascii="Times New Roman" w:eastAsiaTheme="majorEastAsia" w:hAnsi="Times New Roman" w:cs="Times New Roman"/>
          <w:sz w:val="22"/>
          <w:szCs w:val="22"/>
          <w:highlight w:val="yellow"/>
          <w:lang w:val="en"/>
        </w:rPr>
        <w:t>71</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 xml:space="preserve">384 for the pesticides used and </w:t>
      </w:r>
      <w:r w:rsidR="00C16067" w:rsidRPr="00C16067">
        <w:rPr>
          <w:rStyle w:val="y2iqfc"/>
          <w:rFonts w:ascii="Times New Roman" w:eastAsiaTheme="majorEastAsia" w:hAnsi="Times New Roman" w:cs="Times New Roman"/>
          <w:sz w:val="22"/>
          <w:szCs w:val="22"/>
          <w:highlight w:val="yellow"/>
          <w:lang w:val="en"/>
        </w:rPr>
        <w:t xml:space="preserve">IDR </w:t>
      </w:r>
      <w:r w:rsidRPr="00C16067">
        <w:rPr>
          <w:rStyle w:val="y2iqfc"/>
          <w:rFonts w:ascii="Times New Roman" w:eastAsiaTheme="majorEastAsia" w:hAnsi="Times New Roman" w:cs="Times New Roman"/>
          <w:sz w:val="22"/>
          <w:szCs w:val="22"/>
          <w:highlight w:val="yellow"/>
          <w:lang w:val="en"/>
        </w:rPr>
        <w:t>525</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 xml:space="preserve">000 for labor, so the total non-fixed costs incurred are </w:t>
      </w:r>
      <w:r w:rsidR="00C16067" w:rsidRPr="00C16067">
        <w:rPr>
          <w:rStyle w:val="y2iqfc"/>
          <w:rFonts w:ascii="Times New Roman" w:eastAsiaTheme="majorEastAsia" w:hAnsi="Times New Roman" w:cs="Times New Roman"/>
          <w:sz w:val="22"/>
          <w:szCs w:val="22"/>
          <w:highlight w:val="yellow"/>
          <w:lang w:val="en"/>
        </w:rPr>
        <w:t xml:space="preserve">IDR </w:t>
      </w:r>
      <w:r w:rsidRPr="00C16067">
        <w:rPr>
          <w:rStyle w:val="y2iqfc"/>
          <w:rFonts w:ascii="Times New Roman" w:eastAsiaTheme="majorEastAsia" w:hAnsi="Times New Roman" w:cs="Times New Roman"/>
          <w:sz w:val="22"/>
          <w:szCs w:val="22"/>
          <w:highlight w:val="yellow"/>
          <w:lang w:val="en"/>
        </w:rPr>
        <w:t>1086</w:t>
      </w:r>
      <w:r w:rsidR="00C16067" w:rsidRPr="00C16067">
        <w:rPr>
          <w:rStyle w:val="y2iqfc"/>
          <w:rFonts w:ascii="Times New Roman" w:eastAsiaTheme="majorEastAsia" w:hAnsi="Times New Roman" w:cs="Times New Roman"/>
          <w:sz w:val="22"/>
          <w:szCs w:val="22"/>
          <w:highlight w:val="yellow"/>
          <w:lang w:val="en"/>
        </w:rPr>
        <w:t>.</w:t>
      </w:r>
      <w:r w:rsidRPr="00C16067">
        <w:rPr>
          <w:rStyle w:val="y2iqfc"/>
          <w:rFonts w:ascii="Times New Roman" w:eastAsiaTheme="majorEastAsia" w:hAnsi="Times New Roman" w:cs="Times New Roman"/>
          <w:sz w:val="22"/>
          <w:szCs w:val="22"/>
          <w:highlight w:val="yellow"/>
          <w:lang w:val="en"/>
        </w:rPr>
        <w:t>000.</w:t>
      </w:r>
    </w:p>
    <w:p w14:paraId="7CAC0A7A"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72AFFA6C" w14:textId="77777777" w:rsidR="00C16067" w:rsidRDefault="00C16067" w:rsidP="001F3D8B">
      <w:pPr>
        <w:pStyle w:val="HTMLPreformatted"/>
        <w:jc w:val="both"/>
        <w:rPr>
          <w:rStyle w:val="y2iqfc"/>
          <w:rFonts w:ascii="Times New Roman" w:eastAsiaTheme="majorEastAsia" w:hAnsi="Times New Roman" w:cs="Times New Roman"/>
          <w:sz w:val="22"/>
          <w:szCs w:val="22"/>
          <w:lang w:val="en"/>
        </w:rPr>
      </w:pPr>
    </w:p>
    <w:p w14:paraId="62F3E8F2" w14:textId="68008FBB"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3. Total Production Costs</w:t>
      </w:r>
    </w:p>
    <w:p w14:paraId="423C824D" w14:textId="79CB5DED" w:rsidR="001F3D8B" w:rsidRPr="001F3D8B" w:rsidRDefault="001F3D8B" w:rsidP="001B3AC0">
      <w:pPr>
        <w:pStyle w:val="HTMLPreformatted"/>
        <w:ind w:firstLine="567"/>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Total production costs are the sum of fixed costs plus the number of variable costs, based on research results, the amount of fixed costs excluded from tax costs and equipment depreciation plus variable costs incurred from the costs of procuring seeds, fertilizers, pesticides</w:t>
      </w:r>
      <w:r w:rsidR="001B3AC0">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 and providing labor wages.</w:t>
      </w:r>
      <w:r>
        <w:rPr>
          <w:rStyle w:val="y2iqfc"/>
          <w:rFonts w:ascii="Times New Roman" w:eastAsiaTheme="majorEastAsia" w:hAnsi="Times New Roman" w:cs="Times New Roman"/>
          <w:sz w:val="22"/>
          <w:szCs w:val="22"/>
          <w:lang w:val="en"/>
        </w:rPr>
        <w:t xml:space="preserve">  </w:t>
      </w:r>
      <w:r w:rsidRPr="001F3D8B">
        <w:rPr>
          <w:rStyle w:val="y2iqfc"/>
          <w:rFonts w:ascii="Times New Roman" w:eastAsiaTheme="majorEastAsia" w:hAnsi="Times New Roman" w:cs="Times New Roman"/>
          <w:sz w:val="22"/>
          <w:szCs w:val="22"/>
          <w:lang w:val="en"/>
        </w:rPr>
        <w:t xml:space="preserve">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6</w:t>
      </w:r>
      <w:r w:rsidRPr="001F3D8B">
        <w:rPr>
          <w:rStyle w:val="y2iqfc"/>
          <w:rFonts w:ascii="Times New Roman" w:eastAsiaTheme="majorEastAsia" w:hAnsi="Times New Roman" w:cs="Times New Roman"/>
          <w:sz w:val="22"/>
          <w:szCs w:val="22"/>
          <w:lang w:val="en"/>
        </w:rPr>
        <w:t xml:space="preserve"> below</w:t>
      </w:r>
      <w:r>
        <w:rPr>
          <w:rStyle w:val="y2iqfc"/>
          <w:rFonts w:ascii="Times New Roman" w:eastAsiaTheme="majorEastAsia" w:hAnsi="Times New Roman" w:cs="Times New Roman"/>
          <w:sz w:val="22"/>
          <w:szCs w:val="22"/>
          <w:lang w:val="en"/>
        </w:rPr>
        <w:t xml:space="preserve"> :</w:t>
      </w:r>
    </w:p>
    <w:p w14:paraId="37841211" w14:textId="58513D12" w:rsidR="00C91A75" w:rsidRPr="001F3D8B" w:rsidRDefault="00C91A75" w:rsidP="001F3D8B">
      <w:pPr>
        <w:spacing w:after="0" w:line="240" w:lineRule="auto"/>
        <w:jc w:val="both"/>
        <w:rPr>
          <w:rFonts w:ascii="Times New Roman" w:eastAsia="Times New Roman" w:hAnsi="Times New Roman" w:cs="Times New Roman"/>
        </w:rPr>
      </w:pPr>
    </w:p>
    <w:p w14:paraId="5AACDE47" w14:textId="54DC4935" w:rsidR="001F3D8B" w:rsidRPr="001F3D8B" w:rsidRDefault="001F3D8B" w:rsidP="001F3D8B">
      <w:pPr>
        <w:pStyle w:val="HTMLPreformatted"/>
        <w:rPr>
          <w:rFonts w:ascii="Times New Roman" w:hAnsi="Times New Roman" w:cs="Times New Roman"/>
          <w:sz w:val="22"/>
          <w:szCs w:val="22"/>
        </w:rPr>
      </w:pPr>
      <w:r w:rsidRPr="00605A08">
        <w:rPr>
          <w:rFonts w:ascii="Times New Roman" w:eastAsia="SimSun" w:hAnsi="Times New Roman" w:cs="Times New Roman"/>
          <w:bCs/>
          <w:color w:val="000000" w:themeColor="text1"/>
          <w:sz w:val="22"/>
          <w:szCs w:val="22"/>
          <w:lang w:val="sv-SE"/>
        </w:rPr>
        <w:t>Tab</w:t>
      </w:r>
      <w:r w:rsidR="00605A08" w:rsidRPr="00605A08">
        <w:rPr>
          <w:rFonts w:ascii="Times New Roman" w:eastAsia="SimSun" w:hAnsi="Times New Roman" w:cs="Times New Roman"/>
          <w:bCs/>
          <w:color w:val="000000" w:themeColor="text1"/>
          <w:sz w:val="22"/>
          <w:szCs w:val="22"/>
          <w:lang w:val="sv-SE"/>
        </w:rPr>
        <w:t>l</w:t>
      </w:r>
      <w:r w:rsidRPr="00605A08">
        <w:rPr>
          <w:rFonts w:ascii="Times New Roman" w:eastAsia="SimSun" w:hAnsi="Times New Roman" w:cs="Times New Roman"/>
          <w:bCs/>
          <w:color w:val="000000" w:themeColor="text1"/>
          <w:sz w:val="22"/>
          <w:szCs w:val="22"/>
          <w:lang w:val="sv-SE"/>
        </w:rPr>
        <w:t>e 6.</w:t>
      </w:r>
      <w:r w:rsidRPr="00213D22">
        <w:rPr>
          <w:rFonts w:ascii="Times New Roman" w:eastAsia="SimSun" w:hAnsi="Times New Roman" w:cs="Times New Roman"/>
          <w:color w:val="000000" w:themeColor="text1"/>
          <w:sz w:val="22"/>
          <w:szCs w:val="22"/>
          <w:lang w:val="sv-SE"/>
        </w:rPr>
        <w:t xml:space="preserve"> </w:t>
      </w:r>
      <w:r w:rsidRPr="001F3D8B">
        <w:rPr>
          <w:rStyle w:val="y2iqfc"/>
          <w:rFonts w:ascii="Times New Roman" w:eastAsiaTheme="majorEastAsia" w:hAnsi="Times New Roman" w:cs="Times New Roman"/>
          <w:sz w:val="22"/>
          <w:szCs w:val="22"/>
          <w:lang w:val="en"/>
        </w:rPr>
        <w:t xml:space="preserve">Total Production Costs of Respondent Farmers in </w:t>
      </w:r>
      <w:r w:rsidR="001B3AC0">
        <w:rPr>
          <w:rStyle w:val="y2iqfc"/>
          <w:rFonts w:ascii="Times New Roman" w:eastAsiaTheme="majorEastAsia" w:hAnsi="Times New Roman" w:cs="Times New Roman"/>
          <w:sz w:val="22"/>
          <w:szCs w:val="22"/>
          <w:lang w:val="en"/>
        </w:rPr>
        <w:t>F</w:t>
      </w:r>
      <w:r w:rsidRPr="001F3D8B">
        <w:rPr>
          <w:rStyle w:val="y2iqfc"/>
          <w:rFonts w:ascii="Times New Roman" w:eastAsiaTheme="majorEastAsia" w:hAnsi="Times New Roman" w:cs="Times New Roman"/>
          <w:sz w:val="22"/>
          <w:szCs w:val="22"/>
          <w:lang w:val="en"/>
        </w:rPr>
        <w:t>arming in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6020"/>
        <w:gridCol w:w="3113"/>
      </w:tblGrid>
      <w:tr w:rsidR="001F3D8B" w:rsidRPr="00E817CB" w14:paraId="26121C96" w14:textId="77777777" w:rsidTr="008746A0">
        <w:tc>
          <w:tcPr>
            <w:tcW w:w="501" w:type="dxa"/>
            <w:tcBorders>
              <w:bottom w:val="single" w:sz="4" w:space="0" w:color="auto"/>
            </w:tcBorders>
          </w:tcPr>
          <w:p w14:paraId="34D82F06"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6020" w:type="dxa"/>
            <w:tcBorders>
              <w:bottom w:val="single" w:sz="4" w:space="0" w:color="auto"/>
            </w:tcBorders>
          </w:tcPr>
          <w:p w14:paraId="6490BBDD" w14:textId="6E41085B"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Cost Type</w:t>
            </w:r>
          </w:p>
        </w:tc>
        <w:tc>
          <w:tcPr>
            <w:tcW w:w="3113" w:type="dxa"/>
            <w:tcBorders>
              <w:bottom w:val="single" w:sz="4" w:space="0" w:color="auto"/>
            </w:tcBorders>
          </w:tcPr>
          <w:p w14:paraId="1F840074" w14:textId="40EC909A" w:rsidR="001F3D8B" w:rsidRPr="00605A08" w:rsidRDefault="00605A08"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Value</w:t>
            </w:r>
            <w:r w:rsidR="001F3D8B"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IDR</w:t>
            </w:r>
            <w:r w:rsidR="001F3D8B" w:rsidRPr="00605A08">
              <w:rPr>
                <w:rFonts w:ascii="Times New Roman" w:eastAsia="SimSun" w:hAnsi="Times New Roman" w:cs="Times New Roman"/>
                <w:bCs/>
                <w:color w:val="000000" w:themeColor="text1"/>
                <w:sz w:val="22"/>
                <w:szCs w:val="22"/>
              </w:rPr>
              <w:t>)</w:t>
            </w:r>
          </w:p>
        </w:tc>
      </w:tr>
      <w:tr w:rsidR="001F3D8B" w:rsidRPr="00E817CB" w14:paraId="215E3A8C" w14:textId="77777777" w:rsidTr="008746A0">
        <w:tc>
          <w:tcPr>
            <w:tcW w:w="501" w:type="dxa"/>
            <w:tcBorders>
              <w:top w:val="single" w:sz="4" w:space="0" w:color="auto"/>
              <w:bottom w:val="nil"/>
            </w:tcBorders>
          </w:tcPr>
          <w:p w14:paraId="1FDF740C"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9133" w:type="dxa"/>
            <w:gridSpan w:val="2"/>
            <w:tcBorders>
              <w:top w:val="single" w:sz="4" w:space="0" w:color="auto"/>
              <w:bottom w:val="nil"/>
            </w:tcBorders>
          </w:tcPr>
          <w:p w14:paraId="5A73A3C2" w14:textId="460978CD"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Fixed Cost</w:t>
            </w:r>
          </w:p>
        </w:tc>
      </w:tr>
      <w:tr w:rsidR="001F3D8B" w:rsidRPr="00E817CB" w14:paraId="6FC98737" w14:textId="77777777" w:rsidTr="008746A0">
        <w:trPr>
          <w:trHeight w:val="71"/>
        </w:trPr>
        <w:tc>
          <w:tcPr>
            <w:tcW w:w="501" w:type="dxa"/>
            <w:tcBorders>
              <w:top w:val="nil"/>
              <w:bottom w:val="nil"/>
            </w:tcBorders>
          </w:tcPr>
          <w:p w14:paraId="36F8C402"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00844E95" w14:textId="03B78C55"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Land tax</w:t>
            </w:r>
          </w:p>
        </w:tc>
        <w:tc>
          <w:tcPr>
            <w:tcW w:w="3113" w:type="dxa"/>
            <w:tcBorders>
              <w:top w:val="nil"/>
              <w:bottom w:val="nil"/>
            </w:tcBorders>
          </w:tcPr>
          <w:p w14:paraId="6EC7530A" w14:textId="3FF7DD86"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41.759</w:t>
            </w:r>
          </w:p>
        </w:tc>
      </w:tr>
      <w:tr w:rsidR="001F3D8B" w:rsidRPr="00E817CB" w14:paraId="5C2D9103" w14:textId="77777777" w:rsidTr="008746A0">
        <w:tc>
          <w:tcPr>
            <w:tcW w:w="501" w:type="dxa"/>
            <w:tcBorders>
              <w:top w:val="nil"/>
              <w:bottom w:val="nil"/>
            </w:tcBorders>
          </w:tcPr>
          <w:p w14:paraId="2155339B"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5CA98711" w14:textId="2C61D367"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Style w:val="y2iqfc"/>
                <w:rFonts w:ascii="Times New Roman" w:eastAsiaTheme="majorEastAsia" w:hAnsi="Times New Roman" w:cs="Times New Roman"/>
                <w:bCs/>
                <w:sz w:val="22"/>
                <w:szCs w:val="22"/>
                <w:lang w:val="en"/>
              </w:rPr>
              <w:t>Equipment depreciation</w:t>
            </w:r>
          </w:p>
        </w:tc>
        <w:tc>
          <w:tcPr>
            <w:tcW w:w="3113" w:type="dxa"/>
            <w:tcBorders>
              <w:top w:val="nil"/>
              <w:bottom w:val="nil"/>
            </w:tcBorders>
          </w:tcPr>
          <w:p w14:paraId="6EAF7522"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58.666</w:t>
            </w:r>
          </w:p>
        </w:tc>
      </w:tr>
      <w:tr w:rsidR="001F3D8B" w:rsidRPr="00E817CB" w14:paraId="715CDE25" w14:textId="77777777" w:rsidTr="008746A0">
        <w:tc>
          <w:tcPr>
            <w:tcW w:w="501" w:type="dxa"/>
            <w:tcBorders>
              <w:top w:val="nil"/>
              <w:bottom w:val="nil"/>
            </w:tcBorders>
          </w:tcPr>
          <w:p w14:paraId="5B20FD13"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9133" w:type="dxa"/>
            <w:gridSpan w:val="2"/>
            <w:tcBorders>
              <w:top w:val="nil"/>
              <w:bottom w:val="nil"/>
            </w:tcBorders>
          </w:tcPr>
          <w:p w14:paraId="1B99ABB4" w14:textId="4EF7A01A"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Variable Cost</w:t>
            </w:r>
          </w:p>
        </w:tc>
      </w:tr>
      <w:tr w:rsidR="001F3D8B" w:rsidRPr="00E817CB" w14:paraId="6BB72AC1" w14:textId="77777777" w:rsidTr="008746A0">
        <w:tc>
          <w:tcPr>
            <w:tcW w:w="501" w:type="dxa"/>
            <w:tcBorders>
              <w:top w:val="nil"/>
              <w:bottom w:val="nil"/>
            </w:tcBorders>
          </w:tcPr>
          <w:p w14:paraId="12C335C5"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65F271A6" w14:textId="57191165"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Seed</w:t>
            </w:r>
          </w:p>
        </w:tc>
        <w:tc>
          <w:tcPr>
            <w:tcW w:w="3113" w:type="dxa"/>
            <w:tcBorders>
              <w:top w:val="nil"/>
              <w:bottom w:val="nil"/>
            </w:tcBorders>
            <w:vAlign w:val="center"/>
          </w:tcPr>
          <w:p w14:paraId="20FED828"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231.250</w:t>
            </w:r>
          </w:p>
        </w:tc>
      </w:tr>
      <w:tr w:rsidR="001F3D8B" w:rsidRPr="00E817CB" w14:paraId="764FB1E3" w14:textId="77777777" w:rsidTr="008746A0">
        <w:tc>
          <w:tcPr>
            <w:tcW w:w="501" w:type="dxa"/>
            <w:tcBorders>
              <w:top w:val="nil"/>
              <w:bottom w:val="nil"/>
            </w:tcBorders>
          </w:tcPr>
          <w:p w14:paraId="6CF01F1A"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52E6255A" w14:textId="074D9861"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Fertilizer</w:t>
            </w:r>
          </w:p>
        </w:tc>
        <w:tc>
          <w:tcPr>
            <w:tcW w:w="3113" w:type="dxa"/>
            <w:tcBorders>
              <w:top w:val="nil"/>
              <w:bottom w:val="nil"/>
            </w:tcBorders>
            <w:vAlign w:val="center"/>
          </w:tcPr>
          <w:p w14:paraId="6233BFBD"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258.888</w:t>
            </w:r>
          </w:p>
        </w:tc>
      </w:tr>
      <w:tr w:rsidR="001F3D8B" w:rsidRPr="00E817CB" w14:paraId="3AAD8675" w14:textId="77777777" w:rsidTr="008746A0">
        <w:tc>
          <w:tcPr>
            <w:tcW w:w="501" w:type="dxa"/>
            <w:tcBorders>
              <w:top w:val="nil"/>
              <w:bottom w:val="nil"/>
            </w:tcBorders>
          </w:tcPr>
          <w:p w14:paraId="6A6857CF"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3FFD9443" w14:textId="23D78F8F" w:rsidR="001F3D8B" w:rsidRPr="00605A08" w:rsidRDefault="001F3D8B"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Pesti</w:t>
            </w:r>
            <w:r w:rsidR="00605A08" w:rsidRPr="00605A08">
              <w:rPr>
                <w:rFonts w:ascii="Times New Roman" w:eastAsia="SimSun" w:hAnsi="Times New Roman" w:cs="Times New Roman"/>
                <w:bCs/>
                <w:color w:val="000000" w:themeColor="text1"/>
                <w:sz w:val="22"/>
                <w:szCs w:val="22"/>
              </w:rPr>
              <w:t>cide</w:t>
            </w:r>
          </w:p>
        </w:tc>
        <w:tc>
          <w:tcPr>
            <w:tcW w:w="3113" w:type="dxa"/>
            <w:tcBorders>
              <w:top w:val="nil"/>
              <w:bottom w:val="nil"/>
            </w:tcBorders>
            <w:vAlign w:val="center"/>
          </w:tcPr>
          <w:p w14:paraId="7E2DB60A"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71.384</w:t>
            </w:r>
          </w:p>
        </w:tc>
      </w:tr>
      <w:tr w:rsidR="001F3D8B" w:rsidRPr="00E817CB" w14:paraId="0799197D" w14:textId="77777777" w:rsidTr="008746A0">
        <w:tc>
          <w:tcPr>
            <w:tcW w:w="501" w:type="dxa"/>
            <w:tcBorders>
              <w:top w:val="nil"/>
              <w:bottom w:val="single" w:sz="4" w:space="0" w:color="auto"/>
            </w:tcBorders>
          </w:tcPr>
          <w:p w14:paraId="2E0C14D7"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single" w:sz="4" w:space="0" w:color="auto"/>
            </w:tcBorders>
          </w:tcPr>
          <w:p w14:paraId="208849E2" w14:textId="4C95807C"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Labor cost</w:t>
            </w:r>
          </w:p>
        </w:tc>
        <w:tc>
          <w:tcPr>
            <w:tcW w:w="3113" w:type="dxa"/>
            <w:tcBorders>
              <w:top w:val="nil"/>
              <w:bottom w:val="single" w:sz="4" w:space="0" w:color="auto"/>
            </w:tcBorders>
            <w:vAlign w:val="center"/>
          </w:tcPr>
          <w:p w14:paraId="27872B69"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525.000</w:t>
            </w:r>
          </w:p>
        </w:tc>
      </w:tr>
      <w:tr w:rsidR="001F3D8B" w:rsidRPr="00E817CB" w14:paraId="6EDD2A1B" w14:textId="77777777" w:rsidTr="008746A0">
        <w:tc>
          <w:tcPr>
            <w:tcW w:w="6521" w:type="dxa"/>
            <w:gridSpan w:val="2"/>
            <w:tcBorders>
              <w:top w:val="single" w:sz="4" w:space="0" w:color="auto"/>
            </w:tcBorders>
          </w:tcPr>
          <w:p w14:paraId="177388AF" w14:textId="21F152B8" w:rsidR="001F3D8B" w:rsidRPr="00605A08" w:rsidRDefault="001F3D8B" w:rsidP="008746A0">
            <w:pPr>
              <w:pStyle w:val="ListParagraph"/>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 xml:space="preserve">Total </w:t>
            </w:r>
            <w:r w:rsidR="00605A08" w:rsidRPr="00605A08">
              <w:rPr>
                <w:rFonts w:ascii="Times New Roman" w:eastAsia="SimSun" w:hAnsi="Times New Roman" w:cs="Times New Roman"/>
                <w:bCs/>
                <w:color w:val="000000" w:themeColor="text1"/>
                <w:sz w:val="22"/>
                <w:szCs w:val="22"/>
              </w:rPr>
              <w:t>Cost Production</w:t>
            </w:r>
          </w:p>
        </w:tc>
        <w:tc>
          <w:tcPr>
            <w:tcW w:w="3113" w:type="dxa"/>
            <w:tcBorders>
              <w:top w:val="single" w:sz="4" w:space="0" w:color="auto"/>
            </w:tcBorders>
          </w:tcPr>
          <w:p w14:paraId="464F64DC"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1.186.947</w:t>
            </w:r>
          </w:p>
        </w:tc>
      </w:tr>
    </w:tbl>
    <w:p w14:paraId="03786BE1" w14:textId="3B40F87A"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5645294D" w14:textId="77777777" w:rsidR="00C91A75" w:rsidRPr="00C91A75" w:rsidRDefault="00C91A75" w:rsidP="00C91A75">
      <w:pPr>
        <w:pStyle w:val="HTMLPreformatted"/>
        <w:ind w:left="284" w:hanging="284"/>
        <w:jc w:val="both"/>
        <w:rPr>
          <w:rFonts w:ascii="Times New Roman" w:hAnsi="Times New Roman" w:cs="Times New Roman"/>
          <w:sz w:val="22"/>
          <w:szCs w:val="22"/>
        </w:rPr>
      </w:pPr>
    </w:p>
    <w:p w14:paraId="75DA455D" w14:textId="7CAE8108"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6</w:t>
      </w:r>
      <w:r w:rsidRPr="001F3D8B">
        <w:rPr>
          <w:rStyle w:val="y2iqfc"/>
          <w:rFonts w:ascii="Times New Roman" w:eastAsiaTheme="majorEastAsia" w:hAnsi="Times New Roman" w:cs="Times New Roman"/>
          <w:sz w:val="22"/>
          <w:szCs w:val="22"/>
          <w:lang w:val="en"/>
        </w:rPr>
        <w:t xml:space="preserve"> above shows that the average production cost is IDR 1</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186</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947, which is the cost that will be incurred every time the </w:t>
      </w:r>
      <w:r w:rsidR="00605A08">
        <w:rPr>
          <w:rStyle w:val="y2iqfc"/>
          <w:rFonts w:ascii="Times New Roman" w:eastAsiaTheme="majorEastAsia" w:hAnsi="Times New Roman" w:cs="Times New Roman"/>
          <w:sz w:val="22"/>
          <w:szCs w:val="22"/>
          <w:lang w:val="en"/>
        </w:rPr>
        <w:t xml:space="preserve">green </w:t>
      </w:r>
      <w:r w:rsidRPr="001F3D8B">
        <w:rPr>
          <w:rStyle w:val="y2iqfc"/>
          <w:rFonts w:ascii="Times New Roman" w:eastAsiaTheme="majorEastAsia" w:hAnsi="Times New Roman" w:cs="Times New Roman"/>
          <w:sz w:val="22"/>
          <w:szCs w:val="22"/>
          <w:lang w:val="en"/>
        </w:rPr>
        <w:t xml:space="preserve">mustard planting season occurs. </w:t>
      </w:r>
      <w:r w:rsidR="00605A08">
        <w:rPr>
          <w:rStyle w:val="y2iqfc"/>
          <w:rFonts w:ascii="Times New Roman" w:eastAsiaTheme="majorEastAsia" w:hAnsi="Times New Roman" w:cs="Times New Roman"/>
          <w:sz w:val="22"/>
          <w:szCs w:val="22"/>
          <w:lang w:val="en"/>
        </w:rPr>
        <w:t>Green m</w:t>
      </w:r>
      <w:r w:rsidRPr="001F3D8B">
        <w:rPr>
          <w:rStyle w:val="y2iqfc"/>
          <w:rFonts w:ascii="Times New Roman" w:eastAsiaTheme="majorEastAsia" w:hAnsi="Times New Roman" w:cs="Times New Roman"/>
          <w:sz w:val="22"/>
          <w:szCs w:val="22"/>
          <w:lang w:val="en"/>
        </w:rPr>
        <w:t>ustard farmers in Bukit Biru Village sell their harvest to collectors at a price per kilogram of IDR 7</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000, this price is the price agreed upon between the farmer and the collector or buyer.</w:t>
      </w:r>
    </w:p>
    <w:p w14:paraId="4FDADF90"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51A4008A" w14:textId="062201A9"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4. Revenue from mustard farming</w:t>
      </w:r>
    </w:p>
    <w:p w14:paraId="57153673" w14:textId="71F6A1E3"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 xml:space="preserve">Revenue is all income obtained from farming during one period calculated from sales or reappraisal, revenue can be obtained </w:t>
      </w:r>
      <w:r w:rsidR="001B3AC0">
        <w:rPr>
          <w:rStyle w:val="y2iqfc"/>
          <w:rFonts w:ascii="Times New Roman" w:eastAsiaTheme="majorEastAsia" w:hAnsi="Times New Roman" w:cs="Times New Roman"/>
          <w:sz w:val="22"/>
          <w:szCs w:val="22"/>
          <w:lang w:val="en"/>
        </w:rPr>
        <w:t>by</w:t>
      </w:r>
      <w:r w:rsidRPr="001F3D8B">
        <w:rPr>
          <w:rStyle w:val="y2iqfc"/>
          <w:rFonts w:ascii="Times New Roman" w:eastAsiaTheme="majorEastAsia" w:hAnsi="Times New Roman" w:cs="Times New Roman"/>
          <w:sz w:val="22"/>
          <w:szCs w:val="22"/>
          <w:lang w:val="en"/>
        </w:rPr>
        <w:t xml:space="preserve"> multiplying the amount of production by the price</w:t>
      </w:r>
      <w:r>
        <w:rPr>
          <w:rStyle w:val="y2iqfc"/>
          <w:rFonts w:ascii="Times New Roman" w:eastAsiaTheme="majorEastAsia" w:hAnsi="Times New Roman" w:cs="Times New Roman"/>
          <w:sz w:val="22"/>
          <w:szCs w:val="22"/>
          <w:lang w:val="en"/>
        </w:rPr>
        <w:t xml:space="preserve">.  </w:t>
      </w:r>
      <w:r w:rsidRPr="001F3D8B">
        <w:rPr>
          <w:rStyle w:val="y2iqfc"/>
          <w:rFonts w:ascii="Times New Roman" w:eastAsiaTheme="majorEastAsia" w:hAnsi="Times New Roman" w:cs="Times New Roman"/>
          <w:sz w:val="22"/>
          <w:szCs w:val="22"/>
          <w:lang w:val="en"/>
        </w:rPr>
        <w:t xml:space="preserve">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7</w:t>
      </w:r>
      <w:r w:rsidRPr="001F3D8B">
        <w:rPr>
          <w:rStyle w:val="y2iqfc"/>
          <w:rFonts w:ascii="Times New Roman" w:eastAsiaTheme="majorEastAsia" w:hAnsi="Times New Roman" w:cs="Times New Roman"/>
          <w:sz w:val="22"/>
          <w:szCs w:val="22"/>
          <w:lang w:val="en"/>
        </w:rPr>
        <w:t xml:space="preserve"> below</w:t>
      </w:r>
      <w:r>
        <w:rPr>
          <w:rStyle w:val="y2iqfc"/>
          <w:rFonts w:ascii="Times New Roman" w:eastAsiaTheme="majorEastAsia" w:hAnsi="Times New Roman" w:cs="Times New Roman"/>
          <w:sz w:val="22"/>
          <w:szCs w:val="22"/>
          <w:lang w:val="en"/>
        </w:rPr>
        <w:t xml:space="preserve"> :</w:t>
      </w:r>
    </w:p>
    <w:p w14:paraId="1BB57C6F" w14:textId="63D6BFC1" w:rsidR="001F3D8B" w:rsidRPr="001F3D8B" w:rsidRDefault="001F3D8B" w:rsidP="001F3D8B">
      <w:pPr>
        <w:pStyle w:val="HTMLPreformatted"/>
        <w:jc w:val="both"/>
        <w:rPr>
          <w:rFonts w:ascii="Times New Roman" w:hAnsi="Times New Roman" w:cs="Times New Roman"/>
          <w:sz w:val="22"/>
          <w:szCs w:val="22"/>
        </w:rPr>
      </w:pPr>
    </w:p>
    <w:p w14:paraId="0C08325E" w14:textId="1101D04D" w:rsidR="001F3D8B" w:rsidRPr="001F3D8B" w:rsidRDefault="001F3D8B" w:rsidP="001F3D8B">
      <w:pPr>
        <w:pStyle w:val="HTMLPreformatted"/>
        <w:rPr>
          <w:rFonts w:ascii="Times New Roman" w:hAnsi="Times New Roman" w:cs="Times New Roman"/>
          <w:sz w:val="22"/>
          <w:szCs w:val="22"/>
        </w:rPr>
      </w:pPr>
      <w:r w:rsidRPr="001B3AC0">
        <w:rPr>
          <w:rFonts w:ascii="Times New Roman" w:hAnsi="Times New Roman" w:cs="Times New Roman"/>
          <w:sz w:val="22"/>
          <w:szCs w:val="22"/>
          <w:lang w:val="sv-SE"/>
        </w:rPr>
        <w:t xml:space="preserve">Table. 7. </w:t>
      </w:r>
      <w:r w:rsidRPr="001B3AC0">
        <w:rPr>
          <w:rStyle w:val="y2iqfc"/>
          <w:rFonts w:ascii="Times New Roman" w:eastAsiaTheme="majorEastAsia" w:hAnsi="Times New Roman" w:cs="Times New Roman"/>
          <w:sz w:val="22"/>
          <w:szCs w:val="22"/>
          <w:lang w:val="en"/>
        </w:rPr>
        <w:t>Analysis</w:t>
      </w:r>
      <w:r w:rsidRPr="001F3D8B">
        <w:rPr>
          <w:rStyle w:val="y2iqfc"/>
          <w:rFonts w:ascii="Times New Roman" w:eastAsiaTheme="majorEastAsia" w:hAnsi="Times New Roman" w:cs="Times New Roman"/>
          <w:sz w:val="22"/>
          <w:szCs w:val="22"/>
          <w:lang w:val="en"/>
        </w:rPr>
        <w:t xml:space="preserve"> of Green Mustard Farming Revenues in Bukit Biru Village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974"/>
        <w:gridCol w:w="2283"/>
        <w:gridCol w:w="1379"/>
        <w:gridCol w:w="2978"/>
      </w:tblGrid>
      <w:tr w:rsidR="00605A08" w:rsidRPr="00E817CB" w14:paraId="67AEE51D" w14:textId="77777777" w:rsidTr="001F3D8B">
        <w:trPr>
          <w:trHeight w:val="460"/>
        </w:trPr>
        <w:tc>
          <w:tcPr>
            <w:tcW w:w="485" w:type="dxa"/>
            <w:tcBorders>
              <w:bottom w:val="single" w:sz="4" w:space="0" w:color="auto"/>
            </w:tcBorders>
            <w:vAlign w:val="center"/>
          </w:tcPr>
          <w:p w14:paraId="3180F9FF" w14:textId="77777777" w:rsidR="001F3D8B" w:rsidRPr="00605A08" w:rsidRDefault="001F3D8B" w:rsidP="008746A0">
            <w:pPr>
              <w:tabs>
                <w:tab w:val="left" w:pos="425"/>
              </w:tabs>
              <w:rPr>
                <w:rFonts w:ascii="Times New Roman" w:hAnsi="Times New Roman" w:cs="Times New Roman"/>
                <w:sz w:val="22"/>
                <w:szCs w:val="22"/>
              </w:rPr>
            </w:pPr>
            <w:r w:rsidRPr="00605A08">
              <w:rPr>
                <w:rFonts w:ascii="Times New Roman" w:hAnsi="Times New Roman" w:cs="Times New Roman"/>
                <w:color w:val="000000"/>
                <w:sz w:val="22"/>
                <w:szCs w:val="22"/>
              </w:rPr>
              <w:t>No</w:t>
            </w:r>
          </w:p>
        </w:tc>
        <w:tc>
          <w:tcPr>
            <w:tcW w:w="2039" w:type="dxa"/>
            <w:tcBorders>
              <w:bottom w:val="single" w:sz="4" w:space="0" w:color="auto"/>
            </w:tcBorders>
            <w:vAlign w:val="center"/>
          </w:tcPr>
          <w:p w14:paraId="1CBC19A0" w14:textId="772FD2EF"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Land Area</w:t>
            </w:r>
          </w:p>
          <w:p w14:paraId="3C03734E" w14:textId="382273AA" w:rsidR="001F3D8B" w:rsidRPr="00605A08" w:rsidRDefault="001F3D8B" w:rsidP="00605A08">
            <w:pPr>
              <w:tabs>
                <w:tab w:val="left" w:pos="425"/>
              </w:tabs>
              <w:jc w:val="center"/>
              <w:rPr>
                <w:rFonts w:ascii="Times New Roman" w:hAnsi="Times New Roman" w:cs="Times New Roman"/>
                <w:sz w:val="22"/>
                <w:szCs w:val="22"/>
              </w:rPr>
            </w:pPr>
            <w:r w:rsidRPr="00605A08">
              <w:rPr>
                <w:rFonts w:ascii="Times New Roman" w:hAnsi="Times New Roman" w:cs="Times New Roman"/>
                <w:color w:val="000000"/>
                <w:sz w:val="22"/>
                <w:szCs w:val="22"/>
              </w:rPr>
              <w:t>M</w:t>
            </w:r>
            <w:r w:rsidRPr="00605A08">
              <w:rPr>
                <w:rFonts w:ascii="Times New Roman" w:hAnsi="Times New Roman" w:cs="Times New Roman"/>
                <w:color w:val="000000"/>
                <w:sz w:val="22"/>
                <w:szCs w:val="22"/>
                <w:vertAlign w:val="superscript"/>
              </w:rPr>
              <w:t>2</w:t>
            </w:r>
          </w:p>
        </w:tc>
        <w:tc>
          <w:tcPr>
            <w:tcW w:w="2354" w:type="dxa"/>
            <w:tcBorders>
              <w:bottom w:val="single" w:sz="4" w:space="0" w:color="auto"/>
            </w:tcBorders>
            <w:vAlign w:val="center"/>
          </w:tcPr>
          <w:p w14:paraId="6B6B5A5A" w14:textId="56D0E1CE" w:rsidR="001F3D8B" w:rsidRPr="00605A08" w:rsidRDefault="00605A08" w:rsidP="00605A08">
            <w:pPr>
              <w:pStyle w:val="HTMLPreformatted"/>
              <w:jc w:val="center"/>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Total Harvest Yield (Kg)</w:t>
            </w:r>
          </w:p>
        </w:tc>
        <w:tc>
          <w:tcPr>
            <w:tcW w:w="1412" w:type="dxa"/>
            <w:tcBorders>
              <w:bottom w:val="single" w:sz="4" w:space="0" w:color="auto"/>
            </w:tcBorders>
            <w:vAlign w:val="center"/>
          </w:tcPr>
          <w:p w14:paraId="5D795CD3" w14:textId="77777777" w:rsidR="001F3D8B" w:rsidRDefault="00605A08" w:rsidP="00605A08">
            <w:pPr>
              <w:tabs>
                <w:tab w:val="left" w:pos="425"/>
              </w:tabs>
              <w:jc w:val="center"/>
              <w:rPr>
                <w:rFonts w:ascii="Times New Roman" w:hAnsi="Times New Roman" w:cs="Times New Roman"/>
                <w:color w:val="000000"/>
                <w:sz w:val="22"/>
                <w:szCs w:val="22"/>
                <w:vertAlign w:val="superscript"/>
              </w:rPr>
            </w:pPr>
            <w:r w:rsidRPr="00605A08">
              <w:rPr>
                <w:rFonts w:ascii="Times New Roman" w:hAnsi="Times New Roman" w:cs="Times New Roman"/>
                <w:color w:val="000000"/>
                <w:sz w:val="22"/>
                <w:szCs w:val="22"/>
              </w:rPr>
              <w:t>Price</w:t>
            </w:r>
            <w:r w:rsidR="001F3D8B" w:rsidRPr="00605A08">
              <w:rPr>
                <w:rFonts w:ascii="Times New Roman" w:hAnsi="Times New Roman" w:cs="Times New Roman"/>
                <w:color w:val="000000"/>
                <w:sz w:val="22"/>
                <w:szCs w:val="22"/>
              </w:rPr>
              <w:t xml:space="preserve"> Kg</w:t>
            </w:r>
            <w:r w:rsidR="001F3D8B" w:rsidRPr="00605A08">
              <w:rPr>
                <w:rFonts w:ascii="Times New Roman" w:hAnsi="Times New Roman" w:cs="Times New Roman"/>
                <w:color w:val="000000"/>
                <w:sz w:val="22"/>
                <w:szCs w:val="22"/>
                <w:vertAlign w:val="superscript"/>
              </w:rPr>
              <w:t>-1</w:t>
            </w:r>
          </w:p>
          <w:p w14:paraId="10761D25" w14:textId="63A8E28B"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(IDR)</w:t>
            </w:r>
          </w:p>
        </w:tc>
        <w:tc>
          <w:tcPr>
            <w:tcW w:w="3070" w:type="dxa"/>
            <w:tcBorders>
              <w:bottom w:val="single" w:sz="4" w:space="0" w:color="auto"/>
            </w:tcBorders>
            <w:vAlign w:val="center"/>
          </w:tcPr>
          <w:p w14:paraId="4982380D" w14:textId="44F3DFBA"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Revenue Total</w:t>
            </w:r>
            <w:r w:rsidR="001F3D8B" w:rsidRPr="00605A08">
              <w:rPr>
                <w:rFonts w:ascii="Times New Roman" w:hAnsi="Times New Roman" w:cs="Times New Roman"/>
                <w:color w:val="000000"/>
                <w:sz w:val="22"/>
                <w:szCs w:val="22"/>
              </w:rPr>
              <w:t xml:space="preserve"> </w:t>
            </w:r>
          </w:p>
          <w:p w14:paraId="1E48BE07" w14:textId="6FFD5611" w:rsidR="001F3D8B" w:rsidRPr="00605A08" w:rsidRDefault="001F3D8B" w:rsidP="00605A08">
            <w:pPr>
              <w:tabs>
                <w:tab w:val="left" w:pos="425"/>
              </w:tabs>
              <w:jc w:val="center"/>
              <w:rPr>
                <w:rFonts w:ascii="Times New Roman" w:hAnsi="Times New Roman" w:cs="Times New Roman"/>
                <w:sz w:val="22"/>
                <w:szCs w:val="22"/>
              </w:rPr>
            </w:pPr>
            <w:r w:rsidRPr="00605A08">
              <w:rPr>
                <w:rFonts w:ascii="Times New Roman" w:eastAsia="SimSun" w:hAnsi="Times New Roman" w:cs="Times New Roman"/>
                <w:color w:val="000000" w:themeColor="text1"/>
                <w:sz w:val="22"/>
                <w:szCs w:val="22"/>
              </w:rPr>
              <w:t>(</w:t>
            </w:r>
            <w:r w:rsidR="00605A08" w:rsidRPr="00605A08">
              <w:rPr>
                <w:rFonts w:ascii="Times New Roman" w:eastAsia="SimSun" w:hAnsi="Times New Roman" w:cs="Times New Roman"/>
                <w:color w:val="000000" w:themeColor="text1"/>
                <w:sz w:val="22"/>
                <w:szCs w:val="22"/>
              </w:rPr>
              <w:t>IDR</w:t>
            </w:r>
            <w:r w:rsidRPr="00605A08">
              <w:rPr>
                <w:rFonts w:ascii="Times New Roman" w:eastAsia="SimSun" w:hAnsi="Times New Roman" w:cs="Times New Roman"/>
                <w:color w:val="000000" w:themeColor="text1"/>
                <w:sz w:val="22"/>
                <w:szCs w:val="22"/>
              </w:rPr>
              <w:t>)</w:t>
            </w:r>
          </w:p>
        </w:tc>
      </w:tr>
      <w:tr w:rsidR="00605A08" w:rsidRPr="00E817CB" w14:paraId="3004EED6" w14:textId="77777777" w:rsidTr="001F3D8B">
        <w:tc>
          <w:tcPr>
            <w:tcW w:w="485" w:type="dxa"/>
            <w:tcBorders>
              <w:top w:val="single" w:sz="4" w:space="0" w:color="auto"/>
              <w:bottom w:val="nil"/>
            </w:tcBorders>
          </w:tcPr>
          <w:p w14:paraId="3B9869D2"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1</w:t>
            </w:r>
          </w:p>
        </w:tc>
        <w:tc>
          <w:tcPr>
            <w:tcW w:w="2039" w:type="dxa"/>
            <w:tcBorders>
              <w:top w:val="single" w:sz="4" w:space="0" w:color="auto"/>
              <w:bottom w:val="nil"/>
            </w:tcBorders>
          </w:tcPr>
          <w:p w14:paraId="6120606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3.500</w:t>
            </w:r>
          </w:p>
        </w:tc>
        <w:tc>
          <w:tcPr>
            <w:tcW w:w="2354" w:type="dxa"/>
            <w:tcBorders>
              <w:top w:val="single" w:sz="4" w:space="0" w:color="auto"/>
              <w:bottom w:val="nil"/>
            </w:tcBorders>
          </w:tcPr>
          <w:p w14:paraId="322005D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1.350</w:t>
            </w:r>
          </w:p>
        </w:tc>
        <w:tc>
          <w:tcPr>
            <w:tcW w:w="1412" w:type="dxa"/>
            <w:tcBorders>
              <w:top w:val="single" w:sz="4" w:space="0" w:color="auto"/>
              <w:bottom w:val="nil"/>
            </w:tcBorders>
          </w:tcPr>
          <w:p w14:paraId="118D1DE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single" w:sz="4" w:space="0" w:color="auto"/>
              <w:bottom w:val="nil"/>
            </w:tcBorders>
          </w:tcPr>
          <w:p w14:paraId="6DC169C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9.450.000</w:t>
            </w:r>
          </w:p>
        </w:tc>
      </w:tr>
      <w:tr w:rsidR="00605A08" w:rsidRPr="00E817CB" w14:paraId="70DA2195" w14:textId="77777777" w:rsidTr="001F3D8B">
        <w:tc>
          <w:tcPr>
            <w:tcW w:w="485" w:type="dxa"/>
            <w:tcBorders>
              <w:top w:val="nil"/>
              <w:bottom w:val="nil"/>
            </w:tcBorders>
          </w:tcPr>
          <w:p w14:paraId="484B49E7"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2</w:t>
            </w:r>
          </w:p>
        </w:tc>
        <w:tc>
          <w:tcPr>
            <w:tcW w:w="2039" w:type="dxa"/>
            <w:tcBorders>
              <w:top w:val="nil"/>
              <w:bottom w:val="nil"/>
            </w:tcBorders>
          </w:tcPr>
          <w:p w14:paraId="0B5F0BA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2.750</w:t>
            </w:r>
          </w:p>
        </w:tc>
        <w:tc>
          <w:tcPr>
            <w:tcW w:w="2354" w:type="dxa"/>
            <w:tcBorders>
              <w:top w:val="nil"/>
              <w:bottom w:val="nil"/>
            </w:tcBorders>
          </w:tcPr>
          <w:p w14:paraId="584F766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1.000</w:t>
            </w:r>
          </w:p>
        </w:tc>
        <w:tc>
          <w:tcPr>
            <w:tcW w:w="1412" w:type="dxa"/>
            <w:tcBorders>
              <w:top w:val="nil"/>
              <w:bottom w:val="nil"/>
            </w:tcBorders>
          </w:tcPr>
          <w:p w14:paraId="7B7E8B6F"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40B813BD"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14.000.000</w:t>
            </w:r>
          </w:p>
        </w:tc>
      </w:tr>
      <w:tr w:rsidR="00605A08" w:rsidRPr="00E817CB" w14:paraId="648875C3" w14:textId="77777777" w:rsidTr="001F3D8B">
        <w:tc>
          <w:tcPr>
            <w:tcW w:w="485" w:type="dxa"/>
            <w:tcBorders>
              <w:top w:val="nil"/>
              <w:bottom w:val="nil"/>
            </w:tcBorders>
          </w:tcPr>
          <w:p w14:paraId="7B474EDB"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3</w:t>
            </w:r>
          </w:p>
        </w:tc>
        <w:tc>
          <w:tcPr>
            <w:tcW w:w="2039" w:type="dxa"/>
            <w:tcBorders>
              <w:top w:val="nil"/>
              <w:bottom w:val="nil"/>
            </w:tcBorders>
          </w:tcPr>
          <w:p w14:paraId="79A91FF7"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2.200</w:t>
            </w:r>
          </w:p>
        </w:tc>
        <w:tc>
          <w:tcPr>
            <w:tcW w:w="2354" w:type="dxa"/>
            <w:tcBorders>
              <w:top w:val="nil"/>
              <w:bottom w:val="nil"/>
            </w:tcBorders>
          </w:tcPr>
          <w:p w14:paraId="683C430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900</w:t>
            </w:r>
          </w:p>
        </w:tc>
        <w:tc>
          <w:tcPr>
            <w:tcW w:w="1412" w:type="dxa"/>
            <w:tcBorders>
              <w:top w:val="nil"/>
              <w:bottom w:val="nil"/>
            </w:tcBorders>
          </w:tcPr>
          <w:p w14:paraId="6AE4974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E8D0F1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6.300.000</w:t>
            </w:r>
          </w:p>
        </w:tc>
      </w:tr>
      <w:tr w:rsidR="00605A08" w:rsidRPr="00E817CB" w14:paraId="1A139CA2" w14:textId="77777777" w:rsidTr="001F3D8B">
        <w:tc>
          <w:tcPr>
            <w:tcW w:w="485" w:type="dxa"/>
            <w:tcBorders>
              <w:top w:val="nil"/>
              <w:bottom w:val="nil"/>
            </w:tcBorders>
          </w:tcPr>
          <w:p w14:paraId="621AB193"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4</w:t>
            </w:r>
          </w:p>
        </w:tc>
        <w:tc>
          <w:tcPr>
            <w:tcW w:w="2039" w:type="dxa"/>
            <w:tcBorders>
              <w:top w:val="nil"/>
              <w:bottom w:val="nil"/>
            </w:tcBorders>
          </w:tcPr>
          <w:p w14:paraId="351B384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2.000</w:t>
            </w:r>
          </w:p>
        </w:tc>
        <w:tc>
          <w:tcPr>
            <w:tcW w:w="2354" w:type="dxa"/>
            <w:tcBorders>
              <w:top w:val="nil"/>
              <w:bottom w:val="nil"/>
            </w:tcBorders>
          </w:tcPr>
          <w:p w14:paraId="704B00DD"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820</w:t>
            </w:r>
          </w:p>
        </w:tc>
        <w:tc>
          <w:tcPr>
            <w:tcW w:w="1412" w:type="dxa"/>
            <w:tcBorders>
              <w:top w:val="nil"/>
              <w:bottom w:val="nil"/>
            </w:tcBorders>
          </w:tcPr>
          <w:p w14:paraId="086D0EE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AE18E0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5.740.000</w:t>
            </w:r>
          </w:p>
        </w:tc>
      </w:tr>
      <w:tr w:rsidR="00605A08" w:rsidRPr="00E817CB" w14:paraId="08741FC2" w14:textId="77777777" w:rsidTr="001F3D8B">
        <w:tc>
          <w:tcPr>
            <w:tcW w:w="485" w:type="dxa"/>
            <w:tcBorders>
              <w:top w:val="nil"/>
              <w:bottom w:val="nil"/>
            </w:tcBorders>
          </w:tcPr>
          <w:p w14:paraId="7D6CBBC1"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5</w:t>
            </w:r>
          </w:p>
        </w:tc>
        <w:tc>
          <w:tcPr>
            <w:tcW w:w="2039" w:type="dxa"/>
            <w:tcBorders>
              <w:top w:val="nil"/>
              <w:bottom w:val="nil"/>
            </w:tcBorders>
          </w:tcPr>
          <w:p w14:paraId="4F6BD133"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1.800</w:t>
            </w:r>
          </w:p>
        </w:tc>
        <w:tc>
          <w:tcPr>
            <w:tcW w:w="2354" w:type="dxa"/>
            <w:tcBorders>
              <w:top w:val="nil"/>
              <w:bottom w:val="nil"/>
            </w:tcBorders>
          </w:tcPr>
          <w:p w14:paraId="7645758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w:t>
            </w:r>
          </w:p>
        </w:tc>
        <w:tc>
          <w:tcPr>
            <w:tcW w:w="1412" w:type="dxa"/>
            <w:tcBorders>
              <w:top w:val="nil"/>
              <w:bottom w:val="nil"/>
            </w:tcBorders>
          </w:tcPr>
          <w:p w14:paraId="61BBB53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792480F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9.800.000</w:t>
            </w:r>
          </w:p>
        </w:tc>
      </w:tr>
      <w:tr w:rsidR="00605A08" w:rsidRPr="00E817CB" w14:paraId="6AFE11E3" w14:textId="77777777" w:rsidTr="001F3D8B">
        <w:tc>
          <w:tcPr>
            <w:tcW w:w="485" w:type="dxa"/>
            <w:tcBorders>
              <w:top w:val="nil"/>
              <w:bottom w:val="nil"/>
            </w:tcBorders>
          </w:tcPr>
          <w:p w14:paraId="69F3068D"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6</w:t>
            </w:r>
          </w:p>
        </w:tc>
        <w:tc>
          <w:tcPr>
            <w:tcW w:w="2039" w:type="dxa"/>
            <w:tcBorders>
              <w:top w:val="nil"/>
              <w:bottom w:val="nil"/>
            </w:tcBorders>
          </w:tcPr>
          <w:p w14:paraId="2B4F4E7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1.200</w:t>
            </w:r>
          </w:p>
        </w:tc>
        <w:tc>
          <w:tcPr>
            <w:tcW w:w="2354" w:type="dxa"/>
            <w:tcBorders>
              <w:top w:val="nil"/>
              <w:bottom w:val="nil"/>
            </w:tcBorders>
          </w:tcPr>
          <w:p w14:paraId="1C817BF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490</w:t>
            </w:r>
          </w:p>
        </w:tc>
        <w:tc>
          <w:tcPr>
            <w:tcW w:w="1412" w:type="dxa"/>
            <w:tcBorders>
              <w:top w:val="nil"/>
              <w:bottom w:val="nil"/>
            </w:tcBorders>
          </w:tcPr>
          <w:p w14:paraId="2E7D01E1"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0CBDDE1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6.860.000</w:t>
            </w:r>
          </w:p>
        </w:tc>
      </w:tr>
      <w:tr w:rsidR="00605A08" w:rsidRPr="00E817CB" w14:paraId="054CA7D6" w14:textId="77777777" w:rsidTr="001F3D8B">
        <w:tc>
          <w:tcPr>
            <w:tcW w:w="485" w:type="dxa"/>
            <w:tcBorders>
              <w:top w:val="nil"/>
              <w:bottom w:val="nil"/>
            </w:tcBorders>
          </w:tcPr>
          <w:p w14:paraId="30012322"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7</w:t>
            </w:r>
          </w:p>
        </w:tc>
        <w:tc>
          <w:tcPr>
            <w:tcW w:w="2039" w:type="dxa"/>
            <w:tcBorders>
              <w:top w:val="nil"/>
              <w:bottom w:val="nil"/>
            </w:tcBorders>
          </w:tcPr>
          <w:p w14:paraId="36AD97F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1.000</w:t>
            </w:r>
          </w:p>
        </w:tc>
        <w:tc>
          <w:tcPr>
            <w:tcW w:w="2354" w:type="dxa"/>
            <w:tcBorders>
              <w:top w:val="nil"/>
              <w:bottom w:val="nil"/>
            </w:tcBorders>
          </w:tcPr>
          <w:p w14:paraId="3CAB6C3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390</w:t>
            </w:r>
          </w:p>
        </w:tc>
        <w:tc>
          <w:tcPr>
            <w:tcW w:w="1412" w:type="dxa"/>
            <w:tcBorders>
              <w:top w:val="nil"/>
              <w:bottom w:val="nil"/>
            </w:tcBorders>
          </w:tcPr>
          <w:p w14:paraId="17636E7F"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C92C2E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10.920.000</w:t>
            </w:r>
          </w:p>
        </w:tc>
      </w:tr>
      <w:tr w:rsidR="00605A08" w:rsidRPr="00E817CB" w14:paraId="41FCEF2C" w14:textId="77777777" w:rsidTr="001F3D8B">
        <w:tc>
          <w:tcPr>
            <w:tcW w:w="485" w:type="dxa"/>
            <w:tcBorders>
              <w:top w:val="nil"/>
              <w:bottom w:val="single" w:sz="4" w:space="0" w:color="auto"/>
            </w:tcBorders>
          </w:tcPr>
          <w:p w14:paraId="68CF76E2" w14:textId="77777777" w:rsidR="001F3D8B" w:rsidRPr="00E817CB" w:rsidRDefault="001F3D8B" w:rsidP="008746A0">
            <w:pPr>
              <w:tabs>
                <w:tab w:val="left" w:pos="425"/>
              </w:tabs>
              <w:rPr>
                <w:rFonts w:ascii="Times New Roman" w:hAnsi="Times New Roman" w:cs="Times New Roman"/>
                <w:color w:val="000000"/>
                <w:sz w:val="22"/>
                <w:szCs w:val="22"/>
              </w:rPr>
            </w:pPr>
            <w:r w:rsidRPr="00E817CB">
              <w:rPr>
                <w:rFonts w:ascii="Times New Roman" w:hAnsi="Times New Roman" w:cs="Times New Roman"/>
                <w:color w:val="000000"/>
                <w:sz w:val="22"/>
                <w:szCs w:val="22"/>
              </w:rPr>
              <w:t>8</w:t>
            </w:r>
          </w:p>
        </w:tc>
        <w:tc>
          <w:tcPr>
            <w:tcW w:w="2039" w:type="dxa"/>
            <w:tcBorders>
              <w:top w:val="nil"/>
              <w:bottom w:val="single" w:sz="4" w:space="0" w:color="auto"/>
            </w:tcBorders>
          </w:tcPr>
          <w:p w14:paraId="7A10BA81" w14:textId="77777777" w:rsidR="001F3D8B" w:rsidRPr="00E817CB" w:rsidRDefault="001F3D8B" w:rsidP="00605A08">
            <w:pPr>
              <w:tabs>
                <w:tab w:val="left" w:pos="425"/>
              </w:tabs>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750</w:t>
            </w:r>
          </w:p>
        </w:tc>
        <w:tc>
          <w:tcPr>
            <w:tcW w:w="2354" w:type="dxa"/>
            <w:tcBorders>
              <w:top w:val="nil"/>
              <w:bottom w:val="single" w:sz="4" w:space="0" w:color="auto"/>
            </w:tcBorders>
          </w:tcPr>
          <w:p w14:paraId="6ECFD11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230</w:t>
            </w:r>
          </w:p>
        </w:tc>
        <w:tc>
          <w:tcPr>
            <w:tcW w:w="1412" w:type="dxa"/>
            <w:tcBorders>
              <w:top w:val="nil"/>
              <w:bottom w:val="single" w:sz="4" w:space="0" w:color="auto"/>
            </w:tcBorders>
          </w:tcPr>
          <w:p w14:paraId="35960EE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single" w:sz="4" w:space="0" w:color="auto"/>
            </w:tcBorders>
          </w:tcPr>
          <w:p w14:paraId="58C61413"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8.050.000</w:t>
            </w:r>
          </w:p>
        </w:tc>
      </w:tr>
      <w:tr w:rsidR="00605A08" w:rsidRPr="00E817CB" w14:paraId="2F87B134" w14:textId="77777777" w:rsidTr="001F3D8B">
        <w:tc>
          <w:tcPr>
            <w:tcW w:w="2524" w:type="dxa"/>
            <w:gridSpan w:val="2"/>
            <w:tcBorders>
              <w:top w:val="single" w:sz="4" w:space="0" w:color="auto"/>
              <w:bottom w:val="single" w:sz="4" w:space="0" w:color="auto"/>
            </w:tcBorders>
          </w:tcPr>
          <w:p w14:paraId="1F7055C2" w14:textId="77777777" w:rsidR="001F3D8B" w:rsidRPr="00E817CB" w:rsidRDefault="001F3D8B" w:rsidP="00605A08">
            <w:pPr>
              <w:tabs>
                <w:tab w:val="left" w:pos="425"/>
              </w:tabs>
              <w:jc w:val="center"/>
              <w:rPr>
                <w:rFonts w:ascii="Times New Roman" w:hAnsi="Times New Roman" w:cs="Times New Roman"/>
                <w:b/>
                <w:bCs/>
                <w:color w:val="000000"/>
                <w:sz w:val="22"/>
                <w:szCs w:val="22"/>
              </w:rPr>
            </w:pPr>
            <w:r w:rsidRPr="00E817CB">
              <w:rPr>
                <w:rFonts w:ascii="Times New Roman" w:hAnsi="Times New Roman" w:cs="Times New Roman"/>
                <w:b/>
                <w:bCs/>
                <w:color w:val="000000"/>
                <w:sz w:val="22"/>
                <w:szCs w:val="22"/>
              </w:rPr>
              <w:t>Total</w:t>
            </w:r>
          </w:p>
        </w:tc>
        <w:tc>
          <w:tcPr>
            <w:tcW w:w="2354" w:type="dxa"/>
            <w:tcBorders>
              <w:top w:val="single" w:sz="4" w:space="0" w:color="auto"/>
              <w:bottom w:val="single" w:sz="4" w:space="0" w:color="auto"/>
            </w:tcBorders>
          </w:tcPr>
          <w:p w14:paraId="3396C719" w14:textId="77777777" w:rsidR="001F3D8B" w:rsidRPr="00E817CB" w:rsidRDefault="001F3D8B" w:rsidP="00605A08">
            <w:pPr>
              <w:jc w:val="center"/>
              <w:rPr>
                <w:rFonts w:ascii="Times New Roman" w:hAnsi="Times New Roman" w:cs="Times New Roman"/>
                <w:b/>
                <w:bCs/>
                <w:color w:val="000000"/>
                <w:sz w:val="22"/>
                <w:szCs w:val="22"/>
                <w:lang w:eastAsia="en-US"/>
              </w:rPr>
            </w:pPr>
            <w:r w:rsidRPr="00E817CB">
              <w:rPr>
                <w:rFonts w:ascii="Times New Roman" w:hAnsi="Times New Roman" w:cs="Times New Roman"/>
                <w:b/>
                <w:bCs/>
                <w:color w:val="000000"/>
                <w:sz w:val="22"/>
                <w:szCs w:val="22"/>
              </w:rPr>
              <w:t>5.880</w:t>
            </w:r>
          </w:p>
        </w:tc>
        <w:tc>
          <w:tcPr>
            <w:tcW w:w="1412" w:type="dxa"/>
            <w:tcBorders>
              <w:top w:val="single" w:sz="4" w:space="0" w:color="auto"/>
              <w:bottom w:val="single" w:sz="4" w:space="0" w:color="auto"/>
            </w:tcBorders>
          </w:tcPr>
          <w:p w14:paraId="3A60D8D5" w14:textId="77777777" w:rsidR="001F3D8B" w:rsidRPr="00E817CB" w:rsidRDefault="001F3D8B" w:rsidP="00605A08">
            <w:pPr>
              <w:tabs>
                <w:tab w:val="left" w:pos="425"/>
              </w:tabs>
              <w:jc w:val="center"/>
              <w:rPr>
                <w:rFonts w:ascii="Times New Roman" w:hAnsi="Times New Roman" w:cs="Times New Roman"/>
                <w:b/>
                <w:bCs/>
                <w:color w:val="000000"/>
                <w:sz w:val="22"/>
                <w:szCs w:val="22"/>
              </w:rPr>
            </w:pPr>
          </w:p>
        </w:tc>
        <w:tc>
          <w:tcPr>
            <w:tcW w:w="3070" w:type="dxa"/>
            <w:tcBorders>
              <w:top w:val="single" w:sz="4" w:space="0" w:color="auto"/>
              <w:bottom w:val="single" w:sz="4" w:space="0" w:color="auto"/>
            </w:tcBorders>
          </w:tcPr>
          <w:p w14:paraId="1C8B855B" w14:textId="00BC036E" w:rsidR="001F3D8B" w:rsidRPr="00E817CB" w:rsidRDefault="001F3D8B" w:rsidP="00605A08">
            <w:pPr>
              <w:jc w:val="center"/>
              <w:rPr>
                <w:rFonts w:ascii="Times New Roman" w:hAnsi="Times New Roman" w:cs="Times New Roman"/>
                <w:b/>
                <w:bCs/>
                <w:color w:val="000000"/>
                <w:sz w:val="22"/>
                <w:szCs w:val="22"/>
                <w:lang w:eastAsia="en-US"/>
              </w:rPr>
            </w:pPr>
            <w:r w:rsidRPr="00E817CB">
              <w:rPr>
                <w:rFonts w:ascii="Times New Roman" w:hAnsi="Times New Roman" w:cs="Times New Roman"/>
                <w:b/>
                <w:bCs/>
                <w:color w:val="000000"/>
                <w:sz w:val="22"/>
                <w:szCs w:val="22"/>
              </w:rPr>
              <w:t>71.120.000</w:t>
            </w:r>
          </w:p>
        </w:tc>
      </w:tr>
      <w:tr w:rsidR="001F3D8B" w:rsidRPr="00E817CB" w14:paraId="6728BB25" w14:textId="77777777" w:rsidTr="001F3D8B">
        <w:trPr>
          <w:trHeight w:val="327"/>
        </w:trPr>
        <w:tc>
          <w:tcPr>
            <w:tcW w:w="6290" w:type="dxa"/>
            <w:gridSpan w:val="4"/>
            <w:tcBorders>
              <w:top w:val="single" w:sz="4" w:space="0" w:color="auto"/>
            </w:tcBorders>
          </w:tcPr>
          <w:p w14:paraId="03A5D3C3" w14:textId="2A452A8E" w:rsidR="001F3D8B" w:rsidRPr="001B3AC0" w:rsidRDefault="001B3AC0" w:rsidP="001B3AC0">
            <w:pPr>
              <w:pStyle w:val="HTMLPreformatted"/>
              <w:jc w:val="center"/>
              <w:rPr>
                <w:rFonts w:ascii="Times New Roman" w:hAnsi="Times New Roman" w:cs="Times New Roman"/>
                <w:b/>
                <w:bCs/>
                <w:sz w:val="22"/>
                <w:szCs w:val="22"/>
              </w:rPr>
            </w:pPr>
            <w:r w:rsidRPr="001B3AC0">
              <w:rPr>
                <w:rStyle w:val="y2iqfc"/>
                <w:rFonts w:ascii="Times New Roman" w:eastAsiaTheme="majorEastAsia" w:hAnsi="Times New Roman" w:cs="Times New Roman"/>
                <w:b/>
                <w:bCs/>
                <w:sz w:val="22"/>
                <w:szCs w:val="22"/>
                <w:lang w:val="en"/>
              </w:rPr>
              <w:t>Recapitulation</w:t>
            </w:r>
          </w:p>
        </w:tc>
        <w:tc>
          <w:tcPr>
            <w:tcW w:w="3070" w:type="dxa"/>
            <w:tcBorders>
              <w:top w:val="single" w:sz="4" w:space="0" w:color="auto"/>
            </w:tcBorders>
          </w:tcPr>
          <w:p w14:paraId="6A15F36E" w14:textId="47DC35F4" w:rsidR="001F3D8B" w:rsidRPr="00E817CB" w:rsidRDefault="001F3D8B" w:rsidP="00605A08">
            <w:pPr>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rPr>
              <w:t>3.951.111</w:t>
            </w:r>
          </w:p>
        </w:tc>
      </w:tr>
    </w:tbl>
    <w:p w14:paraId="1246B9FE" w14:textId="16A369EF"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51C4BA0E" w14:textId="77777777" w:rsidR="00461E8D" w:rsidRDefault="00461E8D" w:rsidP="00AF6AC8">
      <w:pPr>
        <w:pStyle w:val="HTMLPreformatted"/>
        <w:jc w:val="both"/>
        <w:rPr>
          <w:rFonts w:ascii="Times New Roman" w:hAnsi="Times New Roman" w:cs="Times New Roman"/>
          <w:sz w:val="22"/>
          <w:szCs w:val="22"/>
        </w:rPr>
      </w:pPr>
    </w:p>
    <w:p w14:paraId="766CC19D" w14:textId="6A4E3FD3"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3.5.5. Analysis of Farming Income</w:t>
      </w:r>
    </w:p>
    <w:p w14:paraId="454CA67C" w14:textId="132E01E9" w:rsid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 xml:space="preserve">Revenue is the result of receipts minus the total of Fixed Costs and Non-Fixed Costs. In farming, information about the combination of production factors and price information is very </w:t>
      </w:r>
      <w:r w:rsidRPr="001F3D8B">
        <w:rPr>
          <w:rStyle w:val="y2iqfc"/>
          <w:rFonts w:ascii="Times New Roman" w:eastAsiaTheme="majorEastAsia" w:hAnsi="Times New Roman" w:cs="Times New Roman"/>
          <w:sz w:val="22"/>
          <w:szCs w:val="22"/>
          <w:lang w:val="en"/>
        </w:rPr>
        <w:lastRenderedPageBreak/>
        <w:t>necessary to anticipate existing</w:t>
      </w:r>
      <w:r>
        <w:rPr>
          <w:rStyle w:val="y2iqfc"/>
          <w:rFonts w:eastAsiaTheme="majorEastAsia"/>
          <w:lang w:val="en"/>
        </w:rPr>
        <w:t xml:space="preserve"> </w:t>
      </w:r>
      <w:r w:rsidRPr="001F3D8B">
        <w:rPr>
          <w:rStyle w:val="y2iqfc"/>
          <w:rFonts w:ascii="Times New Roman" w:eastAsiaTheme="majorEastAsia" w:hAnsi="Times New Roman" w:cs="Times New Roman"/>
          <w:sz w:val="22"/>
          <w:szCs w:val="22"/>
          <w:lang w:val="en"/>
        </w:rPr>
        <w:t xml:space="preserve">changes. The results of the mustard farming income analysis can be seen in the following </w:t>
      </w:r>
      <w:r w:rsidR="00A740CC">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able</w:t>
      </w:r>
      <w:r>
        <w:rPr>
          <w:rStyle w:val="y2iqfc"/>
          <w:rFonts w:ascii="Times New Roman" w:eastAsiaTheme="majorEastAsia" w:hAnsi="Times New Roman" w:cs="Times New Roman"/>
          <w:sz w:val="22"/>
          <w:szCs w:val="22"/>
          <w:lang w:val="en"/>
        </w:rPr>
        <w:t xml:space="preserve"> 8 below :</w:t>
      </w:r>
    </w:p>
    <w:p w14:paraId="6AAA7A8C" w14:textId="77777777" w:rsidR="001F3D8B" w:rsidRDefault="001F3D8B" w:rsidP="001F3D8B">
      <w:pPr>
        <w:pStyle w:val="HTMLPreformatted"/>
        <w:jc w:val="both"/>
        <w:rPr>
          <w:rStyle w:val="y2iqfc"/>
          <w:rFonts w:eastAsiaTheme="majorEastAsia"/>
          <w:lang w:val="en"/>
        </w:rPr>
      </w:pPr>
    </w:p>
    <w:p w14:paraId="7CEBA691" w14:textId="2CA561F1" w:rsidR="001F3D8B" w:rsidRPr="00A740CC" w:rsidRDefault="001F3D8B" w:rsidP="001F3D8B">
      <w:pPr>
        <w:pStyle w:val="HTMLPreformatted"/>
        <w:rPr>
          <w:rFonts w:ascii="Times New Roman" w:hAnsi="Times New Roman" w:cs="Times New Roman"/>
          <w:sz w:val="22"/>
          <w:szCs w:val="22"/>
        </w:rPr>
      </w:pPr>
      <w:r w:rsidRPr="00A740CC">
        <w:rPr>
          <w:rStyle w:val="y2iqfc"/>
          <w:rFonts w:ascii="Times New Roman" w:eastAsiaTheme="majorEastAsia" w:hAnsi="Times New Roman" w:cs="Times New Roman"/>
          <w:sz w:val="22"/>
          <w:szCs w:val="22"/>
          <w:lang w:val="en"/>
        </w:rPr>
        <w:t xml:space="preserve">Table 8. Analysis of </w:t>
      </w:r>
      <w:r w:rsidR="00A740CC">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mustard farming income in Bukit Biru Village</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450"/>
        <w:gridCol w:w="2693"/>
      </w:tblGrid>
      <w:tr w:rsidR="001F3D8B" w:rsidRPr="00E817CB" w14:paraId="0DBF0F0A" w14:textId="77777777" w:rsidTr="008746A0">
        <w:tc>
          <w:tcPr>
            <w:tcW w:w="496" w:type="dxa"/>
            <w:tcBorders>
              <w:bottom w:val="single" w:sz="4" w:space="0" w:color="auto"/>
            </w:tcBorders>
          </w:tcPr>
          <w:p w14:paraId="776202A8" w14:textId="77777777" w:rsidR="001F3D8B" w:rsidRPr="00605A08" w:rsidRDefault="001F3D8B" w:rsidP="008746A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6450" w:type="dxa"/>
            <w:tcBorders>
              <w:bottom w:val="single" w:sz="4" w:space="0" w:color="auto"/>
            </w:tcBorders>
          </w:tcPr>
          <w:p w14:paraId="060CDC26" w14:textId="26960E8A" w:rsidR="001F3D8B" w:rsidRPr="00605A08" w:rsidRDefault="00605A08" w:rsidP="00605A08">
            <w:pPr>
              <w:pStyle w:val="HTMLPreformatted"/>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Description</w:t>
            </w:r>
          </w:p>
        </w:tc>
        <w:tc>
          <w:tcPr>
            <w:tcW w:w="2693" w:type="dxa"/>
            <w:tcBorders>
              <w:bottom w:val="single" w:sz="4" w:space="0" w:color="auto"/>
            </w:tcBorders>
          </w:tcPr>
          <w:p w14:paraId="36664DAF" w14:textId="2432EC9E" w:rsidR="001F3D8B"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Value</w:t>
            </w:r>
            <w:r w:rsidR="001F3D8B" w:rsidRPr="00605A08">
              <w:rPr>
                <w:rFonts w:ascii="Times New Roman" w:eastAsia="SimSun" w:hAnsi="Times New Roman" w:cs="Times New Roman"/>
                <w:color w:val="000000" w:themeColor="text1"/>
                <w:sz w:val="22"/>
                <w:szCs w:val="22"/>
              </w:rPr>
              <w:t xml:space="preserve"> (</w:t>
            </w:r>
            <w:r w:rsidRPr="00605A08">
              <w:rPr>
                <w:rFonts w:ascii="Times New Roman" w:eastAsia="SimSun" w:hAnsi="Times New Roman" w:cs="Times New Roman"/>
                <w:color w:val="000000" w:themeColor="text1"/>
                <w:sz w:val="22"/>
                <w:szCs w:val="22"/>
              </w:rPr>
              <w:t>IDR</w:t>
            </w:r>
            <w:r w:rsidR="001F3D8B" w:rsidRPr="00605A08">
              <w:rPr>
                <w:rFonts w:ascii="Times New Roman" w:eastAsia="SimSun" w:hAnsi="Times New Roman" w:cs="Times New Roman"/>
                <w:color w:val="000000" w:themeColor="text1"/>
                <w:sz w:val="22"/>
                <w:szCs w:val="22"/>
              </w:rPr>
              <w:t>)</w:t>
            </w:r>
          </w:p>
        </w:tc>
      </w:tr>
      <w:tr w:rsidR="00605A08" w:rsidRPr="00E817CB" w14:paraId="51898927" w14:textId="77777777" w:rsidTr="008746A0">
        <w:tc>
          <w:tcPr>
            <w:tcW w:w="496" w:type="dxa"/>
            <w:tcBorders>
              <w:top w:val="single" w:sz="4" w:space="0" w:color="auto"/>
              <w:bottom w:val="nil"/>
            </w:tcBorders>
          </w:tcPr>
          <w:p w14:paraId="75B0ABA6"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6450" w:type="dxa"/>
            <w:tcBorders>
              <w:top w:val="single" w:sz="4" w:space="0" w:color="auto"/>
              <w:bottom w:val="nil"/>
            </w:tcBorders>
          </w:tcPr>
          <w:p w14:paraId="15B60847" w14:textId="37D43DC8"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revenue</w:t>
            </w:r>
          </w:p>
        </w:tc>
        <w:tc>
          <w:tcPr>
            <w:tcW w:w="2693" w:type="dxa"/>
            <w:tcBorders>
              <w:top w:val="single" w:sz="4" w:space="0" w:color="auto"/>
              <w:bottom w:val="nil"/>
            </w:tcBorders>
          </w:tcPr>
          <w:p w14:paraId="036840C5" w14:textId="77777777" w:rsidR="00605A08" w:rsidRPr="00605A08" w:rsidRDefault="00605A08" w:rsidP="00605A08">
            <w:pPr>
              <w:jc w:val="center"/>
              <w:rPr>
                <w:rFonts w:ascii="Times New Roman" w:hAnsi="Times New Roman" w:cs="Times New Roman"/>
                <w:color w:val="000000"/>
                <w:sz w:val="22"/>
                <w:szCs w:val="22"/>
                <w:lang w:eastAsia="en-US"/>
              </w:rPr>
            </w:pPr>
            <w:r w:rsidRPr="00605A08">
              <w:rPr>
                <w:rFonts w:ascii="Times New Roman" w:hAnsi="Times New Roman" w:cs="Times New Roman"/>
                <w:color w:val="000000"/>
                <w:sz w:val="22"/>
                <w:szCs w:val="22"/>
              </w:rPr>
              <w:t>3.951.111</w:t>
            </w:r>
          </w:p>
        </w:tc>
      </w:tr>
      <w:tr w:rsidR="00605A08" w:rsidRPr="00E817CB" w14:paraId="41386E16" w14:textId="77777777" w:rsidTr="008746A0">
        <w:tc>
          <w:tcPr>
            <w:tcW w:w="496" w:type="dxa"/>
            <w:tcBorders>
              <w:top w:val="nil"/>
              <w:bottom w:val="single" w:sz="4" w:space="0" w:color="auto"/>
            </w:tcBorders>
          </w:tcPr>
          <w:p w14:paraId="245F70DD"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6450" w:type="dxa"/>
            <w:tcBorders>
              <w:top w:val="nil"/>
              <w:bottom w:val="single" w:sz="4" w:space="0" w:color="auto"/>
            </w:tcBorders>
          </w:tcPr>
          <w:p w14:paraId="7C79A400" w14:textId="7FA62D4A"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production costs</w:t>
            </w:r>
          </w:p>
        </w:tc>
        <w:tc>
          <w:tcPr>
            <w:tcW w:w="2693" w:type="dxa"/>
            <w:tcBorders>
              <w:top w:val="nil"/>
              <w:bottom w:val="single" w:sz="4" w:space="0" w:color="auto"/>
            </w:tcBorders>
          </w:tcPr>
          <w:p w14:paraId="61958C68" w14:textId="77777777"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1.186.947</w:t>
            </w:r>
          </w:p>
        </w:tc>
      </w:tr>
      <w:tr w:rsidR="001F3D8B" w:rsidRPr="00E817CB" w14:paraId="4C880AFA" w14:textId="77777777" w:rsidTr="008746A0">
        <w:trPr>
          <w:trHeight w:val="206"/>
        </w:trPr>
        <w:tc>
          <w:tcPr>
            <w:tcW w:w="6946" w:type="dxa"/>
            <w:gridSpan w:val="2"/>
            <w:tcBorders>
              <w:top w:val="single" w:sz="4" w:space="0" w:color="auto"/>
            </w:tcBorders>
          </w:tcPr>
          <w:p w14:paraId="2CE428F2" w14:textId="28485564" w:rsidR="001F3D8B" w:rsidRPr="00605A08" w:rsidRDefault="00605A08" w:rsidP="008746A0">
            <w:pPr>
              <w:tabs>
                <w:tab w:val="left" w:pos="425"/>
              </w:tabs>
              <w:rPr>
                <w:rFonts w:ascii="Times New Roman" w:eastAsia="SimSun" w:hAnsi="Times New Roman" w:cs="Times New Roman"/>
                <w:color w:val="000000" w:themeColor="text1"/>
                <w:sz w:val="22"/>
                <w:szCs w:val="22"/>
              </w:rPr>
            </w:pPr>
            <w:r>
              <w:rPr>
                <w:rFonts w:ascii="Times New Roman" w:eastAsia="SimSun" w:hAnsi="Times New Roman" w:cs="Times New Roman"/>
                <w:color w:val="000000" w:themeColor="text1"/>
                <w:sz w:val="22"/>
                <w:szCs w:val="22"/>
              </w:rPr>
              <w:t>Average Income</w:t>
            </w:r>
          </w:p>
        </w:tc>
        <w:tc>
          <w:tcPr>
            <w:tcW w:w="2693" w:type="dxa"/>
            <w:tcBorders>
              <w:top w:val="single" w:sz="4" w:space="0" w:color="auto"/>
            </w:tcBorders>
          </w:tcPr>
          <w:p w14:paraId="4803956B" w14:textId="77777777" w:rsidR="001F3D8B" w:rsidRPr="00605A08" w:rsidRDefault="001F3D8B"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2.764.164</w:t>
            </w:r>
          </w:p>
        </w:tc>
      </w:tr>
    </w:tbl>
    <w:p w14:paraId="659FC177" w14:textId="752D9216"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0191C4B0" w14:textId="05CA1BA2" w:rsidR="001F3D8B" w:rsidRDefault="00C16067"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w:t>
      </w:r>
    </w:p>
    <w:p w14:paraId="215FD17F" w14:textId="3592D28B"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Based on Table </w:t>
      </w:r>
      <w:r>
        <w:rPr>
          <w:rStyle w:val="y2iqfc"/>
          <w:rFonts w:ascii="Times New Roman" w:eastAsiaTheme="majorEastAsia" w:hAnsi="Times New Roman" w:cs="Times New Roman"/>
          <w:sz w:val="22"/>
          <w:szCs w:val="22"/>
          <w:lang w:val="en"/>
        </w:rPr>
        <w:t>8</w:t>
      </w:r>
      <w:r w:rsidRPr="001F3D8B">
        <w:rPr>
          <w:rStyle w:val="y2iqfc"/>
          <w:rFonts w:ascii="Times New Roman" w:eastAsiaTheme="majorEastAsia" w:hAnsi="Times New Roman" w:cs="Times New Roman"/>
          <w:sz w:val="22"/>
          <w:szCs w:val="22"/>
          <w:lang w:val="en"/>
        </w:rPr>
        <w:t xml:space="preserve"> above, shows that the total average income is IDR 83</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951</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111, and the total costs incurred are IDR 1</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186</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947. So, the total average income is reduced by the total average costs to obtain an average income of IDR 2</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764</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164. Therefore, it can be concluded that the income for each farmer in Bukit Biru Village for one planting season is </w:t>
      </w:r>
      <w:proofErr w:type="gramStart"/>
      <w:r w:rsidRPr="001F3D8B">
        <w:rPr>
          <w:rStyle w:val="y2iqfc"/>
          <w:rFonts w:ascii="Times New Roman" w:eastAsiaTheme="majorEastAsia" w:hAnsi="Times New Roman" w:cs="Times New Roman"/>
          <w:sz w:val="22"/>
          <w:szCs w:val="22"/>
          <w:lang w:val="en"/>
        </w:rPr>
        <w:t>IDR  2</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764</w:t>
      </w:r>
      <w:r w:rsidR="00C16067">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164.</w:t>
      </w:r>
      <w:proofErr w:type="gramEnd"/>
    </w:p>
    <w:p w14:paraId="22F99AD2"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73F4CA8D" w14:textId="70D98A5C"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 xml:space="preserve">6. R/C Ratio Analysis of </w:t>
      </w:r>
      <w:r>
        <w:rPr>
          <w:rStyle w:val="y2iqfc"/>
          <w:rFonts w:ascii="Times New Roman" w:eastAsiaTheme="majorEastAsia" w:hAnsi="Times New Roman" w:cs="Times New Roman"/>
          <w:sz w:val="22"/>
          <w:szCs w:val="22"/>
          <w:lang w:val="en"/>
        </w:rPr>
        <w:t xml:space="preserve">Green </w:t>
      </w:r>
      <w:r w:rsidRPr="001F3D8B">
        <w:rPr>
          <w:rStyle w:val="y2iqfc"/>
          <w:rFonts w:ascii="Times New Roman" w:eastAsiaTheme="majorEastAsia" w:hAnsi="Times New Roman" w:cs="Times New Roman"/>
          <w:sz w:val="22"/>
          <w:szCs w:val="22"/>
          <w:lang w:val="en"/>
        </w:rPr>
        <w:t>Mustard Farming</w:t>
      </w:r>
    </w:p>
    <w:p w14:paraId="110B8620" w14:textId="502CD7BA"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 xml:space="preserve">To see the level of economic profit from </w:t>
      </w:r>
      <w:r>
        <w:rPr>
          <w:rStyle w:val="y2iqfc"/>
          <w:rFonts w:ascii="Times New Roman" w:eastAsiaTheme="majorEastAsia" w:hAnsi="Times New Roman" w:cs="Times New Roman"/>
          <w:sz w:val="22"/>
          <w:szCs w:val="22"/>
          <w:lang w:val="en"/>
        </w:rPr>
        <w:t xml:space="preserve">green </w:t>
      </w:r>
      <w:r w:rsidRPr="001F3D8B">
        <w:rPr>
          <w:rStyle w:val="y2iqfc"/>
          <w:rFonts w:ascii="Times New Roman" w:eastAsiaTheme="majorEastAsia" w:hAnsi="Times New Roman" w:cs="Times New Roman"/>
          <w:sz w:val="22"/>
          <w:szCs w:val="22"/>
          <w:lang w:val="en"/>
        </w:rPr>
        <w:t xml:space="preserve">mustard  farming in Bukit Biru Village, you can find out using Return Cost Ratio analysis. R/C analysis is a comparison between revenue and costs. The results of the R/C Ratio analysis of mustard greens farming can be seen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9</w:t>
      </w:r>
      <w:r w:rsidRPr="001F3D8B">
        <w:rPr>
          <w:rStyle w:val="y2iqfc"/>
          <w:rFonts w:ascii="Times New Roman" w:eastAsiaTheme="majorEastAsia" w:hAnsi="Times New Roman" w:cs="Times New Roman"/>
          <w:sz w:val="22"/>
          <w:szCs w:val="22"/>
          <w:lang w:val="en"/>
        </w:rPr>
        <w:t>.</w:t>
      </w:r>
    </w:p>
    <w:p w14:paraId="022539B1" w14:textId="5477972F" w:rsidR="001F3D8B" w:rsidRPr="001F3D8B" w:rsidRDefault="001F3D8B" w:rsidP="001F3D8B">
      <w:pPr>
        <w:pStyle w:val="HTMLPreformatted"/>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9</w:t>
      </w:r>
      <w:r w:rsidRPr="001F3D8B">
        <w:rPr>
          <w:rStyle w:val="y2iqfc"/>
          <w:rFonts w:ascii="Times New Roman" w:eastAsiaTheme="majorEastAsia" w:hAnsi="Times New Roman" w:cs="Times New Roman"/>
          <w:sz w:val="22"/>
          <w:szCs w:val="22"/>
          <w:lang w:val="en"/>
        </w:rPr>
        <w:t>. R/C Ratio of Mustard Farmers Association,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5458"/>
        <w:gridCol w:w="3680"/>
      </w:tblGrid>
      <w:tr w:rsidR="00605A08" w:rsidRPr="00E817CB" w14:paraId="6708D061" w14:textId="77777777" w:rsidTr="00605A08">
        <w:trPr>
          <w:trHeight w:val="399"/>
        </w:trPr>
        <w:tc>
          <w:tcPr>
            <w:tcW w:w="496" w:type="dxa"/>
            <w:tcBorders>
              <w:bottom w:val="single" w:sz="4" w:space="0" w:color="auto"/>
            </w:tcBorders>
          </w:tcPr>
          <w:p w14:paraId="643B693A" w14:textId="77777777" w:rsidR="00605A08" w:rsidRPr="00E817CB" w:rsidRDefault="00605A08" w:rsidP="00605A08">
            <w:pPr>
              <w:tabs>
                <w:tab w:val="left" w:pos="425"/>
              </w:tabs>
              <w:jc w:val="right"/>
              <w:rPr>
                <w:rFonts w:ascii="Times New Roman" w:eastAsia="SimSun" w:hAnsi="Times New Roman" w:cs="Times New Roman"/>
                <w:b/>
                <w:bCs/>
                <w:color w:val="000000" w:themeColor="text1"/>
                <w:sz w:val="22"/>
                <w:szCs w:val="22"/>
              </w:rPr>
            </w:pPr>
            <w:r w:rsidRPr="00E817CB">
              <w:rPr>
                <w:rFonts w:ascii="Times New Roman" w:eastAsia="SimSun" w:hAnsi="Times New Roman" w:cs="Times New Roman"/>
                <w:b/>
                <w:bCs/>
                <w:color w:val="000000" w:themeColor="text1"/>
                <w:sz w:val="22"/>
                <w:szCs w:val="22"/>
              </w:rPr>
              <w:t>No</w:t>
            </w:r>
          </w:p>
        </w:tc>
        <w:tc>
          <w:tcPr>
            <w:tcW w:w="5458" w:type="dxa"/>
            <w:tcBorders>
              <w:bottom w:val="single" w:sz="4" w:space="0" w:color="auto"/>
            </w:tcBorders>
          </w:tcPr>
          <w:p w14:paraId="5640B501" w14:textId="7BC94503" w:rsidR="00605A08" w:rsidRPr="00E817CB" w:rsidRDefault="00605A08" w:rsidP="00605A08">
            <w:pPr>
              <w:tabs>
                <w:tab w:val="left" w:pos="425"/>
              </w:tabs>
              <w:jc w:val="left"/>
              <w:rPr>
                <w:rFonts w:ascii="Times New Roman" w:eastAsia="SimSun" w:hAnsi="Times New Roman" w:cs="Times New Roman"/>
                <w:b/>
                <w:bCs/>
                <w:color w:val="000000" w:themeColor="text1"/>
                <w:sz w:val="22"/>
                <w:szCs w:val="22"/>
              </w:rPr>
            </w:pPr>
            <w:r w:rsidRPr="00605A08">
              <w:rPr>
                <w:rStyle w:val="y2iqfc"/>
                <w:rFonts w:ascii="Times New Roman" w:hAnsi="Times New Roman" w:cs="Times New Roman"/>
                <w:sz w:val="22"/>
                <w:szCs w:val="22"/>
                <w:lang w:val="en"/>
              </w:rPr>
              <w:t>Description</w:t>
            </w:r>
          </w:p>
        </w:tc>
        <w:tc>
          <w:tcPr>
            <w:tcW w:w="3680" w:type="dxa"/>
            <w:tcBorders>
              <w:bottom w:val="single" w:sz="4" w:space="0" w:color="auto"/>
            </w:tcBorders>
          </w:tcPr>
          <w:p w14:paraId="0B6CC687" w14:textId="3044972B" w:rsidR="00605A08" w:rsidRPr="00E817CB" w:rsidRDefault="00605A08" w:rsidP="00605A08">
            <w:pPr>
              <w:tabs>
                <w:tab w:val="left" w:pos="425"/>
              </w:tabs>
              <w:jc w:val="center"/>
              <w:rPr>
                <w:rFonts w:ascii="Times New Roman" w:eastAsia="SimSun" w:hAnsi="Times New Roman" w:cs="Times New Roman"/>
                <w:b/>
                <w:bCs/>
                <w:color w:val="000000" w:themeColor="text1"/>
                <w:sz w:val="22"/>
                <w:szCs w:val="22"/>
              </w:rPr>
            </w:pPr>
            <w:r w:rsidRPr="00605A08">
              <w:rPr>
                <w:rFonts w:ascii="Times New Roman" w:eastAsia="SimSun" w:hAnsi="Times New Roman" w:cs="Times New Roman"/>
                <w:color w:val="000000" w:themeColor="text1"/>
                <w:sz w:val="22"/>
                <w:szCs w:val="22"/>
              </w:rPr>
              <w:t>Value (IDR)</w:t>
            </w:r>
          </w:p>
        </w:tc>
      </w:tr>
      <w:tr w:rsidR="00605A08" w:rsidRPr="00E817CB" w14:paraId="68A19080" w14:textId="77777777" w:rsidTr="008746A0">
        <w:tc>
          <w:tcPr>
            <w:tcW w:w="496" w:type="dxa"/>
            <w:tcBorders>
              <w:top w:val="single" w:sz="4" w:space="0" w:color="auto"/>
              <w:bottom w:val="nil"/>
            </w:tcBorders>
          </w:tcPr>
          <w:p w14:paraId="582F00F0" w14:textId="77777777" w:rsidR="00605A08" w:rsidRPr="00E817CB" w:rsidRDefault="00605A08" w:rsidP="00605A08">
            <w:pPr>
              <w:tabs>
                <w:tab w:val="left" w:pos="425"/>
              </w:tabs>
              <w:jc w:val="right"/>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5458" w:type="dxa"/>
            <w:tcBorders>
              <w:top w:val="single" w:sz="4" w:space="0" w:color="auto"/>
              <w:bottom w:val="nil"/>
            </w:tcBorders>
          </w:tcPr>
          <w:p w14:paraId="1E43E004" w14:textId="75A1F448" w:rsidR="00605A08" w:rsidRPr="00E817CB"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revenue</w:t>
            </w:r>
          </w:p>
        </w:tc>
        <w:tc>
          <w:tcPr>
            <w:tcW w:w="3680" w:type="dxa"/>
            <w:tcBorders>
              <w:top w:val="single" w:sz="4" w:space="0" w:color="auto"/>
              <w:bottom w:val="nil"/>
            </w:tcBorders>
          </w:tcPr>
          <w:p w14:paraId="2CF5B15A" w14:textId="77777777" w:rsidR="00605A08" w:rsidRPr="00E817CB" w:rsidRDefault="00605A08" w:rsidP="00605A08">
            <w:pPr>
              <w:tabs>
                <w:tab w:val="left" w:pos="425"/>
              </w:tabs>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3.951.111</w:t>
            </w:r>
          </w:p>
        </w:tc>
      </w:tr>
      <w:tr w:rsidR="00605A08" w:rsidRPr="00E817CB" w14:paraId="0F2140D3" w14:textId="77777777" w:rsidTr="008746A0">
        <w:tc>
          <w:tcPr>
            <w:tcW w:w="496" w:type="dxa"/>
            <w:tcBorders>
              <w:top w:val="nil"/>
              <w:bottom w:val="single" w:sz="4" w:space="0" w:color="auto"/>
            </w:tcBorders>
          </w:tcPr>
          <w:p w14:paraId="1931714B" w14:textId="77777777" w:rsidR="00605A08" w:rsidRPr="00E817CB" w:rsidRDefault="00605A08" w:rsidP="00605A08">
            <w:pPr>
              <w:tabs>
                <w:tab w:val="left" w:pos="425"/>
              </w:tabs>
              <w:jc w:val="right"/>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5458" w:type="dxa"/>
            <w:tcBorders>
              <w:top w:val="nil"/>
              <w:bottom w:val="single" w:sz="4" w:space="0" w:color="auto"/>
            </w:tcBorders>
          </w:tcPr>
          <w:p w14:paraId="18D40837" w14:textId="72A600FF" w:rsidR="00605A08" w:rsidRPr="00E817CB"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production costs</w:t>
            </w:r>
          </w:p>
        </w:tc>
        <w:tc>
          <w:tcPr>
            <w:tcW w:w="3680" w:type="dxa"/>
            <w:tcBorders>
              <w:top w:val="nil"/>
              <w:bottom w:val="single" w:sz="4" w:space="0" w:color="auto"/>
            </w:tcBorders>
          </w:tcPr>
          <w:p w14:paraId="194BE1C7" w14:textId="77777777" w:rsidR="00605A08" w:rsidRPr="00E817CB" w:rsidRDefault="00605A08" w:rsidP="00605A08">
            <w:pPr>
              <w:tabs>
                <w:tab w:val="left" w:pos="425"/>
              </w:tabs>
              <w:jc w:val="center"/>
              <w:rPr>
                <w:rFonts w:ascii="Times New Roman" w:eastAsia="SimSun" w:hAnsi="Times New Roman" w:cs="Times New Roman"/>
                <w:color w:val="000000" w:themeColor="text1"/>
                <w:sz w:val="22"/>
                <w:szCs w:val="22"/>
              </w:rPr>
            </w:pPr>
            <w:r w:rsidRPr="00E817CB">
              <w:rPr>
                <w:rFonts w:ascii="Times New Roman" w:eastAsia="SimSun" w:hAnsi="Times New Roman" w:cs="Times New Roman"/>
                <w:bCs/>
                <w:color w:val="000000" w:themeColor="text1"/>
                <w:sz w:val="22"/>
                <w:szCs w:val="22"/>
              </w:rPr>
              <w:t>1.186.947</w:t>
            </w:r>
          </w:p>
        </w:tc>
      </w:tr>
      <w:tr w:rsidR="001F3D8B" w:rsidRPr="00E817CB" w14:paraId="0C9C4C2E" w14:textId="77777777" w:rsidTr="008746A0">
        <w:tc>
          <w:tcPr>
            <w:tcW w:w="5954" w:type="dxa"/>
            <w:gridSpan w:val="2"/>
            <w:tcBorders>
              <w:top w:val="single" w:sz="4" w:space="0" w:color="auto"/>
            </w:tcBorders>
          </w:tcPr>
          <w:p w14:paraId="09C0949B" w14:textId="77777777" w:rsidR="001F3D8B" w:rsidRPr="00605A08" w:rsidRDefault="001F3D8B" w:rsidP="008746A0">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 xml:space="preserve">R/C </w:t>
            </w:r>
            <w:r w:rsidRPr="00605A08">
              <w:rPr>
                <w:rFonts w:ascii="Times New Roman" w:eastAsia="SimSun" w:hAnsi="Times New Roman" w:cs="Times New Roman"/>
                <w:i/>
                <w:iCs/>
                <w:color w:val="000000" w:themeColor="text1"/>
                <w:sz w:val="22"/>
                <w:szCs w:val="22"/>
              </w:rPr>
              <w:t>Ratio</w:t>
            </w:r>
          </w:p>
        </w:tc>
        <w:tc>
          <w:tcPr>
            <w:tcW w:w="3680" w:type="dxa"/>
            <w:tcBorders>
              <w:top w:val="single" w:sz="4" w:space="0" w:color="auto"/>
            </w:tcBorders>
          </w:tcPr>
          <w:p w14:paraId="3C11A965" w14:textId="77777777" w:rsidR="001F3D8B" w:rsidRPr="00E817CB" w:rsidRDefault="001F3D8B" w:rsidP="00605A08">
            <w:pPr>
              <w:tabs>
                <w:tab w:val="left" w:pos="425"/>
              </w:tabs>
              <w:jc w:val="center"/>
              <w:rPr>
                <w:rFonts w:ascii="Times New Roman" w:eastAsia="SimSun" w:hAnsi="Times New Roman" w:cs="Times New Roman"/>
                <w:b/>
                <w:bCs/>
                <w:color w:val="000000" w:themeColor="text1"/>
                <w:sz w:val="22"/>
                <w:szCs w:val="22"/>
              </w:rPr>
            </w:pPr>
            <w:r>
              <w:rPr>
                <w:rFonts w:ascii="Times New Roman" w:eastAsia="SimSun" w:hAnsi="Times New Roman" w:cs="Times New Roman"/>
                <w:b/>
                <w:bCs/>
                <w:color w:val="000000" w:themeColor="text1"/>
                <w:sz w:val="22"/>
                <w:szCs w:val="22"/>
              </w:rPr>
              <w:t>3,33</w:t>
            </w:r>
          </w:p>
        </w:tc>
      </w:tr>
    </w:tbl>
    <w:p w14:paraId="398C4DC0" w14:textId="77777777"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2024</w:t>
      </w:r>
    </w:p>
    <w:p w14:paraId="214CEA7F" w14:textId="77777777" w:rsidR="007D5852" w:rsidRDefault="001F3D8B" w:rsidP="007D5852">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r>
    </w:p>
    <w:p w14:paraId="75E44E84" w14:textId="76D7FA04" w:rsidR="007D5852" w:rsidRDefault="001F3D8B" w:rsidP="007D5852">
      <w:pPr>
        <w:pStyle w:val="HTMLPreformatted"/>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 xml:space="preserve">Based on the R/C of the vegetable farmers' association per season (1.5 months), research results in Bukit Biru Village obtained an R/C value of 3.33, meaning that every expenditure of IDR 1 can provide income of IDR 3.33 with the R/C result being 3.33 &gt; 1. This shows that </w:t>
      </w:r>
      <w:r w:rsidR="00605A08">
        <w:rPr>
          <w:rStyle w:val="y2iqfc"/>
          <w:rFonts w:ascii="Times New Roman" w:eastAsiaTheme="majorEastAsia" w:hAnsi="Times New Roman" w:cs="Times New Roman"/>
          <w:sz w:val="22"/>
          <w:szCs w:val="22"/>
          <w:lang w:val="en"/>
        </w:rPr>
        <w:t xml:space="preserve">green </w:t>
      </w:r>
      <w:r w:rsidRPr="007D5852">
        <w:rPr>
          <w:rStyle w:val="y2iqfc"/>
          <w:rFonts w:ascii="Times New Roman" w:eastAsiaTheme="majorEastAsia" w:hAnsi="Times New Roman" w:cs="Times New Roman"/>
          <w:sz w:val="22"/>
          <w:szCs w:val="22"/>
          <w:lang w:val="en"/>
        </w:rPr>
        <w:t>mustard farming in Bukit Biru Village is profitable and worth pursuing.</w:t>
      </w:r>
      <w:r w:rsidR="007D5852">
        <w:rPr>
          <w:rFonts w:ascii="Times New Roman" w:hAnsi="Times New Roman" w:cs="Times New Roman"/>
          <w:sz w:val="22"/>
          <w:szCs w:val="22"/>
        </w:rPr>
        <w:t xml:space="preserve">  </w:t>
      </w:r>
      <w:r w:rsidR="00A740CC" w:rsidRPr="007D5852">
        <w:rPr>
          <w:rStyle w:val="y2iqfc"/>
          <w:rFonts w:ascii="Times New Roman" w:eastAsiaTheme="majorEastAsia" w:hAnsi="Times New Roman" w:cs="Times New Roman"/>
          <w:sz w:val="22"/>
          <w:szCs w:val="22"/>
          <w:lang w:val="en"/>
        </w:rPr>
        <w:t xml:space="preserve">Green mustard farming in Bukit Biru Subdistrict is profitable so that it can increase farmers' income and the level of welfare of farmers' lives will increase. The same thing is done in research </w:t>
      </w:r>
      <w:r w:rsidR="00605A08" w:rsidRPr="007D5852">
        <w:rPr>
          <w:rStyle w:val="y2iqfc"/>
          <w:rFonts w:ascii="Times New Roman" w:eastAsiaTheme="majorEastAsia" w:hAnsi="Times New Roman" w:cs="Times New Roman"/>
          <w:sz w:val="22"/>
          <w:szCs w:val="22"/>
          <w:lang w:val="en"/>
        </w:rPr>
        <w:t>analysis of pakcoy mustard farming</w:t>
      </w:r>
      <w:r w:rsidR="00A740CC" w:rsidRPr="007D5852">
        <w:rPr>
          <w:rStyle w:val="y2iqfc"/>
          <w:rFonts w:ascii="Times New Roman" w:eastAsiaTheme="majorEastAsia" w:hAnsi="Times New Roman" w:cs="Times New Roman"/>
          <w:sz w:val="22"/>
          <w:szCs w:val="22"/>
          <w:lang w:val="en"/>
        </w:rPr>
        <w:t xml:space="preserve"> (</w:t>
      </w:r>
      <w:r w:rsidR="00A740CC" w:rsidRPr="007D5852">
        <w:rPr>
          <w:rStyle w:val="y2iqfc"/>
          <w:rFonts w:ascii="Times New Roman" w:eastAsiaTheme="majorEastAsia" w:hAnsi="Times New Roman" w:cs="Times New Roman"/>
          <w:i/>
          <w:iCs/>
          <w:sz w:val="22"/>
          <w:szCs w:val="22"/>
          <w:lang w:val="en"/>
        </w:rPr>
        <w:t>Brassica rapa</w:t>
      </w:r>
      <w:r w:rsidR="00A740CC" w:rsidRPr="007D5852">
        <w:rPr>
          <w:rStyle w:val="y2iqfc"/>
          <w:rFonts w:ascii="Times New Roman" w:eastAsiaTheme="majorEastAsia" w:hAnsi="Times New Roman" w:cs="Times New Roman"/>
          <w:sz w:val="22"/>
          <w:szCs w:val="22"/>
          <w:lang w:val="en"/>
        </w:rPr>
        <w:t xml:space="preserve"> L.) in Medan Deli District, North Sumatra where the results of the research stated that pakcoy farmers were able to improve the economy, farmers were able to improve their living needs, farmers were also able to send their children to school until they graduated from high school and even to college. Pakcoy mustard farming has had a positive impact on his family's livelihood. In cultivating pakchoy mustard, production sometimes experiences a decline and relatively fluctuating prices, making farmers in Medan Deli District have to be wise in managing their finances as best as possible [1</w:t>
      </w:r>
      <w:r w:rsidR="00AF6AC8">
        <w:rPr>
          <w:rStyle w:val="y2iqfc"/>
          <w:rFonts w:ascii="Times New Roman" w:eastAsiaTheme="majorEastAsia" w:hAnsi="Times New Roman" w:cs="Times New Roman"/>
          <w:sz w:val="22"/>
          <w:szCs w:val="22"/>
          <w:lang w:val="en"/>
        </w:rPr>
        <w:t>1</w:t>
      </w:r>
      <w:r w:rsidR="00A740CC" w:rsidRPr="007D5852">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  The results of other research reported by [1</w:t>
      </w:r>
      <w:r w:rsidR="00C11179">
        <w:rPr>
          <w:rStyle w:val="y2iqfc"/>
          <w:rFonts w:ascii="Times New Roman" w:eastAsiaTheme="majorEastAsia" w:hAnsi="Times New Roman" w:cs="Times New Roman"/>
          <w:sz w:val="22"/>
          <w:szCs w:val="22"/>
          <w:lang w:val="en"/>
        </w:rPr>
        <w:t>0</w:t>
      </w:r>
      <w:r w:rsidR="007D5852" w:rsidRPr="007D5852">
        <w:rPr>
          <w:rStyle w:val="y2iqfc"/>
          <w:rFonts w:ascii="Times New Roman" w:eastAsiaTheme="majorEastAsia" w:hAnsi="Times New Roman" w:cs="Times New Roman"/>
          <w:sz w:val="22"/>
          <w:szCs w:val="22"/>
          <w:lang w:val="en"/>
        </w:rPr>
        <w:t>] show that the total income of spoon mustard greens farmers in this business is an average of IDR 1</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381</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818. The total income of pakchoy spoon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mustard farmers averages IDR 772</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077 and the results of the R/C ratio analysis in one harvest show that pakchoy spoon mustard farming is profitable for farmers so it can be continued and developed.  The results of research [1</w:t>
      </w:r>
      <w:r w:rsidR="00AF6AC8">
        <w:rPr>
          <w:rStyle w:val="y2iqfc"/>
          <w:rFonts w:ascii="Times New Roman" w:eastAsiaTheme="majorEastAsia" w:hAnsi="Times New Roman" w:cs="Times New Roman"/>
          <w:sz w:val="22"/>
          <w:szCs w:val="22"/>
          <w:lang w:val="en"/>
        </w:rPr>
        <w:t>2</w:t>
      </w:r>
      <w:r w:rsidR="007D5852" w:rsidRPr="007D5852">
        <w:rPr>
          <w:rStyle w:val="y2iqfc"/>
          <w:rFonts w:ascii="Times New Roman" w:eastAsiaTheme="majorEastAsia" w:hAnsi="Times New Roman" w:cs="Times New Roman"/>
          <w:sz w:val="22"/>
          <w:szCs w:val="22"/>
          <w:lang w:val="en"/>
        </w:rPr>
        <w:t xml:space="preserve">] show that the amount of farming costs is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2</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223</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100, the farming income is </w:t>
      </w:r>
      <w:r w:rsidR="007D5852">
        <w:rPr>
          <w:rStyle w:val="y2iqfc"/>
          <w:rFonts w:ascii="Times New Roman" w:eastAsiaTheme="majorEastAsia" w:hAnsi="Times New Roman" w:cs="Times New Roman"/>
          <w:sz w:val="22"/>
          <w:szCs w:val="22"/>
          <w:lang w:val="en"/>
        </w:rPr>
        <w:t>IDR</w:t>
      </w:r>
      <w:r w:rsidR="00A82F98">
        <w:rPr>
          <w:rStyle w:val="y2iqfc"/>
          <w:rFonts w:ascii="Times New Roman" w:eastAsiaTheme="majorEastAsia" w:hAnsi="Times New Roman" w:cs="Times New Roman"/>
          <w:sz w:val="22"/>
          <w:szCs w:val="22"/>
          <w:lang w:val="en"/>
        </w:rPr>
        <w:t xml:space="preserve"> </w:t>
      </w:r>
      <w:r w:rsidR="007D5852" w:rsidRPr="007D5852">
        <w:rPr>
          <w:rStyle w:val="y2iqfc"/>
          <w:rFonts w:ascii="Times New Roman" w:eastAsiaTheme="majorEastAsia" w:hAnsi="Times New Roman" w:cs="Times New Roman"/>
          <w:sz w:val="22"/>
          <w:szCs w:val="22"/>
          <w:lang w:val="en"/>
        </w:rPr>
        <w:t>8</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350</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000 per hectare in one planting season, the amount of farming income is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6</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126</w:t>
      </w:r>
      <w:r w:rsidR="00C16067">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900 per hectare per one planting season. The R/C of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 xml:space="preserve">mustard farming in Banjar Bangah, Baturiti Village, Tabanan Regency is 3.75%. This means that for every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1.00 spent, the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 xml:space="preserve">mustard farmer will receive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3.75 in income.</w:t>
      </w:r>
    </w:p>
    <w:p w14:paraId="7B932E90" w14:textId="794A89EB" w:rsidR="00EE406C" w:rsidRPr="00EE406C" w:rsidRDefault="00EE406C" w:rsidP="00EE406C">
      <w:pPr>
        <w:pStyle w:val="HTMLPreformatted"/>
        <w:ind w:firstLine="567"/>
        <w:jc w:val="both"/>
        <w:rPr>
          <w:rFonts w:ascii="Times New Roman" w:hAnsi="Times New Roman" w:cs="Times New Roman"/>
          <w:sz w:val="22"/>
          <w:szCs w:val="22"/>
        </w:rPr>
      </w:pPr>
      <w:r w:rsidRPr="00EE406C">
        <w:rPr>
          <w:rStyle w:val="y2iqfc"/>
          <w:rFonts w:ascii="Times New Roman" w:eastAsiaTheme="majorEastAsia" w:hAnsi="Times New Roman" w:cs="Times New Roman"/>
          <w:sz w:val="22"/>
          <w:szCs w:val="22"/>
          <w:highlight w:val="yellow"/>
          <w:lang w:val="en"/>
        </w:rPr>
        <w:t xml:space="preserve">Even though the mustard plant business is quite feasible, there are several efforts that can be made to increase crop productivity and farmer income, namely agricultural intensification and extensification.  Apart from that, it is necessary to pay attention to the obstacles faced in the cultivation of mustard plants, </w:t>
      </w:r>
      <w:r w:rsidRPr="00EE406C">
        <w:rPr>
          <w:rStyle w:val="y2iqfc"/>
          <w:rFonts w:ascii="Times New Roman" w:eastAsiaTheme="majorEastAsia" w:hAnsi="Times New Roman" w:cs="Times New Roman"/>
          <w:sz w:val="22"/>
          <w:szCs w:val="22"/>
          <w:highlight w:val="yellow"/>
          <w:lang w:val="en"/>
        </w:rPr>
        <w:lastRenderedPageBreak/>
        <w:t>namely the low organic matter content of the soil so that it does not support plant growth</w:t>
      </w:r>
      <w:r w:rsidRPr="00EE406C">
        <w:rPr>
          <w:rStyle w:val="y2iqfc"/>
          <w:rFonts w:ascii="Times New Roman" w:eastAsiaTheme="majorEastAsia" w:hAnsi="Times New Roman" w:cs="Times New Roman"/>
          <w:sz w:val="22"/>
          <w:szCs w:val="22"/>
          <w:highlight w:val="yellow"/>
          <w:lang w:val="en"/>
        </w:rPr>
        <w:t xml:space="preserve">, </w:t>
      </w:r>
      <w:r w:rsidRPr="00EE406C">
        <w:rPr>
          <w:rStyle w:val="y2iqfc"/>
          <w:rFonts w:ascii="Times New Roman" w:eastAsiaTheme="majorEastAsia" w:hAnsi="Times New Roman" w:cs="Times New Roman"/>
          <w:sz w:val="22"/>
          <w:szCs w:val="22"/>
          <w:highlight w:val="yellow"/>
          <w:lang w:val="en"/>
        </w:rPr>
        <w:t>occurrence of water stress</w:t>
      </w:r>
      <w:r w:rsidRPr="00EE406C">
        <w:rPr>
          <w:rStyle w:val="y2iqfc"/>
          <w:rFonts w:ascii="Times New Roman" w:eastAsiaTheme="majorEastAsia" w:hAnsi="Times New Roman" w:cs="Times New Roman"/>
          <w:sz w:val="22"/>
          <w:szCs w:val="22"/>
          <w:highlight w:val="yellow"/>
          <w:lang w:val="en"/>
        </w:rPr>
        <w:t xml:space="preserve">, and </w:t>
      </w:r>
      <w:r w:rsidRPr="00EE406C">
        <w:rPr>
          <w:rStyle w:val="y2iqfc"/>
          <w:rFonts w:ascii="Times New Roman" w:eastAsiaTheme="majorEastAsia" w:hAnsi="Times New Roman" w:cs="Times New Roman"/>
          <w:sz w:val="22"/>
          <w:szCs w:val="22"/>
          <w:highlight w:val="yellow"/>
          <w:lang w:val="en"/>
        </w:rPr>
        <w:t>pest and disease attacks.</w:t>
      </w:r>
    </w:p>
    <w:p w14:paraId="586E530E" w14:textId="77777777" w:rsidR="00EE406C" w:rsidRPr="007D5852" w:rsidRDefault="00EE406C" w:rsidP="00EE406C">
      <w:pPr>
        <w:pStyle w:val="HTMLPreformatted"/>
        <w:ind w:firstLine="567"/>
        <w:jc w:val="both"/>
        <w:rPr>
          <w:rStyle w:val="y2iqfc"/>
          <w:rFonts w:ascii="Times New Roman" w:eastAsiaTheme="majorEastAsia" w:hAnsi="Times New Roman" w:cs="Times New Roman"/>
          <w:sz w:val="22"/>
          <w:szCs w:val="22"/>
          <w:lang w:val="en"/>
        </w:rPr>
      </w:pPr>
    </w:p>
    <w:p w14:paraId="53DF5F1F" w14:textId="06741F57" w:rsidR="008F3281" w:rsidRPr="00EE406C" w:rsidRDefault="008F3281" w:rsidP="00EE406C">
      <w:pPr>
        <w:pStyle w:val="HTMLPreformatted"/>
        <w:ind w:firstLine="567"/>
        <w:jc w:val="both"/>
        <w:rPr>
          <w:rStyle w:val="y2iqfc"/>
          <w:rFonts w:ascii="Times New Roman" w:hAnsi="Times New Roman" w:cs="Times New Roman"/>
          <w:sz w:val="22"/>
          <w:szCs w:val="22"/>
        </w:rPr>
      </w:pPr>
    </w:p>
    <w:p w14:paraId="1F13BE56" w14:textId="2B8E1A40" w:rsidR="00A740CC" w:rsidRPr="001B3AC0" w:rsidRDefault="00A740CC" w:rsidP="00A740CC">
      <w:pPr>
        <w:pStyle w:val="HTMLPreformatted"/>
        <w:jc w:val="both"/>
        <w:rPr>
          <w:rStyle w:val="y2iqfc"/>
          <w:rFonts w:ascii="Times New Roman" w:eastAsiaTheme="majorEastAsia" w:hAnsi="Times New Roman" w:cs="Times New Roman"/>
          <w:b/>
          <w:bCs/>
          <w:sz w:val="22"/>
          <w:szCs w:val="22"/>
          <w:lang w:val="en"/>
        </w:rPr>
      </w:pPr>
      <w:r w:rsidRPr="001B3AC0">
        <w:rPr>
          <w:rStyle w:val="y2iqfc"/>
          <w:rFonts w:ascii="Times New Roman" w:eastAsiaTheme="majorEastAsia" w:hAnsi="Times New Roman" w:cs="Times New Roman"/>
          <w:b/>
          <w:bCs/>
          <w:sz w:val="22"/>
          <w:szCs w:val="22"/>
          <w:lang w:val="en"/>
        </w:rPr>
        <w:t>4. CONCLUSIONS AND SUGGESTIONS</w:t>
      </w:r>
    </w:p>
    <w:p w14:paraId="53799DB1" w14:textId="162D354E" w:rsidR="00A740CC" w:rsidRPr="00A740CC" w:rsidRDefault="00A740CC" w:rsidP="00A740CC">
      <w:pPr>
        <w:pStyle w:val="HTMLPreformatted"/>
        <w:jc w:val="both"/>
        <w:rPr>
          <w:rStyle w:val="y2iqfc"/>
          <w:rFonts w:ascii="Times New Roman" w:eastAsiaTheme="majorEastAsia" w:hAnsi="Times New Roman" w:cs="Times New Roman"/>
          <w:sz w:val="22"/>
          <w:szCs w:val="22"/>
          <w:lang w:val="en"/>
        </w:rPr>
      </w:pPr>
      <w:r w:rsidRPr="001B3AC0">
        <w:rPr>
          <w:rStyle w:val="y2iqfc"/>
          <w:rFonts w:ascii="Times New Roman" w:eastAsiaTheme="majorEastAsia" w:hAnsi="Times New Roman" w:cs="Times New Roman"/>
          <w:b/>
          <w:bCs/>
          <w:sz w:val="22"/>
          <w:szCs w:val="22"/>
          <w:lang w:val="en"/>
        </w:rPr>
        <w:t>4.1. Conclusion</w:t>
      </w:r>
    </w:p>
    <w:p w14:paraId="70851DFA" w14:textId="0DA970EA" w:rsidR="00A740CC" w:rsidRPr="00A740CC" w:rsidRDefault="00A740CC" w:rsidP="008F3281">
      <w:pPr>
        <w:pStyle w:val="HTMLPreformatted"/>
        <w:ind w:firstLine="567"/>
        <w:jc w:val="both"/>
        <w:rPr>
          <w:rStyle w:val="y2iqfc"/>
          <w:rFonts w:ascii="Times New Roman" w:eastAsiaTheme="majorEastAsia" w:hAnsi="Times New Roman" w:cs="Times New Roman"/>
          <w:sz w:val="22"/>
          <w:szCs w:val="22"/>
          <w:lang w:val="en"/>
        </w:rPr>
      </w:pPr>
      <w:r w:rsidRPr="008F3281">
        <w:rPr>
          <w:rStyle w:val="y2iqfc"/>
          <w:rFonts w:ascii="Times New Roman" w:eastAsiaTheme="majorEastAsia" w:hAnsi="Times New Roman" w:cs="Times New Roman"/>
          <w:sz w:val="22"/>
          <w:szCs w:val="22"/>
          <w:highlight w:val="yellow"/>
          <w:lang w:val="en"/>
        </w:rPr>
        <w:t xml:space="preserve">Based on the results of research carried out in Bukit Biru Village, Tenggarong Kutai Kartanegara District (Case Study of the Vegetable Farmers Association), the conclusion obtained is </w:t>
      </w:r>
      <w:proofErr w:type="gramStart"/>
      <w:r w:rsidRPr="008F3281">
        <w:rPr>
          <w:rStyle w:val="y2iqfc"/>
          <w:rFonts w:ascii="Times New Roman" w:eastAsiaTheme="majorEastAsia" w:hAnsi="Times New Roman" w:cs="Times New Roman"/>
          <w:sz w:val="22"/>
          <w:szCs w:val="22"/>
          <w:highlight w:val="yellow"/>
          <w:lang w:val="en"/>
        </w:rPr>
        <w:t xml:space="preserve">that </w:t>
      </w:r>
      <w:r w:rsidR="008F3281" w:rsidRPr="008F3281">
        <w:rPr>
          <w:rStyle w:val="y2iqfc"/>
          <w:rFonts w:ascii="Times New Roman" w:eastAsiaTheme="majorEastAsia" w:hAnsi="Times New Roman" w:cs="Times New Roman"/>
          <w:sz w:val="22"/>
          <w:szCs w:val="22"/>
          <w:highlight w:val="yellow"/>
          <w:lang w:val="en"/>
        </w:rPr>
        <w:t xml:space="preserve"> t</w:t>
      </w:r>
      <w:r w:rsidRPr="008F3281">
        <w:rPr>
          <w:rStyle w:val="y2iqfc"/>
          <w:rFonts w:ascii="Times New Roman" w:eastAsiaTheme="majorEastAsia" w:hAnsi="Times New Roman" w:cs="Times New Roman"/>
          <w:sz w:val="22"/>
          <w:szCs w:val="22"/>
          <w:highlight w:val="yellow"/>
          <w:lang w:val="en"/>
        </w:rPr>
        <w:t>he</w:t>
      </w:r>
      <w:proofErr w:type="gramEnd"/>
      <w:r w:rsidRPr="008F3281">
        <w:rPr>
          <w:rStyle w:val="y2iqfc"/>
          <w:rFonts w:ascii="Times New Roman" w:eastAsiaTheme="majorEastAsia" w:hAnsi="Times New Roman" w:cs="Times New Roman"/>
          <w:sz w:val="22"/>
          <w:szCs w:val="22"/>
          <w:highlight w:val="yellow"/>
          <w:lang w:val="en"/>
        </w:rPr>
        <w:t xml:space="preserve"> total production cost for one planting is IDR 1</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186</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947. The income earned by green mustard farmers in Bukit Biru Village is IDR 3</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951</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111 per planting season</w:t>
      </w:r>
      <w:r w:rsidR="008F3281" w:rsidRPr="008F3281">
        <w:rPr>
          <w:rStyle w:val="y2iqfc"/>
          <w:rFonts w:ascii="Times New Roman" w:eastAsiaTheme="majorEastAsia" w:hAnsi="Times New Roman" w:cs="Times New Roman"/>
          <w:sz w:val="22"/>
          <w:szCs w:val="22"/>
          <w:highlight w:val="yellow"/>
          <w:lang w:val="en"/>
        </w:rPr>
        <w:t>; and</w:t>
      </w:r>
      <w:r w:rsidRPr="008F3281">
        <w:rPr>
          <w:rStyle w:val="y2iqfc"/>
          <w:rFonts w:ascii="Times New Roman" w:eastAsiaTheme="majorEastAsia" w:hAnsi="Times New Roman" w:cs="Times New Roman"/>
          <w:sz w:val="22"/>
          <w:szCs w:val="22"/>
          <w:highlight w:val="yellow"/>
          <w:lang w:val="en"/>
        </w:rPr>
        <w:t xml:space="preserve"> </w:t>
      </w:r>
      <w:r w:rsidR="008F3281" w:rsidRPr="008F3281">
        <w:rPr>
          <w:rStyle w:val="y2iqfc"/>
          <w:rFonts w:ascii="Times New Roman" w:eastAsiaTheme="majorEastAsia" w:hAnsi="Times New Roman" w:cs="Times New Roman"/>
          <w:sz w:val="22"/>
          <w:szCs w:val="22"/>
          <w:highlight w:val="yellow"/>
          <w:lang w:val="en"/>
        </w:rPr>
        <w:t>t</w:t>
      </w:r>
      <w:r w:rsidRPr="008F3281">
        <w:rPr>
          <w:rStyle w:val="y2iqfc"/>
          <w:rFonts w:ascii="Times New Roman" w:eastAsiaTheme="majorEastAsia" w:hAnsi="Times New Roman" w:cs="Times New Roman"/>
          <w:sz w:val="22"/>
          <w:szCs w:val="22"/>
          <w:highlight w:val="yellow"/>
          <w:lang w:val="en"/>
        </w:rPr>
        <w:t>he average income of green mustard farming is IDR 2</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764</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164, and an R/C ratio of 3.33 is obtained, which means that every IDR</w:t>
      </w:r>
      <w:r w:rsidR="00A82F98">
        <w:rPr>
          <w:rStyle w:val="y2iqfc"/>
          <w:rFonts w:ascii="Times New Roman" w:eastAsiaTheme="majorEastAsia" w:hAnsi="Times New Roman" w:cs="Times New Roman"/>
          <w:sz w:val="22"/>
          <w:szCs w:val="22"/>
          <w:highlight w:val="yellow"/>
          <w:lang w:val="en"/>
        </w:rPr>
        <w:t>.</w:t>
      </w:r>
      <w:r w:rsidRPr="008F3281">
        <w:rPr>
          <w:rStyle w:val="y2iqfc"/>
          <w:rFonts w:ascii="Times New Roman" w:eastAsiaTheme="majorEastAsia" w:hAnsi="Times New Roman" w:cs="Times New Roman"/>
          <w:sz w:val="22"/>
          <w:szCs w:val="22"/>
          <w:highlight w:val="yellow"/>
          <w:lang w:val="en"/>
        </w:rPr>
        <w:t xml:space="preserve"> 1 spent provides income of IDR 3.33, then green mustard farming in Bukit Biru Village, Tenggarong Kutai Kartanegara District is very worthy of cultivation.</w:t>
      </w:r>
    </w:p>
    <w:p w14:paraId="226A0E75" w14:textId="77777777" w:rsidR="00A740CC" w:rsidRDefault="00A740CC" w:rsidP="00A740CC">
      <w:pPr>
        <w:pStyle w:val="HTMLPreformatted"/>
        <w:jc w:val="both"/>
        <w:rPr>
          <w:rStyle w:val="y2iqfc"/>
          <w:rFonts w:ascii="Times New Roman" w:eastAsiaTheme="majorEastAsia" w:hAnsi="Times New Roman" w:cs="Times New Roman"/>
          <w:sz w:val="22"/>
          <w:szCs w:val="22"/>
          <w:lang w:val="en"/>
        </w:rPr>
      </w:pPr>
    </w:p>
    <w:p w14:paraId="3AD76510" w14:textId="5E46D1A7" w:rsidR="00A740CC" w:rsidRPr="001B3AC0" w:rsidRDefault="00A740CC" w:rsidP="00A740CC">
      <w:pPr>
        <w:pStyle w:val="HTMLPreformatted"/>
        <w:jc w:val="both"/>
        <w:rPr>
          <w:rStyle w:val="y2iqfc"/>
          <w:rFonts w:ascii="Times New Roman" w:eastAsiaTheme="majorEastAsia" w:hAnsi="Times New Roman" w:cs="Times New Roman"/>
          <w:b/>
          <w:bCs/>
          <w:sz w:val="22"/>
          <w:szCs w:val="22"/>
          <w:lang w:val="en"/>
        </w:rPr>
      </w:pPr>
      <w:r w:rsidRPr="001B3AC0">
        <w:rPr>
          <w:rStyle w:val="y2iqfc"/>
          <w:rFonts w:ascii="Times New Roman" w:eastAsiaTheme="majorEastAsia" w:hAnsi="Times New Roman" w:cs="Times New Roman"/>
          <w:b/>
          <w:bCs/>
          <w:sz w:val="22"/>
          <w:szCs w:val="22"/>
          <w:lang w:val="en"/>
        </w:rPr>
        <w:t>4.2. Suggestion</w:t>
      </w:r>
    </w:p>
    <w:p w14:paraId="21D665CF" w14:textId="6ACF4D69" w:rsidR="00A740CC" w:rsidRDefault="00A740CC" w:rsidP="008F3281">
      <w:pPr>
        <w:pStyle w:val="HTMLPreformatted"/>
        <w:ind w:firstLine="567"/>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 xml:space="preserve">The suggestions for helping </w:t>
      </w:r>
      <w:r>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mustard farming in Bukit Biru Village, Tenggarong Kutai Kartanegara District (Case Study of the Vegetable Farmers Association) are as follows</w:t>
      </w:r>
      <w:r w:rsidR="008F3281">
        <w:rPr>
          <w:rStyle w:val="y2iqfc"/>
          <w:rFonts w:ascii="Times New Roman" w:eastAsiaTheme="majorEastAsia" w:hAnsi="Times New Roman" w:cs="Times New Roman"/>
          <w:sz w:val="22"/>
          <w:szCs w:val="22"/>
          <w:lang w:val="en"/>
        </w:rPr>
        <w:t xml:space="preserve">: </w:t>
      </w:r>
      <w:r w:rsidR="008F3281" w:rsidRPr="008F3281">
        <w:rPr>
          <w:rStyle w:val="y2iqfc"/>
          <w:rFonts w:ascii="Times New Roman" w:eastAsiaTheme="majorEastAsia" w:hAnsi="Times New Roman" w:cs="Times New Roman"/>
          <w:sz w:val="22"/>
          <w:szCs w:val="22"/>
          <w:highlight w:val="yellow"/>
          <w:lang w:val="en"/>
        </w:rPr>
        <w:t>f</w:t>
      </w:r>
      <w:r w:rsidRPr="008F3281">
        <w:rPr>
          <w:rStyle w:val="y2iqfc"/>
          <w:rFonts w:ascii="Times New Roman" w:eastAsiaTheme="majorEastAsia" w:hAnsi="Times New Roman" w:cs="Times New Roman"/>
          <w:sz w:val="22"/>
          <w:szCs w:val="22"/>
          <w:highlight w:val="yellow"/>
          <w:lang w:val="en"/>
        </w:rPr>
        <w:t>or future researchers, research should be conducted on the feasibility analysis of other types of vegetable farming so that the feasibility of farming one type of vegetable versus another type of vegetable can be determined</w:t>
      </w:r>
      <w:r w:rsidR="008F3281" w:rsidRPr="008F3281">
        <w:rPr>
          <w:rStyle w:val="y2iqfc"/>
          <w:rFonts w:ascii="Times New Roman" w:eastAsiaTheme="majorEastAsia" w:hAnsi="Times New Roman" w:cs="Times New Roman"/>
          <w:sz w:val="22"/>
          <w:szCs w:val="22"/>
          <w:highlight w:val="yellow"/>
          <w:lang w:val="en"/>
        </w:rPr>
        <w:t>, and t</w:t>
      </w:r>
      <w:r w:rsidRPr="008F3281">
        <w:rPr>
          <w:rStyle w:val="y2iqfc"/>
          <w:rFonts w:ascii="Times New Roman" w:eastAsiaTheme="majorEastAsia" w:hAnsi="Times New Roman" w:cs="Times New Roman"/>
          <w:sz w:val="22"/>
          <w:szCs w:val="22"/>
          <w:highlight w:val="yellow"/>
          <w:lang w:val="en"/>
        </w:rPr>
        <w:t>he government should provide appropriate selling price policies and assistance with agricultural equipment so that it can provide better profits for farmers.</w:t>
      </w:r>
    </w:p>
    <w:p w14:paraId="4C32AB68" w14:textId="77777777" w:rsidR="00D82DEC" w:rsidRDefault="00D82DEC" w:rsidP="00A740CC">
      <w:pPr>
        <w:pStyle w:val="HTMLPreformatted"/>
        <w:ind w:left="284" w:hanging="284"/>
        <w:jc w:val="both"/>
        <w:rPr>
          <w:rStyle w:val="y2iqfc"/>
          <w:rFonts w:ascii="Times New Roman" w:eastAsiaTheme="majorEastAsia" w:hAnsi="Times New Roman" w:cs="Times New Roman"/>
          <w:sz w:val="22"/>
          <w:szCs w:val="22"/>
          <w:lang w:val="en"/>
        </w:rPr>
      </w:pPr>
    </w:p>
    <w:p w14:paraId="21A487DA" w14:textId="77777777" w:rsidR="00D82DEC" w:rsidRPr="009C5487" w:rsidRDefault="00D82DEC" w:rsidP="00D82DEC">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3FFC695F" w14:textId="77777777" w:rsidR="00D82DEC" w:rsidRPr="009C5487" w:rsidRDefault="00D82DEC" w:rsidP="00D82DE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1633DAC" w14:textId="77777777" w:rsidR="00D82DEC" w:rsidRPr="009C5487" w:rsidRDefault="00D82DEC" w:rsidP="00D82DE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7C033210" w14:textId="77777777" w:rsidR="00D82DEC" w:rsidRPr="00A740CC" w:rsidRDefault="00D82DEC" w:rsidP="00A740CC">
      <w:pPr>
        <w:pStyle w:val="HTMLPreformatted"/>
        <w:ind w:left="284" w:hanging="284"/>
        <w:jc w:val="both"/>
        <w:rPr>
          <w:rFonts w:ascii="Times New Roman" w:hAnsi="Times New Roman" w:cs="Times New Roman"/>
          <w:sz w:val="22"/>
          <w:szCs w:val="22"/>
        </w:rPr>
      </w:pPr>
    </w:p>
    <w:p w14:paraId="69DA563F" w14:textId="77777777" w:rsidR="00A740CC" w:rsidRPr="00A740CC" w:rsidRDefault="00A740CC" w:rsidP="00A740CC">
      <w:pPr>
        <w:pStyle w:val="HTMLPreformatted"/>
        <w:ind w:left="284" w:hanging="284"/>
        <w:jc w:val="both"/>
        <w:rPr>
          <w:rFonts w:ascii="Times New Roman" w:hAnsi="Times New Roman" w:cs="Times New Roman"/>
          <w:sz w:val="22"/>
          <w:szCs w:val="22"/>
        </w:rPr>
      </w:pPr>
    </w:p>
    <w:p w14:paraId="0CF8BDDA" w14:textId="3590B149" w:rsidR="007D5852" w:rsidRPr="007D5852" w:rsidRDefault="00B13D6B" w:rsidP="007D5852">
      <w:pPr>
        <w:pStyle w:val="HTMLPreformatted"/>
        <w:ind w:left="567" w:hanging="567"/>
        <w:jc w:val="both"/>
        <w:rPr>
          <w:rStyle w:val="y2iqfc"/>
          <w:rFonts w:ascii="Times New Roman" w:eastAsiaTheme="majorEastAsia" w:hAnsi="Times New Roman" w:cs="Times New Roman"/>
          <w:b/>
          <w:bCs/>
          <w:sz w:val="22"/>
          <w:szCs w:val="22"/>
          <w:lang w:val="en"/>
        </w:rPr>
      </w:pPr>
      <w:r>
        <w:rPr>
          <w:rStyle w:val="y2iqfc"/>
          <w:rFonts w:ascii="Times New Roman" w:eastAsiaTheme="majorEastAsia" w:hAnsi="Times New Roman" w:cs="Times New Roman"/>
          <w:b/>
          <w:bCs/>
          <w:sz w:val="22"/>
          <w:szCs w:val="22"/>
          <w:lang w:val="en"/>
        </w:rPr>
        <w:t xml:space="preserve">References </w:t>
      </w:r>
    </w:p>
    <w:p w14:paraId="3D980D84" w14:textId="77777777" w:rsidR="007D5852" w:rsidRPr="00874FE2" w:rsidRDefault="007D5852" w:rsidP="00874FE2">
      <w:pPr>
        <w:pStyle w:val="HTMLPreformatted"/>
        <w:ind w:left="709" w:hanging="709"/>
        <w:jc w:val="both"/>
        <w:rPr>
          <w:rStyle w:val="y2iqfc"/>
          <w:rFonts w:ascii="Times New Roman" w:eastAsiaTheme="majorEastAsia" w:hAnsi="Times New Roman" w:cs="Times New Roman"/>
          <w:sz w:val="22"/>
          <w:szCs w:val="22"/>
          <w:lang w:val="en"/>
        </w:rPr>
      </w:pPr>
      <w:r w:rsidRPr="00874FE2">
        <w:rPr>
          <w:rStyle w:val="y2iqfc"/>
          <w:rFonts w:ascii="Times New Roman" w:eastAsiaTheme="majorEastAsia" w:hAnsi="Times New Roman" w:cs="Times New Roman"/>
          <w:sz w:val="22"/>
          <w:szCs w:val="22"/>
          <w:lang w:val="en"/>
        </w:rPr>
        <w:t>[1] Arsad, S. 2017. Study of Income and Marketing of Mini Elephant Grass (</w:t>
      </w:r>
      <w:r w:rsidRPr="00874FE2">
        <w:rPr>
          <w:rStyle w:val="y2iqfc"/>
          <w:rFonts w:ascii="Times New Roman" w:eastAsiaTheme="majorEastAsia" w:hAnsi="Times New Roman" w:cs="Times New Roman"/>
          <w:i/>
          <w:iCs/>
          <w:sz w:val="22"/>
          <w:szCs w:val="22"/>
          <w:lang w:val="en"/>
        </w:rPr>
        <w:t>Axonupus compressus</w:t>
      </w:r>
      <w:r w:rsidRPr="00874FE2">
        <w:rPr>
          <w:rStyle w:val="y2iqfc"/>
          <w:rFonts w:ascii="Times New Roman" w:eastAsiaTheme="majorEastAsia" w:hAnsi="Times New Roman" w:cs="Times New Roman"/>
          <w:sz w:val="22"/>
          <w:szCs w:val="22"/>
          <w:lang w:val="en"/>
        </w:rPr>
        <w:t>) Farming in Karang Tunggal Village, Tenggarong Seberang District, Kutai Kartanegara Regency. Thesis. Mulawarman University, Samarinda.</w:t>
      </w:r>
    </w:p>
    <w:p w14:paraId="0D4B5912" w14:textId="77777777" w:rsidR="007D5852" w:rsidRPr="00874FE2" w:rsidRDefault="007D5852" w:rsidP="00874FE2">
      <w:pPr>
        <w:pStyle w:val="HTMLPreformatted"/>
        <w:ind w:left="709" w:hanging="709"/>
        <w:jc w:val="both"/>
        <w:rPr>
          <w:rStyle w:val="y2iqfc"/>
          <w:rFonts w:ascii="Times New Roman" w:eastAsiaTheme="majorEastAsia" w:hAnsi="Times New Roman" w:cs="Times New Roman"/>
          <w:sz w:val="22"/>
          <w:szCs w:val="22"/>
          <w:lang w:val="en"/>
        </w:rPr>
      </w:pPr>
      <w:r w:rsidRPr="00874FE2">
        <w:rPr>
          <w:rStyle w:val="y2iqfc"/>
          <w:rFonts w:ascii="Times New Roman" w:eastAsiaTheme="majorEastAsia" w:hAnsi="Times New Roman" w:cs="Times New Roman"/>
          <w:sz w:val="22"/>
          <w:szCs w:val="22"/>
          <w:lang w:val="en"/>
        </w:rPr>
        <w:t>[2] Suratman, Y.Y.A. 2018. Analysis of Mustard (</w:t>
      </w:r>
      <w:r w:rsidRPr="00874FE2">
        <w:rPr>
          <w:rStyle w:val="y2iqfc"/>
          <w:rFonts w:ascii="Times New Roman" w:eastAsiaTheme="majorEastAsia" w:hAnsi="Times New Roman" w:cs="Times New Roman"/>
          <w:i/>
          <w:iCs/>
          <w:sz w:val="22"/>
          <w:szCs w:val="22"/>
          <w:lang w:val="en"/>
        </w:rPr>
        <w:t>Brassica juncea</w:t>
      </w:r>
      <w:r w:rsidRPr="00874FE2">
        <w:rPr>
          <w:rStyle w:val="y2iqfc"/>
          <w:rFonts w:ascii="Times New Roman" w:eastAsiaTheme="majorEastAsia" w:hAnsi="Times New Roman" w:cs="Times New Roman"/>
          <w:sz w:val="22"/>
          <w:szCs w:val="22"/>
          <w:lang w:val="en"/>
        </w:rPr>
        <w:t xml:space="preserve"> L.) Farming Income in Landasan Ulin Utara Village, Liang Anggang District, Banjarbaru City. J. Ziraa’ah 43(2): 133–140.</w:t>
      </w:r>
    </w:p>
    <w:p w14:paraId="1EA4D265" w14:textId="083C3F18" w:rsidR="007D5852" w:rsidRPr="00874FE2" w:rsidRDefault="007D5852" w:rsidP="00874FE2">
      <w:pPr>
        <w:pStyle w:val="HTMLPreformatted"/>
        <w:ind w:left="709" w:hanging="709"/>
        <w:jc w:val="both"/>
        <w:rPr>
          <w:rStyle w:val="y2iqfc"/>
          <w:rFonts w:ascii="Times New Roman" w:hAnsi="Times New Roman" w:cs="Times New Roman"/>
          <w:sz w:val="22"/>
          <w:szCs w:val="22"/>
        </w:rPr>
      </w:pPr>
      <w:r w:rsidRPr="00874FE2">
        <w:rPr>
          <w:rStyle w:val="y2iqfc"/>
          <w:rFonts w:ascii="Times New Roman" w:eastAsiaTheme="majorEastAsia" w:hAnsi="Times New Roman" w:cs="Times New Roman"/>
          <w:sz w:val="22"/>
          <w:szCs w:val="22"/>
          <w:lang w:val="en"/>
        </w:rPr>
        <w:t xml:space="preserve">[3] </w:t>
      </w:r>
      <w:r w:rsidR="00874FE2" w:rsidRPr="00874FE2">
        <w:rPr>
          <w:rStyle w:val="y2iqfc"/>
          <w:rFonts w:ascii="Times New Roman" w:eastAsiaTheme="majorEastAsia" w:hAnsi="Times New Roman" w:cs="Times New Roman"/>
          <w:sz w:val="22"/>
          <w:szCs w:val="22"/>
          <w:lang w:val="en"/>
        </w:rPr>
        <w:t>Central Statistics Agency</w:t>
      </w:r>
      <w:r w:rsidRPr="00874FE2">
        <w:rPr>
          <w:rStyle w:val="y2iqfc"/>
          <w:rFonts w:ascii="Times New Roman" w:eastAsiaTheme="majorEastAsia" w:hAnsi="Times New Roman" w:cs="Times New Roman"/>
          <w:sz w:val="22"/>
          <w:szCs w:val="22"/>
          <w:lang w:val="en"/>
        </w:rPr>
        <w:t>. 2021. Vegetable Crop Production in Indonesia. Central Bureau of Statistics. https://www.bps.go.id/indicator/55/61/1/produk-tanaman-sayuran.html (Accessed 20 October 2022).</w:t>
      </w:r>
    </w:p>
    <w:p w14:paraId="342831C7" w14:textId="5C9C1C0F" w:rsidR="007D5852" w:rsidRPr="00874FE2" w:rsidRDefault="007D5852" w:rsidP="00874FE2">
      <w:pPr>
        <w:pStyle w:val="HTMLPreformatted"/>
        <w:ind w:left="709" w:hanging="709"/>
        <w:jc w:val="both"/>
        <w:rPr>
          <w:rStyle w:val="y2iqfc"/>
          <w:rFonts w:ascii="Times New Roman" w:hAnsi="Times New Roman" w:cs="Times New Roman"/>
          <w:sz w:val="22"/>
          <w:szCs w:val="22"/>
        </w:rPr>
      </w:pPr>
      <w:r w:rsidRPr="00874FE2">
        <w:rPr>
          <w:rStyle w:val="y2iqfc"/>
          <w:rFonts w:ascii="Times New Roman" w:eastAsiaTheme="majorEastAsia" w:hAnsi="Times New Roman" w:cs="Times New Roman"/>
          <w:sz w:val="22"/>
          <w:szCs w:val="22"/>
          <w:lang w:val="en"/>
        </w:rPr>
        <w:t xml:space="preserve">[4] </w:t>
      </w:r>
      <w:r w:rsidR="00874FE2" w:rsidRPr="00874FE2">
        <w:rPr>
          <w:rStyle w:val="y2iqfc"/>
          <w:rFonts w:ascii="Times New Roman" w:eastAsiaTheme="majorEastAsia" w:hAnsi="Times New Roman" w:cs="Times New Roman"/>
          <w:sz w:val="22"/>
          <w:szCs w:val="22"/>
          <w:lang w:val="en"/>
        </w:rPr>
        <w:t>Central Statistics Agency</w:t>
      </w:r>
      <w:r w:rsidRPr="00874FE2">
        <w:rPr>
          <w:rStyle w:val="y2iqfc"/>
          <w:rFonts w:ascii="Times New Roman" w:eastAsiaTheme="majorEastAsia" w:hAnsi="Times New Roman" w:cs="Times New Roman"/>
          <w:sz w:val="22"/>
          <w:szCs w:val="22"/>
          <w:lang w:val="en"/>
        </w:rPr>
        <w:t>. 2021. Vegetable Crop Harvest Area According to Province and Plant Type.</w:t>
      </w:r>
      <w:r w:rsidR="00874FE2">
        <w:rPr>
          <w:rStyle w:val="y2iqfc"/>
          <w:rFonts w:ascii="Times New Roman" w:eastAsiaTheme="majorEastAsia" w:hAnsi="Times New Roman" w:cs="Times New Roman"/>
          <w:sz w:val="22"/>
          <w:szCs w:val="22"/>
          <w:lang w:val="en"/>
        </w:rPr>
        <w:t xml:space="preserve"> </w:t>
      </w:r>
      <w:r w:rsidRPr="00874FE2">
        <w:rPr>
          <w:rStyle w:val="y2iqfc"/>
          <w:rFonts w:ascii="Times New Roman" w:eastAsiaTheme="majorEastAsia" w:hAnsi="Times New Roman" w:cs="Times New Roman"/>
          <w:sz w:val="22"/>
          <w:szCs w:val="22"/>
          <w:lang w:val="en"/>
        </w:rPr>
        <w:t>https://www.bps.go.id/indikator/indikator/view_data_pub/0000/api_pub/bXNVb1pmZndqUDhKWElUSjhZRitidz09/da_05/1 (Accessed 21 October 2022).</w:t>
      </w:r>
    </w:p>
    <w:p w14:paraId="050A64E8" w14:textId="49215104" w:rsidR="007D5852" w:rsidRPr="00874FE2" w:rsidRDefault="007D5852" w:rsidP="00874FE2">
      <w:pPr>
        <w:pStyle w:val="HTMLPreformatted"/>
        <w:ind w:left="709" w:hanging="709"/>
        <w:jc w:val="both"/>
        <w:rPr>
          <w:rFonts w:ascii="Times New Roman" w:hAnsi="Times New Roman" w:cs="Times New Roman"/>
          <w:sz w:val="22"/>
          <w:szCs w:val="22"/>
        </w:rPr>
      </w:pPr>
      <w:r w:rsidRPr="00874FE2">
        <w:rPr>
          <w:rStyle w:val="y2iqfc"/>
          <w:rFonts w:ascii="Times New Roman" w:eastAsiaTheme="majorEastAsia" w:hAnsi="Times New Roman" w:cs="Times New Roman"/>
          <w:sz w:val="22"/>
          <w:szCs w:val="22"/>
          <w:lang w:val="en"/>
        </w:rPr>
        <w:t xml:space="preserve">[5] </w:t>
      </w:r>
      <w:r w:rsidR="00874FE2" w:rsidRPr="00874FE2">
        <w:rPr>
          <w:rStyle w:val="y2iqfc"/>
          <w:rFonts w:ascii="Times New Roman" w:eastAsiaTheme="majorEastAsia" w:hAnsi="Times New Roman" w:cs="Times New Roman"/>
          <w:sz w:val="22"/>
          <w:szCs w:val="22"/>
          <w:lang w:val="en"/>
        </w:rPr>
        <w:t>Central Statistics Agency</w:t>
      </w:r>
      <w:r w:rsidR="00874FE2" w:rsidRPr="00874FE2">
        <w:rPr>
          <w:rFonts w:ascii="Times New Roman" w:hAnsi="Times New Roman" w:cs="Times New Roman"/>
          <w:sz w:val="22"/>
          <w:szCs w:val="22"/>
        </w:rPr>
        <w:t xml:space="preserve"> of </w:t>
      </w:r>
      <w:r w:rsidRPr="00874FE2">
        <w:rPr>
          <w:rStyle w:val="y2iqfc"/>
          <w:rFonts w:ascii="Times New Roman" w:eastAsiaTheme="majorEastAsia" w:hAnsi="Times New Roman" w:cs="Times New Roman"/>
          <w:sz w:val="22"/>
          <w:szCs w:val="22"/>
          <w:lang w:val="en"/>
        </w:rPr>
        <w:t>East Kalimantan Province. 2021. East Kalimantan Province Vegetable and Fruit Statistics 2021. East Kalimantan Province Central Statistics Agency.</w:t>
      </w:r>
    </w:p>
    <w:p w14:paraId="6AECA22C" w14:textId="39E7D66D" w:rsidR="00C11179" w:rsidRPr="00C11179" w:rsidRDefault="007D5852" w:rsidP="00C11179">
      <w:pPr>
        <w:pStyle w:val="HTMLPreformatted"/>
        <w:ind w:left="709" w:hanging="709"/>
        <w:jc w:val="both"/>
        <w:rPr>
          <w:rFonts w:ascii="Times New Roman" w:hAnsi="Times New Roman" w:cs="Times New Roman"/>
          <w:sz w:val="22"/>
          <w:szCs w:val="22"/>
        </w:rPr>
      </w:pPr>
      <w:r w:rsidRPr="00C11179">
        <w:rPr>
          <w:rFonts w:ascii="Times New Roman" w:hAnsi="Times New Roman" w:cs="Times New Roman"/>
          <w:sz w:val="22"/>
          <w:szCs w:val="22"/>
          <w:highlight w:val="yellow"/>
          <w:lang w:val="en"/>
        </w:rPr>
        <w:t>[6</w:t>
      </w:r>
      <w:proofErr w:type="gramStart"/>
      <w:r w:rsidRPr="00C11179">
        <w:rPr>
          <w:rFonts w:ascii="Times New Roman" w:hAnsi="Times New Roman" w:cs="Times New Roman"/>
          <w:sz w:val="22"/>
          <w:szCs w:val="22"/>
          <w:highlight w:val="yellow"/>
          <w:lang w:val="en"/>
        </w:rPr>
        <w:t xml:space="preserve">] </w:t>
      </w:r>
      <w:r w:rsidR="00C11179" w:rsidRPr="00C11179">
        <w:rPr>
          <w:rFonts w:ascii="Times New Roman" w:hAnsi="Times New Roman" w:cs="Times New Roman"/>
          <w:sz w:val="22"/>
          <w:szCs w:val="22"/>
          <w:highlight w:val="yellow"/>
          <w:lang w:val="en"/>
        </w:rPr>
        <w:t xml:space="preserve"> </w:t>
      </w:r>
      <w:r w:rsidR="00C11179" w:rsidRPr="00C11179">
        <w:rPr>
          <w:rStyle w:val="y2iqfc"/>
          <w:rFonts w:ascii="Times New Roman" w:eastAsiaTheme="majorEastAsia" w:hAnsi="Times New Roman" w:cs="Times New Roman"/>
          <w:sz w:val="22"/>
          <w:szCs w:val="22"/>
          <w:highlight w:val="yellow"/>
          <w:lang w:val="en"/>
        </w:rPr>
        <w:t>Agro</w:t>
      </w:r>
      <w:proofErr w:type="gramEnd"/>
      <w:r w:rsidR="00C11179" w:rsidRPr="00C11179">
        <w:rPr>
          <w:rStyle w:val="y2iqfc"/>
          <w:rFonts w:ascii="Times New Roman" w:eastAsiaTheme="majorEastAsia" w:hAnsi="Times New Roman" w:cs="Times New Roman"/>
          <w:sz w:val="22"/>
          <w:szCs w:val="22"/>
          <w:highlight w:val="yellow"/>
          <w:lang w:val="en"/>
        </w:rPr>
        <w:t xml:space="preserve"> Nasa Solution.  2024. Analysis of Potential Business and Investment Opportunities for Mustard Plants. https://www.agronasa.com/peluang-usaha-budidaya-sawi/ accessed 3 December 2024.</w:t>
      </w:r>
    </w:p>
    <w:p w14:paraId="2139EF53" w14:textId="77777777" w:rsidR="007D5852" w:rsidRPr="007D5852" w:rsidRDefault="007D5852" w:rsidP="00C11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lang w:val="en"/>
        </w:rPr>
      </w:pPr>
      <w:r w:rsidRPr="007D5852">
        <w:rPr>
          <w:rFonts w:ascii="Times New Roman" w:eastAsia="Times New Roman" w:hAnsi="Times New Roman" w:cs="Times New Roman"/>
          <w:lang w:val="en"/>
        </w:rPr>
        <w:lastRenderedPageBreak/>
        <w:t>[7] Andini, Z. 2019. Analysis of Income and Marketing Channels for Elephant Cassava (</w:t>
      </w:r>
      <w:r w:rsidRPr="007D5852">
        <w:rPr>
          <w:rFonts w:ascii="Times New Roman" w:eastAsia="Times New Roman" w:hAnsi="Times New Roman" w:cs="Times New Roman"/>
          <w:i/>
          <w:iCs/>
          <w:lang w:val="en"/>
        </w:rPr>
        <w:t>Manihot esculenta</w:t>
      </w:r>
      <w:r w:rsidRPr="007D5852">
        <w:rPr>
          <w:rFonts w:ascii="Times New Roman" w:eastAsia="Times New Roman" w:hAnsi="Times New Roman" w:cs="Times New Roman"/>
          <w:lang w:val="en"/>
        </w:rPr>
        <w:t xml:space="preserve"> Crantz) in Kota Bangun Village 1, Kota Bangun District, Kutai Kartanegara Regency. Thesis. Mulawarman University, Samarinda. </w:t>
      </w:r>
    </w:p>
    <w:p w14:paraId="276AD669" w14:textId="2C6FDDF3" w:rsidR="00C11179" w:rsidRPr="00C11179" w:rsidRDefault="007D5852" w:rsidP="00C11179">
      <w:pPr>
        <w:pStyle w:val="HTMLPreformatted"/>
        <w:ind w:left="567" w:hanging="567"/>
        <w:jc w:val="both"/>
        <w:rPr>
          <w:rFonts w:ascii="Times New Roman" w:eastAsiaTheme="majorEastAsia" w:hAnsi="Times New Roman" w:cs="Times New Roman"/>
          <w:sz w:val="22"/>
          <w:szCs w:val="22"/>
          <w:lang w:val="en"/>
        </w:rPr>
      </w:pPr>
      <w:r w:rsidRPr="00C11179">
        <w:rPr>
          <w:rFonts w:ascii="Times New Roman" w:hAnsi="Times New Roman" w:cs="Times New Roman"/>
          <w:highlight w:val="yellow"/>
          <w:lang w:val="en"/>
        </w:rPr>
        <w:t xml:space="preserve">[8] </w:t>
      </w:r>
      <w:r w:rsidR="00C11179" w:rsidRPr="00C11179">
        <w:rPr>
          <w:rStyle w:val="y2iqfc"/>
          <w:rFonts w:ascii="Times New Roman" w:eastAsiaTheme="majorEastAsia" w:hAnsi="Times New Roman" w:cs="Times New Roman"/>
          <w:sz w:val="22"/>
          <w:szCs w:val="22"/>
          <w:highlight w:val="yellow"/>
          <w:lang w:val="en"/>
        </w:rPr>
        <w:t>Josua, B., R. Sunaryati, and Masliani.  2020. Analysis of Mustard Vegetable Farming Income</w:t>
      </w:r>
      <w:r w:rsidR="00C11179" w:rsidRPr="00C11179">
        <w:rPr>
          <w:rStyle w:val="y2iqfc"/>
          <w:rFonts w:ascii="Times New Roman" w:eastAsiaTheme="majorEastAsia" w:hAnsi="Times New Roman" w:cs="Times New Roman"/>
          <w:sz w:val="22"/>
          <w:szCs w:val="22"/>
          <w:highlight w:val="yellow"/>
          <w:lang w:val="en"/>
        </w:rPr>
        <w:t xml:space="preserve"> </w:t>
      </w:r>
      <w:r w:rsidR="00C11179" w:rsidRPr="00C11179">
        <w:rPr>
          <w:rStyle w:val="y2iqfc"/>
          <w:rFonts w:ascii="Times New Roman" w:eastAsiaTheme="majorEastAsia" w:hAnsi="Times New Roman" w:cs="Times New Roman"/>
          <w:sz w:val="22"/>
          <w:szCs w:val="22"/>
          <w:highlight w:val="yellow"/>
          <w:lang w:val="en"/>
        </w:rPr>
        <w:t>(</w:t>
      </w:r>
      <w:r w:rsidR="00C11179" w:rsidRPr="00C11179">
        <w:rPr>
          <w:rStyle w:val="y2iqfc"/>
          <w:rFonts w:ascii="Times New Roman" w:eastAsiaTheme="majorEastAsia" w:hAnsi="Times New Roman" w:cs="Times New Roman"/>
          <w:i/>
          <w:iCs/>
          <w:sz w:val="22"/>
          <w:szCs w:val="22"/>
          <w:highlight w:val="yellow"/>
          <w:lang w:val="en"/>
        </w:rPr>
        <w:t>Brassica rapa</w:t>
      </w:r>
      <w:r w:rsidR="00C11179" w:rsidRPr="00C11179">
        <w:rPr>
          <w:rStyle w:val="y2iqfc"/>
          <w:rFonts w:ascii="Times New Roman" w:eastAsiaTheme="majorEastAsia" w:hAnsi="Times New Roman" w:cs="Times New Roman"/>
          <w:sz w:val="22"/>
          <w:szCs w:val="22"/>
          <w:highlight w:val="yellow"/>
          <w:lang w:val="en"/>
        </w:rPr>
        <w:t xml:space="preserve"> Var. Parachinensis L.) In Kalampangan Village, Sabangau District, Palangka Raya City. Journal of Agricultural Socio Economics. 15(2): 85-96.</w:t>
      </w:r>
    </w:p>
    <w:p w14:paraId="5C0948EB" w14:textId="012FE508" w:rsidR="007D5852" w:rsidRDefault="007D5852" w:rsidP="0087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both"/>
        <w:rPr>
          <w:rFonts w:ascii="Times New Roman" w:eastAsia="Times New Roman" w:hAnsi="Times New Roman" w:cs="Times New Roman"/>
          <w:lang w:val="en"/>
        </w:rPr>
      </w:pPr>
      <w:r w:rsidRPr="007D5852">
        <w:rPr>
          <w:rFonts w:ascii="Times New Roman" w:eastAsia="Times New Roman" w:hAnsi="Times New Roman" w:cs="Times New Roman"/>
          <w:lang w:val="en"/>
        </w:rPr>
        <w:t xml:space="preserve">[9] Nidaul, Muh. S. Nasrun, and Irmawaty. 2018. Income and Feasibility Analysis of Organic Vegetable Farming at CV. Rahayu, Sidera Village, Sigi Bureaumaru District, Sigi Regency. J. Collaborative Science 1(1) October 2018, doi: </w:t>
      </w:r>
      <w:hyperlink r:id="rId7" w:history="1">
        <w:r w:rsidR="00C11179" w:rsidRPr="00C31914">
          <w:rPr>
            <w:rStyle w:val="Hyperlink"/>
            <w:rFonts w:ascii="Times New Roman" w:eastAsia="Times New Roman" w:hAnsi="Times New Roman" w:cs="Times New Roman"/>
            <w:lang w:val="en"/>
          </w:rPr>
          <w:t>https://doi.org/10.56338/jks.v1i1.474</w:t>
        </w:r>
      </w:hyperlink>
      <w:r w:rsidRPr="007D5852">
        <w:rPr>
          <w:rFonts w:ascii="Times New Roman" w:eastAsia="Times New Roman" w:hAnsi="Times New Roman" w:cs="Times New Roman"/>
          <w:lang w:val="en"/>
        </w:rPr>
        <w:t>.</w:t>
      </w:r>
    </w:p>
    <w:p w14:paraId="25A870A1" w14:textId="7C52B243" w:rsidR="00C11179" w:rsidRPr="00C11179" w:rsidRDefault="00C11179" w:rsidP="00C11179">
      <w:pPr>
        <w:pStyle w:val="HTMLPreformatted"/>
        <w:ind w:left="851" w:hanging="851"/>
        <w:jc w:val="both"/>
        <w:rPr>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[1</w:t>
      </w:r>
      <w:r>
        <w:rPr>
          <w:rStyle w:val="y2iqfc"/>
          <w:rFonts w:ascii="Times New Roman" w:eastAsiaTheme="majorEastAsia" w:hAnsi="Times New Roman" w:cs="Times New Roman"/>
          <w:sz w:val="22"/>
          <w:szCs w:val="22"/>
          <w:lang w:val="en"/>
        </w:rPr>
        <w:t>0</w:t>
      </w:r>
      <w:r w:rsidRPr="007D5852">
        <w:rPr>
          <w:rStyle w:val="y2iqfc"/>
          <w:rFonts w:ascii="Times New Roman" w:eastAsiaTheme="majorEastAsia" w:hAnsi="Times New Roman" w:cs="Times New Roman"/>
          <w:sz w:val="22"/>
          <w:szCs w:val="22"/>
          <w:lang w:val="en"/>
        </w:rPr>
        <w:t xml:space="preserve">] </w:t>
      </w:r>
      <w:r w:rsidRPr="00AF6AC8">
        <w:rPr>
          <w:rStyle w:val="y2iqfc"/>
          <w:rFonts w:ascii="Times New Roman" w:eastAsiaTheme="majorEastAsia" w:hAnsi="Times New Roman" w:cs="Times New Roman"/>
          <w:sz w:val="22"/>
          <w:szCs w:val="22"/>
          <w:highlight w:val="yellow"/>
          <w:lang w:val="en"/>
        </w:rPr>
        <w:t>Mongdong, D.G., L.R.J. Pangemanan, and M.Y. Understand.  2023. Income Analysis of Spoon Mustard (</w:t>
      </w:r>
      <w:r w:rsidRPr="00AF6AC8">
        <w:rPr>
          <w:rStyle w:val="y2iqfc"/>
          <w:rFonts w:ascii="Times New Roman" w:eastAsiaTheme="majorEastAsia" w:hAnsi="Times New Roman" w:cs="Times New Roman"/>
          <w:i/>
          <w:iCs/>
          <w:sz w:val="22"/>
          <w:szCs w:val="22"/>
          <w:highlight w:val="yellow"/>
          <w:lang w:val="en"/>
        </w:rPr>
        <w:t>Brassica chinensis L</w:t>
      </w:r>
      <w:r w:rsidRPr="00AF6AC8">
        <w:rPr>
          <w:rStyle w:val="y2iqfc"/>
          <w:rFonts w:ascii="Times New Roman" w:eastAsiaTheme="majorEastAsia" w:hAnsi="Times New Roman" w:cs="Times New Roman"/>
          <w:sz w:val="22"/>
          <w:szCs w:val="22"/>
          <w:highlight w:val="yellow"/>
          <w:lang w:val="en"/>
        </w:rPr>
        <w:t>.) Farming in Rurukan Village, East Tomohon District.  Unsrat Agri-Socioeconomic Journal. 19 (1): 185 – 194. https://ejournal.unsrat.ac.id/v3/index.php/jisep/article/view/46110</w:t>
      </w:r>
    </w:p>
    <w:p w14:paraId="0C9BD33A" w14:textId="10853E1C" w:rsidR="007D5852" w:rsidRPr="007D5852" w:rsidRDefault="007D5852" w:rsidP="00874FE2">
      <w:pPr>
        <w:pStyle w:val="HTMLPreformatted"/>
        <w:ind w:left="851" w:hanging="851"/>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w:t>
      </w:r>
      <w:r w:rsidRPr="007D5852">
        <w:rPr>
          <w:rStyle w:val="y2iqfc"/>
          <w:rFonts w:ascii="Times New Roman" w:eastAsiaTheme="majorEastAsia" w:hAnsi="Times New Roman" w:cs="Times New Roman"/>
          <w:sz w:val="22"/>
          <w:szCs w:val="22"/>
          <w:lang w:val="en"/>
        </w:rPr>
        <w:t>1</w:t>
      </w:r>
      <w:r w:rsidR="00AF6AC8">
        <w:rPr>
          <w:rStyle w:val="y2iqfc"/>
          <w:rFonts w:ascii="Times New Roman" w:eastAsiaTheme="majorEastAsia" w:hAnsi="Times New Roman" w:cs="Times New Roman"/>
          <w:sz w:val="22"/>
          <w:szCs w:val="22"/>
          <w:lang w:val="en"/>
        </w:rPr>
        <w:t>1</w:t>
      </w:r>
      <w:r w:rsidRPr="007D5852">
        <w:rPr>
          <w:rStyle w:val="y2iqfc"/>
          <w:rFonts w:ascii="Times New Roman" w:eastAsiaTheme="majorEastAsia" w:hAnsi="Times New Roman" w:cs="Times New Roman"/>
          <w:sz w:val="22"/>
          <w:szCs w:val="22"/>
          <w:lang w:val="en"/>
        </w:rPr>
        <w:t>] Lia Aryanto. 2020. Analysis of Sawi Pakcoy (</w:t>
      </w:r>
      <w:r w:rsidRPr="00AF6AC8">
        <w:rPr>
          <w:rStyle w:val="y2iqfc"/>
          <w:rFonts w:ascii="Times New Roman" w:eastAsiaTheme="majorEastAsia" w:hAnsi="Times New Roman" w:cs="Times New Roman"/>
          <w:i/>
          <w:iCs/>
          <w:sz w:val="22"/>
          <w:szCs w:val="22"/>
          <w:lang w:val="en"/>
        </w:rPr>
        <w:t>Brassica rapa</w:t>
      </w:r>
      <w:r w:rsidRPr="007D5852">
        <w:rPr>
          <w:rStyle w:val="y2iqfc"/>
          <w:rFonts w:ascii="Times New Roman" w:eastAsiaTheme="majorEastAsia" w:hAnsi="Times New Roman" w:cs="Times New Roman"/>
          <w:sz w:val="22"/>
          <w:szCs w:val="22"/>
          <w:lang w:val="en"/>
        </w:rPr>
        <w:t xml:space="preserve"> L.) farming business in Medan Deli District, North Sumatra. Thesis. Faculty of Agriculture. Muhammadiyah University of North Sumatra.</w:t>
      </w:r>
    </w:p>
    <w:p w14:paraId="7E9F375A" w14:textId="0C1D8BCF" w:rsidR="007D5852" w:rsidRPr="007D5852" w:rsidRDefault="007D5852" w:rsidP="00874FE2">
      <w:pPr>
        <w:pStyle w:val="HTMLPreformatted"/>
        <w:ind w:left="851" w:hanging="851"/>
        <w:jc w:val="both"/>
        <w:rPr>
          <w:rFonts w:ascii="Times New Roman" w:hAnsi="Times New Roman" w:cs="Times New Roman"/>
          <w:sz w:val="22"/>
          <w:szCs w:val="22"/>
        </w:rPr>
      </w:pPr>
      <w:r w:rsidRPr="007D5852">
        <w:rPr>
          <w:rStyle w:val="y2iqfc"/>
          <w:rFonts w:ascii="Times New Roman" w:eastAsiaTheme="majorEastAsia" w:hAnsi="Times New Roman" w:cs="Times New Roman"/>
          <w:sz w:val="22"/>
          <w:szCs w:val="22"/>
          <w:lang w:val="en"/>
        </w:rPr>
        <w:t>[1</w:t>
      </w:r>
      <w:r w:rsidR="00AF6AC8">
        <w:rPr>
          <w:rStyle w:val="y2iqfc"/>
          <w:rFonts w:ascii="Times New Roman" w:eastAsiaTheme="majorEastAsia" w:hAnsi="Times New Roman" w:cs="Times New Roman"/>
          <w:sz w:val="22"/>
          <w:szCs w:val="22"/>
          <w:lang w:val="en"/>
        </w:rPr>
        <w:t>2</w:t>
      </w:r>
      <w:r w:rsidRPr="007D5852">
        <w:rPr>
          <w:rStyle w:val="y2iqfc"/>
          <w:rFonts w:ascii="Times New Roman" w:eastAsiaTheme="majorEastAsia" w:hAnsi="Times New Roman" w:cs="Times New Roman"/>
          <w:sz w:val="22"/>
          <w:szCs w:val="22"/>
          <w:lang w:val="en"/>
        </w:rPr>
        <w:t>] Asthuti, M.M.M., and K.A.C.J. Goddess.  2023. Analysis of Mustard Farming Income in Banjar Bangah, Baturiti Village, Tabanan Regency.  Tambusai Education Journal. 7(3):25966-25969. https://jptam.org/index.php/jptam/article/view/10781/8588.</w:t>
      </w:r>
    </w:p>
    <w:p w14:paraId="6D258BCD" w14:textId="51DD1E68" w:rsidR="007D5852" w:rsidRPr="007D5852" w:rsidRDefault="007D5852" w:rsidP="00874FE2">
      <w:pPr>
        <w:spacing w:after="0" w:line="240" w:lineRule="auto"/>
        <w:ind w:left="851" w:hanging="851"/>
        <w:jc w:val="both"/>
        <w:rPr>
          <w:rFonts w:ascii="Times New Roman" w:eastAsia="Times New Roman" w:hAnsi="Times New Roman" w:cs="Times New Roman"/>
        </w:rPr>
      </w:pPr>
    </w:p>
    <w:p w14:paraId="6D8E9AC0" w14:textId="77777777" w:rsidR="001F3D8B" w:rsidRPr="007D5852" w:rsidRDefault="001F3D8B" w:rsidP="00874FE2">
      <w:pPr>
        <w:pStyle w:val="HTMLPreformatted"/>
        <w:ind w:left="851" w:hanging="851"/>
        <w:jc w:val="both"/>
        <w:rPr>
          <w:rFonts w:ascii="Times New Roman" w:hAnsi="Times New Roman" w:cs="Times New Roman"/>
          <w:sz w:val="22"/>
          <w:szCs w:val="22"/>
        </w:rPr>
      </w:pPr>
    </w:p>
    <w:p w14:paraId="1770303B" w14:textId="77777777" w:rsidR="005D4CE9" w:rsidRPr="007D5852" w:rsidRDefault="005D4CE9" w:rsidP="00874FE2">
      <w:pPr>
        <w:ind w:left="851" w:hanging="851"/>
        <w:jc w:val="both"/>
        <w:rPr>
          <w:rFonts w:ascii="Times New Roman" w:hAnsi="Times New Roman" w:cs="Times New Roman"/>
        </w:rPr>
      </w:pPr>
    </w:p>
    <w:sectPr w:rsidR="005D4CE9" w:rsidRPr="007D5852" w:rsidSect="00605A0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A8E89" w14:textId="77777777" w:rsidR="0051688C" w:rsidRDefault="0051688C" w:rsidP="00D52C80">
      <w:pPr>
        <w:spacing w:after="0" w:line="240" w:lineRule="auto"/>
      </w:pPr>
      <w:r>
        <w:separator/>
      </w:r>
    </w:p>
  </w:endnote>
  <w:endnote w:type="continuationSeparator" w:id="0">
    <w:p w14:paraId="49B60429" w14:textId="77777777" w:rsidR="0051688C" w:rsidRDefault="0051688C" w:rsidP="00D5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CF20E" w14:textId="77777777" w:rsidR="00D52C80" w:rsidRDefault="00D52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FC776" w14:textId="77777777" w:rsidR="00D52C80" w:rsidRDefault="00D52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68AD" w14:textId="77777777" w:rsidR="00D52C80" w:rsidRDefault="00D5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8968F" w14:textId="77777777" w:rsidR="0051688C" w:rsidRDefault="0051688C" w:rsidP="00D52C80">
      <w:pPr>
        <w:spacing w:after="0" w:line="240" w:lineRule="auto"/>
      </w:pPr>
      <w:r>
        <w:separator/>
      </w:r>
    </w:p>
  </w:footnote>
  <w:footnote w:type="continuationSeparator" w:id="0">
    <w:p w14:paraId="3E3B7742" w14:textId="77777777" w:rsidR="0051688C" w:rsidRDefault="0051688C" w:rsidP="00D52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F7947" w14:textId="25A9FDE2" w:rsidR="00D52C80" w:rsidRDefault="00000000">
    <w:pPr>
      <w:pStyle w:val="Header"/>
    </w:pPr>
    <w:r>
      <w:rPr>
        <w:noProof/>
      </w:rPr>
      <w:pict w14:anchorId="66AD6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29" o:spid="_x0000_s1026" type="#_x0000_t136" style="position:absolute;margin-left:0;margin-top:0;width:540.1pt;height:10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49103" w14:textId="639C2E51" w:rsidR="00D52C80" w:rsidRDefault="00000000">
    <w:pPr>
      <w:pStyle w:val="Header"/>
    </w:pPr>
    <w:r>
      <w:rPr>
        <w:noProof/>
      </w:rPr>
      <w:pict w14:anchorId="393C9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30" o:spid="_x0000_s1027" type="#_x0000_t136" style="position:absolute;margin-left:0;margin-top:0;width:540.1pt;height:10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AB0D" w14:textId="709366C6" w:rsidR="00D52C80" w:rsidRDefault="00000000">
    <w:pPr>
      <w:pStyle w:val="Header"/>
    </w:pPr>
    <w:r>
      <w:rPr>
        <w:noProof/>
      </w:rPr>
      <w:pict w14:anchorId="2119A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28" o:spid="_x0000_s1025" type="#_x0000_t136" style="position:absolute;margin-left:0;margin-top:0;width:540.1pt;height:10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44FC3"/>
    <w:multiLevelType w:val="hybridMultilevel"/>
    <w:tmpl w:val="49803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35531"/>
    <w:multiLevelType w:val="hybridMultilevel"/>
    <w:tmpl w:val="B2481CDA"/>
    <w:lvl w:ilvl="0" w:tplc="8264AB14">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416C6"/>
    <w:multiLevelType w:val="hybridMultilevel"/>
    <w:tmpl w:val="F7283AEC"/>
    <w:lvl w:ilvl="0" w:tplc="38322306">
      <w:start w:val="52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021515">
    <w:abstractNumId w:val="1"/>
  </w:num>
  <w:num w:numId="2" w16cid:durableId="1942957291">
    <w:abstractNumId w:val="2"/>
  </w:num>
  <w:num w:numId="3" w16cid:durableId="192102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2sTA1MDYxNzAys7BQ0lEKTi0uzszPAykwqQUALHhsQywAAAA="/>
  </w:docVars>
  <w:rsids>
    <w:rsidRoot w:val="005D4CE9"/>
    <w:rsid w:val="00092E4C"/>
    <w:rsid w:val="00123AAD"/>
    <w:rsid w:val="00181718"/>
    <w:rsid w:val="00192981"/>
    <w:rsid w:val="001968EC"/>
    <w:rsid w:val="001B3AC0"/>
    <w:rsid w:val="001C25E6"/>
    <w:rsid w:val="001F3D8B"/>
    <w:rsid w:val="002B2D47"/>
    <w:rsid w:val="003627E2"/>
    <w:rsid w:val="00385E42"/>
    <w:rsid w:val="00401A0F"/>
    <w:rsid w:val="00461E8D"/>
    <w:rsid w:val="004B6C89"/>
    <w:rsid w:val="004D6E96"/>
    <w:rsid w:val="0051688C"/>
    <w:rsid w:val="005256DE"/>
    <w:rsid w:val="00587118"/>
    <w:rsid w:val="005B4965"/>
    <w:rsid w:val="005D4CE9"/>
    <w:rsid w:val="005F08CA"/>
    <w:rsid w:val="00605A08"/>
    <w:rsid w:val="00697244"/>
    <w:rsid w:val="007D5852"/>
    <w:rsid w:val="0084267A"/>
    <w:rsid w:val="00865B0F"/>
    <w:rsid w:val="00873F7F"/>
    <w:rsid w:val="00874FE2"/>
    <w:rsid w:val="008F18E1"/>
    <w:rsid w:val="008F3281"/>
    <w:rsid w:val="00916E48"/>
    <w:rsid w:val="00A06024"/>
    <w:rsid w:val="00A740CC"/>
    <w:rsid w:val="00A82F98"/>
    <w:rsid w:val="00AF6AC8"/>
    <w:rsid w:val="00B13D6B"/>
    <w:rsid w:val="00BF36F6"/>
    <w:rsid w:val="00C11179"/>
    <w:rsid w:val="00C16067"/>
    <w:rsid w:val="00C3779D"/>
    <w:rsid w:val="00C91A75"/>
    <w:rsid w:val="00D52C80"/>
    <w:rsid w:val="00D82DEC"/>
    <w:rsid w:val="00DD3898"/>
    <w:rsid w:val="00E722EB"/>
    <w:rsid w:val="00E858F8"/>
    <w:rsid w:val="00E8628D"/>
    <w:rsid w:val="00E95E1D"/>
    <w:rsid w:val="00EE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3C626"/>
  <w15:chartTrackingRefBased/>
  <w15:docId w15:val="{94358442-A2A2-4B4C-B5D4-AAB991D7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CE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D4CE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D4CE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D4CE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D4CE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D4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E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D4CE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4CE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D4CE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D4CE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D4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CE9"/>
    <w:rPr>
      <w:rFonts w:eastAsiaTheme="majorEastAsia" w:cstheme="majorBidi"/>
      <w:color w:val="272727" w:themeColor="text1" w:themeTint="D8"/>
    </w:rPr>
  </w:style>
  <w:style w:type="paragraph" w:styleId="Title">
    <w:name w:val="Title"/>
    <w:basedOn w:val="Normal"/>
    <w:next w:val="Normal"/>
    <w:link w:val="TitleChar"/>
    <w:uiPriority w:val="10"/>
    <w:qFormat/>
    <w:rsid w:val="005D4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C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C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4CE9"/>
    <w:rPr>
      <w:i/>
      <w:iCs/>
      <w:color w:val="404040" w:themeColor="text1" w:themeTint="BF"/>
    </w:rPr>
  </w:style>
  <w:style w:type="paragraph" w:styleId="ListParagraph">
    <w:name w:val="List Paragraph"/>
    <w:basedOn w:val="Normal"/>
    <w:uiPriority w:val="1"/>
    <w:qFormat/>
    <w:rsid w:val="005D4CE9"/>
    <w:pPr>
      <w:ind w:left="720"/>
      <w:contextualSpacing/>
    </w:pPr>
  </w:style>
  <w:style w:type="character" w:styleId="IntenseEmphasis">
    <w:name w:val="Intense Emphasis"/>
    <w:basedOn w:val="DefaultParagraphFont"/>
    <w:uiPriority w:val="21"/>
    <w:qFormat/>
    <w:rsid w:val="005D4CE9"/>
    <w:rPr>
      <w:i/>
      <w:iCs/>
      <w:color w:val="365F91" w:themeColor="accent1" w:themeShade="BF"/>
    </w:rPr>
  </w:style>
  <w:style w:type="paragraph" w:styleId="IntenseQuote">
    <w:name w:val="Intense Quote"/>
    <w:basedOn w:val="Normal"/>
    <w:next w:val="Normal"/>
    <w:link w:val="IntenseQuoteChar"/>
    <w:uiPriority w:val="30"/>
    <w:qFormat/>
    <w:rsid w:val="005D4C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D4CE9"/>
    <w:rPr>
      <w:i/>
      <w:iCs/>
      <w:color w:val="365F91" w:themeColor="accent1" w:themeShade="BF"/>
    </w:rPr>
  </w:style>
  <w:style w:type="character" w:styleId="IntenseReference">
    <w:name w:val="Intense Reference"/>
    <w:basedOn w:val="DefaultParagraphFont"/>
    <w:uiPriority w:val="32"/>
    <w:qFormat/>
    <w:rsid w:val="005D4CE9"/>
    <w:rPr>
      <w:b/>
      <w:bCs/>
      <w:smallCaps/>
      <w:color w:val="365F91" w:themeColor="accent1" w:themeShade="BF"/>
      <w:spacing w:val="5"/>
    </w:rPr>
  </w:style>
  <w:style w:type="paragraph" w:styleId="HTMLPreformatted">
    <w:name w:val="HTML Preformatted"/>
    <w:basedOn w:val="Normal"/>
    <w:link w:val="HTMLPreformattedChar"/>
    <w:uiPriority w:val="99"/>
    <w:unhideWhenUsed/>
    <w:rsid w:val="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4CE9"/>
    <w:rPr>
      <w:rFonts w:ascii="Courier New" w:eastAsia="Times New Roman" w:hAnsi="Courier New" w:cs="Courier New"/>
      <w:sz w:val="20"/>
      <w:szCs w:val="20"/>
    </w:rPr>
  </w:style>
  <w:style w:type="character" w:customStyle="1" w:styleId="y2iqfc">
    <w:name w:val="y2iqfc"/>
    <w:basedOn w:val="DefaultParagraphFont"/>
    <w:rsid w:val="005D4CE9"/>
  </w:style>
  <w:style w:type="character" w:customStyle="1" w:styleId="markedcontent">
    <w:name w:val="markedcontent"/>
    <w:basedOn w:val="DefaultParagraphFont"/>
    <w:rsid w:val="005D4CE9"/>
  </w:style>
  <w:style w:type="character" w:styleId="Hyperlink">
    <w:name w:val="Hyperlink"/>
    <w:basedOn w:val="DefaultParagraphFont"/>
    <w:uiPriority w:val="99"/>
    <w:unhideWhenUsed/>
    <w:rsid w:val="005D4CE9"/>
    <w:rPr>
      <w:color w:val="0000FF" w:themeColor="hyperlink"/>
      <w:u w:val="single"/>
    </w:rPr>
  </w:style>
  <w:style w:type="table" w:styleId="TableGrid">
    <w:name w:val="Table Grid"/>
    <w:basedOn w:val="TableNormal"/>
    <w:qFormat/>
    <w:rsid w:val="00C91A75"/>
    <w:pPr>
      <w:widowControl w:val="0"/>
      <w:spacing w:after="0" w:line="240" w:lineRule="auto"/>
      <w:jc w:val="both"/>
    </w:pPr>
    <w:rPr>
      <w:rFonts w:eastAsiaTheme="minorEastAsia"/>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2981"/>
    <w:rPr>
      <w:color w:val="605E5C"/>
      <w:shd w:val="clear" w:color="auto" w:fill="E1DFDD"/>
    </w:rPr>
  </w:style>
  <w:style w:type="paragraph" w:styleId="Header">
    <w:name w:val="header"/>
    <w:basedOn w:val="Normal"/>
    <w:link w:val="HeaderChar"/>
    <w:uiPriority w:val="99"/>
    <w:unhideWhenUsed/>
    <w:rsid w:val="00D52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C80"/>
  </w:style>
  <w:style w:type="paragraph" w:styleId="Footer">
    <w:name w:val="footer"/>
    <w:basedOn w:val="Normal"/>
    <w:link w:val="FooterChar"/>
    <w:uiPriority w:val="99"/>
    <w:unhideWhenUsed/>
    <w:rsid w:val="00D5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4840">
      <w:bodyDiv w:val="1"/>
      <w:marLeft w:val="0"/>
      <w:marRight w:val="0"/>
      <w:marTop w:val="0"/>
      <w:marBottom w:val="0"/>
      <w:divBdr>
        <w:top w:val="none" w:sz="0" w:space="0" w:color="auto"/>
        <w:left w:val="none" w:sz="0" w:space="0" w:color="auto"/>
        <w:bottom w:val="none" w:sz="0" w:space="0" w:color="auto"/>
        <w:right w:val="none" w:sz="0" w:space="0" w:color="auto"/>
      </w:divBdr>
      <w:divsChild>
        <w:div w:id="1643578648">
          <w:marLeft w:val="0"/>
          <w:marRight w:val="0"/>
          <w:marTop w:val="0"/>
          <w:marBottom w:val="0"/>
          <w:divBdr>
            <w:top w:val="none" w:sz="0" w:space="0" w:color="auto"/>
            <w:left w:val="none" w:sz="0" w:space="0" w:color="auto"/>
            <w:bottom w:val="none" w:sz="0" w:space="0" w:color="auto"/>
            <w:right w:val="none" w:sz="0" w:space="0" w:color="auto"/>
          </w:divBdr>
        </w:div>
      </w:divsChild>
    </w:div>
    <w:div w:id="105081822">
      <w:bodyDiv w:val="1"/>
      <w:marLeft w:val="0"/>
      <w:marRight w:val="0"/>
      <w:marTop w:val="0"/>
      <w:marBottom w:val="0"/>
      <w:divBdr>
        <w:top w:val="none" w:sz="0" w:space="0" w:color="auto"/>
        <w:left w:val="none" w:sz="0" w:space="0" w:color="auto"/>
        <w:bottom w:val="none" w:sz="0" w:space="0" w:color="auto"/>
        <w:right w:val="none" w:sz="0" w:space="0" w:color="auto"/>
      </w:divBdr>
      <w:divsChild>
        <w:div w:id="1559317940">
          <w:marLeft w:val="0"/>
          <w:marRight w:val="0"/>
          <w:marTop w:val="0"/>
          <w:marBottom w:val="0"/>
          <w:divBdr>
            <w:top w:val="none" w:sz="0" w:space="0" w:color="auto"/>
            <w:left w:val="none" w:sz="0" w:space="0" w:color="auto"/>
            <w:bottom w:val="none" w:sz="0" w:space="0" w:color="auto"/>
            <w:right w:val="none" w:sz="0" w:space="0" w:color="auto"/>
          </w:divBdr>
        </w:div>
      </w:divsChild>
    </w:div>
    <w:div w:id="109936411">
      <w:bodyDiv w:val="1"/>
      <w:marLeft w:val="0"/>
      <w:marRight w:val="0"/>
      <w:marTop w:val="0"/>
      <w:marBottom w:val="0"/>
      <w:divBdr>
        <w:top w:val="none" w:sz="0" w:space="0" w:color="auto"/>
        <w:left w:val="none" w:sz="0" w:space="0" w:color="auto"/>
        <w:bottom w:val="none" w:sz="0" w:space="0" w:color="auto"/>
        <w:right w:val="none" w:sz="0" w:space="0" w:color="auto"/>
      </w:divBdr>
      <w:divsChild>
        <w:div w:id="1246305672">
          <w:marLeft w:val="0"/>
          <w:marRight w:val="0"/>
          <w:marTop w:val="0"/>
          <w:marBottom w:val="0"/>
          <w:divBdr>
            <w:top w:val="none" w:sz="0" w:space="0" w:color="auto"/>
            <w:left w:val="none" w:sz="0" w:space="0" w:color="auto"/>
            <w:bottom w:val="none" w:sz="0" w:space="0" w:color="auto"/>
            <w:right w:val="none" w:sz="0" w:space="0" w:color="auto"/>
          </w:divBdr>
        </w:div>
      </w:divsChild>
    </w:div>
    <w:div w:id="132719188">
      <w:bodyDiv w:val="1"/>
      <w:marLeft w:val="0"/>
      <w:marRight w:val="0"/>
      <w:marTop w:val="0"/>
      <w:marBottom w:val="0"/>
      <w:divBdr>
        <w:top w:val="none" w:sz="0" w:space="0" w:color="auto"/>
        <w:left w:val="none" w:sz="0" w:space="0" w:color="auto"/>
        <w:bottom w:val="none" w:sz="0" w:space="0" w:color="auto"/>
        <w:right w:val="none" w:sz="0" w:space="0" w:color="auto"/>
      </w:divBdr>
      <w:divsChild>
        <w:div w:id="565147757">
          <w:marLeft w:val="0"/>
          <w:marRight w:val="0"/>
          <w:marTop w:val="0"/>
          <w:marBottom w:val="0"/>
          <w:divBdr>
            <w:top w:val="none" w:sz="0" w:space="0" w:color="auto"/>
            <w:left w:val="none" w:sz="0" w:space="0" w:color="auto"/>
            <w:bottom w:val="none" w:sz="0" w:space="0" w:color="auto"/>
            <w:right w:val="none" w:sz="0" w:space="0" w:color="auto"/>
          </w:divBdr>
        </w:div>
      </w:divsChild>
    </w:div>
    <w:div w:id="231014511">
      <w:bodyDiv w:val="1"/>
      <w:marLeft w:val="0"/>
      <w:marRight w:val="0"/>
      <w:marTop w:val="0"/>
      <w:marBottom w:val="0"/>
      <w:divBdr>
        <w:top w:val="none" w:sz="0" w:space="0" w:color="auto"/>
        <w:left w:val="none" w:sz="0" w:space="0" w:color="auto"/>
        <w:bottom w:val="none" w:sz="0" w:space="0" w:color="auto"/>
        <w:right w:val="none" w:sz="0" w:space="0" w:color="auto"/>
      </w:divBdr>
      <w:divsChild>
        <w:div w:id="612325779">
          <w:marLeft w:val="0"/>
          <w:marRight w:val="0"/>
          <w:marTop w:val="0"/>
          <w:marBottom w:val="0"/>
          <w:divBdr>
            <w:top w:val="none" w:sz="0" w:space="0" w:color="auto"/>
            <w:left w:val="none" w:sz="0" w:space="0" w:color="auto"/>
            <w:bottom w:val="none" w:sz="0" w:space="0" w:color="auto"/>
            <w:right w:val="none" w:sz="0" w:space="0" w:color="auto"/>
          </w:divBdr>
        </w:div>
      </w:divsChild>
    </w:div>
    <w:div w:id="273486035">
      <w:bodyDiv w:val="1"/>
      <w:marLeft w:val="0"/>
      <w:marRight w:val="0"/>
      <w:marTop w:val="0"/>
      <w:marBottom w:val="0"/>
      <w:divBdr>
        <w:top w:val="none" w:sz="0" w:space="0" w:color="auto"/>
        <w:left w:val="none" w:sz="0" w:space="0" w:color="auto"/>
        <w:bottom w:val="none" w:sz="0" w:space="0" w:color="auto"/>
        <w:right w:val="none" w:sz="0" w:space="0" w:color="auto"/>
      </w:divBdr>
    </w:div>
    <w:div w:id="295332603">
      <w:bodyDiv w:val="1"/>
      <w:marLeft w:val="0"/>
      <w:marRight w:val="0"/>
      <w:marTop w:val="0"/>
      <w:marBottom w:val="0"/>
      <w:divBdr>
        <w:top w:val="none" w:sz="0" w:space="0" w:color="auto"/>
        <w:left w:val="none" w:sz="0" w:space="0" w:color="auto"/>
        <w:bottom w:val="none" w:sz="0" w:space="0" w:color="auto"/>
        <w:right w:val="none" w:sz="0" w:space="0" w:color="auto"/>
      </w:divBdr>
    </w:div>
    <w:div w:id="310670193">
      <w:bodyDiv w:val="1"/>
      <w:marLeft w:val="0"/>
      <w:marRight w:val="0"/>
      <w:marTop w:val="0"/>
      <w:marBottom w:val="0"/>
      <w:divBdr>
        <w:top w:val="none" w:sz="0" w:space="0" w:color="auto"/>
        <w:left w:val="none" w:sz="0" w:space="0" w:color="auto"/>
        <w:bottom w:val="none" w:sz="0" w:space="0" w:color="auto"/>
        <w:right w:val="none" w:sz="0" w:space="0" w:color="auto"/>
      </w:divBdr>
      <w:divsChild>
        <w:div w:id="1788889007">
          <w:marLeft w:val="0"/>
          <w:marRight w:val="0"/>
          <w:marTop w:val="0"/>
          <w:marBottom w:val="0"/>
          <w:divBdr>
            <w:top w:val="none" w:sz="0" w:space="0" w:color="auto"/>
            <w:left w:val="none" w:sz="0" w:space="0" w:color="auto"/>
            <w:bottom w:val="none" w:sz="0" w:space="0" w:color="auto"/>
            <w:right w:val="none" w:sz="0" w:space="0" w:color="auto"/>
          </w:divBdr>
        </w:div>
      </w:divsChild>
    </w:div>
    <w:div w:id="420218378">
      <w:bodyDiv w:val="1"/>
      <w:marLeft w:val="0"/>
      <w:marRight w:val="0"/>
      <w:marTop w:val="0"/>
      <w:marBottom w:val="0"/>
      <w:divBdr>
        <w:top w:val="none" w:sz="0" w:space="0" w:color="auto"/>
        <w:left w:val="none" w:sz="0" w:space="0" w:color="auto"/>
        <w:bottom w:val="none" w:sz="0" w:space="0" w:color="auto"/>
        <w:right w:val="none" w:sz="0" w:space="0" w:color="auto"/>
      </w:divBdr>
      <w:divsChild>
        <w:div w:id="391582398">
          <w:marLeft w:val="0"/>
          <w:marRight w:val="0"/>
          <w:marTop w:val="0"/>
          <w:marBottom w:val="0"/>
          <w:divBdr>
            <w:top w:val="none" w:sz="0" w:space="0" w:color="auto"/>
            <w:left w:val="none" w:sz="0" w:space="0" w:color="auto"/>
            <w:bottom w:val="none" w:sz="0" w:space="0" w:color="auto"/>
            <w:right w:val="none" w:sz="0" w:space="0" w:color="auto"/>
          </w:divBdr>
        </w:div>
      </w:divsChild>
    </w:div>
    <w:div w:id="558245348">
      <w:bodyDiv w:val="1"/>
      <w:marLeft w:val="0"/>
      <w:marRight w:val="0"/>
      <w:marTop w:val="0"/>
      <w:marBottom w:val="0"/>
      <w:divBdr>
        <w:top w:val="none" w:sz="0" w:space="0" w:color="auto"/>
        <w:left w:val="none" w:sz="0" w:space="0" w:color="auto"/>
        <w:bottom w:val="none" w:sz="0" w:space="0" w:color="auto"/>
        <w:right w:val="none" w:sz="0" w:space="0" w:color="auto"/>
      </w:divBdr>
    </w:div>
    <w:div w:id="592859162">
      <w:bodyDiv w:val="1"/>
      <w:marLeft w:val="0"/>
      <w:marRight w:val="0"/>
      <w:marTop w:val="0"/>
      <w:marBottom w:val="0"/>
      <w:divBdr>
        <w:top w:val="none" w:sz="0" w:space="0" w:color="auto"/>
        <w:left w:val="none" w:sz="0" w:space="0" w:color="auto"/>
        <w:bottom w:val="none" w:sz="0" w:space="0" w:color="auto"/>
        <w:right w:val="none" w:sz="0" w:space="0" w:color="auto"/>
      </w:divBdr>
      <w:divsChild>
        <w:div w:id="203906709">
          <w:marLeft w:val="0"/>
          <w:marRight w:val="0"/>
          <w:marTop w:val="0"/>
          <w:marBottom w:val="0"/>
          <w:divBdr>
            <w:top w:val="none" w:sz="0" w:space="0" w:color="auto"/>
            <w:left w:val="none" w:sz="0" w:space="0" w:color="auto"/>
            <w:bottom w:val="none" w:sz="0" w:space="0" w:color="auto"/>
            <w:right w:val="none" w:sz="0" w:space="0" w:color="auto"/>
          </w:divBdr>
        </w:div>
      </w:divsChild>
    </w:div>
    <w:div w:id="594944727">
      <w:bodyDiv w:val="1"/>
      <w:marLeft w:val="0"/>
      <w:marRight w:val="0"/>
      <w:marTop w:val="0"/>
      <w:marBottom w:val="0"/>
      <w:divBdr>
        <w:top w:val="none" w:sz="0" w:space="0" w:color="auto"/>
        <w:left w:val="none" w:sz="0" w:space="0" w:color="auto"/>
        <w:bottom w:val="none" w:sz="0" w:space="0" w:color="auto"/>
        <w:right w:val="none" w:sz="0" w:space="0" w:color="auto"/>
      </w:divBdr>
      <w:divsChild>
        <w:div w:id="1175420421">
          <w:marLeft w:val="0"/>
          <w:marRight w:val="0"/>
          <w:marTop w:val="0"/>
          <w:marBottom w:val="0"/>
          <w:divBdr>
            <w:top w:val="none" w:sz="0" w:space="0" w:color="auto"/>
            <w:left w:val="none" w:sz="0" w:space="0" w:color="auto"/>
            <w:bottom w:val="none" w:sz="0" w:space="0" w:color="auto"/>
            <w:right w:val="none" w:sz="0" w:space="0" w:color="auto"/>
          </w:divBdr>
        </w:div>
      </w:divsChild>
    </w:div>
    <w:div w:id="610282087">
      <w:bodyDiv w:val="1"/>
      <w:marLeft w:val="0"/>
      <w:marRight w:val="0"/>
      <w:marTop w:val="0"/>
      <w:marBottom w:val="0"/>
      <w:divBdr>
        <w:top w:val="none" w:sz="0" w:space="0" w:color="auto"/>
        <w:left w:val="none" w:sz="0" w:space="0" w:color="auto"/>
        <w:bottom w:val="none" w:sz="0" w:space="0" w:color="auto"/>
        <w:right w:val="none" w:sz="0" w:space="0" w:color="auto"/>
      </w:divBdr>
    </w:div>
    <w:div w:id="614871887">
      <w:bodyDiv w:val="1"/>
      <w:marLeft w:val="0"/>
      <w:marRight w:val="0"/>
      <w:marTop w:val="0"/>
      <w:marBottom w:val="0"/>
      <w:divBdr>
        <w:top w:val="none" w:sz="0" w:space="0" w:color="auto"/>
        <w:left w:val="none" w:sz="0" w:space="0" w:color="auto"/>
        <w:bottom w:val="none" w:sz="0" w:space="0" w:color="auto"/>
        <w:right w:val="none" w:sz="0" w:space="0" w:color="auto"/>
      </w:divBdr>
    </w:div>
    <w:div w:id="625428376">
      <w:bodyDiv w:val="1"/>
      <w:marLeft w:val="0"/>
      <w:marRight w:val="0"/>
      <w:marTop w:val="0"/>
      <w:marBottom w:val="0"/>
      <w:divBdr>
        <w:top w:val="none" w:sz="0" w:space="0" w:color="auto"/>
        <w:left w:val="none" w:sz="0" w:space="0" w:color="auto"/>
        <w:bottom w:val="none" w:sz="0" w:space="0" w:color="auto"/>
        <w:right w:val="none" w:sz="0" w:space="0" w:color="auto"/>
      </w:divBdr>
      <w:divsChild>
        <w:div w:id="1264726194">
          <w:marLeft w:val="0"/>
          <w:marRight w:val="0"/>
          <w:marTop w:val="0"/>
          <w:marBottom w:val="0"/>
          <w:divBdr>
            <w:top w:val="none" w:sz="0" w:space="0" w:color="auto"/>
            <w:left w:val="none" w:sz="0" w:space="0" w:color="auto"/>
            <w:bottom w:val="none" w:sz="0" w:space="0" w:color="auto"/>
            <w:right w:val="none" w:sz="0" w:space="0" w:color="auto"/>
          </w:divBdr>
        </w:div>
      </w:divsChild>
    </w:div>
    <w:div w:id="651760816">
      <w:bodyDiv w:val="1"/>
      <w:marLeft w:val="0"/>
      <w:marRight w:val="0"/>
      <w:marTop w:val="0"/>
      <w:marBottom w:val="0"/>
      <w:divBdr>
        <w:top w:val="none" w:sz="0" w:space="0" w:color="auto"/>
        <w:left w:val="none" w:sz="0" w:space="0" w:color="auto"/>
        <w:bottom w:val="none" w:sz="0" w:space="0" w:color="auto"/>
        <w:right w:val="none" w:sz="0" w:space="0" w:color="auto"/>
      </w:divBdr>
      <w:divsChild>
        <w:div w:id="337773879">
          <w:marLeft w:val="0"/>
          <w:marRight w:val="0"/>
          <w:marTop w:val="0"/>
          <w:marBottom w:val="0"/>
          <w:divBdr>
            <w:top w:val="none" w:sz="0" w:space="0" w:color="auto"/>
            <w:left w:val="none" w:sz="0" w:space="0" w:color="auto"/>
            <w:bottom w:val="none" w:sz="0" w:space="0" w:color="auto"/>
            <w:right w:val="none" w:sz="0" w:space="0" w:color="auto"/>
          </w:divBdr>
        </w:div>
      </w:divsChild>
    </w:div>
    <w:div w:id="665134776">
      <w:bodyDiv w:val="1"/>
      <w:marLeft w:val="0"/>
      <w:marRight w:val="0"/>
      <w:marTop w:val="0"/>
      <w:marBottom w:val="0"/>
      <w:divBdr>
        <w:top w:val="none" w:sz="0" w:space="0" w:color="auto"/>
        <w:left w:val="none" w:sz="0" w:space="0" w:color="auto"/>
        <w:bottom w:val="none" w:sz="0" w:space="0" w:color="auto"/>
        <w:right w:val="none" w:sz="0" w:space="0" w:color="auto"/>
      </w:divBdr>
    </w:div>
    <w:div w:id="723873845">
      <w:bodyDiv w:val="1"/>
      <w:marLeft w:val="0"/>
      <w:marRight w:val="0"/>
      <w:marTop w:val="0"/>
      <w:marBottom w:val="0"/>
      <w:divBdr>
        <w:top w:val="none" w:sz="0" w:space="0" w:color="auto"/>
        <w:left w:val="none" w:sz="0" w:space="0" w:color="auto"/>
        <w:bottom w:val="none" w:sz="0" w:space="0" w:color="auto"/>
        <w:right w:val="none" w:sz="0" w:space="0" w:color="auto"/>
      </w:divBdr>
      <w:divsChild>
        <w:div w:id="413160785">
          <w:marLeft w:val="0"/>
          <w:marRight w:val="0"/>
          <w:marTop w:val="0"/>
          <w:marBottom w:val="0"/>
          <w:divBdr>
            <w:top w:val="none" w:sz="0" w:space="0" w:color="auto"/>
            <w:left w:val="none" w:sz="0" w:space="0" w:color="auto"/>
            <w:bottom w:val="none" w:sz="0" w:space="0" w:color="auto"/>
            <w:right w:val="none" w:sz="0" w:space="0" w:color="auto"/>
          </w:divBdr>
        </w:div>
      </w:divsChild>
    </w:div>
    <w:div w:id="736366743">
      <w:bodyDiv w:val="1"/>
      <w:marLeft w:val="0"/>
      <w:marRight w:val="0"/>
      <w:marTop w:val="0"/>
      <w:marBottom w:val="0"/>
      <w:divBdr>
        <w:top w:val="none" w:sz="0" w:space="0" w:color="auto"/>
        <w:left w:val="none" w:sz="0" w:space="0" w:color="auto"/>
        <w:bottom w:val="none" w:sz="0" w:space="0" w:color="auto"/>
        <w:right w:val="none" w:sz="0" w:space="0" w:color="auto"/>
      </w:divBdr>
    </w:div>
    <w:div w:id="789515111">
      <w:bodyDiv w:val="1"/>
      <w:marLeft w:val="0"/>
      <w:marRight w:val="0"/>
      <w:marTop w:val="0"/>
      <w:marBottom w:val="0"/>
      <w:divBdr>
        <w:top w:val="none" w:sz="0" w:space="0" w:color="auto"/>
        <w:left w:val="none" w:sz="0" w:space="0" w:color="auto"/>
        <w:bottom w:val="none" w:sz="0" w:space="0" w:color="auto"/>
        <w:right w:val="none" w:sz="0" w:space="0" w:color="auto"/>
      </w:divBdr>
      <w:divsChild>
        <w:div w:id="468059564">
          <w:marLeft w:val="0"/>
          <w:marRight w:val="0"/>
          <w:marTop w:val="0"/>
          <w:marBottom w:val="0"/>
          <w:divBdr>
            <w:top w:val="none" w:sz="0" w:space="0" w:color="auto"/>
            <w:left w:val="none" w:sz="0" w:space="0" w:color="auto"/>
            <w:bottom w:val="none" w:sz="0" w:space="0" w:color="auto"/>
            <w:right w:val="none" w:sz="0" w:space="0" w:color="auto"/>
          </w:divBdr>
        </w:div>
      </w:divsChild>
    </w:div>
    <w:div w:id="805467561">
      <w:bodyDiv w:val="1"/>
      <w:marLeft w:val="0"/>
      <w:marRight w:val="0"/>
      <w:marTop w:val="0"/>
      <w:marBottom w:val="0"/>
      <w:divBdr>
        <w:top w:val="none" w:sz="0" w:space="0" w:color="auto"/>
        <w:left w:val="none" w:sz="0" w:space="0" w:color="auto"/>
        <w:bottom w:val="none" w:sz="0" w:space="0" w:color="auto"/>
        <w:right w:val="none" w:sz="0" w:space="0" w:color="auto"/>
      </w:divBdr>
    </w:div>
    <w:div w:id="813765165">
      <w:bodyDiv w:val="1"/>
      <w:marLeft w:val="0"/>
      <w:marRight w:val="0"/>
      <w:marTop w:val="0"/>
      <w:marBottom w:val="0"/>
      <w:divBdr>
        <w:top w:val="none" w:sz="0" w:space="0" w:color="auto"/>
        <w:left w:val="none" w:sz="0" w:space="0" w:color="auto"/>
        <w:bottom w:val="none" w:sz="0" w:space="0" w:color="auto"/>
        <w:right w:val="none" w:sz="0" w:space="0" w:color="auto"/>
      </w:divBdr>
      <w:divsChild>
        <w:div w:id="1402950012">
          <w:marLeft w:val="0"/>
          <w:marRight w:val="0"/>
          <w:marTop w:val="0"/>
          <w:marBottom w:val="0"/>
          <w:divBdr>
            <w:top w:val="none" w:sz="0" w:space="0" w:color="auto"/>
            <w:left w:val="none" w:sz="0" w:space="0" w:color="auto"/>
            <w:bottom w:val="none" w:sz="0" w:space="0" w:color="auto"/>
            <w:right w:val="none" w:sz="0" w:space="0" w:color="auto"/>
          </w:divBdr>
        </w:div>
      </w:divsChild>
    </w:div>
    <w:div w:id="970552387">
      <w:bodyDiv w:val="1"/>
      <w:marLeft w:val="0"/>
      <w:marRight w:val="0"/>
      <w:marTop w:val="0"/>
      <w:marBottom w:val="0"/>
      <w:divBdr>
        <w:top w:val="none" w:sz="0" w:space="0" w:color="auto"/>
        <w:left w:val="none" w:sz="0" w:space="0" w:color="auto"/>
        <w:bottom w:val="none" w:sz="0" w:space="0" w:color="auto"/>
        <w:right w:val="none" w:sz="0" w:space="0" w:color="auto"/>
      </w:divBdr>
      <w:divsChild>
        <w:div w:id="1170943600">
          <w:marLeft w:val="0"/>
          <w:marRight w:val="0"/>
          <w:marTop w:val="0"/>
          <w:marBottom w:val="0"/>
          <w:divBdr>
            <w:top w:val="none" w:sz="0" w:space="0" w:color="auto"/>
            <w:left w:val="none" w:sz="0" w:space="0" w:color="auto"/>
            <w:bottom w:val="none" w:sz="0" w:space="0" w:color="auto"/>
            <w:right w:val="none" w:sz="0" w:space="0" w:color="auto"/>
          </w:divBdr>
        </w:div>
        <w:div w:id="1272513123">
          <w:marLeft w:val="0"/>
          <w:marRight w:val="0"/>
          <w:marTop w:val="0"/>
          <w:marBottom w:val="0"/>
          <w:divBdr>
            <w:top w:val="none" w:sz="0" w:space="0" w:color="auto"/>
            <w:left w:val="none" w:sz="0" w:space="0" w:color="auto"/>
            <w:bottom w:val="none" w:sz="0" w:space="0" w:color="auto"/>
            <w:right w:val="none" w:sz="0" w:space="0" w:color="auto"/>
          </w:divBdr>
          <w:divsChild>
            <w:div w:id="1748066102">
              <w:marLeft w:val="0"/>
              <w:marRight w:val="0"/>
              <w:marTop w:val="0"/>
              <w:marBottom w:val="0"/>
              <w:divBdr>
                <w:top w:val="none" w:sz="0" w:space="0" w:color="auto"/>
                <w:left w:val="none" w:sz="0" w:space="0" w:color="auto"/>
                <w:bottom w:val="none" w:sz="0" w:space="0" w:color="auto"/>
                <w:right w:val="none" w:sz="0" w:space="0" w:color="auto"/>
              </w:divBdr>
              <w:divsChild>
                <w:div w:id="1354577533">
                  <w:marLeft w:val="0"/>
                  <w:marRight w:val="0"/>
                  <w:marTop w:val="0"/>
                  <w:marBottom w:val="0"/>
                  <w:divBdr>
                    <w:top w:val="none" w:sz="0" w:space="0" w:color="auto"/>
                    <w:left w:val="none" w:sz="0" w:space="0" w:color="auto"/>
                    <w:bottom w:val="none" w:sz="0" w:space="0" w:color="auto"/>
                    <w:right w:val="none" w:sz="0" w:space="0" w:color="auto"/>
                  </w:divBdr>
                  <w:divsChild>
                    <w:div w:id="169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1973">
          <w:marLeft w:val="0"/>
          <w:marRight w:val="0"/>
          <w:marTop w:val="0"/>
          <w:marBottom w:val="0"/>
          <w:divBdr>
            <w:top w:val="none" w:sz="0" w:space="0" w:color="auto"/>
            <w:left w:val="none" w:sz="0" w:space="0" w:color="auto"/>
            <w:bottom w:val="none" w:sz="0" w:space="0" w:color="auto"/>
            <w:right w:val="none" w:sz="0" w:space="0" w:color="auto"/>
          </w:divBdr>
          <w:divsChild>
            <w:div w:id="6020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1411">
      <w:bodyDiv w:val="1"/>
      <w:marLeft w:val="0"/>
      <w:marRight w:val="0"/>
      <w:marTop w:val="0"/>
      <w:marBottom w:val="0"/>
      <w:divBdr>
        <w:top w:val="none" w:sz="0" w:space="0" w:color="auto"/>
        <w:left w:val="none" w:sz="0" w:space="0" w:color="auto"/>
        <w:bottom w:val="none" w:sz="0" w:space="0" w:color="auto"/>
        <w:right w:val="none" w:sz="0" w:space="0" w:color="auto"/>
      </w:divBdr>
    </w:div>
    <w:div w:id="1044061840">
      <w:bodyDiv w:val="1"/>
      <w:marLeft w:val="0"/>
      <w:marRight w:val="0"/>
      <w:marTop w:val="0"/>
      <w:marBottom w:val="0"/>
      <w:divBdr>
        <w:top w:val="none" w:sz="0" w:space="0" w:color="auto"/>
        <w:left w:val="none" w:sz="0" w:space="0" w:color="auto"/>
        <w:bottom w:val="none" w:sz="0" w:space="0" w:color="auto"/>
        <w:right w:val="none" w:sz="0" w:space="0" w:color="auto"/>
      </w:divBdr>
      <w:divsChild>
        <w:div w:id="410856262">
          <w:marLeft w:val="0"/>
          <w:marRight w:val="0"/>
          <w:marTop w:val="0"/>
          <w:marBottom w:val="0"/>
          <w:divBdr>
            <w:top w:val="none" w:sz="0" w:space="0" w:color="auto"/>
            <w:left w:val="none" w:sz="0" w:space="0" w:color="auto"/>
            <w:bottom w:val="none" w:sz="0" w:space="0" w:color="auto"/>
            <w:right w:val="none" w:sz="0" w:space="0" w:color="auto"/>
          </w:divBdr>
        </w:div>
      </w:divsChild>
    </w:div>
    <w:div w:id="1056660606">
      <w:bodyDiv w:val="1"/>
      <w:marLeft w:val="0"/>
      <w:marRight w:val="0"/>
      <w:marTop w:val="0"/>
      <w:marBottom w:val="0"/>
      <w:divBdr>
        <w:top w:val="none" w:sz="0" w:space="0" w:color="auto"/>
        <w:left w:val="none" w:sz="0" w:space="0" w:color="auto"/>
        <w:bottom w:val="none" w:sz="0" w:space="0" w:color="auto"/>
        <w:right w:val="none" w:sz="0" w:space="0" w:color="auto"/>
      </w:divBdr>
    </w:div>
    <w:div w:id="1079793353">
      <w:bodyDiv w:val="1"/>
      <w:marLeft w:val="0"/>
      <w:marRight w:val="0"/>
      <w:marTop w:val="0"/>
      <w:marBottom w:val="0"/>
      <w:divBdr>
        <w:top w:val="none" w:sz="0" w:space="0" w:color="auto"/>
        <w:left w:val="none" w:sz="0" w:space="0" w:color="auto"/>
        <w:bottom w:val="none" w:sz="0" w:space="0" w:color="auto"/>
        <w:right w:val="none" w:sz="0" w:space="0" w:color="auto"/>
      </w:divBdr>
      <w:divsChild>
        <w:div w:id="2136868202">
          <w:marLeft w:val="0"/>
          <w:marRight w:val="0"/>
          <w:marTop w:val="0"/>
          <w:marBottom w:val="0"/>
          <w:divBdr>
            <w:top w:val="none" w:sz="0" w:space="0" w:color="auto"/>
            <w:left w:val="none" w:sz="0" w:space="0" w:color="auto"/>
            <w:bottom w:val="none" w:sz="0" w:space="0" w:color="auto"/>
            <w:right w:val="none" w:sz="0" w:space="0" w:color="auto"/>
          </w:divBdr>
        </w:div>
      </w:divsChild>
    </w:div>
    <w:div w:id="1157915917">
      <w:bodyDiv w:val="1"/>
      <w:marLeft w:val="0"/>
      <w:marRight w:val="0"/>
      <w:marTop w:val="0"/>
      <w:marBottom w:val="0"/>
      <w:divBdr>
        <w:top w:val="none" w:sz="0" w:space="0" w:color="auto"/>
        <w:left w:val="none" w:sz="0" w:space="0" w:color="auto"/>
        <w:bottom w:val="none" w:sz="0" w:space="0" w:color="auto"/>
        <w:right w:val="none" w:sz="0" w:space="0" w:color="auto"/>
      </w:divBdr>
    </w:div>
    <w:div w:id="1172647564">
      <w:bodyDiv w:val="1"/>
      <w:marLeft w:val="0"/>
      <w:marRight w:val="0"/>
      <w:marTop w:val="0"/>
      <w:marBottom w:val="0"/>
      <w:divBdr>
        <w:top w:val="none" w:sz="0" w:space="0" w:color="auto"/>
        <w:left w:val="none" w:sz="0" w:space="0" w:color="auto"/>
        <w:bottom w:val="none" w:sz="0" w:space="0" w:color="auto"/>
        <w:right w:val="none" w:sz="0" w:space="0" w:color="auto"/>
      </w:divBdr>
      <w:divsChild>
        <w:div w:id="567230350">
          <w:marLeft w:val="0"/>
          <w:marRight w:val="0"/>
          <w:marTop w:val="0"/>
          <w:marBottom w:val="0"/>
          <w:divBdr>
            <w:top w:val="none" w:sz="0" w:space="0" w:color="auto"/>
            <w:left w:val="none" w:sz="0" w:space="0" w:color="auto"/>
            <w:bottom w:val="none" w:sz="0" w:space="0" w:color="auto"/>
            <w:right w:val="none" w:sz="0" w:space="0" w:color="auto"/>
          </w:divBdr>
        </w:div>
      </w:divsChild>
    </w:div>
    <w:div w:id="1175221308">
      <w:bodyDiv w:val="1"/>
      <w:marLeft w:val="0"/>
      <w:marRight w:val="0"/>
      <w:marTop w:val="0"/>
      <w:marBottom w:val="0"/>
      <w:divBdr>
        <w:top w:val="none" w:sz="0" w:space="0" w:color="auto"/>
        <w:left w:val="none" w:sz="0" w:space="0" w:color="auto"/>
        <w:bottom w:val="none" w:sz="0" w:space="0" w:color="auto"/>
        <w:right w:val="none" w:sz="0" w:space="0" w:color="auto"/>
      </w:divBdr>
      <w:divsChild>
        <w:div w:id="295456849">
          <w:marLeft w:val="0"/>
          <w:marRight w:val="0"/>
          <w:marTop w:val="0"/>
          <w:marBottom w:val="0"/>
          <w:divBdr>
            <w:top w:val="none" w:sz="0" w:space="0" w:color="auto"/>
            <w:left w:val="none" w:sz="0" w:space="0" w:color="auto"/>
            <w:bottom w:val="none" w:sz="0" w:space="0" w:color="auto"/>
            <w:right w:val="none" w:sz="0" w:space="0" w:color="auto"/>
          </w:divBdr>
        </w:div>
      </w:divsChild>
    </w:div>
    <w:div w:id="1200821110">
      <w:bodyDiv w:val="1"/>
      <w:marLeft w:val="0"/>
      <w:marRight w:val="0"/>
      <w:marTop w:val="0"/>
      <w:marBottom w:val="0"/>
      <w:divBdr>
        <w:top w:val="none" w:sz="0" w:space="0" w:color="auto"/>
        <w:left w:val="none" w:sz="0" w:space="0" w:color="auto"/>
        <w:bottom w:val="none" w:sz="0" w:space="0" w:color="auto"/>
        <w:right w:val="none" w:sz="0" w:space="0" w:color="auto"/>
      </w:divBdr>
      <w:divsChild>
        <w:div w:id="2075395047">
          <w:marLeft w:val="0"/>
          <w:marRight w:val="0"/>
          <w:marTop w:val="0"/>
          <w:marBottom w:val="0"/>
          <w:divBdr>
            <w:top w:val="none" w:sz="0" w:space="0" w:color="auto"/>
            <w:left w:val="none" w:sz="0" w:space="0" w:color="auto"/>
            <w:bottom w:val="none" w:sz="0" w:space="0" w:color="auto"/>
            <w:right w:val="none" w:sz="0" w:space="0" w:color="auto"/>
          </w:divBdr>
        </w:div>
      </w:divsChild>
    </w:div>
    <w:div w:id="1250693534">
      <w:bodyDiv w:val="1"/>
      <w:marLeft w:val="0"/>
      <w:marRight w:val="0"/>
      <w:marTop w:val="0"/>
      <w:marBottom w:val="0"/>
      <w:divBdr>
        <w:top w:val="none" w:sz="0" w:space="0" w:color="auto"/>
        <w:left w:val="none" w:sz="0" w:space="0" w:color="auto"/>
        <w:bottom w:val="none" w:sz="0" w:space="0" w:color="auto"/>
        <w:right w:val="none" w:sz="0" w:space="0" w:color="auto"/>
      </w:divBdr>
      <w:divsChild>
        <w:div w:id="1892378706">
          <w:marLeft w:val="0"/>
          <w:marRight w:val="0"/>
          <w:marTop w:val="0"/>
          <w:marBottom w:val="0"/>
          <w:divBdr>
            <w:top w:val="none" w:sz="0" w:space="0" w:color="auto"/>
            <w:left w:val="none" w:sz="0" w:space="0" w:color="auto"/>
            <w:bottom w:val="none" w:sz="0" w:space="0" w:color="auto"/>
            <w:right w:val="none" w:sz="0" w:space="0" w:color="auto"/>
          </w:divBdr>
        </w:div>
        <w:div w:id="1912499176">
          <w:marLeft w:val="0"/>
          <w:marRight w:val="0"/>
          <w:marTop w:val="0"/>
          <w:marBottom w:val="0"/>
          <w:divBdr>
            <w:top w:val="none" w:sz="0" w:space="0" w:color="auto"/>
            <w:left w:val="none" w:sz="0" w:space="0" w:color="auto"/>
            <w:bottom w:val="none" w:sz="0" w:space="0" w:color="auto"/>
            <w:right w:val="none" w:sz="0" w:space="0" w:color="auto"/>
          </w:divBdr>
          <w:divsChild>
            <w:div w:id="1557475094">
              <w:marLeft w:val="0"/>
              <w:marRight w:val="0"/>
              <w:marTop w:val="0"/>
              <w:marBottom w:val="0"/>
              <w:divBdr>
                <w:top w:val="none" w:sz="0" w:space="0" w:color="auto"/>
                <w:left w:val="none" w:sz="0" w:space="0" w:color="auto"/>
                <w:bottom w:val="none" w:sz="0" w:space="0" w:color="auto"/>
                <w:right w:val="none" w:sz="0" w:space="0" w:color="auto"/>
              </w:divBdr>
              <w:divsChild>
                <w:div w:id="2103720109">
                  <w:marLeft w:val="0"/>
                  <w:marRight w:val="0"/>
                  <w:marTop w:val="0"/>
                  <w:marBottom w:val="0"/>
                  <w:divBdr>
                    <w:top w:val="none" w:sz="0" w:space="0" w:color="auto"/>
                    <w:left w:val="none" w:sz="0" w:space="0" w:color="auto"/>
                    <w:bottom w:val="none" w:sz="0" w:space="0" w:color="auto"/>
                    <w:right w:val="none" w:sz="0" w:space="0" w:color="auto"/>
                  </w:divBdr>
                  <w:divsChild>
                    <w:div w:id="693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03709">
      <w:bodyDiv w:val="1"/>
      <w:marLeft w:val="0"/>
      <w:marRight w:val="0"/>
      <w:marTop w:val="0"/>
      <w:marBottom w:val="0"/>
      <w:divBdr>
        <w:top w:val="none" w:sz="0" w:space="0" w:color="auto"/>
        <w:left w:val="none" w:sz="0" w:space="0" w:color="auto"/>
        <w:bottom w:val="none" w:sz="0" w:space="0" w:color="auto"/>
        <w:right w:val="none" w:sz="0" w:space="0" w:color="auto"/>
      </w:divBdr>
    </w:div>
    <w:div w:id="1336807239">
      <w:bodyDiv w:val="1"/>
      <w:marLeft w:val="0"/>
      <w:marRight w:val="0"/>
      <w:marTop w:val="0"/>
      <w:marBottom w:val="0"/>
      <w:divBdr>
        <w:top w:val="none" w:sz="0" w:space="0" w:color="auto"/>
        <w:left w:val="none" w:sz="0" w:space="0" w:color="auto"/>
        <w:bottom w:val="none" w:sz="0" w:space="0" w:color="auto"/>
        <w:right w:val="none" w:sz="0" w:space="0" w:color="auto"/>
      </w:divBdr>
      <w:divsChild>
        <w:div w:id="186870006">
          <w:marLeft w:val="0"/>
          <w:marRight w:val="0"/>
          <w:marTop w:val="0"/>
          <w:marBottom w:val="0"/>
          <w:divBdr>
            <w:top w:val="none" w:sz="0" w:space="0" w:color="auto"/>
            <w:left w:val="none" w:sz="0" w:space="0" w:color="auto"/>
            <w:bottom w:val="none" w:sz="0" w:space="0" w:color="auto"/>
            <w:right w:val="none" w:sz="0" w:space="0" w:color="auto"/>
          </w:divBdr>
        </w:div>
      </w:divsChild>
    </w:div>
    <w:div w:id="1375813149">
      <w:bodyDiv w:val="1"/>
      <w:marLeft w:val="0"/>
      <w:marRight w:val="0"/>
      <w:marTop w:val="0"/>
      <w:marBottom w:val="0"/>
      <w:divBdr>
        <w:top w:val="none" w:sz="0" w:space="0" w:color="auto"/>
        <w:left w:val="none" w:sz="0" w:space="0" w:color="auto"/>
        <w:bottom w:val="none" w:sz="0" w:space="0" w:color="auto"/>
        <w:right w:val="none" w:sz="0" w:space="0" w:color="auto"/>
      </w:divBdr>
      <w:divsChild>
        <w:div w:id="502745886">
          <w:marLeft w:val="0"/>
          <w:marRight w:val="0"/>
          <w:marTop w:val="0"/>
          <w:marBottom w:val="0"/>
          <w:divBdr>
            <w:top w:val="none" w:sz="0" w:space="0" w:color="auto"/>
            <w:left w:val="none" w:sz="0" w:space="0" w:color="auto"/>
            <w:bottom w:val="none" w:sz="0" w:space="0" w:color="auto"/>
            <w:right w:val="none" w:sz="0" w:space="0" w:color="auto"/>
          </w:divBdr>
        </w:div>
      </w:divsChild>
    </w:div>
    <w:div w:id="1380981433">
      <w:bodyDiv w:val="1"/>
      <w:marLeft w:val="0"/>
      <w:marRight w:val="0"/>
      <w:marTop w:val="0"/>
      <w:marBottom w:val="0"/>
      <w:divBdr>
        <w:top w:val="none" w:sz="0" w:space="0" w:color="auto"/>
        <w:left w:val="none" w:sz="0" w:space="0" w:color="auto"/>
        <w:bottom w:val="none" w:sz="0" w:space="0" w:color="auto"/>
        <w:right w:val="none" w:sz="0" w:space="0" w:color="auto"/>
      </w:divBdr>
      <w:divsChild>
        <w:div w:id="369230410">
          <w:marLeft w:val="0"/>
          <w:marRight w:val="0"/>
          <w:marTop w:val="0"/>
          <w:marBottom w:val="0"/>
          <w:divBdr>
            <w:top w:val="none" w:sz="0" w:space="0" w:color="auto"/>
            <w:left w:val="none" w:sz="0" w:space="0" w:color="auto"/>
            <w:bottom w:val="none" w:sz="0" w:space="0" w:color="auto"/>
            <w:right w:val="none" w:sz="0" w:space="0" w:color="auto"/>
          </w:divBdr>
        </w:div>
      </w:divsChild>
    </w:div>
    <w:div w:id="1433823825">
      <w:bodyDiv w:val="1"/>
      <w:marLeft w:val="0"/>
      <w:marRight w:val="0"/>
      <w:marTop w:val="0"/>
      <w:marBottom w:val="0"/>
      <w:divBdr>
        <w:top w:val="none" w:sz="0" w:space="0" w:color="auto"/>
        <w:left w:val="none" w:sz="0" w:space="0" w:color="auto"/>
        <w:bottom w:val="none" w:sz="0" w:space="0" w:color="auto"/>
        <w:right w:val="none" w:sz="0" w:space="0" w:color="auto"/>
      </w:divBdr>
      <w:divsChild>
        <w:div w:id="1766536425">
          <w:marLeft w:val="0"/>
          <w:marRight w:val="0"/>
          <w:marTop w:val="0"/>
          <w:marBottom w:val="0"/>
          <w:divBdr>
            <w:top w:val="none" w:sz="0" w:space="0" w:color="auto"/>
            <w:left w:val="none" w:sz="0" w:space="0" w:color="auto"/>
            <w:bottom w:val="none" w:sz="0" w:space="0" w:color="auto"/>
            <w:right w:val="none" w:sz="0" w:space="0" w:color="auto"/>
          </w:divBdr>
        </w:div>
      </w:divsChild>
    </w:div>
    <w:div w:id="1481575225">
      <w:bodyDiv w:val="1"/>
      <w:marLeft w:val="0"/>
      <w:marRight w:val="0"/>
      <w:marTop w:val="0"/>
      <w:marBottom w:val="0"/>
      <w:divBdr>
        <w:top w:val="none" w:sz="0" w:space="0" w:color="auto"/>
        <w:left w:val="none" w:sz="0" w:space="0" w:color="auto"/>
        <w:bottom w:val="none" w:sz="0" w:space="0" w:color="auto"/>
        <w:right w:val="none" w:sz="0" w:space="0" w:color="auto"/>
      </w:divBdr>
      <w:divsChild>
        <w:div w:id="556236551">
          <w:marLeft w:val="0"/>
          <w:marRight w:val="0"/>
          <w:marTop w:val="0"/>
          <w:marBottom w:val="0"/>
          <w:divBdr>
            <w:top w:val="none" w:sz="0" w:space="0" w:color="auto"/>
            <w:left w:val="none" w:sz="0" w:space="0" w:color="auto"/>
            <w:bottom w:val="none" w:sz="0" w:space="0" w:color="auto"/>
            <w:right w:val="none" w:sz="0" w:space="0" w:color="auto"/>
          </w:divBdr>
        </w:div>
      </w:divsChild>
    </w:div>
    <w:div w:id="1563783850">
      <w:bodyDiv w:val="1"/>
      <w:marLeft w:val="0"/>
      <w:marRight w:val="0"/>
      <w:marTop w:val="0"/>
      <w:marBottom w:val="0"/>
      <w:divBdr>
        <w:top w:val="none" w:sz="0" w:space="0" w:color="auto"/>
        <w:left w:val="none" w:sz="0" w:space="0" w:color="auto"/>
        <w:bottom w:val="none" w:sz="0" w:space="0" w:color="auto"/>
        <w:right w:val="none" w:sz="0" w:space="0" w:color="auto"/>
      </w:divBdr>
    </w:div>
    <w:div w:id="1574659313">
      <w:bodyDiv w:val="1"/>
      <w:marLeft w:val="0"/>
      <w:marRight w:val="0"/>
      <w:marTop w:val="0"/>
      <w:marBottom w:val="0"/>
      <w:divBdr>
        <w:top w:val="none" w:sz="0" w:space="0" w:color="auto"/>
        <w:left w:val="none" w:sz="0" w:space="0" w:color="auto"/>
        <w:bottom w:val="none" w:sz="0" w:space="0" w:color="auto"/>
        <w:right w:val="none" w:sz="0" w:space="0" w:color="auto"/>
      </w:divBdr>
    </w:div>
    <w:div w:id="1614896378">
      <w:bodyDiv w:val="1"/>
      <w:marLeft w:val="0"/>
      <w:marRight w:val="0"/>
      <w:marTop w:val="0"/>
      <w:marBottom w:val="0"/>
      <w:divBdr>
        <w:top w:val="none" w:sz="0" w:space="0" w:color="auto"/>
        <w:left w:val="none" w:sz="0" w:space="0" w:color="auto"/>
        <w:bottom w:val="none" w:sz="0" w:space="0" w:color="auto"/>
        <w:right w:val="none" w:sz="0" w:space="0" w:color="auto"/>
      </w:divBdr>
      <w:divsChild>
        <w:div w:id="1733188060">
          <w:marLeft w:val="0"/>
          <w:marRight w:val="0"/>
          <w:marTop w:val="0"/>
          <w:marBottom w:val="0"/>
          <w:divBdr>
            <w:top w:val="none" w:sz="0" w:space="0" w:color="auto"/>
            <w:left w:val="none" w:sz="0" w:space="0" w:color="auto"/>
            <w:bottom w:val="none" w:sz="0" w:space="0" w:color="auto"/>
            <w:right w:val="none" w:sz="0" w:space="0" w:color="auto"/>
          </w:divBdr>
        </w:div>
      </w:divsChild>
    </w:div>
    <w:div w:id="1619527574">
      <w:bodyDiv w:val="1"/>
      <w:marLeft w:val="0"/>
      <w:marRight w:val="0"/>
      <w:marTop w:val="0"/>
      <w:marBottom w:val="0"/>
      <w:divBdr>
        <w:top w:val="none" w:sz="0" w:space="0" w:color="auto"/>
        <w:left w:val="none" w:sz="0" w:space="0" w:color="auto"/>
        <w:bottom w:val="none" w:sz="0" w:space="0" w:color="auto"/>
        <w:right w:val="none" w:sz="0" w:space="0" w:color="auto"/>
      </w:divBdr>
      <w:divsChild>
        <w:div w:id="1909418884">
          <w:marLeft w:val="0"/>
          <w:marRight w:val="0"/>
          <w:marTop w:val="0"/>
          <w:marBottom w:val="0"/>
          <w:divBdr>
            <w:top w:val="none" w:sz="0" w:space="0" w:color="auto"/>
            <w:left w:val="none" w:sz="0" w:space="0" w:color="auto"/>
            <w:bottom w:val="none" w:sz="0" w:space="0" w:color="auto"/>
            <w:right w:val="none" w:sz="0" w:space="0" w:color="auto"/>
          </w:divBdr>
        </w:div>
      </w:divsChild>
    </w:div>
    <w:div w:id="1637301035">
      <w:bodyDiv w:val="1"/>
      <w:marLeft w:val="0"/>
      <w:marRight w:val="0"/>
      <w:marTop w:val="0"/>
      <w:marBottom w:val="0"/>
      <w:divBdr>
        <w:top w:val="none" w:sz="0" w:space="0" w:color="auto"/>
        <w:left w:val="none" w:sz="0" w:space="0" w:color="auto"/>
        <w:bottom w:val="none" w:sz="0" w:space="0" w:color="auto"/>
        <w:right w:val="none" w:sz="0" w:space="0" w:color="auto"/>
      </w:divBdr>
      <w:divsChild>
        <w:div w:id="1651321805">
          <w:marLeft w:val="0"/>
          <w:marRight w:val="0"/>
          <w:marTop w:val="0"/>
          <w:marBottom w:val="0"/>
          <w:divBdr>
            <w:top w:val="none" w:sz="0" w:space="0" w:color="auto"/>
            <w:left w:val="none" w:sz="0" w:space="0" w:color="auto"/>
            <w:bottom w:val="none" w:sz="0" w:space="0" w:color="auto"/>
            <w:right w:val="none" w:sz="0" w:space="0" w:color="auto"/>
          </w:divBdr>
        </w:div>
      </w:divsChild>
    </w:div>
    <w:div w:id="1670015705">
      <w:bodyDiv w:val="1"/>
      <w:marLeft w:val="0"/>
      <w:marRight w:val="0"/>
      <w:marTop w:val="0"/>
      <w:marBottom w:val="0"/>
      <w:divBdr>
        <w:top w:val="none" w:sz="0" w:space="0" w:color="auto"/>
        <w:left w:val="none" w:sz="0" w:space="0" w:color="auto"/>
        <w:bottom w:val="none" w:sz="0" w:space="0" w:color="auto"/>
        <w:right w:val="none" w:sz="0" w:space="0" w:color="auto"/>
      </w:divBdr>
    </w:div>
    <w:div w:id="1687444599">
      <w:bodyDiv w:val="1"/>
      <w:marLeft w:val="0"/>
      <w:marRight w:val="0"/>
      <w:marTop w:val="0"/>
      <w:marBottom w:val="0"/>
      <w:divBdr>
        <w:top w:val="none" w:sz="0" w:space="0" w:color="auto"/>
        <w:left w:val="none" w:sz="0" w:space="0" w:color="auto"/>
        <w:bottom w:val="none" w:sz="0" w:space="0" w:color="auto"/>
        <w:right w:val="none" w:sz="0" w:space="0" w:color="auto"/>
      </w:divBdr>
      <w:divsChild>
        <w:div w:id="1360202919">
          <w:marLeft w:val="0"/>
          <w:marRight w:val="0"/>
          <w:marTop w:val="0"/>
          <w:marBottom w:val="0"/>
          <w:divBdr>
            <w:top w:val="none" w:sz="0" w:space="0" w:color="auto"/>
            <w:left w:val="none" w:sz="0" w:space="0" w:color="auto"/>
            <w:bottom w:val="none" w:sz="0" w:space="0" w:color="auto"/>
            <w:right w:val="none" w:sz="0" w:space="0" w:color="auto"/>
          </w:divBdr>
        </w:div>
      </w:divsChild>
    </w:div>
    <w:div w:id="1765882516">
      <w:bodyDiv w:val="1"/>
      <w:marLeft w:val="0"/>
      <w:marRight w:val="0"/>
      <w:marTop w:val="0"/>
      <w:marBottom w:val="0"/>
      <w:divBdr>
        <w:top w:val="none" w:sz="0" w:space="0" w:color="auto"/>
        <w:left w:val="none" w:sz="0" w:space="0" w:color="auto"/>
        <w:bottom w:val="none" w:sz="0" w:space="0" w:color="auto"/>
        <w:right w:val="none" w:sz="0" w:space="0" w:color="auto"/>
      </w:divBdr>
      <w:divsChild>
        <w:div w:id="292714554">
          <w:marLeft w:val="0"/>
          <w:marRight w:val="0"/>
          <w:marTop w:val="0"/>
          <w:marBottom w:val="0"/>
          <w:divBdr>
            <w:top w:val="none" w:sz="0" w:space="0" w:color="auto"/>
            <w:left w:val="none" w:sz="0" w:space="0" w:color="auto"/>
            <w:bottom w:val="none" w:sz="0" w:space="0" w:color="auto"/>
            <w:right w:val="none" w:sz="0" w:space="0" w:color="auto"/>
          </w:divBdr>
        </w:div>
      </w:divsChild>
    </w:div>
    <w:div w:id="1834638418">
      <w:bodyDiv w:val="1"/>
      <w:marLeft w:val="0"/>
      <w:marRight w:val="0"/>
      <w:marTop w:val="0"/>
      <w:marBottom w:val="0"/>
      <w:divBdr>
        <w:top w:val="none" w:sz="0" w:space="0" w:color="auto"/>
        <w:left w:val="none" w:sz="0" w:space="0" w:color="auto"/>
        <w:bottom w:val="none" w:sz="0" w:space="0" w:color="auto"/>
        <w:right w:val="none" w:sz="0" w:space="0" w:color="auto"/>
      </w:divBdr>
      <w:divsChild>
        <w:div w:id="1488940108">
          <w:marLeft w:val="0"/>
          <w:marRight w:val="0"/>
          <w:marTop w:val="0"/>
          <w:marBottom w:val="0"/>
          <w:divBdr>
            <w:top w:val="none" w:sz="0" w:space="0" w:color="auto"/>
            <w:left w:val="none" w:sz="0" w:space="0" w:color="auto"/>
            <w:bottom w:val="none" w:sz="0" w:space="0" w:color="auto"/>
            <w:right w:val="none" w:sz="0" w:space="0" w:color="auto"/>
          </w:divBdr>
        </w:div>
        <w:div w:id="461576947">
          <w:marLeft w:val="0"/>
          <w:marRight w:val="0"/>
          <w:marTop w:val="0"/>
          <w:marBottom w:val="0"/>
          <w:divBdr>
            <w:top w:val="none" w:sz="0" w:space="0" w:color="auto"/>
            <w:left w:val="none" w:sz="0" w:space="0" w:color="auto"/>
            <w:bottom w:val="none" w:sz="0" w:space="0" w:color="auto"/>
            <w:right w:val="none" w:sz="0" w:space="0" w:color="auto"/>
          </w:divBdr>
          <w:divsChild>
            <w:div w:id="1765103663">
              <w:marLeft w:val="0"/>
              <w:marRight w:val="0"/>
              <w:marTop w:val="0"/>
              <w:marBottom w:val="0"/>
              <w:divBdr>
                <w:top w:val="none" w:sz="0" w:space="0" w:color="auto"/>
                <w:left w:val="none" w:sz="0" w:space="0" w:color="auto"/>
                <w:bottom w:val="none" w:sz="0" w:space="0" w:color="auto"/>
                <w:right w:val="none" w:sz="0" w:space="0" w:color="auto"/>
              </w:divBdr>
              <w:divsChild>
                <w:div w:id="882325921">
                  <w:marLeft w:val="0"/>
                  <w:marRight w:val="0"/>
                  <w:marTop w:val="0"/>
                  <w:marBottom w:val="0"/>
                  <w:divBdr>
                    <w:top w:val="none" w:sz="0" w:space="0" w:color="auto"/>
                    <w:left w:val="none" w:sz="0" w:space="0" w:color="auto"/>
                    <w:bottom w:val="none" w:sz="0" w:space="0" w:color="auto"/>
                    <w:right w:val="none" w:sz="0" w:space="0" w:color="auto"/>
                  </w:divBdr>
                  <w:divsChild>
                    <w:div w:id="8869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541023">
      <w:bodyDiv w:val="1"/>
      <w:marLeft w:val="0"/>
      <w:marRight w:val="0"/>
      <w:marTop w:val="0"/>
      <w:marBottom w:val="0"/>
      <w:divBdr>
        <w:top w:val="none" w:sz="0" w:space="0" w:color="auto"/>
        <w:left w:val="none" w:sz="0" w:space="0" w:color="auto"/>
        <w:bottom w:val="none" w:sz="0" w:space="0" w:color="auto"/>
        <w:right w:val="none" w:sz="0" w:space="0" w:color="auto"/>
      </w:divBdr>
    </w:div>
    <w:div w:id="1938558340">
      <w:bodyDiv w:val="1"/>
      <w:marLeft w:val="0"/>
      <w:marRight w:val="0"/>
      <w:marTop w:val="0"/>
      <w:marBottom w:val="0"/>
      <w:divBdr>
        <w:top w:val="none" w:sz="0" w:space="0" w:color="auto"/>
        <w:left w:val="none" w:sz="0" w:space="0" w:color="auto"/>
        <w:bottom w:val="none" w:sz="0" w:space="0" w:color="auto"/>
        <w:right w:val="none" w:sz="0" w:space="0" w:color="auto"/>
      </w:divBdr>
      <w:divsChild>
        <w:div w:id="28074411">
          <w:marLeft w:val="0"/>
          <w:marRight w:val="0"/>
          <w:marTop w:val="0"/>
          <w:marBottom w:val="0"/>
          <w:divBdr>
            <w:top w:val="none" w:sz="0" w:space="0" w:color="auto"/>
            <w:left w:val="none" w:sz="0" w:space="0" w:color="auto"/>
            <w:bottom w:val="none" w:sz="0" w:space="0" w:color="auto"/>
            <w:right w:val="none" w:sz="0" w:space="0" w:color="auto"/>
          </w:divBdr>
        </w:div>
        <w:div w:id="901645152">
          <w:marLeft w:val="0"/>
          <w:marRight w:val="0"/>
          <w:marTop w:val="0"/>
          <w:marBottom w:val="0"/>
          <w:divBdr>
            <w:top w:val="none" w:sz="0" w:space="0" w:color="auto"/>
            <w:left w:val="none" w:sz="0" w:space="0" w:color="auto"/>
            <w:bottom w:val="none" w:sz="0" w:space="0" w:color="auto"/>
            <w:right w:val="none" w:sz="0" w:space="0" w:color="auto"/>
          </w:divBdr>
          <w:divsChild>
            <w:div w:id="413935080">
              <w:marLeft w:val="0"/>
              <w:marRight w:val="0"/>
              <w:marTop w:val="0"/>
              <w:marBottom w:val="0"/>
              <w:divBdr>
                <w:top w:val="none" w:sz="0" w:space="0" w:color="auto"/>
                <w:left w:val="none" w:sz="0" w:space="0" w:color="auto"/>
                <w:bottom w:val="none" w:sz="0" w:space="0" w:color="auto"/>
                <w:right w:val="none" w:sz="0" w:space="0" w:color="auto"/>
              </w:divBdr>
              <w:divsChild>
                <w:div w:id="1877691808">
                  <w:marLeft w:val="0"/>
                  <w:marRight w:val="0"/>
                  <w:marTop w:val="0"/>
                  <w:marBottom w:val="0"/>
                  <w:divBdr>
                    <w:top w:val="none" w:sz="0" w:space="0" w:color="auto"/>
                    <w:left w:val="none" w:sz="0" w:space="0" w:color="auto"/>
                    <w:bottom w:val="none" w:sz="0" w:space="0" w:color="auto"/>
                    <w:right w:val="none" w:sz="0" w:space="0" w:color="auto"/>
                  </w:divBdr>
                  <w:divsChild>
                    <w:div w:id="20775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7057">
      <w:bodyDiv w:val="1"/>
      <w:marLeft w:val="0"/>
      <w:marRight w:val="0"/>
      <w:marTop w:val="0"/>
      <w:marBottom w:val="0"/>
      <w:divBdr>
        <w:top w:val="none" w:sz="0" w:space="0" w:color="auto"/>
        <w:left w:val="none" w:sz="0" w:space="0" w:color="auto"/>
        <w:bottom w:val="none" w:sz="0" w:space="0" w:color="auto"/>
        <w:right w:val="none" w:sz="0" w:space="0" w:color="auto"/>
      </w:divBdr>
      <w:divsChild>
        <w:div w:id="1015611872">
          <w:marLeft w:val="0"/>
          <w:marRight w:val="0"/>
          <w:marTop w:val="0"/>
          <w:marBottom w:val="0"/>
          <w:divBdr>
            <w:top w:val="none" w:sz="0" w:space="0" w:color="auto"/>
            <w:left w:val="none" w:sz="0" w:space="0" w:color="auto"/>
            <w:bottom w:val="none" w:sz="0" w:space="0" w:color="auto"/>
            <w:right w:val="none" w:sz="0" w:space="0" w:color="auto"/>
          </w:divBdr>
        </w:div>
      </w:divsChild>
    </w:div>
    <w:div w:id="1999068011">
      <w:bodyDiv w:val="1"/>
      <w:marLeft w:val="0"/>
      <w:marRight w:val="0"/>
      <w:marTop w:val="0"/>
      <w:marBottom w:val="0"/>
      <w:divBdr>
        <w:top w:val="none" w:sz="0" w:space="0" w:color="auto"/>
        <w:left w:val="none" w:sz="0" w:space="0" w:color="auto"/>
        <w:bottom w:val="none" w:sz="0" w:space="0" w:color="auto"/>
        <w:right w:val="none" w:sz="0" w:space="0" w:color="auto"/>
      </w:divBdr>
    </w:div>
    <w:div w:id="2058310825">
      <w:bodyDiv w:val="1"/>
      <w:marLeft w:val="0"/>
      <w:marRight w:val="0"/>
      <w:marTop w:val="0"/>
      <w:marBottom w:val="0"/>
      <w:divBdr>
        <w:top w:val="none" w:sz="0" w:space="0" w:color="auto"/>
        <w:left w:val="none" w:sz="0" w:space="0" w:color="auto"/>
        <w:bottom w:val="none" w:sz="0" w:space="0" w:color="auto"/>
        <w:right w:val="none" w:sz="0" w:space="0" w:color="auto"/>
      </w:divBdr>
      <w:divsChild>
        <w:div w:id="1773932942">
          <w:marLeft w:val="0"/>
          <w:marRight w:val="0"/>
          <w:marTop w:val="0"/>
          <w:marBottom w:val="0"/>
          <w:divBdr>
            <w:top w:val="none" w:sz="0" w:space="0" w:color="auto"/>
            <w:left w:val="none" w:sz="0" w:space="0" w:color="auto"/>
            <w:bottom w:val="none" w:sz="0" w:space="0" w:color="auto"/>
            <w:right w:val="none" w:sz="0" w:space="0" w:color="auto"/>
          </w:divBdr>
        </w:div>
      </w:divsChild>
    </w:div>
    <w:div w:id="2072269022">
      <w:bodyDiv w:val="1"/>
      <w:marLeft w:val="0"/>
      <w:marRight w:val="0"/>
      <w:marTop w:val="0"/>
      <w:marBottom w:val="0"/>
      <w:divBdr>
        <w:top w:val="none" w:sz="0" w:space="0" w:color="auto"/>
        <w:left w:val="none" w:sz="0" w:space="0" w:color="auto"/>
        <w:bottom w:val="none" w:sz="0" w:space="0" w:color="auto"/>
        <w:right w:val="none" w:sz="0" w:space="0" w:color="auto"/>
      </w:divBdr>
    </w:div>
    <w:div w:id="2143576777">
      <w:bodyDiv w:val="1"/>
      <w:marLeft w:val="0"/>
      <w:marRight w:val="0"/>
      <w:marTop w:val="0"/>
      <w:marBottom w:val="0"/>
      <w:divBdr>
        <w:top w:val="none" w:sz="0" w:space="0" w:color="auto"/>
        <w:left w:val="none" w:sz="0" w:space="0" w:color="auto"/>
        <w:bottom w:val="none" w:sz="0" w:space="0" w:color="auto"/>
        <w:right w:val="none" w:sz="0" w:space="0" w:color="auto"/>
      </w:divBdr>
    </w:div>
    <w:div w:id="21469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56338/jks.v1i1.47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4196</Words>
  <Characters>21908</Characters>
  <Application>Microsoft Office Word</Application>
  <DocSecurity>0</DocSecurity>
  <Lines>576</Lines>
  <Paragraphs>378</Paragraphs>
  <ScaleCrop>false</ScaleCrop>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ACERE5473G</cp:lastModifiedBy>
  <cp:revision>14</cp:revision>
  <dcterms:created xsi:type="dcterms:W3CDTF">2025-02-21T02:47:00Z</dcterms:created>
  <dcterms:modified xsi:type="dcterms:W3CDTF">2025-02-22T00:25:00Z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f12f3070-0d4f-45be-975a-0b208cea04d2</vt:lpwstr>
  </property>
</Properties>
</file>