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F7338" w14:textId="77777777" w:rsidR="00CD2D9E" w:rsidRPr="00AE115B" w:rsidRDefault="00CD2D9E" w:rsidP="00CD2D9E">
      <w:pPr>
        <w:jc w:val="center"/>
        <w:rPr>
          <w:rFonts w:ascii="Times New Roman" w:hAnsi="Times New Roman" w:cs="Times New Roman"/>
          <w:sz w:val="36"/>
          <w:szCs w:val="36"/>
        </w:rPr>
      </w:pPr>
      <w:r w:rsidRPr="00AE115B">
        <w:rPr>
          <w:rFonts w:ascii="Times New Roman" w:hAnsi="Times New Roman" w:cs="Times New Roman"/>
          <w:sz w:val="36"/>
          <w:szCs w:val="36"/>
        </w:rPr>
        <w:t>The Role of Advanced Biofuels in Promoting Energy Access and Economic Growth in Rural Areas</w:t>
      </w:r>
    </w:p>
    <w:p w14:paraId="51C3FAD8" w14:textId="77777777" w:rsidR="00CD2D9E" w:rsidRPr="00AE115B" w:rsidRDefault="00CD2D9E" w:rsidP="00CD2D9E">
      <w:pPr>
        <w:spacing w:after="0" w:line="360" w:lineRule="auto"/>
        <w:jc w:val="center"/>
        <w:rPr>
          <w:rFonts w:ascii="Times New Roman" w:hAnsi="Times New Roman" w:cs="Times New Roman"/>
          <w:sz w:val="24"/>
          <w:szCs w:val="24"/>
        </w:rPr>
      </w:pPr>
    </w:p>
    <w:p w14:paraId="667AFF97" w14:textId="77777777" w:rsidR="00CD2D9E" w:rsidRPr="00AE115B" w:rsidRDefault="00CD2D9E" w:rsidP="00CD2D9E">
      <w:pPr>
        <w:spacing w:after="0" w:line="360" w:lineRule="auto"/>
        <w:jc w:val="center"/>
        <w:rPr>
          <w:rFonts w:ascii="Times New Roman" w:hAnsi="Times New Roman" w:cs="Times New Roman"/>
          <w:sz w:val="24"/>
          <w:szCs w:val="24"/>
        </w:rPr>
      </w:pPr>
    </w:p>
    <w:p w14:paraId="17AC3CDE" w14:textId="77777777" w:rsidR="00CD2D9E" w:rsidRPr="00AE115B" w:rsidRDefault="00CD2D9E" w:rsidP="00CD2D9E">
      <w:pPr>
        <w:spacing w:after="0" w:line="360" w:lineRule="auto"/>
        <w:jc w:val="center"/>
        <w:rPr>
          <w:rFonts w:ascii="Times New Roman" w:hAnsi="Times New Roman" w:cs="Times New Roman"/>
          <w:sz w:val="24"/>
          <w:szCs w:val="24"/>
        </w:rPr>
      </w:pPr>
      <w:r w:rsidRPr="00AE115B">
        <w:rPr>
          <w:rFonts w:ascii="Times New Roman" w:hAnsi="Times New Roman" w:cs="Times New Roman"/>
          <w:b/>
          <w:bCs/>
          <w:sz w:val="24"/>
          <w:szCs w:val="24"/>
        </w:rPr>
        <w:t>Abstract:</w:t>
      </w:r>
    </w:p>
    <w:p w14:paraId="097F0BDD" w14:textId="2C498339" w:rsidR="001E7D55" w:rsidRPr="00AE115B" w:rsidRDefault="001E7D55"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 xml:space="preserve">This paper examines the role of advanced biofuels in promoting energy access and economic growth in rural areas, with a focus on developing countries. Advanced biofuels, produced from non-food biomass sources such as agricultural residues, algae, and waste, have the potential to reduce rural energy poverty while creating economic opportunities. </w:t>
      </w:r>
      <w:r w:rsidRPr="00AE115B">
        <w:rPr>
          <w:rFonts w:ascii="Times New Roman" w:hAnsi="Times New Roman" w:cs="Times New Roman"/>
          <w:b/>
          <w:bCs/>
          <w:i/>
          <w:iCs/>
          <w:color w:val="000000" w:themeColor="text1"/>
          <w:sz w:val="24"/>
          <w:szCs w:val="24"/>
          <w:u w:val="single"/>
        </w:rPr>
        <w:t>Through case studies of successful initiatives in countries like India and Brazil, this study highlights how decentralized biofuel production has improved energy access, created local employment, and enhanced agricultural value chains.</w:t>
      </w:r>
      <w:r w:rsidRPr="00AE115B">
        <w:rPr>
          <w:rFonts w:ascii="Times New Roman" w:hAnsi="Times New Roman" w:cs="Times New Roman"/>
          <w:b/>
          <w:bCs/>
          <w:i/>
          <w:iCs/>
          <w:color w:val="000000" w:themeColor="text1"/>
          <w:sz w:val="24"/>
          <w:szCs w:val="24"/>
        </w:rPr>
        <w:t xml:space="preserve"> Notable findings include the establishment of community-led biofuel plants that reduced reliance on imported fossil fuels and generated sustainable incomes for farmers by utilizing crop residues.</w:t>
      </w:r>
      <w:r w:rsidRPr="00AE115B">
        <w:rPr>
          <w:rFonts w:ascii="Times New Roman" w:hAnsi="Times New Roman" w:cs="Times New Roman"/>
          <w:i/>
          <w:iCs/>
          <w:sz w:val="24"/>
          <w:szCs w:val="24"/>
        </w:rPr>
        <w:t xml:space="preserve"> </w:t>
      </w:r>
      <w:r w:rsidRPr="00AE115B">
        <w:rPr>
          <w:rFonts w:ascii="Times New Roman" w:hAnsi="Times New Roman" w:cs="Times New Roman"/>
          <w:sz w:val="24"/>
          <w:szCs w:val="24"/>
        </w:rPr>
        <w:t>The study also identifies key challenges such as limited infrastructure, access to financing, and policy support, while offering actionable recommendations to scale advanced biofuel adoption. Overall, advanced biofuels present a promising pathway to sustainable rural development by enhancing energy security, reducing environmental impact, and fostering economic growth.</w:t>
      </w:r>
    </w:p>
    <w:p w14:paraId="1B3BFA80" w14:textId="77777777" w:rsidR="004A08C6" w:rsidRPr="00AE115B" w:rsidRDefault="004A08C6" w:rsidP="00CD2D9E">
      <w:pPr>
        <w:spacing w:after="0" w:line="360" w:lineRule="auto"/>
        <w:jc w:val="both"/>
        <w:rPr>
          <w:rFonts w:ascii="Times New Roman" w:hAnsi="Times New Roman" w:cs="Times New Roman"/>
          <w:sz w:val="24"/>
          <w:szCs w:val="24"/>
        </w:rPr>
      </w:pPr>
    </w:p>
    <w:p w14:paraId="521E5A26" w14:textId="7E54970A" w:rsidR="00CD2D9E" w:rsidRPr="00AE115B" w:rsidRDefault="00CD2D9E" w:rsidP="00235932">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 xml:space="preserve">Keywords: </w:t>
      </w:r>
      <w:r w:rsidRPr="00AE115B">
        <w:rPr>
          <w:rFonts w:ascii="Times New Roman" w:hAnsi="Times New Roman" w:cs="Times New Roman"/>
          <w:sz w:val="24"/>
          <w:szCs w:val="24"/>
        </w:rPr>
        <w:t>Biofuels; Economic growth, Socio-Economic</w:t>
      </w:r>
      <w:r w:rsidR="00235932" w:rsidRPr="00AE115B">
        <w:rPr>
          <w:rFonts w:ascii="Times New Roman" w:hAnsi="Times New Roman" w:cs="Times New Roman"/>
          <w:sz w:val="24"/>
          <w:szCs w:val="24"/>
        </w:rPr>
        <w:t xml:space="preserve">, </w:t>
      </w:r>
      <w:r w:rsidR="00235932" w:rsidRPr="00AE115B">
        <w:rPr>
          <w:rFonts w:ascii="Times New Roman" w:hAnsi="Times New Roman" w:cs="Times New Roman"/>
          <w:b/>
          <w:bCs/>
          <w:i/>
          <w:iCs/>
          <w:sz w:val="24"/>
          <w:szCs w:val="24"/>
        </w:rPr>
        <w:t>Renewable Energy</w:t>
      </w:r>
      <w:r w:rsidR="00235932" w:rsidRPr="00AE115B">
        <w:rPr>
          <w:rFonts w:ascii="Times New Roman" w:hAnsi="Times New Roman" w:cs="Times New Roman"/>
          <w:i/>
          <w:iCs/>
          <w:sz w:val="24"/>
          <w:szCs w:val="24"/>
        </w:rPr>
        <w:t xml:space="preserve">, </w:t>
      </w:r>
      <w:r w:rsidR="00235932" w:rsidRPr="00AE115B">
        <w:rPr>
          <w:rFonts w:ascii="Times New Roman" w:hAnsi="Times New Roman" w:cs="Times New Roman"/>
          <w:b/>
          <w:bCs/>
          <w:i/>
          <w:iCs/>
          <w:sz w:val="24"/>
          <w:szCs w:val="24"/>
        </w:rPr>
        <w:t>Rural Infrastructure, Green Technologies, Sustainable Development, Sustainable Development</w:t>
      </w:r>
    </w:p>
    <w:p w14:paraId="637E3212" w14:textId="77777777" w:rsidR="00235932" w:rsidRPr="00AE115B" w:rsidRDefault="00235932" w:rsidP="00235932">
      <w:pPr>
        <w:spacing w:after="0" w:line="360" w:lineRule="auto"/>
        <w:jc w:val="both"/>
        <w:rPr>
          <w:rFonts w:ascii="Times New Roman" w:hAnsi="Times New Roman" w:cs="Times New Roman"/>
          <w:sz w:val="24"/>
          <w:szCs w:val="24"/>
        </w:rPr>
      </w:pPr>
    </w:p>
    <w:p w14:paraId="7175346D" w14:textId="77777777" w:rsidR="00CD2D9E" w:rsidRPr="00AE115B" w:rsidRDefault="00CD2D9E" w:rsidP="00CD2D9E">
      <w:pPr>
        <w:jc w:val="both"/>
        <w:rPr>
          <w:rFonts w:ascii="Times New Roman" w:hAnsi="Times New Roman" w:cs="Times New Roman"/>
          <w:b/>
          <w:bCs/>
          <w:sz w:val="24"/>
          <w:szCs w:val="24"/>
        </w:rPr>
      </w:pPr>
      <w:r w:rsidRPr="00AE115B">
        <w:rPr>
          <w:rFonts w:ascii="Times New Roman" w:hAnsi="Times New Roman" w:cs="Times New Roman"/>
          <w:b/>
          <w:bCs/>
          <w:sz w:val="24"/>
          <w:szCs w:val="24"/>
        </w:rPr>
        <w:t>Introduction</w:t>
      </w:r>
    </w:p>
    <w:p w14:paraId="38692485"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 xml:space="preserve">In the context of rural areas across the globe, particularly in developing regions, access to reliable and affordable energy remains a critical challenge. According to the International Energy Agency (IEA), approximately 1 billion people in rural areas worldwide live without access to electricity, and millions more rely on inefficient, hazardous, and polluting energy sources, such as firewood, charcoal, and kerosene. The lack of modern energy not only restricts access to essential services like education, healthcare, and communications but also limits economic opportunities. Rural communities are often unable to fully engage in productive activities like small-scale agriculture, local businesses, and industrial growth due to inadequate energy infrastructure. Energy poverty has significant knock-on effects, including lower educational attainment, poor health outcomes, reduced productivity, and increased </w:t>
      </w:r>
      <w:r w:rsidRPr="00AE115B">
        <w:rPr>
          <w:rFonts w:ascii="Times New Roman" w:hAnsi="Times New Roman" w:cs="Times New Roman"/>
          <w:sz w:val="24"/>
          <w:szCs w:val="24"/>
        </w:rPr>
        <w:lastRenderedPageBreak/>
        <w:t xml:space="preserve">environmental degradation. Without a reliable and sustainable energy supply, rural communities are caught in a cycle of poverty that is difficult to break. Hence, addressing the energy needs of rural areas is important to achieve broader socio-economic development goals. The implementation of sustainable energy solutions is of paramount importance in enhancing the quality of life and fostering economic opportunities in rural regions. In contrast to conventional energy sources that are heavily reliant on fossil fuels and centralised grids, sustainable energy alternatives, such as decentralised renewable energy systems, offer a more viable solution for off-grid rural communities. These systems can harness local resources, reduce environmental impacts, and improve resilience against energy price fluctuations and supply disruptions. Renewable energy sources, including wind, solar, and hydropower, are progressively being acknowledged as pivotal catalysts for rural development. Nevertheless, a particularly promising solution that is often overlooked is advanced biofuels. These are biofuels produced from non-food biomass, agricultural residues, and waste products. They offer a renewable, locally-sourced, and scalable energy alternative, which is well-suited to rural contexts. They provide an opportunity to tap into local agricultural by-products, reduce waste, and create jobs while contributing to sustainable energy access. Advanced biofuels represent a next-generation energy technology with the potential to transform rural energy access. In contrast to conventional biofuels, such as ethanol produced from food crops like corn or sugarcane, advanced biofuels are derived from non-food sources, including agricultural residues, algae, and municipal waste. This means that they avoid the controversial food vs. fuel dilemma, allowing for more sustainable and efficient energy production without competing for land that could be used for food crops. Advanced biofuels can be categorised into several types, including lignocellulosic ethanol (produced from plant materials such as straw, grasses, and wood), algae-based biofuels, and waste-to-energy technologies. These biofuels are advantageous because they are produced from abundant, often low-cost feedstocks that are readily available in rural areas. Additionally, the production of advanced biofuels can be integrated into existing agricultural and waste management systems, offering rural communities the potential to diversify their income sources, create jobs, and develop local industries. Beyond their energy-producing capabilities, advanced biofuels can contribute to rural infrastructure development, waste management, and environmental sustainability. They also offer the opportunity for rural communities to reduce their reliance on imported energy sources, enhancing both energy security and the reduction of greenhouse gas emissions. The purpose of this paper is to examine the role of advanced biofuels in promoting energy access and economic growth in rural areas, with a specific focus on developing economies. The paper </w:t>
      </w:r>
      <w:r w:rsidRPr="00AE115B">
        <w:rPr>
          <w:rFonts w:ascii="Times New Roman" w:hAnsi="Times New Roman" w:cs="Times New Roman"/>
          <w:sz w:val="24"/>
          <w:szCs w:val="24"/>
        </w:rPr>
        <w:lastRenderedPageBreak/>
        <w:t>will explore the potential benefits of advanced biofuels in addressing rural energy poverty, generating employment opportunities, and driving rural economic development. By examining key technological, economic, and social aspects, the paper aims to provide a comprehensive understanding of how advanced biofuels can contribute to sustainable rural development.</w:t>
      </w:r>
    </w:p>
    <w:p w14:paraId="34AAE3F3"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The paper is structured as follows: Section 1: The Energy Access Challenge in Rural Areas – This section provides a comprehensive overview of the prevalence of energy poverty in rural regions, emphasising the pressing need for sustainable energy solutions and the limitations of current energy systems. Section 2: What Are Advanced Biofuels? – This section provides a detailed explanation of advanced biofuels, including their types, production processes, and advantages over traditional biofuels. Section 3: The Potential of Advanced Biofuels for Rural Energy Access – This section discusses how advanced biofuels can help provide decentralized, sustainable energy solutions to rural areas, including case studies of successful biofuel projects. Section 4: Economic Growth and Job Creation Through Advanced Biofuels – This section explores the economic opportunities created by advanced biofuels, including job creation, income generation, and the development of local industries. Section 5: Social and Infrastructure Development in Rural Areas – This section examines how the adoption of biofuels can contribute to infrastructure development (e.g., roads, energy access) and improve social outcomes (e.g., education, healthcare, gender equality). Section 6: Policy and Institutional Framework for Advancing Biofuels in Rural Areas – This section outlines the policy frameworks, government support mechanisms, and institutional structures needed to support the development of advanced biofuels in rural areas. Section 7: Challenges and Barriers to Scaling Advanced Biofuels – This section discusses the challenges associated with scaling advanced biofuels, including technological, financial, and social barriers. Section 8: Case Studies of Successful Advanced Biofuel Projects – This section presents case studies of successful advanced biofuel initiatives that have made a significant impact on rural communities, with a focus on lessons learned and best practices. Section 9: Conclusion and Policy Recommendations – The paper concludes by summarizing key findings and offering policy recommendations to facilitate the adoption of advanced biofuels for rural energy access and economic development. By exploring the multi-dimensional role of advanced biofuels in rural development, this paper aims to provide actionable insights for policymakers, industry stakeholders, and local communities working to harness the potential of biofuels in driving sustainable, inclusive growth.</w:t>
      </w:r>
    </w:p>
    <w:p w14:paraId="1AF7AEC1"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The Energy Access Challenge in Rural Areas</w:t>
      </w:r>
    </w:p>
    <w:p w14:paraId="2AF7F4E9"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lastRenderedPageBreak/>
        <w:t xml:space="preserve">In many rural regions across the globe, particularly in low and middle-income countries, energy access remains a fundamental challenge. The issue of energy poverty has been shown to have far-reaching consequences, including the exacerbation of economic disparity and the promotion of social inequality (Jones et al., 2022). Moreover, energy poverty has been demonstrated to contribute to environmental degradation. The dearth of reliable, clean, and affordable energy sources exerts a profound influence on rural communities, encompassing domains as diverse as healthcare, education, food production, and the enhancement of quality of life. </w:t>
      </w:r>
    </w:p>
    <w:p w14:paraId="057B5D79"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Energy Poverty in Rural Regions</w:t>
      </w:r>
    </w:p>
    <w:p w14:paraId="68BDA1BA"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Energy poverty has been defined as the inability to access modern, reliable and affordable energy services. According to International Energy Agency, (IEA). This issue is particularly pertinent in the context of developing countries, where a significant proportion of the population is still without access to electricity. According to the International Energy Agency (IEA), over 770 million people in developing countries still live without access to electricity, with a disproportionate number of them residing in rural areas. The geographical distribution of this situation is uneven, with the most acute cases being found in regions such as Sub-Saharan Africa and South Asia, where access to electricity in rural areas remains limited. For instance, in Sub-Saharan Africa, approximately 600 million people – around 80% of the rural population – live without electricity (IEA, 2023). In India, rural areas account for a significant proportion of the 240 million people who are still without electricity (World Bank, 2022). The absence of modern energy services contributes to a cycle of poverty in rural areas. Households without access to electricity often rely on traditional, non-modern energy sources like kerosene, wood, and animal dung for lighting and cooking, which are not only inefficient but also hazardous to health. The World Health Organization (WHO) reports that 4 million deaths per year occur due to exposure to household air pollution from cooking with biomass fuels (WHO, 2021). Energy poverty, therefore, affects both the health and productivity of rural populations.</w:t>
      </w:r>
    </w:p>
    <w:p w14:paraId="4DF2544E"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Current Energy Sources and Their Limitations</w:t>
      </w:r>
    </w:p>
    <w:p w14:paraId="64991837"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In rural areas, traditional energy sources dominate, but these come with several limitations:</w:t>
      </w:r>
    </w:p>
    <w:p w14:paraId="6042D4B0" w14:textId="77777777" w:rsidR="00CD2D9E" w:rsidRPr="00AE115B" w:rsidRDefault="00CD2D9E" w:rsidP="00CD2D9E">
      <w:pPr>
        <w:pStyle w:val="ListParagraph"/>
        <w:numPr>
          <w:ilvl w:val="0"/>
          <w:numId w:val="1"/>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Wood and Biomass Fuels:</w:t>
      </w:r>
      <w:r w:rsidRPr="00AE115B">
        <w:rPr>
          <w:rFonts w:ascii="Times New Roman" w:hAnsi="Times New Roman" w:cs="Times New Roman"/>
          <w:sz w:val="24"/>
          <w:szCs w:val="24"/>
        </w:rPr>
        <w:t xml:space="preserve"> Many rural households rely on wood, charcoal, and agricultural residues for cooking and heating. While biomass can be locally sourced, it is not a clean or sustainable option. The burning of biomass for cooking produces harmful pollutants like carbon monoxide and particulate matter, contributing to respiratory diseases and premature deaths (IEA, 2020). Additionally, biomass resources are finite, leading to deforestation and land degradation in many regions.</w:t>
      </w:r>
    </w:p>
    <w:p w14:paraId="7EE6548D" w14:textId="77777777" w:rsidR="00CD2D9E" w:rsidRPr="00AE115B" w:rsidRDefault="00CD2D9E" w:rsidP="00CD2D9E">
      <w:pPr>
        <w:pStyle w:val="ListParagraph"/>
        <w:numPr>
          <w:ilvl w:val="0"/>
          <w:numId w:val="1"/>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lastRenderedPageBreak/>
        <w:t>Kerosene:</w:t>
      </w:r>
      <w:r w:rsidRPr="00AE115B">
        <w:rPr>
          <w:rFonts w:ascii="Times New Roman" w:hAnsi="Times New Roman" w:cs="Times New Roman"/>
          <w:sz w:val="24"/>
          <w:szCs w:val="24"/>
        </w:rPr>
        <w:t xml:space="preserve"> Kerosene is widely used for lighting in rural homes, but it is inefficient and hazardous. The use of kerosene lamps poses significant fire risks and contributes to indoor air pollution. Furthermore, kerosene is often expensive and requires constant purchasing, putting a strain on low-income rural households.</w:t>
      </w:r>
    </w:p>
    <w:p w14:paraId="6546A5A6" w14:textId="77777777" w:rsidR="00CD2D9E" w:rsidRPr="00AE115B" w:rsidRDefault="00CD2D9E" w:rsidP="00CD2D9E">
      <w:pPr>
        <w:pStyle w:val="ListParagraph"/>
        <w:numPr>
          <w:ilvl w:val="0"/>
          <w:numId w:val="1"/>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Grid Electricity:</w:t>
      </w:r>
      <w:r w:rsidRPr="00AE115B">
        <w:rPr>
          <w:rFonts w:ascii="Times New Roman" w:hAnsi="Times New Roman" w:cs="Times New Roman"/>
          <w:sz w:val="24"/>
          <w:szCs w:val="24"/>
        </w:rPr>
        <w:t xml:space="preserve"> While grid electricity is the most reliable form of energy, it is largely unavailable in rural areas due to the high cost of infrastructure development and maintenance. Extending national electricity grids to remote, sparsely populated areas is often seen as economically unfeasible. For example, rural electrification rates in countries like India and Nigeria remain low despite significant national investment in energy infrastructure (World Bank, 2022; IEA, 2020).</w:t>
      </w:r>
    </w:p>
    <w:p w14:paraId="624DB808" w14:textId="77777777" w:rsidR="00CD2D9E" w:rsidRPr="00AE115B" w:rsidRDefault="00CD2D9E" w:rsidP="00CD2D9E">
      <w:pPr>
        <w:pStyle w:val="ListParagraph"/>
        <w:numPr>
          <w:ilvl w:val="0"/>
          <w:numId w:val="1"/>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Fossil Fuels:</w:t>
      </w:r>
      <w:r w:rsidRPr="00AE115B">
        <w:rPr>
          <w:rFonts w:ascii="Times New Roman" w:hAnsi="Times New Roman" w:cs="Times New Roman"/>
          <w:sz w:val="24"/>
          <w:szCs w:val="24"/>
        </w:rPr>
        <w:t xml:space="preserve"> In some rural areas, small-scale diesel generators are used as a backup power source. However, diesel fuel is both expensive and harmful to the environment, contributing to greenhouse gas emissions and air pollution. Additionally, access to diesel fuel is often limited, and its high cost makes it unaffordable for many rural households.</w:t>
      </w:r>
    </w:p>
    <w:p w14:paraId="5A99E5DE"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These energy sources are inefficient, unreliable, and often costly, perpetuating the cycle of energy poverty in rural communities. The limitations of these traditional energy options highlight the urgent need for decentralized, clean, and sustainable energy alternatives.</w:t>
      </w:r>
    </w:p>
    <w:p w14:paraId="5D14631E"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The Need for Decentralized and Sustainable Energy Solutions</w:t>
      </w:r>
      <w:r w:rsidRPr="00AE115B">
        <w:rPr>
          <w:rFonts w:ascii="Times New Roman" w:hAnsi="Times New Roman" w:cs="Times New Roman"/>
          <w:sz w:val="24"/>
          <w:szCs w:val="24"/>
        </w:rPr>
        <w:t xml:space="preserve"> </w:t>
      </w:r>
    </w:p>
    <w:p w14:paraId="722B5E32"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Given the limitations of centralized energy systems and the unsustainable nature of traditional energy sources, there is a growing need for decentralized energy solutions—particularly in rural areas. Decentralized energy systems are energy systems that can be locally generated and consumed, without requiring large-scale infrastructure. These systems are particularly well-suited for rural communities where extending the national grid is either too expensive or impractical.</w:t>
      </w:r>
    </w:p>
    <w:p w14:paraId="04C99E60" w14:textId="77777777" w:rsidR="00CD2D9E" w:rsidRPr="00AE115B" w:rsidRDefault="00CD2D9E" w:rsidP="00CD2D9E">
      <w:pPr>
        <w:pStyle w:val="ListParagraph"/>
        <w:numPr>
          <w:ilvl w:val="0"/>
          <w:numId w:val="2"/>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Renewable Energy:</w:t>
      </w:r>
      <w:r w:rsidRPr="00AE115B">
        <w:rPr>
          <w:rFonts w:ascii="Times New Roman" w:hAnsi="Times New Roman" w:cs="Times New Roman"/>
          <w:sz w:val="24"/>
          <w:szCs w:val="24"/>
        </w:rPr>
        <w:t xml:space="preserve"> Solar, wind, hydro, and biomass energy sources offer significant potential for rural areas. Solar energy has emerged as one of the most promising renewable energy options for rural communities. According to the IEA, the global solar capacity has expanded rapidly, and solar energy has the potential to provide affordable, off-grid power to millions of people in rural regions. Small-scale solar systems can be installed on individual homes or local businesses, offering clean and reliable electricity without the need for expensive grid infrastructure. Similarly, wind energy and micro-hydro systems can provide energy in areas with the right natural resources.</w:t>
      </w:r>
    </w:p>
    <w:p w14:paraId="45CD863E" w14:textId="77777777" w:rsidR="00CD2D9E" w:rsidRPr="00AE115B" w:rsidRDefault="00CD2D9E" w:rsidP="00CD2D9E">
      <w:pPr>
        <w:pStyle w:val="ListParagraph"/>
        <w:numPr>
          <w:ilvl w:val="0"/>
          <w:numId w:val="2"/>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lastRenderedPageBreak/>
        <w:t>Advanced Biofuels:</w:t>
      </w:r>
      <w:r w:rsidRPr="00AE115B">
        <w:rPr>
          <w:rFonts w:ascii="Times New Roman" w:hAnsi="Times New Roman" w:cs="Times New Roman"/>
          <w:sz w:val="24"/>
          <w:szCs w:val="24"/>
        </w:rPr>
        <w:t xml:space="preserve"> In addition to power generation, advanced biofuels (such as bioethanol, biodiesel, and biogas) can be used for cooking, transportation, and industrial processes. Advanced biofuels have the advantage of being derived from non-food biomass sources such as agricultural residues, algae, and waste materials, making them a more sustainable and scalable alternative to traditional biofuels. These biofuels are not only cleaner than wood and kerosene but also have the potential to reduce greenhouse gas emissions. By utilizing local biomass sources, rural areas can reduce their dependence on imported fossil fuels and create a more resilient energy system.</w:t>
      </w:r>
    </w:p>
    <w:p w14:paraId="78A3C94B" w14:textId="77777777" w:rsidR="00CD2D9E" w:rsidRPr="00AE115B" w:rsidRDefault="00CD2D9E" w:rsidP="00CD2D9E">
      <w:pPr>
        <w:pStyle w:val="ListParagraph"/>
        <w:numPr>
          <w:ilvl w:val="0"/>
          <w:numId w:val="2"/>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Energy Storage and Mini-Grids:</w:t>
      </w:r>
      <w:r w:rsidRPr="00AE115B">
        <w:rPr>
          <w:rFonts w:ascii="Times New Roman" w:hAnsi="Times New Roman" w:cs="Times New Roman"/>
          <w:sz w:val="24"/>
          <w:szCs w:val="24"/>
        </w:rPr>
        <w:t xml:space="preserve"> Energy storage technologies are improving, making renewable energy more reliable for rural areas. Battery storage systems and mini-grids—small-scale, localized electrical grids that can be powered by renewable energy sources—are becoming increasingly viable solutions for rural energy access. Mini-grids are particularly useful in remote areas, where extending the national grid may not be cost-effective. In many cases, hybrid mini-grids, which combine solar power with diesel or biomass backup, are providing a reliable and affordable energy source for rural communities.</w:t>
      </w:r>
    </w:p>
    <w:p w14:paraId="3E6E3B1B"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The transition to decentralized and sustainable energy solutions offers several benefits:</w:t>
      </w:r>
    </w:p>
    <w:p w14:paraId="25DE5433" w14:textId="77777777" w:rsidR="00CD2D9E" w:rsidRPr="00AE115B" w:rsidRDefault="00CD2D9E" w:rsidP="00CD2D9E">
      <w:pPr>
        <w:pStyle w:val="ListParagraph"/>
        <w:numPr>
          <w:ilvl w:val="0"/>
          <w:numId w:val="3"/>
        </w:num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Energy independence: Rural communities can reduce their reliance on imported energy and increase their self-sufficiency.</w:t>
      </w:r>
    </w:p>
    <w:p w14:paraId="5D50F6C0" w14:textId="77777777" w:rsidR="00CD2D9E" w:rsidRPr="00AE115B" w:rsidRDefault="00CD2D9E" w:rsidP="00CD2D9E">
      <w:pPr>
        <w:pStyle w:val="ListParagraph"/>
        <w:numPr>
          <w:ilvl w:val="0"/>
          <w:numId w:val="3"/>
        </w:num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Environmental sustainability: Renewable energy solutions significantly reduce carbon emissions compared to fossil fuels.</w:t>
      </w:r>
    </w:p>
    <w:p w14:paraId="061715DF" w14:textId="77777777" w:rsidR="00CD2D9E" w:rsidRPr="00AE115B" w:rsidRDefault="00CD2D9E" w:rsidP="00CD2D9E">
      <w:pPr>
        <w:pStyle w:val="ListParagraph"/>
        <w:numPr>
          <w:ilvl w:val="0"/>
          <w:numId w:val="3"/>
        </w:num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Economic development: Decentralized energy systems can support local businesses, create jobs, and reduce energy costs for households.</w:t>
      </w:r>
    </w:p>
    <w:p w14:paraId="3EAEB1A0"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However, the successful deployment of decentralized energy solutions requires targeted investments in technology, infrastructure, and capacity building. Governments, international organizations, and private sector stakeholders must work together to support the adoption of renewable energy in rural regions and create enabling environments for long-term success.</w:t>
      </w:r>
    </w:p>
    <w:p w14:paraId="4EE12802" w14:textId="77777777" w:rsidR="00CD2D9E" w:rsidRPr="00AE115B" w:rsidRDefault="00CD2D9E" w:rsidP="00CD2D9E">
      <w:pPr>
        <w:spacing w:after="0" w:line="360" w:lineRule="auto"/>
        <w:jc w:val="both"/>
        <w:rPr>
          <w:rFonts w:ascii="Times New Roman" w:hAnsi="Times New Roman" w:cs="Times New Roman"/>
          <w:b/>
          <w:bCs/>
          <w:sz w:val="24"/>
          <w:szCs w:val="24"/>
        </w:rPr>
      </w:pPr>
      <w:r w:rsidRPr="00AE115B">
        <w:rPr>
          <w:rFonts w:ascii="Times New Roman" w:hAnsi="Times New Roman" w:cs="Times New Roman"/>
          <w:b/>
          <w:bCs/>
          <w:sz w:val="24"/>
          <w:szCs w:val="24"/>
        </w:rPr>
        <w:t>What Are Advanced Biofuels?</w:t>
      </w:r>
    </w:p>
    <w:p w14:paraId="2EC8A93F" w14:textId="77777777" w:rsidR="00CD2D9E" w:rsidRPr="00AE115B" w:rsidRDefault="00CD2D9E" w:rsidP="00CD2D9E">
      <w:pPr>
        <w:spacing w:after="0" w:line="360" w:lineRule="auto"/>
        <w:jc w:val="both"/>
        <w:rPr>
          <w:rFonts w:ascii="Times New Roman" w:hAnsi="Times New Roman" w:cs="Times New Roman"/>
          <w:b/>
          <w:bCs/>
          <w:sz w:val="24"/>
          <w:szCs w:val="24"/>
        </w:rPr>
      </w:pPr>
      <w:r w:rsidRPr="00AE115B">
        <w:rPr>
          <w:rFonts w:ascii="Times New Roman" w:hAnsi="Times New Roman" w:cs="Times New Roman"/>
          <w:b/>
          <w:bCs/>
          <w:sz w:val="24"/>
          <w:szCs w:val="24"/>
        </w:rPr>
        <w:t>Definition and Types of Advanced Biofuels</w:t>
      </w:r>
    </w:p>
    <w:p w14:paraId="6311AB87"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 xml:space="preserve">Advanced biofuels are a next generation of biofuels that are produced from non-food biomass sources, offering a more sustainable and scalable energy solution compared to conventional biofuels like ethanol derived from corn or sugarcane. These biofuels can be produced from a variety of feedstocks such as agricultural residues, algae, and waste materials, and they play a </w:t>
      </w:r>
      <w:r w:rsidRPr="00AE115B">
        <w:rPr>
          <w:rFonts w:ascii="Times New Roman" w:hAnsi="Times New Roman" w:cs="Times New Roman"/>
          <w:sz w:val="24"/>
          <w:szCs w:val="24"/>
        </w:rPr>
        <w:lastRenderedPageBreak/>
        <w:t>crucial role in addressing environmental concerns and improving rural energy access. Below are the prominent types of advanced biofuels:</w:t>
      </w:r>
    </w:p>
    <w:p w14:paraId="37EE4B7C" w14:textId="77777777" w:rsidR="00CD2D9E" w:rsidRPr="00AE115B" w:rsidRDefault="00CD2D9E" w:rsidP="00CD2D9E">
      <w:pPr>
        <w:pStyle w:val="ListParagraph"/>
        <w:numPr>
          <w:ilvl w:val="0"/>
          <w:numId w:val="4"/>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Lignocellulosic Ethanol:</w:t>
      </w:r>
      <w:r w:rsidRPr="00AE115B">
        <w:rPr>
          <w:rFonts w:ascii="Times New Roman" w:hAnsi="Times New Roman" w:cs="Times New Roman"/>
          <w:sz w:val="24"/>
          <w:szCs w:val="24"/>
        </w:rPr>
        <w:t xml:space="preserve"> This type of ethanol is made from lignocellulosic biomass, which includes plant materials like agricultural residues (corn stover, wheat straw), grasses, and wood. The cellulose and hemicellulose in these materials are converted into fermentable sugars, which are then used to produce ethanol. Unlike traditional biofuels made from food crops, lignocellulosic biofuels do not compete with food production, providing a more sustainable solution. According to the U.S. Department of Energy, lignocellulosic ethanol has the potential to replace a significant portion of gasoline use in the future, offering a more sustainable and efficient biofuel option. </w:t>
      </w:r>
    </w:p>
    <w:p w14:paraId="4BD2AE09" w14:textId="77777777" w:rsidR="00CD2D9E" w:rsidRPr="00AE115B" w:rsidRDefault="00CD2D9E" w:rsidP="00CD2D9E">
      <w:pPr>
        <w:pStyle w:val="ListParagraph"/>
        <w:numPr>
          <w:ilvl w:val="0"/>
          <w:numId w:val="4"/>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Algae-based Biofuels:</w:t>
      </w:r>
      <w:r w:rsidRPr="00AE115B">
        <w:rPr>
          <w:rFonts w:ascii="Times New Roman" w:hAnsi="Times New Roman" w:cs="Times New Roman"/>
          <w:sz w:val="24"/>
          <w:szCs w:val="24"/>
        </w:rPr>
        <w:t xml:space="preserve"> Algae-based biofuels are derived from algae, which are microorganisms that can produce lipids (fats) that are processed into biodiesel or other biofuels. Algae are an attractive feedstock for biofuels because they grow quickly, do not require arable land, and can even thrive in wastewater or saline environments. According to a study by the National Renewable Energy Laboratory (NREL), algae can yield up to 5,000 gallons of oil per acre per year, far surpassing traditional biofuel crops like soybeans or corn. Algae-based biofuels have a promising future for large-scale production, especially in areas with abundant sunlight and waste resources.</w:t>
      </w:r>
    </w:p>
    <w:p w14:paraId="6C6B6EE0" w14:textId="77777777" w:rsidR="00CD2D9E" w:rsidRPr="00AE115B" w:rsidRDefault="00CD2D9E" w:rsidP="00CD2D9E">
      <w:pPr>
        <w:pStyle w:val="ListParagraph"/>
        <w:numPr>
          <w:ilvl w:val="0"/>
          <w:numId w:val="4"/>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Waste-to-Energy Biofuels:</w:t>
      </w:r>
      <w:r w:rsidRPr="00AE115B">
        <w:rPr>
          <w:rFonts w:ascii="Times New Roman" w:hAnsi="Times New Roman" w:cs="Times New Roman"/>
          <w:sz w:val="24"/>
          <w:szCs w:val="24"/>
        </w:rPr>
        <w:t xml:space="preserve"> Waste-to-energy technologies involve converting organic waste, such as agricultural residues, municipal solid waste, and food waste, into biofuels. These biofuels can be produced through processes like anaerobic digestion (producing biogas) or gasification (converting solid waste into syngas). Waste-to-energy biofuels not only address waste management issues but also provide rural communities with a renewable and locally sourced energy option. According to the International Renewable Energy Agency (IRENA), waste-to-energy projects have the potential to provide rural communities with affordable and sustainable energy solutions, particularly in countries with significant agricultural activity.</w:t>
      </w:r>
    </w:p>
    <w:p w14:paraId="70897EE2"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Advantages Over Traditional Biofuels</w:t>
      </w:r>
    </w:p>
    <w:p w14:paraId="65D59983"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Advanced biofuels offer numerous advantages compared to traditional biofuels, particularly in terms of sustainability, land use, and environmental impact.</w:t>
      </w:r>
    </w:p>
    <w:p w14:paraId="4E6F28B4" w14:textId="77777777" w:rsidR="00CD2D9E" w:rsidRPr="00AE115B" w:rsidRDefault="00CD2D9E" w:rsidP="00CD2D9E">
      <w:pPr>
        <w:pStyle w:val="ListParagraph"/>
        <w:numPr>
          <w:ilvl w:val="0"/>
          <w:numId w:val="5"/>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Reduced Food vs. Fuel Conflict:</w:t>
      </w:r>
      <w:r w:rsidRPr="00AE115B">
        <w:rPr>
          <w:rFonts w:ascii="Times New Roman" w:hAnsi="Times New Roman" w:cs="Times New Roman"/>
          <w:sz w:val="24"/>
          <w:szCs w:val="24"/>
        </w:rPr>
        <w:t xml:space="preserve"> One of the major issues with traditional biofuels is the "food vs. fuel" debate, wherein biofuel production competes with food production for land and resources. This can lead to higher food prices and food insecurity. Advanced biofuels, produced from non-food feedstocks like agricultural residues, </w:t>
      </w:r>
      <w:r w:rsidRPr="00AE115B">
        <w:rPr>
          <w:rFonts w:ascii="Times New Roman" w:hAnsi="Times New Roman" w:cs="Times New Roman"/>
          <w:sz w:val="24"/>
          <w:szCs w:val="24"/>
        </w:rPr>
        <w:lastRenderedPageBreak/>
        <w:t>algae, and waste, do not compete with food crops, helping to alleviate this conflict. According to a report by the Food and Agriculture Organization (FAO), the adoption of advanced biofuels is key to avoiding food price volatility caused by biofuel expansion.</w:t>
      </w:r>
    </w:p>
    <w:p w14:paraId="197973BC" w14:textId="77777777" w:rsidR="00CD2D9E" w:rsidRPr="00AE115B" w:rsidRDefault="00CD2D9E" w:rsidP="00CD2D9E">
      <w:pPr>
        <w:pStyle w:val="ListParagraph"/>
        <w:numPr>
          <w:ilvl w:val="0"/>
          <w:numId w:val="5"/>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Higher Energy Yields:</w:t>
      </w:r>
      <w:r w:rsidRPr="00AE115B">
        <w:rPr>
          <w:rFonts w:ascii="Times New Roman" w:hAnsi="Times New Roman" w:cs="Times New Roman"/>
          <w:sz w:val="24"/>
          <w:szCs w:val="24"/>
        </w:rPr>
        <w:t xml:space="preserve"> Advanced biofuels generally offer higher energy yields per unit of land compared to traditional biofuels. For example, algae-based biofuels can produce significantly higher oil yields per acre than traditional biofuel crops like soybeans or palm oil. The U.S. Department of Energy estimates that algae can yield up to 5,000 gallons of oil per acre, while soybeans yield only around 50 gallons per acre.</w:t>
      </w:r>
    </w:p>
    <w:p w14:paraId="6359ADD0" w14:textId="77777777" w:rsidR="00CD2D9E" w:rsidRPr="00AE115B" w:rsidRDefault="00CD2D9E" w:rsidP="00CD2D9E">
      <w:pPr>
        <w:pStyle w:val="ListParagraph"/>
        <w:numPr>
          <w:ilvl w:val="0"/>
          <w:numId w:val="5"/>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Environmental Benefits:</w:t>
      </w:r>
      <w:r w:rsidRPr="00AE115B">
        <w:rPr>
          <w:rFonts w:ascii="Times New Roman" w:hAnsi="Times New Roman" w:cs="Times New Roman"/>
          <w:sz w:val="24"/>
          <w:szCs w:val="24"/>
        </w:rPr>
        <w:t xml:space="preserve"> Advanced biofuels contribute to a reduction in greenhouse gas emissions compared to fossil fuels. When produced sustainably, they can achieve a carbon neutral or even carbon-negative cycle. For instance, lignocellulosic ethanol produced from agricultural residues can have up to 80% lower carbon emissions than gasoline, according to the U.S. Environmental Protection Agency (EPA). Furthermore, algae-based biofuels can absorb CO2 during their growth phase, offering a potential for carbon sequestration.</w:t>
      </w:r>
    </w:p>
    <w:p w14:paraId="026DFF73" w14:textId="77777777" w:rsidR="00CD2D9E" w:rsidRPr="00AE115B" w:rsidRDefault="00CD2D9E" w:rsidP="00CD2D9E">
      <w:pPr>
        <w:pStyle w:val="ListParagraph"/>
        <w:numPr>
          <w:ilvl w:val="0"/>
          <w:numId w:val="5"/>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Waste Reduction:</w:t>
      </w:r>
      <w:r w:rsidRPr="00AE115B">
        <w:rPr>
          <w:rFonts w:ascii="Times New Roman" w:hAnsi="Times New Roman" w:cs="Times New Roman"/>
          <w:sz w:val="24"/>
          <w:szCs w:val="24"/>
        </w:rPr>
        <w:t xml:space="preserve"> Advanced biofuels produced from waste materials help mitigate environmental issues related to waste disposal. Waste-to-energy technologies not only provide a source of renewable energy but also contribute to reducing landfill waste, promoting a circular economy. The International Energy Agency (IEA) estimates that waste-to-energy systems could supply up to 10% of global electricity by 2050, while simultaneously addressing growing waste management challenges.</w:t>
      </w:r>
    </w:p>
    <w:p w14:paraId="50ED8E0E"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Technological Advancements in Biofuel Production</w:t>
      </w:r>
    </w:p>
    <w:p w14:paraId="446FA088"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Advancements in biofuel production technologies are making advanced biofuels more competitive and scalable. Key technological developments include:</w:t>
      </w:r>
    </w:p>
    <w:p w14:paraId="096E4C0A" w14:textId="77777777" w:rsidR="00CD2D9E" w:rsidRPr="00AE115B" w:rsidRDefault="00CD2D9E" w:rsidP="00CD2D9E">
      <w:pPr>
        <w:pStyle w:val="ListParagraph"/>
        <w:numPr>
          <w:ilvl w:val="0"/>
          <w:numId w:val="6"/>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Enzyme Technologies for Lignocellulosic Biofuels:</w:t>
      </w:r>
      <w:r w:rsidRPr="00AE115B">
        <w:rPr>
          <w:rFonts w:ascii="Times New Roman" w:hAnsi="Times New Roman" w:cs="Times New Roman"/>
          <w:sz w:val="24"/>
          <w:szCs w:val="24"/>
        </w:rPr>
        <w:t xml:space="preserve"> The production of lignocellulosic biofuels involves breaking down complex biomass into fermentable sugars. Innovations in enzyme engineering have significantly improved the efficiency of this process. According to the U.S. Department of Energy, research into advanced enzymes has reduced the cost of lignocellulosic ethanol production, making it more cost-competitive with conventional ethanol.</w:t>
      </w:r>
    </w:p>
    <w:p w14:paraId="6767CBCF" w14:textId="77777777" w:rsidR="00CD2D9E" w:rsidRPr="00AE115B" w:rsidRDefault="00CD2D9E" w:rsidP="00CD2D9E">
      <w:pPr>
        <w:pStyle w:val="ListParagraph"/>
        <w:numPr>
          <w:ilvl w:val="0"/>
          <w:numId w:val="6"/>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Genetic Engineering of Algae:</w:t>
      </w:r>
      <w:r w:rsidRPr="00AE115B">
        <w:rPr>
          <w:rFonts w:ascii="Times New Roman" w:hAnsi="Times New Roman" w:cs="Times New Roman"/>
          <w:sz w:val="24"/>
          <w:szCs w:val="24"/>
        </w:rPr>
        <w:t xml:space="preserve"> Genetic engineering has improved the efficiency of algae-based biofuel production by creating algae strains that grow faster and produce more lipids. A study by the National Renewable Energy Laboratory (NREL) has demonstrated that genetically engineered algae strains can yield up to 30% more oil </w:t>
      </w:r>
      <w:r w:rsidRPr="00AE115B">
        <w:rPr>
          <w:rFonts w:ascii="Times New Roman" w:hAnsi="Times New Roman" w:cs="Times New Roman"/>
          <w:sz w:val="24"/>
          <w:szCs w:val="24"/>
        </w:rPr>
        <w:lastRenderedPageBreak/>
        <w:t>than traditional strains, enhancing the overall productivity of algae-based biofuel systems.</w:t>
      </w:r>
    </w:p>
    <w:p w14:paraId="1402BC89" w14:textId="77777777" w:rsidR="00CD2D9E" w:rsidRPr="00AE115B" w:rsidRDefault="00CD2D9E" w:rsidP="00CD2D9E">
      <w:pPr>
        <w:pStyle w:val="ListParagraph"/>
        <w:numPr>
          <w:ilvl w:val="0"/>
          <w:numId w:val="6"/>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Gasification and Anaerobic Digestion Technologies:</w:t>
      </w:r>
      <w:r w:rsidRPr="00AE115B">
        <w:rPr>
          <w:rFonts w:ascii="Times New Roman" w:hAnsi="Times New Roman" w:cs="Times New Roman"/>
          <w:sz w:val="24"/>
          <w:szCs w:val="24"/>
        </w:rPr>
        <w:t xml:space="preserve"> Gasification and anaerobic digestion technologies are increasingly used to convert waste materials into biofuels. Gasification involves converting solid waste into a synthetic gas (syngas) that can be further processed into biofuels, while anaerobic digestion produces biogas from organic materials. These technologies have been improved to increase efficiency and scalability. According to IRENA, gasification systems are becoming more commercially viable and are being deployed in various regions, including rural areas.</w:t>
      </w:r>
    </w:p>
    <w:p w14:paraId="4807A2AB"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The Potential of Advanced Biofuels for Rural Energy Access</w:t>
      </w:r>
    </w:p>
    <w:p w14:paraId="67F85E39"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Role of Biofuels in Diversifying Energy Sources for Rural Areas</w:t>
      </w:r>
      <w:r w:rsidRPr="00AE115B">
        <w:rPr>
          <w:rFonts w:ascii="Times New Roman" w:hAnsi="Times New Roman" w:cs="Times New Roman"/>
          <w:sz w:val="24"/>
          <w:szCs w:val="24"/>
        </w:rPr>
        <w:t xml:space="preserve"> </w:t>
      </w:r>
    </w:p>
    <w:p w14:paraId="3E43A452"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Advanced biofuels offer a sustainable solution for diversifying energy sources in rural areas, especially those that are off the grid or have unreliable access to electricity. By utilizing local biomass resources such as agricultural residues, waste products, and algae, rural communities can generate their own clean energy, reducing their dependence on fossil fuels and costly grid electricity.</w:t>
      </w:r>
    </w:p>
    <w:p w14:paraId="4403C20B"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According to the International Renewable Energy Agency (IRENA), advanced biofuels could significantly contribute to energy access in rural areas, especially in Africa and Asia, where rural populations often lack reliable access to modern energy. These biofuels can also support the development of local industries, creating jobs and boosting economic development in rural regions.</w:t>
      </w:r>
    </w:p>
    <w:p w14:paraId="5F37FB2F" w14:textId="77777777" w:rsidR="00CD2D9E" w:rsidRPr="00AE115B" w:rsidRDefault="00CD2D9E" w:rsidP="00CD2D9E">
      <w:pPr>
        <w:spacing w:after="0" w:line="360" w:lineRule="auto"/>
        <w:jc w:val="both"/>
        <w:rPr>
          <w:rFonts w:ascii="Times New Roman" w:hAnsi="Times New Roman" w:cs="Times New Roman"/>
          <w:b/>
          <w:bCs/>
          <w:sz w:val="24"/>
          <w:szCs w:val="24"/>
        </w:rPr>
      </w:pPr>
      <w:r w:rsidRPr="00AE115B">
        <w:rPr>
          <w:rFonts w:ascii="Times New Roman" w:hAnsi="Times New Roman" w:cs="Times New Roman"/>
          <w:b/>
          <w:bCs/>
          <w:sz w:val="24"/>
          <w:szCs w:val="24"/>
        </w:rPr>
        <w:t>Integration with Local Energy Systems and Decentralized Power Generation</w:t>
      </w:r>
    </w:p>
    <w:p w14:paraId="66F2CA3F" w14:textId="77777777" w:rsidR="002A680A" w:rsidRPr="00AE115B" w:rsidRDefault="002A680A" w:rsidP="002A680A">
      <w:pPr>
        <w:spacing w:after="0" w:line="360" w:lineRule="auto"/>
        <w:jc w:val="both"/>
        <w:rPr>
          <w:rFonts w:ascii="Times New Roman" w:hAnsi="Times New Roman" w:cs="Times New Roman"/>
          <w:b/>
          <w:bCs/>
          <w:i/>
          <w:iCs/>
          <w:sz w:val="24"/>
          <w:szCs w:val="24"/>
        </w:rPr>
      </w:pPr>
      <w:r w:rsidRPr="00AE115B">
        <w:rPr>
          <w:rFonts w:ascii="Times New Roman" w:hAnsi="Times New Roman" w:cs="Times New Roman"/>
          <w:b/>
          <w:bCs/>
          <w:i/>
          <w:iCs/>
          <w:sz w:val="24"/>
          <w:szCs w:val="24"/>
        </w:rPr>
        <w:t>The integration of advanced biofuels into decentralized energy systems offers a significant opportunity for rural electrification, enhancing energy security, reducing costs, and improving resilience. As of 2023, approximately 47 million people globally are served by mini-grids, with biofuel components present in about 23% of these systems (IRENA). The installation cost of hybrid mini-grids incorporating biofuels has dropped by 35% since 2018, reaching around $1,800–2,500 per kW, making them increasingly cost-competitive. In Sub-Saharan Africa, biomass-integrated mini-grids demonstrate reliability rates of 91–97%, compared to 75–85% for solar-only systems, underlining biofuels' role as reliable backup generation.</w:t>
      </w:r>
    </w:p>
    <w:p w14:paraId="23A3446A" w14:textId="3A435A9C" w:rsidR="002A680A" w:rsidRPr="00AE115B" w:rsidRDefault="002A680A" w:rsidP="00CD2D9E">
      <w:pPr>
        <w:spacing w:after="0" w:line="360" w:lineRule="auto"/>
        <w:jc w:val="both"/>
        <w:rPr>
          <w:rFonts w:ascii="Times New Roman" w:hAnsi="Times New Roman" w:cs="Times New Roman"/>
          <w:b/>
          <w:bCs/>
          <w:i/>
          <w:iCs/>
          <w:sz w:val="24"/>
          <w:szCs w:val="24"/>
        </w:rPr>
      </w:pPr>
      <w:r w:rsidRPr="00AE115B">
        <w:rPr>
          <w:rFonts w:ascii="Times New Roman" w:hAnsi="Times New Roman" w:cs="Times New Roman"/>
          <w:b/>
          <w:bCs/>
          <w:i/>
          <w:iCs/>
          <w:sz w:val="24"/>
          <w:szCs w:val="24"/>
        </w:rPr>
        <w:t xml:space="preserve">Economically, hybrid mini-grids with biofuels achieve a Levelized Cost of Electricity (LCOE) of $0.30–0.45/kWh in remote areas, nearly half the cost of diesel-only grids. In Southeast Asia, biogas-integrated systems have reduced fuel costs by 40–60%, while resilience metrics </w:t>
      </w:r>
      <w:r w:rsidRPr="00AE115B">
        <w:rPr>
          <w:rFonts w:ascii="Times New Roman" w:hAnsi="Times New Roman" w:cs="Times New Roman"/>
          <w:b/>
          <w:bCs/>
          <w:i/>
          <w:iCs/>
          <w:sz w:val="24"/>
          <w:szCs w:val="24"/>
        </w:rPr>
        <w:lastRenderedPageBreak/>
        <w:t>show these systems maintain 85% capacity during adverse weather, compared to 30–45% for solar-only systems. The growth potential is remarkable — by 2030, biofuel-based hybrid mini-grids could provide electricity to over 200 million people, with annual investments projected to hit $14.5 billion by 2028. Additionally, rural biogas installations for cooking and heating could reach 50 million units globally, reducing biomass fuel consumption by 165 million tons annually.</w:t>
      </w:r>
    </w:p>
    <w:p w14:paraId="1C33F06F" w14:textId="30A4216E"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Case Studies of Successful Biofuel Projects in Rural Settings</w:t>
      </w:r>
    </w:p>
    <w:p w14:paraId="0F9B9C0F" w14:textId="77777777" w:rsidR="00CD2D9E" w:rsidRPr="00AE115B" w:rsidRDefault="00CD2D9E" w:rsidP="00CD2D9E">
      <w:pPr>
        <w:pStyle w:val="ListParagraph"/>
        <w:numPr>
          <w:ilvl w:val="0"/>
          <w:numId w:val="7"/>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Biogas Projects in India:</w:t>
      </w:r>
      <w:r w:rsidRPr="00AE115B">
        <w:rPr>
          <w:rFonts w:ascii="Times New Roman" w:hAnsi="Times New Roman" w:cs="Times New Roman"/>
          <w:sz w:val="24"/>
          <w:szCs w:val="24"/>
        </w:rPr>
        <w:t xml:space="preserve"> The National Biogas and Manure Management Program in India has helped rural households install small-scale biogas digesters that convert animal manure and agricultural residues into biogas for cooking and lighting. According to the Indian Ministry of New and Renewable Energy, over 4 million biogas plants have been installed under this program, significantly improving energy access in rural areas.</w:t>
      </w:r>
    </w:p>
    <w:p w14:paraId="5FBE94BC" w14:textId="77777777" w:rsidR="00CD2D9E" w:rsidRPr="00AE115B" w:rsidRDefault="00CD2D9E" w:rsidP="00CD2D9E">
      <w:pPr>
        <w:pStyle w:val="ListParagraph"/>
        <w:numPr>
          <w:ilvl w:val="0"/>
          <w:numId w:val="7"/>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Algae-based Biofuels in Kenya:</w:t>
      </w:r>
      <w:r w:rsidRPr="00AE115B">
        <w:rPr>
          <w:rFonts w:ascii="Times New Roman" w:hAnsi="Times New Roman" w:cs="Times New Roman"/>
          <w:sz w:val="24"/>
          <w:szCs w:val="24"/>
        </w:rPr>
        <w:t xml:space="preserve"> In Kenya, the Algae Biotech Company is working on algae based biofuels, focusing on converting algae into biodiesel and bioethanol. This project aims to create jobs in algae farming and biofuel production while providing a sustainable energy source for rural communities. The company is also using waste resources like wastewater for algae cultivation, demonstrating a circular approach to energy and waste management.</w:t>
      </w:r>
    </w:p>
    <w:p w14:paraId="2D5CCD5C" w14:textId="77777777" w:rsidR="00CD2D9E" w:rsidRPr="00AE115B" w:rsidRDefault="00CD2D9E" w:rsidP="00CD2D9E">
      <w:pPr>
        <w:pStyle w:val="ListParagraph"/>
        <w:numPr>
          <w:ilvl w:val="0"/>
          <w:numId w:val="7"/>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Lignocellulosic Biofuels in Brazil:</w:t>
      </w:r>
      <w:r w:rsidRPr="00AE115B">
        <w:rPr>
          <w:rFonts w:ascii="Times New Roman" w:hAnsi="Times New Roman" w:cs="Times New Roman"/>
          <w:sz w:val="24"/>
          <w:szCs w:val="24"/>
        </w:rPr>
        <w:t xml:space="preserve"> Brazil's </w:t>
      </w:r>
      <w:proofErr w:type="spellStart"/>
      <w:r w:rsidRPr="00AE115B">
        <w:rPr>
          <w:rFonts w:ascii="Times New Roman" w:hAnsi="Times New Roman" w:cs="Times New Roman"/>
          <w:sz w:val="24"/>
          <w:szCs w:val="24"/>
        </w:rPr>
        <w:t>Proalcool</w:t>
      </w:r>
      <w:proofErr w:type="spellEnd"/>
      <w:r w:rsidRPr="00AE115B">
        <w:rPr>
          <w:rFonts w:ascii="Times New Roman" w:hAnsi="Times New Roman" w:cs="Times New Roman"/>
          <w:sz w:val="24"/>
          <w:szCs w:val="24"/>
        </w:rPr>
        <w:t xml:space="preserve"> Program, which has been in operation since the 1970s, has promoted bioethanol production from sugarcane. Brazil has expanded its biofuel production to include lignocellulosic ethanol from agricultural residues, which not only supports rural development but also enhances the country's energy security. According to </w:t>
      </w:r>
      <w:proofErr w:type="spellStart"/>
      <w:r w:rsidRPr="00AE115B">
        <w:rPr>
          <w:rFonts w:ascii="Times New Roman" w:hAnsi="Times New Roman" w:cs="Times New Roman"/>
          <w:sz w:val="24"/>
          <w:szCs w:val="24"/>
        </w:rPr>
        <w:t>Embrapa</w:t>
      </w:r>
      <w:proofErr w:type="spellEnd"/>
      <w:r w:rsidRPr="00AE115B">
        <w:rPr>
          <w:rFonts w:ascii="Times New Roman" w:hAnsi="Times New Roman" w:cs="Times New Roman"/>
          <w:sz w:val="24"/>
          <w:szCs w:val="24"/>
        </w:rPr>
        <w:t xml:space="preserve"> (Brazilian Agricultural Research Corporation), lignocellulosic ethanol is now being produced on a commercial scale in Brazil, using residues like sugarcane bagasse.</w:t>
      </w:r>
    </w:p>
    <w:p w14:paraId="5C3F0CD3"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Economic Growth and Job Creation Through Advanced Biofuels</w:t>
      </w:r>
    </w:p>
    <w:p w14:paraId="79DBE2A6"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Job Creation in Biofuel Production, Processing, and Distribution</w:t>
      </w:r>
      <w:r w:rsidRPr="00AE115B">
        <w:rPr>
          <w:rFonts w:ascii="Times New Roman" w:hAnsi="Times New Roman" w:cs="Times New Roman"/>
          <w:sz w:val="24"/>
          <w:szCs w:val="24"/>
        </w:rPr>
        <w:t xml:space="preserve"> </w:t>
      </w:r>
    </w:p>
    <w:p w14:paraId="0392FF02"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The development and expansion of advanced biofuels hold significant potential for job creation in rural economies. The biofuel sector can generate employment across various stages of the supply chain, from feedstock production to fuel processing and distribution.</w:t>
      </w:r>
    </w:p>
    <w:p w14:paraId="394D9737" w14:textId="77777777" w:rsidR="00CD2D9E" w:rsidRPr="00AE115B" w:rsidRDefault="00CD2D9E" w:rsidP="00CD2D9E">
      <w:pPr>
        <w:pStyle w:val="ListParagraph"/>
        <w:numPr>
          <w:ilvl w:val="0"/>
          <w:numId w:val="8"/>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Feedstock Production:</w:t>
      </w:r>
      <w:r w:rsidRPr="00AE115B">
        <w:rPr>
          <w:rFonts w:ascii="Times New Roman" w:hAnsi="Times New Roman" w:cs="Times New Roman"/>
          <w:sz w:val="24"/>
          <w:szCs w:val="24"/>
        </w:rPr>
        <w:t xml:space="preserve"> Agricultural residues, algae farming, and waste management for biofuel feedstock can provide significant job opportunities. For example, cultivating algae for biofuels is a </w:t>
      </w:r>
      <w:proofErr w:type="spellStart"/>
      <w:r w:rsidRPr="00AE115B">
        <w:rPr>
          <w:rFonts w:ascii="Times New Roman" w:hAnsi="Times New Roman" w:cs="Times New Roman"/>
          <w:sz w:val="24"/>
          <w:szCs w:val="24"/>
        </w:rPr>
        <w:t>labor-intensive</w:t>
      </w:r>
      <w:proofErr w:type="spellEnd"/>
      <w:r w:rsidRPr="00AE115B">
        <w:rPr>
          <w:rFonts w:ascii="Times New Roman" w:hAnsi="Times New Roman" w:cs="Times New Roman"/>
          <w:sz w:val="24"/>
          <w:szCs w:val="24"/>
        </w:rPr>
        <w:t xml:space="preserve"> process that creates jobs in farming, harvesting, </w:t>
      </w:r>
      <w:r w:rsidRPr="00AE115B">
        <w:rPr>
          <w:rFonts w:ascii="Times New Roman" w:hAnsi="Times New Roman" w:cs="Times New Roman"/>
          <w:sz w:val="24"/>
          <w:szCs w:val="24"/>
        </w:rPr>
        <w:lastRenderedPageBreak/>
        <w:t>and processing. According to the U.S. Department of Energy (DOE), the biofuels industry in the U.S. supports over 850,000 jobs in agriculture, energy, and manufacturing (DOE, 2020). In rural areas, these jobs are especially critical in regions with limited employment opportunities in traditional sectors like agriculture and mining.</w:t>
      </w:r>
    </w:p>
    <w:p w14:paraId="70AEE841" w14:textId="77777777" w:rsidR="00CD2D9E" w:rsidRPr="00AE115B" w:rsidRDefault="00CD2D9E" w:rsidP="00CD2D9E">
      <w:pPr>
        <w:pStyle w:val="ListParagraph"/>
        <w:numPr>
          <w:ilvl w:val="0"/>
          <w:numId w:val="8"/>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Biofuel Processing:</w:t>
      </w:r>
      <w:r w:rsidRPr="00AE115B">
        <w:rPr>
          <w:rFonts w:ascii="Times New Roman" w:hAnsi="Times New Roman" w:cs="Times New Roman"/>
          <w:sz w:val="24"/>
          <w:szCs w:val="24"/>
        </w:rPr>
        <w:t xml:space="preserve"> Establishing biofuel production facilities, such as ethanol or biodiesel plants, requires skilled </w:t>
      </w:r>
      <w:proofErr w:type="spellStart"/>
      <w:r w:rsidRPr="00AE115B">
        <w:rPr>
          <w:rFonts w:ascii="Times New Roman" w:hAnsi="Times New Roman" w:cs="Times New Roman"/>
          <w:sz w:val="24"/>
          <w:szCs w:val="24"/>
        </w:rPr>
        <w:t>labor</w:t>
      </w:r>
      <w:proofErr w:type="spellEnd"/>
      <w:r w:rsidRPr="00AE115B">
        <w:rPr>
          <w:rFonts w:ascii="Times New Roman" w:hAnsi="Times New Roman" w:cs="Times New Roman"/>
          <w:sz w:val="24"/>
          <w:szCs w:val="24"/>
        </w:rPr>
        <w:t xml:space="preserve"> for operations, maintenance, and research and development. A report by the International Renewable Energy Agency (IRENA) highlighted that the expansion of the biofuel industry in rural regions of developing countries can create thousands of direct jobs in plant operation and biofuel production (IRENA, 2020). </w:t>
      </w:r>
    </w:p>
    <w:p w14:paraId="0110E633" w14:textId="77777777" w:rsidR="00CD2D9E" w:rsidRPr="00AE115B" w:rsidRDefault="00CD2D9E" w:rsidP="00CD2D9E">
      <w:pPr>
        <w:pStyle w:val="ListParagraph"/>
        <w:numPr>
          <w:ilvl w:val="0"/>
          <w:numId w:val="8"/>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Distribution and Logistics:</w:t>
      </w:r>
      <w:r w:rsidRPr="00AE115B">
        <w:rPr>
          <w:rFonts w:ascii="Times New Roman" w:hAnsi="Times New Roman" w:cs="Times New Roman"/>
          <w:sz w:val="24"/>
          <w:szCs w:val="24"/>
        </w:rPr>
        <w:t xml:space="preserve"> Once biofuels are produced, their distribution requires a robust logistics network, which includes storage facilities, transportation, and retail distribution points. This also generates employment in the logistics sector. McKinsey &amp; Company (2021) estimates that a large-scale biofuels economy could provide hundreds of thousands of additional jobs in distribution networks, particularly in rural areas with limited access to conventional energy.</w:t>
      </w:r>
    </w:p>
    <w:p w14:paraId="005BEB41"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Value-Added Products and Industries</w:t>
      </w:r>
      <w:r w:rsidRPr="00AE115B">
        <w:rPr>
          <w:rFonts w:ascii="Times New Roman" w:hAnsi="Times New Roman" w:cs="Times New Roman"/>
          <w:sz w:val="24"/>
          <w:szCs w:val="24"/>
        </w:rPr>
        <w:t xml:space="preserve"> </w:t>
      </w:r>
    </w:p>
    <w:p w14:paraId="615CBCFB"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Advanced biofuels also create value-added products and industries that contribute to economic growth. These products are generated either from biofuels themselves or from co-products produced during biofuel processing.</w:t>
      </w:r>
    </w:p>
    <w:p w14:paraId="3DCAE081" w14:textId="77777777" w:rsidR="00CD2D9E" w:rsidRPr="00AE115B" w:rsidRDefault="00CD2D9E" w:rsidP="00CD2D9E">
      <w:pPr>
        <w:pStyle w:val="ListParagraph"/>
        <w:numPr>
          <w:ilvl w:val="0"/>
          <w:numId w:val="9"/>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Agricultural By-Products:</w:t>
      </w:r>
      <w:r w:rsidRPr="00AE115B">
        <w:rPr>
          <w:rFonts w:ascii="Times New Roman" w:hAnsi="Times New Roman" w:cs="Times New Roman"/>
          <w:sz w:val="24"/>
          <w:szCs w:val="24"/>
        </w:rPr>
        <w:t xml:space="preserve"> Agricultural residues such as corn stover, wheat straw, and sugarcane bagasse can be used for biofuel production, but they also have additional value in the production of other goods. For instance, lignocellulosic residues used for biofuel production can be processed into bio composites or animal feed (Jung et al., 2020). In rural economies, this creates secondary industries that contribute to economic diversification and resilience.</w:t>
      </w:r>
    </w:p>
    <w:p w14:paraId="2B1397D8" w14:textId="77777777" w:rsidR="00CD2D9E" w:rsidRPr="00AE115B" w:rsidRDefault="00CD2D9E" w:rsidP="00CD2D9E">
      <w:pPr>
        <w:pStyle w:val="ListParagraph"/>
        <w:numPr>
          <w:ilvl w:val="0"/>
          <w:numId w:val="9"/>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Waste Management and Recycling:</w:t>
      </w:r>
      <w:r w:rsidRPr="00AE115B">
        <w:rPr>
          <w:rFonts w:ascii="Times New Roman" w:hAnsi="Times New Roman" w:cs="Times New Roman"/>
          <w:sz w:val="24"/>
          <w:szCs w:val="24"/>
        </w:rPr>
        <w:t xml:space="preserve"> The use of agricultural, municipal, and industrial waste in biofuel production promotes waste management practices that generate both economic and environmental benefits. By transforming waste into valuable energy products, these processes create employment opportunities in waste collection, sorting, and processing. According to the World Bank (2021), the global waste-to-energy market is expected to grow by 7.4% per year, driven in part by biofuel technologies. </w:t>
      </w:r>
      <w:r w:rsidRPr="00AE115B">
        <w:rPr>
          <w:rFonts w:ascii="Times New Roman" w:hAnsi="Times New Roman" w:cs="Times New Roman"/>
          <w:sz w:val="24"/>
          <w:szCs w:val="24"/>
        </w:rPr>
        <w:lastRenderedPageBreak/>
        <w:t>This growth offers significant potential for rural communities to capitalize on waste as a resource.</w:t>
      </w:r>
    </w:p>
    <w:p w14:paraId="29B51149" w14:textId="77777777" w:rsidR="00CD2D9E" w:rsidRPr="00AE115B" w:rsidRDefault="00CD2D9E" w:rsidP="00CD2D9E">
      <w:pPr>
        <w:pStyle w:val="ListParagraph"/>
        <w:numPr>
          <w:ilvl w:val="0"/>
          <w:numId w:val="9"/>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Co-Products:</w:t>
      </w:r>
      <w:r w:rsidRPr="00AE115B">
        <w:rPr>
          <w:rFonts w:ascii="Times New Roman" w:hAnsi="Times New Roman" w:cs="Times New Roman"/>
          <w:sz w:val="24"/>
          <w:szCs w:val="24"/>
        </w:rPr>
        <w:t xml:space="preserve"> In biofuel production, co-products such as biochar, glycerol, and distillers grains are produced and can be used in other industries. These co-products can be marketed to sectors like agriculture (as soil amendments or animal feed), chemicals (as bio-based chemicals), and construction (as building materials). According to a study by the U.S. Department of Agriculture, the co-products of ethanol production alone are estimated to contribute more than $4 billion annually to the U.S. economy (USDA, 2020).</w:t>
      </w:r>
    </w:p>
    <w:p w14:paraId="2264F2DD"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Linkages to Other Rural Industries</w:t>
      </w:r>
    </w:p>
    <w:p w14:paraId="15C5DDDB" w14:textId="77777777" w:rsidR="00CD2D9E" w:rsidRPr="00AE115B" w:rsidRDefault="00CD2D9E" w:rsidP="00CD2D9E">
      <w:pPr>
        <w:pStyle w:val="ListParagraph"/>
        <w:numPr>
          <w:ilvl w:val="0"/>
          <w:numId w:val="10"/>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Agriculture:</w:t>
      </w:r>
      <w:r w:rsidRPr="00AE115B">
        <w:rPr>
          <w:rFonts w:ascii="Times New Roman" w:hAnsi="Times New Roman" w:cs="Times New Roman"/>
          <w:sz w:val="24"/>
          <w:szCs w:val="24"/>
        </w:rPr>
        <w:t xml:space="preserve"> Biofuels are closely tied to the agricultural sector, as crops, residues, and other biomass serve as feedstocks for biofuel production. As demand for biofuels increases, there will be a need for more agricultural production, creating a multiplier effect in rural areas. For example, in Brazil, the expansion of bioethanol production from sugarcane has not only boosted the biofuel sector but has also contributed to the growth of agricultural exports, leading to an estimated 10% increase in rural income over the past decade (de Carvalho et al., 2020).</w:t>
      </w:r>
    </w:p>
    <w:p w14:paraId="62DCDEAB" w14:textId="77777777" w:rsidR="00CD2D9E" w:rsidRPr="00AE115B" w:rsidRDefault="00CD2D9E" w:rsidP="00CD2D9E">
      <w:pPr>
        <w:pStyle w:val="ListParagraph"/>
        <w:numPr>
          <w:ilvl w:val="0"/>
          <w:numId w:val="10"/>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Manufacturing:</w:t>
      </w:r>
      <w:r w:rsidRPr="00AE115B">
        <w:rPr>
          <w:rFonts w:ascii="Times New Roman" w:hAnsi="Times New Roman" w:cs="Times New Roman"/>
          <w:sz w:val="24"/>
          <w:szCs w:val="24"/>
        </w:rPr>
        <w:t xml:space="preserve"> Biofuel production also stimulates rural manufacturing industries, including the construction of biofuel plants, the production of biofuel-related machinery, and the development of new technologies. For example, in India, the growth of the biofuel industry has spurred the local manufacturing of bio-digesters, creating a new sector within rural economies (Gupta &amp; Yadav, 2021). This manufacturing sector creates both direct and indirect jobs, further supporting economic growth.</w:t>
      </w:r>
    </w:p>
    <w:p w14:paraId="4E57243B" w14:textId="77777777" w:rsidR="00CD2D9E" w:rsidRPr="00AE115B" w:rsidRDefault="00CD2D9E" w:rsidP="00CD2D9E">
      <w:pPr>
        <w:pStyle w:val="ListParagraph"/>
        <w:numPr>
          <w:ilvl w:val="0"/>
          <w:numId w:val="10"/>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Transportation:</w:t>
      </w:r>
      <w:r w:rsidRPr="00AE115B">
        <w:rPr>
          <w:rFonts w:ascii="Times New Roman" w:hAnsi="Times New Roman" w:cs="Times New Roman"/>
          <w:sz w:val="24"/>
          <w:szCs w:val="24"/>
        </w:rPr>
        <w:t xml:space="preserve"> Biofuels provide an opportunity to revitalize the rural transportation sector. Local biofuels can fuel public transportation and local freight systems, reducing transportation costs and providing new revenue streams for rural communities. The use of biofuels in rural transportation can reduce fuel import costs, increase local fuel availability, and create more stable energy prices.</w:t>
      </w:r>
    </w:p>
    <w:p w14:paraId="0015CAAC"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Challenges in Scaling Biofuel Production in Rural Economies</w:t>
      </w:r>
    </w:p>
    <w:p w14:paraId="5F0CD6CA"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While the potential benefits of biofuels for rural economies are substantial, scaling biofuel production poses several challenges:</w:t>
      </w:r>
    </w:p>
    <w:p w14:paraId="0A98E6F8" w14:textId="77777777" w:rsidR="00CD2D9E" w:rsidRPr="00AE115B" w:rsidRDefault="00CD2D9E" w:rsidP="00CD2D9E">
      <w:pPr>
        <w:pStyle w:val="ListParagraph"/>
        <w:numPr>
          <w:ilvl w:val="0"/>
          <w:numId w:val="11"/>
        </w:num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 xml:space="preserve">Feedstock Supply and Consistency: The scalability of biofuel production is heavily dependent on the consistent and reliable supply of feedstocks. Seasonal variations in crop yields and competition for land use can lead to supply shortages. Moreover, </w:t>
      </w:r>
      <w:r w:rsidRPr="00AE115B">
        <w:rPr>
          <w:rFonts w:ascii="Times New Roman" w:hAnsi="Times New Roman" w:cs="Times New Roman"/>
          <w:sz w:val="24"/>
          <w:szCs w:val="24"/>
        </w:rPr>
        <w:lastRenderedPageBreak/>
        <w:t>ensuring a diversified feedstock base (such as algae or waste materials) is essential to prevent over-reliance on specific crops, which can be risky in areas affected by climate change or extreme weather events.</w:t>
      </w:r>
    </w:p>
    <w:p w14:paraId="26E16235" w14:textId="77777777" w:rsidR="00CD2D9E" w:rsidRPr="00AE115B" w:rsidRDefault="00CD2D9E" w:rsidP="00CD2D9E">
      <w:pPr>
        <w:pStyle w:val="ListParagraph"/>
        <w:numPr>
          <w:ilvl w:val="0"/>
          <w:numId w:val="11"/>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Capital Investment:</w:t>
      </w:r>
      <w:r w:rsidRPr="00AE115B">
        <w:rPr>
          <w:rFonts w:ascii="Times New Roman" w:hAnsi="Times New Roman" w:cs="Times New Roman"/>
          <w:sz w:val="24"/>
          <w:szCs w:val="24"/>
        </w:rPr>
        <w:t xml:space="preserve"> Biofuel plants require substantial upfront capital for construction, infrastructure, and technology development. Rural economies, especially in developing countries, often lack the financial resources and access to capital needed to establish largescale biofuel facilities. Financial support from governments or international development organizations may be necessary to overcome these barriers.</w:t>
      </w:r>
    </w:p>
    <w:p w14:paraId="2F8141E1" w14:textId="77777777" w:rsidR="00CD2D9E" w:rsidRPr="00AE115B" w:rsidRDefault="00CD2D9E" w:rsidP="00CD2D9E">
      <w:pPr>
        <w:pStyle w:val="ListParagraph"/>
        <w:numPr>
          <w:ilvl w:val="0"/>
          <w:numId w:val="11"/>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Market Demand and Price Volatility:</w:t>
      </w:r>
      <w:r w:rsidRPr="00AE115B">
        <w:rPr>
          <w:rFonts w:ascii="Times New Roman" w:hAnsi="Times New Roman" w:cs="Times New Roman"/>
          <w:sz w:val="24"/>
          <w:szCs w:val="24"/>
        </w:rPr>
        <w:t xml:space="preserve"> The global biofuel market is subject to fluctuations in demand and commodity prices, which can affect the economic viability of biofuel production. According to McKinsey &amp; Company (2021), biofuels are competing with fossil fuels, which are subject to global market price swings. This price volatility could undermine the stability of biofuel-related job creation in rural economies.</w:t>
      </w:r>
    </w:p>
    <w:p w14:paraId="0CC9182D"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Social and Infrastructure Development in Rural Areas</w:t>
      </w:r>
      <w:r w:rsidRPr="00AE115B">
        <w:rPr>
          <w:rFonts w:ascii="Times New Roman" w:hAnsi="Times New Roman" w:cs="Times New Roman"/>
          <w:sz w:val="24"/>
          <w:szCs w:val="24"/>
        </w:rPr>
        <w:t xml:space="preserve"> </w:t>
      </w:r>
    </w:p>
    <w:p w14:paraId="19B13C1C"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Impact on Rural Infrastructure: Roads, Electricity, Water Supply</w:t>
      </w:r>
      <w:r w:rsidRPr="00AE115B">
        <w:rPr>
          <w:rFonts w:ascii="Times New Roman" w:hAnsi="Times New Roman" w:cs="Times New Roman"/>
          <w:sz w:val="24"/>
          <w:szCs w:val="24"/>
        </w:rPr>
        <w:t xml:space="preserve"> </w:t>
      </w:r>
    </w:p>
    <w:p w14:paraId="3F5BB5C5"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The development of the biofuel industry in rural areas can also stimulate the improvement of critical infrastructure, benefiting local communities:</w:t>
      </w:r>
    </w:p>
    <w:p w14:paraId="3C5917DD" w14:textId="77777777" w:rsidR="00CD2D9E" w:rsidRPr="00AE115B" w:rsidRDefault="00CD2D9E" w:rsidP="00CD2D9E">
      <w:pPr>
        <w:pStyle w:val="ListParagraph"/>
        <w:numPr>
          <w:ilvl w:val="0"/>
          <w:numId w:val="12"/>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Roads:</w:t>
      </w:r>
      <w:r w:rsidRPr="00AE115B">
        <w:rPr>
          <w:rFonts w:ascii="Times New Roman" w:hAnsi="Times New Roman" w:cs="Times New Roman"/>
          <w:sz w:val="24"/>
          <w:szCs w:val="24"/>
        </w:rPr>
        <w:t xml:space="preserve"> Biofuel production requires the transportation of feedstocks and finished products, which necessitates the development of transportation infrastructure. New roads and transport networks will be constructed to connect rural biofuel plants with agricultural areas and market </w:t>
      </w:r>
      <w:proofErr w:type="spellStart"/>
      <w:r w:rsidRPr="00AE115B">
        <w:rPr>
          <w:rFonts w:ascii="Times New Roman" w:hAnsi="Times New Roman" w:cs="Times New Roman"/>
          <w:sz w:val="24"/>
          <w:szCs w:val="24"/>
        </w:rPr>
        <w:t>centers</w:t>
      </w:r>
      <w:proofErr w:type="spellEnd"/>
      <w:r w:rsidRPr="00AE115B">
        <w:rPr>
          <w:rFonts w:ascii="Times New Roman" w:hAnsi="Times New Roman" w:cs="Times New Roman"/>
          <w:sz w:val="24"/>
          <w:szCs w:val="24"/>
        </w:rPr>
        <w:t>. World Bank (2021) estimates that rural biofuel projects can contribute to a 5-10% improvement in rural transportation infrastructure.</w:t>
      </w:r>
    </w:p>
    <w:p w14:paraId="40F55632" w14:textId="77777777" w:rsidR="00CD2D9E" w:rsidRPr="00AE115B" w:rsidRDefault="00CD2D9E" w:rsidP="00CD2D9E">
      <w:pPr>
        <w:pStyle w:val="ListParagraph"/>
        <w:numPr>
          <w:ilvl w:val="0"/>
          <w:numId w:val="12"/>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Electricity and Energy Supply:</w:t>
      </w:r>
      <w:r w:rsidRPr="00AE115B">
        <w:rPr>
          <w:rFonts w:ascii="Times New Roman" w:hAnsi="Times New Roman" w:cs="Times New Roman"/>
          <w:sz w:val="24"/>
          <w:szCs w:val="24"/>
        </w:rPr>
        <w:t xml:space="preserve"> Biofuels can be used to generate electricity in off-grid rural areas. Biomass power plants and biofuel-powered microgrids can provide rural communities with a reliable and sustainable electricity supply, reducing their dependence on fossil fuels or unreliable grid connections. According to IRENA (2020), biofuel-based power plants can provide stable electricity for rural populations, increasing access to energy in previously underserved regions.</w:t>
      </w:r>
    </w:p>
    <w:p w14:paraId="1EF89EFF" w14:textId="77777777" w:rsidR="00CD2D9E" w:rsidRPr="00AE115B" w:rsidRDefault="00CD2D9E" w:rsidP="00CD2D9E">
      <w:pPr>
        <w:pStyle w:val="ListParagraph"/>
        <w:numPr>
          <w:ilvl w:val="0"/>
          <w:numId w:val="12"/>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Water Supply:</w:t>
      </w:r>
      <w:r w:rsidRPr="00AE115B">
        <w:rPr>
          <w:rFonts w:ascii="Times New Roman" w:hAnsi="Times New Roman" w:cs="Times New Roman"/>
          <w:sz w:val="24"/>
          <w:szCs w:val="24"/>
        </w:rPr>
        <w:t xml:space="preserve"> Some biofuel production processes, such as algae-based biofuels, can be integrated with local water management systems. For example, algae farms can be located in wastewater treatment facilities, using the treated water for cultivation. This not only provides a sustainable feedstock for biofuel production but also helps improve local water supply and treatment infrastructure.</w:t>
      </w:r>
    </w:p>
    <w:p w14:paraId="42F86684"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lastRenderedPageBreak/>
        <w:t>Skills Development and Workforce Training for Biofuel Industries</w:t>
      </w:r>
    </w:p>
    <w:p w14:paraId="4E81B38A" w14:textId="77777777" w:rsidR="00CD2D9E" w:rsidRPr="00AE115B" w:rsidRDefault="00CD2D9E" w:rsidP="00CD2D9E">
      <w:pPr>
        <w:pStyle w:val="ListParagraph"/>
        <w:numPr>
          <w:ilvl w:val="0"/>
          <w:numId w:val="13"/>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Workforce Training:</w:t>
      </w:r>
      <w:r w:rsidRPr="00AE115B">
        <w:rPr>
          <w:rFonts w:ascii="Times New Roman" w:hAnsi="Times New Roman" w:cs="Times New Roman"/>
          <w:sz w:val="24"/>
          <w:szCs w:val="24"/>
        </w:rPr>
        <w:t xml:space="preserve"> The biofuel sector demands a skilled workforce for various tasks such as feedstock cultivation, plant operations, machinery maintenance, and research and development. Providing vocational training and technical education in biofuel technologies can empower local workers and enable them to access better-paying jobs. In Brazil, training programs for ethanol production have contributed to the development of a skilled workforce in rural areas (de Carvalho et al., 2020).</w:t>
      </w:r>
    </w:p>
    <w:p w14:paraId="60D189F3" w14:textId="77777777" w:rsidR="00CD2D9E" w:rsidRPr="00AE115B" w:rsidRDefault="00CD2D9E" w:rsidP="00CD2D9E">
      <w:pPr>
        <w:pStyle w:val="ListParagraph"/>
        <w:numPr>
          <w:ilvl w:val="0"/>
          <w:numId w:val="13"/>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Gender and Social Inclusion:</w:t>
      </w:r>
      <w:r w:rsidRPr="00AE115B">
        <w:rPr>
          <w:rFonts w:ascii="Times New Roman" w:hAnsi="Times New Roman" w:cs="Times New Roman"/>
          <w:sz w:val="24"/>
          <w:szCs w:val="24"/>
        </w:rPr>
        <w:t xml:space="preserve"> Biofuel-related jobs can offer opportunities for gender inclusion and social empowerment, particularly in rural areas where women traditionally have limited access to employment. In India, women in rural areas have been empowered through jobs in biogas plant operations and biofuel processing, which has provided them with income opportunities and greater social mobility (Gupta &amp; Yadav, 2021).</w:t>
      </w:r>
    </w:p>
    <w:p w14:paraId="61A620CB" w14:textId="77777777" w:rsidR="00CD2D9E" w:rsidRPr="00AE115B" w:rsidRDefault="00CD2D9E" w:rsidP="00CD2D9E">
      <w:pPr>
        <w:spacing w:after="0" w:line="360" w:lineRule="auto"/>
        <w:ind w:left="360"/>
        <w:jc w:val="both"/>
        <w:rPr>
          <w:rFonts w:ascii="Times New Roman" w:hAnsi="Times New Roman" w:cs="Times New Roman"/>
          <w:b/>
          <w:bCs/>
          <w:sz w:val="24"/>
          <w:szCs w:val="24"/>
        </w:rPr>
      </w:pPr>
      <w:r w:rsidRPr="00AE115B">
        <w:rPr>
          <w:rFonts w:ascii="Times New Roman" w:hAnsi="Times New Roman" w:cs="Times New Roman"/>
          <w:b/>
          <w:bCs/>
          <w:sz w:val="24"/>
          <w:szCs w:val="24"/>
        </w:rPr>
        <w:t>Empowerment of Local Communities and Women</w:t>
      </w:r>
      <w:r w:rsidRPr="00AE115B">
        <w:rPr>
          <w:rFonts w:ascii="Times New Roman" w:hAnsi="Times New Roman" w:cs="Times New Roman"/>
          <w:sz w:val="24"/>
          <w:szCs w:val="24"/>
        </w:rPr>
        <w:t xml:space="preserve"> </w:t>
      </w:r>
      <w:r w:rsidRPr="00AE115B">
        <w:rPr>
          <w:rFonts w:ascii="Times New Roman" w:hAnsi="Times New Roman" w:cs="Times New Roman"/>
          <w:b/>
          <w:bCs/>
          <w:sz w:val="24"/>
          <w:szCs w:val="24"/>
        </w:rPr>
        <w:t>Through Biofuel-related Jobs</w:t>
      </w:r>
    </w:p>
    <w:p w14:paraId="3D44ECB4" w14:textId="77777777" w:rsidR="00CD2D9E" w:rsidRPr="00AE115B" w:rsidRDefault="00CD2D9E" w:rsidP="00CD2D9E">
      <w:pPr>
        <w:spacing w:after="0" w:line="360" w:lineRule="auto"/>
        <w:ind w:left="360"/>
        <w:jc w:val="both"/>
        <w:rPr>
          <w:rFonts w:ascii="Times New Roman" w:hAnsi="Times New Roman" w:cs="Times New Roman"/>
          <w:sz w:val="24"/>
          <w:szCs w:val="24"/>
        </w:rPr>
      </w:pPr>
      <w:r w:rsidRPr="00AE115B">
        <w:rPr>
          <w:rFonts w:ascii="Times New Roman" w:hAnsi="Times New Roman" w:cs="Times New Roman"/>
          <w:sz w:val="24"/>
          <w:szCs w:val="24"/>
        </w:rPr>
        <w:t>Biofuels have the potential to empower local communities and create more inclusive economic opportunities:</w:t>
      </w:r>
    </w:p>
    <w:p w14:paraId="183990E1" w14:textId="77777777" w:rsidR="00CD2D9E" w:rsidRPr="00AE115B" w:rsidRDefault="00CD2D9E" w:rsidP="00CD2D9E">
      <w:pPr>
        <w:pStyle w:val="ListParagraph"/>
        <w:numPr>
          <w:ilvl w:val="0"/>
          <w:numId w:val="14"/>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Community Development:</w:t>
      </w:r>
      <w:r w:rsidRPr="00AE115B">
        <w:rPr>
          <w:rFonts w:ascii="Times New Roman" w:hAnsi="Times New Roman" w:cs="Times New Roman"/>
          <w:sz w:val="24"/>
          <w:szCs w:val="24"/>
        </w:rPr>
        <w:t xml:space="preserve"> The growth of biofuel industries can enhance the social fabric of rural communities. By promoting local ownership and participation in biofuel production, rural residents can gain control over their energy resources, contributing to community development and self-sufficiency.</w:t>
      </w:r>
    </w:p>
    <w:p w14:paraId="7377D942" w14:textId="77777777" w:rsidR="00CD2D9E" w:rsidRPr="00AE115B" w:rsidRDefault="00CD2D9E" w:rsidP="00CD2D9E">
      <w:pPr>
        <w:pStyle w:val="ListParagraph"/>
        <w:numPr>
          <w:ilvl w:val="0"/>
          <w:numId w:val="14"/>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Women's Empowerment:</w:t>
      </w:r>
      <w:r w:rsidRPr="00AE115B">
        <w:rPr>
          <w:rFonts w:ascii="Times New Roman" w:hAnsi="Times New Roman" w:cs="Times New Roman"/>
          <w:sz w:val="24"/>
          <w:szCs w:val="24"/>
        </w:rPr>
        <w:t xml:space="preserve"> In rural areas, women are often disproportionately impacted by energy poverty. Biofuel-related jobs, particularly in areas like biogas production and bioethanol processing, can provide women with economic opportunities and improve their access to energy for domestic use. According to Gupta &amp; Yadav (2021), in rural India, women working in biogas digesters have gained financial independence and improved their social status.</w:t>
      </w:r>
    </w:p>
    <w:p w14:paraId="57D6AACB"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Policy and Institutional Framework for Advancing Biofuels in Rural Areas</w:t>
      </w:r>
      <w:r w:rsidRPr="00AE115B">
        <w:rPr>
          <w:rFonts w:ascii="Times New Roman" w:hAnsi="Times New Roman" w:cs="Times New Roman"/>
          <w:sz w:val="24"/>
          <w:szCs w:val="24"/>
        </w:rPr>
        <w:t xml:space="preserve"> </w:t>
      </w:r>
    </w:p>
    <w:p w14:paraId="61630449"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The development and adoption of advanced biofuels in rural areas are supported through comprehensive policy frameworks that aim to reduce reliance on fossil fuels, enhance energy security, and promote sustainable rural development. Countries like India, Brazil, and the United States have implemented a variety of initiatives that highlight the importance of integrating biofuels into rural energy strategies.</w:t>
      </w:r>
    </w:p>
    <w:p w14:paraId="2EA85CDB"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 xml:space="preserve">In India, the National Bio-Energy Mission plays a pivotal role in advancing biofuels, particularly through the promotion of ethanol blending in gasoline. The government’s target of </w:t>
      </w:r>
      <w:r w:rsidRPr="00AE115B">
        <w:rPr>
          <w:rFonts w:ascii="Times New Roman" w:hAnsi="Times New Roman" w:cs="Times New Roman"/>
          <w:sz w:val="24"/>
          <w:szCs w:val="24"/>
        </w:rPr>
        <w:lastRenderedPageBreak/>
        <w:t>20% ethanol blending by 2025 is a critical milestone for reducing carbon emissions and enhancing energy sustainability. In 2023, India allocated $1.5 billion to bioenergy initiatives, including the establishment of bio-refineries and encouraging the production of biofuels from agricultural waste. These efforts are not only aimed at reducing fossil fuel dependency but also at enhancing rural incomes by creating new opportunities in biofuel production and refining (Ministry of New and Renewable Energy, 2023).</w:t>
      </w:r>
    </w:p>
    <w:p w14:paraId="0BFF0C76"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Brazil's National Biodiesel Program has been a key model for the global biofuels industry. The program mandates a minimum biodiesel blending ratio of 12% in diesel fuel, driving a shift toward cleaner energy sources. This policy has been particularly successful in rural Brazil, where it has contributed to a 40% reduction in fossil fuel dependence. Moreover, the program supports small-scale biodiesel producers with tax incentives, which helps integrate rural communities into the biofuel supply chain, offering both economic and environmental benefits. This policy has been instrumental in making Brazil one of the world leaders in biodiesel production (International Energy Agency, 2022).</w:t>
      </w:r>
    </w:p>
    <w:p w14:paraId="528DC89B"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In the United States, the Renewable Fuel Standard (RFS) program, established by the Environmental Protection Agency (EPA), is another important policy initiative that sets annual renewable fuel production targets. Through this program, the U.S. has become a major producer of biofuels, with more than 15 billion gallons produced annually. The RFS supports research and development of advanced biofuels, including cellulosic ethanol and algae-based fuels, which hold significant promise for reducing greenhouse gas emissions and improving fuel efficiency. Additionally, the RFS program encourages innovation and investments in rural areas by providing research grants and financial incentives to biofuel producers (Environmental Protection Agency, 2023).</w:t>
      </w:r>
    </w:p>
    <w:p w14:paraId="2455D5ED"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At the regional level, the African Union’s Bioenergy Policy Framework aims to integrate biofuels into rural energy systems across the continent. This policy framework prioritizes sustainability, economic development, and job creation, particularly in rural and underserved regions. By focusing on biofuel production from locally available resources, it seeks to enhance energy access in remote areas, reduce reliance on imported fuels, and promote environmental sustainability. The framework encourages collaboration between governments, international organizations, and the private sector to build a robust biofuel industry across Africa.</w:t>
      </w:r>
    </w:p>
    <w:p w14:paraId="0BFCA2FE"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 xml:space="preserve">These policy frameworks demonstrate that coordinated policies, financial support, and international collaboration are essential to promoting advanced biofuels in rural areas. They not only offer environmental benefits by reducing fossil fuel consumption but also create new economic opportunities and contribute to energy security. As these policies continue to evolve, </w:t>
      </w:r>
      <w:r w:rsidRPr="00AE115B">
        <w:rPr>
          <w:rFonts w:ascii="Times New Roman" w:hAnsi="Times New Roman" w:cs="Times New Roman"/>
          <w:sz w:val="24"/>
          <w:szCs w:val="24"/>
        </w:rPr>
        <w:lastRenderedPageBreak/>
        <w:t>they offer valuable lessons for other countries looking to develop sustainable energy systems in rural areas.</w:t>
      </w:r>
    </w:p>
    <w:p w14:paraId="76059F18"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Challenges and Barriers to Scaling Advanced Biofuels</w:t>
      </w:r>
      <w:r w:rsidRPr="00AE115B">
        <w:rPr>
          <w:rFonts w:ascii="Times New Roman" w:hAnsi="Times New Roman" w:cs="Times New Roman"/>
          <w:sz w:val="24"/>
          <w:szCs w:val="24"/>
        </w:rPr>
        <w:t xml:space="preserve"> </w:t>
      </w:r>
    </w:p>
    <w:p w14:paraId="50B55E18"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Despite the potential of advanced biofuels to provide sustainable energy solutions in rural areas, several challenges and barriers hinder their widespread adoption. Technological barriers, financial constraints, and social resistance are significant obstacles to scaling advanced biofuels in many regions.</w:t>
      </w:r>
    </w:p>
    <w:p w14:paraId="58E79AA8"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One of the key technological barriers is the limited availability of advanced biofuel processing technologies in rural areas. For example, in sub-Saharan Africa, less than 10% of rural regions have access to biorefineries capable of producing advanced biofuels (International Renewable Energy Agency, 2023). This lack of infrastructure restricts the capacity to produce and distribute biofuels, limiting their adoption and increasing the cost of production. Additionally, the complexity and high cost of setting up biorefineries further prevent rural areas from benefiting from advanced biofuel technologies.</w:t>
      </w:r>
    </w:p>
    <w:p w14:paraId="4824F400"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Financial barriers also play a crucial role in hindering the growth of biofuel industries in low-income regions. Establishing advanced biorefineries requires substantial capital investment, with facility costs often exceeding $200 million (International Renewable Energy Agency, 2023). Such high capital requirements make it challenging for developing regions to establish the necessary infrastructure for large-scale biofuel production. Furthermore, small-scale farmers and rural entrepreneurs often struggle to access affordable financing. A study in India found that only 15% of rural entrepreneurs were able to secure loans for biofuel projects, mainly due to high interest rates and the lack of collateral (World Bank, 2023). This limits the ability of local actors to invest in and scale up biofuel production, preventing rural communities from benefiting from the economic opportunities that biofuels can offer.</w:t>
      </w:r>
    </w:p>
    <w:p w14:paraId="4CB17D17"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Another financial barrier is the uneven distribution of government subsidies, which often fails to reach the most vulnerable communities. Although subsidies for biofuels are provided by many governments, the allocation and targeting of these funds can be inefficient, leaving marginalized rural communities without adequate support. This gap in subsidy distribution prevents small-scale biofuel projects from gaining traction in low-income regions where the need for affordable energy alternatives is greatest.</w:t>
      </w:r>
    </w:p>
    <w:p w14:paraId="5018B412"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 xml:space="preserve">Social barriers, such as resistance to change and cultural preferences for traditional energy sources, also impede the adoption of advanced biofuels. In Kenya, for instance, a study found that 40% of households preferred traditional wood fuel for cooking, despite the availability of biogas, mainly due to cultural cooking practices (United Nations Environment Programme, </w:t>
      </w:r>
      <w:r w:rsidRPr="00AE115B">
        <w:rPr>
          <w:rFonts w:ascii="Times New Roman" w:hAnsi="Times New Roman" w:cs="Times New Roman"/>
          <w:sz w:val="24"/>
          <w:szCs w:val="24"/>
        </w:rPr>
        <w:lastRenderedPageBreak/>
        <w:t>2023). This resistance to adopting new energy sources often arises from a lack of awareness about the benefits of biofuels and a deep-seated attachment to traditional energy practices. while advanced biofuels hold promise for improving energy access and sustainability in rural areas, technological, financial, and social barriers must be overcome. Addressing these challenges through targeted policies, affordable financing options, and awareness campaigns will be crucial to unlocking the full potential of biofuels.</w:t>
      </w:r>
    </w:p>
    <w:p w14:paraId="5EC0F2C6"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Case Studies of Successful Advanced Biofuel Projects</w:t>
      </w:r>
      <w:r w:rsidRPr="00AE115B">
        <w:rPr>
          <w:rFonts w:ascii="Times New Roman" w:hAnsi="Times New Roman" w:cs="Times New Roman"/>
          <w:sz w:val="24"/>
          <w:szCs w:val="24"/>
        </w:rPr>
        <w:t xml:space="preserve"> </w:t>
      </w:r>
    </w:p>
    <w:p w14:paraId="2B2E86C6"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The successful implementation of advanced biofuel projects demonstrates the potential of biofuels to transform rural communities, improving energy access, creating jobs, and enhancing economic development. Below are some notable case studies that highlight the positive impact of advanced biofuels in different regions.</w:t>
      </w:r>
    </w:p>
    <w:p w14:paraId="32F52289"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 xml:space="preserve">In India, a bioethanol plant in Punjab uses paddy straw as feedstock to produce ethanol. This project has had a significant impact on the local economy, generating over 1,000 jobs in various stages, including collection, processing, and transportation of paddy straw. The plant produces around 33 million </w:t>
      </w:r>
      <w:proofErr w:type="spellStart"/>
      <w:r w:rsidRPr="00AE115B">
        <w:rPr>
          <w:rFonts w:ascii="Times New Roman" w:hAnsi="Times New Roman" w:cs="Times New Roman"/>
          <w:sz w:val="24"/>
          <w:szCs w:val="24"/>
        </w:rPr>
        <w:t>liters</w:t>
      </w:r>
      <w:proofErr w:type="spellEnd"/>
      <w:r w:rsidRPr="00AE115B">
        <w:rPr>
          <w:rFonts w:ascii="Times New Roman" w:hAnsi="Times New Roman" w:cs="Times New Roman"/>
          <w:sz w:val="24"/>
          <w:szCs w:val="24"/>
        </w:rPr>
        <w:t xml:space="preserve"> of ethanol annually, contributing to a reduction of approximately 90,000 tons of CO2 emissions per year. This initiative not only contributes to cleaner energy production but also supports rural livelihoods by utilizing agricultural residues as a resource (Ministry of New and Renewable Energy, 2023).</w:t>
      </w:r>
    </w:p>
    <w:p w14:paraId="013ABBFD"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In Brazil, community biodiesel initiatives have been instrumental in creating a sustainable biofuel market. These projects primarily use castor and soybean oil as feedstocks and have benefited over 10,000 small farmers by creating a local market for their crops. On average, household incomes in these rural communities increased by 15%, while the initiatives also contributed to a 5% reduction in diesel imports in rural areas. These successes highlight the dual benefits of biofuel production—both in reducing fossil fuel dependence and supporting rural economic development (International Energy Agency, 2022).</w:t>
      </w:r>
    </w:p>
    <w:p w14:paraId="454A80B2"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Kenya has also seen success with small-scale biogas digesters in rural households. This project has significantly improved cooking conditions for 5,000 households, reducing reliance on traditional wood fuel, which is often associated with environmental degradation and health risks. Each biogas unit has reduced fuel costs by 30% and mitigated 2.5 tons of CO2 emissions annually. These biogas systems provide a sustainable energy solution while also addressing environmental and economic challenges faced by rural households (United Nations Environment Programme, 2023).</w:t>
      </w:r>
    </w:p>
    <w:p w14:paraId="563817D0"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 xml:space="preserve">These case studies underscore the positive impact that advanced biofuels can have on rural energy systems. They demonstrate that biofuels not only provide environmental benefits by </w:t>
      </w:r>
      <w:r w:rsidRPr="00AE115B">
        <w:rPr>
          <w:rFonts w:ascii="Times New Roman" w:hAnsi="Times New Roman" w:cs="Times New Roman"/>
          <w:sz w:val="24"/>
          <w:szCs w:val="24"/>
        </w:rPr>
        <w:lastRenderedPageBreak/>
        <w:t>reducing greenhouse gas emissions but also create economic opportunities, promote energy access, and support sustainable agricultural practices.</w:t>
      </w:r>
    </w:p>
    <w:p w14:paraId="40F66220"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Conclusion and Policy Recommendations</w:t>
      </w:r>
      <w:r w:rsidRPr="00AE115B">
        <w:rPr>
          <w:rFonts w:ascii="Times New Roman" w:hAnsi="Times New Roman" w:cs="Times New Roman"/>
          <w:sz w:val="24"/>
          <w:szCs w:val="24"/>
        </w:rPr>
        <w:t xml:space="preserve"> </w:t>
      </w:r>
    </w:p>
    <w:p w14:paraId="471F3E1D"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The insights gathered from the previous sections indicate that advanced biofuels hold significant potential to alleviate energy poverty in rural areas while simultaneously driving economic development. The case studies from India, Brazil, and Kenya illustrate the successful integration of biofuels into rural communities, providing valuable lessons for broader adoption.</w:t>
      </w:r>
    </w:p>
    <w:p w14:paraId="149ECC3C"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Key Findings:</w:t>
      </w:r>
    </w:p>
    <w:p w14:paraId="2B0DCA47" w14:textId="77777777" w:rsidR="00CD2D9E" w:rsidRPr="00AE115B" w:rsidRDefault="00CD2D9E" w:rsidP="00CD2D9E">
      <w:pPr>
        <w:pStyle w:val="ListParagraph"/>
        <w:numPr>
          <w:ilvl w:val="0"/>
          <w:numId w:val="15"/>
        </w:num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Advanced biofuels have the potential to provide sustainable, decentralized energy solutions, addressing the energy access challenges faced by rural areas.</w:t>
      </w:r>
    </w:p>
    <w:p w14:paraId="4B15CD46" w14:textId="77777777" w:rsidR="00CD2D9E" w:rsidRPr="00AE115B" w:rsidRDefault="00CD2D9E" w:rsidP="00CD2D9E">
      <w:pPr>
        <w:pStyle w:val="ListParagraph"/>
        <w:numPr>
          <w:ilvl w:val="0"/>
          <w:numId w:val="15"/>
        </w:num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Successful biofuel projects create economic benefits such as job creation, income generation, and the development of local industries.</w:t>
      </w:r>
    </w:p>
    <w:p w14:paraId="1E70DB36" w14:textId="77777777" w:rsidR="00CD2D9E" w:rsidRPr="00AE115B" w:rsidRDefault="00CD2D9E" w:rsidP="00CD2D9E">
      <w:pPr>
        <w:pStyle w:val="ListParagraph"/>
        <w:numPr>
          <w:ilvl w:val="0"/>
          <w:numId w:val="15"/>
        </w:num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However, challenges remain in the form of high initial capital costs, limited access to financing, and social resistance to the adoption of new technologies.</w:t>
      </w:r>
    </w:p>
    <w:p w14:paraId="6A9665DB" w14:textId="77777777"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Policy Recommendations:</w:t>
      </w:r>
    </w:p>
    <w:p w14:paraId="26CE6817" w14:textId="77777777" w:rsidR="00CD2D9E" w:rsidRPr="00AE115B" w:rsidRDefault="00CD2D9E" w:rsidP="00CD2D9E">
      <w:pPr>
        <w:pStyle w:val="ListParagraph"/>
        <w:numPr>
          <w:ilvl w:val="0"/>
          <w:numId w:val="16"/>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Enhance Financial Support Mechanisms:</w:t>
      </w:r>
      <w:r w:rsidRPr="00AE115B">
        <w:rPr>
          <w:rFonts w:ascii="Times New Roman" w:hAnsi="Times New Roman" w:cs="Times New Roman"/>
          <w:sz w:val="24"/>
          <w:szCs w:val="24"/>
        </w:rPr>
        <w:t xml:space="preserve"> Governments should implement targeted subsidies and low-interest loan programs to ease the financial burden on rural entrepreneurs and </w:t>
      </w:r>
      <w:proofErr w:type="spellStart"/>
      <w:r w:rsidRPr="00AE115B">
        <w:rPr>
          <w:rFonts w:ascii="Times New Roman" w:hAnsi="Times New Roman" w:cs="Times New Roman"/>
          <w:sz w:val="24"/>
          <w:szCs w:val="24"/>
        </w:rPr>
        <w:t>smallscale</w:t>
      </w:r>
      <w:proofErr w:type="spellEnd"/>
      <w:r w:rsidRPr="00AE115B">
        <w:rPr>
          <w:rFonts w:ascii="Times New Roman" w:hAnsi="Times New Roman" w:cs="Times New Roman"/>
          <w:sz w:val="24"/>
          <w:szCs w:val="24"/>
        </w:rPr>
        <w:t xml:space="preserve"> farmers. Brazil’s tax incentives for small biodiesel producers have increased rural participation in biofuel markets by 30%, demonstrating the effectiveness of such financial tools (International Energy Agency, 2022).</w:t>
      </w:r>
    </w:p>
    <w:p w14:paraId="577BF28D" w14:textId="77777777" w:rsidR="00CD2D9E" w:rsidRPr="00AE115B" w:rsidRDefault="00CD2D9E" w:rsidP="00CD2D9E">
      <w:pPr>
        <w:pStyle w:val="ListParagraph"/>
        <w:numPr>
          <w:ilvl w:val="0"/>
          <w:numId w:val="16"/>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Invest in Research and Development:</w:t>
      </w:r>
      <w:r w:rsidRPr="00AE115B">
        <w:rPr>
          <w:rFonts w:ascii="Times New Roman" w:hAnsi="Times New Roman" w:cs="Times New Roman"/>
          <w:sz w:val="24"/>
          <w:szCs w:val="24"/>
        </w:rPr>
        <w:t xml:space="preserve"> Investments in biofuel R&amp;D are crucial to lowering production costs and improving biofuel processing technologies. For example, in the U.S., ongoing R&amp;D investments have resulted in a 20% reduction in production costs over the past decade, which has made biofuels more economically viable (Environmental Protection Agency, 2023).</w:t>
      </w:r>
    </w:p>
    <w:p w14:paraId="4914EDE7" w14:textId="77777777" w:rsidR="00CD2D9E" w:rsidRPr="00AE115B" w:rsidRDefault="00CD2D9E" w:rsidP="00CD2D9E">
      <w:pPr>
        <w:pStyle w:val="ListParagraph"/>
        <w:numPr>
          <w:ilvl w:val="0"/>
          <w:numId w:val="16"/>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Foster Community Engagement:</w:t>
      </w:r>
      <w:r w:rsidRPr="00AE115B">
        <w:rPr>
          <w:rFonts w:ascii="Times New Roman" w:hAnsi="Times New Roman" w:cs="Times New Roman"/>
          <w:sz w:val="24"/>
          <w:szCs w:val="24"/>
        </w:rPr>
        <w:t xml:space="preserve"> Conducting awareness campaigns is vital to overcoming cultural barriers and demonstrating the benefits of advanced biofuels. In Kenya, educational programs on biogas usage led to a 25% increase in adoption rates among rural households (United Nations Environment Programme, 2023). Such initiatives can help build trust in new technologies and encourage wider adoption.</w:t>
      </w:r>
    </w:p>
    <w:p w14:paraId="42F79939" w14:textId="77777777" w:rsidR="00CD2D9E" w:rsidRPr="00AE115B" w:rsidRDefault="00CD2D9E" w:rsidP="00CD2D9E">
      <w:pPr>
        <w:pStyle w:val="ListParagraph"/>
        <w:numPr>
          <w:ilvl w:val="0"/>
          <w:numId w:val="16"/>
        </w:numPr>
        <w:spacing w:after="0" w:line="360" w:lineRule="auto"/>
        <w:jc w:val="both"/>
        <w:rPr>
          <w:rFonts w:ascii="Times New Roman" w:hAnsi="Times New Roman" w:cs="Times New Roman"/>
          <w:sz w:val="24"/>
          <w:szCs w:val="24"/>
        </w:rPr>
      </w:pPr>
      <w:r w:rsidRPr="00AE115B">
        <w:rPr>
          <w:rFonts w:ascii="Times New Roman" w:hAnsi="Times New Roman" w:cs="Times New Roman"/>
          <w:b/>
          <w:bCs/>
          <w:sz w:val="24"/>
          <w:szCs w:val="24"/>
        </w:rPr>
        <w:t>Promote International Collaboration:</w:t>
      </w:r>
      <w:r w:rsidRPr="00AE115B">
        <w:rPr>
          <w:rFonts w:ascii="Times New Roman" w:hAnsi="Times New Roman" w:cs="Times New Roman"/>
          <w:sz w:val="24"/>
          <w:szCs w:val="24"/>
        </w:rPr>
        <w:t xml:space="preserve"> Facilitating international knowledge-sharing and technical assistance is essential for replicating successful biofuel models. For instance, partnerships between India and Brazil have accelerated the deployment of </w:t>
      </w:r>
      <w:r w:rsidRPr="00AE115B">
        <w:rPr>
          <w:rFonts w:ascii="Times New Roman" w:hAnsi="Times New Roman" w:cs="Times New Roman"/>
          <w:sz w:val="24"/>
          <w:szCs w:val="24"/>
        </w:rPr>
        <w:lastRenderedPageBreak/>
        <w:t xml:space="preserve">ethanol blending programs, enabling both countries to benefit from each other’s experiences (Ministry of New and Renewable Energy, 2023). </w:t>
      </w:r>
    </w:p>
    <w:p w14:paraId="2FBE0589" w14:textId="77777777" w:rsidR="00CD2D9E" w:rsidRPr="00AE115B" w:rsidRDefault="00CD2D9E" w:rsidP="00CD2D9E">
      <w:pPr>
        <w:jc w:val="both"/>
        <w:rPr>
          <w:rFonts w:ascii="Times New Roman" w:hAnsi="Times New Roman" w:cs="Times New Roman"/>
          <w:sz w:val="24"/>
          <w:szCs w:val="24"/>
        </w:rPr>
      </w:pPr>
      <w:r w:rsidRPr="00AE115B">
        <w:rPr>
          <w:rFonts w:ascii="Times New Roman" w:hAnsi="Times New Roman" w:cs="Times New Roman"/>
          <w:b/>
          <w:bCs/>
          <w:sz w:val="24"/>
          <w:szCs w:val="24"/>
        </w:rPr>
        <w:t>Conclusion:</w:t>
      </w:r>
      <w:r w:rsidRPr="00AE115B">
        <w:rPr>
          <w:rFonts w:ascii="Times New Roman" w:hAnsi="Times New Roman" w:cs="Times New Roman"/>
          <w:sz w:val="24"/>
          <w:szCs w:val="24"/>
        </w:rPr>
        <w:t xml:space="preserve"> </w:t>
      </w:r>
    </w:p>
    <w:p w14:paraId="27E72CD7" w14:textId="302EFD00" w:rsidR="00CD2D9E" w:rsidRPr="00AE115B" w:rsidRDefault="00CD2D9E" w:rsidP="00CD2D9E">
      <w:pPr>
        <w:spacing w:after="0" w:line="360" w:lineRule="auto"/>
        <w:jc w:val="both"/>
        <w:rPr>
          <w:rFonts w:ascii="Times New Roman" w:hAnsi="Times New Roman" w:cs="Times New Roman"/>
          <w:sz w:val="24"/>
          <w:szCs w:val="24"/>
        </w:rPr>
      </w:pPr>
      <w:r w:rsidRPr="00AE115B">
        <w:rPr>
          <w:rFonts w:ascii="Times New Roman" w:hAnsi="Times New Roman" w:cs="Times New Roman"/>
          <w:sz w:val="24"/>
          <w:szCs w:val="24"/>
        </w:rPr>
        <w:t>Advanced biofuels offer a promising path to addressing energy access and promoting economic development in rural areas. However, overcoming the technological, financial, and social barriers will require coordinated efforts from governments, the private sector, and local communities. By implementing the proposed policy recommendations, rural regions can transition to more sustainable, equitable, and energy-secure futures.</w:t>
      </w:r>
    </w:p>
    <w:p w14:paraId="15ACB6B4" w14:textId="77777777" w:rsidR="00157935" w:rsidRPr="00AE115B" w:rsidRDefault="00157935" w:rsidP="00CD2D9E">
      <w:pPr>
        <w:spacing w:after="0" w:line="360" w:lineRule="auto"/>
        <w:jc w:val="both"/>
        <w:rPr>
          <w:rFonts w:ascii="Times New Roman" w:hAnsi="Times New Roman" w:cs="Times New Roman"/>
          <w:sz w:val="24"/>
          <w:szCs w:val="24"/>
        </w:rPr>
      </w:pPr>
    </w:p>
    <w:p w14:paraId="102FF74E" w14:textId="77777777" w:rsidR="00D65D42" w:rsidRPr="00862101" w:rsidRDefault="00D65D42" w:rsidP="00D65D42">
      <w:pPr>
        <w:rPr>
          <w:b/>
        </w:rPr>
      </w:pPr>
      <w:r w:rsidRPr="00862101">
        <w:rPr>
          <w:b/>
        </w:rPr>
        <w:t>Disclaimer (Artificial intelligence)</w:t>
      </w:r>
      <w:bookmarkStart w:id="0" w:name="_GoBack"/>
      <w:bookmarkEnd w:id="0"/>
    </w:p>
    <w:p w14:paraId="1B2F1346" w14:textId="77777777" w:rsidR="00D65D42" w:rsidRPr="00AE115B" w:rsidRDefault="00D65D42" w:rsidP="00D65D42">
      <w:r w:rsidRPr="00AE115B">
        <w:t xml:space="preserve">Option 1: </w:t>
      </w:r>
    </w:p>
    <w:p w14:paraId="78033726" w14:textId="77777777" w:rsidR="00D65D42" w:rsidRPr="00AE115B" w:rsidRDefault="00D65D42" w:rsidP="00D65D42">
      <w:r w:rsidRPr="00AE115B">
        <w:t>Author(s) hereby declare that NO generative AI technologies such as Large Language Models (</w:t>
      </w:r>
      <w:proofErr w:type="spellStart"/>
      <w:r w:rsidRPr="00AE115B">
        <w:t>ChatGPT</w:t>
      </w:r>
      <w:proofErr w:type="spellEnd"/>
      <w:r w:rsidRPr="00AE115B">
        <w:t xml:space="preserve">, COPILOT, etc.) and text-to-image generators have been used during the writing or editing of this manuscript. </w:t>
      </w:r>
    </w:p>
    <w:p w14:paraId="2E679B07" w14:textId="77777777" w:rsidR="00D65D42" w:rsidRPr="00AE115B" w:rsidRDefault="00D65D42" w:rsidP="00D65D42">
      <w:r w:rsidRPr="00AE115B">
        <w:t xml:space="preserve">Option 2: </w:t>
      </w:r>
    </w:p>
    <w:p w14:paraId="57B31683" w14:textId="77777777" w:rsidR="00D65D42" w:rsidRPr="00AE115B" w:rsidRDefault="00D65D42" w:rsidP="00D65D42">
      <w:r w:rsidRPr="00AE115B">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C73778F" w14:textId="77777777" w:rsidR="00D65D42" w:rsidRPr="00AE115B" w:rsidRDefault="00D65D42" w:rsidP="00D65D42">
      <w:r w:rsidRPr="00AE115B">
        <w:t>Details of the AI usage are given below:</w:t>
      </w:r>
    </w:p>
    <w:p w14:paraId="44BE65DE" w14:textId="77777777" w:rsidR="00D65D42" w:rsidRPr="00AE115B" w:rsidRDefault="00D65D42" w:rsidP="00D65D42">
      <w:r w:rsidRPr="00AE115B">
        <w:t>1.</w:t>
      </w:r>
    </w:p>
    <w:p w14:paraId="5756C2F9" w14:textId="77777777" w:rsidR="00D65D42" w:rsidRPr="00AE115B" w:rsidRDefault="00D65D42" w:rsidP="00D65D42">
      <w:r w:rsidRPr="00AE115B">
        <w:t>2.</w:t>
      </w:r>
    </w:p>
    <w:p w14:paraId="3682B5AE" w14:textId="77777777" w:rsidR="00D65D42" w:rsidRPr="00AE115B" w:rsidRDefault="00D65D42" w:rsidP="00D65D42">
      <w:r w:rsidRPr="00AE115B">
        <w:t>3.</w:t>
      </w:r>
    </w:p>
    <w:p w14:paraId="781C1DF7" w14:textId="77777777" w:rsidR="00CD2D9E" w:rsidRPr="00AE115B" w:rsidRDefault="00CD2D9E" w:rsidP="00CD2D9E">
      <w:pPr>
        <w:jc w:val="both"/>
        <w:rPr>
          <w:rFonts w:ascii="Times New Roman" w:hAnsi="Times New Roman" w:cs="Times New Roman"/>
          <w:sz w:val="24"/>
          <w:szCs w:val="24"/>
        </w:rPr>
      </w:pPr>
    </w:p>
    <w:p w14:paraId="1CD06CFC" w14:textId="1FC20553" w:rsidR="00CD2D9E" w:rsidRPr="00AE115B" w:rsidRDefault="00CD2D9E" w:rsidP="002A680A">
      <w:pPr>
        <w:rPr>
          <w:rFonts w:ascii="Times New Roman" w:hAnsi="Times New Roman" w:cs="Times New Roman"/>
          <w:b/>
          <w:bCs/>
          <w:sz w:val="24"/>
          <w:szCs w:val="24"/>
        </w:rPr>
      </w:pPr>
      <w:r w:rsidRPr="00AE115B">
        <w:rPr>
          <w:rFonts w:ascii="Times New Roman" w:hAnsi="Times New Roman" w:cs="Times New Roman"/>
          <w:b/>
          <w:bCs/>
          <w:sz w:val="24"/>
          <w:szCs w:val="24"/>
        </w:rPr>
        <w:t>References:</w:t>
      </w:r>
    </w:p>
    <w:p w14:paraId="02F1C888"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De Carvalho, J. C., da Silva, L. C., &amp; de Lima, E. G. (2020). Economic impacts of biofuel development in rural Brazil. Renewable and Sustainable Energy Reviews, 123, 109781. </w:t>
      </w:r>
      <w:hyperlink r:id="rId5" w:history="1">
        <w:r w:rsidRPr="00AE115B">
          <w:rPr>
            <w:rStyle w:val="Hyperlink"/>
            <w:rFonts w:ascii="Times New Roman" w:hAnsi="Times New Roman" w:cs="Times New Roman"/>
            <w:sz w:val="24"/>
            <w:szCs w:val="24"/>
          </w:rPr>
          <w:t>https://doi.org/10.1016/j.rser.2020.109781</w:t>
        </w:r>
      </w:hyperlink>
    </w:p>
    <w:p w14:paraId="10A6B9BD"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Environmental Protection Agency. (2023). Investments in Biofuel Research and Development in the U.S. </w:t>
      </w:r>
      <w:hyperlink r:id="rId6" w:history="1">
        <w:r w:rsidRPr="00AE115B">
          <w:rPr>
            <w:rStyle w:val="Hyperlink"/>
            <w:rFonts w:ascii="Times New Roman" w:hAnsi="Times New Roman" w:cs="Times New Roman"/>
            <w:sz w:val="24"/>
            <w:szCs w:val="24"/>
          </w:rPr>
          <w:t>https://www.epa.gov/renewable-fuel-standard-program</w:t>
        </w:r>
      </w:hyperlink>
    </w:p>
    <w:p w14:paraId="06045AB2" w14:textId="404D15E7" w:rsidR="00F54DF3" w:rsidRPr="00AE115B" w:rsidRDefault="00CD2D9E" w:rsidP="00F54DF3">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Food and Agriculture Organization (FAO). (2021). The Role of Advanced Biofuels in Food Security. FAO Publications. </w:t>
      </w:r>
      <w:hyperlink r:id="rId7" w:history="1">
        <w:r w:rsidRPr="00AE115B">
          <w:rPr>
            <w:rStyle w:val="Hyperlink"/>
            <w:rFonts w:ascii="Times New Roman" w:hAnsi="Times New Roman" w:cs="Times New Roman"/>
            <w:sz w:val="24"/>
            <w:szCs w:val="24"/>
          </w:rPr>
          <w:t>http://www.fao.org</w:t>
        </w:r>
      </w:hyperlink>
    </w:p>
    <w:p w14:paraId="41426BEA"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Gupta, A., &amp; Yadav, R. (2021). Empowering women through renewable energy: Case studies in rural India. International Journal of Sustainable Development &amp; World Ecology, 28(1), 79-87. </w:t>
      </w:r>
      <w:hyperlink r:id="rId8" w:history="1">
        <w:r w:rsidRPr="00AE115B">
          <w:rPr>
            <w:rStyle w:val="Hyperlink"/>
            <w:rFonts w:ascii="Times New Roman" w:hAnsi="Times New Roman" w:cs="Times New Roman"/>
            <w:sz w:val="24"/>
            <w:szCs w:val="24"/>
          </w:rPr>
          <w:t>https://doi.org/10.1080/13504509.2020.1798237</w:t>
        </w:r>
      </w:hyperlink>
    </w:p>
    <w:p w14:paraId="3E5CAF2D" w14:textId="43EF7374" w:rsidR="00361C7E" w:rsidRPr="00AE115B" w:rsidRDefault="00361C7E" w:rsidP="00CD2D9E">
      <w:pPr>
        <w:pStyle w:val="ListParagraph"/>
        <w:numPr>
          <w:ilvl w:val="0"/>
          <w:numId w:val="17"/>
        </w:numPr>
        <w:jc w:val="both"/>
        <w:rPr>
          <w:rFonts w:ascii="Times New Roman" w:hAnsi="Times New Roman" w:cs="Times New Roman"/>
          <w:i/>
          <w:iCs/>
          <w:sz w:val="24"/>
          <w:szCs w:val="24"/>
        </w:rPr>
      </w:pPr>
      <w:r w:rsidRPr="00AE115B">
        <w:rPr>
          <w:rFonts w:ascii="Times New Roman" w:hAnsi="Times New Roman" w:cs="Times New Roman"/>
          <w:b/>
          <w:bCs/>
          <w:i/>
          <w:iCs/>
          <w:sz w:val="24"/>
          <w:szCs w:val="24"/>
        </w:rPr>
        <w:lastRenderedPageBreak/>
        <w:t>Pham, T. N., Nghiem, L. D., &amp; Yan, Z. (2024). Emerging technologies for advanced biofuel production from agricultural residues: Techno-economic assessment and sustainability analysis. Fuel, 350, 129158.</w:t>
      </w:r>
      <w:r w:rsidRPr="00AE115B">
        <w:rPr>
          <w:rFonts w:ascii="Times New Roman" w:hAnsi="Times New Roman" w:cs="Times New Roman"/>
          <w:i/>
          <w:iCs/>
          <w:sz w:val="24"/>
          <w:szCs w:val="24"/>
        </w:rPr>
        <w:t xml:space="preserve"> </w:t>
      </w:r>
      <w:hyperlink r:id="rId9" w:tgtFrame="_new" w:history="1">
        <w:r w:rsidRPr="00AE115B">
          <w:rPr>
            <w:rStyle w:val="Hyperlink"/>
            <w:rFonts w:ascii="Times New Roman" w:hAnsi="Times New Roman" w:cs="Times New Roman"/>
            <w:i/>
            <w:iCs/>
            <w:sz w:val="24"/>
            <w:szCs w:val="24"/>
          </w:rPr>
          <w:t>https://doi.org/10.1016/j.fuel.2023.129158</w:t>
        </w:r>
      </w:hyperlink>
    </w:p>
    <w:p w14:paraId="2C32CBCC"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International Energy Agency (IEA). (2020). World Energy Outlook 2020. IEA. </w:t>
      </w:r>
      <w:hyperlink r:id="rId10" w:history="1">
        <w:r w:rsidRPr="00AE115B">
          <w:rPr>
            <w:rStyle w:val="Hyperlink"/>
            <w:rFonts w:ascii="Times New Roman" w:hAnsi="Times New Roman" w:cs="Times New Roman"/>
            <w:sz w:val="24"/>
            <w:szCs w:val="24"/>
          </w:rPr>
          <w:t>https://www.iea.org/reports/world-energy-outlook-2020</w:t>
        </w:r>
      </w:hyperlink>
      <w:r w:rsidRPr="00AE115B">
        <w:rPr>
          <w:rFonts w:ascii="Times New Roman" w:hAnsi="Times New Roman" w:cs="Times New Roman"/>
          <w:sz w:val="24"/>
          <w:szCs w:val="24"/>
        </w:rPr>
        <w:t>.</w:t>
      </w:r>
    </w:p>
    <w:p w14:paraId="5B6BF0DE" w14:textId="4974C8C3" w:rsidR="00920D8A" w:rsidRPr="00AE115B" w:rsidRDefault="00920D8A"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b/>
          <w:bCs/>
          <w:sz w:val="24"/>
          <w:szCs w:val="24"/>
        </w:rPr>
        <w:t>Agarwal, R., &amp; Patel, S. K. (2024). Advanced enzyme technologies</w:t>
      </w:r>
      <w:r w:rsidRPr="00AE115B">
        <w:rPr>
          <w:rFonts w:ascii="Times New Roman" w:hAnsi="Times New Roman" w:cs="Times New Roman"/>
          <w:sz w:val="24"/>
          <w:szCs w:val="24"/>
        </w:rPr>
        <w:t xml:space="preserve"> for sustainable lignocellulosic biofuel production: A comprehensive review. </w:t>
      </w:r>
      <w:r w:rsidRPr="00AE115B">
        <w:rPr>
          <w:rFonts w:ascii="Times New Roman" w:hAnsi="Times New Roman" w:cs="Times New Roman"/>
          <w:i/>
          <w:iCs/>
          <w:sz w:val="24"/>
          <w:szCs w:val="24"/>
        </w:rPr>
        <w:t>Renewable and Sustainable Energy Reviews, 188</w:t>
      </w:r>
      <w:r w:rsidRPr="00AE115B">
        <w:rPr>
          <w:rFonts w:ascii="Times New Roman" w:hAnsi="Times New Roman" w:cs="Times New Roman"/>
          <w:sz w:val="24"/>
          <w:szCs w:val="24"/>
        </w:rPr>
        <w:t xml:space="preserve">, 113871. </w:t>
      </w:r>
      <w:hyperlink r:id="rId11" w:tgtFrame="_new" w:history="1">
        <w:r w:rsidRPr="00AE115B">
          <w:rPr>
            <w:rStyle w:val="Hyperlink"/>
            <w:rFonts w:ascii="Times New Roman" w:hAnsi="Times New Roman" w:cs="Times New Roman"/>
            <w:sz w:val="24"/>
            <w:szCs w:val="24"/>
          </w:rPr>
          <w:t>https://doi.org/10.1016/j.rser.2023.113871</w:t>
        </w:r>
      </w:hyperlink>
    </w:p>
    <w:p w14:paraId="33C11824"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International Energy Agency (IEA). (2023). World Energy Outlook 2023. </w:t>
      </w:r>
      <w:hyperlink r:id="rId12" w:history="1">
        <w:r w:rsidRPr="00AE115B">
          <w:rPr>
            <w:rStyle w:val="Hyperlink"/>
            <w:rFonts w:ascii="Times New Roman" w:hAnsi="Times New Roman" w:cs="Times New Roman"/>
            <w:sz w:val="24"/>
            <w:szCs w:val="24"/>
          </w:rPr>
          <w:t>https://www.iea.org/reports/world-energy-outlook-2023</w:t>
        </w:r>
      </w:hyperlink>
    </w:p>
    <w:p w14:paraId="11C7FE6A"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International Energy Agency. (2022). Brazil’s National Biodiesel Program: Impact and Analysis. </w:t>
      </w:r>
      <w:hyperlink r:id="rId13" w:history="1">
        <w:r w:rsidRPr="00AE115B">
          <w:rPr>
            <w:rStyle w:val="Hyperlink"/>
            <w:rFonts w:ascii="Times New Roman" w:hAnsi="Times New Roman" w:cs="Times New Roman"/>
            <w:sz w:val="24"/>
            <w:szCs w:val="24"/>
          </w:rPr>
          <w:t>https://www.iea.org/reports/brazil-biodiesel-program</w:t>
        </w:r>
      </w:hyperlink>
    </w:p>
    <w:p w14:paraId="4077DA1C"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International Energy Agency. (2022). Brazil's Biodiesel Initiatives: Economic and Social Impact. https://www.iea.org/reports/brazil-biodiesel-program </w:t>
      </w:r>
    </w:p>
    <w:p w14:paraId="75F88B84" w14:textId="3B0D322F" w:rsidR="00920D8A" w:rsidRPr="00AE115B" w:rsidRDefault="00920D8A" w:rsidP="00CD2D9E">
      <w:pPr>
        <w:pStyle w:val="ListParagraph"/>
        <w:numPr>
          <w:ilvl w:val="0"/>
          <w:numId w:val="17"/>
        </w:numPr>
        <w:jc w:val="both"/>
        <w:rPr>
          <w:rFonts w:ascii="Times New Roman" w:hAnsi="Times New Roman" w:cs="Times New Roman"/>
          <w:b/>
          <w:bCs/>
          <w:i/>
          <w:iCs/>
          <w:sz w:val="24"/>
          <w:szCs w:val="24"/>
        </w:rPr>
      </w:pPr>
      <w:r w:rsidRPr="00AE115B">
        <w:rPr>
          <w:rFonts w:ascii="Times New Roman" w:hAnsi="Times New Roman" w:cs="Times New Roman"/>
          <w:b/>
          <w:bCs/>
          <w:i/>
          <w:iCs/>
          <w:sz w:val="24"/>
          <w:szCs w:val="24"/>
        </w:rPr>
        <w:t>Mishra, L., Panda, A. K., &amp; Kumar, T. S. (2023). Third-generation algal biofuels: Economic viability and scalability in developing economies. Bioresource Technology Reports, 22, 101384. https://doi.org/10.1016/j.biteb.2023.101384</w:t>
      </w:r>
    </w:p>
    <w:p w14:paraId="50F74773"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International Renewable Energy Agency (IRENA). (2020). Biofuels and rural development. IRENA. </w:t>
      </w:r>
      <w:hyperlink r:id="rId14" w:history="1">
        <w:r w:rsidRPr="00AE115B">
          <w:rPr>
            <w:rStyle w:val="Hyperlink"/>
            <w:rFonts w:ascii="Times New Roman" w:hAnsi="Times New Roman" w:cs="Times New Roman"/>
            <w:sz w:val="24"/>
            <w:szCs w:val="24"/>
          </w:rPr>
          <w:t>https://www.irena.org/Publications</w:t>
        </w:r>
      </w:hyperlink>
    </w:p>
    <w:p w14:paraId="397CFA78"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International Renewable Energy Agency (IRENA). (2020). Waste-to-Energy: The Role of Biofuels in Rural Energy Access. IRENA. </w:t>
      </w:r>
      <w:hyperlink r:id="rId15" w:history="1">
        <w:r w:rsidRPr="00AE115B">
          <w:rPr>
            <w:rStyle w:val="Hyperlink"/>
            <w:rFonts w:ascii="Times New Roman" w:hAnsi="Times New Roman" w:cs="Times New Roman"/>
            <w:sz w:val="24"/>
            <w:szCs w:val="24"/>
          </w:rPr>
          <w:t>https://www.irena.org</w:t>
        </w:r>
      </w:hyperlink>
    </w:p>
    <w:p w14:paraId="0AA19275" w14:textId="6242E019"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International Renewable Energy Agency (IRENA). (2021). Renewable Energy and Jobs –</w:t>
      </w:r>
      <w:hyperlink r:id="rId16" w:history="1">
        <w:r w:rsidRPr="00AE115B">
          <w:rPr>
            <w:rStyle w:val="Hyperlink"/>
            <w:rFonts w:ascii="Times New Roman" w:hAnsi="Times New Roman" w:cs="Times New Roman"/>
            <w:sz w:val="24"/>
            <w:szCs w:val="24"/>
          </w:rPr>
          <w:t>https://www.irena.org/Publications/2021/May/RenewableEnergy-and-Jobs-Annual-Review-2021</w:t>
        </w:r>
      </w:hyperlink>
      <w:r w:rsidRPr="00AE115B">
        <w:rPr>
          <w:rFonts w:ascii="Times New Roman" w:hAnsi="Times New Roman" w:cs="Times New Roman"/>
          <w:sz w:val="24"/>
          <w:szCs w:val="24"/>
        </w:rPr>
        <w:t>.</w:t>
      </w:r>
    </w:p>
    <w:p w14:paraId="737C4334"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International Renewable Energy Agency. (2023). Biofuel Processing Technologies: Barriers and Opportunities in Rural Areas. </w:t>
      </w:r>
      <w:hyperlink r:id="rId17" w:history="1">
        <w:r w:rsidRPr="00AE115B">
          <w:rPr>
            <w:rStyle w:val="Hyperlink"/>
            <w:rFonts w:ascii="Times New Roman" w:hAnsi="Times New Roman" w:cs="Times New Roman"/>
            <w:sz w:val="24"/>
            <w:szCs w:val="24"/>
          </w:rPr>
          <w:t>https://www.irena.org/Publications</w:t>
        </w:r>
      </w:hyperlink>
    </w:p>
    <w:p w14:paraId="012B24A5"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Jones, M. W., </w:t>
      </w:r>
      <w:proofErr w:type="spellStart"/>
      <w:r w:rsidRPr="00AE115B">
        <w:rPr>
          <w:rFonts w:ascii="Times New Roman" w:hAnsi="Times New Roman" w:cs="Times New Roman"/>
          <w:sz w:val="24"/>
          <w:szCs w:val="24"/>
        </w:rPr>
        <w:t>Abatzoglou</w:t>
      </w:r>
      <w:proofErr w:type="spellEnd"/>
      <w:r w:rsidRPr="00AE115B">
        <w:rPr>
          <w:rFonts w:ascii="Times New Roman" w:hAnsi="Times New Roman" w:cs="Times New Roman"/>
          <w:sz w:val="24"/>
          <w:szCs w:val="24"/>
        </w:rPr>
        <w:t xml:space="preserve">, J. T., </w:t>
      </w:r>
      <w:proofErr w:type="spellStart"/>
      <w:r w:rsidRPr="00AE115B">
        <w:rPr>
          <w:rFonts w:ascii="Times New Roman" w:hAnsi="Times New Roman" w:cs="Times New Roman"/>
          <w:sz w:val="24"/>
          <w:szCs w:val="24"/>
        </w:rPr>
        <w:t>Veraverbeke</w:t>
      </w:r>
      <w:proofErr w:type="spellEnd"/>
      <w:r w:rsidRPr="00AE115B">
        <w:rPr>
          <w:rFonts w:ascii="Times New Roman" w:hAnsi="Times New Roman" w:cs="Times New Roman"/>
          <w:sz w:val="24"/>
          <w:szCs w:val="24"/>
        </w:rPr>
        <w:t xml:space="preserve">, S., Andela, N., </w:t>
      </w:r>
      <w:proofErr w:type="spellStart"/>
      <w:r w:rsidRPr="00AE115B">
        <w:rPr>
          <w:rFonts w:ascii="Times New Roman" w:hAnsi="Times New Roman" w:cs="Times New Roman"/>
          <w:sz w:val="24"/>
          <w:szCs w:val="24"/>
        </w:rPr>
        <w:t>Lasslop</w:t>
      </w:r>
      <w:proofErr w:type="spellEnd"/>
      <w:r w:rsidRPr="00AE115B">
        <w:rPr>
          <w:rFonts w:ascii="Times New Roman" w:hAnsi="Times New Roman" w:cs="Times New Roman"/>
          <w:sz w:val="24"/>
          <w:szCs w:val="24"/>
        </w:rPr>
        <w:t xml:space="preserve">, G., Forkel, M., P. Smith, A. J., Burton, C., Betts, R. A., Sitch, S., </w:t>
      </w:r>
      <w:proofErr w:type="spellStart"/>
      <w:r w:rsidRPr="00AE115B">
        <w:rPr>
          <w:rFonts w:ascii="Times New Roman" w:hAnsi="Times New Roman" w:cs="Times New Roman"/>
          <w:sz w:val="24"/>
          <w:szCs w:val="24"/>
        </w:rPr>
        <w:t>Canadell</w:t>
      </w:r>
      <w:proofErr w:type="spellEnd"/>
      <w:r w:rsidRPr="00AE115B">
        <w:rPr>
          <w:rFonts w:ascii="Times New Roman" w:hAnsi="Times New Roman" w:cs="Times New Roman"/>
          <w:sz w:val="24"/>
          <w:szCs w:val="24"/>
        </w:rPr>
        <w:t xml:space="preserve">, J. G., </w:t>
      </w:r>
      <w:proofErr w:type="spellStart"/>
      <w:r w:rsidRPr="00AE115B">
        <w:rPr>
          <w:rFonts w:ascii="Times New Roman" w:hAnsi="Times New Roman" w:cs="Times New Roman"/>
          <w:sz w:val="24"/>
          <w:szCs w:val="24"/>
        </w:rPr>
        <w:t>Santín</w:t>
      </w:r>
      <w:proofErr w:type="spellEnd"/>
      <w:r w:rsidRPr="00AE115B">
        <w:rPr>
          <w:rFonts w:ascii="Times New Roman" w:hAnsi="Times New Roman" w:cs="Times New Roman"/>
          <w:sz w:val="24"/>
          <w:szCs w:val="24"/>
        </w:rPr>
        <w:t xml:space="preserve">, C., Kolden, C., Doerr, S. H., &amp; Quéré, C. L. (2022). Global and Regional Trends and Drivers of Fire Under Climate Change. </w:t>
      </w:r>
      <w:r w:rsidRPr="00AE115B">
        <w:rPr>
          <w:rFonts w:ascii="Times New Roman" w:hAnsi="Times New Roman" w:cs="Times New Roman"/>
          <w:i/>
          <w:iCs/>
          <w:sz w:val="24"/>
          <w:szCs w:val="24"/>
        </w:rPr>
        <w:t>Reviews of Geophysics</w:t>
      </w:r>
      <w:r w:rsidRPr="00AE115B">
        <w:rPr>
          <w:rFonts w:ascii="Times New Roman" w:hAnsi="Times New Roman" w:cs="Times New Roman"/>
          <w:sz w:val="24"/>
          <w:szCs w:val="24"/>
        </w:rPr>
        <w:t xml:space="preserve">, </w:t>
      </w:r>
      <w:r w:rsidRPr="00AE115B">
        <w:rPr>
          <w:rFonts w:ascii="Times New Roman" w:hAnsi="Times New Roman" w:cs="Times New Roman"/>
          <w:i/>
          <w:iCs/>
          <w:sz w:val="24"/>
          <w:szCs w:val="24"/>
        </w:rPr>
        <w:t>60</w:t>
      </w:r>
      <w:r w:rsidRPr="00AE115B">
        <w:rPr>
          <w:rFonts w:ascii="Times New Roman" w:hAnsi="Times New Roman" w:cs="Times New Roman"/>
          <w:sz w:val="24"/>
          <w:szCs w:val="24"/>
        </w:rPr>
        <w:t>(3), e2020RG000726. https://doi.org/10.1029/2020RG000726</w:t>
      </w:r>
    </w:p>
    <w:p w14:paraId="6F298011"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McKinsey &amp; Company. (2021). The global biofuels market: Challenges and opportunities. McKinsey &amp; Company. </w:t>
      </w:r>
      <w:hyperlink r:id="rId18" w:history="1">
        <w:r w:rsidRPr="00AE115B">
          <w:rPr>
            <w:rStyle w:val="Hyperlink"/>
            <w:rFonts w:ascii="Times New Roman" w:hAnsi="Times New Roman" w:cs="Times New Roman"/>
            <w:sz w:val="24"/>
            <w:szCs w:val="24"/>
          </w:rPr>
          <w:t>https://www.mckinsey.com</w:t>
        </w:r>
      </w:hyperlink>
    </w:p>
    <w:p w14:paraId="5FF48978" w14:textId="2FEE492A" w:rsidR="00361C7E" w:rsidRPr="00AE115B" w:rsidRDefault="00361C7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b/>
          <w:bCs/>
          <w:sz w:val="24"/>
          <w:szCs w:val="24"/>
        </w:rPr>
        <w:t>World Bioenergy Association. (2024).</w:t>
      </w:r>
      <w:r w:rsidRPr="00AE115B">
        <w:rPr>
          <w:rFonts w:ascii="Times New Roman" w:hAnsi="Times New Roman" w:cs="Times New Roman"/>
          <w:sz w:val="24"/>
          <w:szCs w:val="24"/>
        </w:rPr>
        <w:t xml:space="preserve"> Global bioenergy statistics 2024: Market trends and regional analysis. Retrieved from </w:t>
      </w:r>
      <w:hyperlink r:id="rId19" w:tgtFrame="_new" w:history="1">
        <w:r w:rsidRPr="00AE115B">
          <w:rPr>
            <w:rStyle w:val="Hyperlink"/>
            <w:rFonts w:ascii="Times New Roman" w:hAnsi="Times New Roman" w:cs="Times New Roman"/>
          </w:rPr>
          <w:t>https://www.worldbioenergy.org/publications</w:t>
        </w:r>
      </w:hyperlink>
    </w:p>
    <w:p w14:paraId="2622F9E0"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Ministry of New and Renewable Energy. (2023). Bioethanol Plant in Punjab: Impact and Outcomes. </w:t>
      </w:r>
      <w:hyperlink r:id="rId20" w:history="1">
        <w:r w:rsidRPr="00AE115B">
          <w:rPr>
            <w:rStyle w:val="Hyperlink"/>
            <w:rFonts w:ascii="Times New Roman" w:hAnsi="Times New Roman" w:cs="Times New Roman"/>
            <w:sz w:val="24"/>
            <w:szCs w:val="24"/>
          </w:rPr>
          <w:t>https://mnre.gov.in/schemes/biomass</w:t>
        </w:r>
      </w:hyperlink>
    </w:p>
    <w:p w14:paraId="26D8C265"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Ministry of New and Renewable Energy. (2023). National Bio-Energy Mission: Annual Report. https://mnre.gov.in/schemes/biomass </w:t>
      </w:r>
    </w:p>
    <w:p w14:paraId="64A6631F"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National Renewable Energy Laboratory (NREL). (2021). Algae-based Biofuels: A Vision for the Future. Retrieved from </w:t>
      </w:r>
      <w:hyperlink r:id="rId21" w:history="1">
        <w:r w:rsidRPr="00AE115B">
          <w:rPr>
            <w:rStyle w:val="Hyperlink"/>
            <w:rFonts w:ascii="Times New Roman" w:hAnsi="Times New Roman" w:cs="Times New Roman"/>
            <w:sz w:val="24"/>
            <w:szCs w:val="24"/>
          </w:rPr>
          <w:t>https://www.nrel.gov/research/re-biofuels-algae.html</w:t>
        </w:r>
      </w:hyperlink>
    </w:p>
    <w:p w14:paraId="5E359292"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U.S. Department of Energy (DOE). (2020). U.S. biofuels industry overview. </w:t>
      </w:r>
      <w:hyperlink r:id="rId22" w:history="1">
        <w:r w:rsidRPr="00AE115B">
          <w:rPr>
            <w:rStyle w:val="Hyperlink"/>
            <w:rFonts w:ascii="Times New Roman" w:hAnsi="Times New Roman" w:cs="Times New Roman"/>
            <w:sz w:val="24"/>
            <w:szCs w:val="24"/>
          </w:rPr>
          <w:t>https://www.energy.gov/eere/bioenergy/biofuels</w:t>
        </w:r>
      </w:hyperlink>
    </w:p>
    <w:p w14:paraId="4844E3F9"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U.S. Department of Energy. (2020). Biofuels from Lignocellulosic Biomass. </w:t>
      </w:r>
      <w:hyperlink r:id="rId23" w:history="1">
        <w:r w:rsidRPr="00AE115B">
          <w:rPr>
            <w:rStyle w:val="Hyperlink"/>
            <w:rFonts w:ascii="Times New Roman" w:hAnsi="Times New Roman" w:cs="Times New Roman"/>
            <w:sz w:val="24"/>
            <w:szCs w:val="24"/>
          </w:rPr>
          <w:t>https://www.energy.gov/eere/bioenergy/biofuels-lignocellulosic-biomass</w:t>
        </w:r>
      </w:hyperlink>
    </w:p>
    <w:p w14:paraId="15EAA7BE"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lastRenderedPageBreak/>
        <w:t>United Nations Environment Programme (UNEP). (2023). Biogas and Rural Energy Access in Kenya. https://www.unep.org/resources</w:t>
      </w:r>
    </w:p>
    <w:p w14:paraId="6631E728"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United Nations Environment Programme (UNEP). (2023). Cultural Preferences and Energy Choices in Kenya. </w:t>
      </w:r>
      <w:hyperlink r:id="rId24" w:history="1">
        <w:r w:rsidRPr="00AE115B">
          <w:rPr>
            <w:rStyle w:val="Hyperlink"/>
            <w:rFonts w:ascii="Times New Roman" w:hAnsi="Times New Roman" w:cs="Times New Roman"/>
            <w:sz w:val="24"/>
            <w:szCs w:val="24"/>
          </w:rPr>
          <w:t>https://www.unep.org/resources</w:t>
        </w:r>
      </w:hyperlink>
    </w:p>
    <w:p w14:paraId="237DE025"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World Bank. (2021). Sustainable infrastructure for biofuel development. World Bank. https://www.worldbank.org • Environmental Protection Agency. (2023). Renewable Fuel Standard Program. </w:t>
      </w:r>
      <w:hyperlink r:id="rId25" w:history="1">
        <w:r w:rsidRPr="00AE115B">
          <w:rPr>
            <w:rStyle w:val="Hyperlink"/>
            <w:rFonts w:ascii="Times New Roman" w:hAnsi="Times New Roman" w:cs="Times New Roman"/>
            <w:sz w:val="24"/>
            <w:szCs w:val="24"/>
          </w:rPr>
          <w:t>https://www.epa.gov/renewable-fuel-standard-program</w:t>
        </w:r>
      </w:hyperlink>
    </w:p>
    <w:p w14:paraId="2F0CB386"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World Bank. (2022). State of Electricity Access Report 2022. World Bank. </w:t>
      </w:r>
      <w:hyperlink r:id="rId26" w:history="1">
        <w:r w:rsidRPr="00AE115B">
          <w:rPr>
            <w:rStyle w:val="Hyperlink"/>
            <w:rFonts w:ascii="Times New Roman" w:hAnsi="Times New Roman" w:cs="Times New Roman"/>
            <w:sz w:val="24"/>
            <w:szCs w:val="24"/>
          </w:rPr>
          <w:t>https://www.worldbank.org/en/topic/energy</w:t>
        </w:r>
      </w:hyperlink>
      <w:r w:rsidRPr="00AE115B">
        <w:rPr>
          <w:rFonts w:ascii="Times New Roman" w:hAnsi="Times New Roman" w:cs="Times New Roman"/>
          <w:sz w:val="24"/>
          <w:szCs w:val="24"/>
        </w:rPr>
        <w:t>.</w:t>
      </w:r>
    </w:p>
    <w:p w14:paraId="154FEB7B"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World Bank. (2023). Financial Barriers to Biofuel Projects in Rural India. </w:t>
      </w:r>
      <w:hyperlink r:id="rId27" w:history="1">
        <w:r w:rsidRPr="00AE115B">
          <w:rPr>
            <w:rStyle w:val="Hyperlink"/>
            <w:rFonts w:ascii="Times New Roman" w:hAnsi="Times New Roman" w:cs="Times New Roman"/>
            <w:sz w:val="24"/>
            <w:szCs w:val="24"/>
          </w:rPr>
          <w:t>https://www.worldbank.org/en/research</w:t>
        </w:r>
      </w:hyperlink>
    </w:p>
    <w:p w14:paraId="36099252" w14:textId="77777777" w:rsidR="00CD2D9E" w:rsidRPr="00AE115B" w:rsidRDefault="00CD2D9E" w:rsidP="00CD2D9E">
      <w:pPr>
        <w:pStyle w:val="ListParagraph"/>
        <w:numPr>
          <w:ilvl w:val="0"/>
          <w:numId w:val="17"/>
        </w:numPr>
        <w:jc w:val="both"/>
        <w:rPr>
          <w:rFonts w:ascii="Times New Roman" w:hAnsi="Times New Roman" w:cs="Times New Roman"/>
          <w:sz w:val="24"/>
          <w:szCs w:val="24"/>
        </w:rPr>
      </w:pPr>
      <w:r w:rsidRPr="00AE115B">
        <w:rPr>
          <w:rFonts w:ascii="Times New Roman" w:hAnsi="Times New Roman" w:cs="Times New Roman"/>
          <w:sz w:val="24"/>
          <w:szCs w:val="24"/>
        </w:rPr>
        <w:t xml:space="preserve">World Health Organization (WHO). (2021). Household Air Pollution and Health. WHO. </w:t>
      </w:r>
      <w:hyperlink r:id="rId28" w:history="1">
        <w:r w:rsidRPr="00AE115B">
          <w:rPr>
            <w:rStyle w:val="Hyperlink"/>
            <w:rFonts w:ascii="Times New Roman" w:hAnsi="Times New Roman" w:cs="Times New Roman"/>
            <w:sz w:val="24"/>
            <w:szCs w:val="24"/>
          </w:rPr>
          <w:t>https://www.who.int/news-room/fact-sheets/detail/household-air-pollution-and-health</w:t>
        </w:r>
      </w:hyperlink>
      <w:r w:rsidRPr="00AE115B">
        <w:rPr>
          <w:rFonts w:ascii="Times New Roman" w:hAnsi="Times New Roman" w:cs="Times New Roman"/>
          <w:sz w:val="24"/>
          <w:szCs w:val="24"/>
        </w:rPr>
        <w:t>.</w:t>
      </w:r>
    </w:p>
    <w:p w14:paraId="1E22205B" w14:textId="6FD35921" w:rsidR="00920D8A" w:rsidRPr="00AE115B" w:rsidRDefault="00920D8A" w:rsidP="00920D8A">
      <w:pPr>
        <w:pStyle w:val="ListParagraph"/>
        <w:numPr>
          <w:ilvl w:val="0"/>
          <w:numId w:val="17"/>
        </w:numPr>
        <w:spacing w:after="0"/>
        <w:rPr>
          <w:rFonts w:ascii="Times New Roman" w:hAnsi="Times New Roman" w:cs="Times New Roman"/>
          <w:b/>
          <w:bCs/>
          <w:i/>
          <w:iCs/>
          <w:sz w:val="24"/>
          <w:szCs w:val="24"/>
        </w:rPr>
      </w:pPr>
      <w:r w:rsidRPr="00AE115B">
        <w:rPr>
          <w:rFonts w:ascii="Times New Roman" w:hAnsi="Times New Roman" w:cs="Times New Roman"/>
          <w:b/>
          <w:bCs/>
          <w:i/>
          <w:iCs/>
          <w:sz w:val="24"/>
          <w:szCs w:val="24"/>
        </w:rPr>
        <w:t xml:space="preserve">Bhattacharya, S., Johnson, M., &amp; Williams, C. (2024). Gender dimensions of biofuel adoption in rural Southeast Asia: Comparative analysis of implementation models. Energy Research &amp; Social Science, 107, 103227. </w:t>
      </w:r>
      <w:hyperlink r:id="rId29" w:tgtFrame="_new" w:history="1">
        <w:r w:rsidRPr="00AE115B">
          <w:rPr>
            <w:rStyle w:val="Hyperlink"/>
            <w:rFonts w:ascii="Times New Roman" w:hAnsi="Times New Roman" w:cs="Times New Roman"/>
            <w:b/>
            <w:bCs/>
            <w:i/>
            <w:iCs/>
            <w:sz w:val="24"/>
            <w:szCs w:val="24"/>
          </w:rPr>
          <w:t>https://doi.org/10.1016/j.erss.2023.103227</w:t>
        </w:r>
      </w:hyperlink>
    </w:p>
    <w:p w14:paraId="1E3FFB1B" w14:textId="3E0F518B" w:rsidR="00920D8A" w:rsidRPr="00AE115B" w:rsidRDefault="00920D8A" w:rsidP="00920D8A">
      <w:pPr>
        <w:pStyle w:val="ListParagraph"/>
        <w:numPr>
          <w:ilvl w:val="0"/>
          <w:numId w:val="17"/>
        </w:numPr>
        <w:spacing w:after="0"/>
        <w:rPr>
          <w:rFonts w:ascii="Times New Roman" w:hAnsi="Times New Roman" w:cs="Times New Roman"/>
          <w:b/>
          <w:bCs/>
          <w:sz w:val="24"/>
          <w:szCs w:val="24"/>
        </w:rPr>
      </w:pPr>
      <w:r w:rsidRPr="00AE115B">
        <w:rPr>
          <w:rFonts w:ascii="Times New Roman" w:hAnsi="Times New Roman" w:cs="Times New Roman"/>
          <w:i/>
          <w:iCs/>
          <w:sz w:val="24"/>
          <w:szCs w:val="24"/>
        </w:rPr>
        <w:t xml:space="preserve"> </w:t>
      </w:r>
      <w:r w:rsidRPr="00AE115B">
        <w:rPr>
          <w:rFonts w:ascii="Times New Roman" w:hAnsi="Times New Roman" w:cs="Times New Roman"/>
          <w:b/>
          <w:bCs/>
          <w:i/>
          <w:iCs/>
          <w:sz w:val="24"/>
          <w:szCs w:val="24"/>
        </w:rPr>
        <w:t xml:space="preserve">Fernandez-Alvarez, C., &amp; </w:t>
      </w:r>
      <w:proofErr w:type="spellStart"/>
      <w:r w:rsidRPr="00AE115B">
        <w:rPr>
          <w:rFonts w:ascii="Times New Roman" w:hAnsi="Times New Roman" w:cs="Times New Roman"/>
          <w:b/>
          <w:bCs/>
          <w:i/>
          <w:iCs/>
          <w:sz w:val="24"/>
          <w:szCs w:val="24"/>
        </w:rPr>
        <w:t>García-Díez</w:t>
      </w:r>
      <w:proofErr w:type="spellEnd"/>
      <w:r w:rsidRPr="00AE115B">
        <w:rPr>
          <w:rFonts w:ascii="Times New Roman" w:hAnsi="Times New Roman" w:cs="Times New Roman"/>
          <w:b/>
          <w:bCs/>
          <w:i/>
          <w:iCs/>
          <w:sz w:val="24"/>
          <w:szCs w:val="24"/>
        </w:rPr>
        <w:t>, E. (2024). Rural electrification through integrated biogas mini-grids: Technical performance and socioeconomic impacts</w:t>
      </w:r>
      <w:r w:rsidRPr="00AE115B">
        <w:rPr>
          <w:rFonts w:ascii="Times New Roman" w:hAnsi="Times New Roman" w:cs="Times New Roman"/>
          <w:b/>
          <w:bCs/>
          <w:sz w:val="24"/>
          <w:szCs w:val="24"/>
        </w:rPr>
        <w:t xml:space="preserve"> in sub-Saharan Africa. </w:t>
      </w:r>
      <w:r w:rsidRPr="00AE115B">
        <w:rPr>
          <w:rFonts w:ascii="Times New Roman" w:hAnsi="Times New Roman" w:cs="Times New Roman"/>
          <w:b/>
          <w:bCs/>
          <w:i/>
          <w:iCs/>
          <w:sz w:val="24"/>
          <w:szCs w:val="24"/>
        </w:rPr>
        <w:t>Energy for Sustainable Development, 75</w:t>
      </w:r>
      <w:r w:rsidRPr="00AE115B">
        <w:rPr>
          <w:rFonts w:ascii="Times New Roman" w:hAnsi="Times New Roman" w:cs="Times New Roman"/>
          <w:b/>
          <w:bCs/>
          <w:sz w:val="24"/>
          <w:szCs w:val="24"/>
        </w:rPr>
        <w:t xml:space="preserve">, 101383. </w:t>
      </w:r>
      <w:hyperlink r:id="rId30" w:tgtFrame="_new" w:history="1">
        <w:r w:rsidRPr="00AE115B">
          <w:rPr>
            <w:rStyle w:val="Hyperlink"/>
            <w:rFonts w:ascii="Times New Roman" w:hAnsi="Times New Roman" w:cs="Times New Roman"/>
            <w:b/>
            <w:bCs/>
            <w:sz w:val="24"/>
            <w:szCs w:val="24"/>
          </w:rPr>
          <w:t>https://doi.org/10.1016/j.esd.2023.101383</w:t>
        </w:r>
      </w:hyperlink>
    </w:p>
    <w:p w14:paraId="0507F8AE" w14:textId="3E15E95D" w:rsidR="00CD2D9E" w:rsidRPr="00920D8A" w:rsidRDefault="00CD2D9E" w:rsidP="00920D8A">
      <w:pPr>
        <w:spacing w:after="0"/>
        <w:rPr>
          <w:rFonts w:ascii="Times New Roman" w:hAnsi="Times New Roman" w:cs="Times New Roman"/>
        </w:rPr>
      </w:pPr>
    </w:p>
    <w:sectPr w:rsidR="00CD2D9E" w:rsidRPr="00920D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D88"/>
    <w:multiLevelType w:val="multilevel"/>
    <w:tmpl w:val="0A0E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0F4D"/>
    <w:multiLevelType w:val="hybridMultilevel"/>
    <w:tmpl w:val="DD524DC6"/>
    <w:lvl w:ilvl="0" w:tplc="1BF6F1A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1E401B"/>
    <w:multiLevelType w:val="hybridMultilevel"/>
    <w:tmpl w:val="3AC4DA56"/>
    <w:lvl w:ilvl="0" w:tplc="1BF6F1A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DC37FA"/>
    <w:multiLevelType w:val="hybridMultilevel"/>
    <w:tmpl w:val="5AECAA92"/>
    <w:lvl w:ilvl="0" w:tplc="1BF6F1A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E21553"/>
    <w:multiLevelType w:val="multilevel"/>
    <w:tmpl w:val="6A3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B041A0"/>
    <w:multiLevelType w:val="hybridMultilevel"/>
    <w:tmpl w:val="9538FF9A"/>
    <w:lvl w:ilvl="0" w:tplc="D8B4EC4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5066F9"/>
    <w:multiLevelType w:val="hybridMultilevel"/>
    <w:tmpl w:val="60B2F716"/>
    <w:lvl w:ilvl="0" w:tplc="1BF6F1A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6855A0"/>
    <w:multiLevelType w:val="hybridMultilevel"/>
    <w:tmpl w:val="6A884F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0B957A1"/>
    <w:multiLevelType w:val="hybridMultilevel"/>
    <w:tmpl w:val="13C84326"/>
    <w:lvl w:ilvl="0" w:tplc="D8B4EC4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3741B10"/>
    <w:multiLevelType w:val="hybridMultilevel"/>
    <w:tmpl w:val="E9D668FA"/>
    <w:lvl w:ilvl="0" w:tplc="1BF6F1A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6D25194"/>
    <w:multiLevelType w:val="hybridMultilevel"/>
    <w:tmpl w:val="A59CCE4A"/>
    <w:lvl w:ilvl="0" w:tplc="D8B4EC4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7FC7C0C"/>
    <w:multiLevelType w:val="hybridMultilevel"/>
    <w:tmpl w:val="7A905E82"/>
    <w:lvl w:ilvl="0" w:tplc="D8B4EC4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9890935"/>
    <w:multiLevelType w:val="hybridMultilevel"/>
    <w:tmpl w:val="D80606C4"/>
    <w:lvl w:ilvl="0" w:tplc="D8B4EC4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DA81242"/>
    <w:multiLevelType w:val="hybridMultilevel"/>
    <w:tmpl w:val="24AAF8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F20407B"/>
    <w:multiLevelType w:val="hybridMultilevel"/>
    <w:tmpl w:val="E5B05504"/>
    <w:lvl w:ilvl="0" w:tplc="1BF6F1AA">
      <w:start w:val="1"/>
      <w:numFmt w:val="decimal"/>
      <w:lvlText w:val="%1."/>
      <w:lvlJc w:val="lef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4F687CC7"/>
    <w:multiLevelType w:val="hybridMultilevel"/>
    <w:tmpl w:val="4FFCFDCE"/>
    <w:lvl w:ilvl="0" w:tplc="D8B4EC4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4981D35"/>
    <w:multiLevelType w:val="hybridMultilevel"/>
    <w:tmpl w:val="57667B90"/>
    <w:lvl w:ilvl="0" w:tplc="1BF6F1A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0D10DE4"/>
    <w:multiLevelType w:val="hybridMultilevel"/>
    <w:tmpl w:val="40C419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8D21C12"/>
    <w:multiLevelType w:val="multilevel"/>
    <w:tmpl w:val="0EA6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D2498A"/>
    <w:multiLevelType w:val="hybridMultilevel"/>
    <w:tmpl w:val="07A0CC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CB03F32"/>
    <w:multiLevelType w:val="hybridMultilevel"/>
    <w:tmpl w:val="25DCE1C0"/>
    <w:lvl w:ilvl="0" w:tplc="D8B4EC4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20"/>
  </w:num>
  <w:num w:numId="3">
    <w:abstractNumId w:val="7"/>
  </w:num>
  <w:num w:numId="4">
    <w:abstractNumId w:val="8"/>
  </w:num>
  <w:num w:numId="5">
    <w:abstractNumId w:val="5"/>
  </w:num>
  <w:num w:numId="6">
    <w:abstractNumId w:val="10"/>
  </w:num>
  <w:num w:numId="7">
    <w:abstractNumId w:val="15"/>
  </w:num>
  <w:num w:numId="8">
    <w:abstractNumId w:val="11"/>
  </w:num>
  <w:num w:numId="9">
    <w:abstractNumId w:val="1"/>
  </w:num>
  <w:num w:numId="10">
    <w:abstractNumId w:val="9"/>
  </w:num>
  <w:num w:numId="11">
    <w:abstractNumId w:val="2"/>
  </w:num>
  <w:num w:numId="12">
    <w:abstractNumId w:val="3"/>
  </w:num>
  <w:num w:numId="13">
    <w:abstractNumId w:val="6"/>
  </w:num>
  <w:num w:numId="14">
    <w:abstractNumId w:val="14"/>
  </w:num>
  <w:num w:numId="15">
    <w:abstractNumId w:val="19"/>
  </w:num>
  <w:num w:numId="16">
    <w:abstractNumId w:val="16"/>
  </w:num>
  <w:num w:numId="17">
    <w:abstractNumId w:val="17"/>
  </w:num>
  <w:num w:numId="18">
    <w:abstractNumId w:val="13"/>
  </w:num>
  <w:num w:numId="19">
    <w:abstractNumId w:val="18"/>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9E"/>
    <w:rsid w:val="00157935"/>
    <w:rsid w:val="001E7D55"/>
    <w:rsid w:val="00222A82"/>
    <w:rsid w:val="00235932"/>
    <w:rsid w:val="002A680A"/>
    <w:rsid w:val="00361C7E"/>
    <w:rsid w:val="003A0A36"/>
    <w:rsid w:val="004A08C6"/>
    <w:rsid w:val="005E1E16"/>
    <w:rsid w:val="006A5EA7"/>
    <w:rsid w:val="00862101"/>
    <w:rsid w:val="00920D8A"/>
    <w:rsid w:val="009B5DD2"/>
    <w:rsid w:val="00AE115B"/>
    <w:rsid w:val="00CD2D9E"/>
    <w:rsid w:val="00D65D42"/>
    <w:rsid w:val="00F12A45"/>
    <w:rsid w:val="00F54D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E069"/>
  <w15:chartTrackingRefBased/>
  <w15:docId w15:val="{616B45FF-F6A4-4CF9-88FC-2E837FB6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D9E"/>
  </w:style>
  <w:style w:type="paragraph" w:styleId="Heading1">
    <w:name w:val="heading 1"/>
    <w:basedOn w:val="Normal"/>
    <w:next w:val="Normal"/>
    <w:link w:val="Heading1Char"/>
    <w:uiPriority w:val="9"/>
    <w:qFormat/>
    <w:rsid w:val="00CD2D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2D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2D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2D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2D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2D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D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D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D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D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2D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2D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2D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2D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2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D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D9E"/>
    <w:rPr>
      <w:rFonts w:eastAsiaTheme="majorEastAsia" w:cstheme="majorBidi"/>
      <w:color w:val="272727" w:themeColor="text1" w:themeTint="D8"/>
    </w:rPr>
  </w:style>
  <w:style w:type="paragraph" w:styleId="Title">
    <w:name w:val="Title"/>
    <w:basedOn w:val="Normal"/>
    <w:next w:val="Normal"/>
    <w:link w:val="TitleChar"/>
    <w:uiPriority w:val="10"/>
    <w:qFormat/>
    <w:rsid w:val="00CD2D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D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D9E"/>
    <w:pPr>
      <w:spacing w:before="160"/>
      <w:jc w:val="center"/>
    </w:pPr>
    <w:rPr>
      <w:i/>
      <w:iCs/>
      <w:color w:val="404040" w:themeColor="text1" w:themeTint="BF"/>
    </w:rPr>
  </w:style>
  <w:style w:type="character" w:customStyle="1" w:styleId="QuoteChar">
    <w:name w:val="Quote Char"/>
    <w:basedOn w:val="DefaultParagraphFont"/>
    <w:link w:val="Quote"/>
    <w:uiPriority w:val="29"/>
    <w:rsid w:val="00CD2D9E"/>
    <w:rPr>
      <w:i/>
      <w:iCs/>
      <w:color w:val="404040" w:themeColor="text1" w:themeTint="BF"/>
    </w:rPr>
  </w:style>
  <w:style w:type="paragraph" w:styleId="ListParagraph">
    <w:name w:val="List Paragraph"/>
    <w:basedOn w:val="Normal"/>
    <w:uiPriority w:val="34"/>
    <w:qFormat/>
    <w:rsid w:val="00CD2D9E"/>
    <w:pPr>
      <w:ind w:left="720"/>
      <w:contextualSpacing/>
    </w:pPr>
  </w:style>
  <w:style w:type="character" w:styleId="IntenseEmphasis">
    <w:name w:val="Intense Emphasis"/>
    <w:basedOn w:val="DefaultParagraphFont"/>
    <w:uiPriority w:val="21"/>
    <w:qFormat/>
    <w:rsid w:val="00CD2D9E"/>
    <w:rPr>
      <w:i/>
      <w:iCs/>
      <w:color w:val="2F5496" w:themeColor="accent1" w:themeShade="BF"/>
    </w:rPr>
  </w:style>
  <w:style w:type="paragraph" w:styleId="IntenseQuote">
    <w:name w:val="Intense Quote"/>
    <w:basedOn w:val="Normal"/>
    <w:next w:val="Normal"/>
    <w:link w:val="IntenseQuoteChar"/>
    <w:uiPriority w:val="30"/>
    <w:qFormat/>
    <w:rsid w:val="00CD2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2D9E"/>
    <w:rPr>
      <w:i/>
      <w:iCs/>
      <w:color w:val="2F5496" w:themeColor="accent1" w:themeShade="BF"/>
    </w:rPr>
  </w:style>
  <w:style w:type="character" w:styleId="IntenseReference">
    <w:name w:val="Intense Reference"/>
    <w:basedOn w:val="DefaultParagraphFont"/>
    <w:uiPriority w:val="32"/>
    <w:qFormat/>
    <w:rsid w:val="00CD2D9E"/>
    <w:rPr>
      <w:b/>
      <w:bCs/>
      <w:smallCaps/>
      <w:color w:val="2F5496" w:themeColor="accent1" w:themeShade="BF"/>
      <w:spacing w:val="5"/>
    </w:rPr>
  </w:style>
  <w:style w:type="character" w:styleId="Hyperlink">
    <w:name w:val="Hyperlink"/>
    <w:basedOn w:val="DefaultParagraphFont"/>
    <w:uiPriority w:val="99"/>
    <w:unhideWhenUsed/>
    <w:rsid w:val="00CD2D9E"/>
    <w:rPr>
      <w:color w:val="0563C1" w:themeColor="hyperlink"/>
      <w:u w:val="single"/>
    </w:rPr>
  </w:style>
  <w:style w:type="character" w:styleId="FollowedHyperlink">
    <w:name w:val="FollowedHyperlink"/>
    <w:basedOn w:val="DefaultParagraphFont"/>
    <w:uiPriority w:val="99"/>
    <w:semiHidden/>
    <w:unhideWhenUsed/>
    <w:rsid w:val="00F54DF3"/>
    <w:rPr>
      <w:color w:val="954F72" w:themeColor="followedHyperlink"/>
      <w:u w:val="single"/>
    </w:rPr>
  </w:style>
  <w:style w:type="character" w:customStyle="1" w:styleId="UnresolvedMention">
    <w:name w:val="Unresolved Mention"/>
    <w:basedOn w:val="DefaultParagraphFont"/>
    <w:uiPriority w:val="99"/>
    <w:semiHidden/>
    <w:unhideWhenUsed/>
    <w:rsid w:val="00920D8A"/>
    <w:rPr>
      <w:color w:val="605E5C"/>
      <w:shd w:val="clear" w:color="auto" w:fill="E1DFDD"/>
    </w:rPr>
  </w:style>
  <w:style w:type="paragraph" w:styleId="NormalWeb">
    <w:name w:val="Normal (Web)"/>
    <w:basedOn w:val="Normal"/>
    <w:uiPriority w:val="99"/>
    <w:semiHidden/>
    <w:unhideWhenUsed/>
    <w:rsid w:val="00920D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913">
      <w:bodyDiv w:val="1"/>
      <w:marLeft w:val="0"/>
      <w:marRight w:val="0"/>
      <w:marTop w:val="0"/>
      <w:marBottom w:val="0"/>
      <w:divBdr>
        <w:top w:val="none" w:sz="0" w:space="0" w:color="auto"/>
        <w:left w:val="none" w:sz="0" w:space="0" w:color="auto"/>
        <w:bottom w:val="none" w:sz="0" w:space="0" w:color="auto"/>
        <w:right w:val="none" w:sz="0" w:space="0" w:color="auto"/>
      </w:divBdr>
    </w:div>
    <w:div w:id="195898229">
      <w:bodyDiv w:val="1"/>
      <w:marLeft w:val="0"/>
      <w:marRight w:val="0"/>
      <w:marTop w:val="0"/>
      <w:marBottom w:val="0"/>
      <w:divBdr>
        <w:top w:val="none" w:sz="0" w:space="0" w:color="auto"/>
        <w:left w:val="none" w:sz="0" w:space="0" w:color="auto"/>
        <w:bottom w:val="none" w:sz="0" w:space="0" w:color="auto"/>
        <w:right w:val="none" w:sz="0" w:space="0" w:color="auto"/>
      </w:divBdr>
    </w:div>
    <w:div w:id="673459597">
      <w:bodyDiv w:val="1"/>
      <w:marLeft w:val="0"/>
      <w:marRight w:val="0"/>
      <w:marTop w:val="0"/>
      <w:marBottom w:val="0"/>
      <w:divBdr>
        <w:top w:val="none" w:sz="0" w:space="0" w:color="auto"/>
        <w:left w:val="none" w:sz="0" w:space="0" w:color="auto"/>
        <w:bottom w:val="none" w:sz="0" w:space="0" w:color="auto"/>
        <w:right w:val="none" w:sz="0" w:space="0" w:color="auto"/>
      </w:divBdr>
    </w:div>
    <w:div w:id="1515533947">
      <w:bodyDiv w:val="1"/>
      <w:marLeft w:val="0"/>
      <w:marRight w:val="0"/>
      <w:marTop w:val="0"/>
      <w:marBottom w:val="0"/>
      <w:divBdr>
        <w:top w:val="none" w:sz="0" w:space="0" w:color="auto"/>
        <w:left w:val="none" w:sz="0" w:space="0" w:color="auto"/>
        <w:bottom w:val="none" w:sz="0" w:space="0" w:color="auto"/>
        <w:right w:val="none" w:sz="0" w:space="0" w:color="auto"/>
      </w:divBdr>
    </w:div>
    <w:div w:id="1541088387">
      <w:bodyDiv w:val="1"/>
      <w:marLeft w:val="0"/>
      <w:marRight w:val="0"/>
      <w:marTop w:val="0"/>
      <w:marBottom w:val="0"/>
      <w:divBdr>
        <w:top w:val="none" w:sz="0" w:space="0" w:color="auto"/>
        <w:left w:val="none" w:sz="0" w:space="0" w:color="auto"/>
        <w:bottom w:val="none" w:sz="0" w:space="0" w:color="auto"/>
        <w:right w:val="none" w:sz="0" w:space="0" w:color="auto"/>
      </w:divBdr>
    </w:div>
    <w:div w:id="1750611586">
      <w:bodyDiv w:val="1"/>
      <w:marLeft w:val="0"/>
      <w:marRight w:val="0"/>
      <w:marTop w:val="0"/>
      <w:marBottom w:val="0"/>
      <w:divBdr>
        <w:top w:val="none" w:sz="0" w:space="0" w:color="auto"/>
        <w:left w:val="none" w:sz="0" w:space="0" w:color="auto"/>
        <w:bottom w:val="none" w:sz="0" w:space="0" w:color="auto"/>
        <w:right w:val="none" w:sz="0" w:space="0" w:color="auto"/>
      </w:divBdr>
    </w:div>
    <w:div w:id="1763378502">
      <w:bodyDiv w:val="1"/>
      <w:marLeft w:val="0"/>
      <w:marRight w:val="0"/>
      <w:marTop w:val="0"/>
      <w:marBottom w:val="0"/>
      <w:divBdr>
        <w:top w:val="none" w:sz="0" w:space="0" w:color="auto"/>
        <w:left w:val="none" w:sz="0" w:space="0" w:color="auto"/>
        <w:bottom w:val="none" w:sz="0" w:space="0" w:color="auto"/>
        <w:right w:val="none" w:sz="0" w:space="0" w:color="auto"/>
      </w:divBdr>
    </w:div>
    <w:div w:id="1799763114">
      <w:bodyDiv w:val="1"/>
      <w:marLeft w:val="0"/>
      <w:marRight w:val="0"/>
      <w:marTop w:val="0"/>
      <w:marBottom w:val="0"/>
      <w:divBdr>
        <w:top w:val="none" w:sz="0" w:space="0" w:color="auto"/>
        <w:left w:val="none" w:sz="0" w:space="0" w:color="auto"/>
        <w:bottom w:val="none" w:sz="0" w:space="0" w:color="auto"/>
        <w:right w:val="none" w:sz="0" w:space="0" w:color="auto"/>
      </w:divBdr>
    </w:div>
    <w:div w:id="1849824881">
      <w:bodyDiv w:val="1"/>
      <w:marLeft w:val="0"/>
      <w:marRight w:val="0"/>
      <w:marTop w:val="0"/>
      <w:marBottom w:val="0"/>
      <w:divBdr>
        <w:top w:val="none" w:sz="0" w:space="0" w:color="auto"/>
        <w:left w:val="none" w:sz="0" w:space="0" w:color="auto"/>
        <w:bottom w:val="none" w:sz="0" w:space="0" w:color="auto"/>
        <w:right w:val="none" w:sz="0" w:space="0" w:color="auto"/>
      </w:divBdr>
    </w:div>
    <w:div w:id="1916040480">
      <w:bodyDiv w:val="1"/>
      <w:marLeft w:val="0"/>
      <w:marRight w:val="0"/>
      <w:marTop w:val="0"/>
      <w:marBottom w:val="0"/>
      <w:divBdr>
        <w:top w:val="none" w:sz="0" w:space="0" w:color="auto"/>
        <w:left w:val="none" w:sz="0" w:space="0" w:color="auto"/>
        <w:bottom w:val="none" w:sz="0" w:space="0" w:color="auto"/>
        <w:right w:val="none" w:sz="0" w:space="0" w:color="auto"/>
      </w:divBdr>
    </w:div>
    <w:div w:id="200816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504509.2020.1798237" TargetMode="External"/><Relationship Id="rId13" Type="http://schemas.openxmlformats.org/officeDocument/2006/relationships/hyperlink" Target="https://www.iea.org/reports/brazil-biodiesel-program" TargetMode="External"/><Relationship Id="rId18" Type="http://schemas.openxmlformats.org/officeDocument/2006/relationships/hyperlink" Target="https://www.mckinsey.com" TargetMode="External"/><Relationship Id="rId26" Type="http://schemas.openxmlformats.org/officeDocument/2006/relationships/hyperlink" Target="https://www.worldbank.org/en/topic/energy" TargetMode="External"/><Relationship Id="rId3" Type="http://schemas.openxmlformats.org/officeDocument/2006/relationships/settings" Target="settings.xml"/><Relationship Id="rId21" Type="http://schemas.openxmlformats.org/officeDocument/2006/relationships/hyperlink" Target="https://www.nrel.gov/research/re-biofuels-algae.html" TargetMode="External"/><Relationship Id="rId7" Type="http://schemas.openxmlformats.org/officeDocument/2006/relationships/hyperlink" Target="http://www.fao.org" TargetMode="External"/><Relationship Id="rId12" Type="http://schemas.openxmlformats.org/officeDocument/2006/relationships/hyperlink" Target="https://www.iea.org/reports/world-energy-outlook-2023" TargetMode="External"/><Relationship Id="rId17" Type="http://schemas.openxmlformats.org/officeDocument/2006/relationships/hyperlink" Target="https://www.irena.org/Publications" TargetMode="External"/><Relationship Id="rId25" Type="http://schemas.openxmlformats.org/officeDocument/2006/relationships/hyperlink" Target="https://www.epa.gov/renewable-fuel-standard-program" TargetMode="External"/><Relationship Id="rId2" Type="http://schemas.openxmlformats.org/officeDocument/2006/relationships/styles" Target="styles.xml"/><Relationship Id="rId16" Type="http://schemas.openxmlformats.org/officeDocument/2006/relationships/hyperlink" Target="https://www.irena.org/Publications/2021/May/RenewableEnergy-and-Jobs-Annual-Review-2021" TargetMode="External"/><Relationship Id="rId20" Type="http://schemas.openxmlformats.org/officeDocument/2006/relationships/hyperlink" Target="https://mnre.gov.in/schemes/biomass" TargetMode="External"/><Relationship Id="rId29" Type="http://schemas.openxmlformats.org/officeDocument/2006/relationships/hyperlink" Target="https://doi.org/10.1016/j.erss.2023.103227" TargetMode="External"/><Relationship Id="rId1" Type="http://schemas.openxmlformats.org/officeDocument/2006/relationships/numbering" Target="numbering.xml"/><Relationship Id="rId6" Type="http://schemas.openxmlformats.org/officeDocument/2006/relationships/hyperlink" Target="https://www.epa.gov/renewable-fuel-standard-program" TargetMode="External"/><Relationship Id="rId11" Type="http://schemas.openxmlformats.org/officeDocument/2006/relationships/hyperlink" Target="https://doi.org/10.1016/j.rser.2023.113871" TargetMode="External"/><Relationship Id="rId24" Type="http://schemas.openxmlformats.org/officeDocument/2006/relationships/hyperlink" Target="https://www.unep.org/resources" TargetMode="External"/><Relationship Id="rId32" Type="http://schemas.openxmlformats.org/officeDocument/2006/relationships/theme" Target="theme/theme1.xml"/><Relationship Id="rId5" Type="http://schemas.openxmlformats.org/officeDocument/2006/relationships/hyperlink" Target="https://doi.org/10.1016/j.rser.2020.109781" TargetMode="External"/><Relationship Id="rId15" Type="http://schemas.openxmlformats.org/officeDocument/2006/relationships/hyperlink" Target="https://www.irena.org" TargetMode="External"/><Relationship Id="rId23" Type="http://schemas.openxmlformats.org/officeDocument/2006/relationships/hyperlink" Target="https://www.energy.gov/eere/bioenergy/biofuels-lignocellulosic-biomass" TargetMode="External"/><Relationship Id="rId28" Type="http://schemas.openxmlformats.org/officeDocument/2006/relationships/hyperlink" Target="https://www.who.int/news-room/fact-sheets/detail/household-air-pollution-and-health" TargetMode="External"/><Relationship Id="rId10" Type="http://schemas.openxmlformats.org/officeDocument/2006/relationships/hyperlink" Target="https://www.iea.org/reports/world-energy-outlook-2020" TargetMode="External"/><Relationship Id="rId19" Type="http://schemas.openxmlformats.org/officeDocument/2006/relationships/hyperlink" Target="https://www.worldbioenergy.org/publication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fuel.2023.129158" TargetMode="External"/><Relationship Id="rId14" Type="http://schemas.openxmlformats.org/officeDocument/2006/relationships/hyperlink" Target="https://www.irena.org/Publications" TargetMode="External"/><Relationship Id="rId22" Type="http://schemas.openxmlformats.org/officeDocument/2006/relationships/hyperlink" Target="https://www.energy.gov/eere/bioenergy/biofuels" TargetMode="External"/><Relationship Id="rId27" Type="http://schemas.openxmlformats.org/officeDocument/2006/relationships/hyperlink" Target="https://www.worldbank.org/en/research" TargetMode="External"/><Relationship Id="rId30" Type="http://schemas.openxmlformats.org/officeDocument/2006/relationships/hyperlink" Target="https://doi.org/10.1016/j.esd.2023.101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21</Pages>
  <Words>8469</Words>
  <Characters>48274</Characters>
  <Application>Microsoft Office Word</Application>
  <DocSecurity>0</DocSecurity>
  <Lines>402</Lines>
  <Paragraphs>113</Paragraphs>
  <ScaleCrop>false</ScaleCrop>
  <Company/>
  <LinksUpToDate>false</LinksUpToDate>
  <CharactersWithSpaces>56630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Muzammil Rahman</dc:creator>
  <cp:keywords/>
  <dc:description/>
  <cp:lastModifiedBy>SDI CPU 1117</cp:lastModifiedBy>
  <cp:revision>13</cp:revision>
  <dcterms:created xsi:type="dcterms:W3CDTF">2025-03-14T18:33:00Z</dcterms:created>
  <dcterms:modified xsi:type="dcterms:W3CDTF">2025-03-17T05:24:00Z</dcterms:modified>
</cp:coreProperties>
</file>