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C4876" w14:textId="77357690" w:rsidR="00366A20" w:rsidRPr="00366A20" w:rsidRDefault="00366A20" w:rsidP="00366A20">
      <w:pPr>
        <w:spacing w:before="240" w:after="240" w:line="360" w:lineRule="auto"/>
        <w:rPr>
          <w:b/>
          <w:bCs/>
          <w:i/>
          <w:iCs/>
          <w:u w:val="single"/>
        </w:rPr>
      </w:pPr>
      <w:r w:rsidRPr="00366A20">
        <w:rPr>
          <w:b/>
          <w:bCs/>
          <w:i/>
          <w:iCs/>
          <w:u w:val="single"/>
        </w:rPr>
        <w:t>Original Research Article</w:t>
      </w:r>
    </w:p>
    <w:p w14:paraId="2F37918B" w14:textId="2D703F95" w:rsidR="00572EE3" w:rsidRDefault="0025754D" w:rsidP="00572EE3">
      <w:pPr>
        <w:spacing w:after="0" w:line="360" w:lineRule="auto"/>
        <w:jc w:val="center"/>
        <w:rPr>
          <w:b/>
          <w:bCs/>
        </w:rPr>
      </w:pPr>
      <w:r w:rsidRPr="0025754D">
        <w:rPr>
          <w:b/>
          <w:bCs/>
          <w:highlight w:val="yellow"/>
        </w:rPr>
        <w:t>Economic Impact of Farmer Producer Company Membership on Maize Cult</w:t>
      </w:r>
      <w:r w:rsidR="009B1D4D">
        <w:rPr>
          <w:b/>
          <w:bCs/>
          <w:highlight w:val="yellow"/>
        </w:rPr>
        <w:t xml:space="preserve">ivation in </w:t>
      </w:r>
      <w:proofErr w:type="spellStart"/>
      <w:r w:rsidR="009B1D4D">
        <w:rPr>
          <w:b/>
          <w:bCs/>
          <w:highlight w:val="yellow"/>
        </w:rPr>
        <w:t>Kollegala</w:t>
      </w:r>
      <w:proofErr w:type="spellEnd"/>
      <w:r w:rsidR="009B1D4D">
        <w:rPr>
          <w:b/>
          <w:bCs/>
          <w:highlight w:val="yellow"/>
        </w:rPr>
        <w:t>, Karnataka, I</w:t>
      </w:r>
      <w:r w:rsidR="009B1D4D">
        <w:rPr>
          <w:b/>
          <w:bCs/>
        </w:rPr>
        <w:t>ndia</w:t>
      </w:r>
      <w:bookmarkStart w:id="0" w:name="_GoBack"/>
      <w:bookmarkEnd w:id="0"/>
    </w:p>
    <w:p w14:paraId="1FCAD70C" w14:textId="77777777" w:rsidR="00B56A3E" w:rsidRDefault="00B56A3E" w:rsidP="00572EE3">
      <w:pPr>
        <w:spacing w:after="0" w:line="360" w:lineRule="auto"/>
        <w:jc w:val="center"/>
        <w:rPr>
          <w:b/>
          <w:bCs/>
        </w:rPr>
      </w:pPr>
    </w:p>
    <w:p w14:paraId="1B04A635" w14:textId="4F208FC0" w:rsidR="000C0300" w:rsidRDefault="000C0300" w:rsidP="00572EE3">
      <w:pPr>
        <w:spacing w:after="0" w:line="360" w:lineRule="auto"/>
        <w:jc w:val="center"/>
        <w:rPr>
          <w:b/>
          <w:bCs/>
        </w:rPr>
      </w:pPr>
      <w:r>
        <w:rPr>
          <w:b/>
          <w:bCs/>
        </w:rPr>
        <w:t xml:space="preserve">Abstract </w:t>
      </w:r>
    </w:p>
    <w:p w14:paraId="07E2BCD4" w14:textId="0C17F731" w:rsidR="00DB7238" w:rsidRPr="008778D4" w:rsidRDefault="008778D4" w:rsidP="009C697E">
      <w:pPr>
        <w:spacing w:before="240" w:after="240" w:line="360" w:lineRule="auto"/>
        <w:jc w:val="both"/>
        <w:rPr>
          <w:highlight w:val="yellow"/>
        </w:rPr>
      </w:pPr>
      <w:r w:rsidRPr="008778D4">
        <w:t xml:space="preserve">Maize is an important crop in Indian agriculture, especially in Karnataka, where it contributes significantly to food security and industrial value chains. </w:t>
      </w:r>
      <w:r>
        <w:t>S</w:t>
      </w:r>
      <w:r w:rsidRPr="008778D4">
        <w:t xml:space="preserve">imilar to other farmers, smallholder farmers face perennial challenges of expensive inputs, scattered land holdings and restricted market access that impair their profitability. The </w:t>
      </w:r>
      <w:proofErr w:type="spellStart"/>
      <w:r w:rsidRPr="008778D4">
        <w:t>Kollegala</w:t>
      </w:r>
      <w:proofErr w:type="spellEnd"/>
      <w:r w:rsidRPr="008778D4">
        <w:t xml:space="preserve"> Horticulture Farmer Producer Company Limited </w:t>
      </w:r>
      <w:r>
        <w:t>(</w:t>
      </w:r>
      <w:r w:rsidRPr="008778D4">
        <w:t>KHFPCL</w:t>
      </w:r>
      <w:r>
        <w:t xml:space="preserve">) </w:t>
      </w:r>
      <w:r w:rsidRPr="008778D4">
        <w:t>has emerged as a transformative solution, providing collective procurement, technical support</w:t>
      </w:r>
      <w:r>
        <w:t xml:space="preserve"> </w:t>
      </w:r>
      <w:r w:rsidRPr="008778D4">
        <w:t>and stronger linkages with the market. An econometric study based on a comparison of 160 farmers</w:t>
      </w:r>
      <w:r>
        <w:t xml:space="preserve"> </w:t>
      </w:r>
      <w:r w:rsidRPr="008778D4">
        <w:t>80 KHFPCL members and 80 non-members</w:t>
      </w:r>
      <w:r>
        <w:t xml:space="preserve"> </w:t>
      </w:r>
      <w:r w:rsidRPr="008778D4">
        <w:t xml:space="preserve">was undertaken to determine the economic impact of membership in KHFPCL on maize cultivation. Primary data were collected through structured interviews and key cost components like </w:t>
      </w:r>
      <w:proofErr w:type="spellStart"/>
      <w:r w:rsidRPr="008778D4">
        <w:t>labor</w:t>
      </w:r>
      <w:proofErr w:type="spellEnd"/>
      <w:r w:rsidRPr="008778D4">
        <w:t xml:space="preserve">, seeds, fertilizers and plant protection chemicals were analysed. Using descriptive statistics and t-tests, the findings revealed that KHFPCL members achieved higher productivity, with an average yield of 25 quintals per acre compared to 23 quintals for non-members. Besides reporting 22.9% higher gross returns, members also achieved 53.3% more net returns based on reduced inputs and better resources management. All these results put forward the sizeable economic gains of Farmer Producer Companies, signifying their prospect to improve profitability for small-scale farmers, maximize cost structures and strengthen market access, which is eventually going to contribute to sustaining agricultural communities. </w:t>
      </w:r>
      <w:r w:rsidRPr="008778D4">
        <w:rPr>
          <w:highlight w:val="yellow"/>
        </w:rPr>
        <w:t xml:space="preserve">Statistically </w:t>
      </w:r>
      <w:proofErr w:type="gramStart"/>
      <w:r w:rsidRPr="008778D4">
        <w:rPr>
          <w:highlight w:val="yellow"/>
        </w:rPr>
        <w:t>significant</w:t>
      </w:r>
      <w:proofErr w:type="gramEnd"/>
      <w:r w:rsidRPr="008778D4">
        <w:rPr>
          <w:highlight w:val="yellow"/>
        </w:rPr>
        <w:t xml:space="preserve"> gains since KHFPCL members have higher productivity, gross returns and net returns Policy interventions should strengthen FPCs, input access and promote sustainable practices for resilience of farmers.</w:t>
      </w:r>
    </w:p>
    <w:p w14:paraId="708F48EC" w14:textId="2345A2FA" w:rsidR="00DB7238" w:rsidRDefault="00DB7238" w:rsidP="00DB7238">
      <w:pPr>
        <w:spacing w:before="240" w:after="240" w:line="360" w:lineRule="auto"/>
        <w:jc w:val="both"/>
      </w:pPr>
      <w:r w:rsidRPr="00DB7238">
        <w:rPr>
          <w:b/>
          <w:bCs/>
        </w:rPr>
        <w:t>Keywords:</w:t>
      </w:r>
      <w:r>
        <w:t xml:space="preserve"> Maize</w:t>
      </w:r>
      <w:r w:rsidRPr="00DB7238">
        <w:t xml:space="preserve"> Cultivation</w:t>
      </w:r>
      <w:r>
        <w:t>,</w:t>
      </w:r>
      <w:r w:rsidRPr="00DB7238">
        <w:t xml:space="preserve"> KHFPCL</w:t>
      </w:r>
      <w:r>
        <w:t>,</w:t>
      </w:r>
      <w:r w:rsidRPr="00DB7238">
        <w:t xml:space="preserve"> Cost of Cultivation</w:t>
      </w:r>
      <w:r>
        <w:t>,</w:t>
      </w:r>
      <w:r w:rsidRPr="00DB7238">
        <w:t xml:space="preserve"> FPC</w:t>
      </w:r>
      <w:r>
        <w:t>,</w:t>
      </w:r>
      <w:r w:rsidRPr="00DB7238">
        <w:t xml:space="preserve"> </w:t>
      </w:r>
      <w:proofErr w:type="gramStart"/>
      <w:r w:rsidRPr="00DB7238">
        <w:t>Farmers</w:t>
      </w:r>
      <w:proofErr w:type="gramEnd"/>
      <w:r w:rsidRPr="00DB7238">
        <w:t>.</w:t>
      </w:r>
    </w:p>
    <w:p w14:paraId="284E1835" w14:textId="64A7793B" w:rsidR="00D91BDF" w:rsidRPr="00D91BDF" w:rsidRDefault="00AF09A1" w:rsidP="00DB7238">
      <w:pPr>
        <w:spacing w:before="240" w:after="240" w:line="360" w:lineRule="auto"/>
        <w:jc w:val="both"/>
      </w:pPr>
      <w:r>
        <w:rPr>
          <w:b/>
          <w:bCs/>
        </w:rPr>
        <w:t xml:space="preserve">1. </w:t>
      </w:r>
      <w:r w:rsidR="00D91BDF" w:rsidRPr="00D91BDF">
        <w:rPr>
          <w:b/>
          <w:bCs/>
        </w:rPr>
        <w:t>Introduction</w:t>
      </w:r>
    </w:p>
    <w:p w14:paraId="74B749A4" w14:textId="021AF7FE" w:rsidR="00375D34" w:rsidRDefault="00375D34" w:rsidP="00164C9C">
      <w:pPr>
        <w:spacing w:before="240" w:after="240" w:line="360" w:lineRule="auto"/>
        <w:jc w:val="both"/>
      </w:pPr>
      <w:r w:rsidRPr="00375D34">
        <w:t>Maize (</w:t>
      </w:r>
      <w:proofErr w:type="spellStart"/>
      <w:r w:rsidRPr="00375D34">
        <w:rPr>
          <w:i/>
          <w:iCs/>
        </w:rPr>
        <w:t>Zea</w:t>
      </w:r>
      <w:proofErr w:type="spellEnd"/>
      <w:r w:rsidRPr="00375D34">
        <w:rPr>
          <w:i/>
          <w:iCs/>
        </w:rPr>
        <w:t xml:space="preserve"> mays</w:t>
      </w:r>
      <w:r w:rsidRPr="00375D34">
        <w:t xml:space="preserve"> L.), known as the "Queen of Cereals," is a globally significant and highly adaptable crop, valued for its exceptional yield potential and ability to thrive in diverse climatic conditions. With its origins traced back to Mexico, maize has been cultivated for millennia and </w:t>
      </w:r>
      <w:r w:rsidRPr="00375D34">
        <w:lastRenderedPageBreak/>
        <w:t>remains a cornerstone of the global agricultural economy</w:t>
      </w:r>
      <w:r w:rsidR="00164C9C" w:rsidRPr="00164C9C">
        <w:t xml:space="preserve"> </w:t>
      </w:r>
      <w:r w:rsidR="00164C9C">
        <w:t>(</w:t>
      </w:r>
      <w:proofErr w:type="spellStart"/>
      <w:r w:rsidR="00797C08" w:rsidRPr="00797C08">
        <w:t>Poudel</w:t>
      </w:r>
      <w:proofErr w:type="spellEnd"/>
      <w:r w:rsidR="00797C08" w:rsidRPr="00797C08">
        <w:t xml:space="preserve">, 2024; </w:t>
      </w:r>
      <w:proofErr w:type="spellStart"/>
      <w:r w:rsidR="00797C08" w:rsidRPr="00797C08">
        <w:t>Busungu</w:t>
      </w:r>
      <w:proofErr w:type="spellEnd"/>
      <w:r w:rsidR="00797C08" w:rsidRPr="00797C08">
        <w:t>, 2025</w:t>
      </w:r>
      <w:r w:rsidR="00164C9C">
        <w:t>).</w:t>
      </w:r>
      <w:r w:rsidRPr="00375D34">
        <w:t xml:space="preserve"> It plays an essential role in food security and serves as a vital input for various industries, including those producing animal feed, starch, oil, protein, biofuels and processed food products.</w:t>
      </w:r>
      <w:r w:rsidR="00164C9C" w:rsidRPr="00164C9C">
        <w:t xml:space="preserve"> </w:t>
      </w:r>
      <w:r w:rsidR="00164C9C">
        <w:t>(</w:t>
      </w:r>
      <w:r w:rsidR="00164C9C" w:rsidRPr="00164C9C">
        <w:t>Martínez-Ortiz et al. 2024)</w:t>
      </w:r>
      <w:r w:rsidRPr="00375D34">
        <w:t xml:space="preserve"> The economic and cultural importance of maize rivals that of rice in Asia and wheat in the Middle East, highlighting its relevance in both traditional farming systems and modern industrial uses</w:t>
      </w:r>
      <w:r w:rsidR="00164C9C">
        <w:t xml:space="preserve"> (</w:t>
      </w:r>
      <w:r w:rsidR="00164C9C" w:rsidRPr="00374CD9">
        <w:t>Hajong</w:t>
      </w:r>
      <w:r w:rsidR="00164C9C">
        <w:t xml:space="preserve"> et al., 2024)</w:t>
      </w:r>
      <w:r w:rsidRPr="00375D34">
        <w:t>.</w:t>
      </w:r>
    </w:p>
    <w:p w14:paraId="380309C3" w14:textId="36983ACE" w:rsidR="00375D34" w:rsidRPr="00D91BDF" w:rsidRDefault="00375D34" w:rsidP="00E2056B">
      <w:pPr>
        <w:spacing w:before="240" w:after="240" w:line="360" w:lineRule="auto"/>
        <w:jc w:val="both"/>
      </w:pPr>
      <w:r w:rsidRPr="00375D34">
        <w:t>Maize production worldwide is dominated by a few major countries, with the United States, China, Brazil</w:t>
      </w:r>
      <w:r>
        <w:t xml:space="preserve">, </w:t>
      </w:r>
      <w:r w:rsidRPr="00375D34">
        <w:t>European Union</w:t>
      </w:r>
      <w:r>
        <w:t>,</w:t>
      </w:r>
      <w:r w:rsidRPr="00375D34">
        <w:t xml:space="preserve"> Argentina </w:t>
      </w:r>
      <w:r>
        <w:t xml:space="preserve">and India </w:t>
      </w:r>
      <w:r w:rsidRPr="00375D34">
        <w:t xml:space="preserve">leading in both cultivation area and total output. Collectively, these nations account for a substantial share of global maize production, estimated at around </w:t>
      </w:r>
      <w:r w:rsidR="007D3B3D" w:rsidRPr="007D3B3D">
        <w:t>1,210</w:t>
      </w:r>
      <w:r w:rsidRPr="00375D34">
        <w:t xml:space="preserve"> million metric tonnes, covering 193.7 million hectares, with an average yield of 5.75 tonnes per hectare. Maize has evolved into a vital industrial crop, with approximately 83% of its global output allocated to the feed, starch</w:t>
      </w:r>
      <w:r w:rsidR="004D7ECD">
        <w:t xml:space="preserve"> and</w:t>
      </w:r>
      <w:r w:rsidRPr="00375D34">
        <w:t xml:space="preserve"> biofuel sectors. Its wide range of applications and high potential for value addition have established maize as a key driver of the global agricultural economy.</w:t>
      </w:r>
      <w:r w:rsidR="007D3B3D">
        <w:t xml:space="preserve"> (</w:t>
      </w:r>
      <w:r w:rsidR="007D3B3D" w:rsidRPr="007D3B3D">
        <w:t>USDA Foreign Agricultural Service</w:t>
      </w:r>
      <w:r w:rsidR="007D3B3D">
        <w:t>, 2025</w:t>
      </w:r>
      <w:r w:rsidR="00E2056B">
        <w:t xml:space="preserve">; </w:t>
      </w:r>
      <w:r w:rsidR="00E2056B" w:rsidRPr="00E2056B">
        <w:t>(Food and Agriculture Organization of the United Nations [FAOSTAT], 2024</w:t>
      </w:r>
      <w:r w:rsidR="007D3B3D">
        <w:t>)</w:t>
      </w:r>
    </w:p>
    <w:p w14:paraId="12E7AE2C" w14:textId="6D31A8D6" w:rsidR="00D91BDF" w:rsidRPr="00D91BDF" w:rsidRDefault="00D91BDF" w:rsidP="00820A82">
      <w:pPr>
        <w:spacing w:before="240" w:after="240" w:line="360" w:lineRule="auto"/>
        <w:jc w:val="both"/>
      </w:pPr>
      <w:r w:rsidRPr="00D91BDF">
        <w:t>In India, maize is the third most important cereal crop after rice and wheat, contributing significantly to the nation’s agricultural production and economy. India ranks fourth in maize cultivation area and seventh in production, covering 9.2 million hectares and producing 27.8 million metric tonnes in 20</w:t>
      </w:r>
      <w:r w:rsidR="00CF4A5E">
        <w:t>23</w:t>
      </w:r>
      <w:r w:rsidRPr="00D91BDF">
        <w:t>-</w:t>
      </w:r>
      <w:r w:rsidR="00CF4A5E">
        <w:t>24</w:t>
      </w:r>
      <w:r w:rsidR="00012B8F">
        <w:t xml:space="preserve"> (</w:t>
      </w:r>
      <w:r w:rsidR="00012B8F" w:rsidRPr="00012B8F">
        <w:t xml:space="preserve">Dutta </w:t>
      </w:r>
      <w:r w:rsidR="00012B8F">
        <w:t>et al., 2024)</w:t>
      </w:r>
      <w:r w:rsidRPr="00D91BDF">
        <w:t xml:space="preserve">. The country has witnessed a remarkable increase in maize production, with average productivity rising from 547 kg/ha in 1950-51 to 2965 kg/ha in 2018-19, demonstrating a nearly 16-fold increase in output. Maize is primarily cultivated during two seasons in India: kharif (rainy) and </w:t>
      </w:r>
      <w:proofErr w:type="gramStart"/>
      <w:r w:rsidRPr="00D91BDF">
        <w:t>rabi</w:t>
      </w:r>
      <w:proofErr w:type="gramEnd"/>
      <w:r w:rsidRPr="00D91BDF">
        <w:t xml:space="preserve"> (winter), with kharif maize accounting for around 83% of the total area, often under rainfed conditions</w:t>
      </w:r>
      <w:r w:rsidR="00012B8F">
        <w:t xml:space="preserve"> (</w:t>
      </w:r>
      <w:r w:rsidR="00012B8F" w:rsidRPr="00012B8F">
        <w:t xml:space="preserve">Kumar </w:t>
      </w:r>
      <w:r w:rsidR="00012B8F">
        <w:t>et al., 2023)</w:t>
      </w:r>
      <w:r w:rsidRPr="00D91BDF">
        <w:t>. Despite challenges like biotic and abiotic stressors, maize remains the fastest-growing cereal crop in terms of area and productivity. Major maize-producing states in India include Karnataka, Andhra Pradesh, Uttar Pradesh, Bihar and Madhya Pradesh</w:t>
      </w:r>
      <w:r w:rsidR="00820A82" w:rsidRPr="00820A82">
        <w:t xml:space="preserve"> </w:t>
      </w:r>
      <w:r w:rsidR="00820A82">
        <w:t>(</w:t>
      </w:r>
      <w:r w:rsidR="00820A82" w:rsidRPr="00820A82">
        <w:t>Indian Institute of Maize Research</w:t>
      </w:r>
      <w:r w:rsidR="00820A82">
        <w:t>, 2025)</w:t>
      </w:r>
      <w:r w:rsidRPr="00D91BDF">
        <w:t>.</w:t>
      </w:r>
    </w:p>
    <w:p w14:paraId="5D119311" w14:textId="1954F269" w:rsidR="00D91BDF" w:rsidRDefault="00D91BDF" w:rsidP="006511F7">
      <w:pPr>
        <w:spacing w:before="240" w:after="240" w:line="360" w:lineRule="auto"/>
        <w:jc w:val="both"/>
      </w:pPr>
      <w:r w:rsidRPr="00D91BDF">
        <w:t xml:space="preserve">Karnataka is one of the leading maize-producing states in India, contributing </w:t>
      </w:r>
      <w:r w:rsidR="00245E1A" w:rsidRPr="00245E1A">
        <w:t>16.45%</w:t>
      </w:r>
      <w:r w:rsidRPr="00D91BDF">
        <w:t xml:space="preserve"> of the nation’s total output. In 20</w:t>
      </w:r>
      <w:r w:rsidR="006D0D72">
        <w:t>24</w:t>
      </w:r>
      <w:r w:rsidRPr="00D91BDF">
        <w:t>-</w:t>
      </w:r>
      <w:r w:rsidR="006D0D72">
        <w:t>25</w:t>
      </w:r>
      <w:r w:rsidRPr="00D91BDF">
        <w:t>, maize was grown on 1.</w:t>
      </w:r>
      <w:r w:rsidR="006D0D72">
        <w:t>56</w:t>
      </w:r>
      <w:r w:rsidRPr="00D91BDF">
        <w:t xml:space="preserve"> million hectares in the state, yielding </w:t>
      </w:r>
      <w:r w:rsidR="006D0D72">
        <w:t>4.93</w:t>
      </w:r>
      <w:r w:rsidRPr="00D91BDF">
        <w:t xml:space="preserve"> million tonnes with an average productivity of </w:t>
      </w:r>
      <w:r w:rsidR="006D0D72" w:rsidRPr="006D0D72">
        <w:t>3160.26</w:t>
      </w:r>
      <w:r w:rsidR="006D0D72">
        <w:t xml:space="preserve"> </w:t>
      </w:r>
      <w:r w:rsidRPr="00D91BDF">
        <w:t>kg/ha</w:t>
      </w:r>
      <w:r w:rsidR="006D0D72">
        <w:t xml:space="preserve"> </w:t>
      </w:r>
      <w:r w:rsidR="006D0D72" w:rsidRPr="006D0D72">
        <w:t>(Prakash &amp; Venkataramana, 2023)</w:t>
      </w:r>
      <w:r w:rsidRPr="00D91BDF">
        <w:t xml:space="preserve">. Northern Karnataka, particularly districts like Davanagere, Belgaum, Chitradurga and Dharwad, dominate maize cultivation due to </w:t>
      </w:r>
      <w:proofErr w:type="spellStart"/>
      <w:r w:rsidRPr="00D91BDF">
        <w:t>favorable</w:t>
      </w:r>
      <w:proofErr w:type="spellEnd"/>
      <w:r w:rsidRPr="00D91BDF">
        <w:t xml:space="preserve"> agro-climatic </w:t>
      </w:r>
      <w:r w:rsidRPr="00D91BDF">
        <w:lastRenderedPageBreak/>
        <w:t>conditions and well-established agricultural practices. Maize production in Karnataka supports various sectors, including poultry, livestock feed, starch industries</w:t>
      </w:r>
      <w:r w:rsidR="008657A5">
        <w:t xml:space="preserve"> and</w:t>
      </w:r>
      <w:r w:rsidRPr="00D91BDF">
        <w:t xml:space="preserve"> biofuel production</w:t>
      </w:r>
      <w:r w:rsidR="006D0D72">
        <w:t xml:space="preserve"> (</w:t>
      </w:r>
      <w:r w:rsidR="006D0D72" w:rsidRPr="006D0D72">
        <w:t xml:space="preserve">Basavaraj </w:t>
      </w:r>
      <w:r w:rsidR="006D0D72">
        <w:t>et al., 2022)</w:t>
      </w:r>
      <w:r w:rsidRPr="00D91BDF">
        <w:t>.</w:t>
      </w:r>
    </w:p>
    <w:p w14:paraId="0643DF27" w14:textId="4D1CDB1C" w:rsidR="00D91BDF" w:rsidRPr="00D91BDF" w:rsidRDefault="00D91BDF" w:rsidP="00D91BDF">
      <w:pPr>
        <w:spacing w:before="240" w:after="240" w:line="360" w:lineRule="auto"/>
        <w:jc w:val="both"/>
      </w:pPr>
      <w:r w:rsidRPr="00D91BDF">
        <w:t xml:space="preserve">Given the economic significance of maize in Karnataka, the role of Farmer Producer Companies (FPCs) like the </w:t>
      </w:r>
      <w:proofErr w:type="spellStart"/>
      <w:r w:rsidRPr="00D91BDF">
        <w:t>Kollegala</w:t>
      </w:r>
      <w:proofErr w:type="spellEnd"/>
      <w:r w:rsidRPr="00D91BDF">
        <w:t xml:space="preserve"> Horticulture Farmer Producer Company Limited (KHFPCL) becomes essential in addressing the challenges faced by smallholder farmers. Indian smallholder farmers often encounter persistent issues such as fragmented land holdings, high input costs and limited access to markets and infrastructure </w:t>
      </w:r>
      <w:r w:rsidR="006D0D72">
        <w:t>(</w:t>
      </w:r>
      <w:r w:rsidR="006D0D72" w:rsidRPr="006D0D72">
        <w:t>Kotyal</w:t>
      </w:r>
      <w:r w:rsidR="006D0D72">
        <w:t>, 2025</w:t>
      </w:r>
      <w:r w:rsidR="005657B1">
        <w:t xml:space="preserve">; </w:t>
      </w:r>
      <w:proofErr w:type="spellStart"/>
      <w:r w:rsidR="005657B1" w:rsidRPr="005657B1">
        <w:t>Gautam</w:t>
      </w:r>
      <w:proofErr w:type="spellEnd"/>
      <w:r w:rsidR="005657B1" w:rsidRPr="005657B1">
        <w:t xml:space="preserve"> </w:t>
      </w:r>
      <w:r w:rsidR="005657B1">
        <w:t xml:space="preserve">and </w:t>
      </w:r>
      <w:proofErr w:type="spellStart"/>
      <w:r w:rsidR="005657B1" w:rsidRPr="005657B1">
        <w:t>Mallaiah</w:t>
      </w:r>
      <w:proofErr w:type="spellEnd"/>
      <w:r w:rsidR="005657B1" w:rsidRPr="005657B1">
        <w:t>,</w:t>
      </w:r>
      <w:r w:rsidR="005657B1">
        <w:t xml:space="preserve"> 2024</w:t>
      </w:r>
      <w:r w:rsidR="00EC7094" w:rsidRPr="00D91BDF">
        <w:t>).</w:t>
      </w:r>
      <w:r w:rsidRPr="00D91BDF">
        <w:t xml:space="preserve"> These challenges lead to higher costs of cultivation (COC) and lower profitability due to the inability to procure inputs in bulk or adopt advanced farming techniques. </w:t>
      </w:r>
      <w:r w:rsidR="00EC7094">
        <w:t>L</w:t>
      </w:r>
      <w:r w:rsidRPr="00D91BDF">
        <w:t>imited market access and weak bargaining power make smallholder farmers vulnerable to price volatility and exploitation by intermediaries</w:t>
      </w:r>
      <w:r w:rsidR="006D0D72">
        <w:t xml:space="preserve"> </w:t>
      </w:r>
      <w:r w:rsidR="006D0D72" w:rsidRPr="00D91BDF">
        <w:t>(</w:t>
      </w:r>
      <w:r w:rsidR="006D0D72" w:rsidRPr="006D0D72">
        <w:t>Nkhata</w:t>
      </w:r>
      <w:r w:rsidR="006D0D72" w:rsidRPr="00D91BDF">
        <w:t xml:space="preserve"> et al., 20</w:t>
      </w:r>
      <w:r w:rsidR="006D0D72">
        <w:t>24</w:t>
      </w:r>
      <w:r w:rsidR="006D0D72" w:rsidRPr="00D91BDF">
        <w:t>)</w:t>
      </w:r>
      <w:r w:rsidRPr="00D91BDF">
        <w:t>.</w:t>
      </w:r>
    </w:p>
    <w:p w14:paraId="74D484D3" w14:textId="59E0E5CC" w:rsidR="00D91BDF" w:rsidRPr="00D91BDF" w:rsidRDefault="00D91BDF" w:rsidP="00D91BDF">
      <w:pPr>
        <w:spacing w:before="240" w:after="240" w:line="360" w:lineRule="auto"/>
        <w:jc w:val="both"/>
      </w:pPr>
      <w:r w:rsidRPr="00D91BDF">
        <w:t>KHFPCL has emerged as a transformative solution by providing a platform for collective action and empowering farmers with better access to resources, improved production efficiency and stronger market linkages. Through the bulk procurement of essential inputs like seeds, fertilizers</w:t>
      </w:r>
      <w:r w:rsidR="008657A5">
        <w:t xml:space="preserve"> and</w:t>
      </w:r>
      <w:r w:rsidRPr="00D91BDF">
        <w:t xml:space="preserve"> plant protection chemicals (PPC) at discounted rates, KHFPCL significantly reduces input costs for its member farmers. By promoting sustainable farming practices and modern agricultural techniques, the organization helps members increase productivity while minimizing dependency on costly external resources (</w:t>
      </w:r>
      <w:proofErr w:type="spellStart"/>
      <w:r w:rsidR="00797C08">
        <w:t>Sergeyeva</w:t>
      </w:r>
      <w:proofErr w:type="spellEnd"/>
      <w:r w:rsidRPr="00D91BDF">
        <w:t xml:space="preserve"> et al., 202</w:t>
      </w:r>
      <w:r w:rsidR="00797C08">
        <w:t>3</w:t>
      </w:r>
      <w:r w:rsidR="006511F7">
        <w:t>: Kotyal, 2023</w:t>
      </w:r>
      <w:r w:rsidRPr="00D91BDF">
        <w:t>). KHFPCL also offers technical guidance on soil health management, water conservation and efficient use of fertilizers and pesticides, directly impacting cost efficiency and profitability in maize cultivation</w:t>
      </w:r>
      <w:r w:rsidR="006D0D72">
        <w:t xml:space="preserve"> (</w:t>
      </w:r>
      <w:proofErr w:type="spellStart"/>
      <w:r w:rsidR="006D0D72" w:rsidRPr="006D0D72">
        <w:t>Kotyal</w:t>
      </w:r>
      <w:proofErr w:type="spellEnd"/>
      <w:r w:rsidR="006D0D72">
        <w:t>, 2025</w:t>
      </w:r>
      <w:r w:rsidR="005657B1">
        <w:t xml:space="preserve">; </w:t>
      </w:r>
      <w:proofErr w:type="spellStart"/>
      <w:r w:rsidR="005657B1">
        <w:t>Beleri</w:t>
      </w:r>
      <w:proofErr w:type="spellEnd"/>
      <w:r w:rsidR="005657B1">
        <w:t xml:space="preserve">, 2023; </w:t>
      </w:r>
      <w:proofErr w:type="spellStart"/>
      <w:proofErr w:type="gramStart"/>
      <w:r w:rsidR="005657B1" w:rsidRPr="005657B1">
        <w:t>Babu</w:t>
      </w:r>
      <w:proofErr w:type="spellEnd"/>
      <w:r w:rsidR="005657B1" w:rsidRPr="005657B1">
        <w:t xml:space="preserve"> &amp;</w:t>
      </w:r>
      <w:proofErr w:type="gramEnd"/>
      <w:r w:rsidR="005657B1" w:rsidRPr="005657B1">
        <w:t xml:space="preserve"> </w:t>
      </w:r>
      <w:proofErr w:type="spellStart"/>
      <w:r w:rsidR="005657B1" w:rsidRPr="005657B1">
        <w:t>Patoju</w:t>
      </w:r>
      <w:proofErr w:type="spellEnd"/>
      <w:r w:rsidR="005657B1" w:rsidRPr="005657B1">
        <w:t>, 2021</w:t>
      </w:r>
      <w:r w:rsidR="006D0D72">
        <w:t>)</w:t>
      </w:r>
      <w:r w:rsidRPr="00D91BDF">
        <w:t>.</w:t>
      </w:r>
    </w:p>
    <w:p w14:paraId="17F8928F" w14:textId="5E1F748A" w:rsidR="00D91BDF" w:rsidRPr="00D91BDF" w:rsidRDefault="00D91BDF" w:rsidP="00D91BDF">
      <w:pPr>
        <w:spacing w:before="240" w:after="240" w:line="360" w:lineRule="auto"/>
        <w:jc w:val="both"/>
      </w:pPr>
      <w:r w:rsidRPr="00D91BDF">
        <w:t xml:space="preserve">This study aims to evaluate the economic performance of maize cultivation among KHFPCL members and non-members in </w:t>
      </w:r>
      <w:proofErr w:type="spellStart"/>
      <w:r w:rsidRPr="00D91BDF">
        <w:t>Kollegala</w:t>
      </w:r>
      <w:proofErr w:type="spellEnd"/>
      <w:r w:rsidRPr="00D91BDF">
        <w:t xml:space="preserve">, Karnataka. By </w:t>
      </w:r>
      <w:proofErr w:type="spellStart"/>
      <w:r w:rsidRPr="00D91BDF">
        <w:t>analyzing</w:t>
      </w:r>
      <w:proofErr w:type="spellEnd"/>
      <w:r w:rsidRPr="00D91BDF">
        <w:t xml:space="preserve"> key cost components such as </w:t>
      </w:r>
      <w:proofErr w:type="spellStart"/>
      <w:r w:rsidRPr="00D91BDF">
        <w:t>labor</w:t>
      </w:r>
      <w:proofErr w:type="spellEnd"/>
      <w:r w:rsidRPr="00D91BDF">
        <w:t>, seeds, fertilizers and PPC, the study seeks to highlight the financial benefits of FPC membership</w:t>
      </w:r>
      <w:r w:rsidR="005657B1">
        <w:t xml:space="preserve"> (</w:t>
      </w:r>
      <w:r w:rsidR="005657B1" w:rsidRPr="00DB7238">
        <w:t>Anand</w:t>
      </w:r>
      <w:r w:rsidR="005657B1">
        <w:t xml:space="preserve"> et al., 2025)</w:t>
      </w:r>
      <w:r w:rsidRPr="00D91BDF">
        <w:t>. The KHFPCL model enables farmers to optimize costs through collective procurement and better resource management, significantly enhancing their profitability. This research contributes to the growing body of knowledge on the economic advantages of farmer collectives and underscores the transformative potential of FPCs in strengthening smallholder agriculture in India</w:t>
      </w:r>
      <w:r w:rsidR="00797C08">
        <w:t xml:space="preserve"> (</w:t>
      </w:r>
      <w:r w:rsidR="00797C08" w:rsidRPr="006D0D72">
        <w:t>Kotyal</w:t>
      </w:r>
      <w:r w:rsidR="00797C08">
        <w:t>, 2025)</w:t>
      </w:r>
      <w:r w:rsidRPr="00D91BDF">
        <w:t>.</w:t>
      </w:r>
    </w:p>
    <w:p w14:paraId="413F70C9" w14:textId="0399DB78" w:rsidR="00830B6A" w:rsidRPr="00E51952" w:rsidRDefault="00AF09A1" w:rsidP="00830B6A">
      <w:pPr>
        <w:spacing w:before="240" w:after="240" w:line="360" w:lineRule="auto"/>
        <w:jc w:val="both"/>
        <w:rPr>
          <w:b/>
          <w:bCs/>
        </w:rPr>
      </w:pPr>
      <w:r>
        <w:rPr>
          <w:b/>
          <w:bCs/>
        </w:rPr>
        <w:t xml:space="preserve">2. </w:t>
      </w:r>
      <w:r w:rsidR="00830B6A" w:rsidRPr="00E51952">
        <w:rPr>
          <w:b/>
          <w:bCs/>
        </w:rPr>
        <w:t>Materials and Methods</w:t>
      </w:r>
    </w:p>
    <w:p w14:paraId="5E1E5DDF" w14:textId="630A961A" w:rsidR="00830B6A" w:rsidRDefault="00830B6A" w:rsidP="00830B6A">
      <w:pPr>
        <w:spacing w:before="240" w:after="240" w:line="360" w:lineRule="auto"/>
        <w:jc w:val="both"/>
      </w:pPr>
      <w:r w:rsidRPr="00830B6A">
        <w:lastRenderedPageBreak/>
        <w:t xml:space="preserve">The present study was conducted in the </w:t>
      </w:r>
      <w:proofErr w:type="spellStart"/>
      <w:r w:rsidRPr="00830B6A">
        <w:t>Kollegala</w:t>
      </w:r>
      <w:proofErr w:type="spellEnd"/>
      <w:r w:rsidRPr="00830B6A">
        <w:t xml:space="preserve"> region of Karnataka, a well-known maize-growing area characterized by significant production and active participation of farmers in Farmer Producer Companies (FPCs). Data were collected from </w:t>
      </w:r>
      <w:r>
        <w:t>160</w:t>
      </w:r>
      <w:r w:rsidRPr="00830B6A">
        <w:t xml:space="preserve"> maize farmers, comprising </w:t>
      </w:r>
      <w:r>
        <w:t>8</w:t>
      </w:r>
      <w:r w:rsidRPr="00830B6A">
        <w:t xml:space="preserve">0 members of the </w:t>
      </w:r>
      <w:proofErr w:type="spellStart"/>
      <w:r w:rsidRPr="00830B6A">
        <w:t>Kollegala</w:t>
      </w:r>
      <w:proofErr w:type="spellEnd"/>
      <w:r w:rsidRPr="00830B6A">
        <w:t xml:space="preserve"> Horticulture Farmer Producer Company Limited (KHFPCL) and </w:t>
      </w:r>
      <w:r>
        <w:t>8</w:t>
      </w:r>
      <w:r w:rsidRPr="00830B6A">
        <w:t>0 non-members. A structured interview schedule was used to capture detailed information on input costs, yields</w:t>
      </w:r>
      <w:r w:rsidR="008657A5">
        <w:t xml:space="preserve"> and</w:t>
      </w:r>
      <w:r w:rsidRPr="00830B6A">
        <w:t xml:space="preserve"> cultivation practices. The data covered multiple growing seasons to ensure a comprehensive and accurate analysis of the cost structure and profitability of maize cultivation.</w:t>
      </w:r>
    </w:p>
    <w:p w14:paraId="09973438" w14:textId="3F5D3EE6" w:rsidR="00B6541A" w:rsidRPr="00830B6A" w:rsidRDefault="00B6541A" w:rsidP="00B6541A">
      <w:pPr>
        <w:spacing w:before="240" w:after="240" w:line="360" w:lineRule="auto"/>
        <w:jc w:val="both"/>
      </w:pPr>
      <w:r w:rsidRPr="00B6541A">
        <w:t xml:space="preserve">To minimize selection bias, a stratified random sampling method was employed, ensuring equal representation of both members and non-members of the </w:t>
      </w:r>
      <w:proofErr w:type="spellStart"/>
      <w:r w:rsidRPr="00B6541A">
        <w:t>Kollegala</w:t>
      </w:r>
      <w:proofErr w:type="spellEnd"/>
      <w:r w:rsidRPr="00B6541A">
        <w:t xml:space="preserve"> Horticulture Farmer Producer Company Limited (KHFPCL) across different farm sizes and geographic locations. The list of KHFPCL members was obtained directly from the KHFPCL, while data on non-members were collected independently to capture a balanced perspective. The questionnaire was pre-tested and refined based on expert feedback to mitigate response bias and ensure the reliability and consistency of the data collected. These measures ensured a systematic and unbiased data collection process, providing a strong foundation for the subsequent analysis.</w:t>
      </w:r>
    </w:p>
    <w:p w14:paraId="4E0416FE" w14:textId="7B25C721" w:rsidR="00830B6A" w:rsidRPr="00830B6A" w:rsidRDefault="00830B6A" w:rsidP="00830B6A">
      <w:pPr>
        <w:spacing w:before="240" w:after="240" w:line="360" w:lineRule="auto"/>
        <w:jc w:val="both"/>
      </w:pPr>
      <w:r w:rsidRPr="00830B6A">
        <w:t xml:space="preserve">The cost of cultivation (COC) for maize was calculated following standard agricultural economics methodologies. Costs were categorized into variable costs and fixed costs. Variable costs included expenditures on human </w:t>
      </w:r>
      <w:proofErr w:type="spellStart"/>
      <w:r w:rsidRPr="00830B6A">
        <w:t>labor</w:t>
      </w:r>
      <w:proofErr w:type="spellEnd"/>
      <w:r w:rsidRPr="00830B6A">
        <w:t xml:space="preserve">, machine </w:t>
      </w:r>
      <w:proofErr w:type="spellStart"/>
      <w:r w:rsidRPr="00830B6A">
        <w:t>labor</w:t>
      </w:r>
      <w:proofErr w:type="spellEnd"/>
      <w:r w:rsidRPr="00830B6A">
        <w:t>, seeds, fertilizers, plant protection chemicals (PPC)</w:t>
      </w:r>
      <w:r w:rsidR="008657A5">
        <w:t xml:space="preserve"> and</w:t>
      </w:r>
      <w:r w:rsidRPr="00830B6A">
        <w:t xml:space="preserve"> interest on working capital. Fixed costs accounted for depreciation of machinery, land rent</w:t>
      </w:r>
      <w:r w:rsidR="008657A5">
        <w:t xml:space="preserve"> and</w:t>
      </w:r>
      <w:r w:rsidRPr="00830B6A">
        <w:t xml:space="preserve"> other miscellaneous expenses such as irrigation infrastructure maintenance.</w:t>
      </w:r>
    </w:p>
    <w:p w14:paraId="0DF2E618" w14:textId="4EE62F8C" w:rsidR="00830B6A" w:rsidRPr="00830B6A" w:rsidRDefault="00AF09A1" w:rsidP="00830B6A">
      <w:pPr>
        <w:spacing w:before="240" w:after="240" w:line="360" w:lineRule="auto"/>
        <w:jc w:val="both"/>
      </w:pPr>
      <w:r>
        <w:rPr>
          <w:b/>
          <w:bCs/>
        </w:rPr>
        <w:t xml:space="preserve">2.1 </w:t>
      </w:r>
      <w:r w:rsidR="00830B6A" w:rsidRPr="00830B6A">
        <w:rPr>
          <w:b/>
          <w:bCs/>
        </w:rPr>
        <w:t>Variable Costs</w:t>
      </w:r>
    </w:p>
    <w:p w14:paraId="6B5EF5F7" w14:textId="44FBC19D" w:rsidR="00830B6A" w:rsidRPr="00830B6A" w:rsidRDefault="00830B6A" w:rsidP="00830B6A">
      <w:pPr>
        <w:spacing w:before="240" w:after="240" w:line="360" w:lineRule="auto"/>
        <w:jc w:val="both"/>
      </w:pPr>
      <w:r w:rsidRPr="00830B6A">
        <w:t xml:space="preserve">The variable costs in maize cultivation include several key components essential for ensuring productive and efficient farming. Human </w:t>
      </w:r>
      <w:proofErr w:type="spellStart"/>
      <w:r w:rsidRPr="00830B6A">
        <w:t>labor</w:t>
      </w:r>
      <w:proofErr w:type="spellEnd"/>
      <w:r w:rsidRPr="00830B6A">
        <w:t xml:space="preserve"> costs are calculated based on the number of man-days required for various agricultural activities such as land preparation, sowing, weeding</w:t>
      </w:r>
      <w:r w:rsidR="008657A5">
        <w:t xml:space="preserve"> and</w:t>
      </w:r>
      <w:r w:rsidRPr="00830B6A">
        <w:t xml:space="preserve"> harvesting, multiplied by the prevailing wage rate in the region. Machine </w:t>
      </w:r>
      <w:proofErr w:type="spellStart"/>
      <w:r w:rsidRPr="00830B6A">
        <w:t>labor</w:t>
      </w:r>
      <w:proofErr w:type="spellEnd"/>
      <w:r w:rsidRPr="00830B6A">
        <w:t xml:space="preserve"> costs are determined by the total hours of machinery usage for operations like </w:t>
      </w:r>
      <w:proofErr w:type="spellStart"/>
      <w:r w:rsidRPr="00830B6A">
        <w:t>plowing</w:t>
      </w:r>
      <w:proofErr w:type="spellEnd"/>
      <w:r w:rsidRPr="00830B6A">
        <w:t>, tilling</w:t>
      </w:r>
      <w:r w:rsidR="008657A5">
        <w:t xml:space="preserve"> and</w:t>
      </w:r>
      <w:r w:rsidRPr="00830B6A">
        <w:t xml:space="preserve"> threshing, along with the hourly rental rate for the equipment. Seed costs are estimated by considering the quantity of maize seeds used per acre and their market price per kilogram. Fertilizer expenses encompass both organic and chemical fertilizers, including essential </w:t>
      </w:r>
      <w:r w:rsidRPr="00830B6A">
        <w:lastRenderedPageBreak/>
        <w:t>nutrients like Diammonium Phosphate (DAP), Urea, Muriate of Potash (MOP)</w:t>
      </w:r>
      <w:r w:rsidR="008657A5">
        <w:t xml:space="preserve"> and</w:t>
      </w:r>
      <w:r w:rsidRPr="00830B6A">
        <w:t xml:space="preserve"> micronutrients such as Zinc and Boron, all of which play a critical role in enhancing crop productivity and quality. Additionally, the costs for plant protection chemicals (PPC) cover the expenditure on pesticides and bio-fertilizers aimed at safeguarding the maize crop from pests and diseases, ensuring healthy growth and optimal yields</w:t>
      </w:r>
      <w:r w:rsidR="00797C08">
        <w:t xml:space="preserve"> (Kumar et al., 2023</w:t>
      </w:r>
      <w:r w:rsidR="00EC7094">
        <w:t xml:space="preserve">; </w:t>
      </w:r>
      <w:r w:rsidR="00EC7094" w:rsidRPr="00374CD9">
        <w:t>Hajong</w:t>
      </w:r>
      <w:r w:rsidR="00EC7094">
        <w:t xml:space="preserve"> et al., 2024</w:t>
      </w:r>
      <w:r w:rsidR="00797C08">
        <w:t>)</w:t>
      </w:r>
      <w:r w:rsidRPr="00830B6A">
        <w:t>.</w:t>
      </w:r>
    </w:p>
    <w:p w14:paraId="33A189B5" w14:textId="3A043807" w:rsidR="00830B6A" w:rsidRDefault="00AF09A1" w:rsidP="00830B6A">
      <w:pPr>
        <w:spacing w:before="240" w:after="240" w:line="360" w:lineRule="auto"/>
        <w:jc w:val="both"/>
        <w:rPr>
          <w:b/>
          <w:bCs/>
        </w:rPr>
      </w:pPr>
      <w:r>
        <w:rPr>
          <w:b/>
          <w:bCs/>
        </w:rPr>
        <w:t xml:space="preserve">2.2 </w:t>
      </w:r>
      <w:r w:rsidR="00830B6A" w:rsidRPr="00830B6A">
        <w:rPr>
          <w:b/>
          <w:bCs/>
        </w:rPr>
        <w:t>Data Analysis</w:t>
      </w:r>
    </w:p>
    <w:p w14:paraId="1D03FEE9" w14:textId="61F56141" w:rsidR="00830B6A" w:rsidRPr="00830B6A" w:rsidRDefault="00830B6A" w:rsidP="00830B6A">
      <w:pPr>
        <w:spacing w:before="240" w:after="240" w:line="360" w:lineRule="auto"/>
        <w:jc w:val="both"/>
      </w:pPr>
      <w:r w:rsidRPr="00830B6A">
        <w:t>Descriptive statistics were used to summarize and compare the costs of cultivation between KHFPCL members and non-members. Total variable and fixed costs were computed</w:t>
      </w:r>
      <w:r w:rsidR="008657A5">
        <w:t xml:space="preserve"> and</w:t>
      </w:r>
      <w:r w:rsidRPr="00830B6A">
        <w:t xml:space="preserve"> gross returns were estimated by multiplying the yield per acre by the prevailing market price. Net returns were calculated by subtracting the total cost of cultivation from the gross returns.</w:t>
      </w:r>
    </w:p>
    <w:p w14:paraId="3D56EDDD" w14:textId="77777777" w:rsidR="00830B6A" w:rsidRPr="00830B6A" w:rsidRDefault="00830B6A" w:rsidP="00830B6A">
      <w:pPr>
        <w:spacing w:before="240" w:after="240" w:line="360" w:lineRule="auto"/>
        <w:jc w:val="both"/>
      </w:pPr>
      <w:r w:rsidRPr="00830B6A">
        <w:t>To assess the financial benefits of KHFPCL membership, a t-test was performed to determine the statistical significance of differences in the cost of cultivation between members and non-members. The impact of KHFPCL on reducing cultivation costs and enhancing profitability was calculated as a percentage difference between the two groups.</w:t>
      </w:r>
    </w:p>
    <w:p w14:paraId="1334179F" w14:textId="4DA7D0DB" w:rsidR="00830B6A" w:rsidRDefault="00AF09A1" w:rsidP="00830B6A">
      <w:pPr>
        <w:spacing w:before="240" w:after="240" w:line="360" w:lineRule="auto"/>
        <w:jc w:val="both"/>
        <w:rPr>
          <w:b/>
          <w:bCs/>
        </w:rPr>
      </w:pPr>
      <w:r>
        <w:rPr>
          <w:b/>
          <w:bCs/>
        </w:rPr>
        <w:t xml:space="preserve">2.3 </w:t>
      </w:r>
      <w:r w:rsidR="00830B6A" w:rsidRPr="00830B6A">
        <w:rPr>
          <w:b/>
          <w:bCs/>
        </w:rPr>
        <w:t>Impact of KHFPCL (%)</w:t>
      </w:r>
    </w:p>
    <w:p w14:paraId="4AEFFA1F" w14:textId="2E941AC9" w:rsidR="00830B6A" w:rsidRDefault="00830B6A" w:rsidP="00830B6A">
      <w:pPr>
        <w:spacing w:before="240" w:after="240" w:line="360" w:lineRule="auto"/>
        <w:jc w:val="both"/>
      </w:pPr>
      <w:r w:rsidRPr="00830B6A">
        <w:t xml:space="preserve">The impact of KHFPCL membership on reducing the cost of cultivation was measured </w:t>
      </w:r>
      <w:r w:rsidR="00EC7094">
        <w:t>(</w:t>
      </w:r>
      <w:r w:rsidR="00EC7094" w:rsidRPr="006D0D72">
        <w:t>Kotyal</w:t>
      </w:r>
      <w:r w:rsidR="00EC7094">
        <w:t>, 2025)</w:t>
      </w:r>
      <w:r w:rsidR="00EC7094" w:rsidRPr="00D91BDF">
        <w:t>.</w:t>
      </w:r>
    </w:p>
    <w:p w14:paraId="28BE8591" w14:textId="24CA0385" w:rsidR="00830B6A" w:rsidRPr="00830B6A" w:rsidRDefault="00830B6A" w:rsidP="00830B6A">
      <w:pPr>
        <w:spacing w:before="240" w:after="240" w:line="360" w:lineRule="auto"/>
        <w:jc w:val="both"/>
      </w:pPr>
      <m:oMathPara>
        <m:oMath>
          <m:r>
            <m:rPr>
              <m:sty m:val="p"/>
            </m:rPr>
            <w:rPr>
              <w:rStyle w:val="mord"/>
              <w:rFonts w:ascii="Cambria Math" w:hAnsi="Cambria Math"/>
            </w:rPr>
            <m:t>Impact of KHFPC </m:t>
          </m:r>
          <m:d>
            <m:dPr>
              <m:ctrlPr>
                <w:rPr>
                  <w:rStyle w:val="mord"/>
                  <w:rFonts w:ascii="Cambria Math" w:hAnsi="Cambria Math"/>
                </w:rPr>
              </m:ctrlPr>
            </m:dPr>
            <m:e>
              <m:r>
                <m:rPr>
                  <m:sty m:val="p"/>
                </m:rPr>
                <w:rPr>
                  <w:rStyle w:val="mord"/>
                  <w:rFonts w:ascii="Cambria Math" w:hAnsi="Cambria Math"/>
                </w:rPr>
                <m:t>%</m:t>
              </m:r>
            </m:e>
          </m:d>
          <m:r>
            <m:rPr>
              <m:sty m:val="p"/>
            </m:rPr>
            <w:rPr>
              <w:rFonts w:ascii="Cambria Math" w:hAnsi="Cambria Math"/>
            </w:rPr>
            <m:t>=</m:t>
          </m:r>
          <m:f>
            <m:fPr>
              <m:ctrlPr>
                <w:rPr>
                  <w:rFonts w:ascii="Cambria Math" w:hAnsi="Cambria Math"/>
                </w:rPr>
              </m:ctrlPr>
            </m:fPr>
            <m:num>
              <m:r>
                <m:rPr>
                  <m:sty m:val="p"/>
                </m:rPr>
                <w:rPr>
                  <w:rStyle w:val="mord"/>
                  <w:rFonts w:ascii="Cambria Math" w:hAnsi="Cambria Math"/>
                </w:rPr>
                <m:t xml:space="preserve">COC </m:t>
              </m:r>
              <m:d>
                <m:dPr>
                  <m:ctrlPr>
                    <w:rPr>
                      <w:rStyle w:val="mord"/>
                      <w:rFonts w:ascii="Cambria Math" w:hAnsi="Cambria Math"/>
                    </w:rPr>
                  </m:ctrlPr>
                </m:dPr>
                <m:e>
                  <m:r>
                    <m:rPr>
                      <m:sty m:val="p"/>
                    </m:rPr>
                    <w:rPr>
                      <w:rStyle w:val="mord"/>
                      <w:rFonts w:ascii="Cambria Math" w:hAnsi="Cambria Math"/>
                    </w:rPr>
                    <m:t>Non-members</m:t>
                  </m:r>
                </m:e>
              </m:d>
              <m:r>
                <m:rPr>
                  <m:sty m:val="p"/>
                </m:rPr>
                <w:rPr>
                  <w:rStyle w:val="mbin"/>
                  <w:rFonts w:ascii="Cambria Math" w:hAnsi="Cambria Math"/>
                </w:rPr>
                <m:t>-</m:t>
              </m:r>
              <m:r>
                <m:rPr>
                  <m:sty m:val="p"/>
                </m:rPr>
                <w:rPr>
                  <w:rStyle w:val="mord"/>
                  <w:rFonts w:ascii="Cambria Math" w:hAnsi="Cambria Math"/>
                </w:rPr>
                <m:t>COC </m:t>
              </m:r>
              <m:d>
                <m:dPr>
                  <m:ctrlPr>
                    <w:rPr>
                      <w:rStyle w:val="mord"/>
                      <w:rFonts w:ascii="Cambria Math" w:hAnsi="Cambria Math"/>
                    </w:rPr>
                  </m:ctrlPr>
                </m:dPr>
                <m:e>
                  <m:r>
                    <m:rPr>
                      <m:sty m:val="p"/>
                    </m:rPr>
                    <w:rPr>
                      <w:rStyle w:val="mord"/>
                      <w:rFonts w:ascii="Cambria Math" w:hAnsi="Cambria Math"/>
                    </w:rPr>
                    <m:t>Members</m:t>
                  </m:r>
                </m:e>
              </m:d>
            </m:num>
            <m:den>
              <m:r>
                <m:rPr>
                  <m:sty m:val="p"/>
                </m:rPr>
                <w:rPr>
                  <w:rStyle w:val="mord"/>
                  <w:rFonts w:ascii="Cambria Math" w:hAnsi="Cambria Math"/>
                </w:rPr>
                <m:t>COC</m:t>
              </m:r>
              <m:d>
                <m:dPr>
                  <m:ctrlPr>
                    <w:rPr>
                      <w:rStyle w:val="mord"/>
                      <w:rFonts w:ascii="Cambria Math" w:hAnsi="Cambria Math"/>
                    </w:rPr>
                  </m:ctrlPr>
                </m:dPr>
                <m:e>
                  <m:r>
                    <m:rPr>
                      <m:sty m:val="p"/>
                    </m:rPr>
                    <w:rPr>
                      <w:rStyle w:val="mord"/>
                      <w:rFonts w:ascii="Cambria Math" w:hAnsi="Cambria Math"/>
                    </w:rPr>
                    <m:t>Non-members</m:t>
                  </m:r>
                </m:e>
              </m:d>
            </m:den>
          </m:f>
          <m:r>
            <w:rPr>
              <w:rFonts w:ascii="Cambria Math" w:hAnsi="Cambria Math"/>
            </w:rPr>
            <m:t>×100</m:t>
          </m:r>
        </m:oMath>
      </m:oMathPara>
    </w:p>
    <w:p w14:paraId="17EA9720" w14:textId="668D1692" w:rsidR="00830B6A" w:rsidRDefault="00AF09A1" w:rsidP="00830B6A">
      <w:pPr>
        <w:spacing w:before="240" w:after="240" w:line="360" w:lineRule="auto"/>
        <w:jc w:val="both"/>
        <w:rPr>
          <w:b/>
          <w:bCs/>
        </w:rPr>
      </w:pPr>
      <w:r>
        <w:rPr>
          <w:b/>
          <w:bCs/>
        </w:rPr>
        <w:t xml:space="preserve">2.4 </w:t>
      </w:r>
      <w:r w:rsidR="00830B6A" w:rsidRPr="00830B6A">
        <w:rPr>
          <w:b/>
          <w:bCs/>
        </w:rPr>
        <w:t>t-Statistic Calculation</w:t>
      </w:r>
    </w:p>
    <w:p w14:paraId="1165A292" w14:textId="18372DF4" w:rsidR="00830B6A" w:rsidRPr="00830B6A" w:rsidRDefault="00830B6A" w:rsidP="00830B6A">
      <w:pPr>
        <w:spacing w:before="240" w:after="240" w:line="360" w:lineRule="auto"/>
        <w:jc w:val="both"/>
      </w:pPr>
      <w:r w:rsidRPr="00830B6A">
        <w:t>The t-statistic was calculated to assess the significance of the difference in costs between KHFPCL members and non-members using the formula:</w:t>
      </w:r>
    </w:p>
    <w:p w14:paraId="42D153D6" w14:textId="2FB4E829" w:rsidR="00830B6A" w:rsidRDefault="00830B6A" w:rsidP="00830B6A">
      <w:pPr>
        <w:spacing w:before="240" w:after="240" w:line="360" w:lineRule="auto"/>
        <w:jc w:val="both"/>
      </w:pPr>
      <m:oMathPara>
        <m:oMath>
          <m:r>
            <m:rPr>
              <m:sty m:val="p"/>
            </m:rPr>
            <w:rPr>
              <w:rFonts w:ascii="Cambria Math" w:hAnsi="Cambria Math" w:cs="Cambria Math"/>
            </w:rPr>
            <m:t>t=</m:t>
          </m:r>
          <m:f>
            <m:fPr>
              <m:ctrlPr>
                <w:rPr>
                  <w:rFonts w:ascii="Cambria Math" w:hAnsi="Cambria Math"/>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2</m:t>
                  </m:r>
                </m:sub>
              </m:sSub>
            </m:num>
            <m:den>
              <m:rad>
                <m:radPr>
                  <m:degHide m:val="1"/>
                  <m:ctrlPr>
                    <w:rPr>
                      <w:rFonts w:ascii="Cambria Math" w:hAnsi="Cambria Math"/>
                    </w:rPr>
                  </m:ctrlPr>
                </m:radPr>
                <m:deg/>
                <m:e>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S</m:t>
                              </m:r>
                            </m:e>
                            <m:sub>
                              <m:r>
                                <w:rPr>
                                  <w:rFonts w:ascii="Cambria Math" w:hAnsi="Cambria Math"/>
                                </w:rPr>
                                <m:t>1</m:t>
                              </m:r>
                            </m:sub>
                            <m:sup>
                              <m:r>
                                <w:rPr>
                                  <w:rFonts w:ascii="Cambria Math" w:hAnsi="Cambria Math"/>
                                </w:rPr>
                                <m:t>2</m:t>
                              </m:r>
                            </m:sup>
                          </m:sSubSup>
                        </m:num>
                        <m:den>
                          <m:sSub>
                            <m:sSubPr>
                              <m:ctrlPr>
                                <w:rPr>
                                  <w:rFonts w:ascii="Cambria Math" w:hAnsi="Cambria Math"/>
                                  <w:i/>
                                </w:rPr>
                              </m:ctrlPr>
                            </m:sSubPr>
                            <m:e>
                              <m:r>
                                <w:rPr>
                                  <w:rFonts w:ascii="Cambria Math" w:hAnsi="Cambria Math"/>
                                </w:rPr>
                                <m:t>n</m:t>
                              </m:r>
                            </m:e>
                            <m:sub>
                              <m:r>
                                <w:rPr>
                                  <w:rFonts w:ascii="Cambria Math" w:hAnsi="Cambria Math"/>
                                </w:rPr>
                                <m:t>1</m:t>
                              </m:r>
                            </m:sub>
                          </m:sSub>
                        </m:den>
                      </m:f>
                    </m:e>
                  </m:d>
                  <m:r>
                    <m:rPr>
                      <m:sty m:val="p"/>
                    </m:rPr>
                    <w:rPr>
                      <w:rFonts w:ascii="Cambria Math" w:hAnsi="Cambria Math" w:cs="Cambria Math"/>
                    </w:rPr>
                    <m:t>+</m:t>
                  </m:r>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S</m:t>
                              </m:r>
                            </m:e>
                            <m:sub>
                              <m:r>
                                <w:rPr>
                                  <w:rFonts w:ascii="Cambria Math" w:hAnsi="Cambria Math"/>
                                </w:rPr>
                                <m:t>2</m:t>
                              </m:r>
                            </m:sub>
                            <m:sup>
                              <m:r>
                                <w:rPr>
                                  <w:rFonts w:ascii="Cambria Math" w:hAnsi="Cambria Math"/>
                                </w:rPr>
                                <m:t>2</m:t>
                              </m:r>
                            </m:sup>
                          </m:sSubSup>
                        </m:num>
                        <m:den>
                          <m:sSub>
                            <m:sSubPr>
                              <m:ctrlPr>
                                <w:rPr>
                                  <w:rFonts w:ascii="Cambria Math" w:hAnsi="Cambria Math"/>
                                  <w:i/>
                                </w:rPr>
                              </m:ctrlPr>
                            </m:sSubPr>
                            <m:e>
                              <m:r>
                                <w:rPr>
                                  <w:rFonts w:ascii="Cambria Math" w:hAnsi="Cambria Math"/>
                                </w:rPr>
                                <m:t>n</m:t>
                              </m:r>
                            </m:e>
                            <m:sub>
                              <m:r>
                                <w:rPr>
                                  <w:rFonts w:ascii="Cambria Math" w:hAnsi="Cambria Math"/>
                                </w:rPr>
                                <m:t>2</m:t>
                              </m:r>
                            </m:sub>
                          </m:sSub>
                        </m:den>
                      </m:f>
                    </m:e>
                  </m:d>
                </m:e>
              </m:rad>
            </m:den>
          </m:f>
        </m:oMath>
      </m:oMathPara>
    </w:p>
    <w:p w14:paraId="2659A349" w14:textId="3B3D8984" w:rsidR="00830B6A" w:rsidRPr="00830B6A" w:rsidRDefault="00830B6A" w:rsidP="00830B6A">
      <w:pPr>
        <w:spacing w:before="240" w:after="240" w:line="360" w:lineRule="auto"/>
        <w:jc w:val="both"/>
      </w:pPr>
      <w:r w:rsidRPr="00830B6A">
        <w:t>Where:</w:t>
      </w:r>
    </w:p>
    <w:p w14:paraId="0D81892C" w14:textId="77777777" w:rsidR="00830B6A" w:rsidRPr="0071406D" w:rsidRDefault="00F32C68" w:rsidP="00830B6A">
      <w:pPr>
        <w:numPr>
          <w:ilvl w:val="0"/>
          <w:numId w:val="3"/>
        </w:numPr>
        <w:spacing w:before="240" w:after="240" w:line="360" w:lineRule="auto"/>
        <w:jc w:val="both"/>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1</m:t>
            </m:r>
          </m:sub>
        </m:sSub>
      </m:oMath>
      <w:r w:rsidR="00830B6A" w:rsidRPr="0071406D">
        <w:t>= Mean COC for KHFPC members</w:t>
      </w:r>
    </w:p>
    <w:p w14:paraId="3D78284A" w14:textId="77777777" w:rsidR="00830B6A" w:rsidRPr="0071406D" w:rsidRDefault="00F32C68" w:rsidP="00830B6A">
      <w:pPr>
        <w:numPr>
          <w:ilvl w:val="0"/>
          <w:numId w:val="3"/>
        </w:numPr>
        <w:spacing w:before="240" w:after="240" w:line="360" w:lineRule="auto"/>
        <w:jc w:val="both"/>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2</m:t>
            </m:r>
          </m:sub>
        </m:sSub>
      </m:oMath>
      <w:r w:rsidR="00830B6A" w:rsidRPr="0071406D">
        <w:t xml:space="preserve"> = Mean COC for non-members</w:t>
      </w:r>
    </w:p>
    <w:p w14:paraId="45AE676A" w14:textId="77777777" w:rsidR="00830B6A" w:rsidRPr="0071406D" w:rsidRDefault="00F32C68" w:rsidP="00830B6A">
      <w:pPr>
        <w:numPr>
          <w:ilvl w:val="0"/>
          <w:numId w:val="3"/>
        </w:numPr>
        <w:spacing w:before="240" w:after="240" w:line="360" w:lineRule="auto"/>
        <w:jc w:val="both"/>
      </w:pPr>
      <m:oMath>
        <m:sSubSup>
          <m:sSubSupPr>
            <m:ctrlPr>
              <w:rPr>
                <w:rFonts w:ascii="Cambria Math" w:hAnsi="Cambria Math"/>
              </w:rPr>
            </m:ctrlPr>
          </m:sSubSupPr>
          <m:e>
            <m:r>
              <w:rPr>
                <w:rFonts w:ascii="Cambria Math" w:hAnsi="Cambria Math"/>
              </w:rPr>
              <m:t>S</m:t>
            </m:r>
          </m:e>
          <m:sub>
            <m:r>
              <w:rPr>
                <w:rFonts w:ascii="Cambria Math" w:hAnsi="Cambria Math"/>
              </w:rPr>
              <m:t>1</m:t>
            </m:r>
          </m:sub>
          <m:sup>
            <m:r>
              <w:rPr>
                <w:rFonts w:ascii="Cambria Math" w:hAnsi="Cambria Math"/>
              </w:rPr>
              <m:t>2</m:t>
            </m:r>
          </m:sup>
        </m:sSubSup>
      </m:oMath>
      <w:r w:rsidR="00830B6A" w:rsidRPr="0071406D">
        <w:t xml:space="preserve"> = Variance in COC for KHFPC members</w:t>
      </w:r>
    </w:p>
    <w:p w14:paraId="4EC220C1" w14:textId="77777777" w:rsidR="00830B6A" w:rsidRPr="0071406D" w:rsidRDefault="00F32C68" w:rsidP="00830B6A">
      <w:pPr>
        <w:numPr>
          <w:ilvl w:val="0"/>
          <w:numId w:val="3"/>
        </w:numPr>
        <w:spacing w:before="240" w:after="240" w:line="360" w:lineRule="auto"/>
        <w:jc w:val="both"/>
      </w:pPr>
      <m:oMath>
        <m:sSubSup>
          <m:sSubSupPr>
            <m:ctrlPr>
              <w:rPr>
                <w:rFonts w:ascii="Cambria Math" w:hAnsi="Cambria Math"/>
              </w:rPr>
            </m:ctrlPr>
          </m:sSubSupPr>
          <m:e>
            <m:r>
              <w:rPr>
                <w:rFonts w:ascii="Cambria Math" w:hAnsi="Cambria Math"/>
              </w:rPr>
              <m:t>S</m:t>
            </m:r>
          </m:e>
          <m:sub>
            <m:r>
              <w:rPr>
                <w:rFonts w:ascii="Cambria Math" w:hAnsi="Cambria Math"/>
              </w:rPr>
              <m:t>2</m:t>
            </m:r>
          </m:sub>
          <m:sup>
            <m:r>
              <w:rPr>
                <w:rFonts w:ascii="Cambria Math" w:hAnsi="Cambria Math"/>
              </w:rPr>
              <m:t>2</m:t>
            </m:r>
          </m:sup>
        </m:sSubSup>
      </m:oMath>
      <w:r w:rsidR="00830B6A" w:rsidRPr="0071406D">
        <w:t>= Variance in COC for non-members</w:t>
      </w:r>
    </w:p>
    <w:p w14:paraId="086F5E63" w14:textId="343129EB" w:rsidR="00830B6A" w:rsidRDefault="00F32C68" w:rsidP="00830B6A">
      <w:pPr>
        <w:numPr>
          <w:ilvl w:val="0"/>
          <w:numId w:val="3"/>
        </w:numPr>
        <w:spacing w:before="240" w:after="240" w:line="360" w:lineRule="auto"/>
        <w:jc w:val="both"/>
      </w:pPr>
      <m:oMath>
        <m:sSub>
          <m:sSubPr>
            <m:ctrlPr>
              <w:rPr>
                <w:rFonts w:ascii="Cambria Math" w:hAnsi="Cambria Math"/>
                <w:i/>
              </w:rPr>
            </m:ctrlPr>
          </m:sSubPr>
          <m:e>
            <m:r>
              <w:rPr>
                <w:rFonts w:ascii="Cambria Math" w:hAnsi="Cambria Math"/>
              </w:rPr>
              <m:t>n</m:t>
            </m:r>
          </m:e>
          <m:sub>
            <m:r>
              <w:rPr>
                <w:rFonts w:ascii="Cambria Math" w:hAnsi="Cambria Math"/>
              </w:rPr>
              <m:t>1</m:t>
            </m:r>
          </m:sub>
        </m:sSub>
      </m:oMath>
      <w:r w:rsidR="00830B6A">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00830B6A" w:rsidRPr="0071406D">
        <w:t xml:space="preserve"> = Sample sizes of the two groups (</w:t>
      </w:r>
      <w:r w:rsidR="00830B6A">
        <w:t>8</w:t>
      </w:r>
      <w:r w:rsidR="00830B6A" w:rsidRPr="0071406D">
        <w:t>0 each in this study)</w:t>
      </w:r>
    </w:p>
    <w:p w14:paraId="19063F4E" w14:textId="1C779E24" w:rsidR="005830A3" w:rsidRPr="00830B6A" w:rsidRDefault="005830A3" w:rsidP="005830A3">
      <w:pPr>
        <w:spacing w:before="240" w:after="240" w:line="360" w:lineRule="auto"/>
        <w:jc w:val="both"/>
      </w:pPr>
      <w:r w:rsidRPr="005830A3">
        <w:rPr>
          <w:highlight w:val="yellow"/>
        </w:rPr>
        <w:t xml:space="preserve">To find whether the variation between KHFPCL members and non-members in cost is significant or not, t-statistic was calculated as a reliable measure of comparing the two independent group’s means. Being a prerequisite for the t-test, normality and homogeneity of variances were inspected before applying it to ensure that the findings shall be reliable. The equation for the t-test is given above, where the difference between the </w:t>
      </w:r>
      <w:proofErr w:type="gramStart"/>
      <w:r w:rsidRPr="005830A3">
        <w:rPr>
          <w:highlight w:val="yellow"/>
        </w:rPr>
        <w:t>group</w:t>
      </w:r>
      <w:proofErr w:type="gramEnd"/>
      <w:r w:rsidRPr="005830A3">
        <w:rPr>
          <w:highlight w:val="yellow"/>
        </w:rPr>
        <w:t xml:space="preserve"> means is multiplied by the pooled standard error of the two groups. In this case, the two groups were of equal sample sizes (80 in both groups), which also increased the test's robustness. The calculated t-value and p-value that goes with it were compared to determine if the differences in the costs were statistically significant. This approach enlightened the economic benefit of collective action through KHFPCL membership, verifying its contribution towards cost efficiency and profitability in maize production. The results of t-tests enlighten the economic benefit of FPC membership, verifying if collective action through KHFPCL leads to cost efficiency and increased profitability in maize production.</w:t>
      </w:r>
    </w:p>
    <w:p w14:paraId="56BA0E5D" w14:textId="77777777" w:rsidR="007652F0" w:rsidRDefault="00AF09A1" w:rsidP="00092A50">
      <w:pPr>
        <w:spacing w:line="360" w:lineRule="auto"/>
        <w:jc w:val="both"/>
        <w:rPr>
          <w:b/>
          <w:bCs/>
        </w:rPr>
      </w:pPr>
      <w:r>
        <w:rPr>
          <w:b/>
          <w:bCs/>
        </w:rPr>
        <w:t xml:space="preserve">3. </w:t>
      </w:r>
      <w:r w:rsidR="007652F0">
        <w:rPr>
          <w:b/>
          <w:bCs/>
        </w:rPr>
        <w:t>Result</w:t>
      </w:r>
      <w:r>
        <w:rPr>
          <w:b/>
          <w:bCs/>
        </w:rPr>
        <w:t>s</w:t>
      </w:r>
      <w:r w:rsidR="007652F0">
        <w:rPr>
          <w:b/>
          <w:bCs/>
        </w:rPr>
        <w:t xml:space="preserve"> and Discussion</w:t>
      </w:r>
    </w:p>
    <w:p w14:paraId="2B5C39C5" w14:textId="79FA41C5" w:rsidR="00AF09A1" w:rsidRPr="00AF09A1" w:rsidRDefault="00AF09A1" w:rsidP="00AF09A1">
      <w:pPr>
        <w:spacing w:line="360" w:lineRule="auto"/>
        <w:jc w:val="both"/>
      </w:pPr>
      <w:r w:rsidRPr="00AF09A1">
        <w:t>The economic comparison of maize cultivation between KHFPCL members and non-members highlights notable differences in cost structures, reflecting the advantages of collective participation in farmer organizations. The total cost of maize cultivation for KHFPCL members amounts to ₹31,934.44, which is ₹3,336.20 lower than the ₹35,270.64 incurred by non-members. This reduction of approximately 9.46% in total costs underscores the economic benefits that members derive from collective action, including improved access to resources, institutional support and better bargaining power. These factors enable members to manage production costs more efficiently, ultimately leading to higher profitability and sustainability in maize cultivation</w:t>
      </w:r>
      <w:r w:rsidR="00EC7094">
        <w:t xml:space="preserve"> (</w:t>
      </w:r>
      <w:r w:rsidR="00EC7094" w:rsidRPr="00797C08">
        <w:t>Poudel, 2024</w:t>
      </w:r>
      <w:r w:rsidR="00EC7094">
        <w:t>)</w:t>
      </w:r>
      <w:r w:rsidRPr="00AF09A1">
        <w:t>.</w:t>
      </w:r>
    </w:p>
    <w:p w14:paraId="6A91BD0A" w14:textId="2C16BDCF" w:rsidR="00AF09A1" w:rsidRPr="00AF09A1" w:rsidRDefault="00AF09A1" w:rsidP="00AF09A1">
      <w:pPr>
        <w:spacing w:line="360" w:lineRule="auto"/>
        <w:jc w:val="both"/>
      </w:pPr>
      <w:r w:rsidRPr="00AF09A1">
        <w:lastRenderedPageBreak/>
        <w:t xml:space="preserve">A detailed examination of input costs reveals significant variations between the two groups, with input costs comprising 73.24% of the total expenditure for KHFPCL members and 75.16% for non-members. This results in a cost impact of 31.85% in </w:t>
      </w:r>
      <w:proofErr w:type="spellStart"/>
      <w:r w:rsidRPr="00AF09A1">
        <w:t>favor</w:t>
      </w:r>
      <w:proofErr w:type="spellEnd"/>
      <w:r w:rsidRPr="00AF09A1">
        <w:t xml:space="preserve"> of members, with a highly significant t-statistic of 7.29. Such differences indicate the more efficient cost management practices adopted by KHFPCL members. Among the various input components, the costs of machine </w:t>
      </w:r>
      <w:proofErr w:type="spellStart"/>
      <w:r w:rsidRPr="00AF09A1">
        <w:t>labor</w:t>
      </w:r>
      <w:proofErr w:type="spellEnd"/>
      <w:r w:rsidRPr="00AF09A1">
        <w:t xml:space="preserve">, seeds and fertilizers exhibit the most pronounced disparities. </w:t>
      </w:r>
      <w:r w:rsidR="00B03A3E">
        <w:t>T</w:t>
      </w:r>
      <w:r w:rsidRPr="00AF09A1">
        <w:t xml:space="preserve">he expenditure on machine </w:t>
      </w:r>
      <w:proofErr w:type="spellStart"/>
      <w:r w:rsidRPr="00AF09A1">
        <w:t>labor</w:t>
      </w:r>
      <w:proofErr w:type="spellEnd"/>
      <w:r w:rsidRPr="00AF09A1">
        <w:t xml:space="preserve"> for members stands at ₹1,800, accounting for 5.64% of their total cost, whereas non-members spend ₹2,700, which constitutes 7.66% of their total cost. This translates to a cost impact of 9.19%, supported by a statistically significant t-statistic of 4.85, indicating the cost-efficiency achieved through collective resource utilization and better negotiation capabilities</w:t>
      </w:r>
      <w:r w:rsidR="00B03A3E">
        <w:t xml:space="preserve"> (</w:t>
      </w:r>
      <w:r w:rsidR="00B03A3E" w:rsidRPr="006D0D72">
        <w:t xml:space="preserve">Basavaraj </w:t>
      </w:r>
      <w:r w:rsidR="00B03A3E">
        <w:t>et al., 2022)</w:t>
      </w:r>
      <w:r w:rsidRPr="00AF09A1">
        <w:t>.</w:t>
      </w:r>
    </w:p>
    <w:p w14:paraId="5BF1460E" w14:textId="64459E4A" w:rsidR="00AF09A1" w:rsidRPr="00AF09A1" w:rsidRDefault="00AF09A1" w:rsidP="00AF09A1">
      <w:pPr>
        <w:spacing w:line="360" w:lineRule="auto"/>
        <w:jc w:val="both"/>
      </w:pPr>
      <w:r w:rsidRPr="00AF09A1">
        <w:t>Seed costs also demonstrate considerable differences, with members spending ₹2,800 (8.77% of total cost) compared to ₹3,200 (9.07%) spent by non-members. This results in a cost impact of 4.08% and a statistically significant t-statistic of 3.72. Fertilizer costs reflect consistent savings for KHFPCL members across multiple categories, including organic fertilizers, DAP, urea and MOP. The cost savings are particularly prominent for urea and DAP, with cost impacts of 5.90% and 3.98%, respectively, both supported by highly significant t-statistics. These results suggest that KHFPCL members benefit from better procurement practices, including bulk purchasing and enhanced access to subsidized agricultural inputs</w:t>
      </w:r>
      <w:r w:rsidR="00B03A3E">
        <w:t xml:space="preserve"> </w:t>
      </w:r>
      <w:r w:rsidR="00B03A3E" w:rsidRPr="006D0D72">
        <w:t>(Prakash &amp; Venkataramana, 2023)</w:t>
      </w:r>
      <w:r w:rsidRPr="00AF09A1">
        <w:t>.</w:t>
      </w:r>
    </w:p>
    <w:p w14:paraId="3354AE03" w14:textId="015C9E71" w:rsidR="00AF09A1" w:rsidRPr="00AF09A1" w:rsidRDefault="00B03A3E" w:rsidP="00AF09A1">
      <w:pPr>
        <w:spacing w:line="360" w:lineRule="auto"/>
        <w:jc w:val="both"/>
      </w:pPr>
      <w:r>
        <w:t>I</w:t>
      </w:r>
      <w:r w:rsidR="00AF09A1" w:rsidRPr="00AF09A1">
        <w:t xml:space="preserve">nput cost savings, KHFPCL members also exhibit greater efficiency in financial management, as evidenced by the lower interest on working capital. Members incur an interest cost of ₹1,637.28 (5.13% of total cost), compared to ₹1,855.64 (5.26%) for non-members. Although the cost impact in this category is relatively smaller at 2.23%, the difference remains statistically significant, with a t-statistic of 2.18. This suggests that KHFPCL members may have access to more </w:t>
      </w:r>
      <w:proofErr w:type="spellStart"/>
      <w:r w:rsidR="00AF09A1" w:rsidRPr="00AF09A1">
        <w:t>favorable</w:t>
      </w:r>
      <w:proofErr w:type="spellEnd"/>
      <w:r w:rsidR="00AF09A1" w:rsidRPr="00AF09A1">
        <w:t xml:space="preserve"> credit terms, such as lower interest rates or more efficient utilization of working capital, contributing to overall cost efficiency</w:t>
      </w:r>
      <w:r>
        <w:t xml:space="preserve"> (</w:t>
      </w:r>
      <w:r w:rsidRPr="00CD1816">
        <w:t>Vimalkumar</w:t>
      </w:r>
      <w:r>
        <w:t xml:space="preserve"> and </w:t>
      </w:r>
      <w:r w:rsidRPr="00CD1816">
        <w:t>Latha</w:t>
      </w:r>
      <w:r>
        <w:t>, 2025)</w:t>
      </w:r>
      <w:r w:rsidR="00AF09A1" w:rsidRPr="00AF09A1">
        <w:t>.</w:t>
      </w:r>
    </w:p>
    <w:p w14:paraId="099F1466" w14:textId="630A2C61" w:rsidR="00AF09A1" w:rsidRPr="00AF09A1" w:rsidRDefault="00B03A3E" w:rsidP="00AF09A1">
      <w:pPr>
        <w:spacing w:line="360" w:lineRule="auto"/>
        <w:jc w:val="both"/>
      </w:pPr>
      <w:r>
        <w:t>F</w:t>
      </w:r>
      <w:r w:rsidR="00AF09A1" w:rsidRPr="00AF09A1">
        <w:t>ixed cost component shows minimal variation between the two groups. KHFPCL members report a fixed cost of ₹6,907.41, accounting for 21.63% of their total cost, while non-members incur a nearly identical expense of ₹6,905.92 (19.58% of total cost). The negligible difference, reflected in a non-significant t-statistic of -0.03, suggests that both groups face similar long-</w:t>
      </w:r>
      <w:r w:rsidR="00AF09A1" w:rsidRPr="00AF09A1">
        <w:lastRenderedPageBreak/>
        <w:t>term investment requirements for fixed assets such as machinery, infrastructure and permanent facilities. This finding implies that the primary cost advantages for KHFPCL members arise from variable costs rather than fixed capital investments</w:t>
      </w:r>
      <w:r>
        <w:t xml:space="preserve"> </w:t>
      </w:r>
      <w:r w:rsidR="006511F7">
        <w:t>(</w:t>
      </w:r>
      <w:r w:rsidR="006511F7" w:rsidRPr="006D0D72">
        <w:t xml:space="preserve">Basavaraj </w:t>
      </w:r>
      <w:r w:rsidR="006511F7">
        <w:t xml:space="preserve">et al., 2022; </w:t>
      </w:r>
      <w:r w:rsidR="006511F7" w:rsidRPr="00374CD9">
        <w:t>Hajong</w:t>
      </w:r>
      <w:r w:rsidR="006511F7">
        <w:t xml:space="preserve"> et al., 2024)</w:t>
      </w:r>
      <w:r w:rsidR="00AF09A1" w:rsidRPr="00AF09A1">
        <w:t>.</w:t>
      </w:r>
    </w:p>
    <w:p w14:paraId="08166ACE" w14:textId="3CE78614" w:rsidR="00AF09A1" w:rsidRPr="00AF09A1" w:rsidRDefault="00AF09A1" w:rsidP="00AF09A1">
      <w:pPr>
        <w:spacing w:line="360" w:lineRule="auto"/>
        <w:jc w:val="both"/>
      </w:pPr>
      <w:r w:rsidRPr="00AF09A1">
        <w:t>The total variable cost further highlights the economic efficiency achieved by KHFPCL members. Members' variable costs amount to ₹25,027.03, representing 78.37% of their total expenditure, compared to ₹28,364.72 (80.42%) for non-members. This results in a cost impact of 34.08%, with a highly significant t-statistic of 8.14, underscoring the substantial savings achieved through effective cost management and optimized input use. The ability of KHFPCL members to minimize variable costs without compromising production quality or yield demonstrates the tangible benefits of collective action and institutional support</w:t>
      </w:r>
      <w:r w:rsidR="006511F7">
        <w:t xml:space="preserve"> (</w:t>
      </w:r>
      <w:r w:rsidR="006511F7" w:rsidRPr="00CC078D">
        <w:t>Kiruthika</w:t>
      </w:r>
      <w:r w:rsidR="006511F7">
        <w:t xml:space="preserve"> et al., 2023</w:t>
      </w:r>
      <w:r w:rsidR="00CF4A5E">
        <w:t xml:space="preserve">; </w:t>
      </w:r>
      <w:proofErr w:type="spellStart"/>
      <w:r w:rsidR="00CF4A5E">
        <w:t>Sergeyeva</w:t>
      </w:r>
      <w:proofErr w:type="spellEnd"/>
      <w:r w:rsidR="00CF4A5E" w:rsidRPr="00D91BDF">
        <w:t xml:space="preserve"> et al., 202</w:t>
      </w:r>
      <w:r w:rsidR="00CF4A5E">
        <w:t>3</w:t>
      </w:r>
      <w:r w:rsidR="006511F7">
        <w:t>)</w:t>
      </w:r>
      <w:r w:rsidRPr="00AF09A1">
        <w:t>.</w:t>
      </w:r>
    </w:p>
    <w:p w14:paraId="6E1ACB3B" w14:textId="417E4FB9" w:rsidR="00AF09A1" w:rsidRPr="00AF09A1" w:rsidRDefault="006511F7" w:rsidP="00AF09A1">
      <w:pPr>
        <w:spacing w:line="360" w:lineRule="auto"/>
        <w:jc w:val="both"/>
      </w:pPr>
      <w:r>
        <w:t>T</w:t>
      </w:r>
      <w:r w:rsidR="00AF09A1" w:rsidRPr="00AF09A1">
        <w:t xml:space="preserve">he economic analysis of maize cultivation reveals that KHFPCL membership significantly reduces production costs, primarily through savings in variable costs such as </w:t>
      </w:r>
      <w:proofErr w:type="spellStart"/>
      <w:r w:rsidR="00AF09A1" w:rsidRPr="00AF09A1">
        <w:t>labor</w:t>
      </w:r>
      <w:proofErr w:type="spellEnd"/>
      <w:r w:rsidR="00AF09A1" w:rsidRPr="00AF09A1">
        <w:t>, seeds, fertilizers and working capital interest. The statistically significant differences observed across multiple input categories confirm that collective action through KHFPCL enhances cost efficiency and resource accessibility. These findings underscore the critical role of farmer organizations in improving agricultural profitability by promoting better market linkages, enabling bulk procurement</w:t>
      </w:r>
      <w:r w:rsidR="008657A5">
        <w:t xml:space="preserve"> and</w:t>
      </w:r>
      <w:r w:rsidR="00AF09A1" w:rsidRPr="00AF09A1">
        <w:t xml:space="preserve"> facilitating the adoption of best practices</w:t>
      </w:r>
      <w:r>
        <w:t xml:space="preserve"> (Kotyal, 2025)</w:t>
      </w:r>
      <w:r w:rsidR="00AF09A1" w:rsidRPr="00AF09A1">
        <w:t>.</w:t>
      </w:r>
    </w:p>
    <w:p w14:paraId="7C21739F" w14:textId="77777777" w:rsidR="00AF09A1" w:rsidRDefault="00AF09A1" w:rsidP="00092A50">
      <w:pPr>
        <w:spacing w:line="360" w:lineRule="auto"/>
        <w:jc w:val="both"/>
        <w:rPr>
          <w:b/>
          <w:bCs/>
        </w:rPr>
      </w:pPr>
    </w:p>
    <w:p w14:paraId="4FD42C5B" w14:textId="336EDB54" w:rsidR="00AF09A1" w:rsidRDefault="00AF09A1" w:rsidP="00092A50">
      <w:pPr>
        <w:spacing w:line="360" w:lineRule="auto"/>
        <w:jc w:val="both"/>
        <w:rPr>
          <w:b/>
          <w:bCs/>
        </w:rPr>
        <w:sectPr w:rsidR="00AF09A1" w:rsidSect="00092A5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117B593B" w14:textId="77777777" w:rsidR="002B69A3" w:rsidRDefault="002B69A3" w:rsidP="002B69A3">
      <w:pPr>
        <w:spacing w:before="240" w:after="240" w:line="360" w:lineRule="auto"/>
        <w:jc w:val="both"/>
        <w:rPr>
          <w:b/>
          <w:bCs/>
        </w:rPr>
      </w:pPr>
      <w:r w:rsidRPr="003C16DA">
        <w:rPr>
          <w:b/>
          <w:bCs/>
        </w:rPr>
        <w:lastRenderedPageBreak/>
        <w:t xml:space="preserve">Table 1: Economic </w:t>
      </w:r>
      <w:r w:rsidRPr="00861B79">
        <w:rPr>
          <w:b/>
          <w:bCs/>
        </w:rPr>
        <w:t>Comparison</w:t>
      </w:r>
      <w:r w:rsidRPr="003C16DA">
        <w:rPr>
          <w:b/>
          <w:bCs/>
        </w:rPr>
        <w:t xml:space="preserve"> of Maize Cultivation for KHFPCL Members and Non-Members</w:t>
      </w:r>
    </w:p>
    <w:tbl>
      <w:tblPr>
        <w:tblStyle w:val="TableGrid"/>
        <w:tblW w:w="5000" w:type="pct"/>
        <w:tblLook w:val="04A0" w:firstRow="1" w:lastRow="0" w:firstColumn="1" w:lastColumn="0" w:noHBand="0" w:noVBand="1"/>
      </w:tblPr>
      <w:tblGrid>
        <w:gridCol w:w="1696"/>
        <w:gridCol w:w="3543"/>
        <w:gridCol w:w="1420"/>
        <w:gridCol w:w="1841"/>
        <w:gridCol w:w="1278"/>
        <w:gridCol w:w="1473"/>
        <w:gridCol w:w="1654"/>
        <w:gridCol w:w="1043"/>
      </w:tblGrid>
      <w:tr w:rsidR="007652F0" w:rsidRPr="006511F7" w14:paraId="76383396" w14:textId="77777777" w:rsidTr="007652F0">
        <w:trPr>
          <w:trHeight w:val="20"/>
        </w:trPr>
        <w:tc>
          <w:tcPr>
            <w:tcW w:w="608" w:type="pct"/>
            <w:vAlign w:val="center"/>
          </w:tcPr>
          <w:p w14:paraId="47F6CC62" w14:textId="77777777" w:rsidR="002B69A3" w:rsidRPr="006511F7" w:rsidRDefault="002B69A3" w:rsidP="00D35E92">
            <w:pPr>
              <w:spacing w:line="360" w:lineRule="auto"/>
              <w:jc w:val="both"/>
              <w:rPr>
                <w:b/>
                <w:bCs/>
              </w:rPr>
            </w:pPr>
            <w:r w:rsidRPr="006511F7">
              <w:rPr>
                <w:b/>
                <w:bCs/>
              </w:rPr>
              <w:t>Sl. No</w:t>
            </w:r>
          </w:p>
        </w:tc>
        <w:tc>
          <w:tcPr>
            <w:tcW w:w="1270" w:type="pct"/>
            <w:vAlign w:val="center"/>
          </w:tcPr>
          <w:p w14:paraId="620BABBC" w14:textId="77777777" w:rsidR="002B69A3" w:rsidRPr="006511F7" w:rsidRDefault="002B69A3" w:rsidP="00D35E92">
            <w:pPr>
              <w:spacing w:line="360" w:lineRule="auto"/>
              <w:jc w:val="both"/>
              <w:rPr>
                <w:b/>
                <w:bCs/>
              </w:rPr>
            </w:pPr>
            <w:r w:rsidRPr="006511F7">
              <w:rPr>
                <w:b/>
                <w:bCs/>
              </w:rPr>
              <w:t>Particulars</w:t>
            </w:r>
          </w:p>
        </w:tc>
        <w:tc>
          <w:tcPr>
            <w:tcW w:w="509" w:type="pct"/>
            <w:vAlign w:val="center"/>
          </w:tcPr>
          <w:p w14:paraId="74C826DB" w14:textId="77777777" w:rsidR="002B69A3" w:rsidRPr="006511F7" w:rsidRDefault="002B69A3" w:rsidP="00D35E92">
            <w:pPr>
              <w:spacing w:line="360" w:lineRule="auto"/>
              <w:jc w:val="both"/>
              <w:rPr>
                <w:b/>
                <w:bCs/>
              </w:rPr>
            </w:pPr>
            <w:r w:rsidRPr="006511F7">
              <w:rPr>
                <w:b/>
                <w:bCs/>
              </w:rPr>
              <w:t>KHFPCL Members (₹)</w:t>
            </w:r>
          </w:p>
        </w:tc>
        <w:tc>
          <w:tcPr>
            <w:tcW w:w="660" w:type="pct"/>
            <w:vAlign w:val="center"/>
          </w:tcPr>
          <w:p w14:paraId="3D879E6A" w14:textId="77777777" w:rsidR="002B69A3" w:rsidRPr="006511F7" w:rsidRDefault="002B69A3" w:rsidP="00D35E92">
            <w:pPr>
              <w:spacing w:line="360" w:lineRule="auto"/>
              <w:jc w:val="both"/>
              <w:rPr>
                <w:b/>
                <w:bCs/>
              </w:rPr>
            </w:pPr>
            <w:r w:rsidRPr="006511F7">
              <w:rPr>
                <w:b/>
                <w:bCs/>
              </w:rPr>
              <w:t>% to Total Cost (Members)</w:t>
            </w:r>
          </w:p>
        </w:tc>
        <w:tc>
          <w:tcPr>
            <w:tcW w:w="458" w:type="pct"/>
            <w:vAlign w:val="center"/>
          </w:tcPr>
          <w:p w14:paraId="16D50FEB" w14:textId="77777777" w:rsidR="002B69A3" w:rsidRPr="006511F7" w:rsidRDefault="002B69A3" w:rsidP="00D35E92">
            <w:pPr>
              <w:spacing w:line="360" w:lineRule="auto"/>
              <w:jc w:val="both"/>
              <w:rPr>
                <w:b/>
                <w:bCs/>
              </w:rPr>
            </w:pPr>
            <w:r w:rsidRPr="006511F7">
              <w:rPr>
                <w:b/>
                <w:bCs/>
              </w:rPr>
              <w:t>Non-Members (₹)</w:t>
            </w:r>
          </w:p>
        </w:tc>
        <w:tc>
          <w:tcPr>
            <w:tcW w:w="528" w:type="pct"/>
            <w:vAlign w:val="center"/>
          </w:tcPr>
          <w:p w14:paraId="06D061D2" w14:textId="77777777" w:rsidR="002B69A3" w:rsidRPr="006511F7" w:rsidRDefault="002B69A3" w:rsidP="00D35E92">
            <w:pPr>
              <w:spacing w:line="360" w:lineRule="auto"/>
              <w:jc w:val="both"/>
              <w:rPr>
                <w:b/>
                <w:bCs/>
              </w:rPr>
            </w:pPr>
            <w:r w:rsidRPr="006511F7">
              <w:rPr>
                <w:b/>
                <w:bCs/>
              </w:rPr>
              <w:t>% to Total Cost (Non-Members)</w:t>
            </w:r>
          </w:p>
        </w:tc>
        <w:tc>
          <w:tcPr>
            <w:tcW w:w="593" w:type="pct"/>
            <w:vAlign w:val="center"/>
          </w:tcPr>
          <w:p w14:paraId="034578A7" w14:textId="77777777" w:rsidR="002B69A3" w:rsidRPr="006511F7" w:rsidRDefault="002B69A3" w:rsidP="00D35E92">
            <w:pPr>
              <w:spacing w:line="360" w:lineRule="auto"/>
              <w:jc w:val="both"/>
              <w:rPr>
                <w:b/>
                <w:bCs/>
              </w:rPr>
            </w:pPr>
            <w:r w:rsidRPr="006511F7">
              <w:rPr>
                <w:b/>
                <w:bCs/>
              </w:rPr>
              <w:t>Impact of KHFPCL (%)</w:t>
            </w:r>
          </w:p>
        </w:tc>
        <w:tc>
          <w:tcPr>
            <w:tcW w:w="374" w:type="pct"/>
            <w:vAlign w:val="center"/>
          </w:tcPr>
          <w:p w14:paraId="1B325D76" w14:textId="77777777" w:rsidR="002B69A3" w:rsidRPr="006511F7" w:rsidRDefault="002B69A3" w:rsidP="00D35E92">
            <w:pPr>
              <w:spacing w:line="360" w:lineRule="auto"/>
              <w:jc w:val="both"/>
              <w:rPr>
                <w:b/>
                <w:bCs/>
              </w:rPr>
            </w:pPr>
            <w:r w:rsidRPr="006511F7">
              <w:rPr>
                <w:b/>
                <w:bCs/>
              </w:rPr>
              <w:t>t-Statistic</w:t>
            </w:r>
          </w:p>
        </w:tc>
      </w:tr>
      <w:tr w:rsidR="007652F0" w:rsidRPr="006511F7" w14:paraId="113F45B1" w14:textId="77777777" w:rsidTr="007652F0">
        <w:trPr>
          <w:trHeight w:val="20"/>
        </w:trPr>
        <w:tc>
          <w:tcPr>
            <w:tcW w:w="608" w:type="pct"/>
            <w:vAlign w:val="center"/>
          </w:tcPr>
          <w:p w14:paraId="651FE96A" w14:textId="77777777" w:rsidR="002B69A3" w:rsidRPr="006511F7" w:rsidRDefault="002B69A3" w:rsidP="00D35E92">
            <w:pPr>
              <w:spacing w:line="360" w:lineRule="auto"/>
              <w:jc w:val="both"/>
              <w:rPr>
                <w:b/>
                <w:bCs/>
              </w:rPr>
            </w:pPr>
            <w:r w:rsidRPr="006511F7">
              <w:t>1</w:t>
            </w:r>
          </w:p>
        </w:tc>
        <w:tc>
          <w:tcPr>
            <w:tcW w:w="1270" w:type="pct"/>
            <w:vAlign w:val="center"/>
          </w:tcPr>
          <w:p w14:paraId="144A8551" w14:textId="77777777" w:rsidR="002B69A3" w:rsidRPr="006511F7" w:rsidRDefault="002B69A3" w:rsidP="00D35E92">
            <w:pPr>
              <w:spacing w:line="360" w:lineRule="auto"/>
              <w:jc w:val="both"/>
              <w:rPr>
                <w:b/>
                <w:bCs/>
              </w:rPr>
            </w:pPr>
            <w:r w:rsidRPr="006511F7">
              <w:t>Human Labor (Man-days)</w:t>
            </w:r>
          </w:p>
        </w:tc>
        <w:tc>
          <w:tcPr>
            <w:tcW w:w="509" w:type="pct"/>
            <w:vAlign w:val="center"/>
          </w:tcPr>
          <w:p w14:paraId="09E926EE" w14:textId="77777777" w:rsidR="002B69A3" w:rsidRPr="006511F7" w:rsidRDefault="002B69A3" w:rsidP="00D35E92">
            <w:pPr>
              <w:spacing w:line="360" w:lineRule="auto"/>
              <w:jc w:val="both"/>
              <w:rPr>
                <w:b/>
                <w:bCs/>
              </w:rPr>
            </w:pPr>
            <w:r w:rsidRPr="006511F7">
              <w:t>8,400.00</w:t>
            </w:r>
          </w:p>
        </w:tc>
        <w:tc>
          <w:tcPr>
            <w:tcW w:w="660" w:type="pct"/>
            <w:vAlign w:val="center"/>
          </w:tcPr>
          <w:p w14:paraId="50873C45" w14:textId="77777777" w:rsidR="002B69A3" w:rsidRPr="006511F7" w:rsidRDefault="002B69A3" w:rsidP="00D35E92">
            <w:pPr>
              <w:spacing w:line="360" w:lineRule="auto"/>
              <w:jc w:val="both"/>
              <w:rPr>
                <w:b/>
                <w:bCs/>
              </w:rPr>
            </w:pPr>
            <w:r w:rsidRPr="006511F7">
              <w:t>26.30%</w:t>
            </w:r>
          </w:p>
        </w:tc>
        <w:tc>
          <w:tcPr>
            <w:tcW w:w="458" w:type="pct"/>
            <w:vAlign w:val="center"/>
          </w:tcPr>
          <w:p w14:paraId="6F200BAA" w14:textId="77777777" w:rsidR="002B69A3" w:rsidRPr="006511F7" w:rsidRDefault="002B69A3" w:rsidP="00D35E92">
            <w:pPr>
              <w:spacing w:line="360" w:lineRule="auto"/>
              <w:jc w:val="both"/>
              <w:rPr>
                <w:b/>
                <w:bCs/>
              </w:rPr>
            </w:pPr>
            <w:r w:rsidRPr="006511F7">
              <w:t>8,400.00</w:t>
            </w:r>
          </w:p>
        </w:tc>
        <w:tc>
          <w:tcPr>
            <w:tcW w:w="528" w:type="pct"/>
            <w:vAlign w:val="center"/>
          </w:tcPr>
          <w:p w14:paraId="3B6C687A" w14:textId="77777777" w:rsidR="002B69A3" w:rsidRPr="006511F7" w:rsidRDefault="002B69A3" w:rsidP="00D35E92">
            <w:pPr>
              <w:spacing w:line="360" w:lineRule="auto"/>
              <w:jc w:val="both"/>
              <w:rPr>
                <w:b/>
                <w:bCs/>
              </w:rPr>
            </w:pPr>
            <w:r w:rsidRPr="006511F7">
              <w:t>23.82%</w:t>
            </w:r>
          </w:p>
        </w:tc>
        <w:tc>
          <w:tcPr>
            <w:tcW w:w="593" w:type="pct"/>
            <w:vAlign w:val="center"/>
          </w:tcPr>
          <w:p w14:paraId="48F0E391" w14:textId="77777777" w:rsidR="002B69A3" w:rsidRPr="006511F7" w:rsidRDefault="002B69A3" w:rsidP="00D35E92">
            <w:pPr>
              <w:spacing w:line="360" w:lineRule="auto"/>
              <w:jc w:val="both"/>
              <w:rPr>
                <w:b/>
                <w:bCs/>
              </w:rPr>
            </w:pPr>
            <w:r w:rsidRPr="006511F7">
              <w:t>-</w:t>
            </w:r>
          </w:p>
        </w:tc>
        <w:tc>
          <w:tcPr>
            <w:tcW w:w="374" w:type="pct"/>
            <w:vAlign w:val="center"/>
          </w:tcPr>
          <w:p w14:paraId="5C5703F2" w14:textId="77777777" w:rsidR="002B69A3" w:rsidRPr="006511F7" w:rsidRDefault="002B69A3" w:rsidP="00D35E92">
            <w:pPr>
              <w:spacing w:line="360" w:lineRule="auto"/>
              <w:jc w:val="both"/>
              <w:rPr>
                <w:b/>
                <w:bCs/>
              </w:rPr>
            </w:pPr>
            <w:r w:rsidRPr="006511F7">
              <w:t>0.00</w:t>
            </w:r>
          </w:p>
        </w:tc>
      </w:tr>
      <w:tr w:rsidR="007652F0" w:rsidRPr="006511F7" w14:paraId="1E0409BA" w14:textId="77777777" w:rsidTr="007652F0">
        <w:trPr>
          <w:trHeight w:val="20"/>
        </w:trPr>
        <w:tc>
          <w:tcPr>
            <w:tcW w:w="608" w:type="pct"/>
            <w:vAlign w:val="center"/>
          </w:tcPr>
          <w:p w14:paraId="4361448F" w14:textId="77777777" w:rsidR="002B69A3" w:rsidRPr="006511F7" w:rsidRDefault="002B69A3" w:rsidP="00D35E92">
            <w:pPr>
              <w:spacing w:line="360" w:lineRule="auto"/>
              <w:jc w:val="both"/>
              <w:rPr>
                <w:b/>
                <w:bCs/>
              </w:rPr>
            </w:pPr>
            <w:r w:rsidRPr="006511F7">
              <w:t>2</w:t>
            </w:r>
          </w:p>
        </w:tc>
        <w:tc>
          <w:tcPr>
            <w:tcW w:w="1270" w:type="pct"/>
            <w:vAlign w:val="center"/>
          </w:tcPr>
          <w:p w14:paraId="058FF0B4" w14:textId="77777777" w:rsidR="002B69A3" w:rsidRPr="006511F7" w:rsidRDefault="002B69A3" w:rsidP="00D35E92">
            <w:pPr>
              <w:spacing w:line="360" w:lineRule="auto"/>
              <w:jc w:val="both"/>
              <w:rPr>
                <w:b/>
                <w:bCs/>
              </w:rPr>
            </w:pPr>
            <w:r w:rsidRPr="006511F7">
              <w:t>Machine Labor (Hours)</w:t>
            </w:r>
          </w:p>
        </w:tc>
        <w:tc>
          <w:tcPr>
            <w:tcW w:w="509" w:type="pct"/>
            <w:vAlign w:val="center"/>
          </w:tcPr>
          <w:p w14:paraId="7E11D931" w14:textId="77777777" w:rsidR="002B69A3" w:rsidRPr="006511F7" w:rsidRDefault="002B69A3" w:rsidP="00D35E92">
            <w:pPr>
              <w:spacing w:line="360" w:lineRule="auto"/>
              <w:jc w:val="both"/>
              <w:rPr>
                <w:b/>
                <w:bCs/>
              </w:rPr>
            </w:pPr>
            <w:r w:rsidRPr="006511F7">
              <w:t>1,800.00</w:t>
            </w:r>
          </w:p>
        </w:tc>
        <w:tc>
          <w:tcPr>
            <w:tcW w:w="660" w:type="pct"/>
            <w:vAlign w:val="center"/>
          </w:tcPr>
          <w:p w14:paraId="0DC628A9" w14:textId="77777777" w:rsidR="002B69A3" w:rsidRPr="006511F7" w:rsidRDefault="002B69A3" w:rsidP="00D35E92">
            <w:pPr>
              <w:spacing w:line="360" w:lineRule="auto"/>
              <w:jc w:val="both"/>
              <w:rPr>
                <w:b/>
                <w:bCs/>
              </w:rPr>
            </w:pPr>
            <w:r w:rsidRPr="006511F7">
              <w:t>5.64%</w:t>
            </w:r>
          </w:p>
        </w:tc>
        <w:tc>
          <w:tcPr>
            <w:tcW w:w="458" w:type="pct"/>
            <w:vAlign w:val="center"/>
          </w:tcPr>
          <w:p w14:paraId="0612989D" w14:textId="77777777" w:rsidR="002B69A3" w:rsidRPr="006511F7" w:rsidRDefault="002B69A3" w:rsidP="00D35E92">
            <w:pPr>
              <w:spacing w:line="360" w:lineRule="auto"/>
              <w:jc w:val="both"/>
              <w:rPr>
                <w:b/>
                <w:bCs/>
              </w:rPr>
            </w:pPr>
            <w:r w:rsidRPr="006511F7">
              <w:t>2,700.00</w:t>
            </w:r>
          </w:p>
        </w:tc>
        <w:tc>
          <w:tcPr>
            <w:tcW w:w="528" w:type="pct"/>
            <w:vAlign w:val="center"/>
          </w:tcPr>
          <w:p w14:paraId="127581E0" w14:textId="77777777" w:rsidR="002B69A3" w:rsidRPr="006511F7" w:rsidRDefault="002B69A3" w:rsidP="00D35E92">
            <w:pPr>
              <w:spacing w:line="360" w:lineRule="auto"/>
              <w:jc w:val="both"/>
              <w:rPr>
                <w:b/>
                <w:bCs/>
              </w:rPr>
            </w:pPr>
            <w:r w:rsidRPr="006511F7">
              <w:t>7.66%</w:t>
            </w:r>
          </w:p>
        </w:tc>
        <w:tc>
          <w:tcPr>
            <w:tcW w:w="593" w:type="pct"/>
            <w:vAlign w:val="center"/>
          </w:tcPr>
          <w:p w14:paraId="410422C0" w14:textId="77777777" w:rsidR="002B69A3" w:rsidRPr="006511F7" w:rsidRDefault="002B69A3" w:rsidP="00D35E92">
            <w:pPr>
              <w:spacing w:line="360" w:lineRule="auto"/>
              <w:jc w:val="both"/>
              <w:rPr>
                <w:b/>
                <w:bCs/>
              </w:rPr>
            </w:pPr>
            <w:r w:rsidRPr="006511F7">
              <w:t>9.19%</w:t>
            </w:r>
          </w:p>
        </w:tc>
        <w:tc>
          <w:tcPr>
            <w:tcW w:w="374" w:type="pct"/>
            <w:vAlign w:val="center"/>
          </w:tcPr>
          <w:p w14:paraId="56B5F850" w14:textId="77777777" w:rsidR="002B69A3" w:rsidRPr="006511F7" w:rsidRDefault="002B69A3" w:rsidP="00D35E92">
            <w:pPr>
              <w:spacing w:line="360" w:lineRule="auto"/>
              <w:jc w:val="both"/>
              <w:rPr>
                <w:b/>
                <w:bCs/>
              </w:rPr>
            </w:pPr>
            <w:r w:rsidRPr="006511F7">
              <w:t>4.85**</w:t>
            </w:r>
          </w:p>
        </w:tc>
      </w:tr>
      <w:tr w:rsidR="007652F0" w:rsidRPr="006511F7" w14:paraId="317015BE" w14:textId="77777777" w:rsidTr="007652F0">
        <w:trPr>
          <w:trHeight w:val="20"/>
        </w:trPr>
        <w:tc>
          <w:tcPr>
            <w:tcW w:w="608" w:type="pct"/>
            <w:vAlign w:val="center"/>
          </w:tcPr>
          <w:p w14:paraId="1BF5F74B" w14:textId="77777777" w:rsidR="002B69A3" w:rsidRPr="006511F7" w:rsidRDefault="002B69A3" w:rsidP="00D35E92">
            <w:pPr>
              <w:spacing w:line="360" w:lineRule="auto"/>
              <w:jc w:val="both"/>
              <w:rPr>
                <w:b/>
                <w:bCs/>
              </w:rPr>
            </w:pPr>
            <w:r w:rsidRPr="006511F7">
              <w:t>3</w:t>
            </w:r>
          </w:p>
        </w:tc>
        <w:tc>
          <w:tcPr>
            <w:tcW w:w="1270" w:type="pct"/>
            <w:vAlign w:val="center"/>
          </w:tcPr>
          <w:p w14:paraId="461CC01A" w14:textId="77777777" w:rsidR="002B69A3" w:rsidRPr="006511F7" w:rsidRDefault="002B69A3" w:rsidP="00D35E92">
            <w:pPr>
              <w:spacing w:line="360" w:lineRule="auto"/>
              <w:jc w:val="both"/>
              <w:rPr>
                <w:b/>
                <w:bCs/>
              </w:rPr>
            </w:pPr>
            <w:r w:rsidRPr="006511F7">
              <w:t>Seeds (Kg)</w:t>
            </w:r>
          </w:p>
        </w:tc>
        <w:tc>
          <w:tcPr>
            <w:tcW w:w="509" w:type="pct"/>
            <w:vAlign w:val="center"/>
          </w:tcPr>
          <w:p w14:paraId="580286B3" w14:textId="77777777" w:rsidR="002B69A3" w:rsidRPr="006511F7" w:rsidRDefault="002B69A3" w:rsidP="00D35E92">
            <w:pPr>
              <w:spacing w:line="360" w:lineRule="auto"/>
              <w:jc w:val="both"/>
              <w:rPr>
                <w:b/>
                <w:bCs/>
              </w:rPr>
            </w:pPr>
            <w:r w:rsidRPr="006511F7">
              <w:t>2,800.00</w:t>
            </w:r>
          </w:p>
        </w:tc>
        <w:tc>
          <w:tcPr>
            <w:tcW w:w="660" w:type="pct"/>
            <w:vAlign w:val="center"/>
          </w:tcPr>
          <w:p w14:paraId="73F67863" w14:textId="77777777" w:rsidR="002B69A3" w:rsidRPr="006511F7" w:rsidRDefault="002B69A3" w:rsidP="00D35E92">
            <w:pPr>
              <w:spacing w:line="360" w:lineRule="auto"/>
              <w:jc w:val="both"/>
              <w:rPr>
                <w:b/>
                <w:bCs/>
              </w:rPr>
            </w:pPr>
            <w:r w:rsidRPr="006511F7">
              <w:t>8.77%</w:t>
            </w:r>
          </w:p>
        </w:tc>
        <w:tc>
          <w:tcPr>
            <w:tcW w:w="458" w:type="pct"/>
            <w:vAlign w:val="center"/>
          </w:tcPr>
          <w:p w14:paraId="5175555D" w14:textId="77777777" w:rsidR="002B69A3" w:rsidRPr="006511F7" w:rsidRDefault="002B69A3" w:rsidP="00D35E92">
            <w:pPr>
              <w:spacing w:line="360" w:lineRule="auto"/>
              <w:jc w:val="both"/>
              <w:rPr>
                <w:b/>
                <w:bCs/>
              </w:rPr>
            </w:pPr>
            <w:r w:rsidRPr="006511F7">
              <w:t>3,200.00</w:t>
            </w:r>
          </w:p>
        </w:tc>
        <w:tc>
          <w:tcPr>
            <w:tcW w:w="528" w:type="pct"/>
            <w:vAlign w:val="center"/>
          </w:tcPr>
          <w:p w14:paraId="1D58C41A" w14:textId="77777777" w:rsidR="002B69A3" w:rsidRPr="006511F7" w:rsidRDefault="002B69A3" w:rsidP="00D35E92">
            <w:pPr>
              <w:spacing w:line="360" w:lineRule="auto"/>
              <w:jc w:val="both"/>
              <w:rPr>
                <w:b/>
                <w:bCs/>
              </w:rPr>
            </w:pPr>
            <w:r w:rsidRPr="006511F7">
              <w:t>9.07%</w:t>
            </w:r>
          </w:p>
        </w:tc>
        <w:tc>
          <w:tcPr>
            <w:tcW w:w="593" w:type="pct"/>
            <w:vAlign w:val="center"/>
          </w:tcPr>
          <w:p w14:paraId="7167E1D3" w14:textId="77777777" w:rsidR="002B69A3" w:rsidRPr="006511F7" w:rsidRDefault="002B69A3" w:rsidP="00D35E92">
            <w:pPr>
              <w:spacing w:line="360" w:lineRule="auto"/>
              <w:jc w:val="both"/>
              <w:rPr>
                <w:b/>
                <w:bCs/>
              </w:rPr>
            </w:pPr>
            <w:r w:rsidRPr="006511F7">
              <w:t>4.08%</w:t>
            </w:r>
          </w:p>
        </w:tc>
        <w:tc>
          <w:tcPr>
            <w:tcW w:w="374" w:type="pct"/>
            <w:vAlign w:val="center"/>
          </w:tcPr>
          <w:p w14:paraId="394F4753" w14:textId="77777777" w:rsidR="002B69A3" w:rsidRPr="006511F7" w:rsidRDefault="002B69A3" w:rsidP="00D35E92">
            <w:pPr>
              <w:spacing w:line="360" w:lineRule="auto"/>
              <w:jc w:val="both"/>
              <w:rPr>
                <w:b/>
                <w:bCs/>
              </w:rPr>
            </w:pPr>
            <w:r w:rsidRPr="006511F7">
              <w:t>3.72**</w:t>
            </w:r>
          </w:p>
        </w:tc>
      </w:tr>
      <w:tr w:rsidR="007652F0" w:rsidRPr="006511F7" w14:paraId="784F6173" w14:textId="77777777" w:rsidTr="007652F0">
        <w:trPr>
          <w:trHeight w:val="20"/>
        </w:trPr>
        <w:tc>
          <w:tcPr>
            <w:tcW w:w="608" w:type="pct"/>
            <w:vAlign w:val="center"/>
          </w:tcPr>
          <w:p w14:paraId="33FEE4A7" w14:textId="77777777" w:rsidR="002B69A3" w:rsidRPr="006511F7" w:rsidRDefault="002B69A3" w:rsidP="00D35E92">
            <w:pPr>
              <w:spacing w:line="360" w:lineRule="auto"/>
              <w:jc w:val="both"/>
              <w:rPr>
                <w:b/>
                <w:bCs/>
              </w:rPr>
            </w:pPr>
            <w:r w:rsidRPr="006511F7">
              <w:t>4</w:t>
            </w:r>
          </w:p>
        </w:tc>
        <w:tc>
          <w:tcPr>
            <w:tcW w:w="1270" w:type="pct"/>
            <w:vAlign w:val="center"/>
          </w:tcPr>
          <w:p w14:paraId="5496B136" w14:textId="77777777" w:rsidR="002B69A3" w:rsidRPr="006511F7" w:rsidRDefault="002B69A3" w:rsidP="00D35E92">
            <w:pPr>
              <w:spacing w:line="360" w:lineRule="auto"/>
              <w:jc w:val="both"/>
              <w:rPr>
                <w:b/>
                <w:bCs/>
              </w:rPr>
            </w:pPr>
            <w:r w:rsidRPr="006511F7">
              <w:t>Organic Fertilizer (Ton)</w:t>
            </w:r>
          </w:p>
        </w:tc>
        <w:tc>
          <w:tcPr>
            <w:tcW w:w="509" w:type="pct"/>
            <w:vAlign w:val="center"/>
          </w:tcPr>
          <w:p w14:paraId="34193697" w14:textId="77777777" w:rsidR="002B69A3" w:rsidRPr="006511F7" w:rsidRDefault="002B69A3" w:rsidP="00D35E92">
            <w:pPr>
              <w:spacing w:line="360" w:lineRule="auto"/>
              <w:jc w:val="both"/>
              <w:rPr>
                <w:b/>
                <w:bCs/>
              </w:rPr>
            </w:pPr>
            <w:r w:rsidRPr="006511F7">
              <w:t>1,680.00</w:t>
            </w:r>
          </w:p>
        </w:tc>
        <w:tc>
          <w:tcPr>
            <w:tcW w:w="660" w:type="pct"/>
            <w:vAlign w:val="center"/>
          </w:tcPr>
          <w:p w14:paraId="46500DC1" w14:textId="77777777" w:rsidR="002B69A3" w:rsidRPr="006511F7" w:rsidRDefault="002B69A3" w:rsidP="00D35E92">
            <w:pPr>
              <w:spacing w:line="360" w:lineRule="auto"/>
              <w:jc w:val="both"/>
              <w:rPr>
                <w:b/>
                <w:bCs/>
              </w:rPr>
            </w:pPr>
            <w:r w:rsidRPr="006511F7">
              <w:t>5.26%</w:t>
            </w:r>
          </w:p>
        </w:tc>
        <w:tc>
          <w:tcPr>
            <w:tcW w:w="458" w:type="pct"/>
            <w:vAlign w:val="center"/>
          </w:tcPr>
          <w:p w14:paraId="082C8939" w14:textId="77777777" w:rsidR="002B69A3" w:rsidRPr="006511F7" w:rsidRDefault="002B69A3" w:rsidP="00D35E92">
            <w:pPr>
              <w:spacing w:line="360" w:lineRule="auto"/>
              <w:jc w:val="both"/>
              <w:rPr>
                <w:b/>
                <w:bCs/>
              </w:rPr>
            </w:pPr>
            <w:r w:rsidRPr="006511F7">
              <w:t>1,920.00</w:t>
            </w:r>
          </w:p>
        </w:tc>
        <w:tc>
          <w:tcPr>
            <w:tcW w:w="528" w:type="pct"/>
            <w:vAlign w:val="center"/>
          </w:tcPr>
          <w:p w14:paraId="2F98F699" w14:textId="77777777" w:rsidR="002B69A3" w:rsidRPr="006511F7" w:rsidRDefault="002B69A3" w:rsidP="00D35E92">
            <w:pPr>
              <w:spacing w:line="360" w:lineRule="auto"/>
              <w:jc w:val="both"/>
              <w:rPr>
                <w:b/>
                <w:bCs/>
              </w:rPr>
            </w:pPr>
            <w:r w:rsidRPr="006511F7">
              <w:t>5.44%</w:t>
            </w:r>
          </w:p>
        </w:tc>
        <w:tc>
          <w:tcPr>
            <w:tcW w:w="593" w:type="pct"/>
            <w:vAlign w:val="center"/>
          </w:tcPr>
          <w:p w14:paraId="1A39097A" w14:textId="77777777" w:rsidR="002B69A3" w:rsidRPr="006511F7" w:rsidRDefault="002B69A3" w:rsidP="00D35E92">
            <w:pPr>
              <w:spacing w:line="360" w:lineRule="auto"/>
              <w:jc w:val="both"/>
              <w:rPr>
                <w:b/>
                <w:bCs/>
              </w:rPr>
            </w:pPr>
            <w:r w:rsidRPr="006511F7">
              <w:t>2.45%</w:t>
            </w:r>
          </w:p>
        </w:tc>
        <w:tc>
          <w:tcPr>
            <w:tcW w:w="374" w:type="pct"/>
            <w:vAlign w:val="center"/>
          </w:tcPr>
          <w:p w14:paraId="192D4226" w14:textId="77777777" w:rsidR="002B69A3" w:rsidRPr="006511F7" w:rsidRDefault="002B69A3" w:rsidP="00D35E92">
            <w:pPr>
              <w:spacing w:line="360" w:lineRule="auto"/>
              <w:jc w:val="both"/>
              <w:rPr>
                <w:b/>
                <w:bCs/>
              </w:rPr>
            </w:pPr>
            <w:r w:rsidRPr="006511F7">
              <w:t>2.68**</w:t>
            </w:r>
          </w:p>
        </w:tc>
      </w:tr>
      <w:tr w:rsidR="007652F0" w:rsidRPr="006511F7" w14:paraId="052148EA" w14:textId="77777777" w:rsidTr="007652F0">
        <w:trPr>
          <w:trHeight w:val="20"/>
        </w:trPr>
        <w:tc>
          <w:tcPr>
            <w:tcW w:w="608" w:type="pct"/>
            <w:vAlign w:val="center"/>
          </w:tcPr>
          <w:p w14:paraId="185A7B15" w14:textId="77777777" w:rsidR="002B69A3" w:rsidRPr="006511F7" w:rsidRDefault="002B69A3" w:rsidP="00D35E92">
            <w:pPr>
              <w:spacing w:line="360" w:lineRule="auto"/>
              <w:jc w:val="both"/>
              <w:rPr>
                <w:b/>
                <w:bCs/>
              </w:rPr>
            </w:pPr>
            <w:r w:rsidRPr="006511F7">
              <w:t>5a</w:t>
            </w:r>
          </w:p>
        </w:tc>
        <w:tc>
          <w:tcPr>
            <w:tcW w:w="1270" w:type="pct"/>
            <w:vAlign w:val="center"/>
          </w:tcPr>
          <w:p w14:paraId="6230834F" w14:textId="77777777" w:rsidR="002B69A3" w:rsidRPr="006511F7" w:rsidRDefault="002B69A3" w:rsidP="00D35E92">
            <w:pPr>
              <w:spacing w:line="360" w:lineRule="auto"/>
              <w:jc w:val="both"/>
              <w:rPr>
                <w:b/>
                <w:bCs/>
              </w:rPr>
            </w:pPr>
            <w:r w:rsidRPr="006511F7">
              <w:t>DAP (Kg)</w:t>
            </w:r>
          </w:p>
        </w:tc>
        <w:tc>
          <w:tcPr>
            <w:tcW w:w="509" w:type="pct"/>
            <w:vAlign w:val="center"/>
          </w:tcPr>
          <w:p w14:paraId="7A2A4DC1" w14:textId="77777777" w:rsidR="002B69A3" w:rsidRPr="006511F7" w:rsidRDefault="002B69A3" w:rsidP="00D35E92">
            <w:pPr>
              <w:spacing w:line="360" w:lineRule="auto"/>
              <w:jc w:val="both"/>
              <w:rPr>
                <w:b/>
                <w:bCs/>
              </w:rPr>
            </w:pPr>
            <w:r w:rsidRPr="006511F7">
              <w:t>3,120.00</w:t>
            </w:r>
          </w:p>
        </w:tc>
        <w:tc>
          <w:tcPr>
            <w:tcW w:w="660" w:type="pct"/>
            <w:vAlign w:val="center"/>
          </w:tcPr>
          <w:p w14:paraId="43F5E012" w14:textId="77777777" w:rsidR="002B69A3" w:rsidRPr="006511F7" w:rsidRDefault="002B69A3" w:rsidP="00D35E92">
            <w:pPr>
              <w:spacing w:line="360" w:lineRule="auto"/>
              <w:jc w:val="both"/>
              <w:rPr>
                <w:b/>
                <w:bCs/>
              </w:rPr>
            </w:pPr>
            <w:r w:rsidRPr="006511F7">
              <w:t>9.77%</w:t>
            </w:r>
          </w:p>
        </w:tc>
        <w:tc>
          <w:tcPr>
            <w:tcW w:w="458" w:type="pct"/>
            <w:vAlign w:val="center"/>
          </w:tcPr>
          <w:p w14:paraId="4AA1EF3A" w14:textId="77777777" w:rsidR="002B69A3" w:rsidRPr="006511F7" w:rsidRDefault="002B69A3" w:rsidP="00D35E92">
            <w:pPr>
              <w:spacing w:line="360" w:lineRule="auto"/>
              <w:jc w:val="both"/>
              <w:rPr>
                <w:b/>
                <w:bCs/>
              </w:rPr>
            </w:pPr>
            <w:r w:rsidRPr="006511F7">
              <w:t>3,510.00</w:t>
            </w:r>
          </w:p>
        </w:tc>
        <w:tc>
          <w:tcPr>
            <w:tcW w:w="528" w:type="pct"/>
            <w:vAlign w:val="center"/>
          </w:tcPr>
          <w:p w14:paraId="416351FF" w14:textId="77777777" w:rsidR="002B69A3" w:rsidRPr="006511F7" w:rsidRDefault="002B69A3" w:rsidP="00D35E92">
            <w:pPr>
              <w:spacing w:line="360" w:lineRule="auto"/>
              <w:jc w:val="both"/>
              <w:rPr>
                <w:b/>
                <w:bCs/>
              </w:rPr>
            </w:pPr>
            <w:r w:rsidRPr="006511F7">
              <w:t>9.95%</w:t>
            </w:r>
          </w:p>
        </w:tc>
        <w:tc>
          <w:tcPr>
            <w:tcW w:w="593" w:type="pct"/>
            <w:vAlign w:val="center"/>
          </w:tcPr>
          <w:p w14:paraId="1A4D79E2" w14:textId="77777777" w:rsidR="002B69A3" w:rsidRPr="006511F7" w:rsidRDefault="002B69A3" w:rsidP="00D35E92">
            <w:pPr>
              <w:spacing w:line="360" w:lineRule="auto"/>
              <w:jc w:val="both"/>
              <w:rPr>
                <w:b/>
                <w:bCs/>
              </w:rPr>
            </w:pPr>
            <w:r w:rsidRPr="006511F7">
              <w:t>3.98%</w:t>
            </w:r>
          </w:p>
        </w:tc>
        <w:tc>
          <w:tcPr>
            <w:tcW w:w="374" w:type="pct"/>
            <w:vAlign w:val="center"/>
          </w:tcPr>
          <w:p w14:paraId="29498934" w14:textId="77777777" w:rsidR="002B69A3" w:rsidRPr="006511F7" w:rsidRDefault="002B69A3" w:rsidP="00D35E92">
            <w:pPr>
              <w:spacing w:line="360" w:lineRule="auto"/>
              <w:jc w:val="both"/>
              <w:rPr>
                <w:b/>
                <w:bCs/>
              </w:rPr>
            </w:pPr>
            <w:r w:rsidRPr="006511F7">
              <w:t>3.91**</w:t>
            </w:r>
          </w:p>
        </w:tc>
      </w:tr>
      <w:tr w:rsidR="007652F0" w:rsidRPr="006511F7" w14:paraId="266F24D5" w14:textId="77777777" w:rsidTr="007652F0">
        <w:trPr>
          <w:trHeight w:val="20"/>
        </w:trPr>
        <w:tc>
          <w:tcPr>
            <w:tcW w:w="608" w:type="pct"/>
            <w:vAlign w:val="center"/>
          </w:tcPr>
          <w:p w14:paraId="68F6F53F" w14:textId="77777777" w:rsidR="002B69A3" w:rsidRPr="006511F7" w:rsidRDefault="002B69A3" w:rsidP="00D35E92">
            <w:pPr>
              <w:spacing w:line="360" w:lineRule="auto"/>
              <w:jc w:val="both"/>
              <w:rPr>
                <w:b/>
                <w:bCs/>
              </w:rPr>
            </w:pPr>
            <w:r w:rsidRPr="006511F7">
              <w:t>5b</w:t>
            </w:r>
          </w:p>
        </w:tc>
        <w:tc>
          <w:tcPr>
            <w:tcW w:w="1270" w:type="pct"/>
            <w:vAlign w:val="center"/>
          </w:tcPr>
          <w:p w14:paraId="652B7396" w14:textId="77777777" w:rsidR="002B69A3" w:rsidRPr="006511F7" w:rsidRDefault="002B69A3" w:rsidP="00D35E92">
            <w:pPr>
              <w:spacing w:line="360" w:lineRule="auto"/>
              <w:jc w:val="both"/>
              <w:rPr>
                <w:b/>
                <w:bCs/>
              </w:rPr>
            </w:pPr>
            <w:r w:rsidRPr="006511F7">
              <w:t>Urea (Kg)</w:t>
            </w:r>
          </w:p>
        </w:tc>
        <w:tc>
          <w:tcPr>
            <w:tcW w:w="509" w:type="pct"/>
            <w:vAlign w:val="center"/>
          </w:tcPr>
          <w:p w14:paraId="4EFE2B71" w14:textId="77777777" w:rsidR="002B69A3" w:rsidRPr="006511F7" w:rsidRDefault="002B69A3" w:rsidP="00D35E92">
            <w:pPr>
              <w:spacing w:line="360" w:lineRule="auto"/>
              <w:jc w:val="both"/>
              <w:rPr>
                <w:b/>
                <w:bCs/>
              </w:rPr>
            </w:pPr>
            <w:r w:rsidRPr="006511F7">
              <w:t>1,761.34</w:t>
            </w:r>
          </w:p>
        </w:tc>
        <w:tc>
          <w:tcPr>
            <w:tcW w:w="660" w:type="pct"/>
            <w:vAlign w:val="center"/>
          </w:tcPr>
          <w:p w14:paraId="07D561C0" w14:textId="77777777" w:rsidR="002B69A3" w:rsidRPr="006511F7" w:rsidRDefault="002B69A3" w:rsidP="00D35E92">
            <w:pPr>
              <w:spacing w:line="360" w:lineRule="auto"/>
              <w:jc w:val="both"/>
              <w:rPr>
                <w:b/>
                <w:bCs/>
              </w:rPr>
            </w:pPr>
            <w:r w:rsidRPr="006511F7">
              <w:t>5.52%</w:t>
            </w:r>
          </w:p>
        </w:tc>
        <w:tc>
          <w:tcPr>
            <w:tcW w:w="458" w:type="pct"/>
            <w:vAlign w:val="center"/>
          </w:tcPr>
          <w:p w14:paraId="2013B21B" w14:textId="77777777" w:rsidR="002B69A3" w:rsidRPr="006511F7" w:rsidRDefault="002B69A3" w:rsidP="00D35E92">
            <w:pPr>
              <w:spacing w:line="360" w:lineRule="auto"/>
              <w:jc w:val="both"/>
              <w:rPr>
                <w:b/>
                <w:bCs/>
              </w:rPr>
            </w:pPr>
            <w:r w:rsidRPr="006511F7">
              <w:t>2,339.29</w:t>
            </w:r>
          </w:p>
        </w:tc>
        <w:tc>
          <w:tcPr>
            <w:tcW w:w="528" w:type="pct"/>
            <w:vAlign w:val="center"/>
          </w:tcPr>
          <w:p w14:paraId="2EA487DB" w14:textId="77777777" w:rsidR="002B69A3" w:rsidRPr="006511F7" w:rsidRDefault="002B69A3" w:rsidP="00D35E92">
            <w:pPr>
              <w:spacing w:line="360" w:lineRule="auto"/>
              <w:jc w:val="both"/>
              <w:rPr>
                <w:b/>
                <w:bCs/>
              </w:rPr>
            </w:pPr>
            <w:r w:rsidRPr="006511F7">
              <w:t>6.63%</w:t>
            </w:r>
          </w:p>
        </w:tc>
        <w:tc>
          <w:tcPr>
            <w:tcW w:w="593" w:type="pct"/>
            <w:vAlign w:val="center"/>
          </w:tcPr>
          <w:p w14:paraId="78FCB26C" w14:textId="77777777" w:rsidR="002B69A3" w:rsidRPr="006511F7" w:rsidRDefault="002B69A3" w:rsidP="00D35E92">
            <w:pPr>
              <w:spacing w:line="360" w:lineRule="auto"/>
              <w:jc w:val="both"/>
              <w:rPr>
                <w:b/>
                <w:bCs/>
              </w:rPr>
            </w:pPr>
            <w:r w:rsidRPr="006511F7">
              <w:t>5.90%</w:t>
            </w:r>
          </w:p>
        </w:tc>
        <w:tc>
          <w:tcPr>
            <w:tcW w:w="374" w:type="pct"/>
            <w:vAlign w:val="center"/>
          </w:tcPr>
          <w:p w14:paraId="1155DF95" w14:textId="77777777" w:rsidR="002B69A3" w:rsidRPr="006511F7" w:rsidRDefault="002B69A3" w:rsidP="00D35E92">
            <w:pPr>
              <w:spacing w:line="360" w:lineRule="auto"/>
              <w:jc w:val="both"/>
              <w:rPr>
                <w:b/>
                <w:bCs/>
              </w:rPr>
            </w:pPr>
            <w:r w:rsidRPr="006511F7">
              <w:t>5.24**</w:t>
            </w:r>
          </w:p>
        </w:tc>
      </w:tr>
      <w:tr w:rsidR="007652F0" w:rsidRPr="006511F7" w14:paraId="5312D87E" w14:textId="77777777" w:rsidTr="007652F0">
        <w:trPr>
          <w:trHeight w:val="20"/>
        </w:trPr>
        <w:tc>
          <w:tcPr>
            <w:tcW w:w="608" w:type="pct"/>
            <w:vAlign w:val="center"/>
          </w:tcPr>
          <w:p w14:paraId="10E4C0B8" w14:textId="77777777" w:rsidR="002B69A3" w:rsidRPr="006511F7" w:rsidRDefault="002B69A3" w:rsidP="00D35E92">
            <w:pPr>
              <w:spacing w:line="360" w:lineRule="auto"/>
              <w:jc w:val="both"/>
              <w:rPr>
                <w:b/>
                <w:bCs/>
              </w:rPr>
            </w:pPr>
            <w:r w:rsidRPr="006511F7">
              <w:t>5c</w:t>
            </w:r>
          </w:p>
        </w:tc>
        <w:tc>
          <w:tcPr>
            <w:tcW w:w="1270" w:type="pct"/>
            <w:vAlign w:val="center"/>
          </w:tcPr>
          <w:p w14:paraId="32C2154E" w14:textId="77777777" w:rsidR="002B69A3" w:rsidRPr="006511F7" w:rsidRDefault="002B69A3" w:rsidP="00D35E92">
            <w:pPr>
              <w:spacing w:line="360" w:lineRule="auto"/>
              <w:jc w:val="both"/>
              <w:rPr>
                <w:b/>
                <w:bCs/>
              </w:rPr>
            </w:pPr>
            <w:r w:rsidRPr="006511F7">
              <w:t>MOP (Kg)</w:t>
            </w:r>
          </w:p>
        </w:tc>
        <w:tc>
          <w:tcPr>
            <w:tcW w:w="509" w:type="pct"/>
            <w:vAlign w:val="center"/>
          </w:tcPr>
          <w:p w14:paraId="5AB82F98" w14:textId="77777777" w:rsidR="002B69A3" w:rsidRPr="006511F7" w:rsidRDefault="002B69A3" w:rsidP="00D35E92">
            <w:pPr>
              <w:spacing w:line="360" w:lineRule="auto"/>
              <w:jc w:val="both"/>
              <w:rPr>
                <w:b/>
                <w:bCs/>
              </w:rPr>
            </w:pPr>
            <w:r w:rsidRPr="006511F7">
              <w:t>2,490.90</w:t>
            </w:r>
          </w:p>
        </w:tc>
        <w:tc>
          <w:tcPr>
            <w:tcW w:w="660" w:type="pct"/>
            <w:vAlign w:val="center"/>
          </w:tcPr>
          <w:p w14:paraId="6706C763" w14:textId="77777777" w:rsidR="002B69A3" w:rsidRPr="006511F7" w:rsidRDefault="002B69A3" w:rsidP="00D35E92">
            <w:pPr>
              <w:spacing w:line="360" w:lineRule="auto"/>
              <w:jc w:val="both"/>
              <w:rPr>
                <w:b/>
                <w:bCs/>
              </w:rPr>
            </w:pPr>
            <w:r w:rsidRPr="006511F7">
              <w:t>7.80%</w:t>
            </w:r>
          </w:p>
        </w:tc>
        <w:tc>
          <w:tcPr>
            <w:tcW w:w="458" w:type="pct"/>
            <w:vAlign w:val="center"/>
          </w:tcPr>
          <w:p w14:paraId="0A1C13C2" w14:textId="77777777" w:rsidR="002B69A3" w:rsidRPr="006511F7" w:rsidRDefault="002B69A3" w:rsidP="00D35E92">
            <w:pPr>
              <w:spacing w:line="360" w:lineRule="auto"/>
              <w:jc w:val="both"/>
              <w:rPr>
                <w:b/>
                <w:bCs/>
              </w:rPr>
            </w:pPr>
            <w:r w:rsidRPr="006511F7">
              <w:t>2,815.80</w:t>
            </w:r>
          </w:p>
        </w:tc>
        <w:tc>
          <w:tcPr>
            <w:tcW w:w="528" w:type="pct"/>
            <w:vAlign w:val="center"/>
          </w:tcPr>
          <w:p w14:paraId="722EB771" w14:textId="77777777" w:rsidR="002B69A3" w:rsidRPr="006511F7" w:rsidRDefault="002B69A3" w:rsidP="00D35E92">
            <w:pPr>
              <w:spacing w:line="360" w:lineRule="auto"/>
              <w:jc w:val="both"/>
              <w:rPr>
                <w:b/>
                <w:bCs/>
              </w:rPr>
            </w:pPr>
            <w:r w:rsidRPr="006511F7">
              <w:t>7.98%</w:t>
            </w:r>
          </w:p>
        </w:tc>
        <w:tc>
          <w:tcPr>
            <w:tcW w:w="593" w:type="pct"/>
            <w:vAlign w:val="center"/>
          </w:tcPr>
          <w:p w14:paraId="05404C36" w14:textId="77777777" w:rsidR="002B69A3" w:rsidRPr="006511F7" w:rsidRDefault="002B69A3" w:rsidP="00D35E92">
            <w:pPr>
              <w:spacing w:line="360" w:lineRule="auto"/>
              <w:jc w:val="both"/>
              <w:rPr>
                <w:b/>
                <w:bCs/>
              </w:rPr>
            </w:pPr>
            <w:r w:rsidRPr="006511F7">
              <w:t>3.32%</w:t>
            </w:r>
          </w:p>
        </w:tc>
        <w:tc>
          <w:tcPr>
            <w:tcW w:w="374" w:type="pct"/>
            <w:vAlign w:val="center"/>
          </w:tcPr>
          <w:p w14:paraId="0EB8654C" w14:textId="77777777" w:rsidR="002B69A3" w:rsidRPr="006511F7" w:rsidRDefault="002B69A3" w:rsidP="00D35E92">
            <w:pPr>
              <w:spacing w:line="360" w:lineRule="auto"/>
              <w:jc w:val="both"/>
              <w:rPr>
                <w:b/>
                <w:bCs/>
              </w:rPr>
            </w:pPr>
            <w:r w:rsidRPr="006511F7">
              <w:t>3.45**</w:t>
            </w:r>
          </w:p>
        </w:tc>
      </w:tr>
      <w:tr w:rsidR="007652F0" w:rsidRPr="006511F7" w14:paraId="69F74670" w14:textId="77777777" w:rsidTr="007652F0">
        <w:trPr>
          <w:trHeight w:val="20"/>
        </w:trPr>
        <w:tc>
          <w:tcPr>
            <w:tcW w:w="608" w:type="pct"/>
            <w:vAlign w:val="center"/>
          </w:tcPr>
          <w:p w14:paraId="15084958" w14:textId="77777777" w:rsidR="002B69A3" w:rsidRPr="006511F7" w:rsidRDefault="002B69A3" w:rsidP="00D35E92">
            <w:pPr>
              <w:spacing w:line="360" w:lineRule="auto"/>
              <w:jc w:val="both"/>
              <w:rPr>
                <w:b/>
                <w:bCs/>
              </w:rPr>
            </w:pPr>
            <w:r w:rsidRPr="006511F7">
              <w:t>6</w:t>
            </w:r>
          </w:p>
        </w:tc>
        <w:tc>
          <w:tcPr>
            <w:tcW w:w="1270" w:type="pct"/>
            <w:vAlign w:val="center"/>
          </w:tcPr>
          <w:p w14:paraId="79F27A33" w14:textId="77777777" w:rsidR="002B69A3" w:rsidRPr="006511F7" w:rsidRDefault="002B69A3" w:rsidP="00D35E92">
            <w:pPr>
              <w:spacing w:line="360" w:lineRule="auto"/>
              <w:jc w:val="both"/>
              <w:rPr>
                <w:b/>
                <w:bCs/>
              </w:rPr>
            </w:pPr>
            <w:r w:rsidRPr="006511F7">
              <w:t>Micronutrients (Kg)</w:t>
            </w:r>
          </w:p>
        </w:tc>
        <w:tc>
          <w:tcPr>
            <w:tcW w:w="509" w:type="pct"/>
            <w:vAlign w:val="center"/>
          </w:tcPr>
          <w:p w14:paraId="6646F06F" w14:textId="77777777" w:rsidR="002B69A3" w:rsidRPr="006511F7" w:rsidRDefault="002B69A3" w:rsidP="00D35E92">
            <w:pPr>
              <w:spacing w:line="360" w:lineRule="auto"/>
              <w:jc w:val="both"/>
              <w:rPr>
                <w:b/>
                <w:bCs/>
              </w:rPr>
            </w:pPr>
            <w:r w:rsidRPr="006511F7">
              <w:t>187.50</w:t>
            </w:r>
          </w:p>
        </w:tc>
        <w:tc>
          <w:tcPr>
            <w:tcW w:w="660" w:type="pct"/>
            <w:vAlign w:val="center"/>
          </w:tcPr>
          <w:p w14:paraId="4A82C08B" w14:textId="77777777" w:rsidR="002B69A3" w:rsidRPr="006511F7" w:rsidRDefault="002B69A3" w:rsidP="00D35E92">
            <w:pPr>
              <w:spacing w:line="360" w:lineRule="auto"/>
              <w:jc w:val="both"/>
              <w:rPr>
                <w:b/>
                <w:bCs/>
              </w:rPr>
            </w:pPr>
            <w:r w:rsidRPr="006511F7">
              <w:t>0.59%</w:t>
            </w:r>
          </w:p>
        </w:tc>
        <w:tc>
          <w:tcPr>
            <w:tcW w:w="458" w:type="pct"/>
            <w:vAlign w:val="center"/>
          </w:tcPr>
          <w:p w14:paraId="152175C2" w14:textId="77777777" w:rsidR="002B69A3" w:rsidRPr="006511F7" w:rsidRDefault="002B69A3" w:rsidP="00D35E92">
            <w:pPr>
              <w:spacing w:line="360" w:lineRule="auto"/>
              <w:jc w:val="both"/>
              <w:rPr>
                <w:b/>
                <w:bCs/>
              </w:rPr>
            </w:pPr>
            <w:r w:rsidRPr="006511F7">
              <w:t>174.00</w:t>
            </w:r>
          </w:p>
        </w:tc>
        <w:tc>
          <w:tcPr>
            <w:tcW w:w="528" w:type="pct"/>
            <w:vAlign w:val="center"/>
          </w:tcPr>
          <w:p w14:paraId="3FAF3E1C" w14:textId="77777777" w:rsidR="002B69A3" w:rsidRPr="006511F7" w:rsidRDefault="002B69A3" w:rsidP="00D35E92">
            <w:pPr>
              <w:spacing w:line="360" w:lineRule="auto"/>
              <w:jc w:val="both"/>
              <w:rPr>
                <w:b/>
                <w:bCs/>
              </w:rPr>
            </w:pPr>
            <w:r w:rsidRPr="006511F7">
              <w:t>0.49%</w:t>
            </w:r>
          </w:p>
        </w:tc>
        <w:tc>
          <w:tcPr>
            <w:tcW w:w="593" w:type="pct"/>
            <w:vAlign w:val="center"/>
          </w:tcPr>
          <w:p w14:paraId="40EE9F93" w14:textId="77777777" w:rsidR="002B69A3" w:rsidRPr="006511F7" w:rsidRDefault="002B69A3" w:rsidP="00D35E92">
            <w:pPr>
              <w:spacing w:line="360" w:lineRule="auto"/>
              <w:jc w:val="both"/>
              <w:rPr>
                <w:b/>
                <w:bCs/>
              </w:rPr>
            </w:pPr>
            <w:r w:rsidRPr="006511F7">
              <w:t>-0.14%</w:t>
            </w:r>
          </w:p>
        </w:tc>
        <w:tc>
          <w:tcPr>
            <w:tcW w:w="374" w:type="pct"/>
            <w:vAlign w:val="center"/>
          </w:tcPr>
          <w:p w14:paraId="1D6C975B" w14:textId="77777777" w:rsidR="002B69A3" w:rsidRPr="006511F7" w:rsidRDefault="002B69A3" w:rsidP="00D35E92">
            <w:pPr>
              <w:spacing w:line="360" w:lineRule="auto"/>
              <w:jc w:val="both"/>
              <w:rPr>
                <w:b/>
                <w:bCs/>
              </w:rPr>
            </w:pPr>
            <w:r w:rsidRPr="006511F7">
              <w:t>-0.52</w:t>
            </w:r>
          </w:p>
        </w:tc>
      </w:tr>
      <w:tr w:rsidR="007652F0" w:rsidRPr="006511F7" w14:paraId="0E69B537" w14:textId="77777777" w:rsidTr="007652F0">
        <w:trPr>
          <w:trHeight w:val="20"/>
        </w:trPr>
        <w:tc>
          <w:tcPr>
            <w:tcW w:w="608" w:type="pct"/>
            <w:vAlign w:val="center"/>
          </w:tcPr>
          <w:p w14:paraId="4E56225C" w14:textId="77777777" w:rsidR="002B69A3" w:rsidRPr="006511F7" w:rsidRDefault="002B69A3" w:rsidP="00D35E92">
            <w:pPr>
              <w:spacing w:line="360" w:lineRule="auto"/>
              <w:jc w:val="both"/>
              <w:rPr>
                <w:b/>
                <w:bCs/>
              </w:rPr>
            </w:pPr>
            <w:r w:rsidRPr="006511F7">
              <w:t>7</w:t>
            </w:r>
          </w:p>
        </w:tc>
        <w:tc>
          <w:tcPr>
            <w:tcW w:w="1270" w:type="pct"/>
            <w:vAlign w:val="center"/>
          </w:tcPr>
          <w:p w14:paraId="5970FDEF" w14:textId="77777777" w:rsidR="002B69A3" w:rsidRPr="006511F7" w:rsidRDefault="002B69A3" w:rsidP="00D35E92">
            <w:pPr>
              <w:spacing w:line="360" w:lineRule="auto"/>
              <w:jc w:val="both"/>
              <w:rPr>
                <w:b/>
                <w:bCs/>
              </w:rPr>
            </w:pPr>
            <w:r w:rsidRPr="006511F7">
              <w:t>Bio-fertilizers (Kg)</w:t>
            </w:r>
          </w:p>
        </w:tc>
        <w:tc>
          <w:tcPr>
            <w:tcW w:w="509" w:type="pct"/>
            <w:vAlign w:val="center"/>
          </w:tcPr>
          <w:p w14:paraId="5ECAA3D9" w14:textId="77777777" w:rsidR="002B69A3" w:rsidRPr="006511F7" w:rsidRDefault="002B69A3" w:rsidP="00D35E92">
            <w:pPr>
              <w:spacing w:line="360" w:lineRule="auto"/>
              <w:jc w:val="both"/>
              <w:rPr>
                <w:b/>
                <w:bCs/>
              </w:rPr>
            </w:pPr>
            <w:r w:rsidRPr="006511F7">
              <w:t>300.00</w:t>
            </w:r>
          </w:p>
        </w:tc>
        <w:tc>
          <w:tcPr>
            <w:tcW w:w="660" w:type="pct"/>
            <w:vAlign w:val="center"/>
          </w:tcPr>
          <w:p w14:paraId="1EFC967F" w14:textId="77777777" w:rsidR="002B69A3" w:rsidRPr="006511F7" w:rsidRDefault="002B69A3" w:rsidP="00D35E92">
            <w:pPr>
              <w:spacing w:line="360" w:lineRule="auto"/>
              <w:jc w:val="both"/>
              <w:rPr>
                <w:b/>
                <w:bCs/>
              </w:rPr>
            </w:pPr>
            <w:r w:rsidRPr="006511F7">
              <w:t>0.94%</w:t>
            </w:r>
          </w:p>
        </w:tc>
        <w:tc>
          <w:tcPr>
            <w:tcW w:w="458" w:type="pct"/>
            <w:vAlign w:val="center"/>
          </w:tcPr>
          <w:p w14:paraId="5B2657BB" w14:textId="77777777" w:rsidR="002B69A3" w:rsidRPr="006511F7" w:rsidRDefault="002B69A3" w:rsidP="00D35E92">
            <w:pPr>
              <w:spacing w:line="360" w:lineRule="auto"/>
              <w:jc w:val="both"/>
              <w:rPr>
                <w:b/>
                <w:bCs/>
              </w:rPr>
            </w:pPr>
            <w:r w:rsidRPr="006511F7">
              <w:t>450.00</w:t>
            </w:r>
          </w:p>
        </w:tc>
        <w:tc>
          <w:tcPr>
            <w:tcW w:w="528" w:type="pct"/>
            <w:vAlign w:val="center"/>
          </w:tcPr>
          <w:p w14:paraId="690099B7" w14:textId="77777777" w:rsidR="002B69A3" w:rsidRPr="006511F7" w:rsidRDefault="002B69A3" w:rsidP="00D35E92">
            <w:pPr>
              <w:spacing w:line="360" w:lineRule="auto"/>
              <w:jc w:val="both"/>
              <w:rPr>
                <w:b/>
                <w:bCs/>
              </w:rPr>
            </w:pPr>
            <w:r w:rsidRPr="006511F7">
              <w:t>1.28%</w:t>
            </w:r>
          </w:p>
        </w:tc>
        <w:tc>
          <w:tcPr>
            <w:tcW w:w="593" w:type="pct"/>
            <w:vAlign w:val="center"/>
          </w:tcPr>
          <w:p w14:paraId="5715FA30" w14:textId="77777777" w:rsidR="002B69A3" w:rsidRPr="006511F7" w:rsidRDefault="002B69A3" w:rsidP="00D35E92">
            <w:pPr>
              <w:spacing w:line="360" w:lineRule="auto"/>
              <w:jc w:val="both"/>
              <w:rPr>
                <w:b/>
                <w:bCs/>
              </w:rPr>
            </w:pPr>
            <w:r w:rsidRPr="006511F7">
              <w:t>1.53%</w:t>
            </w:r>
          </w:p>
        </w:tc>
        <w:tc>
          <w:tcPr>
            <w:tcW w:w="374" w:type="pct"/>
            <w:vAlign w:val="center"/>
          </w:tcPr>
          <w:p w14:paraId="012BF52F" w14:textId="77777777" w:rsidR="002B69A3" w:rsidRPr="006511F7" w:rsidRDefault="002B69A3" w:rsidP="00D35E92">
            <w:pPr>
              <w:spacing w:line="360" w:lineRule="auto"/>
              <w:jc w:val="both"/>
              <w:rPr>
                <w:b/>
                <w:bCs/>
              </w:rPr>
            </w:pPr>
            <w:r w:rsidRPr="006511F7">
              <w:t>1.23</w:t>
            </w:r>
          </w:p>
        </w:tc>
      </w:tr>
      <w:tr w:rsidR="007652F0" w:rsidRPr="006511F7" w14:paraId="66D5D3A3" w14:textId="77777777" w:rsidTr="007652F0">
        <w:trPr>
          <w:trHeight w:val="20"/>
        </w:trPr>
        <w:tc>
          <w:tcPr>
            <w:tcW w:w="608" w:type="pct"/>
            <w:vAlign w:val="center"/>
          </w:tcPr>
          <w:p w14:paraId="0859A7BF" w14:textId="77777777" w:rsidR="002B69A3" w:rsidRPr="006511F7" w:rsidRDefault="002B69A3" w:rsidP="00D35E92">
            <w:pPr>
              <w:spacing w:line="360" w:lineRule="auto"/>
              <w:jc w:val="both"/>
              <w:rPr>
                <w:b/>
                <w:bCs/>
              </w:rPr>
            </w:pPr>
            <w:r w:rsidRPr="006511F7">
              <w:t>8</w:t>
            </w:r>
          </w:p>
        </w:tc>
        <w:tc>
          <w:tcPr>
            <w:tcW w:w="1270" w:type="pct"/>
            <w:vAlign w:val="center"/>
          </w:tcPr>
          <w:p w14:paraId="7285022B" w14:textId="77777777" w:rsidR="002B69A3" w:rsidRPr="006511F7" w:rsidRDefault="002B69A3" w:rsidP="00D35E92">
            <w:pPr>
              <w:spacing w:line="360" w:lineRule="auto"/>
              <w:jc w:val="both"/>
              <w:rPr>
                <w:b/>
                <w:bCs/>
              </w:rPr>
            </w:pPr>
            <w:r w:rsidRPr="006511F7">
              <w:t>Plant Protection Chemicals (</w:t>
            </w:r>
            <w:proofErr w:type="spellStart"/>
            <w:r w:rsidRPr="006511F7">
              <w:t>Ltr</w:t>
            </w:r>
            <w:proofErr w:type="spellEnd"/>
            <w:r w:rsidRPr="006511F7">
              <w:t>)</w:t>
            </w:r>
          </w:p>
        </w:tc>
        <w:tc>
          <w:tcPr>
            <w:tcW w:w="509" w:type="pct"/>
            <w:vAlign w:val="center"/>
          </w:tcPr>
          <w:p w14:paraId="73B12185" w14:textId="77777777" w:rsidR="002B69A3" w:rsidRPr="006511F7" w:rsidRDefault="002B69A3" w:rsidP="00D35E92">
            <w:pPr>
              <w:spacing w:line="360" w:lineRule="auto"/>
              <w:jc w:val="both"/>
              <w:rPr>
                <w:b/>
                <w:bCs/>
              </w:rPr>
            </w:pPr>
            <w:r w:rsidRPr="006511F7">
              <w:t>850.00</w:t>
            </w:r>
          </w:p>
        </w:tc>
        <w:tc>
          <w:tcPr>
            <w:tcW w:w="660" w:type="pct"/>
            <w:vAlign w:val="center"/>
          </w:tcPr>
          <w:p w14:paraId="6D5FD124" w14:textId="77777777" w:rsidR="002B69A3" w:rsidRPr="006511F7" w:rsidRDefault="002B69A3" w:rsidP="00D35E92">
            <w:pPr>
              <w:spacing w:line="360" w:lineRule="auto"/>
              <w:jc w:val="both"/>
              <w:rPr>
                <w:b/>
                <w:bCs/>
              </w:rPr>
            </w:pPr>
            <w:r w:rsidRPr="006511F7">
              <w:t>2.66%</w:t>
            </w:r>
          </w:p>
        </w:tc>
        <w:tc>
          <w:tcPr>
            <w:tcW w:w="458" w:type="pct"/>
            <w:vAlign w:val="center"/>
          </w:tcPr>
          <w:p w14:paraId="0FE74C97" w14:textId="77777777" w:rsidR="002B69A3" w:rsidRPr="006511F7" w:rsidRDefault="002B69A3" w:rsidP="00D35E92">
            <w:pPr>
              <w:spacing w:line="360" w:lineRule="auto"/>
              <w:jc w:val="both"/>
              <w:rPr>
                <w:b/>
                <w:bCs/>
              </w:rPr>
            </w:pPr>
            <w:r w:rsidRPr="006511F7">
              <w:t>1,000.00</w:t>
            </w:r>
          </w:p>
        </w:tc>
        <w:tc>
          <w:tcPr>
            <w:tcW w:w="528" w:type="pct"/>
            <w:vAlign w:val="center"/>
          </w:tcPr>
          <w:p w14:paraId="3771EFBC" w14:textId="77777777" w:rsidR="002B69A3" w:rsidRPr="006511F7" w:rsidRDefault="002B69A3" w:rsidP="00D35E92">
            <w:pPr>
              <w:spacing w:line="360" w:lineRule="auto"/>
              <w:jc w:val="both"/>
              <w:rPr>
                <w:b/>
                <w:bCs/>
              </w:rPr>
            </w:pPr>
            <w:r w:rsidRPr="006511F7">
              <w:t>2.84%</w:t>
            </w:r>
          </w:p>
        </w:tc>
        <w:tc>
          <w:tcPr>
            <w:tcW w:w="593" w:type="pct"/>
            <w:vAlign w:val="center"/>
          </w:tcPr>
          <w:p w14:paraId="2906BF96" w14:textId="77777777" w:rsidR="002B69A3" w:rsidRPr="006511F7" w:rsidRDefault="002B69A3" w:rsidP="00D35E92">
            <w:pPr>
              <w:spacing w:line="360" w:lineRule="auto"/>
              <w:jc w:val="both"/>
              <w:rPr>
                <w:b/>
                <w:bCs/>
              </w:rPr>
            </w:pPr>
            <w:r w:rsidRPr="006511F7">
              <w:t>1.53%</w:t>
            </w:r>
          </w:p>
        </w:tc>
        <w:tc>
          <w:tcPr>
            <w:tcW w:w="374" w:type="pct"/>
            <w:vAlign w:val="center"/>
          </w:tcPr>
          <w:p w14:paraId="02F0B17E" w14:textId="77777777" w:rsidR="002B69A3" w:rsidRPr="006511F7" w:rsidRDefault="002B69A3" w:rsidP="00D35E92">
            <w:pPr>
              <w:spacing w:line="360" w:lineRule="auto"/>
              <w:jc w:val="both"/>
              <w:rPr>
                <w:b/>
                <w:bCs/>
              </w:rPr>
            </w:pPr>
            <w:r w:rsidRPr="006511F7">
              <w:t>1.45</w:t>
            </w:r>
          </w:p>
        </w:tc>
      </w:tr>
      <w:tr w:rsidR="007652F0" w:rsidRPr="006511F7" w14:paraId="223117C4" w14:textId="77777777" w:rsidTr="007652F0">
        <w:trPr>
          <w:trHeight w:val="20"/>
        </w:trPr>
        <w:tc>
          <w:tcPr>
            <w:tcW w:w="608" w:type="pct"/>
            <w:vAlign w:val="center"/>
          </w:tcPr>
          <w:p w14:paraId="3424FC25" w14:textId="77777777" w:rsidR="002B69A3" w:rsidRPr="006511F7" w:rsidRDefault="002B69A3" w:rsidP="00D35E92">
            <w:pPr>
              <w:spacing w:line="360" w:lineRule="auto"/>
              <w:jc w:val="both"/>
              <w:rPr>
                <w:b/>
                <w:bCs/>
              </w:rPr>
            </w:pPr>
            <w:r w:rsidRPr="006511F7">
              <w:rPr>
                <w:b/>
                <w:bCs/>
              </w:rPr>
              <w:t>Total Input Cost</w:t>
            </w:r>
          </w:p>
        </w:tc>
        <w:tc>
          <w:tcPr>
            <w:tcW w:w="1270" w:type="pct"/>
            <w:vAlign w:val="center"/>
          </w:tcPr>
          <w:p w14:paraId="09E9DF73" w14:textId="77777777" w:rsidR="002B69A3" w:rsidRPr="006511F7" w:rsidRDefault="002B69A3" w:rsidP="00D35E92">
            <w:pPr>
              <w:spacing w:line="360" w:lineRule="auto"/>
              <w:jc w:val="both"/>
              <w:rPr>
                <w:b/>
                <w:bCs/>
              </w:rPr>
            </w:pPr>
          </w:p>
        </w:tc>
        <w:tc>
          <w:tcPr>
            <w:tcW w:w="509" w:type="pct"/>
            <w:vAlign w:val="center"/>
          </w:tcPr>
          <w:p w14:paraId="6C2E079B" w14:textId="77777777" w:rsidR="002B69A3" w:rsidRPr="006511F7" w:rsidRDefault="002B69A3" w:rsidP="00D35E92">
            <w:pPr>
              <w:spacing w:line="360" w:lineRule="auto"/>
              <w:jc w:val="both"/>
              <w:rPr>
                <w:b/>
                <w:bCs/>
              </w:rPr>
            </w:pPr>
            <w:r w:rsidRPr="006511F7">
              <w:rPr>
                <w:b/>
                <w:bCs/>
              </w:rPr>
              <w:t>23,389.74</w:t>
            </w:r>
          </w:p>
        </w:tc>
        <w:tc>
          <w:tcPr>
            <w:tcW w:w="660" w:type="pct"/>
            <w:vAlign w:val="center"/>
          </w:tcPr>
          <w:p w14:paraId="3CE6B46E" w14:textId="77777777" w:rsidR="002B69A3" w:rsidRPr="006511F7" w:rsidRDefault="002B69A3" w:rsidP="00D35E92">
            <w:pPr>
              <w:spacing w:line="360" w:lineRule="auto"/>
              <w:jc w:val="both"/>
              <w:rPr>
                <w:b/>
                <w:bCs/>
              </w:rPr>
            </w:pPr>
            <w:r w:rsidRPr="006511F7">
              <w:rPr>
                <w:b/>
                <w:bCs/>
              </w:rPr>
              <w:t>73.24%</w:t>
            </w:r>
          </w:p>
        </w:tc>
        <w:tc>
          <w:tcPr>
            <w:tcW w:w="458" w:type="pct"/>
            <w:vAlign w:val="center"/>
          </w:tcPr>
          <w:p w14:paraId="79A4A1D2" w14:textId="77777777" w:rsidR="002B69A3" w:rsidRPr="006511F7" w:rsidRDefault="002B69A3" w:rsidP="00D35E92">
            <w:pPr>
              <w:spacing w:line="360" w:lineRule="auto"/>
              <w:jc w:val="both"/>
              <w:rPr>
                <w:b/>
                <w:bCs/>
              </w:rPr>
            </w:pPr>
            <w:r w:rsidRPr="006511F7">
              <w:rPr>
                <w:b/>
                <w:bCs/>
              </w:rPr>
              <w:t>26,509.09</w:t>
            </w:r>
          </w:p>
        </w:tc>
        <w:tc>
          <w:tcPr>
            <w:tcW w:w="528" w:type="pct"/>
            <w:vAlign w:val="center"/>
          </w:tcPr>
          <w:p w14:paraId="3BE0E888" w14:textId="77777777" w:rsidR="002B69A3" w:rsidRPr="006511F7" w:rsidRDefault="002B69A3" w:rsidP="00D35E92">
            <w:pPr>
              <w:spacing w:line="360" w:lineRule="auto"/>
              <w:jc w:val="both"/>
              <w:rPr>
                <w:b/>
                <w:bCs/>
              </w:rPr>
            </w:pPr>
            <w:r w:rsidRPr="006511F7">
              <w:rPr>
                <w:b/>
                <w:bCs/>
              </w:rPr>
              <w:t>75.16%</w:t>
            </w:r>
          </w:p>
        </w:tc>
        <w:tc>
          <w:tcPr>
            <w:tcW w:w="593" w:type="pct"/>
            <w:vAlign w:val="center"/>
          </w:tcPr>
          <w:p w14:paraId="3E456AF8" w14:textId="77777777" w:rsidR="002B69A3" w:rsidRPr="006511F7" w:rsidRDefault="002B69A3" w:rsidP="00D35E92">
            <w:pPr>
              <w:spacing w:line="360" w:lineRule="auto"/>
              <w:jc w:val="both"/>
              <w:rPr>
                <w:b/>
                <w:bCs/>
              </w:rPr>
            </w:pPr>
            <w:r w:rsidRPr="006511F7">
              <w:rPr>
                <w:b/>
                <w:bCs/>
              </w:rPr>
              <w:t>31.85%</w:t>
            </w:r>
          </w:p>
        </w:tc>
        <w:tc>
          <w:tcPr>
            <w:tcW w:w="374" w:type="pct"/>
            <w:vAlign w:val="center"/>
          </w:tcPr>
          <w:p w14:paraId="08258377" w14:textId="77777777" w:rsidR="002B69A3" w:rsidRPr="006511F7" w:rsidRDefault="002B69A3" w:rsidP="00D35E92">
            <w:pPr>
              <w:spacing w:line="360" w:lineRule="auto"/>
              <w:jc w:val="both"/>
              <w:rPr>
                <w:b/>
                <w:bCs/>
              </w:rPr>
            </w:pPr>
            <w:r w:rsidRPr="006511F7">
              <w:rPr>
                <w:b/>
                <w:bCs/>
              </w:rPr>
              <w:t>7.29</w:t>
            </w:r>
          </w:p>
        </w:tc>
      </w:tr>
      <w:tr w:rsidR="007652F0" w:rsidRPr="006511F7" w14:paraId="343F237A" w14:textId="77777777" w:rsidTr="007652F0">
        <w:trPr>
          <w:trHeight w:val="20"/>
        </w:trPr>
        <w:tc>
          <w:tcPr>
            <w:tcW w:w="608" w:type="pct"/>
            <w:vAlign w:val="center"/>
          </w:tcPr>
          <w:p w14:paraId="50698222" w14:textId="77777777" w:rsidR="002B69A3" w:rsidRPr="006511F7" w:rsidRDefault="002B69A3" w:rsidP="00D35E92">
            <w:pPr>
              <w:spacing w:line="360" w:lineRule="auto"/>
              <w:jc w:val="both"/>
              <w:rPr>
                <w:b/>
                <w:bCs/>
              </w:rPr>
            </w:pPr>
            <w:r w:rsidRPr="006511F7">
              <w:t>9</w:t>
            </w:r>
          </w:p>
        </w:tc>
        <w:tc>
          <w:tcPr>
            <w:tcW w:w="1270" w:type="pct"/>
            <w:vAlign w:val="center"/>
          </w:tcPr>
          <w:p w14:paraId="7AB23A93" w14:textId="77777777" w:rsidR="002B69A3" w:rsidRPr="006511F7" w:rsidRDefault="002B69A3" w:rsidP="00D35E92">
            <w:pPr>
              <w:spacing w:line="360" w:lineRule="auto"/>
              <w:jc w:val="both"/>
              <w:rPr>
                <w:b/>
                <w:bCs/>
              </w:rPr>
            </w:pPr>
            <w:r w:rsidRPr="006511F7">
              <w:t>Interest on Working Capital @7%</w:t>
            </w:r>
          </w:p>
        </w:tc>
        <w:tc>
          <w:tcPr>
            <w:tcW w:w="509" w:type="pct"/>
            <w:vAlign w:val="center"/>
          </w:tcPr>
          <w:p w14:paraId="227E0CA5" w14:textId="77777777" w:rsidR="002B69A3" w:rsidRPr="006511F7" w:rsidRDefault="002B69A3" w:rsidP="00D35E92">
            <w:pPr>
              <w:spacing w:line="360" w:lineRule="auto"/>
              <w:jc w:val="both"/>
              <w:rPr>
                <w:b/>
                <w:bCs/>
              </w:rPr>
            </w:pPr>
            <w:r w:rsidRPr="006511F7">
              <w:t>1,637.28</w:t>
            </w:r>
          </w:p>
        </w:tc>
        <w:tc>
          <w:tcPr>
            <w:tcW w:w="660" w:type="pct"/>
            <w:vAlign w:val="center"/>
          </w:tcPr>
          <w:p w14:paraId="58B7D781" w14:textId="77777777" w:rsidR="002B69A3" w:rsidRPr="006511F7" w:rsidRDefault="002B69A3" w:rsidP="00D35E92">
            <w:pPr>
              <w:spacing w:line="360" w:lineRule="auto"/>
              <w:jc w:val="both"/>
              <w:rPr>
                <w:b/>
                <w:bCs/>
              </w:rPr>
            </w:pPr>
            <w:r w:rsidRPr="006511F7">
              <w:t>5.13%</w:t>
            </w:r>
          </w:p>
        </w:tc>
        <w:tc>
          <w:tcPr>
            <w:tcW w:w="458" w:type="pct"/>
            <w:vAlign w:val="center"/>
          </w:tcPr>
          <w:p w14:paraId="1FD3473B" w14:textId="77777777" w:rsidR="002B69A3" w:rsidRPr="006511F7" w:rsidRDefault="002B69A3" w:rsidP="00D35E92">
            <w:pPr>
              <w:spacing w:line="360" w:lineRule="auto"/>
              <w:jc w:val="both"/>
              <w:rPr>
                <w:b/>
                <w:bCs/>
              </w:rPr>
            </w:pPr>
            <w:r w:rsidRPr="006511F7">
              <w:t>1,855.64</w:t>
            </w:r>
          </w:p>
        </w:tc>
        <w:tc>
          <w:tcPr>
            <w:tcW w:w="528" w:type="pct"/>
            <w:vAlign w:val="center"/>
          </w:tcPr>
          <w:p w14:paraId="07607456" w14:textId="77777777" w:rsidR="002B69A3" w:rsidRPr="006511F7" w:rsidRDefault="002B69A3" w:rsidP="00D35E92">
            <w:pPr>
              <w:spacing w:line="360" w:lineRule="auto"/>
              <w:jc w:val="both"/>
              <w:rPr>
                <w:b/>
                <w:bCs/>
              </w:rPr>
            </w:pPr>
            <w:r w:rsidRPr="006511F7">
              <w:t>5.26%</w:t>
            </w:r>
          </w:p>
        </w:tc>
        <w:tc>
          <w:tcPr>
            <w:tcW w:w="593" w:type="pct"/>
            <w:vAlign w:val="center"/>
          </w:tcPr>
          <w:p w14:paraId="1A5BA8D0" w14:textId="77777777" w:rsidR="002B69A3" w:rsidRPr="006511F7" w:rsidRDefault="002B69A3" w:rsidP="00D35E92">
            <w:pPr>
              <w:spacing w:line="360" w:lineRule="auto"/>
              <w:jc w:val="both"/>
              <w:rPr>
                <w:b/>
                <w:bCs/>
              </w:rPr>
            </w:pPr>
            <w:r w:rsidRPr="006511F7">
              <w:t>2.23%</w:t>
            </w:r>
          </w:p>
        </w:tc>
        <w:tc>
          <w:tcPr>
            <w:tcW w:w="374" w:type="pct"/>
            <w:vAlign w:val="center"/>
          </w:tcPr>
          <w:p w14:paraId="4967F56D" w14:textId="77777777" w:rsidR="002B69A3" w:rsidRPr="006511F7" w:rsidRDefault="002B69A3" w:rsidP="00D35E92">
            <w:pPr>
              <w:spacing w:line="360" w:lineRule="auto"/>
              <w:jc w:val="both"/>
              <w:rPr>
                <w:b/>
                <w:bCs/>
              </w:rPr>
            </w:pPr>
            <w:r w:rsidRPr="006511F7">
              <w:t>2.18*</w:t>
            </w:r>
          </w:p>
        </w:tc>
      </w:tr>
      <w:tr w:rsidR="007652F0" w:rsidRPr="006511F7" w14:paraId="564E9D52" w14:textId="77777777" w:rsidTr="007652F0">
        <w:trPr>
          <w:trHeight w:val="20"/>
        </w:trPr>
        <w:tc>
          <w:tcPr>
            <w:tcW w:w="608" w:type="pct"/>
            <w:vAlign w:val="center"/>
          </w:tcPr>
          <w:p w14:paraId="7540C0BB" w14:textId="77777777" w:rsidR="002B69A3" w:rsidRPr="006511F7" w:rsidRDefault="002B69A3" w:rsidP="00D35E92">
            <w:pPr>
              <w:spacing w:line="360" w:lineRule="auto"/>
              <w:jc w:val="both"/>
              <w:rPr>
                <w:b/>
                <w:bCs/>
              </w:rPr>
            </w:pPr>
            <w:r w:rsidRPr="006511F7">
              <w:rPr>
                <w:b/>
                <w:bCs/>
              </w:rPr>
              <w:t>Total Variable Cost</w:t>
            </w:r>
          </w:p>
        </w:tc>
        <w:tc>
          <w:tcPr>
            <w:tcW w:w="1270" w:type="pct"/>
            <w:vAlign w:val="center"/>
          </w:tcPr>
          <w:p w14:paraId="502EB5BA" w14:textId="77777777" w:rsidR="002B69A3" w:rsidRPr="006511F7" w:rsidRDefault="002B69A3" w:rsidP="00D35E92">
            <w:pPr>
              <w:spacing w:line="360" w:lineRule="auto"/>
              <w:jc w:val="both"/>
              <w:rPr>
                <w:b/>
                <w:bCs/>
              </w:rPr>
            </w:pPr>
          </w:p>
        </w:tc>
        <w:tc>
          <w:tcPr>
            <w:tcW w:w="509" w:type="pct"/>
            <w:vAlign w:val="center"/>
          </w:tcPr>
          <w:p w14:paraId="2AFE7AB6" w14:textId="77777777" w:rsidR="002B69A3" w:rsidRPr="006511F7" w:rsidRDefault="002B69A3" w:rsidP="00D35E92">
            <w:pPr>
              <w:spacing w:line="360" w:lineRule="auto"/>
              <w:jc w:val="both"/>
              <w:rPr>
                <w:b/>
                <w:bCs/>
              </w:rPr>
            </w:pPr>
            <w:r w:rsidRPr="006511F7">
              <w:rPr>
                <w:b/>
                <w:bCs/>
              </w:rPr>
              <w:t>25,027.03</w:t>
            </w:r>
          </w:p>
        </w:tc>
        <w:tc>
          <w:tcPr>
            <w:tcW w:w="660" w:type="pct"/>
            <w:vAlign w:val="center"/>
          </w:tcPr>
          <w:p w14:paraId="7FB65F4C" w14:textId="77777777" w:rsidR="002B69A3" w:rsidRPr="006511F7" w:rsidRDefault="002B69A3" w:rsidP="00D35E92">
            <w:pPr>
              <w:spacing w:line="360" w:lineRule="auto"/>
              <w:jc w:val="both"/>
              <w:rPr>
                <w:b/>
                <w:bCs/>
              </w:rPr>
            </w:pPr>
            <w:r w:rsidRPr="006511F7">
              <w:rPr>
                <w:b/>
                <w:bCs/>
              </w:rPr>
              <w:t>78.37%</w:t>
            </w:r>
          </w:p>
        </w:tc>
        <w:tc>
          <w:tcPr>
            <w:tcW w:w="458" w:type="pct"/>
            <w:vAlign w:val="center"/>
          </w:tcPr>
          <w:p w14:paraId="1272D5E2" w14:textId="77777777" w:rsidR="002B69A3" w:rsidRPr="006511F7" w:rsidRDefault="002B69A3" w:rsidP="00D35E92">
            <w:pPr>
              <w:spacing w:line="360" w:lineRule="auto"/>
              <w:jc w:val="both"/>
              <w:rPr>
                <w:b/>
                <w:bCs/>
              </w:rPr>
            </w:pPr>
            <w:r w:rsidRPr="006511F7">
              <w:rPr>
                <w:b/>
                <w:bCs/>
              </w:rPr>
              <w:t>28,364.72</w:t>
            </w:r>
          </w:p>
        </w:tc>
        <w:tc>
          <w:tcPr>
            <w:tcW w:w="528" w:type="pct"/>
            <w:vAlign w:val="center"/>
          </w:tcPr>
          <w:p w14:paraId="5A83E889" w14:textId="77777777" w:rsidR="002B69A3" w:rsidRPr="006511F7" w:rsidRDefault="002B69A3" w:rsidP="00D35E92">
            <w:pPr>
              <w:spacing w:line="360" w:lineRule="auto"/>
              <w:jc w:val="both"/>
              <w:rPr>
                <w:b/>
                <w:bCs/>
              </w:rPr>
            </w:pPr>
            <w:r w:rsidRPr="006511F7">
              <w:rPr>
                <w:b/>
                <w:bCs/>
              </w:rPr>
              <w:t>80.42%</w:t>
            </w:r>
          </w:p>
        </w:tc>
        <w:tc>
          <w:tcPr>
            <w:tcW w:w="593" w:type="pct"/>
            <w:vAlign w:val="center"/>
          </w:tcPr>
          <w:p w14:paraId="117CBAC5" w14:textId="77777777" w:rsidR="002B69A3" w:rsidRPr="006511F7" w:rsidRDefault="002B69A3" w:rsidP="00D35E92">
            <w:pPr>
              <w:spacing w:line="360" w:lineRule="auto"/>
              <w:jc w:val="both"/>
              <w:rPr>
                <w:b/>
                <w:bCs/>
              </w:rPr>
            </w:pPr>
            <w:r w:rsidRPr="006511F7">
              <w:rPr>
                <w:b/>
                <w:bCs/>
              </w:rPr>
              <w:t>34.08%</w:t>
            </w:r>
          </w:p>
        </w:tc>
        <w:tc>
          <w:tcPr>
            <w:tcW w:w="374" w:type="pct"/>
            <w:vAlign w:val="center"/>
          </w:tcPr>
          <w:p w14:paraId="7915D9BA" w14:textId="77777777" w:rsidR="002B69A3" w:rsidRPr="006511F7" w:rsidRDefault="002B69A3" w:rsidP="00D35E92">
            <w:pPr>
              <w:spacing w:line="360" w:lineRule="auto"/>
              <w:jc w:val="both"/>
              <w:rPr>
                <w:b/>
                <w:bCs/>
              </w:rPr>
            </w:pPr>
            <w:r w:rsidRPr="006511F7">
              <w:rPr>
                <w:b/>
                <w:bCs/>
              </w:rPr>
              <w:t>8.14</w:t>
            </w:r>
          </w:p>
        </w:tc>
      </w:tr>
      <w:tr w:rsidR="007652F0" w:rsidRPr="006511F7" w14:paraId="55E0F426" w14:textId="77777777" w:rsidTr="007652F0">
        <w:trPr>
          <w:trHeight w:val="20"/>
        </w:trPr>
        <w:tc>
          <w:tcPr>
            <w:tcW w:w="608" w:type="pct"/>
            <w:vAlign w:val="center"/>
          </w:tcPr>
          <w:p w14:paraId="20F62A3C" w14:textId="77777777" w:rsidR="002B69A3" w:rsidRPr="006511F7" w:rsidRDefault="002B69A3" w:rsidP="00D35E92">
            <w:pPr>
              <w:spacing w:line="360" w:lineRule="auto"/>
              <w:jc w:val="both"/>
              <w:rPr>
                <w:b/>
                <w:bCs/>
              </w:rPr>
            </w:pPr>
            <w:r w:rsidRPr="006511F7">
              <w:t>10</w:t>
            </w:r>
          </w:p>
        </w:tc>
        <w:tc>
          <w:tcPr>
            <w:tcW w:w="1270" w:type="pct"/>
            <w:vAlign w:val="center"/>
          </w:tcPr>
          <w:p w14:paraId="1EBEF24D" w14:textId="77777777" w:rsidR="002B69A3" w:rsidRPr="006511F7" w:rsidRDefault="002B69A3" w:rsidP="00D35E92">
            <w:pPr>
              <w:spacing w:line="360" w:lineRule="auto"/>
              <w:jc w:val="both"/>
              <w:rPr>
                <w:b/>
                <w:bCs/>
              </w:rPr>
            </w:pPr>
            <w:r w:rsidRPr="006511F7">
              <w:t>Fixed Cost</w:t>
            </w:r>
          </w:p>
        </w:tc>
        <w:tc>
          <w:tcPr>
            <w:tcW w:w="509" w:type="pct"/>
            <w:vAlign w:val="center"/>
          </w:tcPr>
          <w:p w14:paraId="1E6237C9" w14:textId="77777777" w:rsidR="002B69A3" w:rsidRPr="006511F7" w:rsidRDefault="002B69A3" w:rsidP="00D35E92">
            <w:pPr>
              <w:spacing w:line="360" w:lineRule="auto"/>
              <w:jc w:val="both"/>
              <w:rPr>
                <w:b/>
                <w:bCs/>
              </w:rPr>
            </w:pPr>
            <w:r w:rsidRPr="006511F7">
              <w:t>6,907.41</w:t>
            </w:r>
          </w:p>
        </w:tc>
        <w:tc>
          <w:tcPr>
            <w:tcW w:w="660" w:type="pct"/>
            <w:vAlign w:val="center"/>
          </w:tcPr>
          <w:p w14:paraId="3902DC42" w14:textId="77777777" w:rsidR="002B69A3" w:rsidRPr="006511F7" w:rsidRDefault="002B69A3" w:rsidP="00D35E92">
            <w:pPr>
              <w:spacing w:line="360" w:lineRule="auto"/>
              <w:jc w:val="both"/>
              <w:rPr>
                <w:b/>
                <w:bCs/>
              </w:rPr>
            </w:pPr>
            <w:r w:rsidRPr="006511F7">
              <w:t>21.63%</w:t>
            </w:r>
          </w:p>
        </w:tc>
        <w:tc>
          <w:tcPr>
            <w:tcW w:w="458" w:type="pct"/>
            <w:vAlign w:val="center"/>
          </w:tcPr>
          <w:p w14:paraId="3DC89955" w14:textId="77777777" w:rsidR="002B69A3" w:rsidRPr="006511F7" w:rsidRDefault="002B69A3" w:rsidP="00D35E92">
            <w:pPr>
              <w:spacing w:line="360" w:lineRule="auto"/>
              <w:jc w:val="both"/>
              <w:rPr>
                <w:b/>
                <w:bCs/>
              </w:rPr>
            </w:pPr>
            <w:r w:rsidRPr="006511F7">
              <w:t>6,905.92</w:t>
            </w:r>
          </w:p>
        </w:tc>
        <w:tc>
          <w:tcPr>
            <w:tcW w:w="528" w:type="pct"/>
            <w:vAlign w:val="center"/>
          </w:tcPr>
          <w:p w14:paraId="53AF250C" w14:textId="77777777" w:rsidR="002B69A3" w:rsidRPr="006511F7" w:rsidRDefault="002B69A3" w:rsidP="00D35E92">
            <w:pPr>
              <w:spacing w:line="360" w:lineRule="auto"/>
              <w:jc w:val="both"/>
              <w:rPr>
                <w:b/>
                <w:bCs/>
              </w:rPr>
            </w:pPr>
            <w:r w:rsidRPr="006511F7">
              <w:t>19.58%</w:t>
            </w:r>
          </w:p>
        </w:tc>
        <w:tc>
          <w:tcPr>
            <w:tcW w:w="593" w:type="pct"/>
            <w:vAlign w:val="center"/>
          </w:tcPr>
          <w:p w14:paraId="012D2F08" w14:textId="77777777" w:rsidR="002B69A3" w:rsidRPr="006511F7" w:rsidRDefault="002B69A3" w:rsidP="00D35E92">
            <w:pPr>
              <w:spacing w:line="360" w:lineRule="auto"/>
              <w:jc w:val="both"/>
              <w:rPr>
                <w:b/>
                <w:bCs/>
              </w:rPr>
            </w:pPr>
            <w:r w:rsidRPr="006511F7">
              <w:t>-0.02%</w:t>
            </w:r>
          </w:p>
        </w:tc>
        <w:tc>
          <w:tcPr>
            <w:tcW w:w="374" w:type="pct"/>
            <w:vAlign w:val="center"/>
          </w:tcPr>
          <w:p w14:paraId="3D71E813" w14:textId="77777777" w:rsidR="002B69A3" w:rsidRPr="006511F7" w:rsidRDefault="002B69A3" w:rsidP="00D35E92">
            <w:pPr>
              <w:spacing w:line="360" w:lineRule="auto"/>
              <w:jc w:val="both"/>
              <w:rPr>
                <w:b/>
                <w:bCs/>
              </w:rPr>
            </w:pPr>
            <w:r w:rsidRPr="006511F7">
              <w:t>-0.03</w:t>
            </w:r>
          </w:p>
        </w:tc>
      </w:tr>
      <w:tr w:rsidR="007652F0" w:rsidRPr="006511F7" w14:paraId="13CCB0A1" w14:textId="77777777" w:rsidTr="007652F0">
        <w:trPr>
          <w:trHeight w:val="20"/>
        </w:trPr>
        <w:tc>
          <w:tcPr>
            <w:tcW w:w="608" w:type="pct"/>
            <w:vAlign w:val="center"/>
          </w:tcPr>
          <w:p w14:paraId="3203338B" w14:textId="77777777" w:rsidR="002B69A3" w:rsidRPr="006511F7" w:rsidRDefault="002B69A3" w:rsidP="00D35E92">
            <w:pPr>
              <w:spacing w:line="360" w:lineRule="auto"/>
              <w:jc w:val="both"/>
              <w:rPr>
                <w:b/>
                <w:bCs/>
              </w:rPr>
            </w:pPr>
            <w:r w:rsidRPr="006511F7">
              <w:rPr>
                <w:b/>
                <w:bCs/>
              </w:rPr>
              <w:lastRenderedPageBreak/>
              <w:t>Total Cost (Variable + Fixed)</w:t>
            </w:r>
          </w:p>
        </w:tc>
        <w:tc>
          <w:tcPr>
            <w:tcW w:w="1270" w:type="pct"/>
            <w:vAlign w:val="center"/>
          </w:tcPr>
          <w:p w14:paraId="3FDD17E3" w14:textId="77777777" w:rsidR="002B69A3" w:rsidRPr="006511F7" w:rsidRDefault="002B69A3" w:rsidP="00D35E92">
            <w:pPr>
              <w:spacing w:line="360" w:lineRule="auto"/>
              <w:jc w:val="both"/>
              <w:rPr>
                <w:b/>
                <w:bCs/>
              </w:rPr>
            </w:pPr>
          </w:p>
        </w:tc>
        <w:tc>
          <w:tcPr>
            <w:tcW w:w="509" w:type="pct"/>
            <w:vAlign w:val="center"/>
          </w:tcPr>
          <w:p w14:paraId="1FEA48BE" w14:textId="77777777" w:rsidR="002B69A3" w:rsidRPr="006511F7" w:rsidRDefault="002B69A3" w:rsidP="00D35E92">
            <w:pPr>
              <w:spacing w:line="360" w:lineRule="auto"/>
              <w:jc w:val="both"/>
              <w:rPr>
                <w:b/>
                <w:bCs/>
              </w:rPr>
            </w:pPr>
            <w:r w:rsidRPr="006511F7">
              <w:rPr>
                <w:b/>
                <w:bCs/>
              </w:rPr>
              <w:t>31,934.44</w:t>
            </w:r>
          </w:p>
        </w:tc>
        <w:tc>
          <w:tcPr>
            <w:tcW w:w="660" w:type="pct"/>
            <w:vAlign w:val="center"/>
          </w:tcPr>
          <w:p w14:paraId="79F55C5D" w14:textId="77777777" w:rsidR="002B69A3" w:rsidRPr="006511F7" w:rsidRDefault="002B69A3" w:rsidP="00D35E92">
            <w:pPr>
              <w:spacing w:line="360" w:lineRule="auto"/>
              <w:jc w:val="both"/>
              <w:rPr>
                <w:b/>
                <w:bCs/>
              </w:rPr>
            </w:pPr>
            <w:r w:rsidRPr="006511F7">
              <w:rPr>
                <w:b/>
                <w:bCs/>
              </w:rPr>
              <w:t>100%</w:t>
            </w:r>
          </w:p>
        </w:tc>
        <w:tc>
          <w:tcPr>
            <w:tcW w:w="458" w:type="pct"/>
            <w:vAlign w:val="center"/>
          </w:tcPr>
          <w:p w14:paraId="54E55697" w14:textId="77777777" w:rsidR="002B69A3" w:rsidRPr="006511F7" w:rsidRDefault="002B69A3" w:rsidP="00D35E92">
            <w:pPr>
              <w:spacing w:line="360" w:lineRule="auto"/>
              <w:jc w:val="both"/>
              <w:rPr>
                <w:b/>
                <w:bCs/>
              </w:rPr>
            </w:pPr>
            <w:r w:rsidRPr="006511F7">
              <w:rPr>
                <w:b/>
                <w:bCs/>
              </w:rPr>
              <w:t>35,270.64</w:t>
            </w:r>
          </w:p>
        </w:tc>
        <w:tc>
          <w:tcPr>
            <w:tcW w:w="528" w:type="pct"/>
            <w:vAlign w:val="center"/>
          </w:tcPr>
          <w:p w14:paraId="7D37D3F7" w14:textId="77777777" w:rsidR="002B69A3" w:rsidRPr="006511F7" w:rsidRDefault="002B69A3" w:rsidP="00D35E92">
            <w:pPr>
              <w:spacing w:line="360" w:lineRule="auto"/>
              <w:jc w:val="both"/>
              <w:rPr>
                <w:b/>
                <w:bCs/>
              </w:rPr>
            </w:pPr>
            <w:r w:rsidRPr="006511F7">
              <w:rPr>
                <w:b/>
                <w:bCs/>
              </w:rPr>
              <w:t>100%</w:t>
            </w:r>
          </w:p>
        </w:tc>
        <w:tc>
          <w:tcPr>
            <w:tcW w:w="593" w:type="pct"/>
            <w:vAlign w:val="center"/>
          </w:tcPr>
          <w:p w14:paraId="61CBA742" w14:textId="77777777" w:rsidR="002B69A3" w:rsidRPr="006511F7" w:rsidRDefault="002B69A3" w:rsidP="00D35E92">
            <w:pPr>
              <w:spacing w:line="360" w:lineRule="auto"/>
              <w:jc w:val="both"/>
              <w:rPr>
                <w:b/>
                <w:bCs/>
              </w:rPr>
            </w:pPr>
            <w:r w:rsidRPr="006511F7">
              <w:rPr>
                <w:b/>
                <w:bCs/>
              </w:rPr>
              <w:t>100%</w:t>
            </w:r>
          </w:p>
        </w:tc>
        <w:tc>
          <w:tcPr>
            <w:tcW w:w="374" w:type="pct"/>
            <w:vAlign w:val="center"/>
          </w:tcPr>
          <w:p w14:paraId="5CDC8AFB" w14:textId="77777777" w:rsidR="002B69A3" w:rsidRPr="006511F7" w:rsidRDefault="002B69A3" w:rsidP="00D35E92">
            <w:pPr>
              <w:spacing w:line="360" w:lineRule="auto"/>
              <w:jc w:val="both"/>
              <w:rPr>
                <w:b/>
                <w:bCs/>
              </w:rPr>
            </w:pPr>
            <w:r w:rsidRPr="006511F7">
              <w:rPr>
                <w:b/>
                <w:bCs/>
              </w:rPr>
              <w:t>-7.90</w:t>
            </w:r>
          </w:p>
        </w:tc>
      </w:tr>
    </w:tbl>
    <w:p w14:paraId="6F25ECE5" w14:textId="656BF2BC" w:rsidR="00092A50" w:rsidRPr="003C16DA" w:rsidRDefault="00092A50" w:rsidP="007652F0">
      <w:pPr>
        <w:spacing w:before="120" w:after="0" w:line="360" w:lineRule="auto"/>
        <w:jc w:val="both"/>
      </w:pPr>
      <w:r w:rsidRPr="003C16DA">
        <w:rPr>
          <w:b/>
          <w:bCs/>
        </w:rPr>
        <w:t>Note:</w:t>
      </w:r>
      <w:r w:rsidRPr="003C16DA">
        <w:t xml:space="preserve"> Significant at 1% level of probability (</w:t>
      </w:r>
      <w:r w:rsidR="002B69A3" w:rsidRPr="003C16DA">
        <w:t>**</w:t>
      </w:r>
      <w:r w:rsidRPr="003C16DA">
        <w:t>) and 5% level of probability (*)</w:t>
      </w:r>
    </w:p>
    <w:p w14:paraId="2D66A678" w14:textId="77777777" w:rsidR="00092A50" w:rsidRDefault="00092A50" w:rsidP="00092A50">
      <w:pPr>
        <w:spacing w:line="360" w:lineRule="auto"/>
        <w:jc w:val="both"/>
        <w:rPr>
          <w:b/>
          <w:bCs/>
        </w:rPr>
        <w:sectPr w:rsidR="00092A50" w:rsidSect="00092A50">
          <w:pgSz w:w="16838" w:h="11906" w:orient="landscape"/>
          <w:pgMar w:top="1440" w:right="1440" w:bottom="1440" w:left="1440" w:header="709" w:footer="709" w:gutter="0"/>
          <w:cols w:space="708"/>
          <w:docGrid w:linePitch="360"/>
        </w:sectPr>
      </w:pPr>
    </w:p>
    <w:p w14:paraId="7C5BD625" w14:textId="5D3BE047" w:rsidR="000C1D72" w:rsidRDefault="000C1D72" w:rsidP="000C1D72">
      <w:pPr>
        <w:spacing w:before="240" w:after="240" w:line="360" w:lineRule="auto"/>
        <w:rPr>
          <w:b/>
          <w:bCs/>
        </w:rPr>
      </w:pPr>
      <w:r>
        <w:rPr>
          <w:noProof/>
          <w:lang w:val="en-US"/>
        </w:rPr>
        <w:lastRenderedPageBreak/>
        <w:drawing>
          <wp:anchor distT="0" distB="0" distL="114300" distR="114300" simplePos="0" relativeHeight="251659264" behindDoc="0" locked="0" layoutInCell="1" allowOverlap="1" wp14:anchorId="45EF2350" wp14:editId="68BB02E8">
            <wp:simplePos x="0" y="0"/>
            <wp:positionH relativeFrom="column">
              <wp:posOffset>-76200</wp:posOffset>
            </wp:positionH>
            <wp:positionV relativeFrom="paragraph">
              <wp:posOffset>0</wp:posOffset>
            </wp:positionV>
            <wp:extent cx="5753100" cy="3394710"/>
            <wp:effectExtent l="0" t="0" r="0" b="15240"/>
            <wp:wrapTopAndBottom/>
            <wp:docPr id="1336841710" name="Chart 1">
              <a:extLst xmlns:a="http://schemas.openxmlformats.org/drawingml/2006/main">
                <a:ext uri="{FF2B5EF4-FFF2-40B4-BE49-F238E27FC236}">
                  <a16:creationId xmlns:a16="http://schemas.microsoft.com/office/drawing/2014/main" id="{B8E63CCF-6861-93B0-863F-C44E2FCA3F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b/>
          <w:bCs/>
        </w:rPr>
        <w:t xml:space="preserve">Fig 1: </w:t>
      </w:r>
      <w:r w:rsidRPr="000C1D72">
        <w:rPr>
          <w:b/>
          <w:bCs/>
        </w:rPr>
        <w:t>Cost Comparison of Maize Cultivation Inputs for KHFPC Members and Non-Members</w:t>
      </w:r>
    </w:p>
    <w:p w14:paraId="6F845000" w14:textId="1A5120BA" w:rsidR="00090E37" w:rsidRPr="00090E37" w:rsidRDefault="00090E37" w:rsidP="00090E37">
      <w:pPr>
        <w:spacing w:before="240" w:after="240" w:line="360" w:lineRule="auto"/>
        <w:jc w:val="both"/>
      </w:pPr>
      <w:r w:rsidRPr="00090E37">
        <w:t>The comparison of yield, gross returns</w:t>
      </w:r>
      <w:r w:rsidR="008657A5">
        <w:t xml:space="preserve"> and</w:t>
      </w:r>
      <w:r w:rsidRPr="00090E37">
        <w:t xml:space="preserve"> net returns between KHFPCL members and non-members, as presented in Table 2, reveals substantial differences that underscore the economic advantages associated with collective participation in the KHFPCL organization. These differences can be attributed to improved access to resources, better market linkages and the institutional support provided to members, which contribute to enhanced productivity and profitability.</w:t>
      </w:r>
    </w:p>
    <w:p w14:paraId="41FDF29B" w14:textId="7FF6295D" w:rsidR="00090E37" w:rsidRPr="00090E37" w:rsidRDefault="00090E37" w:rsidP="00090E37">
      <w:pPr>
        <w:spacing w:before="240" w:after="240" w:line="360" w:lineRule="auto"/>
        <w:jc w:val="both"/>
      </w:pPr>
      <w:r>
        <w:t>T</w:t>
      </w:r>
      <w:r w:rsidRPr="00090E37">
        <w:t>he yield per hectare for KHFPCL members stands at 25 quintals, compared to 23 quintals for non-members. This 3.9% higher yield, with a statistically significant t-statistic of 3.91, highlights the positive impact of collective action on agricultural productivity. The higher yield among members can be attributed to several factors, including better access to high-quality seeds, fertilizers and advanced agronomic practices</w:t>
      </w:r>
      <w:r w:rsidR="00CF4A5E">
        <w:t xml:space="preserve"> (</w:t>
      </w:r>
      <w:proofErr w:type="spellStart"/>
      <w:r w:rsidR="00CF4A5E" w:rsidRPr="00CF4A5E">
        <w:t>Beleri</w:t>
      </w:r>
      <w:proofErr w:type="spellEnd"/>
      <w:r w:rsidR="00CF4A5E">
        <w:t xml:space="preserve"> et al., 2025)</w:t>
      </w:r>
      <w:r w:rsidRPr="00090E37">
        <w:t xml:space="preserve">. KHFPCL members benefit from training and knowledge dissemination on improved cultivation techniques, efficient resource management and timely access to inputs, which contribute to higher productivity levels. </w:t>
      </w:r>
      <w:r>
        <w:t>T</w:t>
      </w:r>
      <w:r w:rsidRPr="00090E37">
        <w:t>he cooperative model allows members to share best practices and experiences, fostering a culture of innovation and continuous improvement.</w:t>
      </w:r>
    </w:p>
    <w:p w14:paraId="4650FFA5" w14:textId="6DF2D964" w:rsidR="00090E37" w:rsidRPr="00090E37" w:rsidRDefault="00090E37" w:rsidP="00090E37">
      <w:pPr>
        <w:spacing w:before="240" w:after="240" w:line="360" w:lineRule="auto"/>
        <w:jc w:val="both"/>
      </w:pPr>
      <w:r w:rsidRPr="00090E37">
        <w:t xml:space="preserve">Gross returns of KHFPCL membership. Members report gross returns of ₹50,000.00, which is 22.9% higher than the ₹41,400.00 earned by non-members. This substantial difference, </w:t>
      </w:r>
      <w:r w:rsidRPr="00090E37">
        <w:lastRenderedPageBreak/>
        <w:t>supported by a highly significant t-statistic of 5.72, suggests that KHFPCL members not only achieve higher yields but also secure better market prices for their produce. The enhanced market access provided by KHFPCL likely enables members to engage in collective bargaining, negotiate better prices</w:t>
      </w:r>
      <w:r w:rsidR="008657A5">
        <w:t xml:space="preserve"> and</w:t>
      </w:r>
      <w:r w:rsidRPr="00090E37">
        <w:t xml:space="preserve"> reduce the dependency on middlemen. Additionally, the cooperative’s established market linkages and institutional support help members identify and access more lucrative markets, contributing to higher revenue generation</w:t>
      </w:r>
      <w:r w:rsidR="00CF4A5E">
        <w:t xml:space="preserve"> (</w:t>
      </w:r>
      <w:proofErr w:type="spellStart"/>
      <w:r w:rsidR="00CF4A5E" w:rsidRPr="00797C08">
        <w:t>Busungu</w:t>
      </w:r>
      <w:proofErr w:type="spellEnd"/>
      <w:r w:rsidR="00CF4A5E" w:rsidRPr="00797C08">
        <w:t>, 2025</w:t>
      </w:r>
      <w:r w:rsidR="00CF4A5E">
        <w:t>)</w:t>
      </w:r>
      <w:r w:rsidRPr="00090E37">
        <w:t>.</w:t>
      </w:r>
    </w:p>
    <w:p w14:paraId="2C6C46E4" w14:textId="5378D64D" w:rsidR="00090E37" w:rsidRPr="00090E37" w:rsidRDefault="00090E37" w:rsidP="00090E37">
      <w:pPr>
        <w:spacing w:before="240" w:after="240" w:line="360" w:lineRule="auto"/>
        <w:jc w:val="both"/>
      </w:pPr>
      <w:r w:rsidRPr="00090E37">
        <w:t>The most striking difference is observed in net returns, where KHFPCL members earn ₹18,065.56 compared to ₹6,129.36 for non-members</w:t>
      </w:r>
      <w:r>
        <w:t xml:space="preserve">, </w:t>
      </w:r>
      <w:r w:rsidRPr="00090E37">
        <w:t xml:space="preserve">a remarkable 53.3% higher net return. This difference, with a highly significant t-statistic of 6.82, underscores the efficiency and profitability associated with KHFPCL membership. The higher net returns can be attributed to the combination of lower production costs and higher revenue. As noted in the earlier cost analysis, KHFPCL members benefit from reduced input costs, optimized use of resources and more </w:t>
      </w:r>
      <w:proofErr w:type="spellStart"/>
      <w:r w:rsidRPr="00090E37">
        <w:t>favorable</w:t>
      </w:r>
      <w:proofErr w:type="spellEnd"/>
      <w:r w:rsidRPr="00090E37">
        <w:t xml:space="preserve"> credit terms. These cost savings, coupled with increased yields and better market prices, translate directly into higher net profitability</w:t>
      </w:r>
      <w:r w:rsidR="00CF4A5E">
        <w:t xml:space="preserve"> (</w:t>
      </w:r>
      <w:r w:rsidR="00CF4A5E" w:rsidRPr="00374CD9">
        <w:t>Hajong</w:t>
      </w:r>
      <w:r w:rsidR="00CF4A5E">
        <w:t xml:space="preserve"> et al., 2024)</w:t>
      </w:r>
      <w:r w:rsidRPr="00090E37">
        <w:t>.</w:t>
      </w:r>
    </w:p>
    <w:p w14:paraId="50E86C86" w14:textId="71140522" w:rsidR="00090E37" w:rsidRPr="00090E37" w:rsidRDefault="00CF4A5E" w:rsidP="00090E37">
      <w:pPr>
        <w:spacing w:before="240" w:after="240" w:line="360" w:lineRule="auto"/>
        <w:jc w:val="both"/>
      </w:pPr>
      <w:r>
        <w:t>T</w:t>
      </w:r>
      <w:r w:rsidR="00090E37" w:rsidRPr="00090E37">
        <w:t>he ability of KHFPCL members to minimize production costs while maximizing returns indicates the effectiveness of the cooperative model in enhancing overall farm efficiency</w:t>
      </w:r>
      <w:r>
        <w:t xml:space="preserve"> (</w:t>
      </w:r>
      <w:r w:rsidRPr="00CF4A5E">
        <w:t xml:space="preserve">Dutta </w:t>
      </w:r>
      <w:r>
        <w:t>et al., 2023)</w:t>
      </w:r>
      <w:r w:rsidR="00090E37" w:rsidRPr="00090E37">
        <w:t xml:space="preserve">. The collective approach allows members to benefit from economies of scale, bulk purchasing of inputs, </w:t>
      </w:r>
      <w:proofErr w:type="gramStart"/>
      <w:r w:rsidR="00090E37" w:rsidRPr="00090E37">
        <w:t>shared</w:t>
      </w:r>
      <w:proofErr w:type="gramEnd"/>
      <w:r w:rsidR="00090E37" w:rsidRPr="00090E37">
        <w:t xml:space="preserve"> access to machinery and collective marketing efforts. These advantages not only reduce per-unit costs but also enhance bargaining power and market access, leading to higher overall profitability</w:t>
      </w:r>
      <w:r w:rsidR="006511F7">
        <w:t xml:space="preserve"> (Kotyal, 2023)</w:t>
      </w:r>
      <w:r w:rsidR="00090E37" w:rsidRPr="00090E37">
        <w:t>.</w:t>
      </w:r>
    </w:p>
    <w:p w14:paraId="4BC399A4" w14:textId="6238A2DA" w:rsidR="00092A50" w:rsidRDefault="00092A50" w:rsidP="00092A50">
      <w:pPr>
        <w:spacing w:before="240" w:after="240" w:line="360" w:lineRule="auto"/>
        <w:jc w:val="both"/>
        <w:rPr>
          <w:b/>
          <w:bCs/>
        </w:rPr>
      </w:pPr>
      <w:r w:rsidRPr="00993AC9">
        <w:rPr>
          <w:b/>
          <w:bCs/>
        </w:rPr>
        <w:t>Table 2: Yield, Gross Returns</w:t>
      </w:r>
      <w:r>
        <w:rPr>
          <w:b/>
          <w:bCs/>
        </w:rPr>
        <w:t xml:space="preserve"> and</w:t>
      </w:r>
      <w:r w:rsidRPr="00993AC9">
        <w:rPr>
          <w:b/>
          <w:bCs/>
        </w:rPr>
        <w:t xml:space="preserve"> Net Returns Comparison</w:t>
      </w:r>
    </w:p>
    <w:tbl>
      <w:tblPr>
        <w:tblStyle w:val="TableGrid"/>
        <w:tblW w:w="5000" w:type="pct"/>
        <w:jc w:val="center"/>
        <w:tblLook w:val="04A0" w:firstRow="1" w:lastRow="0" w:firstColumn="1" w:lastColumn="0" w:noHBand="0" w:noVBand="1"/>
      </w:tblPr>
      <w:tblGrid>
        <w:gridCol w:w="2123"/>
        <w:gridCol w:w="1700"/>
        <w:gridCol w:w="1985"/>
        <w:gridCol w:w="1843"/>
        <w:gridCol w:w="1365"/>
      </w:tblGrid>
      <w:tr w:rsidR="000C1D72" w14:paraId="6C7584B2" w14:textId="77777777" w:rsidTr="00D74A90">
        <w:trPr>
          <w:trHeight w:val="20"/>
          <w:jc w:val="center"/>
        </w:trPr>
        <w:tc>
          <w:tcPr>
            <w:tcW w:w="1177" w:type="pct"/>
            <w:vAlign w:val="center"/>
          </w:tcPr>
          <w:p w14:paraId="264E6DA0" w14:textId="77777777" w:rsidR="000C1D72" w:rsidRPr="003C16DA" w:rsidRDefault="000C1D72" w:rsidP="00D74A90">
            <w:pPr>
              <w:spacing w:line="360" w:lineRule="auto"/>
              <w:jc w:val="both"/>
              <w:rPr>
                <w:b/>
                <w:bCs/>
              </w:rPr>
            </w:pPr>
            <w:r w:rsidRPr="003C16DA">
              <w:rPr>
                <w:b/>
                <w:bCs/>
              </w:rPr>
              <w:t>Particulars</w:t>
            </w:r>
          </w:p>
        </w:tc>
        <w:tc>
          <w:tcPr>
            <w:tcW w:w="943" w:type="pct"/>
            <w:vAlign w:val="center"/>
          </w:tcPr>
          <w:p w14:paraId="29D06A31" w14:textId="4FAC3453" w:rsidR="000C1D72" w:rsidRPr="003C16DA" w:rsidRDefault="000C1D72" w:rsidP="00D74A90">
            <w:pPr>
              <w:spacing w:line="360" w:lineRule="auto"/>
              <w:jc w:val="both"/>
              <w:rPr>
                <w:b/>
                <w:bCs/>
              </w:rPr>
            </w:pPr>
            <w:r w:rsidRPr="003C16DA">
              <w:rPr>
                <w:b/>
                <w:bCs/>
              </w:rPr>
              <w:t xml:space="preserve">KHFPCL Members </w:t>
            </w:r>
          </w:p>
        </w:tc>
        <w:tc>
          <w:tcPr>
            <w:tcW w:w="1101" w:type="pct"/>
            <w:vAlign w:val="center"/>
          </w:tcPr>
          <w:p w14:paraId="3B86B630" w14:textId="77777777" w:rsidR="000C1D72" w:rsidRPr="003C16DA" w:rsidRDefault="000C1D72" w:rsidP="00D74A90">
            <w:pPr>
              <w:spacing w:line="360" w:lineRule="auto"/>
              <w:jc w:val="both"/>
              <w:rPr>
                <w:b/>
                <w:bCs/>
              </w:rPr>
            </w:pPr>
            <w:r>
              <w:rPr>
                <w:b/>
                <w:bCs/>
              </w:rPr>
              <w:t>Non-</w:t>
            </w:r>
            <w:r w:rsidRPr="003C16DA">
              <w:rPr>
                <w:b/>
                <w:bCs/>
              </w:rPr>
              <w:t xml:space="preserve">Members </w:t>
            </w:r>
          </w:p>
        </w:tc>
        <w:tc>
          <w:tcPr>
            <w:tcW w:w="1022" w:type="pct"/>
            <w:vAlign w:val="center"/>
          </w:tcPr>
          <w:p w14:paraId="3A0827DB" w14:textId="77777777" w:rsidR="000C1D72" w:rsidRPr="003C16DA" w:rsidRDefault="000C1D72" w:rsidP="00D74A90">
            <w:pPr>
              <w:spacing w:line="360" w:lineRule="auto"/>
              <w:jc w:val="both"/>
              <w:rPr>
                <w:b/>
                <w:bCs/>
              </w:rPr>
            </w:pPr>
            <w:r w:rsidRPr="003C16DA">
              <w:rPr>
                <w:b/>
                <w:bCs/>
              </w:rPr>
              <w:t>Impact of KHFPCL (%)</w:t>
            </w:r>
          </w:p>
        </w:tc>
        <w:tc>
          <w:tcPr>
            <w:tcW w:w="758" w:type="pct"/>
            <w:vAlign w:val="center"/>
          </w:tcPr>
          <w:p w14:paraId="65EDBCEC" w14:textId="77777777" w:rsidR="000C1D72" w:rsidRPr="003C16DA" w:rsidRDefault="000C1D72" w:rsidP="00D74A90">
            <w:pPr>
              <w:spacing w:line="360" w:lineRule="auto"/>
              <w:jc w:val="both"/>
              <w:rPr>
                <w:b/>
                <w:bCs/>
              </w:rPr>
            </w:pPr>
            <w:r w:rsidRPr="003C16DA">
              <w:rPr>
                <w:b/>
                <w:bCs/>
              </w:rPr>
              <w:t>t-Statistic</w:t>
            </w:r>
          </w:p>
        </w:tc>
      </w:tr>
      <w:tr w:rsidR="000C1D72" w14:paraId="7DB7BB7C" w14:textId="77777777" w:rsidTr="00D74A90">
        <w:trPr>
          <w:trHeight w:val="20"/>
          <w:jc w:val="center"/>
        </w:trPr>
        <w:tc>
          <w:tcPr>
            <w:tcW w:w="1177" w:type="pct"/>
            <w:vAlign w:val="center"/>
          </w:tcPr>
          <w:p w14:paraId="73708E22" w14:textId="77777777" w:rsidR="000C1D72" w:rsidRDefault="000C1D72" w:rsidP="00D74A90">
            <w:pPr>
              <w:spacing w:line="360" w:lineRule="auto"/>
              <w:jc w:val="both"/>
              <w:rPr>
                <w:b/>
                <w:bCs/>
              </w:rPr>
            </w:pPr>
            <w:r w:rsidRPr="003C16DA">
              <w:rPr>
                <w:b/>
                <w:bCs/>
              </w:rPr>
              <w:t>Yield (Quintals)</w:t>
            </w:r>
          </w:p>
        </w:tc>
        <w:tc>
          <w:tcPr>
            <w:tcW w:w="943" w:type="pct"/>
            <w:vAlign w:val="center"/>
          </w:tcPr>
          <w:p w14:paraId="400996BA" w14:textId="77777777" w:rsidR="000C1D72" w:rsidRDefault="000C1D72" w:rsidP="00D74A90">
            <w:pPr>
              <w:spacing w:line="360" w:lineRule="auto"/>
              <w:jc w:val="both"/>
              <w:rPr>
                <w:b/>
                <w:bCs/>
              </w:rPr>
            </w:pPr>
            <w:r w:rsidRPr="003C16DA">
              <w:rPr>
                <w:b/>
                <w:bCs/>
              </w:rPr>
              <w:t>25</w:t>
            </w:r>
          </w:p>
        </w:tc>
        <w:tc>
          <w:tcPr>
            <w:tcW w:w="1101" w:type="pct"/>
            <w:vAlign w:val="center"/>
          </w:tcPr>
          <w:p w14:paraId="4AE83875" w14:textId="77777777" w:rsidR="000C1D72" w:rsidRDefault="000C1D72" w:rsidP="00D74A90">
            <w:pPr>
              <w:spacing w:line="360" w:lineRule="auto"/>
              <w:jc w:val="both"/>
              <w:rPr>
                <w:b/>
                <w:bCs/>
              </w:rPr>
            </w:pPr>
            <w:r w:rsidRPr="003C16DA">
              <w:rPr>
                <w:b/>
                <w:bCs/>
              </w:rPr>
              <w:t>23</w:t>
            </w:r>
          </w:p>
        </w:tc>
        <w:tc>
          <w:tcPr>
            <w:tcW w:w="1022" w:type="pct"/>
            <w:vAlign w:val="center"/>
          </w:tcPr>
          <w:p w14:paraId="49CAC701" w14:textId="77777777" w:rsidR="000C1D72" w:rsidRDefault="000C1D72" w:rsidP="00D74A90">
            <w:pPr>
              <w:spacing w:line="360" w:lineRule="auto"/>
              <w:jc w:val="both"/>
              <w:rPr>
                <w:b/>
                <w:bCs/>
              </w:rPr>
            </w:pPr>
            <w:r w:rsidRPr="003C16DA">
              <w:rPr>
                <w:b/>
                <w:bCs/>
              </w:rPr>
              <w:t>3.9%</w:t>
            </w:r>
          </w:p>
        </w:tc>
        <w:tc>
          <w:tcPr>
            <w:tcW w:w="758" w:type="pct"/>
            <w:vAlign w:val="center"/>
          </w:tcPr>
          <w:p w14:paraId="03415DCA" w14:textId="77777777" w:rsidR="000C1D72" w:rsidRDefault="000C1D72" w:rsidP="00D74A90">
            <w:pPr>
              <w:spacing w:line="360" w:lineRule="auto"/>
              <w:jc w:val="both"/>
              <w:rPr>
                <w:b/>
                <w:bCs/>
              </w:rPr>
            </w:pPr>
            <w:r w:rsidRPr="003C16DA">
              <w:rPr>
                <w:b/>
                <w:bCs/>
              </w:rPr>
              <w:t>3.91</w:t>
            </w:r>
          </w:p>
        </w:tc>
      </w:tr>
      <w:tr w:rsidR="000C1D72" w14:paraId="5C922FE2" w14:textId="77777777" w:rsidTr="00D74A90">
        <w:trPr>
          <w:trHeight w:val="20"/>
          <w:jc w:val="center"/>
        </w:trPr>
        <w:tc>
          <w:tcPr>
            <w:tcW w:w="1177" w:type="pct"/>
            <w:vAlign w:val="center"/>
          </w:tcPr>
          <w:p w14:paraId="0CA09198" w14:textId="77777777" w:rsidR="000C1D72" w:rsidRDefault="000C1D72" w:rsidP="00D74A90">
            <w:pPr>
              <w:spacing w:line="360" w:lineRule="auto"/>
              <w:jc w:val="both"/>
              <w:rPr>
                <w:b/>
                <w:bCs/>
              </w:rPr>
            </w:pPr>
            <w:r w:rsidRPr="003C16DA">
              <w:rPr>
                <w:b/>
                <w:bCs/>
              </w:rPr>
              <w:t>Gross Returns (₹)</w:t>
            </w:r>
          </w:p>
        </w:tc>
        <w:tc>
          <w:tcPr>
            <w:tcW w:w="943" w:type="pct"/>
            <w:vAlign w:val="center"/>
          </w:tcPr>
          <w:p w14:paraId="06FE1CE9" w14:textId="77777777" w:rsidR="000C1D72" w:rsidRDefault="000C1D72" w:rsidP="00D74A90">
            <w:pPr>
              <w:spacing w:line="360" w:lineRule="auto"/>
              <w:jc w:val="both"/>
              <w:rPr>
                <w:b/>
                <w:bCs/>
              </w:rPr>
            </w:pPr>
            <w:r w:rsidRPr="003C16DA">
              <w:rPr>
                <w:b/>
                <w:bCs/>
              </w:rPr>
              <w:t>50,000.00</w:t>
            </w:r>
          </w:p>
        </w:tc>
        <w:tc>
          <w:tcPr>
            <w:tcW w:w="1101" w:type="pct"/>
            <w:vAlign w:val="center"/>
          </w:tcPr>
          <w:p w14:paraId="5DA7BBF5" w14:textId="77777777" w:rsidR="000C1D72" w:rsidRDefault="000C1D72" w:rsidP="00D74A90">
            <w:pPr>
              <w:spacing w:line="360" w:lineRule="auto"/>
              <w:jc w:val="both"/>
              <w:rPr>
                <w:b/>
                <w:bCs/>
              </w:rPr>
            </w:pPr>
            <w:r w:rsidRPr="003C16DA">
              <w:rPr>
                <w:b/>
                <w:bCs/>
              </w:rPr>
              <w:t>41,400.00</w:t>
            </w:r>
          </w:p>
        </w:tc>
        <w:tc>
          <w:tcPr>
            <w:tcW w:w="1022" w:type="pct"/>
            <w:vAlign w:val="center"/>
          </w:tcPr>
          <w:p w14:paraId="06E29161" w14:textId="77777777" w:rsidR="000C1D72" w:rsidRDefault="000C1D72" w:rsidP="00D74A90">
            <w:pPr>
              <w:spacing w:line="360" w:lineRule="auto"/>
              <w:jc w:val="both"/>
              <w:rPr>
                <w:b/>
                <w:bCs/>
              </w:rPr>
            </w:pPr>
            <w:r w:rsidRPr="003C16DA">
              <w:rPr>
                <w:b/>
                <w:bCs/>
              </w:rPr>
              <w:t>22.9%</w:t>
            </w:r>
          </w:p>
        </w:tc>
        <w:tc>
          <w:tcPr>
            <w:tcW w:w="758" w:type="pct"/>
            <w:vAlign w:val="center"/>
          </w:tcPr>
          <w:p w14:paraId="3CEFF4E1" w14:textId="77777777" w:rsidR="000C1D72" w:rsidRDefault="000C1D72" w:rsidP="00D74A90">
            <w:pPr>
              <w:spacing w:line="360" w:lineRule="auto"/>
              <w:jc w:val="both"/>
              <w:rPr>
                <w:b/>
                <w:bCs/>
              </w:rPr>
            </w:pPr>
            <w:r w:rsidRPr="003C16DA">
              <w:rPr>
                <w:b/>
                <w:bCs/>
              </w:rPr>
              <w:t>5.72</w:t>
            </w:r>
          </w:p>
        </w:tc>
      </w:tr>
      <w:tr w:rsidR="000C1D72" w14:paraId="40A9C83D" w14:textId="77777777" w:rsidTr="00D74A90">
        <w:trPr>
          <w:trHeight w:val="20"/>
          <w:jc w:val="center"/>
        </w:trPr>
        <w:tc>
          <w:tcPr>
            <w:tcW w:w="1177" w:type="pct"/>
            <w:vAlign w:val="center"/>
          </w:tcPr>
          <w:p w14:paraId="6F43CA43" w14:textId="77777777" w:rsidR="000C1D72" w:rsidRDefault="000C1D72" w:rsidP="00D74A90">
            <w:pPr>
              <w:spacing w:line="360" w:lineRule="auto"/>
              <w:jc w:val="both"/>
              <w:rPr>
                <w:b/>
                <w:bCs/>
              </w:rPr>
            </w:pPr>
            <w:r w:rsidRPr="003C16DA">
              <w:rPr>
                <w:b/>
                <w:bCs/>
              </w:rPr>
              <w:t>Net Returns (₹)</w:t>
            </w:r>
          </w:p>
        </w:tc>
        <w:tc>
          <w:tcPr>
            <w:tcW w:w="943" w:type="pct"/>
            <w:vAlign w:val="center"/>
          </w:tcPr>
          <w:p w14:paraId="16B37264" w14:textId="77777777" w:rsidR="000C1D72" w:rsidRDefault="000C1D72" w:rsidP="00D74A90">
            <w:pPr>
              <w:spacing w:line="360" w:lineRule="auto"/>
              <w:jc w:val="both"/>
              <w:rPr>
                <w:b/>
                <w:bCs/>
              </w:rPr>
            </w:pPr>
            <w:r w:rsidRPr="003C16DA">
              <w:rPr>
                <w:b/>
                <w:bCs/>
              </w:rPr>
              <w:t>18,065.56</w:t>
            </w:r>
          </w:p>
        </w:tc>
        <w:tc>
          <w:tcPr>
            <w:tcW w:w="1101" w:type="pct"/>
            <w:vAlign w:val="center"/>
          </w:tcPr>
          <w:p w14:paraId="7D381827" w14:textId="77777777" w:rsidR="000C1D72" w:rsidRDefault="000C1D72" w:rsidP="00D74A90">
            <w:pPr>
              <w:spacing w:line="360" w:lineRule="auto"/>
              <w:jc w:val="both"/>
              <w:rPr>
                <w:b/>
                <w:bCs/>
              </w:rPr>
            </w:pPr>
            <w:r w:rsidRPr="003C16DA">
              <w:rPr>
                <w:b/>
                <w:bCs/>
              </w:rPr>
              <w:t>6,129.36</w:t>
            </w:r>
          </w:p>
        </w:tc>
        <w:tc>
          <w:tcPr>
            <w:tcW w:w="1022" w:type="pct"/>
            <w:vAlign w:val="center"/>
          </w:tcPr>
          <w:p w14:paraId="6C03885A" w14:textId="77777777" w:rsidR="000C1D72" w:rsidRDefault="000C1D72" w:rsidP="00D74A90">
            <w:pPr>
              <w:spacing w:line="360" w:lineRule="auto"/>
              <w:jc w:val="both"/>
              <w:rPr>
                <w:b/>
                <w:bCs/>
              </w:rPr>
            </w:pPr>
            <w:r w:rsidRPr="003C16DA">
              <w:rPr>
                <w:b/>
                <w:bCs/>
              </w:rPr>
              <w:t>53.3%</w:t>
            </w:r>
          </w:p>
        </w:tc>
        <w:tc>
          <w:tcPr>
            <w:tcW w:w="758" w:type="pct"/>
            <w:vAlign w:val="center"/>
          </w:tcPr>
          <w:p w14:paraId="5E92CC05" w14:textId="77777777" w:rsidR="000C1D72" w:rsidRDefault="000C1D72" w:rsidP="00D74A90">
            <w:pPr>
              <w:spacing w:line="360" w:lineRule="auto"/>
              <w:jc w:val="both"/>
              <w:rPr>
                <w:b/>
                <w:bCs/>
              </w:rPr>
            </w:pPr>
            <w:r w:rsidRPr="003C16DA">
              <w:rPr>
                <w:b/>
                <w:bCs/>
              </w:rPr>
              <w:t>6.82</w:t>
            </w:r>
          </w:p>
        </w:tc>
      </w:tr>
    </w:tbl>
    <w:p w14:paraId="54CBB793" w14:textId="77777777" w:rsidR="000C1D72" w:rsidRPr="00993AC9" w:rsidRDefault="000C1D72" w:rsidP="00092A50">
      <w:pPr>
        <w:spacing w:before="240" w:after="240" w:line="360" w:lineRule="auto"/>
        <w:jc w:val="both"/>
        <w:rPr>
          <w:b/>
          <w:bCs/>
        </w:rPr>
      </w:pPr>
    </w:p>
    <w:p w14:paraId="2E560276" w14:textId="520EB92F" w:rsidR="00092A50" w:rsidRDefault="00090E37" w:rsidP="00090E37">
      <w:pPr>
        <w:tabs>
          <w:tab w:val="left" w:pos="2424"/>
        </w:tabs>
        <w:spacing w:before="240" w:after="240" w:line="360" w:lineRule="auto"/>
        <w:jc w:val="both"/>
        <w:rPr>
          <w:b/>
          <w:bCs/>
        </w:rPr>
      </w:pPr>
      <w:r w:rsidRPr="00090E37">
        <w:rPr>
          <w:b/>
          <w:bCs/>
        </w:rPr>
        <w:lastRenderedPageBreak/>
        <w:t xml:space="preserve">Fig. 2. Comparison of gross returns, net returns and yield proportions between KHFPCL members and non-members </w:t>
      </w:r>
      <w:r>
        <w:rPr>
          <w:b/>
          <w:bCs/>
          <w:noProof/>
          <w:lang w:val="en-US"/>
        </w:rPr>
        <w:drawing>
          <wp:anchor distT="0" distB="0" distL="114300" distR="114300" simplePos="0" relativeHeight="251660288" behindDoc="0" locked="0" layoutInCell="1" allowOverlap="1" wp14:anchorId="550285B3" wp14:editId="4923E3F0">
            <wp:simplePos x="0" y="0"/>
            <wp:positionH relativeFrom="column">
              <wp:posOffset>0</wp:posOffset>
            </wp:positionH>
            <wp:positionV relativeFrom="paragraph">
              <wp:posOffset>0</wp:posOffset>
            </wp:positionV>
            <wp:extent cx="5731510" cy="2870835"/>
            <wp:effectExtent l="0" t="0" r="2540" b="5715"/>
            <wp:wrapTopAndBottom/>
            <wp:docPr id="76583001" name="Picture 3"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83001" name="Picture 3" descr="A screenshot of a graph&#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5731510" cy="2870835"/>
                    </a:xfrm>
                    <a:prstGeom prst="rect">
                      <a:avLst/>
                    </a:prstGeom>
                  </pic:spPr>
                </pic:pic>
              </a:graphicData>
            </a:graphic>
          </wp:anchor>
        </w:drawing>
      </w:r>
    </w:p>
    <w:p w14:paraId="34205D7B" w14:textId="77777777" w:rsidR="00090E37" w:rsidRPr="00090E37" w:rsidRDefault="00090E37" w:rsidP="00090E37">
      <w:pPr>
        <w:spacing w:before="240" w:after="240" w:line="360" w:lineRule="auto"/>
        <w:jc w:val="both"/>
        <w:rPr>
          <w:b/>
          <w:bCs/>
        </w:rPr>
      </w:pPr>
      <w:r w:rsidRPr="00090E37">
        <w:rPr>
          <w:b/>
          <w:bCs/>
        </w:rPr>
        <w:t>4. CONCLUSION</w:t>
      </w:r>
    </w:p>
    <w:p w14:paraId="5DBB4272" w14:textId="321F3C10" w:rsidR="00092A50" w:rsidRDefault="00C40432" w:rsidP="00C40432">
      <w:pPr>
        <w:spacing w:before="240" w:after="240" w:line="360" w:lineRule="auto"/>
        <w:jc w:val="both"/>
      </w:pPr>
      <w:r w:rsidRPr="00C40432">
        <w:t xml:space="preserve">The comparative analysis of maize cultivation in the </w:t>
      </w:r>
      <w:proofErr w:type="spellStart"/>
      <w:r w:rsidRPr="00C40432">
        <w:t>Kollegala</w:t>
      </w:r>
      <w:proofErr w:type="spellEnd"/>
      <w:r w:rsidRPr="00C40432">
        <w:t xml:space="preserve"> region reveals the substantial economic benefits gained by farmers associated with the </w:t>
      </w:r>
      <w:proofErr w:type="spellStart"/>
      <w:r w:rsidRPr="00C40432">
        <w:t>Kollegala</w:t>
      </w:r>
      <w:proofErr w:type="spellEnd"/>
      <w:r w:rsidRPr="00C40432">
        <w:t xml:space="preserve"> Horticulture Farmers Producer Company Limited (KHFPCL). Through collective procurement, resource-sharing and technical support, KHFPCL members experience reduced input costs, including expenses on </w:t>
      </w:r>
      <w:proofErr w:type="spellStart"/>
      <w:r w:rsidRPr="00C40432">
        <w:t>labor</w:t>
      </w:r>
      <w:proofErr w:type="spellEnd"/>
      <w:r w:rsidRPr="00C40432">
        <w:t>, machinery, fertilizers and plant protection chemicals. This collaborative approach results in higher productivity, with KHFPCL members achieving an average yield of 25 quintals per acre compared to 23 quintals for non-members. Consequently, KHFPCL members witness a significant increase in both gross returns (22.9%) and net returns (53.3%). These findings underscore the crucial role of Farmer Producer Companies (FPCs) in enhancing the economic sustainability of smallholder farmers by addressing key challenges such as high input costs, limited technical knowledge and fragmented market access. Promoting and expanding such collective farming models can greatly improve resource management, strengthen market linkages and ensure long-term profitability, making them a vital strategy for improving farmer livelihoods and building resilient agricultural communities.</w:t>
      </w:r>
    </w:p>
    <w:p w14:paraId="32155A96" w14:textId="46966016" w:rsidR="0025754D" w:rsidRPr="0025754D" w:rsidRDefault="0025754D" w:rsidP="0025754D">
      <w:pPr>
        <w:spacing w:before="240" w:after="240" w:line="360" w:lineRule="auto"/>
        <w:jc w:val="both"/>
        <w:rPr>
          <w:b/>
          <w:bCs/>
          <w:highlight w:val="yellow"/>
        </w:rPr>
      </w:pPr>
      <w:r w:rsidRPr="0025754D">
        <w:rPr>
          <w:b/>
          <w:bCs/>
          <w:highlight w:val="yellow"/>
        </w:rPr>
        <w:t>5. POLICY IMPLICATIONS</w:t>
      </w:r>
    </w:p>
    <w:p w14:paraId="70506370" w14:textId="6E130DCA" w:rsidR="0025754D" w:rsidRPr="0025754D" w:rsidRDefault="0025754D" w:rsidP="0025754D">
      <w:pPr>
        <w:pStyle w:val="ListParagraph"/>
        <w:numPr>
          <w:ilvl w:val="0"/>
          <w:numId w:val="5"/>
        </w:numPr>
        <w:spacing w:before="240" w:after="240" w:line="360" w:lineRule="auto"/>
        <w:jc w:val="both"/>
        <w:rPr>
          <w:highlight w:val="yellow"/>
        </w:rPr>
      </w:pPr>
      <w:r w:rsidRPr="0025754D">
        <w:rPr>
          <w:highlight w:val="yellow"/>
        </w:rPr>
        <w:lastRenderedPageBreak/>
        <w:t xml:space="preserve">Promote and support the establishment of more Farmer Producer Companies (FPCs) like KHFPCL to enhance smallholder </w:t>
      </w:r>
      <w:proofErr w:type="gramStart"/>
      <w:r w:rsidRPr="0025754D">
        <w:rPr>
          <w:highlight w:val="yellow"/>
        </w:rPr>
        <w:t>farmers</w:t>
      </w:r>
      <w:proofErr w:type="gramEnd"/>
      <w:r w:rsidRPr="0025754D">
        <w:rPr>
          <w:highlight w:val="yellow"/>
        </w:rPr>
        <w:t xml:space="preserve"> collective bargaining power, reduce input costs and improve market access.</w:t>
      </w:r>
    </w:p>
    <w:p w14:paraId="5703A909" w14:textId="6C04E243" w:rsidR="0025754D" w:rsidRPr="0025754D" w:rsidRDefault="0025754D" w:rsidP="0025754D">
      <w:pPr>
        <w:pStyle w:val="ListParagraph"/>
        <w:numPr>
          <w:ilvl w:val="0"/>
          <w:numId w:val="5"/>
        </w:numPr>
        <w:spacing w:before="240" w:after="240" w:line="360" w:lineRule="auto"/>
        <w:jc w:val="both"/>
        <w:rPr>
          <w:highlight w:val="yellow"/>
        </w:rPr>
      </w:pPr>
      <w:r w:rsidRPr="0025754D">
        <w:rPr>
          <w:highlight w:val="yellow"/>
        </w:rPr>
        <w:t>Facilitate bulk procurement and subsidized distribution of high-quality seeds, fertilizers and plant protection chemicals through FPCs to lower the cost of cultivation.</w:t>
      </w:r>
    </w:p>
    <w:p w14:paraId="4278A718" w14:textId="12690321" w:rsidR="0025754D" w:rsidRPr="0025754D" w:rsidRDefault="0025754D" w:rsidP="0025754D">
      <w:pPr>
        <w:pStyle w:val="ListParagraph"/>
        <w:numPr>
          <w:ilvl w:val="0"/>
          <w:numId w:val="5"/>
        </w:numPr>
        <w:spacing w:before="240" w:after="240" w:line="360" w:lineRule="auto"/>
        <w:jc w:val="both"/>
        <w:rPr>
          <w:highlight w:val="yellow"/>
        </w:rPr>
      </w:pPr>
      <w:r w:rsidRPr="0025754D">
        <w:rPr>
          <w:highlight w:val="yellow"/>
        </w:rPr>
        <w:t>Develop training programs on advanced agronomic practices, soil health management and efficient input use to improve productivity and profitability among maize farmers.</w:t>
      </w:r>
    </w:p>
    <w:p w14:paraId="29AF21FB" w14:textId="466841A5" w:rsidR="0025754D" w:rsidRPr="0025754D" w:rsidRDefault="0025754D" w:rsidP="0025754D">
      <w:pPr>
        <w:pStyle w:val="ListParagraph"/>
        <w:numPr>
          <w:ilvl w:val="0"/>
          <w:numId w:val="5"/>
        </w:numPr>
        <w:spacing w:before="240" w:after="240" w:line="360" w:lineRule="auto"/>
        <w:jc w:val="both"/>
        <w:rPr>
          <w:highlight w:val="yellow"/>
        </w:rPr>
      </w:pPr>
      <w:r w:rsidRPr="0025754D">
        <w:rPr>
          <w:highlight w:val="yellow"/>
        </w:rPr>
        <w:t>Invest in better market linkages, storage facilities and transportation networks to minimize post-harvest losses and ensure fair pricing for farmers produce.</w:t>
      </w:r>
    </w:p>
    <w:p w14:paraId="5F0CE52B" w14:textId="1C10BCB4" w:rsidR="0025754D" w:rsidRPr="0025754D" w:rsidRDefault="0025754D" w:rsidP="0025754D">
      <w:pPr>
        <w:pStyle w:val="ListParagraph"/>
        <w:numPr>
          <w:ilvl w:val="0"/>
          <w:numId w:val="5"/>
        </w:numPr>
        <w:spacing w:before="240" w:after="240" w:line="360" w:lineRule="auto"/>
        <w:jc w:val="both"/>
        <w:rPr>
          <w:highlight w:val="yellow"/>
        </w:rPr>
      </w:pPr>
      <w:r w:rsidRPr="0025754D">
        <w:rPr>
          <w:highlight w:val="yellow"/>
        </w:rPr>
        <w:t>Encourage the adoption of eco-friendly farming techniques, including the use of organic fertilizers and bio-pesticides, to enhance long-term agricultural sustainability and resilience.</w:t>
      </w:r>
    </w:p>
    <w:p w14:paraId="05A19C38" w14:textId="77777777" w:rsidR="0025754D" w:rsidRDefault="0025754D" w:rsidP="0025754D">
      <w:pPr>
        <w:spacing w:before="240" w:after="240" w:line="360" w:lineRule="auto"/>
        <w:jc w:val="both"/>
      </w:pPr>
    </w:p>
    <w:p w14:paraId="73500F78" w14:textId="616E70BE" w:rsidR="002D031E" w:rsidRDefault="002D031E" w:rsidP="00C40432">
      <w:pPr>
        <w:spacing w:before="240" w:after="240" w:line="360" w:lineRule="auto"/>
        <w:jc w:val="both"/>
      </w:pPr>
    </w:p>
    <w:p w14:paraId="64E8167E" w14:textId="36B3C813" w:rsidR="002D031E" w:rsidRDefault="002D031E" w:rsidP="00C40432">
      <w:pPr>
        <w:spacing w:before="240" w:after="240" w:line="360" w:lineRule="auto"/>
        <w:jc w:val="both"/>
      </w:pPr>
    </w:p>
    <w:p w14:paraId="2A0F54C0" w14:textId="2933070B" w:rsidR="002D031E" w:rsidRDefault="002D031E" w:rsidP="00C40432">
      <w:pPr>
        <w:spacing w:before="240" w:after="240" w:line="360" w:lineRule="auto"/>
        <w:jc w:val="both"/>
      </w:pPr>
    </w:p>
    <w:p w14:paraId="521F6117" w14:textId="77777777" w:rsidR="002D031E" w:rsidRPr="009C5487" w:rsidRDefault="002D031E" w:rsidP="002D031E">
      <w:pPr>
        <w:rPr>
          <w:rFonts w:ascii="Calibri" w:eastAsia="Calibri" w:hAnsi="Calibri"/>
          <w:kern w:val="2"/>
          <w:highlight w:val="yellow"/>
          <w:lang w:val="en-US"/>
        </w:rPr>
      </w:pPr>
      <w:bookmarkStart w:id="1" w:name="_Hlk180402183"/>
      <w:bookmarkStart w:id="2" w:name="_Hlk183680988"/>
      <w:r w:rsidRPr="009C5487">
        <w:rPr>
          <w:rFonts w:ascii="Calibri" w:eastAsia="Calibri" w:hAnsi="Calibri"/>
          <w:kern w:val="2"/>
          <w:highlight w:val="yellow"/>
          <w:lang w:val="en-US"/>
        </w:rPr>
        <w:t>Disclaimer (Artificial intelligence)</w:t>
      </w:r>
    </w:p>
    <w:p w14:paraId="18DC884C" w14:textId="77777777" w:rsidR="002D031E" w:rsidRPr="009C5487" w:rsidRDefault="002D031E" w:rsidP="002D031E">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1: </w:t>
      </w:r>
    </w:p>
    <w:p w14:paraId="5F659663" w14:textId="77777777" w:rsidR="002D031E" w:rsidRDefault="002D031E" w:rsidP="002D031E">
      <w:pPr>
        <w:rPr>
          <w:rFonts w:ascii="Calibri" w:eastAsia="Calibri" w:hAnsi="Calibri"/>
          <w:kern w:val="2"/>
          <w:highlight w:val="yellow"/>
          <w:lang w:val="en-US"/>
        </w:rPr>
      </w:pPr>
      <w:r w:rsidRPr="009C5487">
        <w:rPr>
          <w:rFonts w:ascii="Calibri" w:eastAsia="Calibri" w:hAnsi="Calibri"/>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5F4E330E" w14:textId="293AB621" w:rsidR="00927989" w:rsidRDefault="00927989" w:rsidP="00927989">
      <w:r w:rsidRPr="00FD4554">
        <w:t>"</w:t>
      </w:r>
      <w:r>
        <w:t xml:space="preserve">I Kiran Kotyal, </w:t>
      </w:r>
      <w:r w:rsidRPr="00FD4554">
        <w:t>hereby declare that NO generative AI technologies and text-to-image generators have been used during the writing or editing of this manuscript"</w:t>
      </w:r>
    </w:p>
    <w:p w14:paraId="511B6209" w14:textId="77777777" w:rsidR="00927989" w:rsidRPr="00927989" w:rsidRDefault="00927989" w:rsidP="002D031E">
      <w:pPr>
        <w:rPr>
          <w:rFonts w:ascii="Calibri" w:eastAsia="Calibri" w:hAnsi="Calibri"/>
          <w:kern w:val="2"/>
          <w:highlight w:val="yellow"/>
        </w:rPr>
      </w:pPr>
    </w:p>
    <w:p w14:paraId="57473871" w14:textId="77777777" w:rsidR="002D031E" w:rsidRPr="009C5487" w:rsidRDefault="002D031E" w:rsidP="002D031E">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2: </w:t>
      </w:r>
    </w:p>
    <w:p w14:paraId="624D3724" w14:textId="77777777" w:rsidR="002D031E" w:rsidRPr="009C5487" w:rsidRDefault="002D031E" w:rsidP="002D031E">
      <w:pPr>
        <w:rPr>
          <w:rFonts w:ascii="Calibri" w:eastAsia="Calibri" w:hAnsi="Calibri"/>
          <w:kern w:val="2"/>
          <w:highlight w:val="yellow"/>
          <w:lang w:val="en-US"/>
        </w:rPr>
      </w:pPr>
      <w:r w:rsidRPr="009C5487">
        <w:rPr>
          <w:rFonts w:ascii="Calibri" w:eastAsia="Calibri" w:hAnsi="Calibri"/>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7495617" w14:textId="77777777" w:rsidR="002D031E" w:rsidRPr="009C5487" w:rsidRDefault="002D031E" w:rsidP="002D031E">
      <w:pPr>
        <w:rPr>
          <w:rFonts w:ascii="Calibri" w:eastAsia="Calibri" w:hAnsi="Calibri"/>
          <w:kern w:val="2"/>
          <w:highlight w:val="yellow"/>
          <w:lang w:val="en-US"/>
        </w:rPr>
      </w:pPr>
      <w:r w:rsidRPr="009C5487">
        <w:rPr>
          <w:rFonts w:ascii="Calibri" w:eastAsia="Calibri" w:hAnsi="Calibri"/>
          <w:kern w:val="2"/>
          <w:highlight w:val="yellow"/>
          <w:lang w:val="en-US"/>
        </w:rPr>
        <w:t>Details of the AI usage are given below:</w:t>
      </w:r>
    </w:p>
    <w:p w14:paraId="63788D6A" w14:textId="77777777" w:rsidR="002D031E" w:rsidRPr="009C5487" w:rsidRDefault="002D031E" w:rsidP="002D031E">
      <w:pPr>
        <w:rPr>
          <w:rFonts w:ascii="Calibri" w:eastAsia="Calibri" w:hAnsi="Calibri"/>
          <w:kern w:val="2"/>
          <w:highlight w:val="yellow"/>
          <w:lang w:val="en-US"/>
        </w:rPr>
      </w:pPr>
      <w:r w:rsidRPr="009C5487">
        <w:rPr>
          <w:rFonts w:ascii="Calibri" w:eastAsia="Calibri" w:hAnsi="Calibri"/>
          <w:kern w:val="2"/>
          <w:highlight w:val="yellow"/>
          <w:lang w:val="en-US"/>
        </w:rPr>
        <w:t>1.</w:t>
      </w:r>
    </w:p>
    <w:p w14:paraId="22D60C47" w14:textId="77777777" w:rsidR="002D031E" w:rsidRPr="009C5487" w:rsidRDefault="002D031E" w:rsidP="002D031E">
      <w:pPr>
        <w:rPr>
          <w:rFonts w:ascii="Calibri" w:eastAsia="Calibri" w:hAnsi="Calibri"/>
          <w:kern w:val="2"/>
          <w:highlight w:val="yellow"/>
          <w:lang w:val="en-US"/>
        </w:rPr>
      </w:pPr>
      <w:r w:rsidRPr="009C5487">
        <w:rPr>
          <w:rFonts w:ascii="Calibri" w:eastAsia="Calibri" w:hAnsi="Calibri"/>
          <w:kern w:val="2"/>
          <w:highlight w:val="yellow"/>
          <w:lang w:val="en-US"/>
        </w:rPr>
        <w:lastRenderedPageBreak/>
        <w:t>2.</w:t>
      </w:r>
    </w:p>
    <w:p w14:paraId="08A1C16F" w14:textId="77777777" w:rsidR="002D031E" w:rsidRPr="009C5487" w:rsidRDefault="002D031E" w:rsidP="002D031E">
      <w:pPr>
        <w:rPr>
          <w:rFonts w:ascii="Calibri" w:eastAsia="Calibri" w:hAnsi="Calibri"/>
          <w:kern w:val="2"/>
          <w:lang w:val="en-US"/>
        </w:rPr>
      </w:pPr>
      <w:r w:rsidRPr="009C5487">
        <w:rPr>
          <w:rFonts w:ascii="Calibri" w:eastAsia="Calibri" w:hAnsi="Calibri"/>
          <w:kern w:val="2"/>
          <w:highlight w:val="yellow"/>
          <w:lang w:val="en-US"/>
        </w:rPr>
        <w:t>3.</w:t>
      </w:r>
    </w:p>
    <w:bookmarkEnd w:id="1"/>
    <w:bookmarkEnd w:id="2"/>
    <w:p w14:paraId="25A1FACD" w14:textId="77777777" w:rsidR="002D031E" w:rsidRDefault="002D031E" w:rsidP="00C40432">
      <w:pPr>
        <w:spacing w:before="240" w:after="240" w:line="360" w:lineRule="auto"/>
        <w:jc w:val="both"/>
      </w:pPr>
    </w:p>
    <w:p w14:paraId="6F127326" w14:textId="67CEA7C8" w:rsidR="00DB7238" w:rsidRPr="00DB7238" w:rsidRDefault="00DB7238" w:rsidP="00C40432">
      <w:pPr>
        <w:spacing w:before="240" w:after="240" w:line="360" w:lineRule="auto"/>
        <w:jc w:val="both"/>
        <w:rPr>
          <w:b/>
          <w:bCs/>
        </w:rPr>
      </w:pPr>
      <w:r w:rsidRPr="00DB7238">
        <w:rPr>
          <w:b/>
          <w:bCs/>
        </w:rPr>
        <w:t xml:space="preserve">Reference </w:t>
      </w:r>
    </w:p>
    <w:p w14:paraId="419DE51B" w14:textId="77777777" w:rsidR="0025754D" w:rsidRPr="007E181B" w:rsidRDefault="0025754D" w:rsidP="005657B1">
      <w:pPr>
        <w:spacing w:before="240" w:after="240" w:line="360" w:lineRule="auto"/>
        <w:jc w:val="both"/>
      </w:pPr>
      <w:r w:rsidRPr="007E181B">
        <w:t xml:space="preserve">Anand, G., Kalaiselvi, P., Paul Sebastian, S., Senthil Kumar, M., </w:t>
      </w:r>
      <w:proofErr w:type="spellStart"/>
      <w:r w:rsidRPr="007E181B">
        <w:t>Amuthaselvi</w:t>
      </w:r>
      <w:proofErr w:type="spellEnd"/>
      <w:r w:rsidRPr="007E181B">
        <w:t xml:space="preserve">, G., Porkodi, G., Suganya, K., &amp; Malathi, G. (2025). Evolution and growth of Farmer Producer Organizations (FPOs) in agriculture. </w:t>
      </w:r>
      <w:r w:rsidRPr="007E181B">
        <w:rPr>
          <w:i/>
          <w:iCs/>
        </w:rPr>
        <w:t>International Journal of Agricultural Extension and Social Development</w:t>
      </w:r>
      <w:r w:rsidRPr="007E181B">
        <w:t xml:space="preserve">, </w:t>
      </w:r>
      <w:r w:rsidRPr="007E181B">
        <w:rPr>
          <w:i/>
          <w:iCs/>
        </w:rPr>
        <w:t>8</w:t>
      </w:r>
      <w:r w:rsidRPr="007E181B">
        <w:t xml:space="preserve">(1), 442-452. </w:t>
      </w:r>
      <w:hyperlink r:id="rId15" w:history="1">
        <w:r w:rsidRPr="007E181B">
          <w:rPr>
            <w:rStyle w:val="Hyperlink"/>
          </w:rPr>
          <w:t>https://doi.org/10.33545/26180723.2025.v8.i1g.1566</w:t>
        </w:r>
      </w:hyperlink>
    </w:p>
    <w:p w14:paraId="616B2495" w14:textId="77777777" w:rsidR="0025754D" w:rsidRPr="007E181B" w:rsidRDefault="0025754D" w:rsidP="005657B1">
      <w:pPr>
        <w:spacing w:before="240" w:after="240" w:line="360" w:lineRule="auto"/>
        <w:jc w:val="both"/>
      </w:pPr>
      <w:r w:rsidRPr="007E181B">
        <w:rPr>
          <w:lang w:val="pt-BR"/>
        </w:rPr>
        <w:t xml:space="preserve">Babu, C., &amp; Patoju, S.K.S. (2021). </w:t>
      </w:r>
      <w:r w:rsidRPr="007E181B">
        <w:t xml:space="preserve">Impact of Farmer Producer Companies on Marginal and Small Farmers: A Study of Osmanabad District of Maharashtra. </w:t>
      </w:r>
      <w:r w:rsidRPr="007E181B">
        <w:rPr>
          <w:i/>
          <w:iCs/>
        </w:rPr>
        <w:t>Grassroots Journal of Natural Resources, 4</w:t>
      </w:r>
      <w:r w:rsidRPr="007E181B">
        <w:t>(2)</w:t>
      </w:r>
      <w:proofErr w:type="gramStart"/>
      <w:r w:rsidRPr="007E181B">
        <w:t>,23</w:t>
      </w:r>
      <w:proofErr w:type="gramEnd"/>
      <w:r w:rsidRPr="007E181B">
        <w:t xml:space="preserve">-33. </w:t>
      </w:r>
      <w:hyperlink r:id="rId16" w:history="1">
        <w:r w:rsidRPr="007E181B">
          <w:rPr>
            <w:rStyle w:val="Hyperlink"/>
          </w:rPr>
          <w:t>https://doi.org/10.33002/nr2581.6853.040202</w:t>
        </w:r>
      </w:hyperlink>
    </w:p>
    <w:p w14:paraId="666757EB" w14:textId="77777777" w:rsidR="0025754D" w:rsidRDefault="0025754D" w:rsidP="007E181B">
      <w:pPr>
        <w:spacing w:before="240" w:after="240" w:line="360" w:lineRule="auto"/>
        <w:jc w:val="both"/>
      </w:pPr>
      <w:r w:rsidRPr="0025754D">
        <w:t xml:space="preserve">Basavaraj, P. M., Tevari, P., &amp; </w:t>
      </w:r>
      <w:proofErr w:type="spellStart"/>
      <w:r w:rsidRPr="0025754D">
        <w:t>Sidram</w:t>
      </w:r>
      <w:proofErr w:type="spellEnd"/>
      <w:r w:rsidRPr="0025754D">
        <w:t xml:space="preserve">, B. Y. (2022). </w:t>
      </w:r>
      <w:r w:rsidRPr="007E181B">
        <w:t>An Economic Analysis of the Cost Structure and Constraints of Maize Cultivation in Hyderabad-Karnataka Region. </w:t>
      </w:r>
      <w:r w:rsidRPr="007E181B">
        <w:rPr>
          <w:i/>
          <w:iCs/>
        </w:rPr>
        <w:t>Asian Journal of Agricultural Extension, Economics &amp; Sociology</w:t>
      </w:r>
      <w:r w:rsidRPr="007E181B">
        <w:t>, </w:t>
      </w:r>
      <w:r w:rsidRPr="007E181B">
        <w:rPr>
          <w:i/>
          <w:iCs/>
        </w:rPr>
        <w:t>40</w:t>
      </w:r>
      <w:r w:rsidRPr="007E181B">
        <w:t xml:space="preserve">(6), 1–7. </w:t>
      </w:r>
      <w:hyperlink r:id="rId17" w:history="1">
        <w:r w:rsidRPr="00FB7226">
          <w:rPr>
            <w:rStyle w:val="Hyperlink"/>
          </w:rPr>
          <w:t>https://doi.org/10.9734/ajaees/2022/v40i630895</w:t>
        </w:r>
      </w:hyperlink>
    </w:p>
    <w:p w14:paraId="25A4D2E0" w14:textId="77777777" w:rsidR="0025754D" w:rsidRPr="0025754D" w:rsidRDefault="0025754D" w:rsidP="005657B1">
      <w:pPr>
        <w:spacing w:before="240" w:after="240" w:line="360" w:lineRule="auto"/>
        <w:jc w:val="both"/>
      </w:pPr>
      <w:proofErr w:type="spellStart"/>
      <w:r w:rsidRPr="007E181B">
        <w:t>Beleri</w:t>
      </w:r>
      <w:proofErr w:type="spellEnd"/>
      <w:r w:rsidRPr="007E181B">
        <w:t xml:space="preserve">, P. S. (2023). Microbial solutions to soil health: The role of biofertilizers in sustainable agriculture. </w:t>
      </w:r>
      <w:r w:rsidRPr="007E181B">
        <w:rPr>
          <w:i/>
          <w:iCs/>
        </w:rPr>
        <w:t>Environmental Reports</w:t>
      </w:r>
      <w:r w:rsidRPr="007E181B">
        <w:t xml:space="preserve">, 5(2), 6–9. </w:t>
      </w:r>
      <w:hyperlink r:id="rId18" w:history="1">
        <w:r w:rsidRPr="007E181B">
          <w:rPr>
            <w:rStyle w:val="Hyperlink"/>
          </w:rPr>
          <w:t>https://doi.org/10.51470/ER.2023.5.2.06</w:t>
        </w:r>
      </w:hyperlink>
    </w:p>
    <w:p w14:paraId="3F3AA28F" w14:textId="77777777" w:rsidR="0025754D" w:rsidRPr="007E181B" w:rsidRDefault="0025754D" w:rsidP="00CF4A5E">
      <w:pPr>
        <w:spacing w:before="240" w:after="240" w:line="360" w:lineRule="auto"/>
        <w:jc w:val="both"/>
      </w:pPr>
      <w:proofErr w:type="spellStart"/>
      <w:r w:rsidRPr="007E181B">
        <w:t>Beleri</w:t>
      </w:r>
      <w:proofErr w:type="spellEnd"/>
      <w:r w:rsidRPr="007E181B">
        <w:t>, P. S., A., V., B. G., H., K, P., &amp; Murthy, R. K. (2025). Impact of Different Organic Manures on Growth of Strawberry (</w:t>
      </w:r>
      <w:proofErr w:type="spellStart"/>
      <w:r w:rsidRPr="007E181B">
        <w:t>Fragaria</w:t>
      </w:r>
      <w:proofErr w:type="spellEnd"/>
      <w:r w:rsidRPr="007E181B">
        <w:t xml:space="preserve"> × </w:t>
      </w:r>
      <w:proofErr w:type="spellStart"/>
      <w:r w:rsidRPr="007E181B">
        <w:t>ananassa</w:t>
      </w:r>
      <w:proofErr w:type="spellEnd"/>
      <w:r w:rsidRPr="007E181B">
        <w:t xml:space="preserve">) under </w:t>
      </w:r>
      <w:proofErr w:type="spellStart"/>
      <w:r w:rsidRPr="007E181B">
        <w:t>Polyhouse</w:t>
      </w:r>
      <w:proofErr w:type="spellEnd"/>
      <w:r w:rsidRPr="007E181B">
        <w:t xml:space="preserve"> Condition. </w:t>
      </w:r>
      <w:r w:rsidRPr="007E181B">
        <w:rPr>
          <w:i/>
          <w:iCs/>
        </w:rPr>
        <w:t>Journal of Scientific Research and Reports</w:t>
      </w:r>
      <w:r w:rsidRPr="007E181B">
        <w:t>, </w:t>
      </w:r>
      <w:r w:rsidRPr="007E181B">
        <w:rPr>
          <w:i/>
          <w:iCs/>
        </w:rPr>
        <w:t>31</w:t>
      </w:r>
      <w:r w:rsidRPr="007E181B">
        <w:t xml:space="preserve">(2), 502–510. </w:t>
      </w:r>
      <w:hyperlink r:id="rId19" w:history="1">
        <w:r w:rsidRPr="0025754D">
          <w:rPr>
            <w:rStyle w:val="Hyperlink"/>
          </w:rPr>
          <w:t>https://doi.org/10.9734/jsrr/2025/v31i22871</w:t>
        </w:r>
      </w:hyperlink>
    </w:p>
    <w:p w14:paraId="477B10DB" w14:textId="77777777" w:rsidR="0025754D" w:rsidRDefault="0025754D" w:rsidP="007E181B">
      <w:pPr>
        <w:spacing w:before="240" w:after="240" w:line="360" w:lineRule="auto"/>
        <w:jc w:val="both"/>
      </w:pPr>
      <w:proofErr w:type="spellStart"/>
      <w:proofErr w:type="gramStart"/>
      <w:r w:rsidRPr="007E181B">
        <w:t>Busungu</w:t>
      </w:r>
      <w:proofErr w:type="spellEnd"/>
      <w:r w:rsidRPr="007E181B">
        <w:t xml:space="preserve"> ,</w:t>
      </w:r>
      <w:proofErr w:type="gramEnd"/>
      <w:r w:rsidRPr="007E181B">
        <w:t xml:space="preserve"> C. (2025). From ancient domestication to modern agriculture: The journey of maize cultivation in Tanzania, its implications for food security, challenges and resilience strategies. </w:t>
      </w:r>
      <w:r w:rsidRPr="007E181B">
        <w:rPr>
          <w:i/>
          <w:iCs/>
        </w:rPr>
        <w:t>Journal of Biological Research and Biotechnology</w:t>
      </w:r>
      <w:r w:rsidRPr="007E181B">
        <w:t>, </w:t>
      </w:r>
      <w:r w:rsidRPr="007E181B">
        <w:rPr>
          <w:i/>
          <w:iCs/>
        </w:rPr>
        <w:t>22</w:t>
      </w:r>
      <w:r w:rsidRPr="007E181B">
        <w:t>(3), 2542-2562. </w:t>
      </w:r>
      <w:hyperlink r:id="rId20" w:history="1">
        <w:r w:rsidRPr="00FB7226">
          <w:rPr>
            <w:rStyle w:val="Hyperlink"/>
          </w:rPr>
          <w:t>https://www.bio-research.com.ng/index.php/home/article/view/232</w:t>
        </w:r>
      </w:hyperlink>
    </w:p>
    <w:p w14:paraId="57427148" w14:textId="77777777" w:rsidR="0025754D" w:rsidRDefault="0025754D" w:rsidP="007E181B">
      <w:pPr>
        <w:spacing w:before="240" w:after="240" w:line="360" w:lineRule="auto"/>
        <w:jc w:val="both"/>
      </w:pPr>
      <w:r w:rsidRPr="007E181B">
        <w:rPr>
          <w:lang w:val="pt-BR"/>
        </w:rPr>
        <w:t xml:space="preserve">Dutta, M., Das, P. K., &amp; Bora, P. (2024). </w:t>
      </w:r>
      <w:r w:rsidRPr="007E181B">
        <w:t xml:space="preserve">Exploring the factors influencing technological gap in maize cultivation practices. International Journal of Current Microbiology and Applied Sciences, 13(12), 266-272. </w:t>
      </w:r>
      <w:hyperlink r:id="rId21" w:history="1">
        <w:r w:rsidRPr="007E181B">
          <w:rPr>
            <w:rStyle w:val="Hyperlink"/>
          </w:rPr>
          <w:t>https://doi.org/10.20546/ijcmas.2024.1312.028</w:t>
        </w:r>
      </w:hyperlink>
    </w:p>
    <w:p w14:paraId="2B00BB30" w14:textId="77777777" w:rsidR="0025754D" w:rsidRPr="007E181B" w:rsidRDefault="0025754D" w:rsidP="007E181B">
      <w:pPr>
        <w:spacing w:before="240" w:after="240" w:line="360" w:lineRule="auto"/>
        <w:jc w:val="both"/>
      </w:pPr>
      <w:r w:rsidRPr="007E181B">
        <w:rPr>
          <w:lang w:val="sv-SE"/>
        </w:rPr>
        <w:lastRenderedPageBreak/>
        <w:t xml:space="preserve">Dutta, M., Das, P. K., Talukdar, N., &amp; Borgohain, J. (2023). </w:t>
      </w:r>
      <w:r w:rsidRPr="007E181B">
        <w:t xml:space="preserve">Development of knowledge scale with the recommended scientific practices of maize cultivation to measure the knowledge level of the maize farmers in </w:t>
      </w:r>
      <w:proofErr w:type="spellStart"/>
      <w:r w:rsidRPr="007E181B">
        <w:t>Sonitpur</w:t>
      </w:r>
      <w:proofErr w:type="spellEnd"/>
      <w:r w:rsidRPr="007E181B">
        <w:t xml:space="preserve"> District of Assam, India. International Journal of Current Microbiology and Applied Sciences, 12(10), 105-110. </w:t>
      </w:r>
      <w:hyperlink r:id="rId22" w:history="1">
        <w:r w:rsidRPr="007E181B">
          <w:rPr>
            <w:rStyle w:val="Hyperlink"/>
          </w:rPr>
          <w:t>https://doi.org/10.20546/ijcmas.2023.1210.013</w:t>
        </w:r>
      </w:hyperlink>
    </w:p>
    <w:p w14:paraId="5619E6B8" w14:textId="77777777" w:rsidR="0025754D" w:rsidRPr="00375D34" w:rsidRDefault="0025754D" w:rsidP="005657B1">
      <w:pPr>
        <w:spacing w:before="240" w:after="240" w:line="360" w:lineRule="auto"/>
        <w:jc w:val="both"/>
        <w:rPr>
          <w:lang w:val="sv-SE"/>
        </w:rPr>
      </w:pPr>
      <w:r w:rsidRPr="007E181B">
        <w:t xml:space="preserve">Food and Agriculture Organization of the United Nations. </w:t>
      </w:r>
      <w:r w:rsidRPr="007E181B">
        <w:rPr>
          <w:lang w:val="sv-SE"/>
        </w:rPr>
        <w:t xml:space="preserve">(2024). </w:t>
      </w:r>
      <w:r w:rsidRPr="007E181B">
        <w:rPr>
          <w:i/>
          <w:iCs/>
          <w:lang w:val="sv-SE"/>
        </w:rPr>
        <w:t>FAOSTAT</w:t>
      </w:r>
      <w:r w:rsidRPr="007E181B">
        <w:rPr>
          <w:lang w:val="sv-SE"/>
        </w:rPr>
        <w:t xml:space="preserve">. (2024) </w:t>
      </w:r>
      <w:r>
        <w:fldChar w:fldCharType="begin"/>
      </w:r>
      <w:r w:rsidRPr="005830A3">
        <w:rPr>
          <w:lang w:val="sv-SE"/>
        </w:rPr>
        <w:instrText>HYPERLINK "https://www.fao.org/common-pages/search/en/?q=maize"</w:instrText>
      </w:r>
      <w:r>
        <w:fldChar w:fldCharType="separate"/>
      </w:r>
      <w:r w:rsidRPr="007E181B">
        <w:rPr>
          <w:rStyle w:val="Hyperlink"/>
          <w:lang w:val="sv-SE"/>
        </w:rPr>
        <w:t>https://www.fao.org/common-pages/search/en/?q=maize</w:t>
      </w:r>
      <w:r>
        <w:fldChar w:fldCharType="end"/>
      </w:r>
    </w:p>
    <w:p w14:paraId="3AB50938" w14:textId="77777777" w:rsidR="0025754D" w:rsidRPr="007E181B" w:rsidRDefault="0025754D" w:rsidP="005657B1">
      <w:pPr>
        <w:spacing w:before="240" w:after="240" w:line="360" w:lineRule="auto"/>
        <w:jc w:val="both"/>
      </w:pPr>
      <w:r w:rsidRPr="007E181B">
        <w:rPr>
          <w:lang w:val="pt-BR"/>
        </w:rPr>
        <w:t xml:space="preserve">Gautam, S., &amp; Mallaiah, L. C. (2024). </w:t>
      </w:r>
      <w:r w:rsidRPr="007E181B">
        <w:t xml:space="preserve">Enhancing Farmer’s Income and Farmer Producer </w:t>
      </w:r>
      <w:proofErr w:type="gramStart"/>
      <w:r w:rsidRPr="007E181B">
        <w:t>Organizations’(</w:t>
      </w:r>
      <w:proofErr w:type="gramEnd"/>
      <w:r w:rsidRPr="007E181B">
        <w:t xml:space="preserve">FPOs) in India. </w:t>
      </w:r>
      <w:r w:rsidRPr="007E181B">
        <w:rPr>
          <w:i/>
          <w:iCs/>
        </w:rPr>
        <w:t>Saudi J Econ Fin</w:t>
      </w:r>
      <w:r w:rsidRPr="007E181B">
        <w:t xml:space="preserve">, </w:t>
      </w:r>
      <w:r w:rsidRPr="007E181B">
        <w:rPr>
          <w:i/>
          <w:iCs/>
        </w:rPr>
        <w:t>8</w:t>
      </w:r>
      <w:r w:rsidRPr="007E181B">
        <w:t xml:space="preserve">(4), 91-101. </w:t>
      </w:r>
      <w:hyperlink r:id="rId23" w:history="1">
        <w:r w:rsidRPr="007E181B">
          <w:rPr>
            <w:rStyle w:val="Hyperlink"/>
          </w:rPr>
          <w:t>http://dx.doi.org/10.36348/sjef.2024.v08i04.001</w:t>
        </w:r>
      </w:hyperlink>
    </w:p>
    <w:p w14:paraId="4E2F8428" w14:textId="77777777" w:rsidR="0025754D" w:rsidRPr="007E181B" w:rsidRDefault="0025754D" w:rsidP="005657B1">
      <w:pPr>
        <w:spacing w:before="240" w:after="240" w:line="360" w:lineRule="auto"/>
        <w:jc w:val="both"/>
      </w:pPr>
      <w:r w:rsidRPr="007E181B">
        <w:t xml:space="preserve">Government of India. (2020). </w:t>
      </w:r>
      <w:r w:rsidRPr="007E181B">
        <w:rPr>
          <w:i/>
          <w:iCs/>
        </w:rPr>
        <w:t>Status of Farmer Producer Companies in India</w:t>
      </w:r>
      <w:r w:rsidRPr="007E181B">
        <w:t xml:space="preserve">. Ministry of Agriculture and Farmers’ Welfare Report. </w:t>
      </w:r>
      <w:hyperlink r:id="rId24" w:history="1">
        <w:r w:rsidRPr="007E181B">
          <w:rPr>
            <w:rStyle w:val="Hyperlink"/>
          </w:rPr>
          <w:t>https://agriwelfare.gov.in/Documents/annual-report-2020-21.pdf</w:t>
        </w:r>
      </w:hyperlink>
    </w:p>
    <w:p w14:paraId="0FEDD211" w14:textId="77777777" w:rsidR="0025754D" w:rsidRDefault="0025754D" w:rsidP="007E181B">
      <w:pPr>
        <w:spacing w:before="240" w:after="240" w:line="360" w:lineRule="auto"/>
        <w:jc w:val="both"/>
      </w:pPr>
      <w:r w:rsidRPr="007E181B">
        <w:t>Hajong, P. ., Mondal, S. ., Islam, M. A. ., &amp; Ghosh, A</w:t>
      </w:r>
      <w:proofErr w:type="gramStart"/>
      <w:r w:rsidRPr="007E181B">
        <w:t>. .</w:t>
      </w:r>
      <w:proofErr w:type="gramEnd"/>
      <w:r w:rsidRPr="007E181B">
        <w:t xml:space="preserve"> (2024). Economics of maize cultivation at selected intensive areas of Bangladesh. </w:t>
      </w:r>
      <w:r w:rsidRPr="007E181B">
        <w:rPr>
          <w:i/>
          <w:iCs/>
        </w:rPr>
        <w:t>International Journal of Agricultural Research, Innovation and Technology</w:t>
      </w:r>
      <w:r w:rsidRPr="007E181B">
        <w:t>, </w:t>
      </w:r>
      <w:r w:rsidRPr="007E181B">
        <w:rPr>
          <w:i/>
          <w:iCs/>
        </w:rPr>
        <w:t>13</w:t>
      </w:r>
      <w:r w:rsidRPr="007E181B">
        <w:t xml:space="preserve">(2), 70–78. </w:t>
      </w:r>
      <w:hyperlink r:id="rId25" w:history="1">
        <w:r w:rsidRPr="00FB7226">
          <w:rPr>
            <w:rStyle w:val="Hyperlink"/>
          </w:rPr>
          <w:t>https://doi.org/10.3329/ijarit.v13i2.70859</w:t>
        </w:r>
      </w:hyperlink>
    </w:p>
    <w:p w14:paraId="31A0A05B" w14:textId="77777777" w:rsidR="0025754D" w:rsidRPr="0025754D" w:rsidRDefault="0025754D" w:rsidP="00820A82">
      <w:pPr>
        <w:spacing w:before="240" w:after="240" w:line="360" w:lineRule="auto"/>
        <w:jc w:val="both"/>
      </w:pPr>
      <w:r w:rsidRPr="007E181B">
        <w:t xml:space="preserve">Indian Institute of Maize Research. (2025). </w:t>
      </w:r>
      <w:r w:rsidRPr="0025754D">
        <w:rPr>
          <w:i/>
          <w:iCs/>
        </w:rPr>
        <w:t>India maize scenario</w:t>
      </w:r>
      <w:r w:rsidRPr="0025754D">
        <w:t xml:space="preserve">. </w:t>
      </w:r>
      <w:r w:rsidRPr="007E181B">
        <w:t xml:space="preserve">ICAR - Indian Institute of Maize Research. </w:t>
      </w:r>
      <w:hyperlink r:id="rId26" w:history="1">
        <w:r w:rsidRPr="0025754D">
          <w:rPr>
            <w:rStyle w:val="Hyperlink"/>
          </w:rPr>
          <w:t>https://iimr.icar.gov.in/?page_id=51</w:t>
        </w:r>
      </w:hyperlink>
    </w:p>
    <w:p w14:paraId="7A349627" w14:textId="77777777" w:rsidR="0025754D" w:rsidRPr="0025754D" w:rsidRDefault="0025754D" w:rsidP="007E181B">
      <w:pPr>
        <w:spacing w:before="240" w:after="240" w:line="360" w:lineRule="auto"/>
        <w:jc w:val="both"/>
      </w:pPr>
      <w:proofErr w:type="gramStart"/>
      <w:r w:rsidRPr="007E181B">
        <w:t>Kiruthika ,</w:t>
      </w:r>
      <w:proofErr w:type="gramEnd"/>
      <w:r w:rsidRPr="007E181B">
        <w:t xml:space="preserve"> N., Senthilnathan , S., Karthick , V., </w:t>
      </w:r>
      <w:proofErr w:type="spellStart"/>
      <w:r w:rsidRPr="007E181B">
        <w:t>Parimalarangan</w:t>
      </w:r>
      <w:proofErr w:type="spellEnd"/>
      <w:r w:rsidRPr="007E181B">
        <w:t xml:space="preserve"> , R., &amp; </w:t>
      </w:r>
      <w:proofErr w:type="spellStart"/>
      <w:r w:rsidRPr="007E181B">
        <w:t>Prahadeeswaran</w:t>
      </w:r>
      <w:proofErr w:type="spellEnd"/>
      <w:r w:rsidRPr="007E181B">
        <w:t xml:space="preserve"> , M. (2023). Does Maize Cultivation is Profitable in Tamil Nadu-economics of Maize cultivation in Western Zone of Tamil Nadu, India. </w:t>
      </w:r>
      <w:r w:rsidRPr="007E181B">
        <w:rPr>
          <w:i/>
          <w:iCs/>
        </w:rPr>
        <w:t>Asian Journal of Agricultural Extension, Economics &amp; Sociology</w:t>
      </w:r>
      <w:r w:rsidRPr="007E181B">
        <w:t>, </w:t>
      </w:r>
      <w:r w:rsidRPr="007E181B">
        <w:rPr>
          <w:i/>
          <w:iCs/>
        </w:rPr>
        <w:t>41</w:t>
      </w:r>
      <w:r w:rsidRPr="007E181B">
        <w:t xml:space="preserve">(12), 240–245. </w:t>
      </w:r>
      <w:hyperlink r:id="rId27" w:history="1">
        <w:r w:rsidRPr="0025754D">
          <w:rPr>
            <w:rStyle w:val="Hyperlink"/>
          </w:rPr>
          <w:t>https://doi.org/10.9734/ajaees/2023/v41i122324</w:t>
        </w:r>
      </w:hyperlink>
    </w:p>
    <w:p w14:paraId="4E7140DE" w14:textId="77777777" w:rsidR="0025754D" w:rsidRDefault="0025754D" w:rsidP="005657B1">
      <w:pPr>
        <w:spacing w:before="240" w:after="240" w:line="360" w:lineRule="auto"/>
        <w:jc w:val="both"/>
      </w:pPr>
      <w:r w:rsidRPr="007E181B">
        <w:t xml:space="preserve">Kotyal, K. (2023). Circular agriculture: Sustainable farming practices for zero waste. </w:t>
      </w:r>
      <w:r w:rsidRPr="007E181B">
        <w:rPr>
          <w:i/>
          <w:iCs/>
        </w:rPr>
        <w:t>Environmental Reports, 5</w:t>
      </w:r>
      <w:r w:rsidRPr="007E181B">
        <w:t xml:space="preserve">(1). </w:t>
      </w:r>
      <w:hyperlink r:id="rId28" w:history="1">
        <w:r w:rsidRPr="00FB7226">
          <w:rPr>
            <w:rStyle w:val="Hyperlink"/>
          </w:rPr>
          <w:t>https://doi.org/10.51470/ER.2023.5.1.08</w:t>
        </w:r>
      </w:hyperlink>
    </w:p>
    <w:p w14:paraId="69D2514C" w14:textId="77777777" w:rsidR="0025754D" w:rsidRPr="007E181B" w:rsidRDefault="0025754D" w:rsidP="005657B1">
      <w:pPr>
        <w:spacing w:before="240" w:after="240" w:line="360" w:lineRule="auto"/>
        <w:jc w:val="both"/>
      </w:pPr>
      <w:r w:rsidRPr="007E181B">
        <w:t xml:space="preserve">Kotyal, K. (2023). Sustainable waste management in the circular economy: Challenges and opportunities. </w:t>
      </w:r>
      <w:r w:rsidRPr="007E181B">
        <w:rPr>
          <w:i/>
          <w:iCs/>
        </w:rPr>
        <w:t>Environmental Reports</w:t>
      </w:r>
      <w:r w:rsidRPr="007E181B">
        <w:t xml:space="preserve">, 5(2), Article 01. </w:t>
      </w:r>
      <w:hyperlink r:id="rId29" w:history="1">
        <w:r w:rsidRPr="007E181B">
          <w:rPr>
            <w:rStyle w:val="Hyperlink"/>
          </w:rPr>
          <w:t>https://doi.org/10.51470/ER.2023.5.2.01</w:t>
        </w:r>
      </w:hyperlink>
    </w:p>
    <w:p w14:paraId="4485C9D8" w14:textId="77777777" w:rsidR="0025754D" w:rsidRPr="007E181B" w:rsidRDefault="0025754D" w:rsidP="006D0D72">
      <w:pPr>
        <w:spacing w:before="240" w:after="240" w:line="360" w:lineRule="auto"/>
        <w:jc w:val="both"/>
      </w:pPr>
      <w:r w:rsidRPr="007E181B">
        <w:lastRenderedPageBreak/>
        <w:t xml:space="preserve">Kotyal, K. (2025). Economic Analysis of Banana Cultivation: A Comparative Study of </w:t>
      </w:r>
      <w:proofErr w:type="spellStart"/>
      <w:r w:rsidRPr="007E181B">
        <w:t>Kollegala</w:t>
      </w:r>
      <w:proofErr w:type="spellEnd"/>
      <w:r w:rsidRPr="007E181B">
        <w:t xml:space="preserve"> Horticulture Farmers Producer Company Limited (KHFPCL) Members and Non-members in </w:t>
      </w:r>
      <w:proofErr w:type="spellStart"/>
      <w:r w:rsidRPr="007E181B">
        <w:t>Kollegala</w:t>
      </w:r>
      <w:proofErr w:type="spellEnd"/>
      <w:r w:rsidRPr="007E181B">
        <w:t>, Karnataka. </w:t>
      </w:r>
      <w:r w:rsidRPr="007E181B">
        <w:rPr>
          <w:i/>
          <w:iCs/>
        </w:rPr>
        <w:t>Asian Research Journal of Agriculture</w:t>
      </w:r>
      <w:r w:rsidRPr="007E181B">
        <w:t>, </w:t>
      </w:r>
      <w:r w:rsidRPr="007E181B">
        <w:rPr>
          <w:i/>
          <w:iCs/>
        </w:rPr>
        <w:t>18</w:t>
      </w:r>
      <w:r w:rsidRPr="007E181B">
        <w:t xml:space="preserve">(1), 252–260. </w:t>
      </w:r>
      <w:hyperlink r:id="rId30" w:history="1">
        <w:r w:rsidRPr="007E181B">
          <w:rPr>
            <w:rStyle w:val="Hyperlink"/>
          </w:rPr>
          <w:t>https://doi.org/10.9734/arja/2025/v18i1661</w:t>
        </w:r>
      </w:hyperlink>
    </w:p>
    <w:p w14:paraId="5B9D3943" w14:textId="77777777" w:rsidR="0025754D" w:rsidRPr="007E181B" w:rsidRDefault="0025754D" w:rsidP="00EC7094">
      <w:pPr>
        <w:spacing w:before="240" w:after="240" w:line="360" w:lineRule="auto"/>
        <w:jc w:val="both"/>
      </w:pPr>
      <w:r w:rsidRPr="0025754D">
        <w:t xml:space="preserve">Kumar, M., Pannu, R.S. and Malik, D.P. (2023). </w:t>
      </w:r>
      <w:r w:rsidRPr="007E181B">
        <w:t xml:space="preserve">An Economic Appraisal and Resource Use Efficiency of Spring Maize Cultivation in Haryana. Indian Journal of Agricultural Research. </w:t>
      </w:r>
      <w:hyperlink r:id="rId31" w:history="1">
        <w:r w:rsidRPr="00FB7226">
          <w:rPr>
            <w:rStyle w:val="Hyperlink"/>
          </w:rPr>
          <w:t>https://arccjournals.com/journal/indian-journal-of-agricultural-research/A-6116</w:t>
        </w:r>
      </w:hyperlink>
    </w:p>
    <w:p w14:paraId="39AA985B" w14:textId="77777777" w:rsidR="0025754D" w:rsidRDefault="0025754D" w:rsidP="007E181B">
      <w:pPr>
        <w:spacing w:before="240" w:after="240" w:line="360" w:lineRule="auto"/>
        <w:jc w:val="both"/>
      </w:pPr>
      <w:r w:rsidRPr="007E181B">
        <w:rPr>
          <w:lang w:val="pt-BR"/>
        </w:rPr>
        <w:t xml:space="preserve">Martínez-Ortiz, M. A., Salinas-Moreno, Y., Ramírez-Díaz, J. L., Ledesma-Miramontes, A., &amp; Alemán de la Torre, I. (2024). </w:t>
      </w:r>
      <w:r w:rsidRPr="007E181B">
        <w:t>Challenges and Opportunities in the Specialization of Maize Cultivation. </w:t>
      </w:r>
      <w:r w:rsidRPr="007E181B">
        <w:rPr>
          <w:i/>
          <w:iCs/>
        </w:rPr>
        <w:t xml:space="preserve">Agro </w:t>
      </w:r>
      <w:proofErr w:type="spellStart"/>
      <w:r w:rsidRPr="007E181B">
        <w:rPr>
          <w:i/>
          <w:iCs/>
        </w:rPr>
        <w:t>Productividad</w:t>
      </w:r>
      <w:proofErr w:type="spellEnd"/>
      <w:r w:rsidRPr="007E181B">
        <w:t xml:space="preserve">. </w:t>
      </w:r>
      <w:hyperlink r:id="rId32" w:history="1">
        <w:r w:rsidRPr="00FB7226">
          <w:rPr>
            <w:rStyle w:val="Hyperlink"/>
          </w:rPr>
          <w:t>https://doi.org/10.32854/agrop.v17i9.3037</w:t>
        </w:r>
      </w:hyperlink>
    </w:p>
    <w:p w14:paraId="60A3ACCE" w14:textId="77777777" w:rsidR="0025754D" w:rsidRPr="007E181B" w:rsidRDefault="0025754D" w:rsidP="005657B1">
      <w:pPr>
        <w:spacing w:before="240" w:after="240" w:line="360" w:lineRule="auto"/>
        <w:jc w:val="both"/>
      </w:pPr>
      <w:r w:rsidRPr="007E181B">
        <w:t xml:space="preserve">National Institute of Agricultural Extension Management (MANAGE). (2018). </w:t>
      </w:r>
      <w:r w:rsidRPr="007E181B">
        <w:rPr>
          <w:i/>
          <w:iCs/>
        </w:rPr>
        <w:t>Farmer Producer Companies Issues and Challenges</w:t>
      </w:r>
      <w:r w:rsidRPr="007E181B">
        <w:t xml:space="preserve">. </w:t>
      </w:r>
      <w:hyperlink r:id="rId33" w:history="1">
        <w:r w:rsidRPr="007E181B">
          <w:rPr>
            <w:rStyle w:val="Hyperlink"/>
          </w:rPr>
          <w:t>https://www.manage.gov.in/publications/edigest/jun2018.pdf</w:t>
        </w:r>
      </w:hyperlink>
    </w:p>
    <w:p w14:paraId="02293B33" w14:textId="77777777" w:rsidR="0025754D" w:rsidRPr="0025754D" w:rsidRDefault="0025754D" w:rsidP="007E181B">
      <w:pPr>
        <w:spacing w:before="240" w:after="240" w:line="360" w:lineRule="auto"/>
        <w:jc w:val="both"/>
      </w:pPr>
      <w:r w:rsidRPr="007E181B">
        <w:t xml:space="preserve">Nkhata, S. G., Watson, F., </w:t>
      </w:r>
      <w:proofErr w:type="spellStart"/>
      <w:r w:rsidRPr="007E181B">
        <w:t>Chimbaza</w:t>
      </w:r>
      <w:proofErr w:type="spellEnd"/>
      <w:r w:rsidRPr="007E181B">
        <w:t xml:space="preserve">, M., </w:t>
      </w:r>
      <w:proofErr w:type="spellStart"/>
      <w:r w:rsidRPr="007E181B">
        <w:t>Namaumbo</w:t>
      </w:r>
      <w:proofErr w:type="spellEnd"/>
      <w:r w:rsidRPr="007E181B">
        <w:t xml:space="preserve">, S., </w:t>
      </w:r>
      <w:proofErr w:type="spellStart"/>
      <w:r w:rsidRPr="007E181B">
        <w:t>Kammwamba</w:t>
      </w:r>
      <w:proofErr w:type="spellEnd"/>
      <w:r w:rsidRPr="007E181B">
        <w:t xml:space="preserve">, K., </w:t>
      </w:r>
      <w:proofErr w:type="spellStart"/>
      <w:r w:rsidRPr="007E181B">
        <w:t>Chisapo</w:t>
      </w:r>
      <w:proofErr w:type="spellEnd"/>
      <w:r w:rsidRPr="007E181B">
        <w:t xml:space="preserve">, G., Ngoma, T. N., Chilembo, M., &amp; </w:t>
      </w:r>
      <w:proofErr w:type="spellStart"/>
      <w:r w:rsidRPr="007E181B">
        <w:t>Matumba</w:t>
      </w:r>
      <w:proofErr w:type="spellEnd"/>
      <w:r w:rsidRPr="007E181B">
        <w:t>, L. (2024). Farmers Preferentially Allocate More Land to Cultivation of Conventional White Maize Compared to Weevil-Resistant Biofortified Orange Maize. </w:t>
      </w:r>
      <w:r w:rsidRPr="007E181B">
        <w:rPr>
          <w:i/>
          <w:iCs/>
        </w:rPr>
        <w:t>Sustainability</w:t>
      </w:r>
      <w:r w:rsidRPr="007E181B">
        <w:t>, </w:t>
      </w:r>
      <w:r w:rsidRPr="007E181B">
        <w:rPr>
          <w:i/>
          <w:iCs/>
        </w:rPr>
        <w:t>16</w:t>
      </w:r>
      <w:r w:rsidRPr="007E181B">
        <w:t xml:space="preserve">(19), 8600. </w:t>
      </w:r>
      <w:hyperlink r:id="rId34" w:history="1">
        <w:r w:rsidRPr="0025754D">
          <w:rPr>
            <w:rStyle w:val="Hyperlink"/>
          </w:rPr>
          <w:t>https://doi.org/10.3390/su16198600</w:t>
        </w:r>
      </w:hyperlink>
    </w:p>
    <w:p w14:paraId="02D0B746" w14:textId="77777777" w:rsidR="0025754D" w:rsidRDefault="0025754D" w:rsidP="0025754D">
      <w:pPr>
        <w:spacing w:before="240" w:after="240" w:line="360" w:lineRule="auto"/>
        <w:jc w:val="both"/>
      </w:pPr>
      <w:r w:rsidRPr="0025754D">
        <w:t xml:space="preserve">Patel, S., Sharma, H. O., Vani, G. K., Singh, A., &amp; </w:t>
      </w:r>
      <w:proofErr w:type="spellStart"/>
      <w:r w:rsidRPr="0025754D">
        <w:t>Laxkar</w:t>
      </w:r>
      <w:proofErr w:type="spellEnd"/>
      <w:r w:rsidRPr="0025754D">
        <w:t>, H. (2024). An Economic Analysis of Maize Production across Major Producing States of India. </w:t>
      </w:r>
      <w:r w:rsidRPr="0025754D">
        <w:rPr>
          <w:i/>
          <w:iCs/>
        </w:rPr>
        <w:t>Asian Journal of Agricultural Extension, Economics &amp; Sociology</w:t>
      </w:r>
      <w:r w:rsidRPr="0025754D">
        <w:t>, </w:t>
      </w:r>
      <w:r w:rsidRPr="0025754D">
        <w:rPr>
          <w:i/>
          <w:iCs/>
        </w:rPr>
        <w:t>42</w:t>
      </w:r>
      <w:r w:rsidRPr="0025754D">
        <w:t xml:space="preserve">(11), 341–349. </w:t>
      </w:r>
      <w:hyperlink r:id="rId35" w:history="1">
        <w:r w:rsidRPr="00A33045">
          <w:rPr>
            <w:rStyle w:val="Hyperlink"/>
          </w:rPr>
          <w:t>https://doi.org/10.9734/ajaees/2024/v42i112619</w:t>
        </w:r>
      </w:hyperlink>
    </w:p>
    <w:p w14:paraId="1C139E33" w14:textId="77777777" w:rsidR="0025754D" w:rsidRPr="0025754D" w:rsidRDefault="0025754D" w:rsidP="007D3B3D">
      <w:pPr>
        <w:spacing w:before="240" w:after="240" w:line="360" w:lineRule="auto"/>
        <w:jc w:val="both"/>
      </w:pPr>
      <w:r w:rsidRPr="007E181B">
        <w:t>Poudel, B. (2024). Predicting Cultivation Area, Production</w:t>
      </w:r>
      <w:r>
        <w:t xml:space="preserve"> and</w:t>
      </w:r>
      <w:r w:rsidRPr="007E181B">
        <w:t xml:space="preserve"> Yield of Maize in Nepal: An ARIMA Model Approach. </w:t>
      </w:r>
      <w:r w:rsidRPr="008657A5">
        <w:rPr>
          <w:i/>
          <w:iCs/>
        </w:rPr>
        <w:t>Nepalese Journal of Statistics</w:t>
      </w:r>
      <w:r w:rsidRPr="008657A5">
        <w:t>, </w:t>
      </w:r>
      <w:r w:rsidRPr="008657A5">
        <w:rPr>
          <w:i/>
          <w:iCs/>
        </w:rPr>
        <w:t>8</w:t>
      </w:r>
      <w:r w:rsidRPr="008657A5">
        <w:t xml:space="preserve">(1), 61–78. </w:t>
      </w:r>
      <w:hyperlink r:id="rId36" w:history="1">
        <w:r w:rsidRPr="0025754D">
          <w:rPr>
            <w:rStyle w:val="Hyperlink"/>
          </w:rPr>
          <w:t>https://doi.org/10.3126/njs.v8i1.73170</w:t>
        </w:r>
      </w:hyperlink>
    </w:p>
    <w:p w14:paraId="37A8C39E" w14:textId="77777777" w:rsidR="0025754D" w:rsidRPr="007E181B" w:rsidRDefault="0025754D" w:rsidP="00820A82">
      <w:pPr>
        <w:spacing w:before="240" w:after="240" w:line="360" w:lineRule="auto"/>
        <w:jc w:val="both"/>
      </w:pPr>
      <w:r w:rsidRPr="0025754D">
        <w:t xml:space="preserve">Prakash, K. N., &amp; Venkataramana, M. N. (2023). </w:t>
      </w:r>
      <w:r w:rsidRPr="007E181B">
        <w:t xml:space="preserve">Growth of maize ecosystem in India and Karnataka vis-a-vis associated risk in production: An economic insight. Mysore Journal of Agricultural Sciences, 57(2), 264–272. </w:t>
      </w:r>
      <w:hyperlink r:id="rId37" w:history="1">
        <w:r w:rsidRPr="007E181B">
          <w:rPr>
            <w:rStyle w:val="Hyperlink"/>
          </w:rPr>
          <w:t>https://uasbangalore.edu.in/images/2023-2nd-Issue/29.pdf</w:t>
        </w:r>
      </w:hyperlink>
    </w:p>
    <w:p w14:paraId="60656654" w14:textId="77777777" w:rsidR="0025754D" w:rsidRDefault="0025754D" w:rsidP="007E181B">
      <w:pPr>
        <w:spacing w:before="240" w:after="240" w:line="360" w:lineRule="auto"/>
        <w:jc w:val="both"/>
      </w:pPr>
      <w:proofErr w:type="spellStart"/>
      <w:r w:rsidRPr="007E181B">
        <w:lastRenderedPageBreak/>
        <w:t>Sergeyeva</w:t>
      </w:r>
      <w:proofErr w:type="spellEnd"/>
      <w:r w:rsidRPr="007E181B">
        <w:t xml:space="preserve">, N., </w:t>
      </w:r>
      <w:proofErr w:type="spellStart"/>
      <w:r w:rsidRPr="007E181B">
        <w:t>Evgrafova</w:t>
      </w:r>
      <w:proofErr w:type="spellEnd"/>
      <w:r w:rsidRPr="007E181B">
        <w:t xml:space="preserve">, L., Vasilchenko, T., </w:t>
      </w:r>
      <w:proofErr w:type="spellStart"/>
      <w:r w:rsidRPr="007E181B">
        <w:t>Chukhacheva</w:t>
      </w:r>
      <w:proofErr w:type="spellEnd"/>
      <w:r w:rsidRPr="007E181B">
        <w:t xml:space="preserve">, E., &amp; </w:t>
      </w:r>
      <w:proofErr w:type="spellStart"/>
      <w:r w:rsidRPr="007E181B">
        <w:t>Fandina</w:t>
      </w:r>
      <w:proofErr w:type="spellEnd"/>
      <w:r w:rsidRPr="007E181B">
        <w:t xml:space="preserve">, N. (2023). Technological development in maize cultivation. BIO Web of Conferences, 71, 01017. </w:t>
      </w:r>
      <w:hyperlink r:id="rId38" w:history="1">
        <w:r w:rsidRPr="00FB7226">
          <w:rPr>
            <w:rStyle w:val="Hyperlink"/>
          </w:rPr>
          <w:t>https://doi.org/10.1051/bioconf/20237101017</w:t>
        </w:r>
      </w:hyperlink>
    </w:p>
    <w:p w14:paraId="2D138DDE" w14:textId="77777777" w:rsidR="0025754D" w:rsidRPr="007E181B" w:rsidRDefault="0025754D" w:rsidP="007D3B3D">
      <w:pPr>
        <w:spacing w:before="240" w:after="240" w:line="360" w:lineRule="auto"/>
        <w:jc w:val="both"/>
      </w:pPr>
      <w:r w:rsidRPr="007D3B3D">
        <w:t xml:space="preserve">USDA Foreign Agricultural Service. </w:t>
      </w:r>
      <w:r w:rsidRPr="007E181B">
        <w:t>(2025)</w:t>
      </w:r>
      <w:r w:rsidRPr="007D3B3D">
        <w:t xml:space="preserve">. </w:t>
      </w:r>
      <w:r w:rsidRPr="007D3B3D">
        <w:rPr>
          <w:i/>
          <w:iCs/>
        </w:rPr>
        <w:t>Production – Corn</w:t>
      </w:r>
      <w:r w:rsidRPr="007D3B3D">
        <w:t>.</w:t>
      </w:r>
      <w:r w:rsidRPr="007E181B">
        <w:t xml:space="preserve"> </w:t>
      </w:r>
      <w:r w:rsidRPr="007D3B3D">
        <w:t>U.S. Department of Agriculture</w:t>
      </w:r>
      <w:r w:rsidRPr="007E181B">
        <w:t xml:space="preserve">, </w:t>
      </w:r>
      <w:hyperlink r:id="rId39" w:history="1">
        <w:r w:rsidRPr="007E181B">
          <w:rPr>
            <w:rStyle w:val="Hyperlink"/>
          </w:rPr>
          <w:t>https://fas.usda.gov/data/production/commodity/0440000</w:t>
        </w:r>
      </w:hyperlink>
    </w:p>
    <w:p w14:paraId="62363FF5" w14:textId="77777777" w:rsidR="0025754D" w:rsidRDefault="0025754D" w:rsidP="007E181B">
      <w:pPr>
        <w:spacing w:before="240" w:after="240" w:line="360" w:lineRule="auto"/>
        <w:jc w:val="both"/>
      </w:pPr>
      <w:r w:rsidRPr="007E181B">
        <w:t>Vimalkumar, S., &amp; Latha, R. (2025). Advanced Soil Moisture Predictive Methodology in the Maize Cultivation Region. </w:t>
      </w:r>
      <w:r w:rsidRPr="007E181B">
        <w:rPr>
          <w:i/>
          <w:iCs/>
        </w:rPr>
        <w:t>Engineering, Technology &amp; Applied Science Research</w:t>
      </w:r>
      <w:r w:rsidRPr="007E181B">
        <w:t>, </w:t>
      </w:r>
      <w:r w:rsidRPr="007E181B">
        <w:rPr>
          <w:i/>
          <w:iCs/>
        </w:rPr>
        <w:t>15</w:t>
      </w:r>
      <w:r w:rsidRPr="007E181B">
        <w:t xml:space="preserve">(1), 19966–19970. </w:t>
      </w:r>
      <w:hyperlink r:id="rId40" w:history="1">
        <w:r w:rsidRPr="00FB7226">
          <w:rPr>
            <w:rStyle w:val="Hyperlink"/>
          </w:rPr>
          <w:t>https://doi.org/10.48084/etasr.9059</w:t>
        </w:r>
      </w:hyperlink>
    </w:p>
    <w:p w14:paraId="43D28C8F" w14:textId="77777777" w:rsidR="0025754D" w:rsidRDefault="0025754D" w:rsidP="0025754D">
      <w:pPr>
        <w:spacing w:before="240" w:after="240" w:line="360" w:lineRule="auto"/>
        <w:jc w:val="both"/>
      </w:pPr>
    </w:p>
    <w:p w14:paraId="6F1BCF0B" w14:textId="03587990" w:rsidR="00FC527C" w:rsidRPr="00DB7238" w:rsidRDefault="00FC527C" w:rsidP="00D91BDF">
      <w:pPr>
        <w:spacing w:before="240" w:after="240" w:line="360" w:lineRule="auto"/>
        <w:jc w:val="both"/>
      </w:pPr>
    </w:p>
    <w:sectPr w:rsidR="00FC527C" w:rsidRPr="00DB7238" w:rsidSect="00092A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D0515" w14:textId="77777777" w:rsidR="00F32C68" w:rsidRDefault="00F32C68" w:rsidP="00B56A3E">
      <w:pPr>
        <w:spacing w:after="0" w:line="240" w:lineRule="auto"/>
      </w:pPr>
      <w:r>
        <w:separator/>
      </w:r>
    </w:p>
  </w:endnote>
  <w:endnote w:type="continuationSeparator" w:id="0">
    <w:p w14:paraId="58CE54E0" w14:textId="77777777" w:rsidR="00F32C68" w:rsidRDefault="00F32C68" w:rsidP="00B56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unga">
    <w:altName w:val="Courier New"/>
    <w:panose1 w:val="000004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EAC88" w14:textId="77777777" w:rsidR="00B56A3E" w:rsidRDefault="00B56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2C6ED" w14:textId="77777777" w:rsidR="00B56A3E" w:rsidRDefault="00B56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6EB29" w14:textId="77777777" w:rsidR="00B56A3E" w:rsidRDefault="00B56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9D468" w14:textId="77777777" w:rsidR="00F32C68" w:rsidRDefault="00F32C68" w:rsidP="00B56A3E">
      <w:pPr>
        <w:spacing w:after="0" w:line="240" w:lineRule="auto"/>
      </w:pPr>
      <w:r>
        <w:separator/>
      </w:r>
    </w:p>
  </w:footnote>
  <w:footnote w:type="continuationSeparator" w:id="0">
    <w:p w14:paraId="11E2B70B" w14:textId="77777777" w:rsidR="00F32C68" w:rsidRDefault="00F32C68" w:rsidP="00B56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CFC9F" w14:textId="60B94ED9" w:rsidR="00B56A3E" w:rsidRDefault="00F32C68">
    <w:pPr>
      <w:pStyle w:val="Header"/>
    </w:pPr>
    <w:r>
      <w:rPr>
        <w:noProof/>
      </w:rPr>
      <w:pict w14:anchorId="1DE477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C30D2" w14:textId="26D6C6B0" w:rsidR="00B56A3E" w:rsidRDefault="00F32C68">
    <w:pPr>
      <w:pStyle w:val="Header"/>
    </w:pPr>
    <w:r>
      <w:rPr>
        <w:noProof/>
      </w:rPr>
      <w:pict w14:anchorId="26DA7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5BB30" w14:textId="4E4A1580" w:rsidR="00B56A3E" w:rsidRDefault="00F32C68">
    <w:pPr>
      <w:pStyle w:val="Header"/>
    </w:pPr>
    <w:r>
      <w:rPr>
        <w:noProof/>
      </w:rPr>
      <w:pict w14:anchorId="1F31A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E01BB"/>
    <w:multiLevelType w:val="hybridMultilevel"/>
    <w:tmpl w:val="FA2ABEB0"/>
    <w:lvl w:ilvl="0" w:tplc="40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9583494"/>
    <w:multiLevelType w:val="multilevel"/>
    <w:tmpl w:val="7E68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853365"/>
    <w:multiLevelType w:val="hybridMultilevel"/>
    <w:tmpl w:val="EF262A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8C64AA3"/>
    <w:multiLevelType w:val="multilevel"/>
    <w:tmpl w:val="4D7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8C4209"/>
    <w:multiLevelType w:val="multilevel"/>
    <w:tmpl w:val="221A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BDF"/>
    <w:rsid w:val="00012B8F"/>
    <w:rsid w:val="00082229"/>
    <w:rsid w:val="00090E37"/>
    <w:rsid w:val="00092A50"/>
    <w:rsid w:val="000C0300"/>
    <w:rsid w:val="000C1D72"/>
    <w:rsid w:val="000C3930"/>
    <w:rsid w:val="00164C9C"/>
    <w:rsid w:val="001A6427"/>
    <w:rsid w:val="001D7575"/>
    <w:rsid w:val="00242C47"/>
    <w:rsid w:val="00245E1A"/>
    <w:rsid w:val="0025754D"/>
    <w:rsid w:val="002B69A3"/>
    <w:rsid w:val="002B7008"/>
    <w:rsid w:val="002C6511"/>
    <w:rsid w:val="002D031E"/>
    <w:rsid w:val="00366A20"/>
    <w:rsid w:val="00375D34"/>
    <w:rsid w:val="003C16DA"/>
    <w:rsid w:val="003F19D5"/>
    <w:rsid w:val="004D7ECD"/>
    <w:rsid w:val="00541277"/>
    <w:rsid w:val="005657B1"/>
    <w:rsid w:val="00572EE3"/>
    <w:rsid w:val="0057645C"/>
    <w:rsid w:val="005830A3"/>
    <w:rsid w:val="0064576F"/>
    <w:rsid w:val="006511F7"/>
    <w:rsid w:val="006D0D72"/>
    <w:rsid w:val="006E4C8F"/>
    <w:rsid w:val="007652F0"/>
    <w:rsid w:val="00796AC9"/>
    <w:rsid w:val="00797C08"/>
    <w:rsid w:val="007D3B3D"/>
    <w:rsid w:val="007E181B"/>
    <w:rsid w:val="00820A82"/>
    <w:rsid w:val="00830B6A"/>
    <w:rsid w:val="008327E8"/>
    <w:rsid w:val="008657A5"/>
    <w:rsid w:val="008778D4"/>
    <w:rsid w:val="00927989"/>
    <w:rsid w:val="009304B0"/>
    <w:rsid w:val="00951B27"/>
    <w:rsid w:val="009B1D4D"/>
    <w:rsid w:val="009C4D91"/>
    <w:rsid w:val="009C697E"/>
    <w:rsid w:val="009E40F4"/>
    <w:rsid w:val="00A11530"/>
    <w:rsid w:val="00A27E33"/>
    <w:rsid w:val="00A71ECD"/>
    <w:rsid w:val="00A95850"/>
    <w:rsid w:val="00AF09A1"/>
    <w:rsid w:val="00AF3DFC"/>
    <w:rsid w:val="00B03A3E"/>
    <w:rsid w:val="00B56A3E"/>
    <w:rsid w:val="00B6541A"/>
    <w:rsid w:val="00C40432"/>
    <w:rsid w:val="00C44A90"/>
    <w:rsid w:val="00CF4A5E"/>
    <w:rsid w:val="00D119DD"/>
    <w:rsid w:val="00D72941"/>
    <w:rsid w:val="00D91BDF"/>
    <w:rsid w:val="00DB7238"/>
    <w:rsid w:val="00E2056B"/>
    <w:rsid w:val="00EC7094"/>
    <w:rsid w:val="00F32C68"/>
    <w:rsid w:val="00FA37C8"/>
    <w:rsid w:val="00FC527C"/>
    <w:rsid w:val="00FD35F9"/>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66636B"/>
  <w15:chartTrackingRefBased/>
  <w15:docId w15:val="{EF36C3E2-12CB-4426-AAFE-E4957509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7B1"/>
  </w:style>
  <w:style w:type="paragraph" w:styleId="Heading1">
    <w:name w:val="heading 1"/>
    <w:basedOn w:val="Normal"/>
    <w:next w:val="Normal"/>
    <w:link w:val="Heading1Char"/>
    <w:uiPriority w:val="9"/>
    <w:qFormat/>
    <w:rsid w:val="00D91B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1B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1BD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1BD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91BD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91BD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91BD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91BD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91BD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B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1B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1BD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1BD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91BD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91BD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1BD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1BD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1BD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91BDF"/>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91BDF"/>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91BD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BD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91BDF"/>
    <w:pPr>
      <w:spacing w:before="160"/>
      <w:jc w:val="center"/>
    </w:pPr>
    <w:rPr>
      <w:i/>
      <w:iCs/>
      <w:color w:val="404040" w:themeColor="text1" w:themeTint="BF"/>
    </w:rPr>
  </w:style>
  <w:style w:type="character" w:customStyle="1" w:styleId="QuoteChar">
    <w:name w:val="Quote Char"/>
    <w:basedOn w:val="DefaultParagraphFont"/>
    <w:link w:val="Quote"/>
    <w:uiPriority w:val="29"/>
    <w:rsid w:val="00D91BDF"/>
    <w:rPr>
      <w:i/>
      <w:iCs/>
      <w:color w:val="404040" w:themeColor="text1" w:themeTint="BF"/>
    </w:rPr>
  </w:style>
  <w:style w:type="paragraph" w:styleId="ListParagraph">
    <w:name w:val="List Paragraph"/>
    <w:basedOn w:val="Normal"/>
    <w:uiPriority w:val="34"/>
    <w:qFormat/>
    <w:rsid w:val="00D91BDF"/>
    <w:pPr>
      <w:ind w:left="720"/>
      <w:contextualSpacing/>
    </w:pPr>
  </w:style>
  <w:style w:type="character" w:styleId="IntenseEmphasis">
    <w:name w:val="Intense Emphasis"/>
    <w:basedOn w:val="DefaultParagraphFont"/>
    <w:uiPriority w:val="21"/>
    <w:qFormat/>
    <w:rsid w:val="00D91BDF"/>
    <w:rPr>
      <w:i/>
      <w:iCs/>
      <w:color w:val="2F5496" w:themeColor="accent1" w:themeShade="BF"/>
    </w:rPr>
  </w:style>
  <w:style w:type="paragraph" w:styleId="IntenseQuote">
    <w:name w:val="Intense Quote"/>
    <w:basedOn w:val="Normal"/>
    <w:next w:val="Normal"/>
    <w:link w:val="IntenseQuoteChar"/>
    <w:uiPriority w:val="30"/>
    <w:qFormat/>
    <w:rsid w:val="00D91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1BDF"/>
    <w:rPr>
      <w:i/>
      <w:iCs/>
      <w:color w:val="2F5496" w:themeColor="accent1" w:themeShade="BF"/>
    </w:rPr>
  </w:style>
  <w:style w:type="character" w:styleId="IntenseReference">
    <w:name w:val="Intense Reference"/>
    <w:basedOn w:val="DefaultParagraphFont"/>
    <w:uiPriority w:val="32"/>
    <w:qFormat/>
    <w:rsid w:val="00D91BDF"/>
    <w:rPr>
      <w:b/>
      <w:bCs/>
      <w:smallCaps/>
      <w:color w:val="2F5496" w:themeColor="accent1" w:themeShade="BF"/>
      <w:spacing w:val="5"/>
    </w:rPr>
  </w:style>
  <w:style w:type="character" w:customStyle="1" w:styleId="mord">
    <w:name w:val="mord"/>
    <w:basedOn w:val="DefaultParagraphFont"/>
    <w:rsid w:val="00830B6A"/>
  </w:style>
  <w:style w:type="character" w:customStyle="1" w:styleId="mbin">
    <w:name w:val="mbin"/>
    <w:basedOn w:val="DefaultParagraphFont"/>
    <w:rsid w:val="00830B6A"/>
  </w:style>
  <w:style w:type="table" w:styleId="TableGrid">
    <w:name w:val="Table Grid"/>
    <w:basedOn w:val="TableNormal"/>
    <w:uiPriority w:val="39"/>
    <w:rsid w:val="00092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7238"/>
    <w:rPr>
      <w:color w:val="0563C1" w:themeColor="hyperlink"/>
      <w:u w:val="single"/>
    </w:rPr>
  </w:style>
  <w:style w:type="character" w:customStyle="1" w:styleId="UnresolvedMention">
    <w:name w:val="Unresolved Mention"/>
    <w:basedOn w:val="DefaultParagraphFont"/>
    <w:uiPriority w:val="99"/>
    <w:semiHidden/>
    <w:unhideWhenUsed/>
    <w:rsid w:val="00DB7238"/>
    <w:rPr>
      <w:color w:val="605E5C"/>
      <w:shd w:val="clear" w:color="auto" w:fill="E1DFDD"/>
    </w:rPr>
  </w:style>
  <w:style w:type="character" w:styleId="Emphasis">
    <w:name w:val="Emphasis"/>
    <w:basedOn w:val="DefaultParagraphFont"/>
    <w:uiPriority w:val="20"/>
    <w:qFormat/>
    <w:rsid w:val="007D3B3D"/>
    <w:rPr>
      <w:i/>
      <w:iCs/>
    </w:rPr>
  </w:style>
  <w:style w:type="paragraph" w:styleId="Header">
    <w:name w:val="header"/>
    <w:basedOn w:val="Normal"/>
    <w:link w:val="HeaderChar"/>
    <w:uiPriority w:val="99"/>
    <w:unhideWhenUsed/>
    <w:rsid w:val="00B56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A3E"/>
  </w:style>
  <w:style w:type="paragraph" w:styleId="Footer">
    <w:name w:val="footer"/>
    <w:basedOn w:val="Normal"/>
    <w:link w:val="FooterChar"/>
    <w:uiPriority w:val="99"/>
    <w:unhideWhenUsed/>
    <w:rsid w:val="00B56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A3E"/>
  </w:style>
  <w:style w:type="paragraph" w:styleId="NormalWeb">
    <w:name w:val="Normal (Web)"/>
    <w:basedOn w:val="Normal"/>
    <w:uiPriority w:val="99"/>
    <w:semiHidden/>
    <w:unhideWhenUsed/>
    <w:rsid w:val="00AF3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4087">
      <w:bodyDiv w:val="1"/>
      <w:marLeft w:val="0"/>
      <w:marRight w:val="0"/>
      <w:marTop w:val="0"/>
      <w:marBottom w:val="0"/>
      <w:divBdr>
        <w:top w:val="none" w:sz="0" w:space="0" w:color="auto"/>
        <w:left w:val="none" w:sz="0" w:space="0" w:color="auto"/>
        <w:bottom w:val="none" w:sz="0" w:space="0" w:color="auto"/>
        <w:right w:val="none" w:sz="0" w:space="0" w:color="auto"/>
      </w:divBdr>
    </w:div>
    <w:div w:id="70932192">
      <w:bodyDiv w:val="1"/>
      <w:marLeft w:val="0"/>
      <w:marRight w:val="0"/>
      <w:marTop w:val="0"/>
      <w:marBottom w:val="0"/>
      <w:divBdr>
        <w:top w:val="none" w:sz="0" w:space="0" w:color="auto"/>
        <w:left w:val="none" w:sz="0" w:space="0" w:color="auto"/>
        <w:bottom w:val="none" w:sz="0" w:space="0" w:color="auto"/>
        <w:right w:val="none" w:sz="0" w:space="0" w:color="auto"/>
      </w:divBdr>
    </w:div>
    <w:div w:id="263265239">
      <w:bodyDiv w:val="1"/>
      <w:marLeft w:val="0"/>
      <w:marRight w:val="0"/>
      <w:marTop w:val="0"/>
      <w:marBottom w:val="0"/>
      <w:divBdr>
        <w:top w:val="none" w:sz="0" w:space="0" w:color="auto"/>
        <w:left w:val="none" w:sz="0" w:space="0" w:color="auto"/>
        <w:bottom w:val="none" w:sz="0" w:space="0" w:color="auto"/>
        <w:right w:val="none" w:sz="0" w:space="0" w:color="auto"/>
      </w:divBdr>
      <w:divsChild>
        <w:div w:id="1623339972">
          <w:marLeft w:val="0"/>
          <w:marRight w:val="0"/>
          <w:marTop w:val="0"/>
          <w:marBottom w:val="0"/>
          <w:divBdr>
            <w:top w:val="none" w:sz="0" w:space="0" w:color="auto"/>
            <w:left w:val="none" w:sz="0" w:space="0" w:color="auto"/>
            <w:bottom w:val="none" w:sz="0" w:space="0" w:color="auto"/>
            <w:right w:val="none" w:sz="0" w:space="0" w:color="auto"/>
          </w:divBdr>
          <w:divsChild>
            <w:div w:id="1195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4778">
      <w:bodyDiv w:val="1"/>
      <w:marLeft w:val="0"/>
      <w:marRight w:val="0"/>
      <w:marTop w:val="0"/>
      <w:marBottom w:val="0"/>
      <w:divBdr>
        <w:top w:val="none" w:sz="0" w:space="0" w:color="auto"/>
        <w:left w:val="none" w:sz="0" w:space="0" w:color="auto"/>
        <w:bottom w:val="none" w:sz="0" w:space="0" w:color="auto"/>
        <w:right w:val="none" w:sz="0" w:space="0" w:color="auto"/>
      </w:divBdr>
    </w:div>
    <w:div w:id="392000939">
      <w:bodyDiv w:val="1"/>
      <w:marLeft w:val="0"/>
      <w:marRight w:val="0"/>
      <w:marTop w:val="0"/>
      <w:marBottom w:val="0"/>
      <w:divBdr>
        <w:top w:val="none" w:sz="0" w:space="0" w:color="auto"/>
        <w:left w:val="none" w:sz="0" w:space="0" w:color="auto"/>
        <w:bottom w:val="none" w:sz="0" w:space="0" w:color="auto"/>
        <w:right w:val="none" w:sz="0" w:space="0" w:color="auto"/>
      </w:divBdr>
    </w:div>
    <w:div w:id="494036956">
      <w:bodyDiv w:val="1"/>
      <w:marLeft w:val="0"/>
      <w:marRight w:val="0"/>
      <w:marTop w:val="0"/>
      <w:marBottom w:val="0"/>
      <w:divBdr>
        <w:top w:val="none" w:sz="0" w:space="0" w:color="auto"/>
        <w:left w:val="none" w:sz="0" w:space="0" w:color="auto"/>
        <w:bottom w:val="none" w:sz="0" w:space="0" w:color="auto"/>
        <w:right w:val="none" w:sz="0" w:space="0" w:color="auto"/>
      </w:divBdr>
    </w:div>
    <w:div w:id="546138211">
      <w:bodyDiv w:val="1"/>
      <w:marLeft w:val="0"/>
      <w:marRight w:val="0"/>
      <w:marTop w:val="0"/>
      <w:marBottom w:val="0"/>
      <w:divBdr>
        <w:top w:val="none" w:sz="0" w:space="0" w:color="auto"/>
        <w:left w:val="none" w:sz="0" w:space="0" w:color="auto"/>
        <w:bottom w:val="none" w:sz="0" w:space="0" w:color="auto"/>
        <w:right w:val="none" w:sz="0" w:space="0" w:color="auto"/>
      </w:divBdr>
      <w:divsChild>
        <w:div w:id="1914663271">
          <w:marLeft w:val="0"/>
          <w:marRight w:val="0"/>
          <w:marTop w:val="0"/>
          <w:marBottom w:val="0"/>
          <w:divBdr>
            <w:top w:val="none" w:sz="0" w:space="0" w:color="auto"/>
            <w:left w:val="none" w:sz="0" w:space="0" w:color="auto"/>
            <w:bottom w:val="none" w:sz="0" w:space="0" w:color="auto"/>
            <w:right w:val="none" w:sz="0" w:space="0" w:color="auto"/>
          </w:divBdr>
          <w:divsChild>
            <w:div w:id="661351701">
              <w:marLeft w:val="0"/>
              <w:marRight w:val="0"/>
              <w:marTop w:val="0"/>
              <w:marBottom w:val="0"/>
              <w:divBdr>
                <w:top w:val="none" w:sz="0" w:space="0" w:color="auto"/>
                <w:left w:val="none" w:sz="0" w:space="0" w:color="auto"/>
                <w:bottom w:val="none" w:sz="0" w:space="0" w:color="auto"/>
                <w:right w:val="none" w:sz="0" w:space="0" w:color="auto"/>
              </w:divBdr>
              <w:divsChild>
                <w:div w:id="1286349557">
                  <w:marLeft w:val="0"/>
                  <w:marRight w:val="0"/>
                  <w:marTop w:val="0"/>
                  <w:marBottom w:val="0"/>
                  <w:divBdr>
                    <w:top w:val="none" w:sz="0" w:space="0" w:color="auto"/>
                    <w:left w:val="none" w:sz="0" w:space="0" w:color="auto"/>
                    <w:bottom w:val="none" w:sz="0" w:space="0" w:color="auto"/>
                    <w:right w:val="none" w:sz="0" w:space="0" w:color="auto"/>
                  </w:divBdr>
                  <w:divsChild>
                    <w:div w:id="25751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11953">
      <w:bodyDiv w:val="1"/>
      <w:marLeft w:val="0"/>
      <w:marRight w:val="0"/>
      <w:marTop w:val="0"/>
      <w:marBottom w:val="0"/>
      <w:divBdr>
        <w:top w:val="none" w:sz="0" w:space="0" w:color="auto"/>
        <w:left w:val="none" w:sz="0" w:space="0" w:color="auto"/>
        <w:bottom w:val="none" w:sz="0" w:space="0" w:color="auto"/>
        <w:right w:val="none" w:sz="0" w:space="0" w:color="auto"/>
      </w:divBdr>
    </w:div>
    <w:div w:id="621348622">
      <w:bodyDiv w:val="1"/>
      <w:marLeft w:val="0"/>
      <w:marRight w:val="0"/>
      <w:marTop w:val="0"/>
      <w:marBottom w:val="0"/>
      <w:divBdr>
        <w:top w:val="none" w:sz="0" w:space="0" w:color="auto"/>
        <w:left w:val="none" w:sz="0" w:space="0" w:color="auto"/>
        <w:bottom w:val="none" w:sz="0" w:space="0" w:color="auto"/>
        <w:right w:val="none" w:sz="0" w:space="0" w:color="auto"/>
      </w:divBdr>
    </w:div>
    <w:div w:id="887843155">
      <w:bodyDiv w:val="1"/>
      <w:marLeft w:val="0"/>
      <w:marRight w:val="0"/>
      <w:marTop w:val="0"/>
      <w:marBottom w:val="0"/>
      <w:divBdr>
        <w:top w:val="none" w:sz="0" w:space="0" w:color="auto"/>
        <w:left w:val="none" w:sz="0" w:space="0" w:color="auto"/>
        <w:bottom w:val="none" w:sz="0" w:space="0" w:color="auto"/>
        <w:right w:val="none" w:sz="0" w:space="0" w:color="auto"/>
      </w:divBdr>
    </w:div>
    <w:div w:id="938759207">
      <w:bodyDiv w:val="1"/>
      <w:marLeft w:val="0"/>
      <w:marRight w:val="0"/>
      <w:marTop w:val="0"/>
      <w:marBottom w:val="0"/>
      <w:divBdr>
        <w:top w:val="none" w:sz="0" w:space="0" w:color="auto"/>
        <w:left w:val="none" w:sz="0" w:space="0" w:color="auto"/>
        <w:bottom w:val="none" w:sz="0" w:space="0" w:color="auto"/>
        <w:right w:val="none" w:sz="0" w:space="0" w:color="auto"/>
      </w:divBdr>
    </w:div>
    <w:div w:id="1092975507">
      <w:bodyDiv w:val="1"/>
      <w:marLeft w:val="0"/>
      <w:marRight w:val="0"/>
      <w:marTop w:val="0"/>
      <w:marBottom w:val="0"/>
      <w:divBdr>
        <w:top w:val="none" w:sz="0" w:space="0" w:color="auto"/>
        <w:left w:val="none" w:sz="0" w:space="0" w:color="auto"/>
        <w:bottom w:val="none" w:sz="0" w:space="0" w:color="auto"/>
        <w:right w:val="none" w:sz="0" w:space="0" w:color="auto"/>
      </w:divBdr>
    </w:div>
    <w:div w:id="1127818647">
      <w:bodyDiv w:val="1"/>
      <w:marLeft w:val="0"/>
      <w:marRight w:val="0"/>
      <w:marTop w:val="0"/>
      <w:marBottom w:val="0"/>
      <w:divBdr>
        <w:top w:val="none" w:sz="0" w:space="0" w:color="auto"/>
        <w:left w:val="none" w:sz="0" w:space="0" w:color="auto"/>
        <w:bottom w:val="none" w:sz="0" w:space="0" w:color="auto"/>
        <w:right w:val="none" w:sz="0" w:space="0" w:color="auto"/>
      </w:divBdr>
    </w:div>
    <w:div w:id="1253508692">
      <w:bodyDiv w:val="1"/>
      <w:marLeft w:val="0"/>
      <w:marRight w:val="0"/>
      <w:marTop w:val="0"/>
      <w:marBottom w:val="0"/>
      <w:divBdr>
        <w:top w:val="none" w:sz="0" w:space="0" w:color="auto"/>
        <w:left w:val="none" w:sz="0" w:space="0" w:color="auto"/>
        <w:bottom w:val="none" w:sz="0" w:space="0" w:color="auto"/>
        <w:right w:val="none" w:sz="0" w:space="0" w:color="auto"/>
      </w:divBdr>
    </w:div>
    <w:div w:id="1347831611">
      <w:bodyDiv w:val="1"/>
      <w:marLeft w:val="0"/>
      <w:marRight w:val="0"/>
      <w:marTop w:val="0"/>
      <w:marBottom w:val="0"/>
      <w:divBdr>
        <w:top w:val="none" w:sz="0" w:space="0" w:color="auto"/>
        <w:left w:val="none" w:sz="0" w:space="0" w:color="auto"/>
        <w:bottom w:val="none" w:sz="0" w:space="0" w:color="auto"/>
        <w:right w:val="none" w:sz="0" w:space="0" w:color="auto"/>
      </w:divBdr>
    </w:div>
    <w:div w:id="1371955323">
      <w:bodyDiv w:val="1"/>
      <w:marLeft w:val="0"/>
      <w:marRight w:val="0"/>
      <w:marTop w:val="0"/>
      <w:marBottom w:val="0"/>
      <w:divBdr>
        <w:top w:val="none" w:sz="0" w:space="0" w:color="auto"/>
        <w:left w:val="none" w:sz="0" w:space="0" w:color="auto"/>
        <w:bottom w:val="none" w:sz="0" w:space="0" w:color="auto"/>
        <w:right w:val="none" w:sz="0" w:space="0" w:color="auto"/>
      </w:divBdr>
    </w:div>
    <w:div w:id="1379814351">
      <w:bodyDiv w:val="1"/>
      <w:marLeft w:val="0"/>
      <w:marRight w:val="0"/>
      <w:marTop w:val="0"/>
      <w:marBottom w:val="0"/>
      <w:divBdr>
        <w:top w:val="none" w:sz="0" w:space="0" w:color="auto"/>
        <w:left w:val="none" w:sz="0" w:space="0" w:color="auto"/>
        <w:bottom w:val="none" w:sz="0" w:space="0" w:color="auto"/>
        <w:right w:val="none" w:sz="0" w:space="0" w:color="auto"/>
      </w:divBdr>
      <w:divsChild>
        <w:div w:id="2083865316">
          <w:marLeft w:val="0"/>
          <w:marRight w:val="0"/>
          <w:marTop w:val="0"/>
          <w:marBottom w:val="0"/>
          <w:divBdr>
            <w:top w:val="none" w:sz="0" w:space="0" w:color="auto"/>
            <w:left w:val="none" w:sz="0" w:space="0" w:color="auto"/>
            <w:bottom w:val="none" w:sz="0" w:space="0" w:color="auto"/>
            <w:right w:val="none" w:sz="0" w:space="0" w:color="auto"/>
          </w:divBdr>
          <w:divsChild>
            <w:div w:id="192115917">
              <w:marLeft w:val="0"/>
              <w:marRight w:val="0"/>
              <w:marTop w:val="0"/>
              <w:marBottom w:val="0"/>
              <w:divBdr>
                <w:top w:val="none" w:sz="0" w:space="0" w:color="auto"/>
                <w:left w:val="none" w:sz="0" w:space="0" w:color="auto"/>
                <w:bottom w:val="none" w:sz="0" w:space="0" w:color="auto"/>
                <w:right w:val="none" w:sz="0" w:space="0" w:color="auto"/>
              </w:divBdr>
              <w:divsChild>
                <w:div w:id="81226086">
                  <w:marLeft w:val="0"/>
                  <w:marRight w:val="0"/>
                  <w:marTop w:val="0"/>
                  <w:marBottom w:val="0"/>
                  <w:divBdr>
                    <w:top w:val="none" w:sz="0" w:space="0" w:color="auto"/>
                    <w:left w:val="none" w:sz="0" w:space="0" w:color="auto"/>
                    <w:bottom w:val="none" w:sz="0" w:space="0" w:color="auto"/>
                    <w:right w:val="none" w:sz="0" w:space="0" w:color="auto"/>
                  </w:divBdr>
                  <w:divsChild>
                    <w:div w:id="4406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513704">
      <w:bodyDiv w:val="1"/>
      <w:marLeft w:val="0"/>
      <w:marRight w:val="0"/>
      <w:marTop w:val="0"/>
      <w:marBottom w:val="0"/>
      <w:divBdr>
        <w:top w:val="none" w:sz="0" w:space="0" w:color="auto"/>
        <w:left w:val="none" w:sz="0" w:space="0" w:color="auto"/>
        <w:bottom w:val="none" w:sz="0" w:space="0" w:color="auto"/>
        <w:right w:val="none" w:sz="0" w:space="0" w:color="auto"/>
      </w:divBdr>
    </w:div>
    <w:div w:id="1499886043">
      <w:bodyDiv w:val="1"/>
      <w:marLeft w:val="0"/>
      <w:marRight w:val="0"/>
      <w:marTop w:val="0"/>
      <w:marBottom w:val="0"/>
      <w:divBdr>
        <w:top w:val="none" w:sz="0" w:space="0" w:color="auto"/>
        <w:left w:val="none" w:sz="0" w:space="0" w:color="auto"/>
        <w:bottom w:val="none" w:sz="0" w:space="0" w:color="auto"/>
        <w:right w:val="none" w:sz="0" w:space="0" w:color="auto"/>
      </w:divBdr>
    </w:div>
    <w:div w:id="1506818705">
      <w:bodyDiv w:val="1"/>
      <w:marLeft w:val="0"/>
      <w:marRight w:val="0"/>
      <w:marTop w:val="0"/>
      <w:marBottom w:val="0"/>
      <w:divBdr>
        <w:top w:val="none" w:sz="0" w:space="0" w:color="auto"/>
        <w:left w:val="none" w:sz="0" w:space="0" w:color="auto"/>
        <w:bottom w:val="none" w:sz="0" w:space="0" w:color="auto"/>
        <w:right w:val="none" w:sz="0" w:space="0" w:color="auto"/>
      </w:divBdr>
    </w:div>
    <w:div w:id="1679766596">
      <w:bodyDiv w:val="1"/>
      <w:marLeft w:val="0"/>
      <w:marRight w:val="0"/>
      <w:marTop w:val="0"/>
      <w:marBottom w:val="0"/>
      <w:divBdr>
        <w:top w:val="none" w:sz="0" w:space="0" w:color="auto"/>
        <w:left w:val="none" w:sz="0" w:space="0" w:color="auto"/>
        <w:bottom w:val="none" w:sz="0" w:space="0" w:color="auto"/>
        <w:right w:val="none" w:sz="0" w:space="0" w:color="auto"/>
      </w:divBdr>
    </w:div>
    <w:div w:id="1857497886">
      <w:bodyDiv w:val="1"/>
      <w:marLeft w:val="0"/>
      <w:marRight w:val="0"/>
      <w:marTop w:val="0"/>
      <w:marBottom w:val="0"/>
      <w:divBdr>
        <w:top w:val="none" w:sz="0" w:space="0" w:color="auto"/>
        <w:left w:val="none" w:sz="0" w:space="0" w:color="auto"/>
        <w:bottom w:val="none" w:sz="0" w:space="0" w:color="auto"/>
        <w:right w:val="none" w:sz="0" w:space="0" w:color="auto"/>
      </w:divBdr>
    </w:div>
    <w:div w:id="1893617243">
      <w:bodyDiv w:val="1"/>
      <w:marLeft w:val="0"/>
      <w:marRight w:val="0"/>
      <w:marTop w:val="0"/>
      <w:marBottom w:val="0"/>
      <w:divBdr>
        <w:top w:val="none" w:sz="0" w:space="0" w:color="auto"/>
        <w:left w:val="none" w:sz="0" w:space="0" w:color="auto"/>
        <w:bottom w:val="none" w:sz="0" w:space="0" w:color="auto"/>
        <w:right w:val="none" w:sz="0" w:space="0" w:color="auto"/>
      </w:divBdr>
    </w:div>
    <w:div w:id="1965429518">
      <w:bodyDiv w:val="1"/>
      <w:marLeft w:val="0"/>
      <w:marRight w:val="0"/>
      <w:marTop w:val="0"/>
      <w:marBottom w:val="0"/>
      <w:divBdr>
        <w:top w:val="none" w:sz="0" w:space="0" w:color="auto"/>
        <w:left w:val="none" w:sz="0" w:space="0" w:color="auto"/>
        <w:bottom w:val="none" w:sz="0" w:space="0" w:color="auto"/>
        <w:right w:val="none" w:sz="0" w:space="0" w:color="auto"/>
      </w:divBdr>
    </w:div>
    <w:div w:id="20664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doi.org/10.51470/ER.2023.5.2.06" TargetMode="External"/><Relationship Id="rId26" Type="http://schemas.openxmlformats.org/officeDocument/2006/relationships/hyperlink" Target="https://iimr.icar.gov.in/?page_id=51" TargetMode="External"/><Relationship Id="rId39" Type="http://schemas.openxmlformats.org/officeDocument/2006/relationships/hyperlink" Target="https://fas.usda.gov/data/production/commodity/0440000" TargetMode="External"/><Relationship Id="rId21" Type="http://schemas.openxmlformats.org/officeDocument/2006/relationships/hyperlink" Target="https://doi.org/10.20546/ijcmas.2024.1312.028" TargetMode="External"/><Relationship Id="rId34" Type="http://schemas.openxmlformats.org/officeDocument/2006/relationships/hyperlink" Target="https://doi.org/10.3390/su16198600" TargetMode="External"/><Relationship Id="rId42"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33002/nr2581.6853.040202" TargetMode="External"/><Relationship Id="rId20" Type="http://schemas.openxmlformats.org/officeDocument/2006/relationships/hyperlink" Target="https://www.bio-research.com.ng/index.php/home/article/view/232" TargetMode="External"/><Relationship Id="rId29" Type="http://schemas.openxmlformats.org/officeDocument/2006/relationships/hyperlink" Target="https://doi.org/10.51470/ER.2023.5.2.01"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agriwelfare.gov.in/Documents/annual-report-2020-21.pdf" TargetMode="External"/><Relationship Id="rId32" Type="http://schemas.openxmlformats.org/officeDocument/2006/relationships/hyperlink" Target="https://doi.org/10.32854/agrop.v17i9.3037" TargetMode="External"/><Relationship Id="rId37" Type="http://schemas.openxmlformats.org/officeDocument/2006/relationships/hyperlink" Target="https://uasbangalore.edu.in/images/2023-2nd-Issue/29.pdf" TargetMode="External"/><Relationship Id="rId40" Type="http://schemas.openxmlformats.org/officeDocument/2006/relationships/hyperlink" Target="https://doi.org/10.48084/etasr.9059" TargetMode="External"/><Relationship Id="rId5" Type="http://schemas.openxmlformats.org/officeDocument/2006/relationships/footnotes" Target="footnotes.xml"/><Relationship Id="rId15" Type="http://schemas.openxmlformats.org/officeDocument/2006/relationships/hyperlink" Target="https://doi.org/10.33545/26180723.2025.v8.i1g.1566" TargetMode="External"/><Relationship Id="rId23" Type="http://schemas.openxmlformats.org/officeDocument/2006/relationships/hyperlink" Target="http://dx.doi.org/10.36348/sjef.2024.v08i04.001" TargetMode="External"/><Relationship Id="rId28" Type="http://schemas.openxmlformats.org/officeDocument/2006/relationships/hyperlink" Target="https://doi.org/10.51470/ER.2023.5.1.08" TargetMode="External"/><Relationship Id="rId36" Type="http://schemas.openxmlformats.org/officeDocument/2006/relationships/hyperlink" Target="https://doi.org/10.3126/njs.v8i1.73170" TargetMode="External"/><Relationship Id="rId10" Type="http://schemas.openxmlformats.org/officeDocument/2006/relationships/footer" Target="footer2.xml"/><Relationship Id="rId19" Type="http://schemas.openxmlformats.org/officeDocument/2006/relationships/hyperlink" Target="https://doi.org/10.9734/jsrr/2025/v31i22871" TargetMode="External"/><Relationship Id="rId31" Type="http://schemas.openxmlformats.org/officeDocument/2006/relationships/hyperlink" Target="https://arccjournals.com/journal/indian-journal-of-agricultural-research/A-611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yperlink" Target="https://doi.org/10.20546/ijcmas.2023.1210.013" TargetMode="External"/><Relationship Id="rId27" Type="http://schemas.openxmlformats.org/officeDocument/2006/relationships/hyperlink" Target="https://doi.org/10.9734/ajaees/2023/v41i122324" TargetMode="External"/><Relationship Id="rId30" Type="http://schemas.openxmlformats.org/officeDocument/2006/relationships/hyperlink" Target="https://doi.org/10.9734/arja/2025/v18i1661" TargetMode="External"/><Relationship Id="rId35" Type="http://schemas.openxmlformats.org/officeDocument/2006/relationships/hyperlink" Target="https://doi.org/10.9734/ajaees/2024/v42i112619"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oi.org/10.9734/ajaees/2022/v40i630895" TargetMode="External"/><Relationship Id="rId25" Type="http://schemas.openxmlformats.org/officeDocument/2006/relationships/hyperlink" Target="https://doi.org/10.3329/ijarit.v13i2.70859" TargetMode="External"/><Relationship Id="rId33" Type="http://schemas.openxmlformats.org/officeDocument/2006/relationships/hyperlink" Target="https://www.manage.gov.in/publications/edigest/jun2018.pdf" TargetMode="External"/><Relationship Id="rId38" Type="http://schemas.openxmlformats.org/officeDocument/2006/relationships/hyperlink" Target="https://doi.org/10.1051/bioconf/2023710101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KHFPCL Members (₹)</c:v>
                </c:pt>
              </c:strCache>
            </c:strRef>
          </c:tx>
          <c:spPr>
            <a:solidFill>
              <a:schemeClr val="accent1"/>
            </a:solidFill>
            <a:ln>
              <a:noFill/>
            </a:ln>
            <a:effectLst/>
          </c:spPr>
          <c:invertIfNegative val="0"/>
          <c:cat>
            <c:strRef>
              <c:f>Sheet1!$A$2:$A$11</c:f>
              <c:strCache>
                <c:ptCount val="10"/>
                <c:pt idx="0">
                  <c:v>Human Labor (Man-days)</c:v>
                </c:pt>
                <c:pt idx="1">
                  <c:v>Machine Labor (Hours)</c:v>
                </c:pt>
                <c:pt idx="2">
                  <c:v>Seeds (Kg)</c:v>
                </c:pt>
                <c:pt idx="3">
                  <c:v>Organic Fertilizer (Ton)</c:v>
                </c:pt>
                <c:pt idx="4">
                  <c:v>DAP (Kg)</c:v>
                </c:pt>
                <c:pt idx="5">
                  <c:v>Urea (Kg)</c:v>
                </c:pt>
                <c:pt idx="6">
                  <c:v>MOP (Kg)</c:v>
                </c:pt>
                <c:pt idx="7">
                  <c:v>Micronutrients (Kg)</c:v>
                </c:pt>
                <c:pt idx="8">
                  <c:v>Bio-fertilizers (Kg)</c:v>
                </c:pt>
                <c:pt idx="9">
                  <c:v>Plant Protection Chemicals (Ltr)</c:v>
                </c:pt>
              </c:strCache>
            </c:strRef>
          </c:cat>
          <c:val>
            <c:numRef>
              <c:f>Sheet1!$B$2:$B$11</c:f>
              <c:numCache>
                <c:formatCode>#,##0.00</c:formatCode>
                <c:ptCount val="10"/>
                <c:pt idx="0">
                  <c:v>8400</c:v>
                </c:pt>
                <c:pt idx="1">
                  <c:v>1800</c:v>
                </c:pt>
                <c:pt idx="2">
                  <c:v>2800</c:v>
                </c:pt>
                <c:pt idx="3">
                  <c:v>1680</c:v>
                </c:pt>
                <c:pt idx="4">
                  <c:v>3120</c:v>
                </c:pt>
                <c:pt idx="5">
                  <c:v>1761.34</c:v>
                </c:pt>
                <c:pt idx="6">
                  <c:v>2490.9</c:v>
                </c:pt>
                <c:pt idx="7">
                  <c:v>187.5</c:v>
                </c:pt>
                <c:pt idx="8">
                  <c:v>300</c:v>
                </c:pt>
                <c:pt idx="9">
                  <c:v>850</c:v>
                </c:pt>
              </c:numCache>
            </c:numRef>
          </c:val>
          <c:extLst>
            <c:ext xmlns:c16="http://schemas.microsoft.com/office/drawing/2014/chart" uri="{C3380CC4-5D6E-409C-BE32-E72D297353CC}">
              <c16:uniqueId val="{00000000-5A4B-4F70-A7FE-87C3BE0D0817}"/>
            </c:ext>
          </c:extLst>
        </c:ser>
        <c:ser>
          <c:idx val="1"/>
          <c:order val="1"/>
          <c:tx>
            <c:strRef>
              <c:f>Sheet1!$C$1</c:f>
              <c:strCache>
                <c:ptCount val="1"/>
                <c:pt idx="0">
                  <c:v>Non-Members (₹)</c:v>
                </c:pt>
              </c:strCache>
            </c:strRef>
          </c:tx>
          <c:spPr>
            <a:solidFill>
              <a:schemeClr val="accent2"/>
            </a:solidFill>
            <a:ln>
              <a:noFill/>
            </a:ln>
            <a:effectLst/>
          </c:spPr>
          <c:invertIfNegative val="0"/>
          <c:cat>
            <c:strRef>
              <c:f>Sheet1!$A$2:$A$11</c:f>
              <c:strCache>
                <c:ptCount val="10"/>
                <c:pt idx="0">
                  <c:v>Human Labor (Man-days)</c:v>
                </c:pt>
                <c:pt idx="1">
                  <c:v>Machine Labor (Hours)</c:v>
                </c:pt>
                <c:pt idx="2">
                  <c:v>Seeds (Kg)</c:v>
                </c:pt>
                <c:pt idx="3">
                  <c:v>Organic Fertilizer (Ton)</c:v>
                </c:pt>
                <c:pt idx="4">
                  <c:v>DAP (Kg)</c:v>
                </c:pt>
                <c:pt idx="5">
                  <c:v>Urea (Kg)</c:v>
                </c:pt>
                <c:pt idx="6">
                  <c:v>MOP (Kg)</c:v>
                </c:pt>
                <c:pt idx="7">
                  <c:v>Micronutrients (Kg)</c:v>
                </c:pt>
                <c:pt idx="8">
                  <c:v>Bio-fertilizers (Kg)</c:v>
                </c:pt>
                <c:pt idx="9">
                  <c:v>Plant Protection Chemicals (Ltr)</c:v>
                </c:pt>
              </c:strCache>
            </c:strRef>
          </c:cat>
          <c:val>
            <c:numRef>
              <c:f>Sheet1!$C$2:$C$11</c:f>
              <c:numCache>
                <c:formatCode>#,##0.00</c:formatCode>
                <c:ptCount val="10"/>
                <c:pt idx="0">
                  <c:v>8400</c:v>
                </c:pt>
                <c:pt idx="1">
                  <c:v>2700</c:v>
                </c:pt>
                <c:pt idx="2">
                  <c:v>3200</c:v>
                </c:pt>
                <c:pt idx="3">
                  <c:v>1920</c:v>
                </c:pt>
                <c:pt idx="4">
                  <c:v>3510</c:v>
                </c:pt>
                <c:pt idx="5">
                  <c:v>2339.29</c:v>
                </c:pt>
                <c:pt idx="6">
                  <c:v>2815.8</c:v>
                </c:pt>
                <c:pt idx="7">
                  <c:v>174</c:v>
                </c:pt>
                <c:pt idx="8">
                  <c:v>450</c:v>
                </c:pt>
                <c:pt idx="9">
                  <c:v>1000</c:v>
                </c:pt>
              </c:numCache>
            </c:numRef>
          </c:val>
          <c:extLst>
            <c:ext xmlns:c16="http://schemas.microsoft.com/office/drawing/2014/chart" uri="{C3380CC4-5D6E-409C-BE32-E72D297353CC}">
              <c16:uniqueId val="{00000001-5A4B-4F70-A7FE-87C3BE0D0817}"/>
            </c:ext>
          </c:extLst>
        </c:ser>
        <c:dLbls>
          <c:showLegendKey val="0"/>
          <c:showVal val="0"/>
          <c:showCatName val="0"/>
          <c:showSerName val="0"/>
          <c:showPercent val="0"/>
          <c:showBubbleSize val="0"/>
        </c:dLbls>
        <c:gapWidth val="219"/>
        <c:overlap val="-27"/>
        <c:axId val="1320276144"/>
        <c:axId val="1320287184"/>
      </c:barChart>
      <c:catAx>
        <c:axId val="1320276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0287184"/>
        <c:crosses val="autoZero"/>
        <c:auto val="1"/>
        <c:lblAlgn val="ctr"/>
        <c:lblOffset val="100"/>
        <c:noMultiLvlLbl val="0"/>
      </c:catAx>
      <c:valAx>
        <c:axId val="13202871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0276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18</Pages>
  <Words>5172</Words>
  <Characters>29485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Kotyal</dc:creator>
  <cp:keywords/>
  <dc:description/>
  <cp:lastModifiedBy>SDI CPU 1127</cp:lastModifiedBy>
  <cp:revision>31</cp:revision>
  <cp:lastPrinted>2025-03-08T10:37:00Z</cp:lastPrinted>
  <dcterms:created xsi:type="dcterms:W3CDTF">2025-03-08T06:46:00Z</dcterms:created>
  <dcterms:modified xsi:type="dcterms:W3CDTF">2025-03-15T09:32:00Z</dcterms:modified>
</cp:coreProperties>
</file>